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1121" w:rsidRPr="00B71F4A" w:rsidP="00EB6A04" w14:paraId="2D42544E" w14:textId="46416112">
      <w:pPr>
        <w:jc w:val="center"/>
        <w:rPr>
          <w:rFonts w:eastAsia="Calibri"/>
          <w:color w:val="000000" w:themeColor="text1"/>
        </w:rPr>
      </w:pPr>
      <w:r w:rsidRPr="00B71F4A">
        <w:rPr>
          <w:rFonts w:eastAsia="Calibri"/>
          <w:color w:val="000000" w:themeColor="text1"/>
        </w:rPr>
        <w:t xml:space="preserve">UNITED STATES FOOD </w:t>
      </w:r>
      <w:r w:rsidR="0097688F">
        <w:rPr>
          <w:rFonts w:eastAsia="Calibri"/>
          <w:color w:val="000000" w:themeColor="text1"/>
        </w:rPr>
        <w:t xml:space="preserve">&amp; </w:t>
      </w:r>
      <w:r w:rsidRPr="00B71F4A">
        <w:rPr>
          <w:rFonts w:eastAsia="Calibri"/>
          <w:color w:val="000000" w:themeColor="text1"/>
        </w:rPr>
        <w:t>DRUG ADMINISTRATION</w:t>
      </w:r>
    </w:p>
    <w:p w:rsidR="00E61121" w:rsidRPr="00B71F4A" w:rsidP="00EB6A04" w14:paraId="27427B15" w14:textId="77777777">
      <w:pPr>
        <w:pStyle w:val="NoSpacing"/>
        <w:jc w:val="center"/>
        <w:rPr>
          <w:rFonts w:ascii="Times New Roman" w:hAnsi="Times New Roman"/>
          <w:color w:val="000000" w:themeColor="text1"/>
          <w:sz w:val="24"/>
          <w:szCs w:val="24"/>
        </w:rPr>
      </w:pPr>
    </w:p>
    <w:p w:rsidR="00E61121" w:rsidRPr="00B71F4A" w:rsidP="00EB6A04" w14:paraId="7C8AC61B" w14:textId="514D7C1C">
      <w:pPr>
        <w:jc w:val="center"/>
        <w:rPr>
          <w:color w:val="000000" w:themeColor="text1"/>
          <w:spacing w:val="2"/>
        </w:rPr>
      </w:pPr>
      <w:r w:rsidRPr="0097688F">
        <w:rPr>
          <w:color w:val="000000" w:themeColor="text1"/>
          <w:spacing w:val="2"/>
        </w:rPr>
        <w:t>Current Good Manufacturing Practice, Certification, Postmarketing Safety Reporting, and Labeling Requirements for Certain Medical Gases</w:t>
      </w:r>
    </w:p>
    <w:p w:rsidR="0097688F" w:rsidP="00EB6A04" w14:paraId="0B2EEF0D" w14:textId="77777777">
      <w:pPr>
        <w:jc w:val="center"/>
        <w:rPr>
          <w:color w:val="000000" w:themeColor="text1"/>
        </w:rPr>
      </w:pPr>
    </w:p>
    <w:p w:rsidR="0097688F" w:rsidRPr="0097688F" w:rsidP="00EB6A04" w14:paraId="38306717" w14:textId="6CCE6168">
      <w:pPr>
        <w:jc w:val="center"/>
        <w:rPr>
          <w:color w:val="000000" w:themeColor="text1"/>
          <w:spacing w:val="2"/>
          <w:u w:val="single"/>
        </w:rPr>
      </w:pPr>
      <w:r w:rsidRPr="0097688F">
        <w:rPr>
          <w:color w:val="000000" w:themeColor="text1"/>
          <w:u w:val="single"/>
        </w:rPr>
        <w:t>OMB Control No. 0910-</w:t>
      </w:r>
      <w:r w:rsidR="00C42BD9">
        <w:rPr>
          <w:color w:val="000000" w:themeColor="text1"/>
          <w:u w:val="single"/>
        </w:rPr>
        <w:t>0906</w:t>
      </w:r>
      <w:r w:rsidR="00787082">
        <w:rPr>
          <w:color w:val="000000" w:themeColor="text1"/>
          <w:u w:val="single"/>
        </w:rPr>
        <w:t xml:space="preserve"> - N</w:t>
      </w:r>
      <w:r w:rsidR="006147BF">
        <w:rPr>
          <w:color w:val="000000" w:themeColor="text1"/>
          <w:u w:val="single"/>
        </w:rPr>
        <w:t>EW</w:t>
      </w:r>
    </w:p>
    <w:p w:rsidR="00E61121" w:rsidP="00EB6A04" w14:paraId="72DF077F" w14:textId="77777777">
      <w:pPr>
        <w:jc w:val="center"/>
        <w:rPr>
          <w:color w:val="000000" w:themeColor="text1"/>
          <w:spacing w:val="2"/>
        </w:rPr>
      </w:pPr>
    </w:p>
    <w:p w:rsidR="00787082" w:rsidRPr="00B71F4A" w:rsidP="00EB6A04" w14:paraId="3694C93D" w14:textId="0D14A07F">
      <w:pPr>
        <w:jc w:val="center"/>
        <w:rPr>
          <w:color w:val="000000" w:themeColor="text1"/>
          <w:spacing w:val="2"/>
        </w:rPr>
      </w:pPr>
      <w:r>
        <w:rPr>
          <w:color w:val="000000" w:themeColor="text1"/>
          <w:spacing w:val="2"/>
        </w:rPr>
        <w:t>RIN 0910-AH96 – Final Rule</w:t>
      </w:r>
    </w:p>
    <w:p w:rsidR="00F10848" w:rsidP="00EB6A04" w14:paraId="1970F4B4" w14:textId="77777777">
      <w:pPr>
        <w:jc w:val="center"/>
        <w:rPr>
          <w:rFonts w:eastAsia="Calibri"/>
          <w:color w:val="000000" w:themeColor="text1"/>
        </w:rPr>
      </w:pPr>
    </w:p>
    <w:p w:rsidR="00E61121" w:rsidRPr="00B71F4A" w:rsidP="00EB6A04" w14:paraId="712F7F8E" w14:textId="730ECA39">
      <w:pPr>
        <w:jc w:val="center"/>
        <w:rPr>
          <w:rFonts w:eastAsia="Calibri"/>
          <w:color w:val="000000" w:themeColor="text1"/>
        </w:rPr>
      </w:pPr>
      <w:r w:rsidRPr="00B71F4A">
        <w:rPr>
          <w:rFonts w:eastAsia="Calibri"/>
          <w:color w:val="000000" w:themeColor="text1"/>
        </w:rPr>
        <w:t>SUPPORTING STATEMENT</w:t>
      </w:r>
    </w:p>
    <w:p w:rsidR="00E61121" w:rsidRPr="00B71F4A" w:rsidP="00EB6A04" w14:paraId="463D647F" w14:textId="77777777">
      <w:pPr>
        <w:jc w:val="center"/>
        <w:rPr>
          <w:rFonts w:eastAsia="Calibri"/>
          <w:color w:val="000000" w:themeColor="text1"/>
        </w:rPr>
      </w:pPr>
    </w:p>
    <w:p w:rsidR="00E61121" w:rsidRPr="00B71F4A" w:rsidP="00EB6A04" w14:paraId="3C4523FE" w14:textId="77777777">
      <w:pPr>
        <w:rPr>
          <w:rFonts w:eastAsia="Calibri"/>
          <w:color w:val="000000" w:themeColor="text1"/>
        </w:rPr>
      </w:pPr>
      <w:r w:rsidRPr="00B71F4A">
        <w:rPr>
          <w:rFonts w:eastAsia="Calibri"/>
          <w:b/>
          <w:color w:val="000000" w:themeColor="text1"/>
        </w:rPr>
        <w:t xml:space="preserve">Part A:  Justification </w:t>
      </w:r>
    </w:p>
    <w:p w:rsidR="00E61121" w:rsidRPr="00B71F4A" w:rsidP="00EB6A04" w14:paraId="4382A888" w14:textId="77777777">
      <w:pPr>
        <w:rPr>
          <w:rFonts w:eastAsia="Calibri"/>
          <w:color w:val="000000" w:themeColor="text1"/>
        </w:rPr>
      </w:pPr>
    </w:p>
    <w:p w:rsidR="00E61121" w:rsidRPr="00B71F4A" w:rsidP="00EB6A04" w14:paraId="06883A68" w14:textId="77777777">
      <w:pPr>
        <w:numPr>
          <w:ilvl w:val="0"/>
          <w:numId w:val="6"/>
        </w:numPr>
        <w:ind w:left="0"/>
        <w:rPr>
          <w:rFonts w:eastAsia="Calibri"/>
          <w:color w:val="000000" w:themeColor="text1"/>
        </w:rPr>
      </w:pPr>
      <w:r w:rsidRPr="00B71F4A">
        <w:rPr>
          <w:rFonts w:eastAsia="Calibri"/>
          <w:color w:val="000000" w:themeColor="text1"/>
          <w:u w:val="single"/>
        </w:rPr>
        <w:t>Circumstances Making the Collection of Information Necessary</w:t>
      </w:r>
    </w:p>
    <w:p w:rsidR="00E61121" w:rsidRPr="00B71F4A" w:rsidP="00EB6A04" w14:paraId="333568D2" w14:textId="77777777">
      <w:pPr>
        <w:rPr>
          <w:color w:val="000000" w:themeColor="text1"/>
        </w:rPr>
      </w:pPr>
    </w:p>
    <w:p w:rsidR="00E61121" w:rsidP="00EB6A04" w14:paraId="23030D3E" w14:textId="57191A4E">
      <w:pPr>
        <w:rPr>
          <w:color w:val="000000" w:themeColor="text1"/>
        </w:rPr>
      </w:pPr>
      <w:r w:rsidRPr="73D105C6">
        <w:rPr>
          <w:color w:val="000000" w:themeColor="text1"/>
        </w:rPr>
        <w:t xml:space="preserve">This information </w:t>
      </w:r>
      <w:r w:rsidRPr="73D105C6" w:rsidR="6D216CD6">
        <w:rPr>
          <w:color w:val="000000" w:themeColor="text1"/>
        </w:rPr>
        <w:t xml:space="preserve">collection </w:t>
      </w:r>
      <w:r w:rsidR="00FC233F">
        <w:rPr>
          <w:color w:val="000000" w:themeColor="text1"/>
        </w:rPr>
        <w:t xml:space="preserve">request supports implementation of </w:t>
      </w:r>
      <w:r w:rsidRPr="73D105C6">
        <w:rPr>
          <w:color w:val="000000" w:themeColor="text1"/>
        </w:rPr>
        <w:t xml:space="preserve">agency rulemaking </w:t>
      </w:r>
      <w:r w:rsidRPr="73D105C6" w:rsidR="49E81E73">
        <w:rPr>
          <w:b/>
          <w:bCs/>
          <w:color w:val="000000" w:themeColor="text1"/>
        </w:rPr>
        <w:t>0910-AH96</w:t>
      </w:r>
      <w:r w:rsidRPr="73D105C6" w:rsidR="49E81E73">
        <w:rPr>
          <w:color w:val="000000" w:themeColor="text1"/>
        </w:rPr>
        <w:t xml:space="preserve"> </w:t>
      </w:r>
      <w:r w:rsidRPr="73D105C6">
        <w:rPr>
          <w:color w:val="000000" w:themeColor="text1"/>
        </w:rPr>
        <w:t>entitled, “</w:t>
      </w:r>
      <w:r w:rsidRPr="73D105C6">
        <w:rPr>
          <w:i/>
          <w:iCs/>
          <w:color w:val="000000" w:themeColor="text1"/>
        </w:rPr>
        <w:t>Current Good Manufacturing Practice, Certification, Postmarketing Safety Reporting, and Labeling Requirements for Certain Medical Gases</w:t>
      </w:r>
      <w:r w:rsidRPr="73D105C6">
        <w:rPr>
          <w:color w:val="000000" w:themeColor="text1"/>
        </w:rPr>
        <w:t xml:space="preserve">.”  The Food and Drug Administration (FDA, the Agency, or we) is </w:t>
      </w:r>
      <w:r w:rsidRPr="73D105C6" w:rsidR="313E3E06">
        <w:rPr>
          <w:color w:val="000000" w:themeColor="text1"/>
        </w:rPr>
        <w:t xml:space="preserve">establishing </w:t>
      </w:r>
      <w:r w:rsidRPr="73D105C6">
        <w:rPr>
          <w:color w:val="000000" w:themeColor="text1"/>
        </w:rPr>
        <w:t>current good manufacturing practice (CGMP) regulations for certain medical gases to reflect differences in how these medical gases are manufactured, processed, packed, and held</w:t>
      </w:r>
      <w:r w:rsidRPr="73D105C6" w:rsidR="17A3064D">
        <w:rPr>
          <w:color w:val="000000" w:themeColor="text1"/>
        </w:rPr>
        <w:t xml:space="preserve"> for both human and animal use</w:t>
      </w:r>
      <w:r w:rsidRPr="73D105C6" w:rsidR="4825F794">
        <w:rPr>
          <w:color w:val="000000" w:themeColor="text1"/>
        </w:rPr>
        <w:t xml:space="preserve"> compared to other drugs</w:t>
      </w:r>
      <w:r w:rsidRPr="73D105C6">
        <w:rPr>
          <w:color w:val="000000" w:themeColor="text1"/>
        </w:rPr>
        <w:t>.  The final rule also establishes new requirements for medical gas products with regard to labeling, safety reporting, and certification of designated medical gases (DMGs) for both human and animal use.</w:t>
      </w:r>
      <w:r w:rsidRPr="73D105C6" w:rsidR="70870CAE">
        <w:rPr>
          <w:color w:val="000000" w:themeColor="text1"/>
        </w:rPr>
        <w:t xml:space="preserve">  </w:t>
      </w:r>
      <w:r w:rsidRPr="73D105C6" w:rsidR="03849D02">
        <w:rPr>
          <w:color w:val="000000" w:themeColor="text1"/>
        </w:rPr>
        <w:t>Specifically, t</w:t>
      </w:r>
      <w:r w:rsidRPr="73D105C6" w:rsidR="70870CAE">
        <w:rPr>
          <w:color w:val="000000" w:themeColor="text1"/>
        </w:rPr>
        <w:t xml:space="preserve">he rule introduces </w:t>
      </w:r>
      <w:r w:rsidRPr="73D105C6" w:rsidR="70870CAE">
        <w:rPr>
          <w:b/>
          <w:bCs/>
          <w:color w:val="000000" w:themeColor="text1"/>
        </w:rPr>
        <w:t xml:space="preserve">21 CFR </w:t>
      </w:r>
      <w:r w:rsidRPr="73D105C6" w:rsidR="524BBA79">
        <w:rPr>
          <w:b/>
          <w:bCs/>
          <w:color w:val="000000" w:themeColor="text1"/>
        </w:rPr>
        <w:t xml:space="preserve">part </w:t>
      </w:r>
      <w:r w:rsidRPr="73D105C6" w:rsidR="6290C793">
        <w:rPr>
          <w:b/>
          <w:bCs/>
          <w:color w:val="000000" w:themeColor="text1"/>
        </w:rPr>
        <w:t>21</w:t>
      </w:r>
      <w:r w:rsidRPr="73D105C6" w:rsidR="524BBA79">
        <w:rPr>
          <w:b/>
          <w:bCs/>
          <w:color w:val="000000" w:themeColor="text1"/>
        </w:rPr>
        <w:t>3</w:t>
      </w:r>
      <w:r w:rsidRPr="73D105C6" w:rsidR="524BBA79">
        <w:rPr>
          <w:color w:val="000000" w:themeColor="text1"/>
        </w:rPr>
        <w:t xml:space="preserve"> (CGMP for </w:t>
      </w:r>
      <w:r w:rsidRPr="73D105C6" w:rsidR="17854529">
        <w:rPr>
          <w:color w:val="000000" w:themeColor="text1"/>
        </w:rPr>
        <w:t>M</w:t>
      </w:r>
      <w:r w:rsidRPr="73D105C6" w:rsidR="524BBA79">
        <w:rPr>
          <w:color w:val="000000" w:themeColor="text1"/>
        </w:rPr>
        <w:t xml:space="preserve">edical </w:t>
      </w:r>
      <w:r w:rsidRPr="73D105C6" w:rsidR="17854529">
        <w:rPr>
          <w:color w:val="000000" w:themeColor="text1"/>
        </w:rPr>
        <w:t>G</w:t>
      </w:r>
      <w:r w:rsidRPr="73D105C6" w:rsidR="524BBA79">
        <w:rPr>
          <w:color w:val="000000" w:themeColor="text1"/>
        </w:rPr>
        <w:t xml:space="preserve">ases) and </w:t>
      </w:r>
      <w:r w:rsidRPr="73D105C6" w:rsidR="524BBA79">
        <w:rPr>
          <w:b/>
          <w:bCs/>
          <w:color w:val="000000" w:themeColor="text1"/>
        </w:rPr>
        <w:t>21 CFR part 230</w:t>
      </w:r>
      <w:r w:rsidRPr="73D105C6" w:rsidR="524BBA79">
        <w:rPr>
          <w:color w:val="000000" w:themeColor="text1"/>
        </w:rPr>
        <w:t xml:space="preserve"> (</w:t>
      </w:r>
      <w:r w:rsidRPr="73D105C6" w:rsidR="17854529">
        <w:rPr>
          <w:color w:val="000000" w:themeColor="text1"/>
        </w:rPr>
        <w:t>C</w:t>
      </w:r>
      <w:r w:rsidRPr="73D105C6" w:rsidR="524BBA79">
        <w:rPr>
          <w:color w:val="000000" w:themeColor="text1"/>
        </w:rPr>
        <w:t xml:space="preserve">ertification and </w:t>
      </w:r>
      <w:r w:rsidRPr="73D105C6" w:rsidR="17854529">
        <w:rPr>
          <w:color w:val="000000" w:themeColor="text1"/>
        </w:rPr>
        <w:t>P</w:t>
      </w:r>
      <w:r w:rsidRPr="73D105C6" w:rsidR="524BBA79">
        <w:rPr>
          <w:color w:val="000000" w:themeColor="text1"/>
        </w:rPr>
        <w:t xml:space="preserve">ostmarketing </w:t>
      </w:r>
      <w:r w:rsidRPr="73D105C6" w:rsidR="17854529">
        <w:rPr>
          <w:color w:val="000000" w:themeColor="text1"/>
        </w:rPr>
        <w:t>R</w:t>
      </w:r>
      <w:r w:rsidRPr="73D105C6" w:rsidR="7CEFD64A">
        <w:rPr>
          <w:color w:val="000000" w:themeColor="text1"/>
        </w:rPr>
        <w:t xml:space="preserve">eporting for </w:t>
      </w:r>
      <w:r w:rsidRPr="73D105C6" w:rsidR="17854529">
        <w:rPr>
          <w:color w:val="000000" w:themeColor="text1"/>
        </w:rPr>
        <w:t>D</w:t>
      </w:r>
      <w:r w:rsidRPr="73D105C6" w:rsidR="7CEFD64A">
        <w:rPr>
          <w:color w:val="000000" w:themeColor="text1"/>
        </w:rPr>
        <w:t xml:space="preserve">esignated </w:t>
      </w:r>
      <w:r w:rsidRPr="73D105C6" w:rsidR="17854529">
        <w:rPr>
          <w:color w:val="000000" w:themeColor="text1"/>
        </w:rPr>
        <w:t>M</w:t>
      </w:r>
      <w:r w:rsidRPr="73D105C6" w:rsidR="7CEFD64A">
        <w:rPr>
          <w:color w:val="000000" w:themeColor="text1"/>
        </w:rPr>
        <w:t xml:space="preserve">edical </w:t>
      </w:r>
      <w:r w:rsidRPr="73D105C6" w:rsidR="17854529">
        <w:rPr>
          <w:color w:val="000000" w:themeColor="text1"/>
        </w:rPr>
        <w:t>G</w:t>
      </w:r>
      <w:r w:rsidRPr="73D105C6" w:rsidR="7CEFD64A">
        <w:rPr>
          <w:color w:val="000000" w:themeColor="text1"/>
        </w:rPr>
        <w:t>ases)</w:t>
      </w:r>
      <w:r w:rsidRPr="73D105C6" w:rsidR="56E77580">
        <w:rPr>
          <w:color w:val="000000" w:themeColor="text1"/>
        </w:rPr>
        <w:t xml:space="preserve">.  </w:t>
      </w:r>
      <w:r w:rsidRPr="73D105C6" w:rsidR="506FE714">
        <w:rPr>
          <w:color w:val="000000" w:themeColor="text1"/>
        </w:rPr>
        <w:t xml:space="preserve">The rule also revises </w:t>
      </w:r>
      <w:r w:rsidRPr="73D105C6" w:rsidR="787A785A">
        <w:rPr>
          <w:color w:val="000000" w:themeColor="text1"/>
        </w:rPr>
        <w:t xml:space="preserve">associated </w:t>
      </w:r>
      <w:r w:rsidRPr="73D105C6" w:rsidR="506FE714">
        <w:rPr>
          <w:color w:val="000000" w:themeColor="text1"/>
        </w:rPr>
        <w:t xml:space="preserve">regulations found in 21 CFR </w:t>
      </w:r>
      <w:r w:rsidRPr="73D105C6" w:rsidR="4825F794">
        <w:rPr>
          <w:color w:val="000000" w:themeColor="text1"/>
        </w:rPr>
        <w:t xml:space="preserve">part </w:t>
      </w:r>
      <w:r w:rsidRPr="73D105C6" w:rsidR="506FE714">
        <w:rPr>
          <w:color w:val="000000" w:themeColor="text1"/>
        </w:rPr>
        <w:t xml:space="preserve">210 (CGMP </w:t>
      </w:r>
      <w:r w:rsidRPr="73D105C6" w:rsidR="459AE3B6">
        <w:rPr>
          <w:color w:val="000000" w:themeColor="text1"/>
        </w:rPr>
        <w:t>in</w:t>
      </w:r>
      <w:r w:rsidRPr="73D105C6" w:rsidR="5E5B3201">
        <w:rPr>
          <w:color w:val="000000" w:themeColor="text1"/>
        </w:rPr>
        <w:t xml:space="preserve"> Manufacturing, Processing, Packing, or Holding of Drug</w:t>
      </w:r>
      <w:r w:rsidRPr="73D105C6" w:rsidR="459AE3B6">
        <w:rPr>
          <w:color w:val="000000" w:themeColor="text1"/>
        </w:rPr>
        <w:t>s</w:t>
      </w:r>
      <w:r w:rsidRPr="73D105C6" w:rsidR="17854529">
        <w:rPr>
          <w:color w:val="000000" w:themeColor="text1"/>
        </w:rPr>
        <w:t>; General</w:t>
      </w:r>
      <w:r w:rsidRPr="73D105C6" w:rsidR="459AE3B6">
        <w:rPr>
          <w:color w:val="000000" w:themeColor="text1"/>
        </w:rPr>
        <w:t xml:space="preserve">) and 21 CFR </w:t>
      </w:r>
      <w:r w:rsidRPr="73D105C6" w:rsidR="4825F794">
        <w:rPr>
          <w:color w:val="000000" w:themeColor="text1"/>
        </w:rPr>
        <w:t xml:space="preserve">part </w:t>
      </w:r>
      <w:r w:rsidRPr="73D105C6" w:rsidR="459AE3B6">
        <w:rPr>
          <w:color w:val="000000" w:themeColor="text1"/>
        </w:rPr>
        <w:t>211 (CGMP for Finished Pharmaceuticals</w:t>
      </w:r>
      <w:r w:rsidRPr="73D105C6" w:rsidR="3952F024">
        <w:rPr>
          <w:color w:val="000000" w:themeColor="text1"/>
        </w:rPr>
        <w:t>) and</w:t>
      </w:r>
      <w:r w:rsidRPr="73D105C6" w:rsidR="459AE3B6">
        <w:rPr>
          <w:color w:val="000000" w:themeColor="text1"/>
        </w:rPr>
        <w:t xml:space="preserve"> </w:t>
      </w:r>
      <w:r w:rsidRPr="73D105C6" w:rsidR="0B6D19C1">
        <w:rPr>
          <w:color w:val="000000" w:themeColor="text1"/>
        </w:rPr>
        <w:t xml:space="preserve">makes conforming changes to regulations </w:t>
      </w:r>
      <w:r w:rsidRPr="73D105C6" w:rsidR="787A785A">
        <w:rPr>
          <w:color w:val="000000" w:themeColor="text1"/>
        </w:rPr>
        <w:t xml:space="preserve">in </w:t>
      </w:r>
      <w:r w:rsidRPr="73D105C6" w:rsidR="0B6D19C1">
        <w:rPr>
          <w:color w:val="000000" w:themeColor="text1"/>
        </w:rPr>
        <w:t xml:space="preserve">21 CFR </w:t>
      </w:r>
      <w:r w:rsidRPr="73D105C6" w:rsidR="24FCFEC3">
        <w:rPr>
          <w:color w:val="000000" w:themeColor="text1"/>
        </w:rPr>
        <w:t xml:space="preserve">parts 4, </w:t>
      </w:r>
      <w:r w:rsidRPr="73D105C6" w:rsidR="0B6D19C1">
        <w:rPr>
          <w:color w:val="000000" w:themeColor="text1"/>
        </w:rPr>
        <w:t>16</w:t>
      </w:r>
      <w:r w:rsidRPr="73D105C6" w:rsidR="24FCFEC3">
        <w:rPr>
          <w:color w:val="000000" w:themeColor="text1"/>
        </w:rPr>
        <w:t xml:space="preserve">, </w:t>
      </w:r>
      <w:r w:rsidRPr="73D105C6" w:rsidR="4A2D91F5">
        <w:rPr>
          <w:color w:val="000000" w:themeColor="text1"/>
        </w:rPr>
        <w:t>201</w:t>
      </w:r>
      <w:r w:rsidRPr="73D105C6" w:rsidR="24FCFEC3">
        <w:rPr>
          <w:color w:val="000000" w:themeColor="text1"/>
        </w:rPr>
        <w:t xml:space="preserve">, 314, and </w:t>
      </w:r>
      <w:r w:rsidRPr="73D105C6" w:rsidR="6D216CD6">
        <w:rPr>
          <w:color w:val="000000" w:themeColor="text1"/>
        </w:rPr>
        <w:t>514.  The provisions include reporting, recordkeeping, and disclosure requirements.</w:t>
      </w:r>
    </w:p>
    <w:p w:rsidR="0057370E" w:rsidP="00EB6A04" w14:paraId="7E69A871" w14:textId="08EE485D">
      <w:pPr>
        <w:rPr>
          <w:color w:val="000000" w:themeColor="text1"/>
        </w:rPr>
      </w:pPr>
    </w:p>
    <w:p w:rsidR="006475F2" w:rsidP="00EB6A04" w14:paraId="37A9769C" w14:textId="77777777">
      <w:pPr>
        <w:rPr>
          <w:color w:val="000000" w:themeColor="text1"/>
        </w:rPr>
      </w:pPr>
      <w:r>
        <w:rPr>
          <w:color w:val="000000" w:themeColor="text1"/>
        </w:rPr>
        <w:t xml:space="preserve">The information collection also includes </w:t>
      </w:r>
      <w:r>
        <w:rPr>
          <w:color w:val="000000" w:themeColor="text1"/>
        </w:rPr>
        <w:t>the following forms:</w:t>
      </w:r>
    </w:p>
    <w:p w:rsidR="006475F2" w:rsidP="00EB6A04" w14:paraId="4D1B64DA" w14:textId="77777777">
      <w:pPr>
        <w:rPr>
          <w:color w:val="000000" w:themeColor="text1"/>
        </w:rPr>
      </w:pPr>
    </w:p>
    <w:p w:rsidR="006475F2" w:rsidP="00EB6A04" w14:paraId="0C859F2A" w14:textId="77777777">
      <w:pPr>
        <w:rPr>
          <w:color w:val="000000" w:themeColor="text1"/>
        </w:rPr>
      </w:pPr>
      <w:r w:rsidRPr="00BF63FF">
        <w:rPr>
          <w:b/>
          <w:bCs/>
          <w:color w:val="000000" w:themeColor="text1"/>
        </w:rPr>
        <w:t>F</w:t>
      </w:r>
      <w:r w:rsidRPr="00BF63FF" w:rsidR="0057370E">
        <w:rPr>
          <w:b/>
          <w:bCs/>
          <w:color w:val="000000" w:themeColor="text1"/>
        </w:rPr>
        <w:t>orm</w:t>
      </w:r>
      <w:r w:rsidRPr="00BF63FF" w:rsidR="00E831CA">
        <w:rPr>
          <w:b/>
          <w:bCs/>
          <w:color w:val="000000" w:themeColor="text1"/>
        </w:rPr>
        <w:t xml:space="preserve"> FDA 3864</w:t>
      </w:r>
      <w:r w:rsidR="00A531A1">
        <w:rPr>
          <w:color w:val="000000" w:themeColor="text1"/>
        </w:rPr>
        <w:t xml:space="preserve">, </w:t>
      </w:r>
      <w:r w:rsidRPr="00DB72EA" w:rsidR="00A531A1">
        <w:rPr>
          <w:i/>
          <w:iCs/>
          <w:color w:val="000000" w:themeColor="text1"/>
        </w:rPr>
        <w:t>Request for Certification of Designated Medical Gas</w:t>
      </w:r>
      <w:r w:rsidR="00A531A1">
        <w:rPr>
          <w:color w:val="000000" w:themeColor="text1"/>
        </w:rPr>
        <w:t>,</w:t>
      </w:r>
      <w:r w:rsidR="00E831CA">
        <w:rPr>
          <w:color w:val="000000" w:themeColor="text1"/>
        </w:rPr>
        <w:t xml:space="preserve"> and </w:t>
      </w:r>
    </w:p>
    <w:p w:rsidR="0057370E" w:rsidRPr="00B71F4A" w:rsidP="00EB6A04" w14:paraId="23CF6F28" w14:textId="6FE3AD8B">
      <w:pPr>
        <w:rPr>
          <w:color w:val="000000" w:themeColor="text1"/>
        </w:rPr>
      </w:pPr>
      <w:r w:rsidRPr="00BF63FF">
        <w:rPr>
          <w:b/>
          <w:bCs/>
          <w:color w:val="000000" w:themeColor="text1"/>
        </w:rPr>
        <w:t xml:space="preserve">Form </w:t>
      </w:r>
      <w:r w:rsidRPr="00BF63FF" w:rsidR="00E831CA">
        <w:rPr>
          <w:b/>
          <w:bCs/>
          <w:color w:val="000000" w:themeColor="text1"/>
        </w:rPr>
        <w:t>FDA 5025</w:t>
      </w:r>
      <w:r w:rsidR="00A531A1">
        <w:rPr>
          <w:color w:val="000000" w:themeColor="text1"/>
        </w:rPr>
        <w:t xml:space="preserve">, </w:t>
      </w:r>
      <w:r w:rsidRPr="00DB72EA" w:rsidR="00F85D52">
        <w:rPr>
          <w:i/>
          <w:iCs/>
          <w:color w:val="000000" w:themeColor="text1"/>
        </w:rPr>
        <w:t>Annual Report for Designated Medical Gas</w:t>
      </w:r>
      <w:r w:rsidR="00F62BC8">
        <w:rPr>
          <w:color w:val="000000" w:themeColor="text1"/>
        </w:rPr>
        <w:t>.</w:t>
      </w:r>
    </w:p>
    <w:p w:rsidR="00E61121" w:rsidRPr="00B71F4A" w:rsidP="00EB6A04" w14:paraId="471FCBE7" w14:textId="77777777">
      <w:pPr>
        <w:rPr>
          <w:color w:val="000000" w:themeColor="text1"/>
        </w:rPr>
      </w:pPr>
    </w:p>
    <w:p w:rsidR="00E61121" w:rsidRPr="00B71F4A" w:rsidP="00EB6A04" w14:paraId="29DE4897" w14:textId="4C7CE292">
      <w:pPr>
        <w:rPr>
          <w:rFonts w:eastAsia="Calibri"/>
          <w:color w:val="000000" w:themeColor="text1"/>
        </w:rPr>
      </w:pPr>
      <w:r w:rsidRPr="00B71F4A">
        <w:rPr>
          <w:rFonts w:eastAsia="Calibri"/>
          <w:color w:val="000000" w:themeColor="text1"/>
        </w:rPr>
        <w:t xml:space="preserve">We are therefore requesting approval for the information collection requirements </w:t>
      </w:r>
      <w:r w:rsidR="005010DC">
        <w:rPr>
          <w:rFonts w:eastAsia="Calibri"/>
          <w:color w:val="000000" w:themeColor="text1"/>
        </w:rPr>
        <w:t xml:space="preserve">of the final rule, as </w:t>
      </w:r>
      <w:r w:rsidRPr="00B71F4A">
        <w:rPr>
          <w:rFonts w:eastAsia="Calibri"/>
          <w:color w:val="000000" w:themeColor="text1"/>
        </w:rPr>
        <w:t>discussed in this supporting statement.</w:t>
      </w:r>
    </w:p>
    <w:p w:rsidR="00E61121" w:rsidRPr="00B71F4A" w:rsidP="00EB6A04" w14:paraId="4F93A35E" w14:textId="77777777">
      <w:pPr>
        <w:rPr>
          <w:rFonts w:eastAsia="Calibri"/>
          <w:color w:val="000000" w:themeColor="text1"/>
        </w:rPr>
      </w:pPr>
    </w:p>
    <w:p w:rsidR="00E61121" w:rsidRPr="00B71F4A" w:rsidP="00EB6A04" w14:paraId="6DEF372B" w14:textId="77777777">
      <w:pPr>
        <w:numPr>
          <w:ilvl w:val="0"/>
          <w:numId w:val="6"/>
        </w:numPr>
        <w:ind w:left="0"/>
        <w:rPr>
          <w:rFonts w:eastAsia="Calibri"/>
          <w:color w:val="000000" w:themeColor="text1"/>
          <w:u w:val="single"/>
        </w:rPr>
      </w:pPr>
      <w:r w:rsidRPr="00B71F4A">
        <w:rPr>
          <w:rFonts w:eastAsia="Calibri"/>
          <w:color w:val="000000" w:themeColor="text1"/>
          <w:u w:val="single"/>
        </w:rPr>
        <w:t xml:space="preserve">Purpose and Use of the Information Collection </w:t>
      </w:r>
    </w:p>
    <w:p w:rsidR="00E61121" w:rsidRPr="00B71F4A" w:rsidP="00EB6A04" w14:paraId="0D246DA7" w14:textId="77777777">
      <w:pPr>
        <w:rPr>
          <w:color w:val="000000" w:themeColor="text1"/>
        </w:rPr>
      </w:pPr>
    </w:p>
    <w:p w:rsidR="00E61121" w:rsidRPr="00B71F4A" w:rsidP="00EB6A04" w14:paraId="498F4B0D" w14:textId="1C71BAFB">
      <w:pPr>
        <w:rPr>
          <w:color w:val="000000" w:themeColor="text1"/>
        </w:rPr>
      </w:pPr>
      <w:r w:rsidRPr="00B71F4A">
        <w:rPr>
          <w:color w:val="000000" w:themeColor="text1"/>
        </w:rPr>
        <w:t xml:space="preserve">Respondents to this information collection are entities that manufacture, process, pack, label, or distribute certain medical gases.  </w:t>
      </w:r>
      <w:r w:rsidR="00C255F6">
        <w:rPr>
          <w:color w:val="000000" w:themeColor="text1"/>
        </w:rPr>
        <w:t xml:space="preserve">Respondents also include those submitting certifications to FDA </w:t>
      </w:r>
      <w:r w:rsidR="004270E1">
        <w:rPr>
          <w:color w:val="000000" w:themeColor="text1"/>
        </w:rPr>
        <w:t xml:space="preserve">in accordance with </w:t>
      </w:r>
      <w:r w:rsidR="00836BCA">
        <w:rPr>
          <w:color w:val="000000" w:themeColor="text1"/>
        </w:rPr>
        <w:t>certification</w:t>
      </w:r>
      <w:r w:rsidR="004270E1">
        <w:rPr>
          <w:color w:val="000000" w:themeColor="text1"/>
        </w:rPr>
        <w:t xml:space="preserve"> requirements in 21 CFR part 230.  </w:t>
      </w:r>
      <w:r w:rsidRPr="00B71F4A">
        <w:rPr>
          <w:color w:val="000000" w:themeColor="text1"/>
        </w:rPr>
        <w:t>We use the information collected to help determine compliance with regulatory</w:t>
      </w:r>
      <w:r w:rsidR="004270E1">
        <w:rPr>
          <w:color w:val="000000" w:themeColor="text1"/>
        </w:rPr>
        <w:t xml:space="preserve"> provisions</w:t>
      </w:r>
      <w:r w:rsidR="005010DC">
        <w:rPr>
          <w:color w:val="000000" w:themeColor="text1"/>
        </w:rPr>
        <w:t>.</w:t>
      </w:r>
      <w:r w:rsidRPr="00B71F4A">
        <w:rPr>
          <w:color w:val="000000" w:themeColor="text1"/>
        </w:rPr>
        <w:t xml:space="preserve"> </w:t>
      </w:r>
    </w:p>
    <w:p w:rsidR="00E61121" w:rsidRPr="00B71F4A" w:rsidP="00EB6A04" w14:paraId="193F1215" w14:textId="77777777">
      <w:pPr>
        <w:rPr>
          <w:color w:val="000000" w:themeColor="text1"/>
        </w:rPr>
      </w:pPr>
    </w:p>
    <w:p w:rsidR="00E61121" w:rsidRPr="00B71F4A" w:rsidP="00EB6A04" w14:paraId="23A579BC" w14:textId="11BC599B">
      <w:pPr>
        <w:rPr>
          <w:color w:val="000000" w:themeColor="text1"/>
        </w:rPr>
      </w:pPr>
      <w:r w:rsidRPr="73D105C6">
        <w:rPr>
          <w:color w:val="000000" w:themeColor="text1"/>
        </w:rPr>
        <w:t xml:space="preserve">Our review also serves to establish accountability relating to the manufacturing and processing of </w:t>
      </w:r>
      <w:r w:rsidRPr="73D105C6" w:rsidR="4825F794">
        <w:rPr>
          <w:color w:val="000000" w:themeColor="text1"/>
        </w:rPr>
        <w:t>medical gases</w:t>
      </w:r>
      <w:r w:rsidRPr="73D105C6">
        <w:rPr>
          <w:color w:val="000000" w:themeColor="text1"/>
        </w:rPr>
        <w:t xml:space="preserve">, facilitating productive inspections, and enabling manufacturers to improve the quality of </w:t>
      </w:r>
      <w:r w:rsidRPr="73D105C6" w:rsidR="4825F794">
        <w:rPr>
          <w:color w:val="000000" w:themeColor="text1"/>
        </w:rPr>
        <w:t>medical gases</w:t>
      </w:r>
      <w:r w:rsidRPr="73D105C6">
        <w:rPr>
          <w:color w:val="000000" w:themeColor="text1"/>
        </w:rPr>
        <w:t xml:space="preserve"> made available to consumers.  In addition, the information collection facilitates product recall activities in the event a product recall becomes necessary.</w:t>
      </w:r>
    </w:p>
    <w:p w:rsidR="00E61121" w:rsidRPr="00B71F4A" w:rsidP="00EB6A04" w14:paraId="1E3BED6D" w14:textId="77777777">
      <w:pPr>
        <w:pStyle w:val="BodyText"/>
        <w:spacing w:after="0"/>
        <w:rPr>
          <w:color w:val="000000" w:themeColor="text1"/>
        </w:rPr>
      </w:pPr>
    </w:p>
    <w:p w:rsidR="00E61121" w:rsidRPr="00B71F4A" w:rsidP="00EB6A04" w14:paraId="7C10370D" w14:textId="066DFE7C">
      <w:pPr>
        <w:pStyle w:val="BodyText"/>
        <w:spacing w:after="0"/>
        <w:rPr>
          <w:color w:val="000000" w:themeColor="text1"/>
        </w:rPr>
      </w:pPr>
      <w:r w:rsidRPr="00B71F4A">
        <w:rPr>
          <w:color w:val="000000" w:themeColor="text1"/>
        </w:rPr>
        <w:t xml:space="preserve">Firms must make their records readily available for authorized inspection.  FDA is authorized to inspect records under sections 301(f) and 704 of the Federal Food, Drug, and Cosmetic Act (the FD&amp;C Act) (21 U.S.C. 331(f) and 374).  </w:t>
      </w:r>
    </w:p>
    <w:p w:rsidR="00E61121" w:rsidRPr="00B71F4A" w:rsidP="00EB6A04" w14:paraId="151CE05E" w14:textId="77777777">
      <w:pPr>
        <w:rPr>
          <w:color w:val="000000" w:themeColor="text1"/>
        </w:rPr>
      </w:pPr>
    </w:p>
    <w:p w:rsidR="00E61121" w:rsidRPr="00B71F4A" w:rsidP="00EB6A04" w14:paraId="0FD82655" w14:textId="77777777">
      <w:pPr>
        <w:rPr>
          <w:color w:val="000000" w:themeColor="text1"/>
        </w:rPr>
      </w:pPr>
      <w:r w:rsidRPr="00B71F4A">
        <w:rPr>
          <w:color w:val="000000" w:themeColor="text1"/>
        </w:rPr>
        <w:t xml:space="preserve">Moreover, current labeling regulations are part of FDA’s strategic initiative to manage the risks of medical product use and to reduce adverse events involving products that the Agency regulates.  These labeling requirements are intended to make it easier for healthcare practitioners to access, read, and use information in prescription drug labeling. </w:t>
      </w:r>
    </w:p>
    <w:p w:rsidR="00E61121" w:rsidRPr="00B71F4A" w:rsidP="00EB6A04" w14:paraId="7243367C" w14:textId="77777777">
      <w:pPr>
        <w:rPr>
          <w:color w:val="000000" w:themeColor="text1"/>
        </w:rPr>
      </w:pPr>
    </w:p>
    <w:p w:rsidR="00E61121" w:rsidRPr="00B71F4A" w:rsidP="00EB6A04" w14:paraId="178E2850" w14:textId="2A64F6F0">
      <w:pPr>
        <w:rPr>
          <w:color w:val="000000" w:themeColor="text1"/>
        </w:rPr>
      </w:pPr>
      <w:r w:rsidRPr="00B71F4A">
        <w:rPr>
          <w:color w:val="000000" w:themeColor="text1"/>
        </w:rPr>
        <w:t xml:space="preserve">We believe that compliance with the regulations will reduce the number of adverse reactions resulting from medication errors due to misunderstood or incorrectly applied drug information.  </w:t>
      </w:r>
    </w:p>
    <w:p w:rsidR="00E61121" w:rsidRPr="00B71F4A" w:rsidP="00EB6A04" w14:paraId="43AD42E1" w14:textId="77777777">
      <w:pPr>
        <w:rPr>
          <w:color w:val="000000" w:themeColor="text1"/>
        </w:rPr>
      </w:pPr>
    </w:p>
    <w:p w:rsidR="00E61121" w:rsidRPr="00B71F4A" w:rsidP="00EB6A04" w14:paraId="68EB85F5" w14:textId="77777777">
      <w:pPr>
        <w:numPr>
          <w:ilvl w:val="0"/>
          <w:numId w:val="6"/>
        </w:numPr>
        <w:ind w:left="0"/>
        <w:rPr>
          <w:rFonts w:eastAsia="Calibri"/>
          <w:color w:val="000000" w:themeColor="text1"/>
          <w:u w:val="single"/>
        </w:rPr>
      </w:pPr>
      <w:r w:rsidRPr="00B71F4A">
        <w:rPr>
          <w:rFonts w:eastAsia="Calibri"/>
          <w:color w:val="000000" w:themeColor="text1"/>
          <w:u w:val="single"/>
        </w:rPr>
        <w:t>Use of Improved Information Technology and Burden Reduction</w:t>
      </w:r>
    </w:p>
    <w:p w:rsidR="00E61121" w:rsidRPr="00B71F4A" w:rsidP="00EB6A04" w14:paraId="2E7EE823" w14:textId="77777777">
      <w:pPr>
        <w:autoSpaceDE w:val="0"/>
        <w:autoSpaceDN w:val="0"/>
        <w:adjustRightInd w:val="0"/>
        <w:rPr>
          <w:color w:val="000000" w:themeColor="text1"/>
        </w:rPr>
      </w:pPr>
    </w:p>
    <w:p w:rsidR="00E61121" w:rsidRPr="000D1946" w:rsidP="00EB6A04" w14:paraId="392AB5DA" w14:textId="2146718C">
      <w:pPr>
        <w:autoSpaceDE w:val="0"/>
        <w:autoSpaceDN w:val="0"/>
        <w:adjustRightInd w:val="0"/>
      </w:pPr>
      <w:r w:rsidRPr="00B71F4A">
        <w:rPr>
          <w:color w:val="000000" w:themeColor="text1"/>
        </w:rPr>
        <w:t xml:space="preserve">Although the regulations do not prescribe specific </w:t>
      </w:r>
      <w:r w:rsidR="00C172A3">
        <w:rPr>
          <w:color w:val="000000" w:themeColor="text1"/>
        </w:rPr>
        <w:t xml:space="preserve">automated </w:t>
      </w:r>
      <w:r w:rsidRPr="00B71F4A">
        <w:rPr>
          <w:color w:val="000000" w:themeColor="text1"/>
        </w:rPr>
        <w:t xml:space="preserve">recordkeeping methods, </w:t>
      </w:r>
      <w:r w:rsidR="006B3FAE">
        <w:rPr>
          <w:color w:val="000000" w:themeColor="text1"/>
        </w:rPr>
        <w:t xml:space="preserve">we </w:t>
      </w:r>
      <w:r w:rsidRPr="00B71F4A">
        <w:rPr>
          <w:color w:val="000000" w:themeColor="text1"/>
        </w:rPr>
        <w:t>believe all respondents will use electronic means to fulfill the information collection requirements.</w:t>
      </w:r>
      <w:r w:rsidR="006B3FAE">
        <w:rPr>
          <w:color w:val="000000" w:themeColor="text1"/>
        </w:rPr>
        <w:t xml:space="preserve"> </w:t>
      </w:r>
      <w:r w:rsidRPr="00866ACF">
        <w:t xml:space="preserve">To comply with the requirements in </w:t>
      </w:r>
      <w:r w:rsidR="004270E1">
        <w:t xml:space="preserve">21 CFR part 230, </w:t>
      </w:r>
      <w:r w:rsidR="00E76D23">
        <w:t>applicants</w:t>
      </w:r>
      <w:r w:rsidR="004270E1">
        <w:t xml:space="preserve"> </w:t>
      </w:r>
      <w:r w:rsidRPr="00866ACF">
        <w:t xml:space="preserve">submit certification requests either in an appropriate electronic format </w:t>
      </w:r>
      <w:r w:rsidRPr="00866ACF" w:rsidR="00416C36">
        <w:t xml:space="preserve">through the NextGen portal </w:t>
      </w:r>
      <w:r w:rsidRPr="00866ACF">
        <w:t>or by submitting two paper copies of a signed, completed certification request form</w:t>
      </w:r>
      <w:r w:rsidR="00274818">
        <w:t xml:space="preserve"> (</w:t>
      </w:r>
      <w:r w:rsidRPr="00BC7B5A" w:rsidR="00866B4C">
        <w:rPr>
          <w:b/>
          <w:bCs/>
        </w:rPr>
        <w:t>F</w:t>
      </w:r>
      <w:r w:rsidRPr="00BC7B5A" w:rsidR="00274818">
        <w:rPr>
          <w:b/>
          <w:bCs/>
        </w:rPr>
        <w:t>orm FDA 3864</w:t>
      </w:r>
      <w:r w:rsidR="00274818">
        <w:t>)</w:t>
      </w:r>
      <w:r w:rsidRPr="00866ACF">
        <w:t xml:space="preserve"> to our Center for Drug Evaluatio</w:t>
      </w:r>
      <w:r w:rsidRPr="000D1946">
        <w:t>n and Research’s (CDER’s)</w:t>
      </w:r>
      <w:r w:rsidRPr="000D1946" w:rsidR="008B3296">
        <w:t xml:space="preserve"> </w:t>
      </w:r>
      <w:r w:rsidRPr="000D1946" w:rsidR="009037BA">
        <w:t>Central Document Room, 5901B</w:t>
      </w:r>
      <w:r w:rsidRPr="000D1946" w:rsidR="000D1946">
        <w:t xml:space="preserve"> </w:t>
      </w:r>
      <w:r w:rsidRPr="000D1946" w:rsidR="009037BA">
        <w:t>Ammendale Road, Beltsville, MD 20705</w:t>
      </w:r>
      <w:r w:rsidRPr="000D1946" w:rsidR="000D1946">
        <w:t>.</w:t>
      </w:r>
      <w:r w:rsidR="004270E1">
        <w:t xml:space="preserve">  </w:t>
      </w:r>
    </w:p>
    <w:p w:rsidR="00E61121" w:rsidRPr="00B71F4A" w:rsidP="00EB6A04" w14:paraId="368F430A" w14:textId="77777777">
      <w:pPr>
        <w:pStyle w:val="BodyText"/>
        <w:spacing w:after="0"/>
        <w:rPr>
          <w:color w:val="000000" w:themeColor="text1"/>
        </w:rPr>
      </w:pPr>
    </w:p>
    <w:p w:rsidR="00E61121" w:rsidRPr="00B71F4A" w:rsidP="00EB6A04" w14:paraId="310B9E1E" w14:textId="77777777">
      <w:pPr>
        <w:pStyle w:val="BodyText"/>
        <w:numPr>
          <w:ilvl w:val="0"/>
          <w:numId w:val="6"/>
        </w:numPr>
        <w:spacing w:after="0"/>
        <w:ind w:left="0"/>
        <w:rPr>
          <w:color w:val="000000" w:themeColor="text1"/>
        </w:rPr>
      </w:pPr>
      <w:r w:rsidRPr="00B71F4A">
        <w:rPr>
          <w:rFonts w:eastAsia="Calibri"/>
          <w:color w:val="000000" w:themeColor="text1"/>
          <w:u w:val="single"/>
        </w:rPr>
        <w:t xml:space="preserve">Efforts to Identify Duplication and Use of Similar Information </w:t>
      </w:r>
    </w:p>
    <w:p w:rsidR="00E61121" w:rsidRPr="00B71F4A" w:rsidP="00EB6A04" w14:paraId="25BDA351" w14:textId="77777777">
      <w:pPr>
        <w:pStyle w:val="BodyText"/>
        <w:spacing w:after="0"/>
        <w:rPr>
          <w:color w:val="000000" w:themeColor="text1"/>
        </w:rPr>
      </w:pPr>
    </w:p>
    <w:p w:rsidR="00E61121" w:rsidRPr="00B71F4A" w:rsidP="00EB6A04" w14:paraId="2A91F328" w14:textId="370E3FB5">
      <w:pPr>
        <w:pStyle w:val="BodyText"/>
        <w:spacing w:after="0"/>
        <w:rPr>
          <w:lang w:val="en"/>
        </w:rPr>
      </w:pPr>
      <w:r w:rsidRPr="00B71F4A">
        <w:rPr>
          <w:color w:val="000000" w:themeColor="text1"/>
        </w:rPr>
        <w:t xml:space="preserve">We are unaware of duplicative information.  </w:t>
      </w:r>
      <w:r w:rsidRPr="00B71F4A">
        <w:rPr>
          <w:lang w:val="en"/>
        </w:rPr>
        <w:t xml:space="preserve">We are establishing the information collection to support new regulatory requirements.  </w:t>
      </w:r>
    </w:p>
    <w:p w:rsidR="00E61121" w:rsidRPr="00B71F4A" w:rsidP="00EB6A04" w14:paraId="3C2A08D1" w14:textId="77777777">
      <w:pPr>
        <w:rPr>
          <w:color w:val="000000" w:themeColor="text1"/>
          <w:lang w:val="en"/>
        </w:rPr>
      </w:pPr>
    </w:p>
    <w:p w:rsidR="00E61121" w:rsidRPr="00B71F4A" w:rsidP="00EB6A04" w14:paraId="33A1181D" w14:textId="77777777">
      <w:pPr>
        <w:numPr>
          <w:ilvl w:val="0"/>
          <w:numId w:val="6"/>
        </w:numPr>
        <w:ind w:left="0"/>
        <w:rPr>
          <w:rFonts w:eastAsia="Calibri"/>
          <w:color w:val="000000" w:themeColor="text1"/>
        </w:rPr>
      </w:pPr>
      <w:r w:rsidRPr="00B71F4A">
        <w:rPr>
          <w:rFonts w:eastAsia="Calibri"/>
          <w:color w:val="000000" w:themeColor="text1"/>
          <w:u w:val="single"/>
        </w:rPr>
        <w:t>Impact on Small Businesses or Other Small Entities</w:t>
      </w:r>
    </w:p>
    <w:p w:rsidR="00E61121" w:rsidRPr="00B71F4A" w:rsidP="00EB6A04" w14:paraId="4626D060" w14:textId="77777777">
      <w:pPr>
        <w:rPr>
          <w:rFonts w:eastAsia="Calibri"/>
          <w:color w:val="000000" w:themeColor="text1"/>
        </w:rPr>
      </w:pPr>
    </w:p>
    <w:p w:rsidR="00E61121" w:rsidRPr="00B71F4A" w:rsidP="00EB6A04" w14:paraId="5A14C36C" w14:textId="3000D96E">
      <w:pPr>
        <w:rPr>
          <w:rFonts w:eastAsia="Calibri"/>
          <w:color w:val="000000" w:themeColor="text1"/>
        </w:rPr>
      </w:pPr>
      <w:r w:rsidRPr="00B71F4A">
        <w:rPr>
          <w:rFonts w:eastAsia="Calibri"/>
          <w:color w:val="000000" w:themeColor="text1"/>
        </w:rPr>
        <w:t xml:space="preserve">The information collection poses no undue burden on small entities.  At the same time, we assist small businesses by providing resources on our website at </w:t>
      </w:r>
      <w:hyperlink r:id="rId5" w:history="1">
        <w:r w:rsidRPr="00B71F4A">
          <w:rPr>
            <w:rStyle w:val="Hyperlink"/>
            <w:rFonts w:eastAsia="Calibri"/>
            <w:color w:val="000000" w:themeColor="text1"/>
          </w:rPr>
          <w:t>https://www.fda.gov/industry/small-business-assistance</w:t>
        </w:r>
      </w:hyperlink>
      <w:r w:rsidRPr="00B71F4A">
        <w:rPr>
          <w:rFonts w:eastAsia="Calibri"/>
          <w:color w:val="000000" w:themeColor="text1"/>
        </w:rPr>
        <w:t xml:space="preserve"> or </w:t>
      </w:r>
      <w:r w:rsidRPr="00B71F4A" w:rsidR="00416C36">
        <w:rPr>
          <w:rFonts w:eastAsia="Calibri"/>
          <w:color w:val="000000" w:themeColor="text1"/>
        </w:rPr>
        <w:t xml:space="preserve">for human drug products by </w:t>
      </w:r>
      <w:r w:rsidRPr="00B71F4A">
        <w:rPr>
          <w:rFonts w:eastAsia="Calibri"/>
          <w:color w:val="000000" w:themeColor="text1"/>
        </w:rPr>
        <w:t>contacting our staff in the CDER</w:t>
      </w:r>
      <w:r w:rsidRPr="00B71F4A" w:rsidR="00416C36">
        <w:rPr>
          <w:rFonts w:eastAsia="Calibri"/>
          <w:color w:val="000000" w:themeColor="text1"/>
        </w:rPr>
        <w:t xml:space="preserve"> or for animal drug products by contacting the Center for Veterinary Medicine (CVM) at </w:t>
      </w:r>
      <w:r w:rsidRPr="00B71F4A" w:rsidR="00416C36">
        <w:rPr>
          <w:i/>
          <w:iCs/>
          <w:color w:val="000000" w:themeColor="text1"/>
        </w:rPr>
        <w:t>AskCVM@fda.hhs.gov</w:t>
      </w:r>
      <w:r w:rsidRPr="00B71F4A">
        <w:rPr>
          <w:rFonts w:eastAsia="Calibri"/>
          <w:color w:val="000000" w:themeColor="text1"/>
        </w:rPr>
        <w:t>.  Additionally, consistent with our analysis of impacts, we believe the regulations are better tailored for medical gases and may create small net cost savings for small entities.</w:t>
      </w:r>
    </w:p>
    <w:p w:rsidR="00E61121" w:rsidRPr="00B71F4A" w:rsidP="00EB6A04" w14:paraId="6999EA30" w14:textId="77777777">
      <w:pPr>
        <w:rPr>
          <w:rFonts w:eastAsia="Calibri"/>
          <w:color w:val="000000" w:themeColor="text1"/>
        </w:rPr>
      </w:pPr>
    </w:p>
    <w:p w:rsidR="00E61121" w:rsidRPr="00B71F4A" w:rsidP="00EB6A04" w14:paraId="50BA191D" w14:textId="77777777">
      <w:pPr>
        <w:numPr>
          <w:ilvl w:val="0"/>
          <w:numId w:val="6"/>
        </w:numPr>
        <w:ind w:left="0"/>
        <w:rPr>
          <w:rFonts w:eastAsia="Calibri"/>
          <w:color w:val="000000" w:themeColor="text1"/>
          <w:u w:val="single"/>
        </w:rPr>
      </w:pPr>
      <w:r w:rsidRPr="00B71F4A">
        <w:rPr>
          <w:rFonts w:eastAsia="Calibri"/>
          <w:color w:val="000000" w:themeColor="text1"/>
          <w:u w:val="single"/>
        </w:rPr>
        <w:t>Consequences of Collecting the Information Less Frequently</w:t>
      </w:r>
    </w:p>
    <w:p w:rsidR="00E61121" w:rsidRPr="00B71F4A" w:rsidP="00EB6A04" w14:paraId="0E625A09" w14:textId="77777777">
      <w:pPr>
        <w:autoSpaceDE w:val="0"/>
        <w:autoSpaceDN w:val="0"/>
        <w:adjustRightInd w:val="0"/>
        <w:rPr>
          <w:color w:val="000000" w:themeColor="text1"/>
        </w:rPr>
      </w:pPr>
    </w:p>
    <w:p w:rsidR="00E61121" w:rsidRPr="00B71F4A" w:rsidP="00EB6A04" w14:paraId="6E24BF58" w14:textId="6DA57B9D">
      <w:pPr>
        <w:autoSpaceDE w:val="0"/>
        <w:autoSpaceDN w:val="0"/>
        <w:adjustRightInd w:val="0"/>
        <w:rPr>
          <w:color w:val="000000" w:themeColor="text1"/>
        </w:rPr>
      </w:pPr>
      <w:r w:rsidRPr="00B71F4A">
        <w:rPr>
          <w:color w:val="000000" w:themeColor="text1"/>
        </w:rPr>
        <w:t>The information collection schedule is consistent with statutory and regulatory</w:t>
      </w:r>
      <w:r w:rsidR="004270E1">
        <w:rPr>
          <w:color w:val="000000" w:themeColor="text1"/>
        </w:rPr>
        <w:t xml:space="preserve"> authorities</w:t>
      </w:r>
      <w:r w:rsidR="002348C4">
        <w:rPr>
          <w:color w:val="000000" w:themeColor="text1"/>
        </w:rPr>
        <w:t>.</w:t>
      </w:r>
      <w:r w:rsidRPr="00B71F4A">
        <w:rPr>
          <w:color w:val="000000" w:themeColor="text1"/>
        </w:rPr>
        <w:t xml:space="preserve"> </w:t>
      </w:r>
    </w:p>
    <w:p w:rsidR="00E61121" w:rsidRPr="00B71F4A" w:rsidP="00EB6A04" w14:paraId="12CD7607" w14:textId="77777777">
      <w:pPr>
        <w:autoSpaceDE w:val="0"/>
        <w:autoSpaceDN w:val="0"/>
        <w:adjustRightInd w:val="0"/>
        <w:rPr>
          <w:color w:val="000000" w:themeColor="text1"/>
        </w:rPr>
      </w:pPr>
    </w:p>
    <w:p w:rsidR="00E61121" w:rsidRPr="00B71F4A" w:rsidP="00EB6A04" w14:paraId="6F35A31C" w14:textId="77777777">
      <w:pPr>
        <w:numPr>
          <w:ilvl w:val="0"/>
          <w:numId w:val="6"/>
        </w:numPr>
        <w:ind w:left="0"/>
        <w:rPr>
          <w:rFonts w:eastAsia="Calibri"/>
          <w:color w:val="000000" w:themeColor="text1"/>
          <w:u w:val="single"/>
        </w:rPr>
      </w:pPr>
      <w:r w:rsidRPr="00B71F4A">
        <w:rPr>
          <w:rFonts w:eastAsia="Calibri"/>
          <w:color w:val="000000" w:themeColor="text1"/>
          <w:u w:val="single"/>
        </w:rPr>
        <w:t>Special Circumstances Relating to the Guidelines of 5 CFR 1320.5</w:t>
      </w:r>
    </w:p>
    <w:p w:rsidR="00E61121" w:rsidRPr="00B71F4A" w:rsidP="00EB6A04" w14:paraId="77BF6EB1" w14:textId="77777777">
      <w:pPr>
        <w:rPr>
          <w:rFonts w:ascii="TimesNewRomanPSMT" w:hAnsi="TimesNewRomanPSMT" w:cs="TimesNewRomanPSMT"/>
          <w:color w:val="000000" w:themeColor="text1"/>
        </w:rPr>
      </w:pPr>
    </w:p>
    <w:p w:rsidR="00E61121" w:rsidRPr="00F41B2F" w:rsidP="00EB6A04" w14:paraId="06067085" w14:textId="77777777">
      <w:pPr>
        <w:rPr>
          <w:color w:val="000000" w:themeColor="text1"/>
        </w:rPr>
      </w:pPr>
      <w:r w:rsidRPr="00F41B2F">
        <w:rPr>
          <w:color w:val="000000" w:themeColor="text1"/>
        </w:rPr>
        <w:t>No special circumstances are associated with this collection of information.</w:t>
      </w:r>
    </w:p>
    <w:p w:rsidR="00E61121" w:rsidRPr="00B71F4A" w:rsidP="00EB6A04" w14:paraId="4017474D" w14:textId="77777777">
      <w:pPr>
        <w:rPr>
          <w:rFonts w:eastAsia="Calibri"/>
          <w:color w:val="000000" w:themeColor="text1"/>
        </w:rPr>
      </w:pPr>
    </w:p>
    <w:p w:rsidR="00E61121" w:rsidRPr="00B71F4A" w:rsidP="00EB6A04" w14:paraId="58173C86" w14:textId="77777777">
      <w:pPr>
        <w:pStyle w:val="ListParagraph"/>
        <w:numPr>
          <w:ilvl w:val="0"/>
          <w:numId w:val="6"/>
        </w:numPr>
        <w:ind w:left="0"/>
        <w:rPr>
          <w:rFonts w:eastAsia="Calibri"/>
          <w:color w:val="000000" w:themeColor="text1"/>
        </w:rPr>
      </w:pPr>
      <w:r w:rsidRPr="00B71F4A">
        <w:rPr>
          <w:rFonts w:eastAsia="Calibri"/>
          <w:color w:val="000000" w:themeColor="text1"/>
          <w:u w:val="single"/>
        </w:rPr>
        <w:t>Comments in Response to the Federal Register Notice and Efforts to Consult Outside the Agency</w:t>
      </w:r>
    </w:p>
    <w:p w:rsidR="00E61121" w:rsidRPr="00B71F4A" w:rsidP="00EB6A04" w14:paraId="0E79BB92" w14:textId="77777777">
      <w:pPr>
        <w:pStyle w:val="CommentText"/>
        <w:rPr>
          <w:color w:val="000000" w:themeColor="text1"/>
          <w:sz w:val="24"/>
          <w:szCs w:val="24"/>
        </w:rPr>
      </w:pPr>
    </w:p>
    <w:p w:rsidR="001F742B" w:rsidRPr="00B71F4A" w:rsidP="00EB6A04" w14:paraId="071031F3" w14:textId="37A2CDF8">
      <w:pPr>
        <w:pStyle w:val="CommentText"/>
        <w:rPr>
          <w:color w:val="000000" w:themeColor="text1"/>
          <w:sz w:val="24"/>
          <w:szCs w:val="24"/>
        </w:rPr>
      </w:pPr>
      <w:r>
        <w:rPr>
          <w:color w:val="000000" w:themeColor="text1"/>
          <w:sz w:val="24"/>
          <w:szCs w:val="24"/>
        </w:rPr>
        <w:t xml:space="preserve">In accordance with </w:t>
      </w:r>
      <w:r w:rsidRPr="00B71F4A">
        <w:rPr>
          <w:color w:val="000000" w:themeColor="text1"/>
          <w:sz w:val="24"/>
          <w:szCs w:val="24"/>
        </w:rPr>
        <w:t xml:space="preserve">section 3506(c)(2)(B) of the Paperwork Reduction Act of 1995 (PRA), </w:t>
      </w:r>
      <w:r w:rsidR="00E36B5F">
        <w:rPr>
          <w:color w:val="000000" w:themeColor="text1"/>
          <w:sz w:val="24"/>
          <w:szCs w:val="24"/>
        </w:rPr>
        <w:t xml:space="preserve">FDA </w:t>
      </w:r>
      <w:r w:rsidRPr="00B71F4A">
        <w:rPr>
          <w:color w:val="000000" w:themeColor="text1"/>
          <w:sz w:val="24"/>
          <w:szCs w:val="24"/>
        </w:rPr>
        <w:t xml:space="preserve">published a proposed rule </w:t>
      </w:r>
      <w:r w:rsidR="00E55ECD">
        <w:rPr>
          <w:color w:val="000000" w:themeColor="text1"/>
          <w:sz w:val="24"/>
          <w:szCs w:val="24"/>
        </w:rPr>
        <w:t xml:space="preserve">in the Federal Register of </w:t>
      </w:r>
      <w:r w:rsidR="00577EB8">
        <w:rPr>
          <w:color w:val="000000" w:themeColor="text1"/>
          <w:sz w:val="24"/>
          <w:szCs w:val="24"/>
        </w:rPr>
        <w:t>May 23, 2022</w:t>
      </w:r>
      <w:r w:rsidR="00033243">
        <w:rPr>
          <w:color w:val="000000" w:themeColor="text1"/>
          <w:sz w:val="24"/>
          <w:szCs w:val="24"/>
        </w:rPr>
        <w:t>,</w:t>
      </w:r>
      <w:r w:rsidR="00E55ECD">
        <w:rPr>
          <w:color w:val="000000" w:themeColor="text1"/>
          <w:sz w:val="24"/>
          <w:szCs w:val="24"/>
        </w:rPr>
        <w:t xml:space="preserve"> and </w:t>
      </w:r>
      <w:r w:rsidRPr="00B71F4A">
        <w:rPr>
          <w:color w:val="000000" w:themeColor="text1"/>
          <w:sz w:val="24"/>
          <w:szCs w:val="24"/>
        </w:rPr>
        <w:t>request</w:t>
      </w:r>
      <w:r w:rsidR="00E55ECD">
        <w:rPr>
          <w:color w:val="000000" w:themeColor="text1"/>
          <w:sz w:val="24"/>
          <w:szCs w:val="24"/>
        </w:rPr>
        <w:t>ed</w:t>
      </w:r>
      <w:r w:rsidRPr="00B71F4A">
        <w:rPr>
          <w:color w:val="000000" w:themeColor="text1"/>
          <w:sz w:val="24"/>
          <w:szCs w:val="24"/>
        </w:rPr>
        <w:t xml:space="preserve"> public comments</w:t>
      </w:r>
      <w:r w:rsidR="00E55ECD">
        <w:rPr>
          <w:color w:val="000000" w:themeColor="text1"/>
          <w:sz w:val="24"/>
          <w:szCs w:val="24"/>
        </w:rPr>
        <w:t xml:space="preserve"> on the proposed information collection</w:t>
      </w:r>
      <w:r w:rsidRPr="00B71F4A">
        <w:rPr>
          <w:color w:val="000000" w:themeColor="text1"/>
          <w:sz w:val="24"/>
          <w:szCs w:val="24"/>
        </w:rPr>
        <w:t xml:space="preserve">.  Comments received </w:t>
      </w:r>
      <w:r w:rsidR="00E55ECD">
        <w:rPr>
          <w:color w:val="000000" w:themeColor="text1"/>
          <w:sz w:val="24"/>
          <w:szCs w:val="24"/>
        </w:rPr>
        <w:t xml:space="preserve">are discussed </w:t>
      </w:r>
      <w:r w:rsidRPr="00B71F4A">
        <w:rPr>
          <w:color w:val="000000" w:themeColor="text1"/>
          <w:sz w:val="24"/>
          <w:szCs w:val="24"/>
        </w:rPr>
        <w:t xml:space="preserve">in the </w:t>
      </w:r>
      <w:r w:rsidR="00E635D3">
        <w:rPr>
          <w:color w:val="000000" w:themeColor="text1"/>
          <w:sz w:val="24"/>
          <w:szCs w:val="24"/>
        </w:rPr>
        <w:t>p</w:t>
      </w:r>
      <w:r w:rsidRPr="00B71F4A">
        <w:rPr>
          <w:color w:val="000000" w:themeColor="text1"/>
          <w:sz w:val="24"/>
          <w:szCs w:val="24"/>
        </w:rPr>
        <w:t>reamble to the final rule along with a</w:t>
      </w:r>
      <w:r w:rsidR="00E55ECD">
        <w:rPr>
          <w:color w:val="000000" w:themeColor="text1"/>
          <w:sz w:val="24"/>
          <w:szCs w:val="24"/>
        </w:rPr>
        <w:t xml:space="preserve"> Final Regulatory Impact Analysis (FRIA).</w:t>
      </w:r>
    </w:p>
    <w:p w:rsidR="00E61121" w:rsidRPr="00B71F4A" w:rsidP="00EB6A04" w14:paraId="5C30FAC4" w14:textId="77777777">
      <w:pPr>
        <w:pStyle w:val="CommentText"/>
        <w:rPr>
          <w:color w:val="000000" w:themeColor="text1"/>
          <w:sz w:val="24"/>
          <w:szCs w:val="24"/>
        </w:rPr>
      </w:pPr>
    </w:p>
    <w:p w:rsidR="00E61121" w:rsidRPr="001D1B30" w:rsidP="00EB6A04" w14:paraId="5E112B1C" w14:textId="77777777">
      <w:pPr>
        <w:pStyle w:val="ListParagraph"/>
        <w:numPr>
          <w:ilvl w:val="0"/>
          <w:numId w:val="6"/>
        </w:numPr>
        <w:ind w:left="0"/>
        <w:rPr>
          <w:rFonts w:eastAsia="Calibri"/>
          <w:color w:val="000000" w:themeColor="text1"/>
          <w:u w:val="single"/>
        </w:rPr>
      </w:pPr>
      <w:r w:rsidRPr="001D1B30">
        <w:rPr>
          <w:rFonts w:eastAsia="Calibri"/>
          <w:color w:val="000000" w:themeColor="text1"/>
          <w:u w:val="single"/>
        </w:rPr>
        <w:t>Explanation of Any Payment or Gift to Respondents</w:t>
      </w:r>
    </w:p>
    <w:p w:rsidR="00E61121" w:rsidRPr="00B71F4A" w:rsidP="00EB6A04" w14:paraId="53AFBF51" w14:textId="77777777">
      <w:pPr>
        <w:pStyle w:val="ListParagraph"/>
        <w:ind w:left="0"/>
        <w:rPr>
          <w:rFonts w:eastAsia="Calibri"/>
          <w:color w:val="000000" w:themeColor="text1"/>
        </w:rPr>
      </w:pPr>
    </w:p>
    <w:p w:rsidR="00E61121" w:rsidRPr="00B71F4A" w:rsidP="00EB6A04" w14:paraId="184B60B8" w14:textId="3A46B96F">
      <w:pPr>
        <w:pStyle w:val="ListParagraph"/>
        <w:ind w:left="0"/>
        <w:rPr>
          <w:rFonts w:eastAsia="Calibri"/>
          <w:color w:val="000000" w:themeColor="text1"/>
        </w:rPr>
      </w:pPr>
      <w:r>
        <w:rPr>
          <w:rFonts w:eastAsia="Calibri"/>
          <w:color w:val="000000" w:themeColor="text1"/>
        </w:rPr>
        <w:t>No remuneration is pro</w:t>
      </w:r>
      <w:r w:rsidR="00E712F0">
        <w:rPr>
          <w:rFonts w:eastAsia="Calibri"/>
          <w:color w:val="000000" w:themeColor="text1"/>
        </w:rPr>
        <w:t>vided to respondents.</w:t>
      </w:r>
    </w:p>
    <w:p w:rsidR="00E61121" w:rsidRPr="00B71F4A" w:rsidP="00EB6A04" w14:paraId="1ECA219A" w14:textId="77777777">
      <w:pPr>
        <w:rPr>
          <w:rFonts w:eastAsia="Calibri"/>
          <w:i/>
          <w:color w:val="000000" w:themeColor="text1"/>
        </w:rPr>
      </w:pPr>
    </w:p>
    <w:p w:rsidR="00E61121" w:rsidRPr="00B71F4A" w:rsidP="00EB6A04" w14:paraId="4B77D19C" w14:textId="1C5EFA08">
      <w:pPr>
        <w:numPr>
          <w:ilvl w:val="0"/>
          <w:numId w:val="6"/>
        </w:numPr>
        <w:ind w:left="0"/>
        <w:rPr>
          <w:rFonts w:eastAsia="Calibri"/>
          <w:color w:val="000000" w:themeColor="text1"/>
        </w:rPr>
      </w:pPr>
      <w:r>
        <w:rPr>
          <w:rFonts w:eastAsia="Calibri"/>
          <w:color w:val="000000" w:themeColor="text1"/>
          <w:u w:val="single"/>
        </w:rPr>
        <w:t>As</w:t>
      </w:r>
      <w:r w:rsidRPr="00B71F4A">
        <w:rPr>
          <w:rFonts w:eastAsia="Calibri"/>
          <w:color w:val="000000" w:themeColor="text1"/>
          <w:u w:val="single"/>
        </w:rPr>
        <w:t>surance of Confidentiality Provided to Respondents</w:t>
      </w:r>
    </w:p>
    <w:p w:rsidR="00E61121" w:rsidRPr="00B71F4A" w:rsidP="00EB6A04" w14:paraId="4EB11E25" w14:textId="77777777">
      <w:pPr>
        <w:rPr>
          <w:rFonts w:eastAsia="Calibri"/>
          <w:color w:val="000000" w:themeColor="text1"/>
        </w:rPr>
      </w:pPr>
    </w:p>
    <w:p w:rsidR="00D740CE" w:rsidRPr="001102E2" w:rsidP="00EB6A04" w14:paraId="1BCCB36E" w14:textId="77777777">
      <w:pPr>
        <w:rPr>
          <w:rFonts w:eastAsia="Calibri"/>
          <w:i/>
          <w:iCs/>
          <w:color w:val="000000" w:themeColor="text1"/>
        </w:rPr>
      </w:pPr>
      <w:r w:rsidRPr="001102E2">
        <w:rPr>
          <w:rFonts w:eastAsia="Calibri"/>
          <w:i/>
          <w:iCs/>
          <w:color w:val="000000" w:themeColor="text1"/>
        </w:rPr>
        <w:t>The Privacy Act of 1974</w:t>
      </w:r>
    </w:p>
    <w:p w:rsidR="00D740CE" w:rsidP="00EB6A04" w14:paraId="3123F6B0" w14:textId="77777777">
      <w:pPr>
        <w:rPr>
          <w:rFonts w:eastAsia="Calibri"/>
          <w:color w:val="000000" w:themeColor="text1"/>
        </w:rPr>
      </w:pPr>
    </w:p>
    <w:p w:rsidR="00E61121" w:rsidRPr="00B71F4A" w:rsidP="00EB6A04" w14:paraId="7BDE4E6D" w14:textId="7983B12B">
      <w:pPr>
        <w:rPr>
          <w:rFonts w:eastAsia="Calibri"/>
          <w:color w:val="000000" w:themeColor="text1"/>
        </w:rPr>
      </w:pPr>
      <w:r w:rsidRPr="5539EFB9">
        <w:rPr>
          <w:rFonts w:eastAsia="Calibri"/>
          <w:color w:val="000000" w:themeColor="text1"/>
        </w:rPr>
        <w:t>In preparing this supporting statement, we consulted with our Privacy Office to ensure</w:t>
      </w:r>
      <w:r w:rsidR="00E635D3">
        <w:rPr>
          <w:rFonts w:eastAsia="Calibri"/>
          <w:color w:val="000000" w:themeColor="text1"/>
        </w:rPr>
        <w:t xml:space="preserve"> appropriate handling of information received:</w:t>
      </w:r>
    </w:p>
    <w:p w:rsidR="00E61121" w:rsidRPr="00B71F4A" w:rsidP="00EB6A04" w14:paraId="1A739566" w14:textId="77777777">
      <w:pPr>
        <w:rPr>
          <w:rFonts w:eastAsia="Calibri"/>
          <w:color w:val="000000" w:themeColor="text1"/>
        </w:rPr>
      </w:pPr>
    </w:p>
    <w:p w:rsidR="00E61121" w:rsidRPr="00B71F4A" w:rsidP="00EB6A04" w14:paraId="5F372FD0" w14:textId="201E91AA">
      <w:pPr>
        <w:rPr>
          <w:rFonts w:eastAsia="Calibri"/>
          <w:color w:val="000000" w:themeColor="text1"/>
        </w:rPr>
      </w:pPr>
      <w:r>
        <w:rPr>
          <w:rFonts w:eastAsia="Calibri"/>
          <w:color w:val="000000" w:themeColor="text1"/>
        </w:rPr>
        <w:t>I</w:t>
      </w:r>
      <w:r w:rsidRPr="00B71F4A">
        <w:rPr>
          <w:rFonts w:eastAsia="Calibri"/>
          <w:color w:val="000000" w:themeColor="text1"/>
        </w:rPr>
        <w:t xml:space="preserve">nformation collection associated with </w:t>
      </w:r>
      <w:r>
        <w:rPr>
          <w:rFonts w:eastAsia="Calibri"/>
          <w:color w:val="000000" w:themeColor="text1"/>
        </w:rPr>
        <w:t xml:space="preserve">21 CFR </w:t>
      </w:r>
      <w:r w:rsidRPr="00B71F4A">
        <w:rPr>
          <w:rFonts w:eastAsia="Calibri"/>
          <w:color w:val="000000" w:themeColor="text1"/>
        </w:rPr>
        <w:t xml:space="preserve">part </w:t>
      </w:r>
      <w:r>
        <w:rPr>
          <w:rFonts w:eastAsia="Calibri"/>
          <w:color w:val="000000" w:themeColor="text1"/>
        </w:rPr>
        <w:t xml:space="preserve">213 </w:t>
      </w:r>
      <w:r w:rsidRPr="00B71F4A">
        <w:rPr>
          <w:rFonts w:eastAsia="Calibri"/>
          <w:color w:val="000000" w:themeColor="text1"/>
        </w:rPr>
        <w:t>may include personally identifiable information (PII) consisting of work-related contact information and information in a resumé that is necessary when hiring qualified applicants, such as the applicant’s name, home address, and employment qualifications.  Collected information is stored at the vendor facility (compliant with the recordkeeping requirements) and is not sent to FDA.</w:t>
      </w:r>
      <w:r>
        <w:rPr>
          <w:rFonts w:eastAsia="Calibri"/>
          <w:color w:val="000000" w:themeColor="text1"/>
        </w:rPr>
        <w:t xml:space="preserve">  </w:t>
      </w:r>
      <w:r w:rsidRPr="00B71F4A">
        <w:rPr>
          <w:rFonts w:eastAsia="Calibri"/>
          <w:color w:val="000000" w:themeColor="text1"/>
        </w:rPr>
        <w:t>This information collection is not subject to the Privacy Act.</w:t>
      </w:r>
      <w:r w:rsidR="002860CC">
        <w:rPr>
          <w:rFonts w:eastAsia="Calibri"/>
          <w:color w:val="000000" w:themeColor="text1"/>
        </w:rPr>
        <w:t xml:space="preserve">  </w:t>
      </w:r>
      <w:r w:rsidRPr="00B71F4A">
        <w:rPr>
          <w:rFonts w:eastAsia="Calibri"/>
          <w:color w:val="000000" w:themeColor="text1"/>
        </w:rPr>
        <w:t>Neither FDA nor the maintaining vendors use name or other PII to retrieve records from the stored collection.</w:t>
      </w:r>
    </w:p>
    <w:p w:rsidR="00E61121" w:rsidRPr="00B71F4A" w:rsidP="00EB6A04" w14:paraId="63321C85" w14:textId="77777777">
      <w:pPr>
        <w:rPr>
          <w:rFonts w:eastAsia="Calibri"/>
          <w:color w:val="000000" w:themeColor="text1"/>
        </w:rPr>
      </w:pPr>
    </w:p>
    <w:p w:rsidR="00AD2748" w:rsidP="00EB6A04" w14:paraId="5D9FCF01" w14:textId="77777777">
      <w:pPr>
        <w:rPr>
          <w:rFonts w:eastAsia="Calibri"/>
          <w:color w:val="000000" w:themeColor="text1"/>
        </w:rPr>
      </w:pPr>
      <w:r>
        <w:rPr>
          <w:rFonts w:eastAsia="Calibri"/>
          <w:color w:val="000000" w:themeColor="text1"/>
        </w:rPr>
        <w:t>I</w:t>
      </w:r>
      <w:r w:rsidRPr="00B71F4A" w:rsidR="00E61121">
        <w:rPr>
          <w:rFonts w:eastAsia="Calibri"/>
          <w:color w:val="000000" w:themeColor="text1"/>
        </w:rPr>
        <w:t xml:space="preserve">nformation collection associated with </w:t>
      </w:r>
      <w:r>
        <w:rPr>
          <w:rFonts w:eastAsia="Calibri"/>
          <w:color w:val="000000" w:themeColor="text1"/>
        </w:rPr>
        <w:t xml:space="preserve">21 CFR </w:t>
      </w:r>
      <w:r w:rsidRPr="00B71F4A" w:rsidR="00E61121">
        <w:rPr>
          <w:rFonts w:eastAsia="Calibri"/>
          <w:color w:val="000000" w:themeColor="text1"/>
        </w:rPr>
        <w:t>part 230</w:t>
      </w:r>
      <w:r>
        <w:rPr>
          <w:rFonts w:eastAsia="Calibri"/>
          <w:color w:val="000000" w:themeColor="text1"/>
        </w:rPr>
        <w:t xml:space="preserve"> includes the following forms:</w:t>
      </w:r>
    </w:p>
    <w:p w:rsidR="00AD2748" w:rsidP="00EB6A04" w14:paraId="4C1D036F" w14:textId="77777777">
      <w:pPr>
        <w:rPr>
          <w:rFonts w:eastAsia="Calibri"/>
          <w:color w:val="000000" w:themeColor="text1"/>
        </w:rPr>
      </w:pPr>
    </w:p>
    <w:p w:rsidR="00AD2748" w:rsidRPr="00642068" w:rsidP="00EB6A04" w14:paraId="1816964D" w14:textId="5E7E5EAB">
      <w:pPr>
        <w:pStyle w:val="ListParagraph"/>
        <w:numPr>
          <w:ilvl w:val="0"/>
          <w:numId w:val="77"/>
        </w:numPr>
        <w:rPr>
          <w:rFonts w:eastAsia="Calibri"/>
          <w:color w:val="000000" w:themeColor="text1"/>
        </w:rPr>
      </w:pPr>
      <w:r w:rsidRPr="00642068">
        <w:rPr>
          <w:rFonts w:eastAsia="Calibri"/>
          <w:b/>
          <w:bCs/>
          <w:color w:val="000000" w:themeColor="text1"/>
        </w:rPr>
        <w:t>Form FDA 5025</w:t>
      </w:r>
      <w:r w:rsidRPr="00642068" w:rsidR="007A02AF">
        <w:rPr>
          <w:rFonts w:eastAsia="Calibri"/>
          <w:color w:val="000000" w:themeColor="text1"/>
        </w:rPr>
        <w:t xml:space="preserve"> – </w:t>
      </w:r>
      <w:r w:rsidRPr="00642068" w:rsidR="00E61121">
        <w:rPr>
          <w:rFonts w:eastAsia="Calibri"/>
          <w:i/>
          <w:iCs/>
          <w:color w:val="000000" w:themeColor="text1"/>
        </w:rPr>
        <w:t>Annual Report for Designated Medical Gas</w:t>
      </w:r>
      <w:r w:rsidRPr="00642068" w:rsidR="00E61121">
        <w:rPr>
          <w:rFonts w:eastAsia="Calibri"/>
          <w:color w:val="000000" w:themeColor="text1"/>
        </w:rPr>
        <w:t xml:space="preserve"> </w:t>
      </w:r>
      <w:r w:rsidRPr="00642068" w:rsidR="00937B0A">
        <w:rPr>
          <w:rFonts w:eastAsia="Calibri"/>
          <w:color w:val="000000" w:themeColor="text1"/>
        </w:rPr>
        <w:t xml:space="preserve">required by </w:t>
      </w:r>
      <w:r w:rsidRPr="00642068">
        <w:rPr>
          <w:rFonts w:eastAsia="Calibri"/>
          <w:color w:val="000000" w:themeColor="text1"/>
        </w:rPr>
        <w:t>21 CFR 230.80 will collect PII consisting of: (1) name and the following work/professional context contact information about applicants (e.g., the legal person or individual or point of contact at a reporting entity): mailing address, telephone number, email address, fax number, title, and signature, and (2) name, title, signature and telephone number for a representative (if any) of the applicant.</w:t>
      </w:r>
    </w:p>
    <w:p w:rsidR="00AD2748" w:rsidP="00EB6A04" w14:paraId="0E56E6BA" w14:textId="77777777">
      <w:pPr>
        <w:rPr>
          <w:rFonts w:eastAsia="Calibri"/>
          <w:color w:val="000000" w:themeColor="text1"/>
        </w:rPr>
      </w:pPr>
    </w:p>
    <w:p w:rsidR="00E61121" w:rsidRPr="00642068" w:rsidP="00EB6A04" w14:paraId="47A29037" w14:textId="0F480581">
      <w:pPr>
        <w:pStyle w:val="ListParagraph"/>
        <w:numPr>
          <w:ilvl w:val="0"/>
          <w:numId w:val="77"/>
        </w:numPr>
        <w:rPr>
          <w:rFonts w:eastAsia="Calibri"/>
          <w:color w:val="000000" w:themeColor="text1"/>
        </w:rPr>
      </w:pPr>
      <w:r w:rsidRPr="00642068">
        <w:rPr>
          <w:rFonts w:eastAsia="Calibri"/>
          <w:b/>
          <w:bCs/>
          <w:color w:val="000000" w:themeColor="text1"/>
        </w:rPr>
        <w:t xml:space="preserve">Form FDA </w:t>
      </w:r>
      <w:r w:rsidRPr="00642068" w:rsidR="003360CF">
        <w:rPr>
          <w:rFonts w:eastAsia="Calibri"/>
          <w:b/>
          <w:bCs/>
          <w:color w:val="000000" w:themeColor="text1"/>
        </w:rPr>
        <w:t>3864</w:t>
      </w:r>
      <w:r w:rsidRPr="00642068" w:rsidR="007A02AF">
        <w:rPr>
          <w:rFonts w:eastAsia="Calibri"/>
          <w:color w:val="000000" w:themeColor="text1"/>
        </w:rPr>
        <w:t xml:space="preserve"> – </w:t>
      </w:r>
      <w:r w:rsidRPr="00642068">
        <w:rPr>
          <w:rFonts w:eastAsia="Calibri"/>
          <w:i/>
          <w:iCs/>
          <w:color w:val="000000" w:themeColor="text1"/>
        </w:rPr>
        <w:t>Request for Certification of Designated Medical Gas</w:t>
      </w:r>
      <w:r w:rsidRPr="00642068" w:rsidR="00426034">
        <w:rPr>
          <w:rFonts w:eastAsia="Calibri"/>
          <w:color w:val="000000" w:themeColor="text1"/>
        </w:rPr>
        <w:t xml:space="preserve"> </w:t>
      </w:r>
      <w:r w:rsidRPr="00642068" w:rsidR="00F53445">
        <w:rPr>
          <w:rFonts w:eastAsia="Calibri"/>
          <w:color w:val="000000" w:themeColor="text1"/>
        </w:rPr>
        <w:t xml:space="preserve">established </w:t>
      </w:r>
      <w:r w:rsidRPr="00642068" w:rsidR="002075E2">
        <w:rPr>
          <w:rFonts w:eastAsia="Calibri"/>
          <w:color w:val="000000" w:themeColor="text1"/>
        </w:rPr>
        <w:t xml:space="preserve">in 21 CFR 230.50 </w:t>
      </w:r>
      <w:r w:rsidRPr="00642068">
        <w:rPr>
          <w:rFonts w:eastAsia="Calibri"/>
          <w:color w:val="000000" w:themeColor="text1"/>
        </w:rPr>
        <w:t>will collect PII consisting of: (1) name and the following work/professional context contact information about applicants: mailing address, telephone number, email address, fax number, title, and signature, and (2) name, title, signature and telephone number for a representative (if any) of the applicant.</w:t>
      </w:r>
    </w:p>
    <w:p w:rsidR="00E61121" w:rsidRPr="00B71F4A" w:rsidP="00EB6A04" w14:paraId="428362CD" w14:textId="77777777">
      <w:pPr>
        <w:rPr>
          <w:rFonts w:eastAsia="Calibri"/>
          <w:color w:val="000000" w:themeColor="text1"/>
        </w:rPr>
      </w:pPr>
    </w:p>
    <w:p w:rsidR="00E61121" w:rsidRPr="00B71F4A" w:rsidP="00EB6A04" w14:paraId="45721DA0" w14:textId="37B2E390">
      <w:pPr>
        <w:rPr>
          <w:rFonts w:eastAsia="Calibri"/>
          <w:color w:val="000000" w:themeColor="text1"/>
        </w:rPr>
      </w:pPr>
      <w:r>
        <w:rPr>
          <w:rFonts w:eastAsia="Calibri"/>
          <w:color w:val="000000" w:themeColor="text1"/>
        </w:rPr>
        <w:t>Adverse event</w:t>
      </w:r>
      <w:r w:rsidR="00773053">
        <w:rPr>
          <w:rFonts w:eastAsia="Calibri"/>
          <w:color w:val="000000" w:themeColor="text1"/>
        </w:rPr>
        <w:t xml:space="preserve"> reporting will occur </w:t>
      </w:r>
      <w:r w:rsidR="00C631BF">
        <w:rPr>
          <w:rFonts w:eastAsia="Calibri"/>
          <w:color w:val="000000" w:themeColor="text1"/>
        </w:rPr>
        <w:t>through FDA’s Electronic Submissions Gateway to the MedWatch Reporting Portal</w:t>
      </w:r>
      <w:r w:rsidR="00D2062C">
        <w:rPr>
          <w:rFonts w:eastAsia="Calibri"/>
          <w:color w:val="000000" w:themeColor="text1"/>
        </w:rPr>
        <w:t xml:space="preserve">, currently approved in OMB control no. 0910-0291 for paper-based and electronic reporting.  </w:t>
      </w:r>
      <w:r w:rsidRPr="00B71F4A">
        <w:rPr>
          <w:rFonts w:eastAsia="Calibri"/>
          <w:color w:val="000000" w:themeColor="text1"/>
        </w:rPr>
        <w:t>We continue to collect information required for the submission of adverse event reports (AERs) related to the use of a</w:t>
      </w:r>
      <w:r w:rsidR="007852E0">
        <w:rPr>
          <w:rFonts w:eastAsia="Calibri"/>
          <w:color w:val="000000" w:themeColor="text1"/>
        </w:rPr>
        <w:t xml:space="preserve"> DMG</w:t>
      </w:r>
      <w:r w:rsidRPr="00B71F4A">
        <w:rPr>
          <w:rFonts w:eastAsia="Calibri"/>
          <w:color w:val="000000" w:themeColor="text1"/>
        </w:rPr>
        <w:t xml:space="preserve"> in animals and information required for individual case safety reports (ICSRs) related to the use of a </w:t>
      </w:r>
      <w:r w:rsidR="007852E0">
        <w:rPr>
          <w:rFonts w:eastAsia="Calibri"/>
          <w:color w:val="000000" w:themeColor="text1"/>
        </w:rPr>
        <w:t>DMG</w:t>
      </w:r>
      <w:r w:rsidRPr="00B71F4A">
        <w:rPr>
          <w:rFonts w:eastAsia="Calibri"/>
          <w:color w:val="000000" w:themeColor="text1"/>
        </w:rPr>
        <w:t xml:space="preserve"> in humans. </w:t>
      </w:r>
    </w:p>
    <w:p w:rsidR="00E61121" w:rsidRPr="00B71F4A" w:rsidP="00EB6A04" w14:paraId="6E18D7C0" w14:textId="77777777">
      <w:pPr>
        <w:rPr>
          <w:rFonts w:eastAsia="Calibri"/>
          <w:color w:val="000000" w:themeColor="text1"/>
        </w:rPr>
      </w:pPr>
    </w:p>
    <w:p w:rsidR="00E61121" w:rsidRPr="00B71F4A" w:rsidP="00EB6A04" w14:paraId="4A19CCA5" w14:textId="3A8EB1D3">
      <w:pPr>
        <w:rPr>
          <w:rFonts w:eastAsia="Calibri"/>
          <w:color w:val="000000" w:themeColor="text1"/>
        </w:rPr>
      </w:pPr>
      <w:r>
        <w:rPr>
          <w:rFonts w:eastAsia="Calibri"/>
          <w:color w:val="000000" w:themeColor="text1"/>
        </w:rPr>
        <w:t xml:space="preserve">We have </w:t>
      </w:r>
      <w:r w:rsidRPr="00B71F4A">
        <w:rPr>
          <w:rFonts w:eastAsia="Calibri"/>
          <w:color w:val="000000" w:themeColor="text1"/>
        </w:rPr>
        <w:t>determined that none of the collections discussed in this section are subject to the Privacy Act of 1974, and the particular notice and other requirements of the Privacy Act do not apply.</w:t>
      </w:r>
      <w:r w:rsidR="00DD20D5">
        <w:rPr>
          <w:rFonts w:eastAsia="Calibri"/>
          <w:color w:val="000000" w:themeColor="text1"/>
        </w:rPr>
        <w:t xml:space="preserve">  </w:t>
      </w:r>
      <w:r w:rsidRPr="00B71F4A">
        <w:rPr>
          <w:rFonts w:eastAsia="Calibri"/>
          <w:color w:val="000000" w:themeColor="text1"/>
        </w:rPr>
        <w:t>Specifically, FDA (including vendors or service providers acting on behalf of FDA) does not use names or any other personal identifiers to retrieve records from the information collected.</w:t>
      </w:r>
    </w:p>
    <w:p w:rsidR="00E61121" w:rsidRPr="00B71F4A" w:rsidP="00EB6A04" w14:paraId="5ACCC55C" w14:textId="77777777">
      <w:pPr>
        <w:rPr>
          <w:rFonts w:eastAsia="Calibri"/>
          <w:color w:val="000000" w:themeColor="text1"/>
        </w:rPr>
      </w:pPr>
    </w:p>
    <w:p w:rsidR="00D740CE" w:rsidRPr="00B14EF9" w:rsidP="00EB6A04" w14:paraId="3565321C" w14:textId="02FE8280">
      <w:pPr>
        <w:rPr>
          <w:rFonts w:eastAsia="Calibri"/>
          <w:i/>
          <w:iCs/>
          <w:color w:val="000000" w:themeColor="text1"/>
        </w:rPr>
      </w:pPr>
      <w:r w:rsidRPr="00B14EF9">
        <w:rPr>
          <w:rFonts w:eastAsia="Calibri"/>
          <w:i/>
          <w:iCs/>
          <w:color w:val="000000" w:themeColor="text1"/>
        </w:rPr>
        <w:t xml:space="preserve">The </w:t>
      </w:r>
      <w:r w:rsidRPr="00B14EF9" w:rsidR="00E61121">
        <w:rPr>
          <w:rFonts w:eastAsia="Calibri"/>
          <w:i/>
          <w:iCs/>
          <w:color w:val="000000" w:themeColor="text1"/>
        </w:rPr>
        <w:t xml:space="preserve">Freedom of Information Act (FOIA) </w:t>
      </w:r>
    </w:p>
    <w:p w:rsidR="00D740CE" w:rsidP="00EB6A04" w14:paraId="6C3DF65A" w14:textId="77777777">
      <w:pPr>
        <w:rPr>
          <w:rFonts w:eastAsia="Calibri"/>
          <w:color w:val="000000" w:themeColor="text1"/>
        </w:rPr>
      </w:pPr>
    </w:p>
    <w:p w:rsidR="00E61121" w:rsidRPr="00B71F4A" w:rsidP="00EB6A04" w14:paraId="7CBC3814" w14:textId="2CF99F79">
      <w:pPr>
        <w:rPr>
          <w:rFonts w:eastAsia="Calibri"/>
          <w:color w:val="000000" w:themeColor="text1"/>
        </w:rPr>
      </w:pPr>
      <w:r>
        <w:rPr>
          <w:rFonts w:eastAsia="Calibri"/>
          <w:color w:val="000000" w:themeColor="text1"/>
        </w:rPr>
        <w:t xml:space="preserve">Under FOIA </w:t>
      </w:r>
      <w:r w:rsidRPr="00B71F4A">
        <w:rPr>
          <w:rFonts w:eastAsia="Calibri"/>
          <w:color w:val="000000" w:themeColor="text1"/>
        </w:rPr>
        <w:t xml:space="preserve">(5 U.S.C. 552), the public has broad access to government documents. </w:t>
      </w:r>
      <w:r>
        <w:rPr>
          <w:rFonts w:eastAsia="Calibri"/>
          <w:color w:val="000000" w:themeColor="text1"/>
        </w:rPr>
        <w:t xml:space="preserve"> </w:t>
      </w:r>
      <w:r w:rsidRPr="00B71F4A">
        <w:rPr>
          <w:rFonts w:eastAsia="Calibri"/>
          <w:color w:val="000000" w:themeColor="text1"/>
        </w:rPr>
        <w:t xml:space="preserve">However, FOIA provides certain exemptions from mandatory public disclosure of government records (5 U.S.C. 552(b)(1) to (b)(9)).  </w:t>
      </w:r>
      <w:r>
        <w:rPr>
          <w:rFonts w:eastAsia="Calibri"/>
          <w:color w:val="000000" w:themeColor="text1"/>
        </w:rPr>
        <w:t xml:space="preserve">We </w:t>
      </w:r>
      <w:r w:rsidRPr="00B71F4A">
        <w:rPr>
          <w:rFonts w:eastAsia="Calibri"/>
          <w:color w:val="000000" w:themeColor="text1"/>
        </w:rPr>
        <w:t xml:space="preserve">will make the fullest possible disclosure of records to the public, consistent with the rights of individuals to privacy and the property rights of persons in trade and confidential, commercial, or financial information. </w:t>
      </w:r>
    </w:p>
    <w:p w:rsidR="00E61121" w:rsidRPr="00B71F4A" w:rsidP="00EB6A04" w14:paraId="5BC0596A" w14:textId="77777777">
      <w:pPr>
        <w:rPr>
          <w:rFonts w:eastAsia="Calibri"/>
          <w:color w:val="000000" w:themeColor="text1"/>
        </w:rPr>
      </w:pPr>
    </w:p>
    <w:p w:rsidR="00E61121" w:rsidRPr="00B71F4A" w:rsidP="00EB6A04" w14:paraId="7D3324FA" w14:textId="77777777">
      <w:pPr>
        <w:rPr>
          <w:rFonts w:eastAsia="Calibri"/>
          <w:color w:val="000000" w:themeColor="text1"/>
        </w:rPr>
      </w:pPr>
      <w:r w:rsidRPr="00B71F4A">
        <w:rPr>
          <w:rFonts w:eastAsia="Calibri"/>
          <w:color w:val="000000" w:themeColor="text1"/>
        </w:rPr>
        <w:t>Certain data and information collected during an inspection of a drug manufacturing establishment to enforce compliance with the CGMP regulations are considered confidential and not releasable to the public. Confidentiality is maintained for trade secrets or maintained for confidential, commercial, or financial information under 21 CFR 20.61, and investigatory records under 21 CFR 20.64.  In addition, certain subparagraphs of 21 CFR 314.430 provide for the confidentiality of information contained in new drug applications (NDAs) and abbreviated new drug applications (ANDAs).</w:t>
      </w:r>
    </w:p>
    <w:p w:rsidR="00E61121" w:rsidRPr="00B71F4A" w:rsidP="00EB6A04" w14:paraId="2E1E731F" w14:textId="77777777">
      <w:pPr>
        <w:rPr>
          <w:rFonts w:eastAsia="Calibri"/>
          <w:color w:val="000000" w:themeColor="text1"/>
        </w:rPr>
      </w:pPr>
    </w:p>
    <w:p w:rsidR="00E61121" w:rsidRPr="00B71F4A" w:rsidP="00EB6A04" w14:paraId="6133401B" w14:textId="269B6889">
      <w:pPr>
        <w:rPr>
          <w:rFonts w:eastAsia="Calibri"/>
          <w:color w:val="000000" w:themeColor="text1"/>
        </w:rPr>
      </w:pPr>
      <w:r w:rsidRPr="00B71F4A">
        <w:rPr>
          <w:rFonts w:eastAsia="Calibri"/>
          <w:color w:val="000000" w:themeColor="text1"/>
        </w:rPr>
        <w:t xml:space="preserve">Confidentiality of the information submitted under these regulations is protected under 21 CFR 314.430, 21 CFR part 601, and 21 CFR part 20.  The unauthorized use or disclosure of trade secrets required in applications is specifically prohibited under section 301(j) of the </w:t>
      </w:r>
      <w:r w:rsidR="00146D08">
        <w:rPr>
          <w:rFonts w:eastAsia="Calibri"/>
          <w:color w:val="000000" w:themeColor="text1"/>
        </w:rPr>
        <w:t>FD&amp;C</w:t>
      </w:r>
      <w:r w:rsidRPr="00B71F4A">
        <w:rPr>
          <w:rFonts w:eastAsia="Calibri"/>
          <w:color w:val="000000" w:themeColor="text1"/>
        </w:rPr>
        <w:t xml:space="preserve"> Act (21 U.S.C. 331(j)).</w:t>
      </w:r>
    </w:p>
    <w:p w:rsidR="00E61121" w:rsidRPr="00B71F4A" w:rsidP="00EB6A04" w14:paraId="062F2F78" w14:textId="77777777">
      <w:pPr>
        <w:rPr>
          <w:rFonts w:eastAsia="Calibri"/>
          <w:color w:val="000000" w:themeColor="text1"/>
        </w:rPr>
      </w:pPr>
    </w:p>
    <w:p w:rsidR="00E61121" w:rsidRPr="00B71F4A" w:rsidP="00EB6A04" w14:paraId="5B3CB209" w14:textId="77777777">
      <w:pPr>
        <w:numPr>
          <w:ilvl w:val="0"/>
          <w:numId w:val="6"/>
        </w:numPr>
        <w:ind w:left="0"/>
        <w:rPr>
          <w:rFonts w:eastAsia="Calibri"/>
          <w:color w:val="000000" w:themeColor="text1"/>
        </w:rPr>
      </w:pPr>
      <w:r w:rsidRPr="00B71F4A">
        <w:rPr>
          <w:rFonts w:eastAsia="Calibri"/>
          <w:color w:val="000000" w:themeColor="text1"/>
          <w:u w:val="single"/>
        </w:rPr>
        <w:t>Justification for Sensitive Questions</w:t>
      </w:r>
    </w:p>
    <w:p w:rsidR="00E61121" w:rsidRPr="00B71F4A" w:rsidP="00EB6A04" w14:paraId="4286D9E3" w14:textId="77777777">
      <w:pPr>
        <w:rPr>
          <w:rFonts w:eastAsia="Calibri"/>
          <w:color w:val="000000" w:themeColor="text1"/>
        </w:rPr>
      </w:pPr>
    </w:p>
    <w:p w:rsidR="00E61121" w:rsidRPr="00B71F4A" w:rsidP="00EB6A04" w14:paraId="4A61B268" w14:textId="77777777">
      <w:pPr>
        <w:rPr>
          <w:rFonts w:eastAsia="Calibri"/>
          <w:color w:val="000000" w:themeColor="text1"/>
        </w:rPr>
      </w:pPr>
      <w:r w:rsidRPr="00B71F4A">
        <w:rPr>
          <w:rFonts w:eastAsia="Calibri"/>
          <w:color w:val="000000" w:themeColor="text1"/>
        </w:rPr>
        <w:t>The information collection does not involve sensitive questions.</w:t>
      </w:r>
    </w:p>
    <w:p w:rsidR="00E61121" w:rsidRPr="00B71F4A" w:rsidP="00EB6A04" w14:paraId="21060A90" w14:textId="77777777">
      <w:pPr>
        <w:rPr>
          <w:rFonts w:eastAsia="Calibri"/>
          <w:color w:val="000000" w:themeColor="text1"/>
        </w:rPr>
      </w:pPr>
    </w:p>
    <w:p w:rsidR="00E61121" w:rsidRPr="00B71F4A" w:rsidP="00EB6A04" w14:paraId="7FCFF46D" w14:textId="77777777">
      <w:pPr>
        <w:numPr>
          <w:ilvl w:val="0"/>
          <w:numId w:val="6"/>
        </w:numPr>
        <w:ind w:left="0"/>
        <w:rPr>
          <w:rFonts w:eastAsia="Calibri"/>
          <w:color w:val="000000" w:themeColor="text1"/>
          <w:u w:val="single"/>
        </w:rPr>
      </w:pPr>
      <w:r w:rsidRPr="00B71F4A">
        <w:rPr>
          <w:rFonts w:eastAsia="Calibri"/>
          <w:color w:val="000000" w:themeColor="text1"/>
          <w:u w:val="single"/>
        </w:rPr>
        <w:t>Estimates of Annualized Burden Hours and Cost</w:t>
      </w:r>
    </w:p>
    <w:p w:rsidR="00E61121" w:rsidRPr="00B71F4A" w:rsidP="00EB6A04" w14:paraId="67E0E9B0" w14:textId="77777777">
      <w:pPr>
        <w:rPr>
          <w:rFonts w:eastAsia="Calibri"/>
          <w:color w:val="000000" w:themeColor="text1"/>
        </w:rPr>
      </w:pPr>
    </w:p>
    <w:p w:rsidR="00E61121" w:rsidRPr="008022A8" w:rsidP="00EB6A04" w14:paraId="3A71FAF3" w14:textId="724E3725">
      <w:pPr>
        <w:rPr>
          <w:rFonts w:eastAsia="Calibri"/>
          <w:i/>
          <w:iCs/>
          <w:color w:val="000000" w:themeColor="text1"/>
        </w:rPr>
      </w:pPr>
      <w:r>
        <w:rPr>
          <w:rFonts w:eastAsia="Calibri"/>
          <w:color w:val="000000" w:themeColor="text1"/>
        </w:rPr>
        <w:tab/>
      </w:r>
      <w:r w:rsidRPr="008022A8">
        <w:rPr>
          <w:rFonts w:eastAsia="Calibri"/>
          <w:i/>
          <w:iCs/>
          <w:color w:val="000000" w:themeColor="text1"/>
        </w:rPr>
        <w:t>12a.  Annualized Hour Burden Estimate</w:t>
      </w:r>
    </w:p>
    <w:p w:rsidR="00CB041D" w:rsidP="00EB6A04" w14:paraId="141C5417" w14:textId="77777777">
      <w:pPr>
        <w:rPr>
          <w:rFonts w:eastAsia="Calibri"/>
          <w:color w:val="000000" w:themeColor="text1"/>
        </w:rPr>
      </w:pPr>
    </w:p>
    <w:p w:rsidR="00714513" w:rsidRPr="00714513" w:rsidP="00EB6A04" w14:paraId="51F2BF78" w14:textId="77777777">
      <w:pPr>
        <w:contextualSpacing/>
        <w:rPr>
          <w:color w:val="000000"/>
        </w:rPr>
      </w:pPr>
      <w:r w:rsidRPr="00714513">
        <w:rPr>
          <w:color w:val="000000"/>
        </w:rPr>
        <w:t>The final rule introduces changes to FDA’s currently approved information collection inventory as follows:</w:t>
      </w:r>
    </w:p>
    <w:p w:rsidR="00714513" w:rsidRPr="00714513" w:rsidP="00EB6A04" w14:paraId="68A83163" w14:textId="77777777">
      <w:pPr>
        <w:contextualSpacing/>
        <w:rPr>
          <w:color w:val="000000"/>
        </w:rPr>
      </w:pPr>
    </w:p>
    <w:p w:rsidR="00714513" w:rsidRPr="00714513" w:rsidP="00EB6A04" w14:paraId="177B9828" w14:textId="3A3E3C52">
      <w:pPr>
        <w:contextualSpacing/>
        <w:rPr>
          <w:b/>
          <w:bCs/>
          <w:color w:val="000000"/>
        </w:rPr>
      </w:pPr>
      <w:r w:rsidRPr="00714513">
        <w:rPr>
          <w:b/>
          <w:bCs/>
          <w:color w:val="000000"/>
        </w:rPr>
        <w:t>Product Jurisdiction and Combination Products</w:t>
      </w:r>
      <w:r w:rsidR="00F16481">
        <w:rPr>
          <w:b/>
          <w:bCs/>
          <w:color w:val="000000"/>
        </w:rPr>
        <w:t xml:space="preserve"> </w:t>
      </w:r>
      <w:r w:rsidRPr="00714513">
        <w:rPr>
          <w:b/>
          <w:bCs/>
          <w:color w:val="000000"/>
        </w:rPr>
        <w:t>(</w:t>
      </w:r>
      <w:r w:rsidR="00F16481">
        <w:rPr>
          <w:b/>
          <w:bCs/>
          <w:color w:val="000000"/>
        </w:rPr>
        <w:t xml:space="preserve">Final Rule </w:t>
      </w:r>
      <w:r w:rsidRPr="00714513">
        <w:rPr>
          <w:b/>
          <w:bCs/>
          <w:color w:val="000000"/>
        </w:rPr>
        <w:t xml:space="preserve">89 FR @ 51759) – </w:t>
      </w:r>
      <w:r w:rsidRPr="00714513">
        <w:rPr>
          <w:color w:val="000000"/>
        </w:rPr>
        <w:t xml:space="preserve">Agency regulations in 21 CFR parts 3 and 4 govern </w:t>
      </w:r>
      <w:r w:rsidRPr="00714513">
        <w:rPr>
          <w:i/>
          <w:iCs/>
          <w:color w:val="000000"/>
        </w:rPr>
        <w:t>Product Jurisdiction</w:t>
      </w:r>
      <w:r w:rsidRPr="00714513">
        <w:rPr>
          <w:color w:val="000000"/>
        </w:rPr>
        <w:t xml:space="preserve"> and </w:t>
      </w:r>
      <w:r w:rsidRPr="00714513">
        <w:rPr>
          <w:i/>
          <w:iCs/>
          <w:color w:val="000000"/>
        </w:rPr>
        <w:t>Regulation of Combination Products</w:t>
      </w:r>
      <w:r w:rsidRPr="00714513">
        <w:rPr>
          <w:color w:val="000000"/>
        </w:rPr>
        <w:t xml:space="preserve">, respectively.  Applicable information collections are approved in OMB control no. </w:t>
      </w:r>
      <w:r w:rsidRPr="00714513">
        <w:rPr>
          <w:color w:val="000000"/>
        </w:rPr>
        <w:t xml:space="preserve">0910-0523.  While we believe the regulations impose no recurring burden, </w:t>
      </w:r>
      <w:r w:rsidR="00CD4FC9">
        <w:rPr>
          <w:color w:val="000000"/>
        </w:rPr>
        <w:t xml:space="preserve">corresponding changes will </w:t>
      </w:r>
      <w:r w:rsidRPr="00714513">
        <w:rPr>
          <w:color w:val="000000"/>
        </w:rPr>
        <w:t>revis</w:t>
      </w:r>
      <w:r w:rsidR="00CD4FC9">
        <w:rPr>
          <w:color w:val="000000"/>
        </w:rPr>
        <w:t>e</w:t>
      </w:r>
      <w:r w:rsidRPr="00714513">
        <w:rPr>
          <w:color w:val="000000"/>
        </w:rPr>
        <w:t xml:space="preserve"> the scope of the information collection to include the new requirements in 21 CFR part 4 regarding medical gases are marketed as part of a combination product.  </w:t>
      </w:r>
    </w:p>
    <w:p w:rsidR="00714513" w:rsidRPr="00714513" w:rsidP="00EB6A04" w14:paraId="7B88ED4D" w14:textId="77777777">
      <w:pPr>
        <w:contextualSpacing/>
        <w:rPr>
          <w:color w:val="000000"/>
        </w:rPr>
      </w:pPr>
    </w:p>
    <w:p w:rsidR="00714513" w:rsidRPr="00714513" w:rsidP="00EB6A04" w14:paraId="4F049AB5" w14:textId="04C3D716">
      <w:pPr>
        <w:contextualSpacing/>
        <w:rPr>
          <w:color w:val="000000"/>
        </w:rPr>
      </w:pPr>
      <w:r w:rsidRPr="00714513">
        <w:rPr>
          <w:b/>
          <w:bCs/>
          <w:color w:val="000000"/>
        </w:rPr>
        <w:t>Labeling Requirements for Human Prescription Drug and Biological Products</w:t>
      </w:r>
      <w:r w:rsidR="003939EB">
        <w:rPr>
          <w:b/>
          <w:bCs/>
          <w:color w:val="000000"/>
        </w:rPr>
        <w:t xml:space="preserve"> </w:t>
      </w:r>
      <w:r w:rsidRPr="00714513">
        <w:rPr>
          <w:b/>
          <w:bCs/>
          <w:color w:val="000000"/>
        </w:rPr>
        <w:t>(</w:t>
      </w:r>
      <w:r w:rsidR="003939EB">
        <w:rPr>
          <w:b/>
          <w:bCs/>
          <w:color w:val="000000"/>
        </w:rPr>
        <w:t xml:space="preserve">Final Rule </w:t>
      </w:r>
      <w:r w:rsidRPr="00714513">
        <w:rPr>
          <w:b/>
          <w:bCs/>
          <w:color w:val="000000"/>
        </w:rPr>
        <w:t>89 FR @ 51760)</w:t>
      </w:r>
      <w:r w:rsidRPr="00714513">
        <w:rPr>
          <w:color w:val="000000"/>
        </w:rPr>
        <w:t xml:space="preserve"> – Regulations in part 201 govern the statement of ingredients and declaration of net quantity of contents with regard to prescription drug product labeling.  Applicable information collections are approved in OMB control no. 0910-0572.  Covered firms must identify bulk or transport containers with the name of the product contained therein and that containers be accompanied by documentation that identifies the product as meeting applicable compendial standards.  We estimate that 1,696 firms will label 4,000 containers, and assume 6 minutes (0.1 hours) is necessary to identify the containers with the name of the product and place documentation that identifies the product as meeting applicable compendial standards.  </w:t>
      </w:r>
      <w:r w:rsidR="00695E70">
        <w:rPr>
          <w:color w:val="000000"/>
        </w:rPr>
        <w:t xml:space="preserve">Upon implementation of the final rule, we intend to revise </w:t>
      </w:r>
      <w:r w:rsidRPr="00714513">
        <w:rPr>
          <w:color w:val="000000"/>
        </w:rPr>
        <w:t xml:space="preserve">the information collection to </w:t>
      </w:r>
      <w:r w:rsidR="001441EF">
        <w:rPr>
          <w:color w:val="000000"/>
        </w:rPr>
        <w:t xml:space="preserve">account for </w:t>
      </w:r>
      <w:r w:rsidR="00725228">
        <w:rPr>
          <w:color w:val="000000"/>
        </w:rPr>
        <w:t xml:space="preserve">ongoing implementation of </w:t>
      </w:r>
      <w:r w:rsidRPr="00714513">
        <w:rPr>
          <w:color w:val="000000"/>
        </w:rPr>
        <w:t>the new requirements</w:t>
      </w:r>
      <w:r w:rsidR="00B5229B">
        <w:rPr>
          <w:color w:val="000000"/>
        </w:rPr>
        <w:t xml:space="preserve"> </w:t>
      </w:r>
      <w:r w:rsidRPr="00714513">
        <w:rPr>
          <w:color w:val="000000"/>
        </w:rPr>
        <w:t>as reflect</w:t>
      </w:r>
      <w:r w:rsidR="00B5229B">
        <w:rPr>
          <w:color w:val="000000"/>
        </w:rPr>
        <w:t>ed</w:t>
      </w:r>
      <w:r w:rsidRPr="00714513">
        <w:rPr>
          <w:color w:val="000000"/>
        </w:rPr>
        <w:t xml:space="preserve"> </w:t>
      </w:r>
      <w:r w:rsidR="00B5229B">
        <w:rPr>
          <w:color w:val="000000"/>
        </w:rPr>
        <w:t>below</w:t>
      </w:r>
      <w:r w:rsidRPr="00714513">
        <w:rPr>
          <w:color w:val="000000"/>
        </w:rPr>
        <w:t>.</w:t>
      </w:r>
    </w:p>
    <w:p w:rsidR="00714513" w:rsidRPr="00714513" w:rsidP="00EB6A04" w14:paraId="7EAFF5C8" w14:textId="77777777">
      <w:pPr>
        <w:contextualSpacing/>
        <w:jc w:val="center"/>
        <w:rPr>
          <w:color w:val="000000"/>
          <w:sz w:val="20"/>
          <w:szCs w:val="20"/>
        </w:rPr>
      </w:pPr>
    </w:p>
    <w:p w:rsidR="00714513" w:rsidRPr="00714513" w:rsidP="00EB6A04" w14:paraId="3F74E64D" w14:textId="77777777">
      <w:pPr>
        <w:contextualSpacing/>
        <w:jc w:val="center"/>
        <w:rPr>
          <w:color w:val="000000"/>
          <w:sz w:val="20"/>
          <w:szCs w:val="20"/>
        </w:rPr>
      </w:pPr>
      <w:r w:rsidRPr="00714513">
        <w:rPr>
          <w:color w:val="000000"/>
          <w:sz w:val="20"/>
          <w:szCs w:val="20"/>
        </w:rPr>
        <w:t xml:space="preserve">Estimated Annual Third-Party Disclosure Burden – </w:t>
      </w:r>
    </w:p>
    <w:p w:rsidR="00714513" w:rsidRPr="00714513" w:rsidP="00EB6A04" w14:paraId="02B40080" w14:textId="77777777">
      <w:pPr>
        <w:contextualSpacing/>
        <w:jc w:val="center"/>
        <w:rPr>
          <w:color w:val="000000"/>
          <w:sz w:val="20"/>
          <w:szCs w:val="20"/>
        </w:rPr>
      </w:pPr>
      <w:r w:rsidRPr="00714513">
        <w:rPr>
          <w:color w:val="000000"/>
          <w:sz w:val="20"/>
          <w:szCs w:val="20"/>
        </w:rPr>
        <w:t>Medical Gas Labeling (Table 2 from FINAL RULE)</w:t>
      </w:r>
      <w:r w:rsidRPr="00714513">
        <w:rPr>
          <w:color w:val="000000"/>
          <w:sz w:val="20"/>
          <w:szCs w:val="20"/>
          <w:vertAlign w:val="superscript"/>
        </w:rPr>
        <w:t>1</w:t>
      </w:r>
    </w:p>
    <w:tbl>
      <w:tblPr>
        <w:tblStyle w:val="TableGrid0"/>
        <w:tblW w:w="95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6" w:type="dxa"/>
        </w:tblCellMar>
        <w:tblLook w:val="04A0"/>
      </w:tblPr>
      <w:tblGrid>
        <w:gridCol w:w="3865"/>
        <w:gridCol w:w="1170"/>
        <w:gridCol w:w="1350"/>
        <w:gridCol w:w="990"/>
        <w:gridCol w:w="1350"/>
        <w:gridCol w:w="810"/>
      </w:tblGrid>
      <w:tr w14:paraId="3D37BE8D" w14:textId="77777777" w:rsidTr="006F0496">
        <w:tblPrEx>
          <w:tblW w:w="95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6" w:type="dxa"/>
          </w:tblCellMar>
          <w:tblLook w:val="04A0"/>
        </w:tblPrEx>
        <w:tc>
          <w:tcPr>
            <w:tcW w:w="3865" w:type="dxa"/>
            <w:vAlign w:val="center"/>
          </w:tcPr>
          <w:p w:rsidR="00714513" w:rsidRPr="00714513" w:rsidP="00EB6A04" w14:paraId="4E83F0E3" w14:textId="77777777">
            <w:pPr>
              <w:ind w:right="78"/>
              <w:contextualSpacing/>
              <w:jc w:val="center"/>
              <w:rPr>
                <w:color w:val="000000"/>
                <w:sz w:val="20"/>
                <w:szCs w:val="20"/>
              </w:rPr>
            </w:pPr>
            <w:r w:rsidRPr="00714513">
              <w:rPr>
                <w:color w:val="000000"/>
                <w:sz w:val="20"/>
                <w:szCs w:val="20"/>
              </w:rPr>
              <w:t xml:space="preserve">Activity; </w:t>
            </w:r>
            <w:r w:rsidRPr="00714513">
              <w:rPr>
                <w:color w:val="000000"/>
                <w:sz w:val="20"/>
                <w:szCs w:val="20"/>
              </w:rPr>
              <w:t xml:space="preserve">21 </w:t>
            </w:r>
            <w:r w:rsidRPr="00714513">
              <w:rPr>
                <w:color w:val="000000"/>
                <w:sz w:val="20"/>
                <w:szCs w:val="20"/>
              </w:rPr>
              <w:t xml:space="preserve">CFR </w:t>
            </w:r>
            <w:r w:rsidRPr="00714513">
              <w:rPr>
                <w:color w:val="000000"/>
                <w:sz w:val="20"/>
                <w:szCs w:val="20"/>
              </w:rPr>
              <w:t>S</w:t>
            </w:r>
            <w:r w:rsidRPr="00714513">
              <w:rPr>
                <w:color w:val="000000"/>
                <w:sz w:val="20"/>
                <w:szCs w:val="20"/>
              </w:rPr>
              <w:t>ection</w:t>
            </w:r>
          </w:p>
        </w:tc>
        <w:tc>
          <w:tcPr>
            <w:tcW w:w="1170" w:type="dxa"/>
            <w:vAlign w:val="center"/>
          </w:tcPr>
          <w:p w:rsidR="00714513" w:rsidRPr="00714513" w:rsidP="00EB6A04" w14:paraId="36BD0BC2" w14:textId="77777777">
            <w:pPr>
              <w:contextualSpacing/>
              <w:jc w:val="center"/>
              <w:rPr>
                <w:color w:val="000000"/>
                <w:sz w:val="20"/>
                <w:szCs w:val="20"/>
              </w:rPr>
            </w:pPr>
            <w:r w:rsidRPr="00714513">
              <w:rPr>
                <w:color w:val="000000"/>
                <w:sz w:val="20"/>
                <w:szCs w:val="20"/>
              </w:rPr>
              <w:t>N</w:t>
            </w:r>
            <w:r w:rsidRPr="00714513">
              <w:rPr>
                <w:color w:val="000000"/>
                <w:sz w:val="20"/>
                <w:szCs w:val="20"/>
              </w:rPr>
              <w:t>o.</w:t>
            </w:r>
            <w:r w:rsidRPr="00714513">
              <w:rPr>
                <w:color w:val="000000"/>
                <w:sz w:val="20"/>
                <w:szCs w:val="20"/>
              </w:rPr>
              <w:t xml:space="preserve"> of </w:t>
            </w:r>
            <w:r w:rsidRPr="00714513">
              <w:rPr>
                <w:color w:val="000000"/>
                <w:sz w:val="20"/>
                <w:szCs w:val="20"/>
              </w:rPr>
              <w:t>R</w:t>
            </w:r>
            <w:r w:rsidRPr="00714513">
              <w:rPr>
                <w:color w:val="000000"/>
                <w:sz w:val="20"/>
                <w:szCs w:val="20"/>
              </w:rPr>
              <w:t>espondents</w:t>
            </w:r>
          </w:p>
        </w:tc>
        <w:tc>
          <w:tcPr>
            <w:tcW w:w="1350" w:type="dxa"/>
          </w:tcPr>
          <w:p w:rsidR="00714513" w:rsidRPr="00714513" w:rsidP="00EB6A04" w14:paraId="0D78F369" w14:textId="77777777">
            <w:pPr>
              <w:contextualSpacing/>
              <w:jc w:val="center"/>
              <w:rPr>
                <w:color w:val="000000"/>
                <w:sz w:val="20"/>
                <w:szCs w:val="20"/>
              </w:rPr>
            </w:pPr>
            <w:r w:rsidRPr="00714513">
              <w:rPr>
                <w:color w:val="000000"/>
                <w:sz w:val="20"/>
                <w:szCs w:val="20"/>
              </w:rPr>
              <w:t>N</w:t>
            </w:r>
            <w:r w:rsidRPr="00714513">
              <w:rPr>
                <w:color w:val="000000"/>
                <w:sz w:val="20"/>
                <w:szCs w:val="20"/>
              </w:rPr>
              <w:t>o.</w:t>
            </w:r>
            <w:r w:rsidRPr="00714513">
              <w:rPr>
                <w:color w:val="000000"/>
                <w:sz w:val="20"/>
                <w:szCs w:val="20"/>
              </w:rPr>
              <w:t xml:space="preserve"> of </w:t>
            </w:r>
            <w:r w:rsidRPr="00714513">
              <w:rPr>
                <w:color w:val="000000"/>
                <w:sz w:val="20"/>
                <w:szCs w:val="20"/>
              </w:rPr>
              <w:t>D</w:t>
            </w:r>
            <w:r w:rsidRPr="00714513">
              <w:rPr>
                <w:color w:val="000000"/>
                <w:sz w:val="20"/>
                <w:szCs w:val="20"/>
              </w:rPr>
              <w:t xml:space="preserve">isclosures per </w:t>
            </w:r>
            <w:r w:rsidRPr="00714513">
              <w:rPr>
                <w:color w:val="000000"/>
                <w:sz w:val="20"/>
                <w:szCs w:val="20"/>
              </w:rPr>
              <w:t>R</w:t>
            </w:r>
            <w:r w:rsidRPr="00714513">
              <w:rPr>
                <w:color w:val="000000"/>
                <w:sz w:val="20"/>
                <w:szCs w:val="20"/>
              </w:rPr>
              <w:t>espondent</w:t>
            </w:r>
          </w:p>
        </w:tc>
        <w:tc>
          <w:tcPr>
            <w:tcW w:w="990" w:type="dxa"/>
            <w:vAlign w:val="center"/>
          </w:tcPr>
          <w:p w:rsidR="00714513" w:rsidRPr="00714513" w:rsidP="00EB6A04" w14:paraId="741EC621" w14:textId="77777777">
            <w:pPr>
              <w:contextualSpacing/>
              <w:jc w:val="center"/>
              <w:rPr>
                <w:color w:val="000000"/>
                <w:sz w:val="20"/>
                <w:szCs w:val="20"/>
              </w:rPr>
            </w:pPr>
            <w:r w:rsidRPr="00714513">
              <w:rPr>
                <w:color w:val="000000"/>
                <w:sz w:val="20"/>
                <w:szCs w:val="20"/>
              </w:rPr>
              <w:t xml:space="preserve">Total </w:t>
            </w:r>
            <w:r w:rsidRPr="00714513">
              <w:rPr>
                <w:color w:val="000000"/>
                <w:sz w:val="20"/>
                <w:szCs w:val="20"/>
              </w:rPr>
              <w:t>A</w:t>
            </w:r>
            <w:r w:rsidRPr="00714513">
              <w:rPr>
                <w:color w:val="000000"/>
                <w:sz w:val="20"/>
                <w:szCs w:val="20"/>
              </w:rPr>
              <w:t xml:space="preserve">nnual </w:t>
            </w:r>
            <w:r w:rsidRPr="00714513">
              <w:rPr>
                <w:color w:val="000000"/>
                <w:sz w:val="20"/>
                <w:szCs w:val="20"/>
              </w:rPr>
              <w:t>D</w:t>
            </w:r>
            <w:r w:rsidRPr="00714513">
              <w:rPr>
                <w:color w:val="000000"/>
                <w:sz w:val="20"/>
                <w:szCs w:val="20"/>
              </w:rPr>
              <w:t>isclosures</w:t>
            </w:r>
          </w:p>
        </w:tc>
        <w:tc>
          <w:tcPr>
            <w:tcW w:w="1350" w:type="dxa"/>
            <w:vAlign w:val="center"/>
          </w:tcPr>
          <w:p w:rsidR="00714513" w:rsidRPr="00714513" w:rsidP="00EB6A04" w14:paraId="5BA3C8A9" w14:textId="77777777">
            <w:pPr>
              <w:ind w:left="149" w:right="116"/>
              <w:contextualSpacing/>
              <w:jc w:val="center"/>
              <w:rPr>
                <w:color w:val="000000"/>
                <w:sz w:val="20"/>
                <w:szCs w:val="20"/>
              </w:rPr>
            </w:pPr>
            <w:r w:rsidRPr="00714513">
              <w:rPr>
                <w:color w:val="000000"/>
                <w:sz w:val="20"/>
                <w:szCs w:val="20"/>
              </w:rPr>
              <w:t xml:space="preserve">Average </w:t>
            </w:r>
            <w:r w:rsidRPr="00714513">
              <w:rPr>
                <w:color w:val="000000"/>
                <w:sz w:val="20"/>
                <w:szCs w:val="20"/>
              </w:rPr>
              <w:t>B</w:t>
            </w:r>
            <w:r w:rsidRPr="00714513">
              <w:rPr>
                <w:color w:val="000000"/>
                <w:sz w:val="20"/>
                <w:szCs w:val="20"/>
              </w:rPr>
              <w:t xml:space="preserve">urden per </w:t>
            </w:r>
            <w:r w:rsidRPr="00714513">
              <w:rPr>
                <w:color w:val="000000"/>
                <w:sz w:val="20"/>
                <w:szCs w:val="20"/>
              </w:rPr>
              <w:t>D</w:t>
            </w:r>
            <w:r w:rsidRPr="00714513">
              <w:rPr>
                <w:color w:val="000000"/>
                <w:sz w:val="20"/>
                <w:szCs w:val="20"/>
              </w:rPr>
              <w:t>isclosure</w:t>
            </w:r>
            <w:r w:rsidRPr="00714513">
              <w:rPr>
                <w:color w:val="000000"/>
                <w:sz w:val="20"/>
                <w:szCs w:val="20"/>
              </w:rPr>
              <w:t xml:space="preserve"> (hours)</w:t>
            </w:r>
          </w:p>
        </w:tc>
        <w:tc>
          <w:tcPr>
            <w:tcW w:w="810" w:type="dxa"/>
            <w:vAlign w:val="center"/>
          </w:tcPr>
          <w:p w:rsidR="00714513" w:rsidRPr="00714513" w:rsidP="00EB6A04" w14:paraId="3555F228" w14:textId="77777777">
            <w:pPr>
              <w:ind w:right="79"/>
              <w:contextualSpacing/>
              <w:jc w:val="center"/>
              <w:rPr>
                <w:color w:val="000000"/>
                <w:sz w:val="20"/>
                <w:szCs w:val="20"/>
              </w:rPr>
            </w:pPr>
            <w:r w:rsidRPr="00714513">
              <w:rPr>
                <w:color w:val="000000"/>
                <w:sz w:val="20"/>
                <w:szCs w:val="20"/>
              </w:rPr>
              <w:t xml:space="preserve">Total </w:t>
            </w:r>
            <w:r w:rsidRPr="00714513">
              <w:rPr>
                <w:color w:val="000000"/>
                <w:sz w:val="20"/>
                <w:szCs w:val="20"/>
              </w:rPr>
              <w:t>H</w:t>
            </w:r>
            <w:r w:rsidRPr="00714513">
              <w:rPr>
                <w:color w:val="000000"/>
                <w:sz w:val="20"/>
                <w:szCs w:val="20"/>
              </w:rPr>
              <w:t>ours</w:t>
            </w:r>
          </w:p>
        </w:tc>
      </w:tr>
      <w:tr w14:paraId="3A4239DA" w14:textId="77777777" w:rsidTr="006F0496">
        <w:tblPrEx>
          <w:tblW w:w="9535" w:type="dxa"/>
          <w:tblInd w:w="0" w:type="dxa"/>
          <w:tblLayout w:type="fixed"/>
          <w:tblCellMar>
            <w:top w:w="15" w:type="dxa"/>
            <w:left w:w="6" w:type="dxa"/>
          </w:tblCellMar>
          <w:tblLook w:val="04A0"/>
        </w:tblPrEx>
        <w:tc>
          <w:tcPr>
            <w:tcW w:w="3865" w:type="dxa"/>
          </w:tcPr>
          <w:p w:rsidR="00714513" w:rsidRPr="00714513" w:rsidP="00EB6A04" w14:paraId="1E95EEC8" w14:textId="77777777">
            <w:pPr>
              <w:rPr>
                <w:sz w:val="20"/>
                <w:szCs w:val="20"/>
              </w:rPr>
            </w:pPr>
            <w:r w:rsidRPr="00714513">
              <w:rPr>
                <w:sz w:val="20"/>
                <w:szCs w:val="20"/>
              </w:rPr>
              <w:t>Labeling of bulk or transport containers used to hold designated medical gases; §</w:t>
            </w:r>
            <w:r w:rsidRPr="00714513">
              <w:rPr>
                <w:sz w:val="20"/>
                <w:szCs w:val="20"/>
              </w:rPr>
              <w:t> </w:t>
            </w:r>
            <w:r w:rsidRPr="00714513">
              <w:rPr>
                <w:sz w:val="20"/>
                <w:szCs w:val="20"/>
              </w:rPr>
              <w:t>201.161(b).</w:t>
            </w:r>
          </w:p>
        </w:tc>
        <w:tc>
          <w:tcPr>
            <w:tcW w:w="1170" w:type="dxa"/>
            <w:vAlign w:val="center"/>
          </w:tcPr>
          <w:p w:rsidR="00714513" w:rsidRPr="00714513" w:rsidP="00EB6A04" w14:paraId="78F63409" w14:textId="77777777">
            <w:pPr>
              <w:ind w:right="73"/>
              <w:contextualSpacing/>
              <w:jc w:val="right"/>
              <w:rPr>
                <w:color w:val="000000"/>
                <w:sz w:val="20"/>
                <w:szCs w:val="20"/>
              </w:rPr>
            </w:pPr>
            <w:r w:rsidRPr="00714513">
              <w:rPr>
                <w:color w:val="000000"/>
                <w:sz w:val="20"/>
                <w:szCs w:val="20"/>
              </w:rPr>
              <w:t>1,696</w:t>
            </w:r>
          </w:p>
        </w:tc>
        <w:tc>
          <w:tcPr>
            <w:tcW w:w="1350" w:type="dxa"/>
            <w:vAlign w:val="center"/>
          </w:tcPr>
          <w:p w:rsidR="00714513" w:rsidRPr="00714513" w:rsidP="00EB6A04" w14:paraId="1837451E" w14:textId="77777777">
            <w:pPr>
              <w:ind w:right="73"/>
              <w:contextualSpacing/>
              <w:jc w:val="right"/>
              <w:rPr>
                <w:color w:val="000000"/>
                <w:sz w:val="20"/>
                <w:szCs w:val="20"/>
              </w:rPr>
            </w:pPr>
            <w:r w:rsidRPr="00714513">
              <w:rPr>
                <w:color w:val="000000"/>
                <w:sz w:val="20"/>
                <w:szCs w:val="20"/>
              </w:rPr>
              <w:t>2.36</w:t>
            </w:r>
          </w:p>
        </w:tc>
        <w:tc>
          <w:tcPr>
            <w:tcW w:w="990" w:type="dxa"/>
            <w:vAlign w:val="center"/>
          </w:tcPr>
          <w:p w:rsidR="00714513" w:rsidRPr="00714513" w:rsidP="00EB6A04" w14:paraId="1B634F84" w14:textId="77777777">
            <w:pPr>
              <w:ind w:right="72"/>
              <w:contextualSpacing/>
              <w:jc w:val="right"/>
              <w:rPr>
                <w:color w:val="000000"/>
                <w:sz w:val="20"/>
                <w:szCs w:val="20"/>
              </w:rPr>
            </w:pPr>
            <w:r w:rsidRPr="00714513">
              <w:rPr>
                <w:color w:val="000000"/>
                <w:sz w:val="20"/>
                <w:szCs w:val="20"/>
              </w:rPr>
              <w:t>4,000</w:t>
            </w:r>
          </w:p>
        </w:tc>
        <w:tc>
          <w:tcPr>
            <w:tcW w:w="1350" w:type="dxa"/>
            <w:vAlign w:val="center"/>
          </w:tcPr>
          <w:p w:rsidR="00714513" w:rsidRPr="00714513" w:rsidP="00EB6A04" w14:paraId="4BEE3698" w14:textId="77777777">
            <w:pPr>
              <w:ind w:left="67" w:right="47"/>
              <w:contextualSpacing/>
              <w:jc w:val="right"/>
              <w:rPr>
                <w:color w:val="000000"/>
                <w:sz w:val="20"/>
                <w:szCs w:val="20"/>
              </w:rPr>
            </w:pPr>
            <w:r w:rsidRPr="00714513">
              <w:rPr>
                <w:color w:val="000000"/>
                <w:sz w:val="20"/>
                <w:szCs w:val="20"/>
              </w:rPr>
              <w:t>0.1</w:t>
            </w:r>
          </w:p>
          <w:p w:rsidR="00714513" w:rsidRPr="00714513" w:rsidP="00EB6A04" w14:paraId="0CB1558A" w14:textId="77777777">
            <w:pPr>
              <w:ind w:left="67" w:right="47"/>
              <w:contextualSpacing/>
              <w:jc w:val="right"/>
              <w:rPr>
                <w:color w:val="000000"/>
                <w:sz w:val="20"/>
                <w:szCs w:val="20"/>
              </w:rPr>
            </w:pPr>
            <w:r w:rsidRPr="00714513">
              <w:rPr>
                <w:color w:val="000000"/>
                <w:sz w:val="20"/>
                <w:szCs w:val="20"/>
              </w:rPr>
              <w:t xml:space="preserve">(6 minutes) </w:t>
            </w:r>
          </w:p>
        </w:tc>
        <w:tc>
          <w:tcPr>
            <w:tcW w:w="810" w:type="dxa"/>
            <w:vAlign w:val="center"/>
          </w:tcPr>
          <w:p w:rsidR="00714513" w:rsidRPr="00714513" w:rsidP="00EB6A04" w14:paraId="0A2B4D54" w14:textId="77777777">
            <w:pPr>
              <w:ind w:right="90"/>
              <w:contextualSpacing/>
              <w:jc w:val="right"/>
              <w:rPr>
                <w:color w:val="000000"/>
                <w:sz w:val="20"/>
                <w:szCs w:val="20"/>
              </w:rPr>
            </w:pPr>
            <w:r w:rsidRPr="00714513">
              <w:rPr>
                <w:color w:val="000000"/>
                <w:sz w:val="20"/>
                <w:szCs w:val="20"/>
              </w:rPr>
              <w:t>400</w:t>
            </w:r>
          </w:p>
        </w:tc>
      </w:tr>
      <w:tr w14:paraId="6A4892B3" w14:textId="77777777" w:rsidTr="006F0496">
        <w:tblPrEx>
          <w:tblW w:w="9535" w:type="dxa"/>
          <w:tblInd w:w="0" w:type="dxa"/>
          <w:tblLayout w:type="fixed"/>
          <w:tblCellMar>
            <w:top w:w="15" w:type="dxa"/>
            <w:left w:w="6" w:type="dxa"/>
          </w:tblCellMar>
          <w:tblLook w:val="04A0"/>
        </w:tblPrEx>
        <w:tc>
          <w:tcPr>
            <w:tcW w:w="3865" w:type="dxa"/>
          </w:tcPr>
          <w:p w:rsidR="00714513" w:rsidRPr="00714513" w:rsidP="00EB6A04" w14:paraId="19B22BBA" w14:textId="77777777">
            <w:pPr>
              <w:rPr>
                <w:sz w:val="20"/>
                <w:szCs w:val="20"/>
              </w:rPr>
            </w:pPr>
            <w:r w:rsidRPr="00714513">
              <w:rPr>
                <w:sz w:val="20"/>
                <w:szCs w:val="20"/>
              </w:rPr>
              <w:t>I</w:t>
            </w:r>
            <w:r w:rsidRPr="00714513">
              <w:rPr>
                <w:sz w:val="20"/>
                <w:szCs w:val="20"/>
              </w:rPr>
              <w:t xml:space="preserve">dentify the owner of a designated medical gas container or a container of a medically appropriate combination of designated medical gases </w:t>
            </w:r>
            <w:r w:rsidRPr="00714513">
              <w:rPr>
                <w:sz w:val="20"/>
                <w:szCs w:val="20"/>
              </w:rPr>
              <w:t>o</w:t>
            </w:r>
            <w:r w:rsidRPr="00714513">
              <w:rPr>
                <w:sz w:val="20"/>
                <w:szCs w:val="20"/>
              </w:rPr>
              <w:t xml:space="preserve">n the container label. </w:t>
            </w:r>
            <w:r w:rsidRPr="00714513">
              <w:rPr>
                <w:sz w:val="20"/>
                <w:szCs w:val="20"/>
              </w:rPr>
              <w:t xml:space="preserve"> </w:t>
            </w:r>
            <w:r w:rsidRPr="00714513">
              <w:rPr>
                <w:sz w:val="20"/>
                <w:szCs w:val="20"/>
              </w:rPr>
              <w:t>If the container owner is not the manufacturer, packer, or distributor of the gas, identify that information on the label; §</w:t>
            </w:r>
            <w:r w:rsidRPr="00714513">
              <w:rPr>
                <w:sz w:val="20"/>
                <w:szCs w:val="20"/>
              </w:rPr>
              <w:t xml:space="preserve"> </w:t>
            </w:r>
            <w:r w:rsidRPr="00714513">
              <w:rPr>
                <w:sz w:val="20"/>
                <w:szCs w:val="20"/>
              </w:rPr>
              <w:t>201.328(d).</w:t>
            </w:r>
          </w:p>
        </w:tc>
        <w:tc>
          <w:tcPr>
            <w:tcW w:w="1170" w:type="dxa"/>
            <w:vAlign w:val="center"/>
          </w:tcPr>
          <w:p w:rsidR="00714513" w:rsidRPr="00714513" w:rsidP="00EB6A04" w14:paraId="634435A4" w14:textId="77777777">
            <w:pPr>
              <w:ind w:right="73"/>
              <w:contextualSpacing/>
              <w:jc w:val="right"/>
              <w:rPr>
                <w:color w:val="000000"/>
                <w:sz w:val="20"/>
                <w:szCs w:val="20"/>
              </w:rPr>
            </w:pPr>
            <w:r w:rsidRPr="00714513">
              <w:rPr>
                <w:color w:val="000000"/>
                <w:sz w:val="20"/>
                <w:szCs w:val="20"/>
              </w:rPr>
              <w:t>1,696</w:t>
            </w:r>
          </w:p>
        </w:tc>
        <w:tc>
          <w:tcPr>
            <w:tcW w:w="1350" w:type="dxa"/>
            <w:vAlign w:val="center"/>
          </w:tcPr>
          <w:p w:rsidR="00714513" w:rsidRPr="00714513" w:rsidP="00EB6A04" w14:paraId="4ACAC1D3" w14:textId="77777777">
            <w:pPr>
              <w:ind w:right="73"/>
              <w:contextualSpacing/>
              <w:jc w:val="right"/>
              <w:rPr>
                <w:color w:val="000000"/>
                <w:sz w:val="20"/>
                <w:szCs w:val="20"/>
              </w:rPr>
            </w:pPr>
            <w:r w:rsidRPr="00714513">
              <w:rPr>
                <w:color w:val="000000"/>
                <w:sz w:val="20"/>
                <w:szCs w:val="20"/>
              </w:rPr>
              <w:t>2.36</w:t>
            </w:r>
          </w:p>
        </w:tc>
        <w:tc>
          <w:tcPr>
            <w:tcW w:w="990" w:type="dxa"/>
            <w:vAlign w:val="center"/>
          </w:tcPr>
          <w:p w:rsidR="00714513" w:rsidRPr="00714513" w:rsidP="00EB6A04" w14:paraId="5F7A8F0C" w14:textId="77777777">
            <w:pPr>
              <w:ind w:right="72"/>
              <w:contextualSpacing/>
              <w:jc w:val="right"/>
              <w:rPr>
                <w:color w:val="000000"/>
                <w:sz w:val="20"/>
                <w:szCs w:val="20"/>
              </w:rPr>
            </w:pPr>
            <w:r w:rsidRPr="00714513">
              <w:rPr>
                <w:color w:val="000000"/>
                <w:sz w:val="20"/>
                <w:szCs w:val="20"/>
              </w:rPr>
              <w:t>4,000</w:t>
            </w:r>
          </w:p>
        </w:tc>
        <w:tc>
          <w:tcPr>
            <w:tcW w:w="1350" w:type="dxa"/>
            <w:vAlign w:val="center"/>
          </w:tcPr>
          <w:p w:rsidR="00714513" w:rsidRPr="00714513" w:rsidP="00EB6A04" w14:paraId="7BCE9F90" w14:textId="77777777">
            <w:pPr>
              <w:ind w:left="67" w:right="47"/>
              <w:contextualSpacing/>
              <w:jc w:val="right"/>
              <w:rPr>
                <w:color w:val="000000"/>
                <w:sz w:val="20"/>
                <w:szCs w:val="20"/>
              </w:rPr>
            </w:pPr>
            <w:r w:rsidRPr="00714513">
              <w:rPr>
                <w:color w:val="000000"/>
                <w:sz w:val="20"/>
                <w:szCs w:val="20"/>
              </w:rPr>
              <w:t>0.1</w:t>
            </w:r>
          </w:p>
          <w:p w:rsidR="00714513" w:rsidRPr="00714513" w:rsidP="00EB6A04" w14:paraId="40CC6035" w14:textId="77777777">
            <w:pPr>
              <w:ind w:left="67" w:right="47"/>
              <w:contextualSpacing/>
              <w:jc w:val="right"/>
              <w:rPr>
                <w:color w:val="000000"/>
                <w:sz w:val="20"/>
                <w:szCs w:val="20"/>
              </w:rPr>
            </w:pPr>
            <w:r w:rsidRPr="00714513">
              <w:rPr>
                <w:color w:val="000000"/>
                <w:sz w:val="20"/>
                <w:szCs w:val="20"/>
              </w:rPr>
              <w:t>(6 minutes)</w:t>
            </w:r>
          </w:p>
        </w:tc>
        <w:tc>
          <w:tcPr>
            <w:tcW w:w="810" w:type="dxa"/>
            <w:vAlign w:val="center"/>
          </w:tcPr>
          <w:p w:rsidR="00714513" w:rsidRPr="00714513" w:rsidP="00EB6A04" w14:paraId="7B93A5B2" w14:textId="77777777">
            <w:pPr>
              <w:ind w:right="90"/>
              <w:contextualSpacing/>
              <w:jc w:val="right"/>
              <w:rPr>
                <w:color w:val="000000"/>
                <w:sz w:val="20"/>
                <w:szCs w:val="20"/>
              </w:rPr>
            </w:pPr>
            <w:r w:rsidRPr="00714513">
              <w:rPr>
                <w:color w:val="000000"/>
                <w:sz w:val="20"/>
                <w:szCs w:val="20"/>
              </w:rPr>
              <w:t>400</w:t>
            </w:r>
          </w:p>
        </w:tc>
      </w:tr>
      <w:tr w14:paraId="07B2B4FE" w14:textId="77777777" w:rsidTr="006F0496">
        <w:tblPrEx>
          <w:tblW w:w="9535" w:type="dxa"/>
          <w:tblInd w:w="0" w:type="dxa"/>
          <w:tblLayout w:type="fixed"/>
          <w:tblCellMar>
            <w:top w:w="15" w:type="dxa"/>
            <w:left w:w="6" w:type="dxa"/>
          </w:tblCellMar>
          <w:tblLook w:val="04A0"/>
        </w:tblPrEx>
        <w:tc>
          <w:tcPr>
            <w:tcW w:w="6385" w:type="dxa"/>
            <w:gridSpan w:val="3"/>
            <w:shd w:val="clear" w:color="auto" w:fill="99FF99"/>
          </w:tcPr>
          <w:p w:rsidR="00714513" w:rsidRPr="00714513" w:rsidP="00EB6A04" w14:paraId="7D30D2BC" w14:textId="77777777">
            <w:pPr>
              <w:ind w:right="73"/>
              <w:contextualSpacing/>
              <w:rPr>
                <w:b/>
                <w:bCs/>
                <w:color w:val="000000"/>
                <w:sz w:val="20"/>
                <w:szCs w:val="20"/>
              </w:rPr>
            </w:pPr>
            <w:r w:rsidRPr="00714513">
              <w:rPr>
                <w:b/>
                <w:bCs/>
                <w:color w:val="000000"/>
                <w:sz w:val="20"/>
                <w:szCs w:val="20"/>
              </w:rPr>
              <w:t>TOTAL</w:t>
            </w:r>
          </w:p>
        </w:tc>
        <w:tc>
          <w:tcPr>
            <w:tcW w:w="990" w:type="dxa"/>
            <w:shd w:val="clear" w:color="auto" w:fill="99FF99"/>
            <w:vAlign w:val="center"/>
          </w:tcPr>
          <w:p w:rsidR="00714513" w:rsidRPr="00714513" w:rsidP="00EB6A04" w14:paraId="55118436" w14:textId="77777777">
            <w:pPr>
              <w:ind w:right="72"/>
              <w:contextualSpacing/>
              <w:jc w:val="right"/>
              <w:rPr>
                <w:b/>
                <w:bCs/>
                <w:color w:val="000000"/>
                <w:sz w:val="20"/>
                <w:szCs w:val="20"/>
              </w:rPr>
            </w:pPr>
            <w:r w:rsidRPr="00714513">
              <w:rPr>
                <w:b/>
                <w:bCs/>
                <w:color w:val="000000"/>
                <w:sz w:val="20"/>
                <w:szCs w:val="20"/>
              </w:rPr>
              <w:t>8,000</w:t>
            </w:r>
          </w:p>
        </w:tc>
        <w:tc>
          <w:tcPr>
            <w:tcW w:w="1350" w:type="dxa"/>
            <w:shd w:val="clear" w:color="auto" w:fill="99FF99"/>
            <w:vAlign w:val="center"/>
          </w:tcPr>
          <w:p w:rsidR="00714513" w:rsidRPr="00714513" w:rsidP="00EB6A04" w14:paraId="1C09E6A8" w14:textId="77777777">
            <w:pPr>
              <w:ind w:left="67"/>
              <w:contextualSpacing/>
              <w:jc w:val="right"/>
              <w:rPr>
                <w:b/>
                <w:bCs/>
                <w:color w:val="000000"/>
                <w:sz w:val="20"/>
                <w:szCs w:val="20"/>
              </w:rPr>
            </w:pPr>
          </w:p>
        </w:tc>
        <w:tc>
          <w:tcPr>
            <w:tcW w:w="810" w:type="dxa"/>
            <w:shd w:val="clear" w:color="auto" w:fill="99FF99"/>
            <w:vAlign w:val="center"/>
          </w:tcPr>
          <w:p w:rsidR="00714513" w:rsidRPr="00714513" w:rsidP="00EB6A04" w14:paraId="42E2891B" w14:textId="77777777">
            <w:pPr>
              <w:contextualSpacing/>
              <w:jc w:val="right"/>
              <w:rPr>
                <w:b/>
                <w:bCs/>
                <w:color w:val="000000"/>
                <w:sz w:val="20"/>
                <w:szCs w:val="20"/>
              </w:rPr>
            </w:pPr>
            <w:r w:rsidRPr="00714513">
              <w:rPr>
                <w:b/>
                <w:bCs/>
                <w:color w:val="000000"/>
                <w:sz w:val="20"/>
                <w:szCs w:val="20"/>
              </w:rPr>
              <w:t>800</w:t>
            </w:r>
          </w:p>
        </w:tc>
      </w:tr>
    </w:tbl>
    <w:p w:rsidR="00714513" w:rsidRPr="00714513" w:rsidP="00EB6A04" w14:paraId="6DD62221" w14:textId="091048B3">
      <w:pPr>
        <w:spacing w:line="480" w:lineRule="auto"/>
        <w:contextualSpacing/>
        <w:rPr>
          <w:rFonts w:eastAsia="Arial"/>
          <w:color w:val="000000"/>
          <w:sz w:val="18"/>
          <w:szCs w:val="18"/>
        </w:rPr>
      </w:pPr>
    </w:p>
    <w:p w:rsidR="00714513" w:rsidRPr="00714513" w:rsidP="00EB6A04" w14:paraId="4AE82C1F" w14:textId="77777777">
      <w:pPr>
        <w:ind w:left="-5" w:hanging="10"/>
        <w:contextualSpacing/>
        <w:rPr>
          <w:b/>
          <w:bCs/>
          <w:iCs/>
          <w:color w:val="000000"/>
        </w:rPr>
      </w:pPr>
      <w:r w:rsidRPr="00714513">
        <w:rPr>
          <w:b/>
          <w:bCs/>
          <w:iCs/>
          <w:color w:val="000000"/>
        </w:rPr>
        <w:t>Current Good Manufacturing Practice for Medical Gases; OMB Control No. 0910-0906 (89 FR @ 51760)</w:t>
      </w:r>
    </w:p>
    <w:p w:rsidR="00714513" w:rsidRPr="00714513" w:rsidP="00EB6A04" w14:paraId="47F17CE6" w14:textId="77777777">
      <w:pPr>
        <w:contextualSpacing/>
        <w:jc w:val="center"/>
        <w:rPr>
          <w:rFonts w:eastAsia="Arial"/>
          <w:color w:val="000000"/>
        </w:rPr>
      </w:pPr>
    </w:p>
    <w:p w:rsidR="00714513" w:rsidRPr="00714513" w:rsidP="00EB6A04" w14:paraId="16516304" w14:textId="13E1EE95">
      <w:pPr>
        <w:contextualSpacing/>
        <w:rPr>
          <w:rFonts w:eastAsia="Arial"/>
          <w:color w:val="000000"/>
        </w:rPr>
      </w:pPr>
      <w:r w:rsidRPr="00714513">
        <w:rPr>
          <w:rFonts w:eastAsia="Arial"/>
          <w:color w:val="000000"/>
        </w:rPr>
        <w:t xml:space="preserve">Regulations in 21 CFR part 213 establish good manufacturing practice requirements applicable to medical gases, including recordkeeping requirements that provide for the preparation and retention of records, including the reporting of information to FDA or disclosures of information  to the public.  We estimate both one-time and recurring burden attributable to the new information collection provisions, as reflected </w:t>
      </w:r>
      <w:r w:rsidR="00B5229B">
        <w:rPr>
          <w:rFonts w:eastAsia="Arial"/>
          <w:color w:val="000000"/>
        </w:rPr>
        <w:t>below</w:t>
      </w:r>
      <w:r w:rsidRPr="00714513">
        <w:rPr>
          <w:rFonts w:eastAsia="Arial"/>
          <w:color w:val="000000"/>
        </w:rPr>
        <w:t>.</w:t>
      </w:r>
    </w:p>
    <w:p w:rsidR="00714513" w:rsidRPr="00714513" w:rsidP="00EB6A04" w14:paraId="4B5053AA" w14:textId="77777777">
      <w:pPr>
        <w:keepNext/>
        <w:widowControl w:val="0"/>
        <w:contextualSpacing/>
        <w:jc w:val="center"/>
        <w:rPr>
          <w:rFonts w:eastAsia="Arial"/>
          <w:color w:val="000000"/>
          <w:sz w:val="20"/>
          <w:szCs w:val="20"/>
        </w:rPr>
      </w:pPr>
    </w:p>
    <w:p w:rsidR="00714513" w:rsidRPr="00714513" w:rsidP="00EB6A04" w14:paraId="63A677F9" w14:textId="77777777">
      <w:pPr>
        <w:keepNext/>
        <w:widowControl w:val="0"/>
        <w:contextualSpacing/>
        <w:jc w:val="center"/>
        <w:rPr>
          <w:rFonts w:eastAsia="Arial"/>
          <w:color w:val="000000"/>
          <w:sz w:val="20"/>
          <w:szCs w:val="20"/>
        </w:rPr>
      </w:pPr>
      <w:r w:rsidRPr="00714513">
        <w:rPr>
          <w:rFonts w:eastAsia="Arial"/>
          <w:color w:val="000000"/>
          <w:sz w:val="20"/>
          <w:szCs w:val="20"/>
        </w:rPr>
        <w:t xml:space="preserve">Estimated Annual Recordkeeping Burden – </w:t>
      </w:r>
    </w:p>
    <w:p w:rsidR="00714513" w:rsidRPr="00714513" w:rsidP="00EB6A04" w14:paraId="045575C9" w14:textId="127B0162">
      <w:pPr>
        <w:keepNext/>
        <w:widowControl w:val="0"/>
        <w:contextualSpacing/>
        <w:jc w:val="center"/>
        <w:rPr>
          <w:rFonts w:eastAsia="Arial"/>
          <w:color w:val="000000"/>
          <w:sz w:val="20"/>
          <w:szCs w:val="20"/>
          <w:vertAlign w:val="superscript"/>
        </w:rPr>
      </w:pPr>
      <w:r w:rsidRPr="00714513">
        <w:rPr>
          <w:rFonts w:eastAsia="Arial"/>
          <w:color w:val="000000"/>
          <w:sz w:val="20"/>
          <w:szCs w:val="20"/>
        </w:rPr>
        <w:t>CGMP for Medical Gases (Tables 3 and 4 from FINAL RULE)</w:t>
      </w:r>
    </w:p>
    <w:tbl>
      <w:tblPr>
        <w:tblStyle w:val="TableGrid0"/>
        <w:tblW w:w="96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6" w:type="dxa"/>
        </w:tblCellMar>
        <w:tblLook w:val="04A0"/>
      </w:tblPr>
      <w:tblGrid>
        <w:gridCol w:w="3415"/>
        <w:gridCol w:w="1350"/>
        <w:gridCol w:w="1170"/>
        <w:gridCol w:w="1170"/>
        <w:gridCol w:w="1620"/>
        <w:gridCol w:w="900"/>
      </w:tblGrid>
      <w:tr w14:paraId="107BF4B1" w14:textId="77777777" w:rsidTr="006F0496">
        <w:tblPrEx>
          <w:tblW w:w="96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6" w:type="dxa"/>
          </w:tblCellMar>
          <w:tblLook w:val="04A0"/>
        </w:tblPrEx>
        <w:trPr>
          <w:cantSplit/>
          <w:trHeight w:val="692"/>
        </w:trPr>
        <w:tc>
          <w:tcPr>
            <w:tcW w:w="3415" w:type="dxa"/>
          </w:tcPr>
          <w:p w:rsidR="00714513" w:rsidRPr="00714513" w:rsidP="00EB6A04" w14:paraId="5D9449D4" w14:textId="77777777">
            <w:pPr>
              <w:keepNext/>
              <w:ind w:right="78"/>
              <w:contextualSpacing/>
              <w:jc w:val="center"/>
              <w:rPr>
                <w:color w:val="000000"/>
                <w:sz w:val="20"/>
                <w:szCs w:val="20"/>
              </w:rPr>
            </w:pPr>
            <w:r w:rsidRPr="00714513">
              <w:rPr>
                <w:color w:val="000000"/>
                <w:sz w:val="20"/>
                <w:szCs w:val="20"/>
              </w:rPr>
              <w:t>21 CFR part 213;</w:t>
            </w:r>
          </w:p>
          <w:p w:rsidR="00714513" w:rsidRPr="00714513" w:rsidP="00EB6A04" w14:paraId="1CE1317E" w14:textId="77777777">
            <w:pPr>
              <w:keepNext/>
              <w:ind w:right="78"/>
              <w:contextualSpacing/>
              <w:jc w:val="center"/>
              <w:rPr>
                <w:color w:val="000000"/>
                <w:sz w:val="20"/>
                <w:szCs w:val="20"/>
              </w:rPr>
            </w:pPr>
            <w:r w:rsidRPr="00714513">
              <w:rPr>
                <w:color w:val="000000"/>
                <w:sz w:val="20"/>
                <w:szCs w:val="20"/>
              </w:rPr>
              <w:t>Recordkeeping Requirement</w:t>
            </w:r>
          </w:p>
        </w:tc>
        <w:tc>
          <w:tcPr>
            <w:tcW w:w="1350" w:type="dxa"/>
          </w:tcPr>
          <w:p w:rsidR="00714513" w:rsidRPr="00714513" w:rsidP="00EB6A04" w14:paraId="063482B2" w14:textId="77777777">
            <w:pPr>
              <w:keepNext/>
              <w:contextualSpacing/>
              <w:jc w:val="center"/>
              <w:rPr>
                <w:color w:val="000000"/>
                <w:sz w:val="20"/>
                <w:szCs w:val="20"/>
              </w:rPr>
            </w:pPr>
            <w:r w:rsidRPr="00714513">
              <w:rPr>
                <w:color w:val="000000"/>
                <w:sz w:val="20"/>
                <w:szCs w:val="20"/>
              </w:rPr>
              <w:t xml:space="preserve">No. of Recordkeepers </w:t>
            </w:r>
          </w:p>
        </w:tc>
        <w:tc>
          <w:tcPr>
            <w:tcW w:w="1170" w:type="dxa"/>
          </w:tcPr>
          <w:p w:rsidR="00714513" w:rsidRPr="00714513" w:rsidP="00EB6A04" w14:paraId="2786AAED" w14:textId="77777777">
            <w:pPr>
              <w:keepNext/>
              <w:ind w:left="14"/>
              <w:contextualSpacing/>
              <w:jc w:val="center"/>
              <w:rPr>
                <w:color w:val="000000"/>
                <w:sz w:val="20"/>
                <w:szCs w:val="20"/>
              </w:rPr>
            </w:pPr>
            <w:r w:rsidRPr="00714513">
              <w:rPr>
                <w:color w:val="000000"/>
                <w:sz w:val="20"/>
                <w:szCs w:val="20"/>
              </w:rPr>
              <w:t xml:space="preserve">No. of Records per Recordkeeper </w:t>
            </w:r>
          </w:p>
        </w:tc>
        <w:tc>
          <w:tcPr>
            <w:tcW w:w="1170" w:type="dxa"/>
          </w:tcPr>
          <w:p w:rsidR="00714513" w:rsidRPr="00714513" w:rsidP="00EB6A04" w14:paraId="74580BC7" w14:textId="77777777">
            <w:pPr>
              <w:keepNext/>
              <w:contextualSpacing/>
              <w:jc w:val="center"/>
              <w:rPr>
                <w:color w:val="000000"/>
                <w:sz w:val="20"/>
                <w:szCs w:val="20"/>
              </w:rPr>
            </w:pPr>
            <w:r w:rsidRPr="00714513">
              <w:rPr>
                <w:color w:val="000000"/>
                <w:sz w:val="20"/>
                <w:szCs w:val="20"/>
              </w:rPr>
              <w:t xml:space="preserve">Total Annual Records </w:t>
            </w:r>
          </w:p>
        </w:tc>
        <w:tc>
          <w:tcPr>
            <w:tcW w:w="1620" w:type="dxa"/>
          </w:tcPr>
          <w:p w:rsidR="00714513" w:rsidRPr="00714513" w:rsidP="00EB6A04" w14:paraId="70C8CEA5" w14:textId="77777777">
            <w:pPr>
              <w:keepNext/>
              <w:ind w:left="189" w:right="156"/>
              <w:contextualSpacing/>
              <w:jc w:val="center"/>
              <w:rPr>
                <w:color w:val="000000"/>
                <w:sz w:val="20"/>
                <w:szCs w:val="20"/>
              </w:rPr>
            </w:pPr>
            <w:r w:rsidRPr="00714513">
              <w:rPr>
                <w:color w:val="000000"/>
                <w:sz w:val="20"/>
                <w:szCs w:val="20"/>
              </w:rPr>
              <w:t>Average Burden per Recordkeeping (hours)</w:t>
            </w:r>
          </w:p>
        </w:tc>
        <w:tc>
          <w:tcPr>
            <w:tcW w:w="900" w:type="dxa"/>
          </w:tcPr>
          <w:p w:rsidR="00714513" w:rsidRPr="00714513" w:rsidP="00EB6A04" w14:paraId="62AC8BCC" w14:textId="77777777">
            <w:pPr>
              <w:keepNext/>
              <w:ind w:right="79"/>
              <w:contextualSpacing/>
              <w:jc w:val="center"/>
              <w:rPr>
                <w:color w:val="000000"/>
                <w:sz w:val="20"/>
                <w:szCs w:val="20"/>
              </w:rPr>
            </w:pPr>
            <w:r w:rsidRPr="00714513">
              <w:rPr>
                <w:color w:val="000000"/>
                <w:sz w:val="20"/>
                <w:szCs w:val="20"/>
              </w:rPr>
              <w:t>Total Hours</w:t>
            </w:r>
          </w:p>
        </w:tc>
      </w:tr>
      <w:tr w14:paraId="7AB4F794" w14:textId="77777777" w:rsidTr="006F0496">
        <w:tblPrEx>
          <w:tblW w:w="9625" w:type="dxa"/>
          <w:tblInd w:w="0" w:type="dxa"/>
          <w:tblLayout w:type="fixed"/>
          <w:tblCellMar>
            <w:top w:w="14" w:type="dxa"/>
            <w:left w:w="6" w:type="dxa"/>
          </w:tblCellMar>
          <w:tblLook w:val="04A0"/>
        </w:tblPrEx>
        <w:trPr>
          <w:cantSplit/>
          <w:trHeight w:val="191"/>
        </w:trPr>
        <w:tc>
          <w:tcPr>
            <w:tcW w:w="3415" w:type="dxa"/>
          </w:tcPr>
          <w:p w:rsidR="00714513" w:rsidRPr="00714513" w:rsidP="00EB6A04" w14:paraId="7E66ED22" w14:textId="77777777">
            <w:pPr>
              <w:keepNext/>
              <w:ind w:left="82"/>
              <w:contextualSpacing/>
              <w:rPr>
                <w:color w:val="000000"/>
                <w:sz w:val="20"/>
                <w:szCs w:val="20"/>
              </w:rPr>
            </w:pPr>
            <w:r w:rsidRPr="00714513">
              <w:rPr>
                <w:color w:val="000000"/>
                <w:sz w:val="20"/>
                <w:szCs w:val="20"/>
              </w:rPr>
              <w:t>One-time start-up SOPs</w:t>
            </w:r>
          </w:p>
        </w:tc>
        <w:tc>
          <w:tcPr>
            <w:tcW w:w="1350" w:type="dxa"/>
          </w:tcPr>
          <w:p w:rsidR="00714513" w:rsidRPr="00714513" w:rsidP="00EB6A04" w14:paraId="4DA43274" w14:textId="77777777">
            <w:pPr>
              <w:keepNext/>
              <w:ind w:right="73"/>
              <w:contextualSpacing/>
              <w:jc w:val="right"/>
              <w:rPr>
                <w:color w:val="000000"/>
                <w:sz w:val="20"/>
                <w:szCs w:val="20"/>
              </w:rPr>
            </w:pPr>
            <w:r w:rsidRPr="00714513">
              <w:rPr>
                <w:color w:val="000000"/>
                <w:sz w:val="20"/>
                <w:szCs w:val="20"/>
              </w:rPr>
              <w:t>1,696</w:t>
            </w:r>
          </w:p>
        </w:tc>
        <w:tc>
          <w:tcPr>
            <w:tcW w:w="1170" w:type="dxa"/>
          </w:tcPr>
          <w:p w:rsidR="00714513" w:rsidRPr="00714513" w:rsidP="00EB6A04" w14:paraId="2F3064C8" w14:textId="77777777">
            <w:pPr>
              <w:keepNext/>
              <w:ind w:right="73"/>
              <w:contextualSpacing/>
              <w:jc w:val="right"/>
              <w:rPr>
                <w:color w:val="000000"/>
                <w:sz w:val="20"/>
                <w:szCs w:val="20"/>
              </w:rPr>
            </w:pPr>
            <w:r w:rsidRPr="00714513">
              <w:rPr>
                <w:color w:val="000000"/>
                <w:sz w:val="20"/>
                <w:szCs w:val="20"/>
              </w:rPr>
              <w:t>4</w:t>
            </w:r>
          </w:p>
        </w:tc>
        <w:tc>
          <w:tcPr>
            <w:tcW w:w="1170" w:type="dxa"/>
          </w:tcPr>
          <w:p w:rsidR="00714513" w:rsidRPr="00714513" w:rsidP="00EB6A04" w14:paraId="6E9721EC" w14:textId="77777777">
            <w:pPr>
              <w:keepNext/>
              <w:ind w:right="73"/>
              <w:contextualSpacing/>
              <w:jc w:val="right"/>
              <w:rPr>
                <w:color w:val="000000"/>
                <w:sz w:val="20"/>
                <w:szCs w:val="20"/>
              </w:rPr>
            </w:pPr>
            <w:r w:rsidRPr="00714513">
              <w:rPr>
                <w:color w:val="000000"/>
                <w:sz w:val="20"/>
                <w:szCs w:val="20"/>
              </w:rPr>
              <w:t>6,784</w:t>
            </w:r>
          </w:p>
        </w:tc>
        <w:tc>
          <w:tcPr>
            <w:tcW w:w="1620" w:type="dxa"/>
          </w:tcPr>
          <w:p w:rsidR="00714513" w:rsidRPr="00714513" w:rsidP="00EB6A04" w14:paraId="36FD4FB3" w14:textId="77777777">
            <w:pPr>
              <w:keepNext/>
              <w:ind w:left="67" w:right="94"/>
              <w:contextualSpacing/>
              <w:jc w:val="right"/>
              <w:rPr>
                <w:color w:val="000000"/>
                <w:sz w:val="20"/>
                <w:szCs w:val="20"/>
              </w:rPr>
            </w:pPr>
            <w:r w:rsidRPr="00714513">
              <w:rPr>
                <w:color w:val="000000"/>
                <w:sz w:val="20"/>
                <w:szCs w:val="20"/>
              </w:rPr>
              <w:t>13</w:t>
            </w:r>
          </w:p>
        </w:tc>
        <w:tc>
          <w:tcPr>
            <w:tcW w:w="900" w:type="dxa"/>
          </w:tcPr>
          <w:p w:rsidR="00714513" w:rsidRPr="00714513" w:rsidP="00EB6A04" w14:paraId="2EE74E56" w14:textId="77777777">
            <w:pPr>
              <w:keepNext/>
              <w:ind w:right="87"/>
              <w:contextualSpacing/>
              <w:jc w:val="right"/>
              <w:rPr>
                <w:color w:val="000000"/>
                <w:sz w:val="20"/>
                <w:szCs w:val="20"/>
              </w:rPr>
            </w:pPr>
            <w:r w:rsidRPr="00714513">
              <w:rPr>
                <w:color w:val="000000"/>
                <w:sz w:val="20"/>
                <w:szCs w:val="20"/>
              </w:rPr>
              <w:t>88,192</w:t>
            </w:r>
          </w:p>
        </w:tc>
      </w:tr>
      <w:tr w14:paraId="751DCA41" w14:textId="77777777" w:rsidTr="006F0496">
        <w:tblPrEx>
          <w:tblW w:w="9625" w:type="dxa"/>
          <w:tblInd w:w="0" w:type="dxa"/>
          <w:tblLayout w:type="fixed"/>
          <w:tblCellMar>
            <w:top w:w="14" w:type="dxa"/>
            <w:left w:w="6" w:type="dxa"/>
          </w:tblCellMar>
          <w:tblLook w:val="04A0"/>
        </w:tblPrEx>
        <w:trPr>
          <w:cantSplit/>
          <w:trHeight w:val="191"/>
        </w:trPr>
        <w:tc>
          <w:tcPr>
            <w:tcW w:w="3415" w:type="dxa"/>
          </w:tcPr>
          <w:p w:rsidR="00714513" w:rsidRPr="00714513" w:rsidP="00EB6A04" w14:paraId="0B8AEDC4" w14:textId="77777777">
            <w:pPr>
              <w:keepNext/>
              <w:ind w:left="82"/>
              <w:contextualSpacing/>
              <w:rPr>
                <w:color w:val="000000"/>
                <w:sz w:val="20"/>
                <w:szCs w:val="20"/>
              </w:rPr>
            </w:pPr>
            <w:r w:rsidRPr="00714513">
              <w:rPr>
                <w:i/>
                <w:iCs/>
                <w:color w:val="000000"/>
                <w:sz w:val="20"/>
                <w:szCs w:val="20"/>
                <w:u w:val="single"/>
              </w:rPr>
              <w:t>Subparts A through I</w:t>
            </w:r>
            <w:r w:rsidRPr="00714513">
              <w:rPr>
                <w:color w:val="000000"/>
                <w:sz w:val="20"/>
                <w:szCs w:val="20"/>
              </w:rPr>
              <w:t xml:space="preserve"> – </w:t>
            </w:r>
          </w:p>
          <w:p w:rsidR="00714513" w:rsidRPr="00714513" w:rsidP="00EB6A04" w14:paraId="6BD03B90" w14:textId="77777777">
            <w:pPr>
              <w:keepNext/>
              <w:ind w:left="288"/>
              <w:rPr>
                <w:color w:val="000000"/>
                <w:sz w:val="20"/>
                <w:szCs w:val="20"/>
              </w:rPr>
            </w:pPr>
            <w:r w:rsidRPr="00714513">
              <w:rPr>
                <w:color w:val="000000"/>
                <w:sz w:val="20"/>
                <w:szCs w:val="20"/>
              </w:rPr>
              <w:t xml:space="preserve">General provisions; </w:t>
            </w:r>
          </w:p>
          <w:p w:rsidR="00714513" w:rsidRPr="00714513" w:rsidP="00EB6A04" w14:paraId="2E89E878" w14:textId="77777777">
            <w:pPr>
              <w:keepNext/>
              <w:ind w:left="288"/>
              <w:rPr>
                <w:color w:val="000000"/>
                <w:sz w:val="20"/>
                <w:szCs w:val="20"/>
              </w:rPr>
            </w:pPr>
            <w:r w:rsidRPr="00714513">
              <w:rPr>
                <w:color w:val="000000"/>
                <w:sz w:val="20"/>
                <w:szCs w:val="20"/>
              </w:rPr>
              <w:t>Organization &amp; personnel;</w:t>
            </w:r>
          </w:p>
          <w:p w:rsidR="00714513" w:rsidRPr="00714513" w:rsidP="00EB6A04" w14:paraId="7BA7FF75" w14:textId="77777777">
            <w:pPr>
              <w:keepNext/>
              <w:ind w:left="288"/>
              <w:rPr>
                <w:color w:val="000000"/>
                <w:sz w:val="20"/>
                <w:szCs w:val="20"/>
              </w:rPr>
            </w:pPr>
            <w:r w:rsidRPr="00714513">
              <w:rPr>
                <w:color w:val="000000"/>
                <w:sz w:val="20"/>
                <w:szCs w:val="20"/>
              </w:rPr>
              <w:t>Buildings &amp; facilities;</w:t>
            </w:r>
          </w:p>
          <w:p w:rsidR="00714513" w:rsidRPr="00714513" w:rsidP="00EB6A04" w14:paraId="770030B9" w14:textId="77777777">
            <w:pPr>
              <w:keepNext/>
              <w:ind w:left="288"/>
              <w:rPr>
                <w:color w:val="000000"/>
                <w:sz w:val="20"/>
                <w:szCs w:val="20"/>
              </w:rPr>
            </w:pPr>
            <w:r w:rsidRPr="00714513">
              <w:rPr>
                <w:color w:val="000000"/>
                <w:sz w:val="20"/>
                <w:szCs w:val="20"/>
              </w:rPr>
              <w:t>Product controls;</w:t>
            </w:r>
          </w:p>
          <w:p w:rsidR="00714513" w:rsidRPr="00714513" w:rsidP="00EB6A04" w14:paraId="5D5A27E9" w14:textId="77777777">
            <w:pPr>
              <w:keepNext/>
              <w:ind w:left="288"/>
              <w:rPr>
                <w:color w:val="000000"/>
                <w:sz w:val="20"/>
                <w:szCs w:val="20"/>
              </w:rPr>
            </w:pPr>
            <w:r w:rsidRPr="00714513">
              <w:rPr>
                <w:color w:val="000000"/>
                <w:sz w:val="20"/>
                <w:szCs w:val="20"/>
              </w:rPr>
              <w:t>Production &amp; process controls;</w:t>
            </w:r>
          </w:p>
          <w:p w:rsidR="00714513" w:rsidRPr="00714513" w:rsidP="00EB6A04" w14:paraId="66B9F57A" w14:textId="77777777">
            <w:pPr>
              <w:keepNext/>
              <w:ind w:left="288"/>
              <w:rPr>
                <w:color w:val="000000"/>
                <w:sz w:val="20"/>
                <w:szCs w:val="20"/>
              </w:rPr>
            </w:pPr>
            <w:r w:rsidRPr="00714513">
              <w:rPr>
                <w:color w:val="000000"/>
                <w:sz w:val="20"/>
                <w:szCs w:val="20"/>
              </w:rPr>
              <w:t>Packaging &amp; labeling controls;</w:t>
            </w:r>
          </w:p>
          <w:p w:rsidR="00714513" w:rsidRPr="00714513" w:rsidP="00EB6A04" w14:paraId="070B2F60" w14:textId="77777777">
            <w:pPr>
              <w:keepNext/>
              <w:ind w:left="288"/>
              <w:rPr>
                <w:color w:val="000000"/>
                <w:sz w:val="20"/>
                <w:szCs w:val="20"/>
              </w:rPr>
            </w:pPr>
            <w:r w:rsidRPr="00714513">
              <w:rPr>
                <w:color w:val="000000"/>
                <w:sz w:val="20"/>
                <w:szCs w:val="20"/>
              </w:rPr>
              <w:t>Holding &amp; distribution;</w:t>
            </w:r>
          </w:p>
          <w:p w:rsidR="00714513" w:rsidRPr="00714513" w:rsidP="00EB6A04" w14:paraId="5325387C" w14:textId="77777777">
            <w:pPr>
              <w:keepNext/>
              <w:ind w:left="288"/>
              <w:rPr>
                <w:color w:val="000000"/>
                <w:sz w:val="20"/>
                <w:szCs w:val="20"/>
              </w:rPr>
            </w:pPr>
            <w:r w:rsidRPr="00714513">
              <w:rPr>
                <w:color w:val="000000"/>
                <w:sz w:val="20"/>
                <w:szCs w:val="20"/>
              </w:rPr>
              <w:t xml:space="preserve">Laboratory controls. </w:t>
            </w:r>
          </w:p>
        </w:tc>
        <w:tc>
          <w:tcPr>
            <w:tcW w:w="1350" w:type="dxa"/>
          </w:tcPr>
          <w:p w:rsidR="00714513" w:rsidRPr="00714513" w:rsidP="00EB6A04" w14:paraId="55F4D93E" w14:textId="77777777">
            <w:pPr>
              <w:keepNext/>
              <w:ind w:right="73"/>
              <w:contextualSpacing/>
              <w:jc w:val="right"/>
              <w:rPr>
                <w:color w:val="000000"/>
                <w:sz w:val="20"/>
                <w:szCs w:val="20"/>
              </w:rPr>
            </w:pPr>
            <w:r w:rsidRPr="00714513">
              <w:rPr>
                <w:color w:val="000000"/>
                <w:sz w:val="20"/>
                <w:szCs w:val="20"/>
              </w:rPr>
              <w:t>1,696</w:t>
            </w:r>
          </w:p>
        </w:tc>
        <w:tc>
          <w:tcPr>
            <w:tcW w:w="1170" w:type="dxa"/>
          </w:tcPr>
          <w:p w:rsidR="00714513" w:rsidRPr="00714513" w:rsidP="00EB6A04" w14:paraId="2D3F0474" w14:textId="77777777">
            <w:pPr>
              <w:keepNext/>
              <w:ind w:right="73"/>
              <w:contextualSpacing/>
              <w:jc w:val="right"/>
              <w:rPr>
                <w:color w:val="000000"/>
                <w:sz w:val="20"/>
                <w:szCs w:val="20"/>
              </w:rPr>
            </w:pPr>
            <w:r w:rsidRPr="00714513">
              <w:rPr>
                <w:color w:val="000000"/>
                <w:sz w:val="20"/>
                <w:szCs w:val="20"/>
              </w:rPr>
              <w:t>533.93</w:t>
            </w:r>
          </w:p>
        </w:tc>
        <w:tc>
          <w:tcPr>
            <w:tcW w:w="1170" w:type="dxa"/>
          </w:tcPr>
          <w:p w:rsidR="00714513" w:rsidRPr="00714513" w:rsidP="00EB6A04" w14:paraId="659AA351" w14:textId="77777777">
            <w:pPr>
              <w:keepNext/>
              <w:ind w:right="73"/>
              <w:contextualSpacing/>
              <w:jc w:val="right"/>
              <w:rPr>
                <w:color w:val="000000"/>
                <w:sz w:val="20"/>
                <w:szCs w:val="20"/>
              </w:rPr>
            </w:pPr>
            <w:r w:rsidRPr="00714513">
              <w:rPr>
                <w:color w:val="000000"/>
                <w:sz w:val="20"/>
                <w:szCs w:val="20"/>
              </w:rPr>
              <w:t>905,559</w:t>
            </w:r>
          </w:p>
        </w:tc>
        <w:tc>
          <w:tcPr>
            <w:tcW w:w="1620" w:type="dxa"/>
          </w:tcPr>
          <w:p w:rsidR="00714513" w:rsidRPr="00714513" w:rsidP="00EB6A04" w14:paraId="787837B5" w14:textId="77777777">
            <w:pPr>
              <w:keepNext/>
              <w:ind w:left="67" w:right="94"/>
              <w:contextualSpacing/>
              <w:jc w:val="right"/>
              <w:rPr>
                <w:color w:val="000000"/>
                <w:sz w:val="20"/>
                <w:szCs w:val="20"/>
              </w:rPr>
            </w:pPr>
            <w:r w:rsidRPr="00714513">
              <w:rPr>
                <w:color w:val="000000"/>
                <w:sz w:val="20"/>
                <w:szCs w:val="20"/>
              </w:rPr>
              <w:t>~0.24</w:t>
            </w:r>
          </w:p>
          <w:p w:rsidR="00714513" w:rsidRPr="00714513" w:rsidP="00EB6A04" w14:paraId="36FE206D" w14:textId="77777777">
            <w:pPr>
              <w:keepNext/>
              <w:ind w:left="67" w:right="94"/>
              <w:contextualSpacing/>
              <w:jc w:val="right"/>
              <w:rPr>
                <w:color w:val="000000"/>
                <w:sz w:val="20"/>
                <w:szCs w:val="20"/>
              </w:rPr>
            </w:pPr>
            <w:r w:rsidRPr="00714513">
              <w:rPr>
                <w:color w:val="000000"/>
                <w:sz w:val="20"/>
                <w:szCs w:val="20"/>
              </w:rPr>
              <w:t>(14 mins.)</w:t>
            </w:r>
          </w:p>
        </w:tc>
        <w:tc>
          <w:tcPr>
            <w:tcW w:w="900" w:type="dxa"/>
          </w:tcPr>
          <w:p w:rsidR="00714513" w:rsidRPr="00714513" w:rsidP="00EB6A04" w14:paraId="4E2ED13C" w14:textId="77777777">
            <w:pPr>
              <w:keepNext/>
              <w:ind w:right="87"/>
              <w:contextualSpacing/>
              <w:jc w:val="right"/>
              <w:rPr>
                <w:color w:val="000000"/>
                <w:sz w:val="20"/>
                <w:szCs w:val="20"/>
              </w:rPr>
            </w:pPr>
            <w:r w:rsidRPr="00714513">
              <w:rPr>
                <w:color w:val="000000"/>
                <w:sz w:val="20"/>
                <w:szCs w:val="20"/>
              </w:rPr>
              <w:t>221,158</w:t>
            </w:r>
          </w:p>
        </w:tc>
      </w:tr>
      <w:tr w14:paraId="0F1DB4D9" w14:textId="77777777" w:rsidTr="006F0496">
        <w:tblPrEx>
          <w:tblW w:w="9625" w:type="dxa"/>
          <w:tblInd w:w="0" w:type="dxa"/>
          <w:tblLayout w:type="fixed"/>
          <w:tblCellMar>
            <w:top w:w="14" w:type="dxa"/>
            <w:left w:w="6" w:type="dxa"/>
          </w:tblCellMar>
          <w:tblLook w:val="04A0"/>
        </w:tblPrEx>
        <w:trPr>
          <w:cantSplit/>
          <w:trHeight w:val="336"/>
        </w:trPr>
        <w:tc>
          <w:tcPr>
            <w:tcW w:w="3415" w:type="dxa"/>
          </w:tcPr>
          <w:p w:rsidR="00714513" w:rsidRPr="00714513" w:rsidP="00EB6A04" w14:paraId="12E50931" w14:textId="77777777">
            <w:pPr>
              <w:keepNext/>
              <w:ind w:left="82"/>
              <w:contextualSpacing/>
              <w:rPr>
                <w:color w:val="000000"/>
                <w:sz w:val="20"/>
                <w:szCs w:val="20"/>
              </w:rPr>
            </w:pPr>
            <w:r w:rsidRPr="00714513">
              <w:rPr>
                <w:i/>
                <w:iCs/>
                <w:color w:val="000000"/>
                <w:sz w:val="20"/>
                <w:szCs w:val="20"/>
                <w:u w:val="single"/>
              </w:rPr>
              <w:t>Subpart J</w:t>
            </w:r>
            <w:r w:rsidRPr="00714513">
              <w:rPr>
                <w:color w:val="000000"/>
                <w:sz w:val="20"/>
                <w:szCs w:val="20"/>
              </w:rPr>
              <w:t xml:space="preserve"> – </w:t>
            </w:r>
          </w:p>
          <w:p w:rsidR="00714513" w:rsidRPr="00714513" w:rsidP="00EB6A04" w14:paraId="779E4DBA" w14:textId="77777777">
            <w:pPr>
              <w:keepNext/>
              <w:ind w:left="82"/>
              <w:contextualSpacing/>
              <w:rPr>
                <w:color w:val="000000"/>
                <w:sz w:val="20"/>
                <w:szCs w:val="20"/>
              </w:rPr>
            </w:pPr>
            <w:r w:rsidRPr="00714513">
              <w:rPr>
                <w:color w:val="000000"/>
                <w:sz w:val="20"/>
                <w:szCs w:val="20"/>
              </w:rPr>
              <w:t>Records; general requirements, specific records, &amp; complaint files.</w:t>
            </w:r>
          </w:p>
        </w:tc>
        <w:tc>
          <w:tcPr>
            <w:tcW w:w="1350" w:type="dxa"/>
          </w:tcPr>
          <w:p w:rsidR="00714513" w:rsidRPr="00714513" w:rsidP="00EB6A04" w14:paraId="0F18C9DD" w14:textId="77777777">
            <w:pPr>
              <w:keepNext/>
              <w:ind w:right="73"/>
              <w:contextualSpacing/>
              <w:jc w:val="right"/>
              <w:rPr>
                <w:color w:val="000000"/>
                <w:sz w:val="20"/>
                <w:szCs w:val="20"/>
              </w:rPr>
            </w:pPr>
            <w:r w:rsidRPr="00714513">
              <w:rPr>
                <w:color w:val="000000"/>
                <w:sz w:val="20"/>
                <w:szCs w:val="20"/>
              </w:rPr>
              <w:t>1,696</w:t>
            </w:r>
          </w:p>
        </w:tc>
        <w:tc>
          <w:tcPr>
            <w:tcW w:w="1170" w:type="dxa"/>
          </w:tcPr>
          <w:p w:rsidR="00714513" w:rsidRPr="00714513" w:rsidP="00EB6A04" w14:paraId="4504EF56" w14:textId="77777777">
            <w:pPr>
              <w:keepNext/>
              <w:ind w:right="73"/>
              <w:contextualSpacing/>
              <w:jc w:val="right"/>
              <w:rPr>
                <w:color w:val="000000"/>
                <w:sz w:val="20"/>
                <w:szCs w:val="20"/>
              </w:rPr>
            </w:pPr>
            <w:r w:rsidRPr="00714513">
              <w:rPr>
                <w:color w:val="000000"/>
                <w:sz w:val="20"/>
                <w:szCs w:val="20"/>
              </w:rPr>
              <w:t>116.75</w:t>
            </w:r>
          </w:p>
        </w:tc>
        <w:tc>
          <w:tcPr>
            <w:tcW w:w="1170" w:type="dxa"/>
          </w:tcPr>
          <w:p w:rsidR="00714513" w:rsidRPr="00714513" w:rsidP="00EB6A04" w14:paraId="695E9E17" w14:textId="77777777">
            <w:pPr>
              <w:keepNext/>
              <w:ind w:right="73"/>
              <w:contextualSpacing/>
              <w:jc w:val="right"/>
              <w:rPr>
                <w:color w:val="000000"/>
                <w:sz w:val="20"/>
                <w:szCs w:val="20"/>
              </w:rPr>
            </w:pPr>
            <w:r w:rsidRPr="00714513">
              <w:rPr>
                <w:color w:val="000000"/>
                <w:sz w:val="20"/>
                <w:szCs w:val="20"/>
              </w:rPr>
              <w:t>198,023</w:t>
            </w:r>
          </w:p>
        </w:tc>
        <w:tc>
          <w:tcPr>
            <w:tcW w:w="1620" w:type="dxa"/>
          </w:tcPr>
          <w:p w:rsidR="00714513" w:rsidRPr="00714513" w:rsidP="00EB6A04" w14:paraId="6DE3CF1D" w14:textId="77777777">
            <w:pPr>
              <w:keepNext/>
              <w:ind w:left="67" w:right="94"/>
              <w:contextualSpacing/>
              <w:jc w:val="right"/>
              <w:rPr>
                <w:color w:val="000000"/>
                <w:sz w:val="20"/>
                <w:szCs w:val="20"/>
              </w:rPr>
            </w:pPr>
            <w:r w:rsidRPr="00714513">
              <w:rPr>
                <w:color w:val="000000"/>
                <w:sz w:val="20"/>
                <w:szCs w:val="20"/>
              </w:rPr>
              <w:t>~ 0.78</w:t>
            </w:r>
          </w:p>
          <w:p w:rsidR="00714513" w:rsidRPr="00714513" w:rsidP="00EB6A04" w14:paraId="578D87EA" w14:textId="77777777">
            <w:pPr>
              <w:keepNext/>
              <w:ind w:left="67" w:right="94"/>
              <w:contextualSpacing/>
              <w:jc w:val="right"/>
              <w:rPr>
                <w:color w:val="000000"/>
                <w:sz w:val="20"/>
                <w:szCs w:val="20"/>
              </w:rPr>
            </w:pPr>
            <w:r w:rsidRPr="00714513">
              <w:rPr>
                <w:color w:val="000000"/>
                <w:sz w:val="20"/>
                <w:szCs w:val="20"/>
              </w:rPr>
              <w:t>(47 mins.)</w:t>
            </w:r>
          </w:p>
        </w:tc>
        <w:tc>
          <w:tcPr>
            <w:tcW w:w="900" w:type="dxa"/>
          </w:tcPr>
          <w:p w:rsidR="00714513" w:rsidRPr="00714513" w:rsidP="00EB6A04" w14:paraId="6BA409ED" w14:textId="77777777">
            <w:pPr>
              <w:keepNext/>
              <w:ind w:right="87"/>
              <w:contextualSpacing/>
              <w:jc w:val="right"/>
              <w:rPr>
                <w:color w:val="000000"/>
                <w:sz w:val="20"/>
                <w:szCs w:val="20"/>
              </w:rPr>
            </w:pPr>
            <w:r w:rsidRPr="00714513">
              <w:rPr>
                <w:color w:val="000000"/>
                <w:sz w:val="20"/>
                <w:szCs w:val="20"/>
              </w:rPr>
              <w:t>154,802</w:t>
            </w:r>
          </w:p>
        </w:tc>
      </w:tr>
      <w:tr w14:paraId="3F145BA8" w14:textId="77777777" w:rsidTr="006F0496">
        <w:tblPrEx>
          <w:tblW w:w="9625" w:type="dxa"/>
          <w:tblInd w:w="0" w:type="dxa"/>
          <w:tblLayout w:type="fixed"/>
          <w:tblCellMar>
            <w:top w:w="14" w:type="dxa"/>
            <w:left w:w="6" w:type="dxa"/>
          </w:tblCellMar>
          <w:tblLook w:val="04A0"/>
        </w:tblPrEx>
        <w:trPr>
          <w:cantSplit/>
          <w:trHeight w:val="336"/>
        </w:trPr>
        <w:tc>
          <w:tcPr>
            <w:tcW w:w="3415" w:type="dxa"/>
          </w:tcPr>
          <w:p w:rsidR="00714513" w:rsidRPr="00714513" w:rsidP="00EB6A04" w14:paraId="01AFA41B" w14:textId="77777777">
            <w:pPr>
              <w:keepNext/>
              <w:ind w:left="82"/>
              <w:contextualSpacing/>
              <w:rPr>
                <w:color w:val="000000"/>
                <w:sz w:val="20"/>
                <w:szCs w:val="20"/>
              </w:rPr>
            </w:pPr>
            <w:r w:rsidRPr="00714513">
              <w:rPr>
                <w:i/>
                <w:iCs/>
                <w:color w:val="000000"/>
                <w:sz w:val="20"/>
                <w:szCs w:val="20"/>
                <w:u w:val="single"/>
              </w:rPr>
              <w:t>Subpart K</w:t>
            </w:r>
            <w:r w:rsidRPr="00714513">
              <w:rPr>
                <w:color w:val="000000"/>
                <w:sz w:val="20"/>
                <w:szCs w:val="20"/>
              </w:rPr>
              <w:t xml:space="preserve"> – </w:t>
            </w:r>
          </w:p>
          <w:p w:rsidR="00714513" w:rsidRPr="00714513" w:rsidP="00EB6A04" w14:paraId="4A3746EC" w14:textId="77777777">
            <w:pPr>
              <w:keepNext/>
              <w:ind w:left="82"/>
              <w:contextualSpacing/>
              <w:rPr>
                <w:color w:val="000000"/>
                <w:sz w:val="20"/>
                <w:szCs w:val="20"/>
              </w:rPr>
            </w:pPr>
            <w:r w:rsidRPr="00714513">
              <w:rPr>
                <w:color w:val="000000"/>
                <w:sz w:val="20"/>
                <w:szCs w:val="20"/>
              </w:rPr>
              <w:t>Returned and salvaged medical gases.</w:t>
            </w:r>
          </w:p>
        </w:tc>
        <w:tc>
          <w:tcPr>
            <w:tcW w:w="1350" w:type="dxa"/>
          </w:tcPr>
          <w:p w:rsidR="00714513" w:rsidRPr="00714513" w:rsidP="00EB6A04" w14:paraId="45A89E88" w14:textId="77777777">
            <w:pPr>
              <w:keepNext/>
              <w:ind w:right="73"/>
              <w:contextualSpacing/>
              <w:jc w:val="right"/>
              <w:rPr>
                <w:color w:val="000000"/>
                <w:sz w:val="20"/>
                <w:szCs w:val="20"/>
              </w:rPr>
            </w:pPr>
            <w:r w:rsidRPr="00714513">
              <w:rPr>
                <w:color w:val="000000"/>
                <w:sz w:val="20"/>
                <w:szCs w:val="20"/>
              </w:rPr>
              <w:t>1,696</w:t>
            </w:r>
          </w:p>
        </w:tc>
        <w:tc>
          <w:tcPr>
            <w:tcW w:w="1170" w:type="dxa"/>
          </w:tcPr>
          <w:p w:rsidR="00714513" w:rsidRPr="00714513" w:rsidP="00EB6A04" w14:paraId="70D6AD3B" w14:textId="77777777">
            <w:pPr>
              <w:keepNext/>
              <w:ind w:right="73"/>
              <w:contextualSpacing/>
              <w:jc w:val="right"/>
              <w:rPr>
                <w:color w:val="000000"/>
                <w:sz w:val="20"/>
                <w:szCs w:val="20"/>
              </w:rPr>
            </w:pPr>
            <w:r w:rsidRPr="00714513">
              <w:rPr>
                <w:color w:val="000000"/>
                <w:sz w:val="20"/>
                <w:szCs w:val="20"/>
              </w:rPr>
              <w:t>1</w:t>
            </w:r>
          </w:p>
        </w:tc>
        <w:tc>
          <w:tcPr>
            <w:tcW w:w="1170" w:type="dxa"/>
          </w:tcPr>
          <w:p w:rsidR="00714513" w:rsidRPr="00714513" w:rsidP="00EB6A04" w14:paraId="76C0AADD" w14:textId="77777777">
            <w:pPr>
              <w:keepNext/>
              <w:ind w:right="73"/>
              <w:contextualSpacing/>
              <w:jc w:val="right"/>
              <w:rPr>
                <w:color w:val="000000"/>
                <w:sz w:val="20"/>
                <w:szCs w:val="20"/>
              </w:rPr>
            </w:pPr>
            <w:r w:rsidRPr="00714513">
              <w:rPr>
                <w:color w:val="000000"/>
                <w:sz w:val="20"/>
                <w:szCs w:val="20"/>
              </w:rPr>
              <w:t>1,696</w:t>
            </w:r>
          </w:p>
        </w:tc>
        <w:tc>
          <w:tcPr>
            <w:tcW w:w="1620" w:type="dxa"/>
          </w:tcPr>
          <w:p w:rsidR="00714513" w:rsidRPr="00714513" w:rsidP="00EB6A04" w14:paraId="5867D8FE" w14:textId="77777777">
            <w:pPr>
              <w:keepNext/>
              <w:ind w:left="67" w:right="94"/>
              <w:contextualSpacing/>
              <w:jc w:val="right"/>
              <w:rPr>
                <w:color w:val="000000"/>
                <w:sz w:val="20"/>
                <w:szCs w:val="20"/>
              </w:rPr>
            </w:pPr>
            <w:r w:rsidRPr="00714513">
              <w:rPr>
                <w:color w:val="000000"/>
                <w:sz w:val="20"/>
                <w:szCs w:val="20"/>
              </w:rPr>
              <w:t>0.65</w:t>
            </w:r>
          </w:p>
          <w:p w:rsidR="00714513" w:rsidRPr="00714513" w:rsidP="00EB6A04" w14:paraId="22FC7A17" w14:textId="77777777">
            <w:pPr>
              <w:keepNext/>
              <w:ind w:left="67" w:right="94"/>
              <w:contextualSpacing/>
              <w:jc w:val="right"/>
              <w:rPr>
                <w:color w:val="000000"/>
                <w:sz w:val="20"/>
                <w:szCs w:val="20"/>
              </w:rPr>
            </w:pPr>
            <w:r w:rsidRPr="00714513">
              <w:rPr>
                <w:color w:val="000000"/>
                <w:sz w:val="20"/>
                <w:szCs w:val="20"/>
              </w:rPr>
              <w:t>(39 mins.)</w:t>
            </w:r>
          </w:p>
        </w:tc>
        <w:tc>
          <w:tcPr>
            <w:tcW w:w="900" w:type="dxa"/>
          </w:tcPr>
          <w:p w:rsidR="00714513" w:rsidRPr="00714513" w:rsidP="00EB6A04" w14:paraId="4AE49AD3" w14:textId="77777777">
            <w:pPr>
              <w:keepNext/>
              <w:ind w:right="87"/>
              <w:contextualSpacing/>
              <w:jc w:val="right"/>
              <w:rPr>
                <w:color w:val="000000"/>
                <w:sz w:val="20"/>
                <w:szCs w:val="20"/>
              </w:rPr>
            </w:pPr>
            <w:r w:rsidRPr="00714513">
              <w:rPr>
                <w:color w:val="000000"/>
                <w:sz w:val="20"/>
                <w:szCs w:val="20"/>
              </w:rPr>
              <w:t>1,102</w:t>
            </w:r>
          </w:p>
        </w:tc>
      </w:tr>
      <w:tr w14:paraId="2203542E" w14:textId="77777777" w:rsidTr="006F0496">
        <w:tblPrEx>
          <w:tblW w:w="9625" w:type="dxa"/>
          <w:tblInd w:w="0" w:type="dxa"/>
          <w:tblLayout w:type="fixed"/>
          <w:tblCellMar>
            <w:top w:w="14" w:type="dxa"/>
            <w:left w:w="6" w:type="dxa"/>
          </w:tblCellMar>
          <w:tblLook w:val="04A0"/>
        </w:tblPrEx>
        <w:trPr>
          <w:cantSplit/>
          <w:trHeight w:val="336"/>
        </w:trPr>
        <w:tc>
          <w:tcPr>
            <w:tcW w:w="5935" w:type="dxa"/>
            <w:gridSpan w:val="3"/>
            <w:shd w:val="clear" w:color="auto" w:fill="99FF99"/>
          </w:tcPr>
          <w:p w:rsidR="00714513" w:rsidRPr="00714513" w:rsidP="00EB6A04" w14:paraId="0B0D0F0E" w14:textId="77777777">
            <w:pPr>
              <w:keepNext/>
              <w:ind w:right="73"/>
              <w:contextualSpacing/>
              <w:rPr>
                <w:b/>
                <w:bCs/>
                <w:color w:val="000000"/>
                <w:sz w:val="20"/>
                <w:szCs w:val="20"/>
              </w:rPr>
            </w:pPr>
            <w:r w:rsidRPr="00714513">
              <w:rPr>
                <w:b/>
                <w:bCs/>
                <w:color w:val="000000"/>
                <w:sz w:val="20"/>
                <w:szCs w:val="20"/>
              </w:rPr>
              <w:t>TOTAL</w:t>
            </w:r>
          </w:p>
        </w:tc>
        <w:tc>
          <w:tcPr>
            <w:tcW w:w="1170" w:type="dxa"/>
            <w:shd w:val="clear" w:color="auto" w:fill="99FF99"/>
          </w:tcPr>
          <w:p w:rsidR="00714513" w:rsidRPr="00714513" w:rsidP="00EB6A04" w14:paraId="0F074975" w14:textId="77777777">
            <w:pPr>
              <w:keepNext/>
              <w:ind w:right="73"/>
              <w:contextualSpacing/>
              <w:jc w:val="right"/>
              <w:rPr>
                <w:b/>
                <w:bCs/>
                <w:color w:val="000000"/>
                <w:sz w:val="20"/>
                <w:szCs w:val="20"/>
              </w:rPr>
            </w:pPr>
            <w:r w:rsidRPr="00714513">
              <w:rPr>
                <w:b/>
                <w:bCs/>
                <w:color w:val="000000"/>
                <w:sz w:val="20"/>
                <w:szCs w:val="20"/>
              </w:rPr>
              <w:fldChar w:fldCharType="begin"/>
            </w:r>
            <w:r w:rsidRPr="00714513">
              <w:rPr>
                <w:b/>
                <w:bCs/>
                <w:color w:val="000000"/>
                <w:sz w:val="20"/>
                <w:szCs w:val="20"/>
              </w:rPr>
              <w:instrText xml:space="preserve"> =SUM(ABOVE) </w:instrText>
            </w:r>
            <w:r w:rsidRPr="00714513">
              <w:rPr>
                <w:b/>
                <w:bCs/>
                <w:color w:val="000000"/>
                <w:sz w:val="20"/>
                <w:szCs w:val="20"/>
              </w:rPr>
              <w:fldChar w:fldCharType="separate"/>
            </w:r>
            <w:r w:rsidRPr="00714513">
              <w:rPr>
                <w:b/>
                <w:bCs/>
                <w:noProof/>
                <w:color w:val="000000"/>
                <w:sz w:val="20"/>
                <w:szCs w:val="20"/>
              </w:rPr>
              <w:t>1,112,062</w:t>
            </w:r>
            <w:r w:rsidRPr="00714513">
              <w:rPr>
                <w:b/>
                <w:bCs/>
                <w:color w:val="000000"/>
                <w:sz w:val="20"/>
                <w:szCs w:val="20"/>
              </w:rPr>
              <w:fldChar w:fldCharType="end"/>
            </w:r>
          </w:p>
        </w:tc>
        <w:tc>
          <w:tcPr>
            <w:tcW w:w="1620" w:type="dxa"/>
            <w:shd w:val="clear" w:color="auto" w:fill="99FF99"/>
          </w:tcPr>
          <w:p w:rsidR="00714513" w:rsidRPr="00714513" w:rsidP="00EB6A04" w14:paraId="2599B7EA" w14:textId="77777777">
            <w:pPr>
              <w:keepNext/>
              <w:ind w:left="67" w:right="94"/>
              <w:contextualSpacing/>
              <w:jc w:val="right"/>
              <w:rPr>
                <w:b/>
                <w:bCs/>
                <w:color w:val="000000"/>
                <w:sz w:val="20"/>
                <w:szCs w:val="20"/>
              </w:rPr>
            </w:pPr>
          </w:p>
        </w:tc>
        <w:tc>
          <w:tcPr>
            <w:tcW w:w="900" w:type="dxa"/>
            <w:shd w:val="clear" w:color="auto" w:fill="99FF99"/>
          </w:tcPr>
          <w:p w:rsidR="00714513" w:rsidRPr="00714513" w:rsidP="00EB6A04" w14:paraId="15315E82" w14:textId="77777777">
            <w:pPr>
              <w:keepNext/>
              <w:ind w:right="87"/>
              <w:contextualSpacing/>
              <w:jc w:val="right"/>
              <w:rPr>
                <w:b/>
                <w:bCs/>
                <w:color w:val="000000"/>
                <w:sz w:val="20"/>
                <w:szCs w:val="20"/>
              </w:rPr>
            </w:pPr>
            <w:r w:rsidRPr="00714513">
              <w:rPr>
                <w:b/>
                <w:bCs/>
                <w:color w:val="000000"/>
                <w:sz w:val="20"/>
                <w:szCs w:val="20"/>
              </w:rPr>
              <w:fldChar w:fldCharType="begin"/>
            </w:r>
            <w:r w:rsidRPr="00714513">
              <w:rPr>
                <w:b/>
                <w:bCs/>
                <w:color w:val="000000"/>
                <w:sz w:val="20"/>
                <w:szCs w:val="20"/>
              </w:rPr>
              <w:instrText xml:space="preserve"> =SUM(ABOVE) </w:instrText>
            </w:r>
            <w:r w:rsidR="00000000">
              <w:rPr>
                <w:b/>
                <w:bCs/>
                <w:color w:val="000000"/>
                <w:sz w:val="20"/>
                <w:szCs w:val="20"/>
              </w:rPr>
              <w:fldChar w:fldCharType="separate"/>
            </w:r>
            <w:r w:rsidRPr="00714513">
              <w:rPr>
                <w:b/>
                <w:bCs/>
                <w:color w:val="000000"/>
                <w:sz w:val="20"/>
                <w:szCs w:val="20"/>
              </w:rPr>
              <w:fldChar w:fldCharType="end"/>
            </w:r>
            <w:r w:rsidRPr="00714513">
              <w:rPr>
                <w:b/>
                <w:bCs/>
                <w:color w:val="000000"/>
                <w:sz w:val="20"/>
                <w:szCs w:val="20"/>
              </w:rPr>
              <w:fldChar w:fldCharType="begin"/>
            </w:r>
            <w:r w:rsidRPr="00714513">
              <w:rPr>
                <w:b/>
                <w:bCs/>
                <w:color w:val="000000"/>
                <w:sz w:val="20"/>
                <w:szCs w:val="20"/>
              </w:rPr>
              <w:instrText xml:space="preserve"> =SUM(ABOVE) </w:instrText>
            </w:r>
            <w:r w:rsidRPr="00714513">
              <w:rPr>
                <w:b/>
                <w:bCs/>
                <w:color w:val="000000"/>
                <w:sz w:val="20"/>
                <w:szCs w:val="20"/>
              </w:rPr>
              <w:fldChar w:fldCharType="separate"/>
            </w:r>
            <w:r w:rsidRPr="00714513">
              <w:rPr>
                <w:b/>
                <w:bCs/>
                <w:noProof/>
                <w:color w:val="000000"/>
                <w:sz w:val="20"/>
                <w:szCs w:val="20"/>
              </w:rPr>
              <w:t>465,254</w:t>
            </w:r>
            <w:r w:rsidRPr="00714513">
              <w:rPr>
                <w:b/>
                <w:bCs/>
                <w:color w:val="000000"/>
                <w:sz w:val="20"/>
                <w:szCs w:val="20"/>
              </w:rPr>
              <w:fldChar w:fldCharType="end"/>
            </w:r>
            <w:r w:rsidRPr="00714513">
              <w:rPr>
                <w:b/>
                <w:bCs/>
                <w:color w:val="000000"/>
                <w:sz w:val="20"/>
                <w:szCs w:val="20"/>
              </w:rPr>
              <w:fldChar w:fldCharType="begin"/>
            </w:r>
            <w:r w:rsidRPr="00714513">
              <w:rPr>
                <w:b/>
                <w:bCs/>
                <w:color w:val="000000"/>
                <w:sz w:val="20"/>
                <w:szCs w:val="20"/>
              </w:rPr>
              <w:instrText xml:space="preserve"> =SUM(ABOVE) </w:instrText>
            </w:r>
            <w:r w:rsidR="00000000">
              <w:rPr>
                <w:b/>
                <w:bCs/>
                <w:color w:val="000000"/>
                <w:sz w:val="20"/>
                <w:szCs w:val="20"/>
              </w:rPr>
              <w:fldChar w:fldCharType="separate"/>
            </w:r>
            <w:r w:rsidRPr="00714513">
              <w:rPr>
                <w:b/>
                <w:bCs/>
                <w:color w:val="000000"/>
                <w:sz w:val="20"/>
                <w:szCs w:val="20"/>
              </w:rPr>
              <w:fldChar w:fldCharType="end"/>
            </w:r>
          </w:p>
        </w:tc>
      </w:tr>
    </w:tbl>
    <w:p w:rsidR="00714513" w:rsidRPr="00714513" w:rsidP="00EB6A04" w14:paraId="74C12FF7" w14:textId="71930DAE">
      <w:pPr>
        <w:contextualSpacing/>
        <w:jc w:val="both"/>
        <w:rPr>
          <w:rFonts w:eastAsia="Arial"/>
          <w:color w:val="000000"/>
          <w:sz w:val="18"/>
          <w:szCs w:val="18"/>
        </w:rPr>
      </w:pPr>
    </w:p>
    <w:p w:rsidR="00714513" w:rsidRPr="00714513" w:rsidP="00EB6A04" w14:paraId="325A0CF8" w14:textId="77777777">
      <w:pPr>
        <w:contextualSpacing/>
        <w:rPr>
          <w:rFonts w:eastAsia="Arial"/>
          <w:color w:val="000000"/>
          <w:sz w:val="20"/>
          <w:szCs w:val="20"/>
        </w:rPr>
      </w:pPr>
    </w:p>
    <w:p w:rsidR="00714513" w:rsidRPr="00714513" w:rsidP="00EB6A04" w14:paraId="43B051D9" w14:textId="77777777">
      <w:pPr>
        <w:contextualSpacing/>
        <w:rPr>
          <w:rFonts w:eastAsia="Arial"/>
          <w:b/>
          <w:bCs/>
          <w:color w:val="000000"/>
          <w:sz w:val="20"/>
          <w:szCs w:val="20"/>
        </w:rPr>
      </w:pPr>
      <w:r w:rsidRPr="00714513">
        <w:rPr>
          <w:rFonts w:eastAsia="Arial"/>
          <w:b/>
          <w:bCs/>
          <w:color w:val="000000"/>
          <w:sz w:val="20"/>
          <w:szCs w:val="20"/>
        </w:rPr>
        <w:t>Certification and Postmarketing Reporting for Designated Medical Gases; OMB Control No. 0910-0906 (89 FR @ 51762)</w:t>
      </w:r>
    </w:p>
    <w:p w:rsidR="00714513" w:rsidRPr="00714513" w:rsidP="00EB6A04" w14:paraId="5E40BDCF" w14:textId="77777777">
      <w:pPr>
        <w:contextualSpacing/>
        <w:rPr>
          <w:rFonts w:eastAsia="Arial"/>
          <w:color w:val="000000"/>
          <w:sz w:val="20"/>
          <w:szCs w:val="20"/>
        </w:rPr>
      </w:pPr>
    </w:p>
    <w:p w:rsidR="00714513" w:rsidRPr="00714513" w:rsidP="00EB6A04" w14:paraId="74BE8F14" w14:textId="19095497">
      <w:pPr>
        <w:widowControl w:val="0"/>
        <w:rPr>
          <w:rFonts w:eastAsia="Arial"/>
          <w:color w:val="000000"/>
          <w:sz w:val="20"/>
          <w:szCs w:val="20"/>
        </w:rPr>
      </w:pPr>
      <w:r w:rsidRPr="00714513">
        <w:rPr>
          <w:rFonts w:eastAsia="Arial"/>
          <w:color w:val="000000"/>
          <w:sz w:val="20"/>
          <w:szCs w:val="20"/>
        </w:rPr>
        <w:t xml:space="preserve">Regulations in 21 CFR part 230 establish general requirements applicable to designated medical gases, and set forth procedures for requesting medical gas certification, using </w:t>
      </w:r>
      <w:r w:rsidRPr="00714513">
        <w:rPr>
          <w:rFonts w:eastAsia="Arial"/>
          <w:b/>
          <w:bCs/>
          <w:color w:val="000000"/>
          <w:sz w:val="20"/>
          <w:szCs w:val="20"/>
        </w:rPr>
        <w:t>Form FDA 3864</w:t>
      </w:r>
      <w:r w:rsidRPr="00714513">
        <w:rPr>
          <w:rFonts w:eastAsia="Arial"/>
          <w:color w:val="000000"/>
          <w:sz w:val="20"/>
          <w:szCs w:val="20"/>
        </w:rPr>
        <w:t xml:space="preserve">, and prescribe annual reporting utilizing </w:t>
      </w:r>
      <w:r w:rsidRPr="00714513">
        <w:rPr>
          <w:rFonts w:eastAsia="Arial"/>
          <w:b/>
          <w:bCs/>
          <w:color w:val="000000"/>
          <w:sz w:val="20"/>
          <w:szCs w:val="20"/>
        </w:rPr>
        <w:t>Form FDA 5025</w:t>
      </w:r>
      <w:r w:rsidRPr="00714513">
        <w:rPr>
          <w:rFonts w:eastAsia="Arial"/>
          <w:color w:val="000000"/>
          <w:sz w:val="20"/>
          <w:szCs w:val="20"/>
        </w:rPr>
        <w:t xml:space="preserve">.  The regulations also provide for requesting waivers from the electronic submission requirements. We estimate burden attributable to the new information collection provisions, as reflected </w:t>
      </w:r>
      <w:r w:rsidR="00B5229B">
        <w:rPr>
          <w:rFonts w:eastAsia="Arial"/>
          <w:color w:val="000000"/>
          <w:sz w:val="20"/>
          <w:szCs w:val="20"/>
        </w:rPr>
        <w:t>below</w:t>
      </w:r>
      <w:r w:rsidRPr="00714513">
        <w:rPr>
          <w:rFonts w:eastAsia="Arial"/>
          <w:color w:val="000000"/>
          <w:sz w:val="20"/>
          <w:szCs w:val="20"/>
        </w:rPr>
        <w:t>, including the requirement to prepare, retain, and submit information to FDA, and disclose information to the public.</w:t>
      </w:r>
    </w:p>
    <w:p w:rsidR="00714513" w:rsidRPr="00714513" w:rsidP="00EB6A04" w14:paraId="4D83ED26" w14:textId="77777777">
      <w:pPr>
        <w:widowControl w:val="0"/>
        <w:rPr>
          <w:rFonts w:asciiTheme="minorHAnsi" w:eastAsiaTheme="minorHAnsi" w:hAnsiTheme="minorHAnsi" w:cstheme="minorBidi"/>
          <w:sz w:val="22"/>
          <w:szCs w:val="22"/>
        </w:rPr>
      </w:pPr>
    </w:p>
    <w:p w:rsidR="00714513" w:rsidRPr="00714513" w:rsidP="00EB6A04" w14:paraId="592DA072" w14:textId="77777777">
      <w:pPr>
        <w:keepNext/>
        <w:contextualSpacing/>
        <w:jc w:val="center"/>
        <w:rPr>
          <w:rFonts w:eastAsia="Arial"/>
          <w:color w:val="000000"/>
          <w:sz w:val="20"/>
          <w:szCs w:val="20"/>
        </w:rPr>
      </w:pPr>
      <w:r w:rsidRPr="00714513">
        <w:rPr>
          <w:rFonts w:eastAsia="Arial"/>
          <w:color w:val="000000"/>
          <w:sz w:val="20"/>
          <w:szCs w:val="20"/>
        </w:rPr>
        <w:t xml:space="preserve">Estimated Annual Recordkeeping Burden – </w:t>
      </w:r>
    </w:p>
    <w:p w:rsidR="00714513" w:rsidRPr="00714513" w:rsidP="00EB6A04" w14:paraId="467126DB" w14:textId="77777777">
      <w:pPr>
        <w:keepNext/>
        <w:contextualSpacing/>
        <w:jc w:val="center"/>
        <w:rPr>
          <w:rFonts w:eastAsia="Arial"/>
          <w:color w:val="000000"/>
          <w:sz w:val="20"/>
          <w:szCs w:val="20"/>
        </w:rPr>
      </w:pPr>
      <w:r w:rsidRPr="00714513">
        <w:rPr>
          <w:rFonts w:eastAsia="Arial"/>
          <w:color w:val="000000"/>
          <w:sz w:val="20"/>
          <w:szCs w:val="20"/>
        </w:rPr>
        <w:t>Certification &amp; Postmarket Reporting (Tables 5 and 6 from FINAL RULE)</w:t>
      </w:r>
      <w:r w:rsidRPr="00714513">
        <w:rPr>
          <w:rFonts w:eastAsia="Arial"/>
          <w:color w:val="000000"/>
          <w:sz w:val="20"/>
          <w:szCs w:val="20"/>
          <w:vertAlign w:val="superscript"/>
        </w:rPr>
        <w:t>1</w:t>
      </w:r>
    </w:p>
    <w:tbl>
      <w:tblPr>
        <w:tblStyle w:val="TableGrid0"/>
        <w:tblW w:w="95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6" w:type="dxa"/>
          <w:bottom w:w="15" w:type="dxa"/>
        </w:tblCellMar>
        <w:tblLook w:val="04A0"/>
      </w:tblPr>
      <w:tblGrid>
        <w:gridCol w:w="4585"/>
        <w:gridCol w:w="1080"/>
        <w:gridCol w:w="1080"/>
        <w:gridCol w:w="900"/>
        <w:gridCol w:w="1080"/>
        <w:gridCol w:w="810"/>
      </w:tblGrid>
      <w:tr w14:paraId="4D8CCDFD" w14:textId="77777777" w:rsidTr="006F0496">
        <w:tblPrEx>
          <w:tblW w:w="95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6" w:type="dxa"/>
            <w:bottom w:w="15" w:type="dxa"/>
          </w:tblCellMar>
          <w:tblLook w:val="04A0"/>
        </w:tblPrEx>
        <w:trPr>
          <w:trHeight w:val="568"/>
        </w:trPr>
        <w:tc>
          <w:tcPr>
            <w:tcW w:w="4585" w:type="dxa"/>
            <w:vAlign w:val="center"/>
          </w:tcPr>
          <w:p w:rsidR="00714513" w:rsidRPr="00714513" w:rsidP="00EB6A04" w14:paraId="7DEC798B" w14:textId="77777777">
            <w:pPr>
              <w:keepNext/>
              <w:ind w:right="78"/>
              <w:contextualSpacing/>
              <w:jc w:val="center"/>
              <w:rPr>
                <w:color w:val="000000"/>
                <w:sz w:val="20"/>
                <w:szCs w:val="20"/>
              </w:rPr>
            </w:pPr>
            <w:r w:rsidRPr="00714513">
              <w:rPr>
                <w:color w:val="000000"/>
                <w:sz w:val="20"/>
                <w:szCs w:val="20"/>
              </w:rPr>
              <w:t xml:space="preserve">21 CFR part 230; </w:t>
            </w:r>
          </w:p>
          <w:p w:rsidR="00714513" w:rsidRPr="00714513" w:rsidP="00EB6A04" w14:paraId="73FFCF77" w14:textId="77777777">
            <w:pPr>
              <w:keepNext/>
              <w:ind w:right="78"/>
              <w:contextualSpacing/>
              <w:jc w:val="center"/>
              <w:rPr>
                <w:color w:val="000000"/>
                <w:sz w:val="20"/>
                <w:szCs w:val="20"/>
              </w:rPr>
            </w:pPr>
            <w:r w:rsidRPr="00714513">
              <w:rPr>
                <w:color w:val="000000"/>
                <w:sz w:val="20"/>
                <w:szCs w:val="20"/>
              </w:rPr>
              <w:t>Information Collection Activity</w:t>
            </w:r>
          </w:p>
        </w:tc>
        <w:tc>
          <w:tcPr>
            <w:tcW w:w="1080" w:type="dxa"/>
            <w:vAlign w:val="center"/>
          </w:tcPr>
          <w:p w:rsidR="00714513" w:rsidRPr="00714513" w:rsidP="00EB6A04" w14:paraId="37C6FFBE" w14:textId="77777777">
            <w:pPr>
              <w:keepNext/>
              <w:contextualSpacing/>
              <w:jc w:val="center"/>
              <w:rPr>
                <w:color w:val="000000"/>
                <w:sz w:val="20"/>
                <w:szCs w:val="20"/>
              </w:rPr>
            </w:pPr>
            <w:r w:rsidRPr="00714513">
              <w:rPr>
                <w:color w:val="000000"/>
                <w:sz w:val="20"/>
                <w:szCs w:val="20"/>
              </w:rPr>
              <w:t>No. of Respondents</w:t>
            </w:r>
          </w:p>
        </w:tc>
        <w:tc>
          <w:tcPr>
            <w:tcW w:w="1080" w:type="dxa"/>
          </w:tcPr>
          <w:p w:rsidR="00714513" w:rsidRPr="00714513" w:rsidP="00EB6A04" w14:paraId="684DEB12" w14:textId="77777777">
            <w:pPr>
              <w:keepNext/>
              <w:contextualSpacing/>
              <w:jc w:val="center"/>
              <w:rPr>
                <w:color w:val="000000"/>
                <w:sz w:val="20"/>
                <w:szCs w:val="20"/>
              </w:rPr>
            </w:pPr>
            <w:r w:rsidRPr="00714513">
              <w:rPr>
                <w:color w:val="000000"/>
                <w:sz w:val="20"/>
                <w:szCs w:val="20"/>
              </w:rPr>
              <w:t>No. of Responses per Respondent</w:t>
            </w:r>
          </w:p>
        </w:tc>
        <w:tc>
          <w:tcPr>
            <w:tcW w:w="900" w:type="dxa"/>
            <w:vAlign w:val="center"/>
          </w:tcPr>
          <w:p w:rsidR="00714513" w:rsidRPr="00714513" w:rsidP="00EB6A04" w14:paraId="10400395" w14:textId="77777777">
            <w:pPr>
              <w:keepNext/>
              <w:contextualSpacing/>
              <w:jc w:val="center"/>
              <w:rPr>
                <w:color w:val="000000"/>
                <w:sz w:val="20"/>
                <w:szCs w:val="20"/>
              </w:rPr>
            </w:pPr>
            <w:r w:rsidRPr="00714513">
              <w:rPr>
                <w:color w:val="000000"/>
                <w:sz w:val="20"/>
                <w:szCs w:val="20"/>
              </w:rPr>
              <w:t>Total Annual Responses</w:t>
            </w:r>
          </w:p>
        </w:tc>
        <w:tc>
          <w:tcPr>
            <w:tcW w:w="1080" w:type="dxa"/>
          </w:tcPr>
          <w:p w:rsidR="00714513" w:rsidRPr="00714513" w:rsidP="00EB6A04" w14:paraId="02D63024" w14:textId="77777777">
            <w:pPr>
              <w:keepNext/>
              <w:ind w:left="61" w:right="27"/>
              <w:contextualSpacing/>
              <w:jc w:val="center"/>
              <w:rPr>
                <w:color w:val="000000"/>
                <w:sz w:val="20"/>
                <w:szCs w:val="20"/>
              </w:rPr>
            </w:pPr>
            <w:r w:rsidRPr="00714513">
              <w:rPr>
                <w:color w:val="000000"/>
                <w:sz w:val="20"/>
                <w:szCs w:val="20"/>
              </w:rPr>
              <w:t>Average Burden per Response (hours)</w:t>
            </w:r>
          </w:p>
        </w:tc>
        <w:tc>
          <w:tcPr>
            <w:tcW w:w="810" w:type="dxa"/>
            <w:vAlign w:val="center"/>
          </w:tcPr>
          <w:p w:rsidR="00714513" w:rsidRPr="00714513" w:rsidP="00EB6A04" w14:paraId="6E0193B7" w14:textId="77777777">
            <w:pPr>
              <w:keepNext/>
              <w:ind w:left="67"/>
              <w:contextualSpacing/>
              <w:jc w:val="center"/>
              <w:rPr>
                <w:color w:val="000000"/>
                <w:sz w:val="20"/>
                <w:szCs w:val="20"/>
              </w:rPr>
            </w:pPr>
            <w:r w:rsidRPr="00714513">
              <w:rPr>
                <w:color w:val="000000"/>
                <w:sz w:val="20"/>
                <w:szCs w:val="20"/>
              </w:rPr>
              <w:t>Total Hours</w:t>
            </w:r>
          </w:p>
        </w:tc>
      </w:tr>
      <w:tr w14:paraId="1746B43E" w14:textId="77777777" w:rsidTr="006F0496">
        <w:tblPrEx>
          <w:tblW w:w="9535" w:type="dxa"/>
          <w:tblInd w:w="0" w:type="dxa"/>
          <w:tblLayout w:type="fixed"/>
          <w:tblCellMar>
            <w:top w:w="15" w:type="dxa"/>
            <w:left w:w="6" w:type="dxa"/>
            <w:bottom w:w="15" w:type="dxa"/>
          </w:tblCellMar>
          <w:tblLook w:val="04A0"/>
        </w:tblPrEx>
        <w:trPr>
          <w:trHeight w:val="410"/>
        </w:trPr>
        <w:tc>
          <w:tcPr>
            <w:tcW w:w="4585" w:type="dxa"/>
          </w:tcPr>
          <w:p w:rsidR="00714513" w:rsidRPr="00714513" w:rsidP="00EB6A04" w14:paraId="2DC75314" w14:textId="77777777">
            <w:pPr>
              <w:keepNext/>
              <w:ind w:left="80"/>
              <w:contextualSpacing/>
              <w:rPr>
                <w:color w:val="000000"/>
                <w:sz w:val="20"/>
                <w:szCs w:val="20"/>
              </w:rPr>
            </w:pPr>
            <w:r w:rsidRPr="00714513">
              <w:rPr>
                <w:color w:val="000000"/>
                <w:sz w:val="20"/>
                <w:szCs w:val="20"/>
              </w:rPr>
              <w:t xml:space="preserve">230.50; certification submission requirements </w:t>
            </w:r>
          </w:p>
          <w:p w:rsidR="00714513" w:rsidRPr="00714513" w:rsidP="00EB6A04" w14:paraId="52CAFCE2" w14:textId="77777777">
            <w:pPr>
              <w:keepNext/>
              <w:ind w:left="80"/>
              <w:contextualSpacing/>
              <w:rPr>
                <w:color w:val="000000"/>
                <w:sz w:val="20"/>
                <w:szCs w:val="20"/>
              </w:rPr>
            </w:pPr>
            <w:r w:rsidRPr="00714513">
              <w:rPr>
                <w:color w:val="000000"/>
                <w:sz w:val="20"/>
                <w:szCs w:val="20"/>
              </w:rPr>
              <w:t>(</w:t>
            </w:r>
            <w:r w:rsidRPr="00714513">
              <w:rPr>
                <w:b/>
                <w:bCs/>
                <w:color w:val="000000"/>
                <w:sz w:val="20"/>
                <w:szCs w:val="20"/>
              </w:rPr>
              <w:t>Form FDA 3864</w:t>
            </w:r>
            <w:r w:rsidRPr="00714513">
              <w:rPr>
                <w:color w:val="000000"/>
                <w:sz w:val="20"/>
                <w:szCs w:val="20"/>
              </w:rPr>
              <w:t>)</w:t>
            </w:r>
          </w:p>
        </w:tc>
        <w:tc>
          <w:tcPr>
            <w:tcW w:w="1080" w:type="dxa"/>
          </w:tcPr>
          <w:p w:rsidR="00714513" w:rsidRPr="00714513" w:rsidP="00EB6A04" w14:paraId="5054430A" w14:textId="77777777">
            <w:pPr>
              <w:keepNext/>
              <w:ind w:right="73"/>
              <w:contextualSpacing/>
              <w:jc w:val="right"/>
              <w:rPr>
                <w:color w:val="000000"/>
                <w:sz w:val="20"/>
                <w:szCs w:val="20"/>
              </w:rPr>
            </w:pPr>
            <w:r w:rsidRPr="00714513">
              <w:rPr>
                <w:color w:val="000000"/>
                <w:sz w:val="20"/>
                <w:szCs w:val="20"/>
              </w:rPr>
              <w:t>5</w:t>
            </w:r>
          </w:p>
        </w:tc>
        <w:tc>
          <w:tcPr>
            <w:tcW w:w="1080" w:type="dxa"/>
          </w:tcPr>
          <w:p w:rsidR="00714513" w:rsidRPr="00714513" w:rsidP="00EB6A04" w14:paraId="4B9CC7C6" w14:textId="77777777">
            <w:pPr>
              <w:keepNext/>
              <w:ind w:right="73"/>
              <w:contextualSpacing/>
              <w:jc w:val="right"/>
              <w:rPr>
                <w:color w:val="000000"/>
                <w:sz w:val="20"/>
                <w:szCs w:val="20"/>
              </w:rPr>
            </w:pPr>
            <w:r w:rsidRPr="00714513">
              <w:rPr>
                <w:color w:val="000000"/>
                <w:sz w:val="20"/>
                <w:szCs w:val="20"/>
              </w:rPr>
              <w:t>1</w:t>
            </w:r>
          </w:p>
        </w:tc>
        <w:tc>
          <w:tcPr>
            <w:tcW w:w="900" w:type="dxa"/>
          </w:tcPr>
          <w:p w:rsidR="00714513" w:rsidRPr="00714513" w:rsidP="00EB6A04" w14:paraId="58A8DB68" w14:textId="77777777">
            <w:pPr>
              <w:keepNext/>
              <w:ind w:right="73"/>
              <w:contextualSpacing/>
              <w:jc w:val="right"/>
              <w:rPr>
                <w:color w:val="000000"/>
                <w:sz w:val="20"/>
                <w:szCs w:val="20"/>
              </w:rPr>
            </w:pPr>
            <w:r w:rsidRPr="00714513">
              <w:rPr>
                <w:color w:val="000000"/>
                <w:sz w:val="20"/>
                <w:szCs w:val="20"/>
              </w:rPr>
              <w:t>5</w:t>
            </w:r>
          </w:p>
        </w:tc>
        <w:tc>
          <w:tcPr>
            <w:tcW w:w="1080" w:type="dxa"/>
          </w:tcPr>
          <w:p w:rsidR="00714513" w:rsidRPr="00714513" w:rsidP="00EB6A04" w14:paraId="60F614DF" w14:textId="77777777">
            <w:pPr>
              <w:keepNext/>
              <w:ind w:right="73"/>
              <w:contextualSpacing/>
              <w:jc w:val="right"/>
              <w:rPr>
                <w:color w:val="000000"/>
                <w:sz w:val="20"/>
                <w:szCs w:val="20"/>
              </w:rPr>
            </w:pPr>
            <w:r w:rsidRPr="00714513">
              <w:rPr>
                <w:color w:val="000000"/>
                <w:sz w:val="20"/>
                <w:szCs w:val="20"/>
              </w:rPr>
              <w:t>3</w:t>
            </w:r>
          </w:p>
        </w:tc>
        <w:tc>
          <w:tcPr>
            <w:tcW w:w="810" w:type="dxa"/>
          </w:tcPr>
          <w:p w:rsidR="00714513" w:rsidRPr="00714513" w:rsidP="00EB6A04" w14:paraId="5B8BA506" w14:textId="77777777">
            <w:pPr>
              <w:keepNext/>
              <w:ind w:right="90"/>
              <w:contextualSpacing/>
              <w:jc w:val="right"/>
              <w:rPr>
                <w:color w:val="000000"/>
                <w:sz w:val="20"/>
                <w:szCs w:val="20"/>
              </w:rPr>
            </w:pPr>
            <w:r w:rsidRPr="00714513">
              <w:rPr>
                <w:color w:val="000000"/>
                <w:sz w:val="20"/>
                <w:szCs w:val="20"/>
              </w:rPr>
              <w:t>15</w:t>
            </w:r>
          </w:p>
        </w:tc>
      </w:tr>
      <w:tr w14:paraId="01CB99B7" w14:textId="77777777" w:rsidTr="006F0496">
        <w:tblPrEx>
          <w:tblW w:w="9535" w:type="dxa"/>
          <w:tblInd w:w="0" w:type="dxa"/>
          <w:tblLayout w:type="fixed"/>
          <w:tblCellMar>
            <w:top w:w="15" w:type="dxa"/>
            <w:left w:w="6" w:type="dxa"/>
            <w:bottom w:w="15" w:type="dxa"/>
          </w:tblCellMar>
          <w:tblLook w:val="04A0"/>
        </w:tblPrEx>
        <w:trPr>
          <w:trHeight w:val="320"/>
        </w:trPr>
        <w:tc>
          <w:tcPr>
            <w:tcW w:w="4585" w:type="dxa"/>
          </w:tcPr>
          <w:p w:rsidR="00714513" w:rsidRPr="00714513" w:rsidP="00EB6A04" w14:paraId="0E7D78EE" w14:textId="77777777">
            <w:pPr>
              <w:keepNext/>
              <w:ind w:left="80"/>
              <w:contextualSpacing/>
              <w:rPr>
                <w:color w:val="000000"/>
                <w:sz w:val="20"/>
                <w:szCs w:val="20"/>
              </w:rPr>
            </w:pPr>
            <w:r w:rsidRPr="00714513">
              <w:rPr>
                <w:color w:val="000000"/>
                <w:sz w:val="20"/>
                <w:szCs w:val="20"/>
              </w:rPr>
              <w:t>230.70; supplements to certification</w:t>
            </w:r>
          </w:p>
        </w:tc>
        <w:tc>
          <w:tcPr>
            <w:tcW w:w="1080" w:type="dxa"/>
          </w:tcPr>
          <w:p w:rsidR="00714513" w:rsidRPr="00714513" w:rsidP="00EB6A04" w14:paraId="7E950418" w14:textId="77777777">
            <w:pPr>
              <w:keepNext/>
              <w:ind w:right="73"/>
              <w:contextualSpacing/>
              <w:jc w:val="right"/>
              <w:rPr>
                <w:color w:val="000000"/>
                <w:sz w:val="20"/>
                <w:szCs w:val="20"/>
              </w:rPr>
            </w:pPr>
            <w:r w:rsidRPr="00714513">
              <w:rPr>
                <w:color w:val="000000"/>
                <w:sz w:val="20"/>
                <w:szCs w:val="20"/>
              </w:rPr>
              <w:t>4</w:t>
            </w:r>
          </w:p>
        </w:tc>
        <w:tc>
          <w:tcPr>
            <w:tcW w:w="1080" w:type="dxa"/>
          </w:tcPr>
          <w:p w:rsidR="00714513" w:rsidRPr="00714513" w:rsidP="00EB6A04" w14:paraId="35CB116B" w14:textId="77777777">
            <w:pPr>
              <w:keepNext/>
              <w:ind w:right="73"/>
              <w:contextualSpacing/>
              <w:jc w:val="right"/>
              <w:rPr>
                <w:color w:val="000000"/>
                <w:sz w:val="20"/>
                <w:szCs w:val="20"/>
              </w:rPr>
            </w:pPr>
            <w:r w:rsidRPr="00714513">
              <w:rPr>
                <w:color w:val="000000"/>
                <w:sz w:val="20"/>
                <w:szCs w:val="20"/>
              </w:rPr>
              <w:t>1</w:t>
            </w:r>
          </w:p>
        </w:tc>
        <w:tc>
          <w:tcPr>
            <w:tcW w:w="900" w:type="dxa"/>
          </w:tcPr>
          <w:p w:rsidR="00714513" w:rsidRPr="00714513" w:rsidP="00EB6A04" w14:paraId="4A6803B9" w14:textId="77777777">
            <w:pPr>
              <w:keepNext/>
              <w:ind w:right="73"/>
              <w:contextualSpacing/>
              <w:jc w:val="right"/>
              <w:rPr>
                <w:color w:val="000000"/>
                <w:sz w:val="20"/>
                <w:szCs w:val="20"/>
              </w:rPr>
            </w:pPr>
            <w:r w:rsidRPr="00714513">
              <w:rPr>
                <w:color w:val="000000"/>
                <w:sz w:val="20"/>
                <w:szCs w:val="20"/>
              </w:rPr>
              <w:t>4</w:t>
            </w:r>
          </w:p>
        </w:tc>
        <w:tc>
          <w:tcPr>
            <w:tcW w:w="1080" w:type="dxa"/>
          </w:tcPr>
          <w:p w:rsidR="00714513" w:rsidRPr="00714513" w:rsidP="00EB6A04" w14:paraId="13639F7C" w14:textId="77777777">
            <w:pPr>
              <w:keepNext/>
              <w:ind w:right="73"/>
              <w:contextualSpacing/>
              <w:jc w:val="right"/>
              <w:rPr>
                <w:color w:val="000000"/>
                <w:sz w:val="20"/>
                <w:szCs w:val="20"/>
              </w:rPr>
            </w:pPr>
            <w:r w:rsidRPr="00714513">
              <w:rPr>
                <w:color w:val="000000"/>
                <w:sz w:val="20"/>
                <w:szCs w:val="20"/>
              </w:rPr>
              <w:t>3</w:t>
            </w:r>
          </w:p>
        </w:tc>
        <w:tc>
          <w:tcPr>
            <w:tcW w:w="810" w:type="dxa"/>
          </w:tcPr>
          <w:p w:rsidR="00714513" w:rsidRPr="00714513" w:rsidP="00EB6A04" w14:paraId="6FEA1243" w14:textId="77777777">
            <w:pPr>
              <w:keepNext/>
              <w:ind w:right="90"/>
              <w:contextualSpacing/>
              <w:jc w:val="right"/>
              <w:rPr>
                <w:color w:val="000000"/>
                <w:sz w:val="20"/>
                <w:szCs w:val="20"/>
              </w:rPr>
            </w:pPr>
            <w:r w:rsidRPr="00714513">
              <w:rPr>
                <w:color w:val="000000"/>
                <w:sz w:val="20"/>
                <w:szCs w:val="20"/>
              </w:rPr>
              <w:t>12</w:t>
            </w:r>
          </w:p>
        </w:tc>
      </w:tr>
      <w:tr w14:paraId="0FB6FB4E" w14:textId="77777777" w:rsidTr="006F0496">
        <w:tblPrEx>
          <w:tblW w:w="9535" w:type="dxa"/>
          <w:tblInd w:w="0" w:type="dxa"/>
          <w:tblLayout w:type="fixed"/>
          <w:tblCellMar>
            <w:top w:w="15" w:type="dxa"/>
            <w:left w:w="6" w:type="dxa"/>
            <w:bottom w:w="15" w:type="dxa"/>
          </w:tblCellMar>
          <w:tblLook w:val="04A0"/>
        </w:tblPrEx>
        <w:trPr>
          <w:trHeight w:val="209"/>
        </w:trPr>
        <w:tc>
          <w:tcPr>
            <w:tcW w:w="4585" w:type="dxa"/>
          </w:tcPr>
          <w:p w:rsidR="00714513" w:rsidRPr="00714513" w:rsidP="00EB6A04" w14:paraId="7AD4C13E" w14:textId="77777777">
            <w:pPr>
              <w:keepNext/>
              <w:ind w:left="80" w:right="74"/>
              <w:contextualSpacing/>
              <w:rPr>
                <w:color w:val="000000"/>
                <w:sz w:val="20"/>
                <w:szCs w:val="20"/>
              </w:rPr>
            </w:pPr>
            <w:r w:rsidRPr="00714513">
              <w:rPr>
                <w:color w:val="000000"/>
                <w:sz w:val="20"/>
                <w:szCs w:val="20"/>
              </w:rPr>
              <w:t>230.72; changes in ownership</w:t>
            </w:r>
          </w:p>
        </w:tc>
        <w:tc>
          <w:tcPr>
            <w:tcW w:w="1080" w:type="dxa"/>
          </w:tcPr>
          <w:p w:rsidR="00714513" w:rsidRPr="00714513" w:rsidP="00EB6A04" w14:paraId="4F065778" w14:textId="77777777">
            <w:pPr>
              <w:keepNext/>
              <w:ind w:right="73"/>
              <w:contextualSpacing/>
              <w:jc w:val="right"/>
              <w:rPr>
                <w:color w:val="000000"/>
                <w:sz w:val="20"/>
                <w:szCs w:val="20"/>
              </w:rPr>
            </w:pPr>
            <w:r w:rsidRPr="00714513">
              <w:rPr>
                <w:color w:val="000000"/>
                <w:sz w:val="20"/>
                <w:szCs w:val="20"/>
              </w:rPr>
              <w:t>2</w:t>
            </w:r>
          </w:p>
        </w:tc>
        <w:tc>
          <w:tcPr>
            <w:tcW w:w="1080" w:type="dxa"/>
          </w:tcPr>
          <w:p w:rsidR="00714513" w:rsidRPr="00714513" w:rsidP="00EB6A04" w14:paraId="41566F62" w14:textId="77777777">
            <w:pPr>
              <w:keepNext/>
              <w:ind w:right="73"/>
              <w:contextualSpacing/>
              <w:jc w:val="right"/>
              <w:rPr>
                <w:color w:val="000000"/>
                <w:sz w:val="20"/>
                <w:szCs w:val="20"/>
              </w:rPr>
            </w:pPr>
            <w:r w:rsidRPr="00714513">
              <w:rPr>
                <w:color w:val="000000"/>
                <w:sz w:val="20"/>
                <w:szCs w:val="20"/>
              </w:rPr>
              <w:t>2</w:t>
            </w:r>
          </w:p>
        </w:tc>
        <w:tc>
          <w:tcPr>
            <w:tcW w:w="900" w:type="dxa"/>
          </w:tcPr>
          <w:p w:rsidR="00714513" w:rsidRPr="00714513" w:rsidP="00EB6A04" w14:paraId="2BFBE5CF" w14:textId="77777777">
            <w:pPr>
              <w:keepNext/>
              <w:ind w:right="73"/>
              <w:contextualSpacing/>
              <w:jc w:val="right"/>
              <w:rPr>
                <w:color w:val="000000"/>
                <w:sz w:val="20"/>
                <w:szCs w:val="20"/>
              </w:rPr>
            </w:pPr>
            <w:r w:rsidRPr="00714513">
              <w:rPr>
                <w:color w:val="000000"/>
                <w:sz w:val="20"/>
                <w:szCs w:val="20"/>
              </w:rPr>
              <w:t>4</w:t>
            </w:r>
          </w:p>
        </w:tc>
        <w:tc>
          <w:tcPr>
            <w:tcW w:w="1080" w:type="dxa"/>
          </w:tcPr>
          <w:p w:rsidR="00714513" w:rsidRPr="00714513" w:rsidP="00EB6A04" w14:paraId="79ABFC8E" w14:textId="77777777">
            <w:pPr>
              <w:keepNext/>
              <w:ind w:right="73"/>
              <w:contextualSpacing/>
              <w:jc w:val="right"/>
              <w:rPr>
                <w:color w:val="000000"/>
                <w:sz w:val="20"/>
                <w:szCs w:val="20"/>
              </w:rPr>
            </w:pPr>
            <w:r w:rsidRPr="00714513">
              <w:rPr>
                <w:color w:val="000000"/>
                <w:sz w:val="20"/>
                <w:szCs w:val="20"/>
              </w:rPr>
              <w:t>2</w:t>
            </w:r>
          </w:p>
        </w:tc>
        <w:tc>
          <w:tcPr>
            <w:tcW w:w="810" w:type="dxa"/>
          </w:tcPr>
          <w:p w:rsidR="00714513" w:rsidRPr="00714513" w:rsidP="00EB6A04" w14:paraId="5604C2EE" w14:textId="77777777">
            <w:pPr>
              <w:keepNext/>
              <w:ind w:right="90"/>
              <w:contextualSpacing/>
              <w:jc w:val="right"/>
              <w:rPr>
                <w:color w:val="000000"/>
                <w:sz w:val="20"/>
                <w:szCs w:val="20"/>
              </w:rPr>
            </w:pPr>
            <w:r w:rsidRPr="00714513">
              <w:rPr>
                <w:color w:val="000000"/>
                <w:sz w:val="20"/>
                <w:szCs w:val="20"/>
              </w:rPr>
              <w:t>8</w:t>
            </w:r>
          </w:p>
        </w:tc>
      </w:tr>
      <w:tr w14:paraId="641A9F2A" w14:textId="77777777" w:rsidTr="006F0496">
        <w:tblPrEx>
          <w:tblW w:w="9535" w:type="dxa"/>
          <w:tblInd w:w="0" w:type="dxa"/>
          <w:tblLayout w:type="fixed"/>
          <w:tblCellMar>
            <w:top w:w="15" w:type="dxa"/>
            <w:left w:w="6" w:type="dxa"/>
            <w:bottom w:w="15" w:type="dxa"/>
          </w:tblCellMar>
          <w:tblLook w:val="04A0"/>
        </w:tblPrEx>
        <w:trPr>
          <w:trHeight w:val="160"/>
        </w:trPr>
        <w:tc>
          <w:tcPr>
            <w:tcW w:w="4585" w:type="dxa"/>
          </w:tcPr>
          <w:p w:rsidR="00714513" w:rsidRPr="00714513" w:rsidP="00EB6A04" w14:paraId="79D3A6D0" w14:textId="77777777">
            <w:pPr>
              <w:keepNext/>
              <w:ind w:left="80"/>
              <w:contextualSpacing/>
              <w:rPr>
                <w:color w:val="000000"/>
                <w:sz w:val="20"/>
                <w:szCs w:val="20"/>
              </w:rPr>
            </w:pPr>
            <w:r w:rsidRPr="00714513">
              <w:rPr>
                <w:color w:val="000000"/>
                <w:sz w:val="20"/>
                <w:szCs w:val="20"/>
              </w:rPr>
              <w:t>230.80; annual reports (</w:t>
            </w:r>
            <w:r w:rsidRPr="00714513">
              <w:rPr>
                <w:b/>
                <w:bCs/>
                <w:color w:val="000000"/>
                <w:sz w:val="20"/>
                <w:szCs w:val="20"/>
              </w:rPr>
              <w:t>Form FDA 5025</w:t>
            </w:r>
            <w:r w:rsidRPr="00714513">
              <w:rPr>
                <w:color w:val="000000"/>
                <w:sz w:val="20"/>
                <w:szCs w:val="20"/>
              </w:rPr>
              <w:t>)</w:t>
            </w:r>
          </w:p>
        </w:tc>
        <w:tc>
          <w:tcPr>
            <w:tcW w:w="1080" w:type="dxa"/>
          </w:tcPr>
          <w:p w:rsidR="00714513" w:rsidRPr="00714513" w:rsidP="00EB6A04" w14:paraId="47B384B4" w14:textId="77777777">
            <w:pPr>
              <w:keepNext/>
              <w:ind w:right="73"/>
              <w:contextualSpacing/>
              <w:jc w:val="right"/>
              <w:rPr>
                <w:color w:val="000000"/>
                <w:sz w:val="20"/>
                <w:szCs w:val="20"/>
              </w:rPr>
            </w:pPr>
            <w:r w:rsidRPr="00714513">
              <w:rPr>
                <w:color w:val="000000"/>
                <w:sz w:val="20"/>
                <w:szCs w:val="20"/>
              </w:rPr>
              <w:t>57</w:t>
            </w:r>
          </w:p>
        </w:tc>
        <w:tc>
          <w:tcPr>
            <w:tcW w:w="1080" w:type="dxa"/>
          </w:tcPr>
          <w:p w:rsidR="00714513" w:rsidRPr="00714513" w:rsidP="00EB6A04" w14:paraId="4CF6D311" w14:textId="77777777">
            <w:pPr>
              <w:keepNext/>
              <w:ind w:right="73"/>
              <w:contextualSpacing/>
              <w:jc w:val="right"/>
              <w:rPr>
                <w:color w:val="000000"/>
                <w:sz w:val="20"/>
                <w:szCs w:val="20"/>
              </w:rPr>
            </w:pPr>
            <w:r w:rsidRPr="00714513">
              <w:rPr>
                <w:color w:val="000000"/>
                <w:sz w:val="20"/>
                <w:szCs w:val="20"/>
              </w:rPr>
              <w:t>2.15</w:t>
            </w:r>
          </w:p>
        </w:tc>
        <w:tc>
          <w:tcPr>
            <w:tcW w:w="900" w:type="dxa"/>
          </w:tcPr>
          <w:p w:rsidR="00714513" w:rsidRPr="00714513" w:rsidP="00EB6A04" w14:paraId="340C1FAC" w14:textId="77777777">
            <w:pPr>
              <w:keepNext/>
              <w:ind w:right="73"/>
              <w:contextualSpacing/>
              <w:jc w:val="right"/>
              <w:rPr>
                <w:color w:val="000000"/>
                <w:sz w:val="20"/>
                <w:szCs w:val="20"/>
              </w:rPr>
            </w:pPr>
            <w:r w:rsidRPr="00714513">
              <w:rPr>
                <w:color w:val="000000"/>
                <w:sz w:val="20"/>
                <w:szCs w:val="20"/>
              </w:rPr>
              <w:t>123</w:t>
            </w:r>
          </w:p>
        </w:tc>
        <w:tc>
          <w:tcPr>
            <w:tcW w:w="1080" w:type="dxa"/>
          </w:tcPr>
          <w:p w:rsidR="00714513" w:rsidRPr="00714513" w:rsidP="00EB6A04" w14:paraId="5027E3EC" w14:textId="77777777">
            <w:pPr>
              <w:keepNext/>
              <w:ind w:right="73"/>
              <w:contextualSpacing/>
              <w:jc w:val="right"/>
              <w:rPr>
                <w:color w:val="000000"/>
                <w:sz w:val="20"/>
                <w:szCs w:val="20"/>
              </w:rPr>
            </w:pPr>
            <w:r w:rsidRPr="00714513">
              <w:rPr>
                <w:color w:val="000000"/>
                <w:sz w:val="20"/>
                <w:szCs w:val="20"/>
              </w:rPr>
              <w:t>2</w:t>
            </w:r>
          </w:p>
        </w:tc>
        <w:tc>
          <w:tcPr>
            <w:tcW w:w="810" w:type="dxa"/>
          </w:tcPr>
          <w:p w:rsidR="00714513" w:rsidRPr="00714513" w:rsidP="00EB6A04" w14:paraId="255FB7CB" w14:textId="77777777">
            <w:pPr>
              <w:keepNext/>
              <w:ind w:right="90"/>
              <w:contextualSpacing/>
              <w:jc w:val="right"/>
              <w:rPr>
                <w:color w:val="000000"/>
                <w:sz w:val="20"/>
                <w:szCs w:val="20"/>
              </w:rPr>
            </w:pPr>
            <w:r w:rsidRPr="00714513">
              <w:rPr>
                <w:color w:val="000000"/>
                <w:sz w:val="20"/>
                <w:szCs w:val="20"/>
              </w:rPr>
              <w:t>246</w:t>
            </w:r>
          </w:p>
        </w:tc>
      </w:tr>
      <w:tr w14:paraId="63E4B752" w14:textId="77777777" w:rsidTr="006F0496">
        <w:tblPrEx>
          <w:tblW w:w="9535" w:type="dxa"/>
          <w:tblInd w:w="0" w:type="dxa"/>
          <w:tblLayout w:type="fixed"/>
          <w:tblCellMar>
            <w:top w:w="15" w:type="dxa"/>
            <w:left w:w="6" w:type="dxa"/>
            <w:bottom w:w="15" w:type="dxa"/>
          </w:tblCellMar>
          <w:tblLook w:val="04A0"/>
        </w:tblPrEx>
        <w:trPr>
          <w:trHeight w:val="160"/>
        </w:trPr>
        <w:tc>
          <w:tcPr>
            <w:tcW w:w="4585" w:type="dxa"/>
          </w:tcPr>
          <w:p w:rsidR="00714513" w:rsidRPr="00714513" w:rsidP="00EB6A04" w14:paraId="6C5905D7" w14:textId="77777777">
            <w:pPr>
              <w:keepNext/>
              <w:ind w:left="80"/>
              <w:contextualSpacing/>
              <w:rPr>
                <w:color w:val="000000"/>
                <w:sz w:val="20"/>
                <w:szCs w:val="20"/>
              </w:rPr>
            </w:pPr>
            <w:r w:rsidRPr="00714513">
              <w:rPr>
                <w:color w:val="000000"/>
                <w:sz w:val="20"/>
                <w:szCs w:val="20"/>
              </w:rPr>
              <w:t xml:space="preserve">230.205; field alert reports </w:t>
            </w:r>
          </w:p>
        </w:tc>
        <w:tc>
          <w:tcPr>
            <w:tcW w:w="1080" w:type="dxa"/>
          </w:tcPr>
          <w:p w:rsidR="00714513" w:rsidRPr="00714513" w:rsidP="00EB6A04" w14:paraId="2E42056A" w14:textId="77777777">
            <w:pPr>
              <w:keepNext/>
              <w:ind w:right="73"/>
              <w:contextualSpacing/>
              <w:jc w:val="right"/>
              <w:rPr>
                <w:color w:val="000000"/>
                <w:sz w:val="20"/>
                <w:szCs w:val="20"/>
              </w:rPr>
            </w:pPr>
            <w:r w:rsidRPr="00714513">
              <w:rPr>
                <w:color w:val="000000"/>
                <w:sz w:val="20"/>
                <w:szCs w:val="20"/>
              </w:rPr>
              <w:t>1,380</w:t>
            </w:r>
          </w:p>
        </w:tc>
        <w:tc>
          <w:tcPr>
            <w:tcW w:w="1080" w:type="dxa"/>
          </w:tcPr>
          <w:p w:rsidR="00714513" w:rsidRPr="00714513" w:rsidP="00EB6A04" w14:paraId="35D6742C" w14:textId="77777777">
            <w:pPr>
              <w:keepNext/>
              <w:ind w:right="73"/>
              <w:contextualSpacing/>
              <w:jc w:val="right"/>
              <w:rPr>
                <w:color w:val="000000"/>
                <w:sz w:val="20"/>
                <w:szCs w:val="20"/>
              </w:rPr>
            </w:pPr>
            <w:r w:rsidRPr="00714513">
              <w:rPr>
                <w:color w:val="000000"/>
                <w:sz w:val="20"/>
                <w:szCs w:val="20"/>
              </w:rPr>
              <w:t>0.002</w:t>
            </w:r>
          </w:p>
        </w:tc>
        <w:tc>
          <w:tcPr>
            <w:tcW w:w="900" w:type="dxa"/>
          </w:tcPr>
          <w:p w:rsidR="00714513" w:rsidRPr="00714513" w:rsidP="00EB6A04" w14:paraId="7F338C74" w14:textId="77777777">
            <w:pPr>
              <w:keepNext/>
              <w:ind w:right="73"/>
              <w:contextualSpacing/>
              <w:jc w:val="right"/>
              <w:rPr>
                <w:color w:val="000000"/>
                <w:sz w:val="20"/>
                <w:szCs w:val="20"/>
              </w:rPr>
            </w:pPr>
            <w:r w:rsidRPr="00714513">
              <w:rPr>
                <w:color w:val="000000"/>
                <w:sz w:val="20"/>
                <w:szCs w:val="20"/>
              </w:rPr>
              <w:t>3</w:t>
            </w:r>
          </w:p>
        </w:tc>
        <w:tc>
          <w:tcPr>
            <w:tcW w:w="1080" w:type="dxa"/>
          </w:tcPr>
          <w:p w:rsidR="00714513" w:rsidRPr="00714513" w:rsidP="00EB6A04" w14:paraId="77A0417D" w14:textId="77777777">
            <w:pPr>
              <w:keepNext/>
              <w:ind w:right="73"/>
              <w:contextualSpacing/>
              <w:jc w:val="right"/>
              <w:rPr>
                <w:color w:val="000000"/>
                <w:sz w:val="20"/>
                <w:szCs w:val="20"/>
              </w:rPr>
            </w:pPr>
            <w:r w:rsidRPr="00714513">
              <w:rPr>
                <w:color w:val="000000"/>
                <w:sz w:val="20"/>
                <w:szCs w:val="20"/>
              </w:rPr>
              <w:t>8</w:t>
            </w:r>
          </w:p>
        </w:tc>
        <w:tc>
          <w:tcPr>
            <w:tcW w:w="810" w:type="dxa"/>
          </w:tcPr>
          <w:p w:rsidR="00714513" w:rsidRPr="00714513" w:rsidP="00EB6A04" w14:paraId="59FD4248" w14:textId="77777777">
            <w:pPr>
              <w:keepNext/>
              <w:ind w:right="90"/>
              <w:contextualSpacing/>
              <w:jc w:val="right"/>
              <w:rPr>
                <w:color w:val="000000"/>
                <w:sz w:val="20"/>
                <w:szCs w:val="20"/>
              </w:rPr>
            </w:pPr>
            <w:r w:rsidRPr="00714513">
              <w:rPr>
                <w:color w:val="000000"/>
                <w:sz w:val="20"/>
                <w:szCs w:val="20"/>
              </w:rPr>
              <w:t>24</w:t>
            </w:r>
          </w:p>
        </w:tc>
      </w:tr>
      <w:tr w14:paraId="481620EA" w14:textId="77777777" w:rsidTr="006F0496">
        <w:tblPrEx>
          <w:tblW w:w="9535" w:type="dxa"/>
          <w:tblInd w:w="0" w:type="dxa"/>
          <w:tblLayout w:type="fixed"/>
          <w:tblCellMar>
            <w:top w:w="15" w:type="dxa"/>
            <w:left w:w="6" w:type="dxa"/>
            <w:bottom w:w="15" w:type="dxa"/>
          </w:tblCellMar>
          <w:tblLook w:val="04A0"/>
        </w:tblPrEx>
        <w:trPr>
          <w:trHeight w:val="160"/>
        </w:trPr>
        <w:tc>
          <w:tcPr>
            <w:tcW w:w="4585" w:type="dxa"/>
          </w:tcPr>
          <w:p w:rsidR="00714513" w:rsidRPr="00714513" w:rsidP="00EB6A04" w14:paraId="5859A598" w14:textId="77777777">
            <w:pPr>
              <w:keepNext/>
              <w:ind w:left="80"/>
              <w:contextualSpacing/>
              <w:rPr>
                <w:color w:val="000000"/>
                <w:sz w:val="20"/>
                <w:szCs w:val="20"/>
              </w:rPr>
            </w:pPr>
            <w:r w:rsidRPr="00714513">
              <w:rPr>
                <w:color w:val="000000"/>
                <w:sz w:val="20"/>
                <w:szCs w:val="20"/>
              </w:rPr>
              <w:t>230.220; ICSR requirements (human designated medical gas)</w:t>
            </w:r>
          </w:p>
        </w:tc>
        <w:tc>
          <w:tcPr>
            <w:tcW w:w="1080" w:type="dxa"/>
          </w:tcPr>
          <w:p w:rsidR="00714513" w:rsidRPr="00714513" w:rsidP="00EB6A04" w14:paraId="0232AC23" w14:textId="77777777">
            <w:pPr>
              <w:keepNext/>
              <w:ind w:right="73"/>
              <w:contextualSpacing/>
              <w:jc w:val="right"/>
              <w:rPr>
                <w:color w:val="000000"/>
                <w:sz w:val="20"/>
                <w:szCs w:val="20"/>
              </w:rPr>
            </w:pPr>
            <w:r w:rsidRPr="00714513">
              <w:rPr>
                <w:color w:val="000000"/>
                <w:sz w:val="20"/>
                <w:szCs w:val="20"/>
              </w:rPr>
              <w:t>1,430</w:t>
            </w:r>
          </w:p>
        </w:tc>
        <w:tc>
          <w:tcPr>
            <w:tcW w:w="1080" w:type="dxa"/>
          </w:tcPr>
          <w:p w:rsidR="00714513" w:rsidRPr="00714513" w:rsidP="00EB6A04" w14:paraId="6D026E1D" w14:textId="77777777">
            <w:pPr>
              <w:keepNext/>
              <w:ind w:right="73"/>
              <w:contextualSpacing/>
              <w:jc w:val="right"/>
              <w:rPr>
                <w:color w:val="000000"/>
                <w:sz w:val="20"/>
                <w:szCs w:val="20"/>
              </w:rPr>
            </w:pPr>
            <w:r w:rsidRPr="00714513">
              <w:rPr>
                <w:color w:val="000000"/>
                <w:sz w:val="20"/>
                <w:szCs w:val="20"/>
              </w:rPr>
              <w:t>1</w:t>
            </w:r>
          </w:p>
        </w:tc>
        <w:tc>
          <w:tcPr>
            <w:tcW w:w="900" w:type="dxa"/>
          </w:tcPr>
          <w:p w:rsidR="00714513" w:rsidRPr="00714513" w:rsidP="00EB6A04" w14:paraId="11473F9C" w14:textId="77777777">
            <w:pPr>
              <w:keepNext/>
              <w:ind w:right="73"/>
              <w:contextualSpacing/>
              <w:jc w:val="right"/>
              <w:rPr>
                <w:color w:val="000000"/>
                <w:sz w:val="20"/>
                <w:szCs w:val="20"/>
              </w:rPr>
            </w:pPr>
            <w:r w:rsidRPr="00714513">
              <w:rPr>
                <w:color w:val="000000"/>
                <w:sz w:val="20"/>
                <w:szCs w:val="20"/>
              </w:rPr>
              <w:t>858</w:t>
            </w:r>
          </w:p>
        </w:tc>
        <w:tc>
          <w:tcPr>
            <w:tcW w:w="1080" w:type="dxa"/>
          </w:tcPr>
          <w:p w:rsidR="00714513" w:rsidRPr="00714513" w:rsidP="00EB6A04" w14:paraId="755FEB75" w14:textId="77777777">
            <w:pPr>
              <w:keepNext/>
              <w:ind w:right="73"/>
              <w:contextualSpacing/>
              <w:jc w:val="right"/>
              <w:rPr>
                <w:color w:val="000000"/>
                <w:sz w:val="20"/>
                <w:szCs w:val="20"/>
              </w:rPr>
            </w:pPr>
            <w:r w:rsidRPr="00714513">
              <w:rPr>
                <w:color w:val="000000"/>
                <w:sz w:val="20"/>
                <w:szCs w:val="20"/>
              </w:rPr>
              <w:t>20</w:t>
            </w:r>
          </w:p>
        </w:tc>
        <w:tc>
          <w:tcPr>
            <w:tcW w:w="810" w:type="dxa"/>
          </w:tcPr>
          <w:p w:rsidR="00714513" w:rsidRPr="00714513" w:rsidP="00EB6A04" w14:paraId="7BD8D2A6" w14:textId="77777777">
            <w:pPr>
              <w:keepNext/>
              <w:ind w:right="90"/>
              <w:contextualSpacing/>
              <w:jc w:val="right"/>
              <w:rPr>
                <w:color w:val="000000"/>
                <w:sz w:val="20"/>
                <w:szCs w:val="20"/>
              </w:rPr>
            </w:pPr>
            <w:r w:rsidRPr="00714513">
              <w:rPr>
                <w:color w:val="000000"/>
                <w:sz w:val="20"/>
                <w:szCs w:val="20"/>
              </w:rPr>
              <w:t>11,664</w:t>
            </w:r>
          </w:p>
        </w:tc>
      </w:tr>
      <w:tr w14:paraId="211E1212" w14:textId="77777777" w:rsidTr="006F0496">
        <w:tblPrEx>
          <w:tblW w:w="9535" w:type="dxa"/>
          <w:tblInd w:w="0" w:type="dxa"/>
          <w:tblLayout w:type="fixed"/>
          <w:tblCellMar>
            <w:top w:w="15" w:type="dxa"/>
            <w:left w:w="6" w:type="dxa"/>
            <w:bottom w:w="15" w:type="dxa"/>
          </w:tblCellMar>
          <w:tblLook w:val="04A0"/>
        </w:tblPrEx>
        <w:trPr>
          <w:trHeight w:val="160"/>
        </w:trPr>
        <w:tc>
          <w:tcPr>
            <w:tcW w:w="4585" w:type="dxa"/>
          </w:tcPr>
          <w:p w:rsidR="00714513" w:rsidRPr="00714513" w:rsidP="00EB6A04" w14:paraId="13F99F88" w14:textId="77777777">
            <w:pPr>
              <w:keepNext/>
              <w:ind w:left="80"/>
              <w:contextualSpacing/>
              <w:rPr>
                <w:color w:val="000000"/>
                <w:sz w:val="20"/>
                <w:szCs w:val="20"/>
              </w:rPr>
            </w:pPr>
            <w:r w:rsidRPr="00714513">
              <w:rPr>
                <w:color w:val="000000"/>
                <w:sz w:val="20"/>
                <w:szCs w:val="20"/>
              </w:rPr>
              <w:t>230.230 adverse events  (animal designated medical gas)</w:t>
            </w:r>
          </w:p>
        </w:tc>
        <w:tc>
          <w:tcPr>
            <w:tcW w:w="1080" w:type="dxa"/>
          </w:tcPr>
          <w:p w:rsidR="00714513" w:rsidRPr="00714513" w:rsidP="00EB6A04" w14:paraId="6A69D4CF" w14:textId="77777777">
            <w:pPr>
              <w:keepNext/>
              <w:ind w:right="73"/>
              <w:contextualSpacing/>
              <w:jc w:val="right"/>
              <w:rPr>
                <w:color w:val="000000"/>
                <w:sz w:val="20"/>
                <w:szCs w:val="20"/>
              </w:rPr>
            </w:pPr>
            <w:r w:rsidRPr="00714513">
              <w:rPr>
                <w:color w:val="000000"/>
                <w:sz w:val="20"/>
                <w:szCs w:val="20"/>
              </w:rPr>
              <w:t>1,696</w:t>
            </w:r>
          </w:p>
        </w:tc>
        <w:tc>
          <w:tcPr>
            <w:tcW w:w="1080" w:type="dxa"/>
          </w:tcPr>
          <w:p w:rsidR="00714513" w:rsidRPr="00714513" w:rsidP="00EB6A04" w14:paraId="7915F013" w14:textId="77777777">
            <w:pPr>
              <w:keepNext/>
              <w:ind w:right="73"/>
              <w:contextualSpacing/>
              <w:jc w:val="right"/>
              <w:rPr>
                <w:color w:val="000000"/>
                <w:sz w:val="20"/>
                <w:szCs w:val="20"/>
              </w:rPr>
            </w:pPr>
            <w:r w:rsidRPr="00714513">
              <w:rPr>
                <w:color w:val="000000"/>
                <w:sz w:val="20"/>
                <w:szCs w:val="20"/>
              </w:rPr>
              <w:t>&lt; 1</w:t>
            </w:r>
          </w:p>
        </w:tc>
        <w:tc>
          <w:tcPr>
            <w:tcW w:w="900" w:type="dxa"/>
          </w:tcPr>
          <w:p w:rsidR="00714513" w:rsidRPr="00714513" w:rsidP="00EB6A04" w14:paraId="59A7F1CD" w14:textId="77777777">
            <w:pPr>
              <w:keepNext/>
              <w:ind w:right="73"/>
              <w:contextualSpacing/>
              <w:jc w:val="right"/>
              <w:rPr>
                <w:color w:val="000000"/>
                <w:sz w:val="20"/>
                <w:szCs w:val="20"/>
              </w:rPr>
            </w:pPr>
            <w:r w:rsidRPr="00714513">
              <w:rPr>
                <w:color w:val="000000"/>
                <w:sz w:val="20"/>
                <w:szCs w:val="20"/>
              </w:rPr>
              <w:t>8</w:t>
            </w:r>
          </w:p>
        </w:tc>
        <w:tc>
          <w:tcPr>
            <w:tcW w:w="1080" w:type="dxa"/>
          </w:tcPr>
          <w:p w:rsidR="00714513" w:rsidRPr="00714513" w:rsidP="00EB6A04" w14:paraId="1AF42AB4" w14:textId="77777777">
            <w:pPr>
              <w:keepNext/>
              <w:ind w:right="73"/>
              <w:contextualSpacing/>
              <w:jc w:val="right"/>
              <w:rPr>
                <w:color w:val="000000"/>
                <w:sz w:val="20"/>
                <w:szCs w:val="20"/>
              </w:rPr>
            </w:pPr>
            <w:r w:rsidRPr="00714513">
              <w:rPr>
                <w:color w:val="000000"/>
                <w:sz w:val="20"/>
                <w:szCs w:val="20"/>
              </w:rPr>
              <w:t>4</w:t>
            </w:r>
          </w:p>
        </w:tc>
        <w:tc>
          <w:tcPr>
            <w:tcW w:w="810" w:type="dxa"/>
          </w:tcPr>
          <w:p w:rsidR="00714513" w:rsidRPr="00714513" w:rsidP="00EB6A04" w14:paraId="2416FE14" w14:textId="77777777">
            <w:pPr>
              <w:keepNext/>
              <w:ind w:right="90"/>
              <w:contextualSpacing/>
              <w:jc w:val="right"/>
              <w:rPr>
                <w:color w:val="000000"/>
                <w:sz w:val="20"/>
                <w:szCs w:val="20"/>
              </w:rPr>
            </w:pPr>
            <w:r w:rsidRPr="00714513">
              <w:rPr>
                <w:color w:val="000000"/>
                <w:sz w:val="20"/>
                <w:szCs w:val="20"/>
              </w:rPr>
              <w:t>32</w:t>
            </w:r>
          </w:p>
        </w:tc>
      </w:tr>
      <w:tr w14:paraId="38DA8714" w14:textId="77777777" w:rsidTr="006F0496">
        <w:tblPrEx>
          <w:tblW w:w="9535" w:type="dxa"/>
          <w:tblInd w:w="0" w:type="dxa"/>
          <w:tblLayout w:type="fixed"/>
          <w:tblCellMar>
            <w:top w:w="15" w:type="dxa"/>
            <w:left w:w="6" w:type="dxa"/>
            <w:bottom w:w="15" w:type="dxa"/>
          </w:tblCellMar>
          <w:tblLook w:val="04A0"/>
        </w:tblPrEx>
        <w:trPr>
          <w:trHeight w:val="160"/>
        </w:trPr>
        <w:tc>
          <w:tcPr>
            <w:tcW w:w="4585" w:type="dxa"/>
          </w:tcPr>
          <w:p w:rsidR="00714513" w:rsidRPr="00714513" w:rsidP="00EB6A04" w14:paraId="19A7F6FC" w14:textId="77777777">
            <w:pPr>
              <w:keepNext/>
              <w:ind w:left="80"/>
              <w:contextualSpacing/>
              <w:rPr>
                <w:color w:val="000000"/>
                <w:sz w:val="20"/>
                <w:szCs w:val="20"/>
              </w:rPr>
            </w:pPr>
            <w:r w:rsidRPr="00714513">
              <w:rPr>
                <w:color w:val="000000"/>
                <w:sz w:val="20"/>
                <w:szCs w:val="20"/>
              </w:rPr>
              <w:t>230.230; waivers from electronic submission requirement</w:t>
            </w:r>
          </w:p>
        </w:tc>
        <w:tc>
          <w:tcPr>
            <w:tcW w:w="1080" w:type="dxa"/>
          </w:tcPr>
          <w:p w:rsidR="00714513" w:rsidRPr="00714513" w:rsidP="00EB6A04" w14:paraId="5BBAEF19" w14:textId="77777777">
            <w:pPr>
              <w:keepNext/>
              <w:ind w:right="73"/>
              <w:contextualSpacing/>
              <w:jc w:val="right"/>
              <w:rPr>
                <w:color w:val="000000"/>
                <w:sz w:val="20"/>
                <w:szCs w:val="20"/>
              </w:rPr>
            </w:pPr>
            <w:r w:rsidRPr="00714513">
              <w:rPr>
                <w:color w:val="000000"/>
                <w:sz w:val="20"/>
                <w:szCs w:val="20"/>
              </w:rPr>
              <w:t>1,696</w:t>
            </w:r>
          </w:p>
        </w:tc>
        <w:tc>
          <w:tcPr>
            <w:tcW w:w="1080" w:type="dxa"/>
          </w:tcPr>
          <w:p w:rsidR="00714513" w:rsidRPr="00714513" w:rsidP="00EB6A04" w14:paraId="2D736BD9" w14:textId="77777777">
            <w:pPr>
              <w:keepNext/>
              <w:ind w:right="73"/>
              <w:contextualSpacing/>
              <w:jc w:val="right"/>
              <w:rPr>
                <w:color w:val="000000"/>
                <w:sz w:val="20"/>
                <w:szCs w:val="20"/>
              </w:rPr>
            </w:pPr>
            <w:r w:rsidRPr="00714513">
              <w:rPr>
                <w:color w:val="000000"/>
                <w:sz w:val="20"/>
                <w:szCs w:val="20"/>
              </w:rPr>
              <w:t>&lt; 1</w:t>
            </w:r>
          </w:p>
        </w:tc>
        <w:tc>
          <w:tcPr>
            <w:tcW w:w="900" w:type="dxa"/>
          </w:tcPr>
          <w:p w:rsidR="00714513" w:rsidRPr="00714513" w:rsidP="00EB6A04" w14:paraId="3FFD2E89" w14:textId="77777777">
            <w:pPr>
              <w:keepNext/>
              <w:ind w:right="73"/>
              <w:contextualSpacing/>
              <w:jc w:val="right"/>
              <w:rPr>
                <w:color w:val="000000"/>
                <w:sz w:val="20"/>
                <w:szCs w:val="20"/>
              </w:rPr>
            </w:pPr>
            <w:r w:rsidRPr="00714513">
              <w:rPr>
                <w:color w:val="000000"/>
                <w:sz w:val="20"/>
                <w:szCs w:val="20"/>
              </w:rPr>
              <w:t>16</w:t>
            </w:r>
          </w:p>
        </w:tc>
        <w:tc>
          <w:tcPr>
            <w:tcW w:w="1080" w:type="dxa"/>
          </w:tcPr>
          <w:p w:rsidR="00714513" w:rsidRPr="00714513" w:rsidP="00EB6A04" w14:paraId="6EEF1B47" w14:textId="77777777">
            <w:pPr>
              <w:keepNext/>
              <w:ind w:right="73"/>
              <w:contextualSpacing/>
              <w:jc w:val="right"/>
              <w:rPr>
                <w:color w:val="000000"/>
                <w:sz w:val="20"/>
                <w:szCs w:val="20"/>
              </w:rPr>
            </w:pPr>
            <w:r w:rsidRPr="00714513">
              <w:rPr>
                <w:color w:val="000000"/>
                <w:sz w:val="20"/>
                <w:szCs w:val="20"/>
              </w:rPr>
              <w:t>5</w:t>
            </w:r>
          </w:p>
        </w:tc>
        <w:tc>
          <w:tcPr>
            <w:tcW w:w="810" w:type="dxa"/>
          </w:tcPr>
          <w:p w:rsidR="00714513" w:rsidRPr="00714513" w:rsidP="00EB6A04" w14:paraId="65F66701" w14:textId="77777777">
            <w:pPr>
              <w:keepNext/>
              <w:ind w:right="90"/>
              <w:contextualSpacing/>
              <w:jc w:val="right"/>
              <w:rPr>
                <w:color w:val="000000"/>
                <w:sz w:val="20"/>
                <w:szCs w:val="20"/>
              </w:rPr>
            </w:pPr>
            <w:r w:rsidRPr="00714513">
              <w:rPr>
                <w:color w:val="000000"/>
                <w:sz w:val="20"/>
                <w:szCs w:val="20"/>
              </w:rPr>
              <w:t>80</w:t>
            </w:r>
          </w:p>
        </w:tc>
      </w:tr>
      <w:tr w14:paraId="2C3C9D58" w14:textId="77777777" w:rsidTr="006F0496">
        <w:tblPrEx>
          <w:tblW w:w="9535" w:type="dxa"/>
          <w:tblInd w:w="0" w:type="dxa"/>
          <w:tblLayout w:type="fixed"/>
          <w:tblCellMar>
            <w:top w:w="15" w:type="dxa"/>
            <w:left w:w="6" w:type="dxa"/>
            <w:bottom w:w="15" w:type="dxa"/>
          </w:tblCellMar>
          <w:tblLook w:val="04A0"/>
        </w:tblPrEx>
        <w:trPr>
          <w:trHeight w:val="288"/>
        </w:trPr>
        <w:tc>
          <w:tcPr>
            <w:tcW w:w="6745" w:type="dxa"/>
            <w:gridSpan w:val="3"/>
            <w:shd w:val="clear" w:color="auto" w:fill="99FF99"/>
          </w:tcPr>
          <w:p w:rsidR="00714513" w:rsidRPr="00714513" w:rsidP="00EB6A04" w14:paraId="327CCB74" w14:textId="77777777">
            <w:pPr>
              <w:keepNext/>
              <w:ind w:left="4"/>
              <w:contextualSpacing/>
              <w:rPr>
                <w:b/>
                <w:bCs/>
                <w:color w:val="000000"/>
                <w:sz w:val="20"/>
                <w:szCs w:val="20"/>
              </w:rPr>
            </w:pPr>
            <w:r w:rsidRPr="00714513">
              <w:rPr>
                <w:b/>
                <w:bCs/>
                <w:color w:val="000000"/>
                <w:sz w:val="20"/>
                <w:szCs w:val="20"/>
              </w:rPr>
              <w:t>TOTAL</w:t>
            </w:r>
          </w:p>
        </w:tc>
        <w:tc>
          <w:tcPr>
            <w:tcW w:w="900" w:type="dxa"/>
            <w:shd w:val="clear" w:color="auto" w:fill="99FF99"/>
          </w:tcPr>
          <w:p w:rsidR="00714513" w:rsidRPr="00714513" w:rsidP="00EB6A04" w14:paraId="7895FC07" w14:textId="77777777">
            <w:pPr>
              <w:keepNext/>
              <w:ind w:right="73"/>
              <w:contextualSpacing/>
              <w:jc w:val="right"/>
              <w:rPr>
                <w:b/>
                <w:bCs/>
                <w:color w:val="000000"/>
                <w:sz w:val="20"/>
                <w:szCs w:val="20"/>
              </w:rPr>
            </w:pPr>
            <w:r w:rsidRPr="00714513">
              <w:rPr>
                <w:b/>
                <w:bCs/>
                <w:color w:val="000000"/>
                <w:sz w:val="20"/>
                <w:szCs w:val="20"/>
              </w:rPr>
              <w:fldChar w:fldCharType="begin"/>
            </w:r>
            <w:r w:rsidRPr="00714513">
              <w:rPr>
                <w:b/>
                <w:bCs/>
                <w:color w:val="000000"/>
                <w:sz w:val="20"/>
                <w:szCs w:val="20"/>
              </w:rPr>
              <w:instrText xml:space="preserve"> =SUM(ABOVE) </w:instrText>
            </w:r>
            <w:r w:rsidRPr="00714513">
              <w:rPr>
                <w:b/>
                <w:bCs/>
                <w:color w:val="000000"/>
                <w:sz w:val="20"/>
                <w:szCs w:val="20"/>
              </w:rPr>
              <w:fldChar w:fldCharType="separate"/>
            </w:r>
            <w:r w:rsidRPr="00714513">
              <w:rPr>
                <w:b/>
                <w:bCs/>
                <w:noProof/>
                <w:color w:val="000000"/>
                <w:sz w:val="20"/>
                <w:szCs w:val="20"/>
              </w:rPr>
              <w:t>1021</w:t>
            </w:r>
            <w:r w:rsidRPr="00714513">
              <w:rPr>
                <w:b/>
                <w:bCs/>
                <w:color w:val="000000"/>
                <w:sz w:val="20"/>
                <w:szCs w:val="20"/>
              </w:rPr>
              <w:fldChar w:fldCharType="end"/>
            </w:r>
          </w:p>
        </w:tc>
        <w:tc>
          <w:tcPr>
            <w:tcW w:w="1080" w:type="dxa"/>
            <w:shd w:val="clear" w:color="auto" w:fill="99FF99"/>
          </w:tcPr>
          <w:p w:rsidR="00714513" w:rsidRPr="00714513" w:rsidP="00EB6A04" w14:paraId="2CF27F0C" w14:textId="77777777">
            <w:pPr>
              <w:keepNext/>
              <w:ind w:left="4"/>
              <w:contextualSpacing/>
              <w:jc w:val="right"/>
              <w:rPr>
                <w:b/>
                <w:bCs/>
                <w:color w:val="000000"/>
                <w:sz w:val="20"/>
                <w:szCs w:val="20"/>
              </w:rPr>
            </w:pPr>
          </w:p>
        </w:tc>
        <w:tc>
          <w:tcPr>
            <w:tcW w:w="810" w:type="dxa"/>
            <w:shd w:val="clear" w:color="auto" w:fill="99FF99"/>
          </w:tcPr>
          <w:p w:rsidR="00714513" w:rsidRPr="00714513" w:rsidP="00EB6A04" w14:paraId="6E00B56A" w14:textId="77777777">
            <w:pPr>
              <w:keepNext/>
              <w:ind w:right="90"/>
              <w:contextualSpacing/>
              <w:jc w:val="right"/>
              <w:rPr>
                <w:b/>
                <w:bCs/>
                <w:color w:val="000000"/>
                <w:sz w:val="20"/>
                <w:szCs w:val="20"/>
              </w:rPr>
            </w:pPr>
            <w:r w:rsidRPr="00714513">
              <w:rPr>
                <w:b/>
                <w:bCs/>
                <w:color w:val="000000"/>
                <w:sz w:val="20"/>
                <w:szCs w:val="20"/>
              </w:rPr>
              <w:fldChar w:fldCharType="begin"/>
            </w:r>
            <w:r w:rsidRPr="00714513">
              <w:rPr>
                <w:b/>
                <w:bCs/>
                <w:color w:val="000000"/>
                <w:sz w:val="20"/>
                <w:szCs w:val="20"/>
              </w:rPr>
              <w:instrText xml:space="preserve"> =SUM(ABOVE) </w:instrText>
            </w:r>
            <w:r w:rsidRPr="00714513">
              <w:rPr>
                <w:b/>
                <w:bCs/>
                <w:color w:val="000000"/>
                <w:sz w:val="20"/>
                <w:szCs w:val="20"/>
              </w:rPr>
              <w:fldChar w:fldCharType="separate"/>
            </w:r>
            <w:r w:rsidRPr="00714513">
              <w:rPr>
                <w:b/>
                <w:bCs/>
                <w:noProof/>
                <w:color w:val="000000"/>
                <w:sz w:val="20"/>
                <w:szCs w:val="20"/>
              </w:rPr>
              <w:t>12,081</w:t>
            </w:r>
            <w:r w:rsidRPr="00714513">
              <w:rPr>
                <w:b/>
                <w:bCs/>
                <w:color w:val="000000"/>
                <w:sz w:val="20"/>
                <w:szCs w:val="20"/>
              </w:rPr>
              <w:fldChar w:fldCharType="end"/>
            </w:r>
            <w:r w:rsidRPr="00714513">
              <w:rPr>
                <w:b/>
                <w:bCs/>
                <w:color w:val="000000"/>
                <w:sz w:val="20"/>
                <w:szCs w:val="20"/>
              </w:rPr>
              <w:t xml:space="preserve"> </w:t>
            </w:r>
          </w:p>
        </w:tc>
      </w:tr>
    </w:tbl>
    <w:p w:rsidR="00AA61E4" w:rsidRPr="00B71F4A" w:rsidP="00EB6A04" w14:paraId="60340C04" w14:textId="77777777">
      <w:pPr>
        <w:rPr>
          <w:rFonts w:eastAsia="Calibri"/>
          <w:color w:val="000000" w:themeColor="text1"/>
        </w:rPr>
      </w:pPr>
    </w:p>
    <w:p w:rsidR="00357C8A" w:rsidRPr="00AA61E4" w:rsidP="00EB6A04" w14:paraId="5A7A64E5" w14:textId="7BB693EF">
      <w:pPr>
        <w:rPr>
          <w:rFonts w:eastAsia="Calibri"/>
          <w:i/>
          <w:iCs/>
          <w:color w:val="000000" w:themeColor="text1"/>
        </w:rPr>
      </w:pPr>
      <w:r>
        <w:rPr>
          <w:rFonts w:eastAsia="Calibri"/>
          <w:color w:val="000000" w:themeColor="text1"/>
        </w:rPr>
        <w:tab/>
      </w:r>
      <w:r>
        <w:rPr>
          <w:rFonts w:eastAsia="Calibri"/>
          <w:color w:val="000000" w:themeColor="text1"/>
        </w:rPr>
        <w:tab/>
      </w:r>
      <w:r w:rsidRPr="00AA61E4">
        <w:rPr>
          <w:rFonts w:eastAsia="Calibri"/>
          <w:i/>
          <w:iCs/>
          <w:color w:val="000000" w:themeColor="text1"/>
        </w:rPr>
        <w:t>12b.  Annualized Cost Burden Estimate</w:t>
      </w:r>
    </w:p>
    <w:p w:rsidR="00C41014" w:rsidRPr="00B71F4A" w:rsidP="00EB6A04" w14:paraId="40B32B11" w14:textId="77777777">
      <w:pPr>
        <w:rPr>
          <w:rFonts w:eastAsia="Calibri"/>
          <w:color w:val="000000" w:themeColor="text1"/>
        </w:rPr>
      </w:pPr>
    </w:p>
    <w:p w:rsidR="00525E31" w:rsidRPr="00B71F4A" w:rsidP="00EB6A04" w14:paraId="247D7D02" w14:textId="45BDE1B0">
      <w:pPr>
        <w:rPr>
          <w:rFonts w:eastAsia="Calibri"/>
          <w:color w:val="000000" w:themeColor="text1"/>
        </w:rPr>
      </w:pPr>
      <w:r w:rsidRPr="00B71F4A">
        <w:rPr>
          <w:rFonts w:eastAsia="Calibri"/>
          <w:color w:val="000000" w:themeColor="text1"/>
        </w:rPr>
        <w:t>A</w:t>
      </w:r>
      <w:r w:rsidRPr="00B71F4A" w:rsidR="005E43BD">
        <w:rPr>
          <w:rFonts w:eastAsia="Calibri"/>
          <w:color w:val="000000" w:themeColor="text1"/>
        </w:rPr>
        <w:t xml:space="preserve">ffected </w:t>
      </w:r>
      <w:r w:rsidRPr="00B71F4A" w:rsidR="008D36AA">
        <w:rPr>
          <w:rFonts w:eastAsia="Calibri"/>
          <w:color w:val="000000" w:themeColor="text1"/>
        </w:rPr>
        <w:t>e</w:t>
      </w:r>
      <w:r w:rsidRPr="00B71F4A">
        <w:rPr>
          <w:rFonts w:eastAsia="Calibri"/>
          <w:color w:val="000000" w:themeColor="text1"/>
        </w:rPr>
        <w:t>ntities will incur costs</w:t>
      </w:r>
      <w:r w:rsidRPr="00B71F4A">
        <w:rPr>
          <w:rFonts w:eastAsia="Calibri"/>
          <w:color w:val="000000" w:themeColor="text1"/>
        </w:rPr>
        <w:t xml:space="preserve"> with </w:t>
      </w:r>
      <w:r w:rsidRPr="00B71F4A" w:rsidR="006662F1">
        <w:rPr>
          <w:rFonts w:eastAsia="Calibri"/>
          <w:color w:val="000000" w:themeColor="text1"/>
        </w:rPr>
        <w:t xml:space="preserve">implementation of </w:t>
      </w:r>
      <w:r w:rsidRPr="00B71F4A">
        <w:rPr>
          <w:rFonts w:eastAsia="Calibri"/>
          <w:color w:val="000000" w:themeColor="text1"/>
        </w:rPr>
        <w:t>the final rule</w:t>
      </w:r>
      <w:r w:rsidRPr="00B71F4A">
        <w:rPr>
          <w:rFonts w:eastAsia="Calibri"/>
          <w:color w:val="000000" w:themeColor="text1"/>
        </w:rPr>
        <w:t>.</w:t>
      </w:r>
      <w:r w:rsidRPr="00B71F4A" w:rsidR="008D36AA">
        <w:rPr>
          <w:rFonts w:eastAsia="Calibri"/>
          <w:color w:val="000000" w:themeColor="text1"/>
        </w:rPr>
        <w:t xml:space="preserve">  </w:t>
      </w:r>
      <w:r w:rsidRPr="00B71F4A" w:rsidR="00C41014">
        <w:rPr>
          <w:rFonts w:eastAsia="Calibri"/>
          <w:color w:val="000000" w:themeColor="text1"/>
        </w:rPr>
        <w:t>Sections II.F.1,</w:t>
      </w:r>
      <w:r w:rsidRPr="00B71F4A" w:rsidR="00061D9C">
        <w:rPr>
          <w:rFonts w:eastAsia="Calibri"/>
          <w:color w:val="000000" w:themeColor="text1"/>
        </w:rPr>
        <w:t xml:space="preserve"> </w:t>
      </w:r>
      <w:r w:rsidRPr="00B71F4A" w:rsidR="009F2DAA">
        <w:rPr>
          <w:rFonts w:eastAsia="Calibri"/>
          <w:color w:val="000000" w:themeColor="text1"/>
        </w:rPr>
        <w:t xml:space="preserve">2, </w:t>
      </w:r>
      <w:r w:rsidRPr="00B71F4A" w:rsidR="00C41014">
        <w:rPr>
          <w:rFonts w:eastAsia="Calibri"/>
          <w:color w:val="000000" w:themeColor="text1"/>
        </w:rPr>
        <w:t>3, 4, and 5 of t</w:t>
      </w:r>
      <w:r w:rsidRPr="00B71F4A" w:rsidR="008A1029">
        <w:rPr>
          <w:rFonts w:eastAsia="Calibri"/>
          <w:color w:val="000000" w:themeColor="text1"/>
        </w:rPr>
        <w:t xml:space="preserve">he </w:t>
      </w:r>
      <w:r w:rsidRPr="00B71F4A" w:rsidR="00700CCB">
        <w:rPr>
          <w:rFonts w:eastAsia="Calibri"/>
          <w:color w:val="000000" w:themeColor="text1"/>
        </w:rPr>
        <w:t>F</w:t>
      </w:r>
      <w:r w:rsidRPr="00B71F4A" w:rsidR="008A1029">
        <w:rPr>
          <w:rFonts w:eastAsia="Calibri"/>
          <w:color w:val="000000" w:themeColor="text1"/>
        </w:rPr>
        <w:t>RIA discuss costs</w:t>
      </w:r>
      <w:r w:rsidRPr="00B71F4A" w:rsidR="00C41014">
        <w:rPr>
          <w:rFonts w:eastAsia="Calibri"/>
          <w:color w:val="000000" w:themeColor="text1"/>
        </w:rPr>
        <w:t xml:space="preserve"> to industry</w:t>
      </w:r>
      <w:r w:rsidRPr="00B71F4A" w:rsidR="009B0AD9">
        <w:rPr>
          <w:rFonts w:eastAsia="Calibri"/>
          <w:color w:val="000000" w:themeColor="text1"/>
        </w:rPr>
        <w:t xml:space="preserve"> for full compliance with the rule.</w:t>
      </w:r>
    </w:p>
    <w:p w:rsidR="00357C8A" w:rsidRPr="00B71F4A" w:rsidP="00EB6A04" w14:paraId="7E780CB6" w14:textId="77777777">
      <w:pPr>
        <w:rPr>
          <w:rFonts w:eastAsia="Calibri"/>
          <w:color w:val="000000" w:themeColor="text1"/>
        </w:rPr>
      </w:pPr>
    </w:p>
    <w:p w:rsidR="006D1C02" w:rsidRPr="00B71F4A" w:rsidP="00EB6A04" w14:paraId="5B26FE5C" w14:textId="66C00410">
      <w:pPr>
        <w:rPr>
          <w:rFonts w:eastAsia="Calibri"/>
          <w:color w:val="000000" w:themeColor="text1"/>
        </w:rPr>
      </w:pPr>
      <w:r w:rsidRPr="00B71F4A">
        <w:rPr>
          <w:rFonts w:eastAsia="Calibri"/>
          <w:color w:val="000000" w:themeColor="text1"/>
          <w:u w:val="single"/>
        </w:rPr>
        <w:t>13.</w:t>
      </w:r>
      <w:r w:rsidRPr="00B71F4A">
        <w:rPr>
          <w:rFonts w:eastAsia="Calibri"/>
          <w:color w:val="000000" w:themeColor="text1"/>
        </w:rPr>
        <w:t xml:space="preserve"> </w:t>
      </w:r>
      <w:r w:rsidRPr="00B71F4A" w:rsidR="00357C8A">
        <w:rPr>
          <w:rFonts w:eastAsia="Calibri"/>
          <w:color w:val="000000" w:themeColor="text1"/>
          <w:u w:val="single"/>
        </w:rPr>
        <w:t xml:space="preserve">Estimates of Other Total Annual Costs </w:t>
      </w:r>
      <w:r w:rsidRPr="00B71F4A" w:rsidR="00590E90">
        <w:rPr>
          <w:rFonts w:eastAsia="Calibri"/>
          <w:color w:val="000000" w:themeColor="text1"/>
          <w:u w:val="single"/>
        </w:rPr>
        <w:t xml:space="preserve">to Respondents/Recordkeepers or </w:t>
      </w:r>
      <w:r w:rsidRPr="00B71F4A" w:rsidR="00357C8A">
        <w:rPr>
          <w:rFonts w:eastAsia="Calibri"/>
          <w:color w:val="000000" w:themeColor="text1"/>
          <w:u w:val="single"/>
        </w:rPr>
        <w:t xml:space="preserve">Capital Costs </w:t>
      </w:r>
    </w:p>
    <w:p w:rsidR="008139EC" w:rsidP="00EB6A04" w14:paraId="0B2DCE90" w14:textId="77777777">
      <w:pPr>
        <w:rPr>
          <w:rFonts w:eastAsia="Calibri"/>
          <w:color w:val="000000" w:themeColor="text1"/>
        </w:rPr>
      </w:pPr>
    </w:p>
    <w:p w:rsidR="008139EC" w:rsidP="00EB6A04" w14:paraId="37DDD77E" w14:textId="1DDFB7F6">
      <w:pPr>
        <w:rPr>
          <w:rFonts w:eastAsia="Calibri"/>
          <w:color w:val="000000" w:themeColor="text1"/>
        </w:rPr>
      </w:pPr>
      <w:r>
        <w:rPr>
          <w:rFonts w:eastAsia="Calibri"/>
          <w:color w:val="000000" w:themeColor="text1"/>
        </w:rPr>
        <w:t>Capital c</w:t>
      </w:r>
      <w:r w:rsidR="009C406D">
        <w:rPr>
          <w:rFonts w:eastAsia="Calibri"/>
          <w:color w:val="000000" w:themeColor="text1"/>
        </w:rPr>
        <w:t>osts of the rule</w:t>
      </w:r>
      <w:r w:rsidR="003D5EE6">
        <w:rPr>
          <w:rFonts w:eastAsia="Calibri"/>
          <w:color w:val="000000" w:themeColor="text1"/>
        </w:rPr>
        <w:t xml:space="preserve"> </w:t>
      </w:r>
      <w:r>
        <w:rPr>
          <w:rFonts w:eastAsia="Calibri"/>
          <w:color w:val="000000" w:themeColor="text1"/>
        </w:rPr>
        <w:t xml:space="preserve">include costs of relabeling, as </w:t>
      </w:r>
      <w:r w:rsidR="009C406D">
        <w:rPr>
          <w:rFonts w:eastAsia="Calibri"/>
          <w:color w:val="000000" w:themeColor="text1"/>
        </w:rPr>
        <w:t>discussed in Section F of the FRIA</w:t>
      </w:r>
      <w:r w:rsidRPr="00524C66" w:rsidR="00CD7C95">
        <w:rPr>
          <w:rFonts w:eastAsia="Calibri"/>
          <w:color w:val="000000" w:themeColor="text1"/>
        </w:rPr>
        <w:t>.</w:t>
      </w:r>
    </w:p>
    <w:p w:rsidR="00CD7C95" w:rsidRPr="00B71F4A" w:rsidP="00EB6A04" w14:paraId="55E28299" w14:textId="209965A9">
      <w:pPr>
        <w:rPr>
          <w:rFonts w:eastAsia="Calibri"/>
          <w:color w:val="000000" w:themeColor="text1"/>
        </w:rPr>
      </w:pPr>
      <w:r w:rsidRPr="00B71F4A">
        <w:rPr>
          <w:rFonts w:eastAsia="Calibri"/>
          <w:color w:val="000000" w:themeColor="text1"/>
        </w:rPr>
        <w:t xml:space="preserve"> </w:t>
      </w:r>
    </w:p>
    <w:p w:rsidR="00357C8A" w:rsidRPr="00B71F4A" w:rsidP="00EB6A04" w14:paraId="6DB916EC" w14:textId="77777777">
      <w:pPr>
        <w:rPr>
          <w:rFonts w:eastAsia="Calibri"/>
          <w:color w:val="000000" w:themeColor="text1"/>
          <w:u w:val="single"/>
        </w:rPr>
      </w:pPr>
      <w:r w:rsidRPr="00B71F4A">
        <w:rPr>
          <w:rFonts w:eastAsia="Calibri"/>
          <w:color w:val="000000" w:themeColor="text1"/>
          <w:u w:val="single"/>
        </w:rPr>
        <w:t>14.</w:t>
      </w:r>
      <w:r w:rsidRPr="00B71F4A">
        <w:rPr>
          <w:rFonts w:eastAsia="Calibri"/>
          <w:color w:val="000000" w:themeColor="text1"/>
        </w:rPr>
        <w:t xml:space="preserve"> </w:t>
      </w:r>
      <w:r w:rsidRPr="00B71F4A">
        <w:rPr>
          <w:rFonts w:eastAsia="Calibri"/>
          <w:color w:val="000000" w:themeColor="text1"/>
          <w:u w:val="single"/>
        </w:rPr>
        <w:t>Annualized Cost to the Federal Government</w:t>
      </w:r>
    </w:p>
    <w:p w:rsidR="0087509D" w:rsidRPr="00B71F4A" w:rsidP="00EB6A04" w14:paraId="6C869B97" w14:textId="77777777">
      <w:pPr>
        <w:rPr>
          <w:color w:val="000000" w:themeColor="text1"/>
        </w:rPr>
      </w:pPr>
    </w:p>
    <w:p w:rsidR="007D0F81" w:rsidP="00D86C9A" w14:paraId="60EFE841" w14:textId="754A0A51">
      <w:pPr>
        <w:rPr>
          <w:color w:val="000000" w:themeColor="text1"/>
        </w:rPr>
      </w:pPr>
      <w:r>
        <w:rPr>
          <w:color w:val="000000" w:themeColor="text1"/>
        </w:rPr>
        <w:t xml:space="preserve">We currently estimate the </w:t>
      </w:r>
      <w:r w:rsidR="0019644B">
        <w:rPr>
          <w:color w:val="000000" w:themeColor="text1"/>
        </w:rPr>
        <w:t xml:space="preserve">annual </w:t>
      </w:r>
      <w:r>
        <w:rPr>
          <w:color w:val="000000" w:themeColor="text1"/>
        </w:rPr>
        <w:t xml:space="preserve">cost to the Federal government to be </w:t>
      </w:r>
      <w:r w:rsidR="002A08AD">
        <w:rPr>
          <w:color w:val="000000" w:themeColor="text1"/>
        </w:rPr>
        <w:t xml:space="preserve">$20,522.88, reflecting 144 hours multiplied by a </w:t>
      </w:r>
      <w:r w:rsidR="0019644B">
        <w:rPr>
          <w:color w:val="000000" w:themeColor="text1"/>
        </w:rPr>
        <w:t xml:space="preserve">fully-loaded </w:t>
      </w:r>
      <w:r w:rsidR="002A08AD">
        <w:rPr>
          <w:color w:val="000000" w:themeColor="text1"/>
        </w:rPr>
        <w:t xml:space="preserve">wage rate of </w:t>
      </w:r>
      <w:r w:rsidR="00707A4F">
        <w:rPr>
          <w:color w:val="000000" w:themeColor="text1"/>
        </w:rPr>
        <w:t>$142.52</w:t>
      </w:r>
      <w:r w:rsidR="00EB0BAC">
        <w:rPr>
          <w:color w:val="000000" w:themeColor="text1"/>
        </w:rPr>
        <w:t xml:space="preserve">, </w:t>
      </w:r>
      <w:r w:rsidR="00C20351">
        <w:rPr>
          <w:color w:val="000000" w:themeColor="text1"/>
        </w:rPr>
        <w:t xml:space="preserve">to develop </w:t>
      </w:r>
      <w:r w:rsidRPr="00D86C9A" w:rsidR="00C20351">
        <w:rPr>
          <w:b/>
          <w:bCs/>
          <w:color w:val="000000" w:themeColor="text1"/>
        </w:rPr>
        <w:t>Forms FDA 3864</w:t>
      </w:r>
      <w:r w:rsidR="00D86C9A">
        <w:rPr>
          <w:color w:val="000000" w:themeColor="text1"/>
        </w:rPr>
        <w:t xml:space="preserve"> and </w:t>
      </w:r>
      <w:r w:rsidRPr="00D86C9A" w:rsidR="00D86C9A">
        <w:rPr>
          <w:b/>
          <w:bCs/>
          <w:color w:val="000000" w:themeColor="text1"/>
        </w:rPr>
        <w:t>5025</w:t>
      </w:r>
      <w:r w:rsidR="00D86C9A">
        <w:rPr>
          <w:color w:val="000000" w:themeColor="text1"/>
        </w:rPr>
        <w:t xml:space="preserve">. </w:t>
      </w:r>
    </w:p>
    <w:p w:rsidR="00D86C9A" w:rsidRPr="006479DB" w:rsidP="00D86C9A" w14:paraId="61115071" w14:textId="77777777">
      <w:pPr>
        <w:rPr>
          <w:color w:val="000000" w:themeColor="text1"/>
        </w:rPr>
      </w:pPr>
    </w:p>
    <w:p w:rsidR="0087509D" w:rsidRPr="006479DB" w:rsidP="00EB6A04" w14:paraId="3E4E12E0" w14:textId="5E21413E">
      <w:pPr>
        <w:numPr>
          <w:ilvl w:val="0"/>
          <w:numId w:val="70"/>
        </w:numPr>
        <w:ind w:left="0" w:firstLine="0"/>
        <w:rPr>
          <w:rFonts w:eastAsia="Calibri"/>
          <w:color w:val="000000" w:themeColor="text1"/>
        </w:rPr>
      </w:pPr>
      <w:r w:rsidRPr="006479DB">
        <w:rPr>
          <w:rFonts w:eastAsia="Calibri"/>
          <w:color w:val="000000" w:themeColor="text1"/>
          <w:u w:val="single"/>
        </w:rPr>
        <w:t>Explanation for Program Changes or Adjustments</w:t>
      </w:r>
    </w:p>
    <w:p w:rsidR="007D4D56" w:rsidRPr="006479DB" w:rsidP="00EB6A04" w14:paraId="3CD0C662" w14:textId="77777777">
      <w:pPr>
        <w:rPr>
          <w:rFonts w:eastAsia="Calibri"/>
          <w:color w:val="000000" w:themeColor="text1"/>
        </w:rPr>
      </w:pPr>
    </w:p>
    <w:p w:rsidR="00A56F33" w:rsidP="00EB6A04" w14:paraId="171A1082" w14:textId="26B083D8">
      <w:pPr>
        <w:rPr>
          <w:rFonts w:eastAsia="Calibri"/>
          <w:color w:val="000000" w:themeColor="text1"/>
        </w:rPr>
      </w:pPr>
      <w:r>
        <w:rPr>
          <w:rFonts w:eastAsia="Calibri"/>
          <w:color w:val="000000" w:themeColor="text1"/>
        </w:rPr>
        <w:t xml:space="preserve">This is a new information collection request.  </w:t>
      </w:r>
      <w:r w:rsidR="00BD32D9">
        <w:rPr>
          <w:rFonts w:eastAsia="Calibri"/>
          <w:color w:val="000000" w:themeColor="text1"/>
        </w:rPr>
        <w:t xml:space="preserve">The rulemaking introduces </w:t>
      </w:r>
      <w:r w:rsidR="00A31D21">
        <w:rPr>
          <w:rFonts w:eastAsia="Calibri"/>
          <w:color w:val="000000" w:themeColor="text1"/>
        </w:rPr>
        <w:t>new information collections totaling</w:t>
      </w:r>
      <w:r w:rsidR="003A44B7">
        <w:rPr>
          <w:rFonts w:eastAsia="Calibri"/>
          <w:color w:val="000000" w:themeColor="text1"/>
        </w:rPr>
        <w:t xml:space="preserve"> </w:t>
      </w:r>
      <w:r w:rsidR="0002547A">
        <w:rPr>
          <w:rFonts w:eastAsia="Calibri"/>
          <w:color w:val="000000" w:themeColor="text1"/>
        </w:rPr>
        <w:t xml:space="preserve">1,121,083 </w:t>
      </w:r>
      <w:r w:rsidR="009F247B">
        <w:rPr>
          <w:rFonts w:eastAsia="Calibri"/>
          <w:color w:val="000000" w:themeColor="text1"/>
        </w:rPr>
        <w:t>responses and 478,135</w:t>
      </w:r>
      <w:r w:rsidR="00393475">
        <w:rPr>
          <w:rFonts w:eastAsia="Calibri"/>
          <w:color w:val="000000" w:themeColor="text1"/>
        </w:rPr>
        <w:t xml:space="preserve"> hours annually</w:t>
      </w:r>
      <w:r w:rsidR="00F77BDD">
        <w:rPr>
          <w:rFonts w:eastAsia="Calibri"/>
          <w:color w:val="000000" w:themeColor="text1"/>
        </w:rPr>
        <w:t>, a slightly upward adjustment from estimates included in our proposed rule</w:t>
      </w:r>
      <w:r w:rsidR="00687C83">
        <w:rPr>
          <w:rFonts w:eastAsia="Calibri"/>
          <w:color w:val="000000" w:themeColor="text1"/>
        </w:rPr>
        <w:t>, based on the most current analysis of impact data</w:t>
      </w:r>
      <w:r w:rsidR="00393475">
        <w:rPr>
          <w:rFonts w:eastAsia="Calibri"/>
          <w:color w:val="000000" w:themeColor="text1"/>
        </w:rPr>
        <w:t>.  We expect most of the burden to remain in OMB control no. 0910-0906, established to support th</w:t>
      </w:r>
      <w:r w:rsidR="00D2474C">
        <w:rPr>
          <w:rFonts w:eastAsia="Calibri"/>
          <w:color w:val="000000" w:themeColor="text1"/>
        </w:rPr>
        <w:t xml:space="preserve">is rulemaking and </w:t>
      </w:r>
      <w:r w:rsidR="00393475">
        <w:rPr>
          <w:rFonts w:eastAsia="Calibri"/>
          <w:color w:val="000000" w:themeColor="text1"/>
        </w:rPr>
        <w:t xml:space="preserve">regulatory requirements in </w:t>
      </w:r>
      <w:r w:rsidR="00D36540">
        <w:rPr>
          <w:rFonts w:eastAsia="Calibri"/>
          <w:color w:val="000000" w:themeColor="text1"/>
        </w:rPr>
        <w:t>21 CFR new parts 213 and 230</w:t>
      </w:r>
      <w:r w:rsidR="00D2474C">
        <w:rPr>
          <w:rFonts w:eastAsia="Calibri"/>
          <w:color w:val="000000" w:themeColor="text1"/>
        </w:rPr>
        <w:t>;</w:t>
      </w:r>
      <w:r w:rsidR="00D36540">
        <w:rPr>
          <w:rFonts w:eastAsia="Calibri"/>
          <w:color w:val="000000" w:themeColor="text1"/>
        </w:rPr>
        <w:t xml:space="preserve"> while </w:t>
      </w:r>
      <w:r w:rsidR="006E2D46">
        <w:rPr>
          <w:rFonts w:eastAsia="Calibri"/>
          <w:color w:val="000000" w:themeColor="text1"/>
        </w:rPr>
        <w:t xml:space="preserve">we expect </w:t>
      </w:r>
      <w:r w:rsidR="00D36540">
        <w:rPr>
          <w:rFonts w:eastAsia="Calibri"/>
          <w:color w:val="000000" w:themeColor="text1"/>
        </w:rPr>
        <w:t>recurring burden</w:t>
      </w:r>
      <w:r w:rsidR="00A95F03">
        <w:rPr>
          <w:rFonts w:eastAsia="Calibri"/>
          <w:color w:val="000000" w:themeColor="text1"/>
        </w:rPr>
        <w:t xml:space="preserve"> attributable to the labeling of </w:t>
      </w:r>
      <w:r w:rsidR="006E2D46">
        <w:rPr>
          <w:rFonts w:eastAsia="Calibri"/>
          <w:color w:val="000000" w:themeColor="text1"/>
        </w:rPr>
        <w:t>medical gases to be included in OMB control no. 0910-0572.  The rule provides for an 18 month</w:t>
      </w:r>
      <w:r w:rsidR="00655ED7">
        <w:rPr>
          <w:rFonts w:eastAsia="Calibri"/>
          <w:color w:val="000000" w:themeColor="text1"/>
        </w:rPr>
        <w:t xml:space="preserve"> compliance period.</w:t>
      </w:r>
    </w:p>
    <w:p w:rsidR="00A31D21" w:rsidRPr="006479DB" w:rsidP="00EB6A04" w14:paraId="077C9740" w14:textId="77777777">
      <w:pPr>
        <w:rPr>
          <w:rFonts w:eastAsia="Calibri"/>
          <w:color w:val="000000" w:themeColor="text1"/>
        </w:rPr>
      </w:pPr>
    </w:p>
    <w:p w:rsidR="00357C8A" w:rsidRPr="006479DB" w:rsidP="00EB6A04" w14:paraId="5A423ED6" w14:textId="77777777">
      <w:pPr>
        <w:numPr>
          <w:ilvl w:val="0"/>
          <w:numId w:val="70"/>
        </w:numPr>
        <w:ind w:left="0" w:firstLine="0"/>
        <w:rPr>
          <w:rFonts w:eastAsia="Calibri"/>
          <w:color w:val="000000" w:themeColor="text1"/>
          <w:u w:val="single"/>
        </w:rPr>
      </w:pPr>
      <w:r w:rsidRPr="006479DB">
        <w:rPr>
          <w:rFonts w:eastAsia="Calibri"/>
          <w:color w:val="000000" w:themeColor="text1"/>
          <w:u w:val="single"/>
        </w:rPr>
        <w:t>Plans for Tabulation and Publication and Project Time Schedule</w:t>
      </w:r>
    </w:p>
    <w:p w:rsidR="0087509D" w:rsidRPr="006479DB" w:rsidP="00EB6A04" w14:paraId="58A41098" w14:textId="77777777">
      <w:pPr>
        <w:pStyle w:val="Default"/>
        <w:rPr>
          <w:rFonts w:eastAsia="Calibri"/>
          <w:color w:val="000000" w:themeColor="text1"/>
        </w:rPr>
      </w:pPr>
    </w:p>
    <w:p w:rsidR="009109E2" w:rsidRPr="006479DB" w:rsidP="00EB6A04" w14:paraId="11164AEC" w14:textId="5E636913">
      <w:pPr>
        <w:rPr>
          <w:rFonts w:eastAsia="Calibri"/>
          <w:color w:val="000000" w:themeColor="text1"/>
          <w:u w:val="single"/>
        </w:rPr>
      </w:pPr>
      <w:r w:rsidRPr="006479DB">
        <w:rPr>
          <w:rFonts w:eastAsia="Calibri"/>
          <w:color w:val="000000" w:themeColor="text1"/>
        </w:rPr>
        <w:t xml:space="preserve">We </w:t>
      </w:r>
      <w:r w:rsidRPr="006479DB" w:rsidR="00D740CE">
        <w:rPr>
          <w:rFonts w:eastAsia="Calibri"/>
          <w:color w:val="000000" w:themeColor="text1"/>
        </w:rPr>
        <w:t xml:space="preserve">have no plans to </w:t>
      </w:r>
      <w:r w:rsidRPr="006479DB" w:rsidR="00357C8A">
        <w:rPr>
          <w:rFonts w:eastAsia="Calibri"/>
          <w:color w:val="000000" w:themeColor="text1"/>
        </w:rPr>
        <w:t>publish or tabulate</w:t>
      </w:r>
      <w:r w:rsidRPr="006479DB">
        <w:rPr>
          <w:rFonts w:eastAsia="Calibri"/>
          <w:color w:val="000000" w:themeColor="text1"/>
        </w:rPr>
        <w:t xml:space="preserve"> </w:t>
      </w:r>
      <w:r w:rsidRPr="006479DB" w:rsidR="00D740CE">
        <w:rPr>
          <w:rFonts w:eastAsia="Calibri"/>
          <w:color w:val="000000" w:themeColor="text1"/>
        </w:rPr>
        <w:t xml:space="preserve">data collected from </w:t>
      </w:r>
      <w:r w:rsidRPr="006479DB">
        <w:rPr>
          <w:rFonts w:eastAsia="Calibri"/>
          <w:color w:val="000000" w:themeColor="text1"/>
        </w:rPr>
        <w:t>this information collection</w:t>
      </w:r>
      <w:r w:rsidRPr="006479DB" w:rsidR="00357C8A">
        <w:rPr>
          <w:rFonts w:eastAsia="Calibri"/>
          <w:color w:val="000000" w:themeColor="text1"/>
        </w:rPr>
        <w:t>.</w:t>
      </w:r>
      <w:r w:rsidRPr="006479DB" w:rsidR="003F534C">
        <w:rPr>
          <w:rFonts w:eastAsia="Calibri"/>
          <w:color w:val="000000" w:themeColor="text1"/>
          <w:u w:val="single"/>
        </w:rPr>
        <w:t xml:space="preserve"> </w:t>
      </w:r>
    </w:p>
    <w:p w:rsidR="009109E2" w:rsidRPr="006479DB" w:rsidP="00EB6A04" w14:paraId="1F44E99F" w14:textId="77777777">
      <w:pPr>
        <w:pStyle w:val="ListParagraph"/>
        <w:ind w:left="0"/>
        <w:rPr>
          <w:rFonts w:eastAsia="Calibri"/>
          <w:color w:val="000000" w:themeColor="text1"/>
          <w:u w:val="single"/>
        </w:rPr>
      </w:pPr>
    </w:p>
    <w:p w:rsidR="00357C8A" w:rsidRPr="006479DB" w:rsidP="00EB6A04" w14:paraId="3616C2C8" w14:textId="601E9A67">
      <w:pPr>
        <w:pStyle w:val="ListParagraph"/>
        <w:numPr>
          <w:ilvl w:val="0"/>
          <w:numId w:val="70"/>
        </w:numPr>
        <w:ind w:left="0" w:firstLine="0"/>
        <w:rPr>
          <w:rFonts w:eastAsia="Calibri"/>
          <w:color w:val="000000" w:themeColor="text1"/>
          <w:u w:val="single"/>
        </w:rPr>
      </w:pPr>
      <w:r w:rsidRPr="006479DB">
        <w:rPr>
          <w:rFonts w:eastAsia="Calibri"/>
          <w:color w:val="000000" w:themeColor="text1"/>
          <w:u w:val="single"/>
        </w:rPr>
        <w:t>Reason(s) D</w:t>
      </w:r>
      <w:r w:rsidRPr="006479DB" w:rsidR="00280C5A">
        <w:rPr>
          <w:rFonts w:eastAsia="Calibri"/>
          <w:color w:val="000000" w:themeColor="text1"/>
          <w:u w:val="single"/>
        </w:rPr>
        <w:t>i</w:t>
      </w:r>
      <w:r w:rsidRPr="006479DB">
        <w:rPr>
          <w:rFonts w:eastAsia="Calibri"/>
          <w:color w:val="000000" w:themeColor="text1"/>
          <w:u w:val="single"/>
        </w:rPr>
        <w:t>splay of OMB Expiration Date is Inappropriate</w:t>
      </w:r>
    </w:p>
    <w:p w:rsidR="001F5901" w:rsidRPr="006479DB" w:rsidP="00EB6A04" w14:paraId="7048A973" w14:textId="77777777">
      <w:pPr>
        <w:rPr>
          <w:color w:val="000000" w:themeColor="text1"/>
        </w:rPr>
      </w:pPr>
    </w:p>
    <w:p w:rsidR="00357C8A" w:rsidRPr="006479DB" w:rsidP="00EB6A04" w14:paraId="223B3173" w14:textId="1B2EDE5B">
      <w:pPr>
        <w:rPr>
          <w:rFonts w:eastAsia="Calibri"/>
          <w:color w:val="000000" w:themeColor="text1"/>
        </w:rPr>
      </w:pPr>
      <w:r w:rsidRPr="006479DB">
        <w:rPr>
          <w:color w:val="000000" w:themeColor="text1"/>
        </w:rPr>
        <w:t xml:space="preserve">The </w:t>
      </w:r>
      <w:r>
        <w:rPr>
          <w:color w:val="000000" w:themeColor="text1"/>
        </w:rPr>
        <w:t>OMB expiration date will be displayed as required</w:t>
      </w:r>
      <w:r>
        <w:rPr>
          <w:rFonts w:eastAsia="Calibri"/>
          <w:color w:val="000000" w:themeColor="text1"/>
        </w:rPr>
        <w:t xml:space="preserve"> by 5 CFR 1320.5.</w:t>
      </w:r>
    </w:p>
    <w:p w:rsidR="004C4402" w:rsidRPr="006479DB" w:rsidP="00EB6A04" w14:paraId="3B2B4F89" w14:textId="77777777">
      <w:pPr>
        <w:rPr>
          <w:rFonts w:eastAsia="Calibri"/>
          <w:color w:val="000000" w:themeColor="text1"/>
        </w:rPr>
      </w:pPr>
    </w:p>
    <w:p w:rsidR="00357C8A" w:rsidRPr="006479DB" w:rsidP="00EB6A04" w14:paraId="53E4C47F" w14:textId="77777777">
      <w:pPr>
        <w:pStyle w:val="ListParagraph"/>
        <w:numPr>
          <w:ilvl w:val="0"/>
          <w:numId w:val="70"/>
        </w:numPr>
        <w:ind w:left="0" w:firstLine="0"/>
        <w:rPr>
          <w:rFonts w:eastAsia="Calibri"/>
          <w:color w:val="000000" w:themeColor="text1"/>
          <w:u w:val="single"/>
        </w:rPr>
      </w:pPr>
      <w:r w:rsidRPr="006479DB">
        <w:rPr>
          <w:rFonts w:eastAsia="Calibri"/>
          <w:color w:val="000000" w:themeColor="text1"/>
          <w:u w:val="single"/>
        </w:rPr>
        <w:t>Exceptions to Certification for Paperwork Reduction Act Submissions</w:t>
      </w:r>
    </w:p>
    <w:p w:rsidR="0087509D" w:rsidRPr="006479DB" w:rsidP="00EB6A04" w14:paraId="764862C7" w14:textId="77777777">
      <w:pPr>
        <w:rPr>
          <w:rFonts w:eastAsia="Calibri"/>
          <w:color w:val="000000" w:themeColor="text1"/>
        </w:rPr>
      </w:pPr>
    </w:p>
    <w:p w:rsidR="00512F45" w:rsidRPr="006479DB" w:rsidP="00EB6A04" w14:paraId="0A530D10" w14:textId="1DEC4DE7">
      <w:pPr>
        <w:rPr>
          <w:rFonts w:eastAsia="Calibri"/>
        </w:rPr>
      </w:pPr>
      <w:r w:rsidRPr="006479DB">
        <w:rPr>
          <w:rFonts w:eastAsia="Calibri"/>
          <w:color w:val="000000" w:themeColor="text1"/>
        </w:rPr>
        <w:t>There are n</w:t>
      </w:r>
      <w:r w:rsidRPr="006479DB" w:rsidR="009D3B11">
        <w:rPr>
          <w:rFonts w:eastAsia="Calibri"/>
          <w:color w:val="000000" w:themeColor="text1"/>
        </w:rPr>
        <w:t>o</w:t>
      </w:r>
      <w:r w:rsidRPr="006479DB" w:rsidR="007E59A8">
        <w:rPr>
          <w:rFonts w:eastAsia="Calibri"/>
          <w:color w:val="000000" w:themeColor="text1"/>
        </w:rPr>
        <w:t xml:space="preserve"> exceptions to the certification</w:t>
      </w:r>
      <w:r w:rsidRPr="006479DB" w:rsidR="009D3B11">
        <w:rPr>
          <w:rFonts w:eastAsia="Calibri"/>
          <w:color w:val="000000" w:themeColor="text1"/>
        </w:rPr>
        <w:t xml:space="preserve"> </w:t>
      </w:r>
      <w:r w:rsidRPr="006479DB">
        <w:rPr>
          <w:rFonts w:eastAsia="Calibri"/>
          <w:color w:val="000000" w:themeColor="text1"/>
        </w:rPr>
        <w:t xml:space="preserve">of </w:t>
      </w:r>
      <w:r w:rsidRPr="006479DB" w:rsidR="009D3B11">
        <w:rPr>
          <w:rFonts w:eastAsia="Calibri"/>
          <w:color w:val="000000" w:themeColor="text1"/>
        </w:rPr>
        <w:t>this infor</w:t>
      </w:r>
      <w:r w:rsidRPr="006479DB" w:rsidR="009D3B11">
        <w:rPr>
          <w:rFonts w:eastAsia="Calibri"/>
        </w:rPr>
        <w:t>mation collection</w:t>
      </w:r>
      <w:r w:rsidRPr="006479DB" w:rsidR="007E59A8">
        <w:rPr>
          <w:rFonts w:eastAsia="Calibri"/>
        </w:rPr>
        <w:t>.</w:t>
      </w:r>
    </w:p>
    <w:sectPr w:rsidSect="00F430DE">
      <w:footerReference w:type="even" r:id="rId6"/>
      <w:footerReference w:type="default" r:id="rId7"/>
      <w:pgSz w:w="12240" w:h="15840" w:code="1"/>
      <w:pgMar w:top="1440" w:right="1440" w:bottom="1440" w:left="1440" w:header="720" w:footer="10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4E3" w:rsidP="003F3DF5" w14:paraId="3666F252" w14:textId="3BB533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05A8">
      <w:rPr>
        <w:rStyle w:val="PageNumber"/>
        <w:noProof/>
      </w:rPr>
      <w:t>5</w:t>
    </w:r>
    <w:r>
      <w:rPr>
        <w:rStyle w:val="PageNumber"/>
      </w:rPr>
      <w:fldChar w:fldCharType="end"/>
    </w:r>
  </w:p>
  <w:p w:rsidR="001954E3" w14:paraId="266AF9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4E3" w:rsidP="00871CD3" w14:paraId="7913D8B1" w14:textId="77777777">
    <w:pPr>
      <w:pStyle w:val="Footer"/>
      <w:framePr w:wrap="around" w:vAnchor="text" w:hAnchor="margin" w:xAlign="center" w:y="32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1954E3" w14:paraId="096D013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6360"/>
    <w:multiLevelType w:val="hybridMultilevel"/>
    <w:tmpl w:val="0832D75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45022CE"/>
    <w:multiLevelType w:val="hybridMultilevel"/>
    <w:tmpl w:val="C10ED4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77134E4"/>
    <w:multiLevelType w:val="hybridMultilevel"/>
    <w:tmpl w:val="778CB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757CDB"/>
    <w:multiLevelType w:val="hybridMultilevel"/>
    <w:tmpl w:val="10701B2C"/>
    <w:lvl w:ilvl="0">
      <w:start w:val="1"/>
      <w:numFmt w:val="bullet"/>
      <w:lvlText w:val=""/>
      <w:lvlJc w:val="left"/>
      <w:pPr>
        <w:ind w:left="480" w:hanging="360"/>
      </w:pPr>
      <w:rPr>
        <w:rFonts w:ascii="Symbol" w:hAnsi="Symbol" w:hint="default"/>
      </w:rPr>
    </w:lvl>
    <w:lvl w:ilvl="1">
      <w:start w:val="1"/>
      <w:numFmt w:val="lowerRoman"/>
      <w:lvlText w:val="(%2)"/>
      <w:lvlJc w:val="left"/>
      <w:pPr>
        <w:ind w:left="1560" w:hanging="720"/>
      </w:pPr>
      <w:rPr>
        <w:rFonts w:hint="default"/>
      </w:r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4">
    <w:nsid w:val="0B445D9F"/>
    <w:multiLevelType w:val="hybridMultilevel"/>
    <w:tmpl w:val="CD0491C8"/>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5">
    <w:nsid w:val="0B5567B5"/>
    <w:multiLevelType w:val="hybridMultilevel"/>
    <w:tmpl w:val="839678C2"/>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B8B0DB6"/>
    <w:multiLevelType w:val="hybridMultilevel"/>
    <w:tmpl w:val="0832D75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CA37289"/>
    <w:multiLevelType w:val="hybridMultilevel"/>
    <w:tmpl w:val="2136932A"/>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2C845D3"/>
    <w:multiLevelType w:val="hybridMultilevel"/>
    <w:tmpl w:val="F0823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8743CA"/>
    <w:multiLevelType w:val="hybridMultilevel"/>
    <w:tmpl w:val="91060AD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6F4406D"/>
    <w:multiLevelType w:val="hybridMultilevel"/>
    <w:tmpl w:val="8F180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AA73EC5"/>
    <w:multiLevelType w:val="multilevel"/>
    <w:tmpl w:val="74B012B8"/>
    <w:lvl w:ilvl="0">
      <w:start w:val="230"/>
      <w:numFmt w:val="decimal"/>
      <w:lvlText w:val="%1"/>
      <w:lvlJc w:val="left"/>
      <w:pPr>
        <w:ind w:left="650" w:hanging="650"/>
      </w:pPr>
      <w:rPr>
        <w:rFonts w:hint="default"/>
      </w:rPr>
    </w:lvl>
    <w:lvl w:ilvl="1">
      <w:start w:val="230"/>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4">
    <w:nsid w:val="1D7A0EE5"/>
    <w:multiLevelType w:val="hybridMultilevel"/>
    <w:tmpl w:val="4E50EC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AE26F5"/>
    <w:multiLevelType w:val="hybridMultilevel"/>
    <w:tmpl w:val="5EB840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0EA5807"/>
    <w:multiLevelType w:val="hybridMultilevel"/>
    <w:tmpl w:val="89EC9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61620A"/>
    <w:multiLevelType w:val="singleLevel"/>
    <w:tmpl w:val="D8EA24E8"/>
    <w:lvl w:ilvl="0">
      <w:start w:val="1"/>
      <w:numFmt w:val="lowerLetter"/>
      <w:pStyle w:val="lista"/>
      <w:lvlText w:val="%1)"/>
      <w:lvlJc w:val="left"/>
      <w:pPr>
        <w:tabs>
          <w:tab w:val="num" w:pos="360"/>
        </w:tabs>
        <w:ind w:left="360" w:hanging="360"/>
      </w:pPr>
      <w:rPr>
        <w:rFonts w:ascii="Arial" w:hAnsi="Arial" w:hint="default"/>
        <w:sz w:val="19"/>
      </w:rPr>
    </w:lvl>
  </w:abstractNum>
  <w:abstractNum w:abstractNumId="18">
    <w:nsid w:val="25AE422F"/>
    <w:multiLevelType w:val="hybridMultilevel"/>
    <w:tmpl w:val="8B326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6BE7247"/>
    <w:multiLevelType w:val="hybridMultilevel"/>
    <w:tmpl w:val="BD20E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8B31246"/>
    <w:multiLevelType w:val="hybridMultilevel"/>
    <w:tmpl w:val="830854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CCC49C9"/>
    <w:multiLevelType w:val="hybridMultilevel"/>
    <w:tmpl w:val="EB20D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7627E5"/>
    <w:multiLevelType w:val="hybridMultilevel"/>
    <w:tmpl w:val="4E28DC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00A2B67"/>
    <w:multiLevelType w:val="hybridMultilevel"/>
    <w:tmpl w:val="B24EFC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0C0700E"/>
    <w:multiLevelType w:val="hybridMultilevel"/>
    <w:tmpl w:val="21FAD7BA"/>
    <w:lvl w:ilvl="0">
      <w:start w:val="1"/>
      <w:numFmt w:val="upperLetter"/>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25">
    <w:nsid w:val="351D4716"/>
    <w:multiLevelType w:val="hybridMultilevel"/>
    <w:tmpl w:val="CE8EA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6895D89"/>
    <w:multiLevelType w:val="multilevel"/>
    <w:tmpl w:val="0409001D"/>
    <w:styleLink w:val="Style1"/>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98572B6"/>
    <w:multiLevelType w:val="hybridMultilevel"/>
    <w:tmpl w:val="01BE4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A6D2616"/>
    <w:multiLevelType w:val="hybridMultilevel"/>
    <w:tmpl w:val="8A845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3FAE27D3"/>
    <w:multiLevelType w:val="hybridMultilevel"/>
    <w:tmpl w:val="7BCCDE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FC06A57"/>
    <w:multiLevelType w:val="hybridMultilevel"/>
    <w:tmpl w:val="CF4AF05C"/>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40164EF5"/>
    <w:multiLevelType w:val="hybridMultilevel"/>
    <w:tmpl w:val="CDA262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0A133DB"/>
    <w:multiLevelType w:val="hybridMultilevel"/>
    <w:tmpl w:val="3FEA7FA2"/>
    <w:lvl w:ilvl="0">
      <w:start w:val="1"/>
      <w:numFmt w:val="bullet"/>
      <w:pStyle w:val="Amendment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43AF4EF8"/>
    <w:multiLevelType w:val="hybridMultilevel"/>
    <w:tmpl w:val="7C5C7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3BE00FC"/>
    <w:multiLevelType w:val="hybridMultilevel"/>
    <w:tmpl w:val="21FAD7BA"/>
    <w:lvl w:ilvl="0">
      <w:start w:val="1"/>
      <w:numFmt w:val="upperLetter"/>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36">
    <w:nsid w:val="47DD39BB"/>
    <w:multiLevelType w:val="hybridMultilevel"/>
    <w:tmpl w:val="F2428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85E01D0"/>
    <w:multiLevelType w:val="hybridMultilevel"/>
    <w:tmpl w:val="1F740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9145B36"/>
    <w:multiLevelType w:val="hybridMultilevel"/>
    <w:tmpl w:val="C220F9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B454A0B"/>
    <w:multiLevelType w:val="hybridMultilevel"/>
    <w:tmpl w:val="A9A81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06170AC"/>
    <w:multiLevelType w:val="singleLevel"/>
    <w:tmpl w:val="91784D74"/>
    <w:lvl w:ilvl="0">
      <w:start w:val="7"/>
      <w:numFmt w:val="bullet"/>
      <w:pStyle w:val="List2"/>
      <w:lvlText w:val="–"/>
      <w:lvlJc w:val="left"/>
      <w:pPr>
        <w:tabs>
          <w:tab w:val="num" w:pos="360"/>
        </w:tabs>
        <w:ind w:left="360" w:hanging="360"/>
      </w:pPr>
      <w:rPr>
        <w:rFonts w:ascii="Times New Roman" w:hAnsi="Times New Roman" w:hint="default"/>
      </w:rPr>
    </w:lvl>
  </w:abstractNum>
  <w:abstractNum w:abstractNumId="41">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1EB649D"/>
    <w:multiLevelType w:val="hybridMultilevel"/>
    <w:tmpl w:val="4066E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38C739D"/>
    <w:multiLevelType w:val="hybridMultilevel"/>
    <w:tmpl w:val="441AF2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542F58FD"/>
    <w:multiLevelType w:val="hybridMultilevel"/>
    <w:tmpl w:val="DA1025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62A6134"/>
    <w:multiLevelType w:val="hybridMultilevel"/>
    <w:tmpl w:val="958CB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7A9290C"/>
    <w:multiLevelType w:val="hybridMultilevel"/>
    <w:tmpl w:val="FB36F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89A4B82"/>
    <w:multiLevelType w:val="hybridMultilevel"/>
    <w:tmpl w:val="EAFA24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59C92DD4"/>
    <w:multiLevelType w:val="hybridMultilevel"/>
    <w:tmpl w:val="B360E5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B186978"/>
    <w:multiLevelType w:val="hybridMultilevel"/>
    <w:tmpl w:val="038A328E"/>
    <w:lvl w:ilvl="0">
      <w:start w:val="15"/>
      <w:numFmt w:val="decimal"/>
      <w:lvlText w:val="%1."/>
      <w:lvlJc w:val="left"/>
      <w:pPr>
        <w:ind w:left="720" w:hanging="360"/>
      </w:pPr>
      <w:rPr>
        <w:rFonts w:eastAsia="Calibri"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D8C0687"/>
    <w:multiLevelType w:val="hybridMultilevel"/>
    <w:tmpl w:val="CF4AF05C"/>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5F5766BE"/>
    <w:multiLevelType w:val="hybridMultilevel"/>
    <w:tmpl w:val="CB94822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264557A"/>
    <w:multiLevelType w:val="hybridMultilevel"/>
    <w:tmpl w:val="42EA9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3D64D0C"/>
    <w:multiLevelType w:val="hybridMultilevel"/>
    <w:tmpl w:val="F296E7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651809FC"/>
    <w:multiLevelType w:val="hybridMultilevel"/>
    <w:tmpl w:val="5D5CF3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668E2FE2"/>
    <w:multiLevelType w:val="hybridMultilevel"/>
    <w:tmpl w:val="716A8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84F6AFC"/>
    <w:multiLevelType w:val="hybridMultilevel"/>
    <w:tmpl w:val="2F52A1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68D03529"/>
    <w:multiLevelType w:val="hybridMultilevel"/>
    <w:tmpl w:val="2292A1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8">
    <w:nsid w:val="6A1A31E1"/>
    <w:multiLevelType w:val="hybridMultilevel"/>
    <w:tmpl w:val="42EA9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D202E49"/>
    <w:multiLevelType w:val="hybridMultilevel"/>
    <w:tmpl w:val="58F2B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D5823DF"/>
    <w:multiLevelType w:val="hybridMultilevel"/>
    <w:tmpl w:val="1562CC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1">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2">
    <w:nsid w:val="6FBA0A91"/>
    <w:multiLevelType w:val="hybridMultilevel"/>
    <w:tmpl w:val="543CE742"/>
    <w:lvl w:ilvl="0">
      <w:start w:val="15"/>
      <w:numFmt w:val="decimal"/>
      <w:lvlText w:val="%1."/>
      <w:lvlJc w:val="left"/>
      <w:pPr>
        <w:ind w:left="360" w:hanging="360"/>
      </w:pPr>
      <w:rPr>
        <w:rFonts w:eastAsia="Calibri" w:hint="default"/>
        <w:u w:val="singl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86D471A"/>
    <w:multiLevelType w:val="hybridMultilevel"/>
    <w:tmpl w:val="FA5C4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8EC57A0"/>
    <w:multiLevelType w:val="hybridMultilevel"/>
    <w:tmpl w:val="F2A663F8"/>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97D72CD"/>
    <w:multiLevelType w:val="hybridMultilevel"/>
    <w:tmpl w:val="D5EEC3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7B4E314E"/>
    <w:multiLevelType w:val="multilevel"/>
    <w:tmpl w:val="03320D08"/>
    <w:lvl w:ilvl="0">
      <w:start w:val="1"/>
      <w:numFmt w:val="decimal"/>
      <w:pStyle w:val="Sectionhead"/>
      <w:lvlText w:val="%1"/>
      <w:lvlJc w:val="left"/>
      <w:pPr>
        <w:tabs>
          <w:tab w:val="num" w:pos="432"/>
        </w:tabs>
        <w:ind w:left="432" w:hanging="432"/>
      </w:pPr>
      <w:rPr>
        <w:rFonts w:ascii="Arial" w:hAnsi="Arial" w:hint="default"/>
        <w:b/>
        <w:i w:val="0"/>
        <w:sz w:val="24"/>
      </w:rPr>
    </w:lvl>
    <w:lvl w:ilvl="1">
      <w:start w:val="1"/>
      <w:numFmt w:val="decimal"/>
      <w:pStyle w:val="1decimalhead"/>
      <w:lvlText w:val="%1.%2"/>
      <w:lvlJc w:val="left"/>
      <w:pPr>
        <w:tabs>
          <w:tab w:val="num" w:pos="720"/>
        </w:tabs>
        <w:ind w:left="720" w:hanging="720"/>
      </w:pPr>
      <w:rPr>
        <w:rFonts w:ascii="Arial" w:hAnsi="Arial" w:hint="default"/>
        <w:b/>
        <w:i w:val="0"/>
        <w:sz w:val="20"/>
      </w:rPr>
    </w:lvl>
    <w:lvl w:ilvl="2">
      <w:start w:val="1"/>
      <w:numFmt w:val="decimal"/>
      <w:pStyle w:val="2decimalhead"/>
      <w:lvlText w:val="%1.%2.%3"/>
      <w:lvlJc w:val="left"/>
      <w:pPr>
        <w:tabs>
          <w:tab w:val="num" w:pos="1008"/>
        </w:tabs>
        <w:ind w:left="1008" w:hanging="1008"/>
      </w:pPr>
      <w:rPr>
        <w:rFonts w:ascii="Arial" w:hAnsi="Arial" w:hint="default"/>
        <w:b/>
        <w:i w:val="0"/>
        <w:sz w:val="20"/>
      </w:rPr>
    </w:lvl>
    <w:lvl w:ilvl="3">
      <w:start w:val="1"/>
      <w:numFmt w:val="decimal"/>
      <w:pStyle w:val="3decimalhead"/>
      <w:lvlText w:val="%1.%2.%3.%4"/>
      <w:lvlJc w:val="left"/>
      <w:pPr>
        <w:tabs>
          <w:tab w:val="num" w:pos="1296"/>
        </w:tabs>
        <w:ind w:left="1296" w:hanging="1296"/>
      </w:pPr>
      <w:rPr>
        <w:rFonts w:ascii="Arial" w:hAnsi="Arial" w:hint="default"/>
        <w:b/>
        <w:i w:val="0"/>
        <w:sz w:val="20"/>
      </w:rPr>
    </w:lvl>
    <w:lvl w:ilvl="4">
      <w:start w:val="1"/>
      <w:numFmt w:val="decimal"/>
      <w:pStyle w:val="4dechead"/>
      <w:lvlText w:val="%1.%2.%3.%4.%5"/>
      <w:lvlJc w:val="left"/>
      <w:pPr>
        <w:tabs>
          <w:tab w:val="num" w:pos="1584"/>
        </w:tabs>
        <w:ind w:left="1584" w:hanging="1584"/>
      </w:pPr>
      <w:rPr>
        <w:rFonts w:ascii="Arial" w:hAnsi="Arial" w:hint="default"/>
        <w:b/>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9">
    <w:nsid w:val="7B7E75B9"/>
    <w:multiLevelType w:val="hybridMultilevel"/>
    <w:tmpl w:val="11928A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EAB35B8"/>
    <w:multiLevelType w:val="hybridMultilevel"/>
    <w:tmpl w:val="293672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EBB1F19"/>
    <w:multiLevelType w:val="hybridMultilevel"/>
    <w:tmpl w:val="6524B3D4"/>
    <w:lvl w:ilvl="0">
      <w:start w:val="1"/>
      <w:numFmt w:val="lowerLetter"/>
      <w:lvlText w:val="%1."/>
      <w:lvlJc w:val="left"/>
      <w:pPr>
        <w:ind w:left="108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F105F42"/>
    <w:multiLevelType w:val="hybridMultilevel"/>
    <w:tmpl w:val="813081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33880859">
    <w:abstractNumId w:val="61"/>
  </w:num>
  <w:num w:numId="2" w16cid:durableId="1677266906">
    <w:abstractNumId w:val="11"/>
  </w:num>
  <w:num w:numId="3" w16cid:durableId="1728915143">
    <w:abstractNumId w:val="63"/>
  </w:num>
  <w:num w:numId="4" w16cid:durableId="330064748">
    <w:abstractNumId w:val="29"/>
  </w:num>
  <w:num w:numId="5" w16cid:durableId="1901675243">
    <w:abstractNumId w:val="67"/>
  </w:num>
  <w:num w:numId="6" w16cid:durableId="1841315139">
    <w:abstractNumId w:val="5"/>
  </w:num>
  <w:num w:numId="7" w16cid:durableId="665943689">
    <w:abstractNumId w:val="13"/>
  </w:num>
  <w:num w:numId="8" w16cid:durableId="2082411171">
    <w:abstractNumId w:val="41"/>
  </w:num>
  <w:num w:numId="9" w16cid:durableId="1874228689">
    <w:abstractNumId w:val="57"/>
  </w:num>
  <w:num w:numId="10" w16cid:durableId="1095440471">
    <w:abstractNumId w:val="46"/>
  </w:num>
  <w:num w:numId="11" w16cid:durableId="1921402139">
    <w:abstractNumId w:val="31"/>
  </w:num>
  <w:num w:numId="12" w16cid:durableId="1289969949">
    <w:abstractNumId w:val="49"/>
  </w:num>
  <w:num w:numId="13" w16cid:durableId="1846507326">
    <w:abstractNumId w:val="50"/>
  </w:num>
  <w:num w:numId="14" w16cid:durableId="220483219">
    <w:abstractNumId w:val="32"/>
    <w:lvlOverride w:ilvl="0">
      <w:startOverride w:val="1"/>
    </w:lvlOverride>
  </w:num>
  <w:num w:numId="15" w16cid:durableId="152911080">
    <w:abstractNumId w:val="32"/>
  </w:num>
  <w:num w:numId="16" w16cid:durableId="955792701">
    <w:abstractNumId w:val="7"/>
  </w:num>
  <w:num w:numId="17" w16cid:durableId="1275404582">
    <w:abstractNumId w:val="7"/>
    <w:lvlOverride w:ilvl="0">
      <w:startOverride w:val="1"/>
    </w:lvlOverride>
  </w:num>
  <w:num w:numId="18" w16cid:durableId="1452286614">
    <w:abstractNumId w:val="70"/>
  </w:num>
  <w:num w:numId="19" w16cid:durableId="1567455976">
    <w:abstractNumId w:val="60"/>
  </w:num>
  <w:num w:numId="20" w16cid:durableId="1712458829">
    <w:abstractNumId w:val="36"/>
  </w:num>
  <w:num w:numId="21" w16cid:durableId="1738279977">
    <w:abstractNumId w:val="48"/>
  </w:num>
  <w:num w:numId="22" w16cid:durableId="154928268">
    <w:abstractNumId w:val="40"/>
  </w:num>
  <w:num w:numId="23" w16cid:durableId="528418913">
    <w:abstractNumId w:val="17"/>
  </w:num>
  <w:num w:numId="24" w16cid:durableId="282271627">
    <w:abstractNumId w:val="68"/>
  </w:num>
  <w:num w:numId="25" w16cid:durableId="1737320680">
    <w:abstractNumId w:val="33"/>
  </w:num>
  <w:num w:numId="26" w16cid:durableId="243758228">
    <w:abstractNumId w:val="26"/>
  </w:num>
  <w:num w:numId="27" w16cid:durableId="1306348102">
    <w:abstractNumId w:val="18"/>
  </w:num>
  <w:num w:numId="28" w16cid:durableId="2100515497">
    <w:abstractNumId w:val="55"/>
  </w:num>
  <w:num w:numId="29" w16cid:durableId="1893806709">
    <w:abstractNumId w:val="35"/>
  </w:num>
  <w:num w:numId="30" w16cid:durableId="319576402">
    <w:abstractNumId w:val="57"/>
  </w:num>
  <w:num w:numId="31" w16cid:durableId="397481919">
    <w:abstractNumId w:val="66"/>
  </w:num>
  <w:num w:numId="32" w16cid:durableId="179510309">
    <w:abstractNumId w:val="30"/>
  </w:num>
  <w:num w:numId="33" w16cid:durableId="1965038076">
    <w:abstractNumId w:val="4"/>
  </w:num>
  <w:num w:numId="34" w16cid:durableId="977690629">
    <w:abstractNumId w:val="22"/>
  </w:num>
  <w:num w:numId="35" w16cid:durableId="1193571225">
    <w:abstractNumId w:val="72"/>
  </w:num>
  <w:num w:numId="36" w16cid:durableId="1870485038">
    <w:abstractNumId w:val="47"/>
  </w:num>
  <w:num w:numId="37" w16cid:durableId="455411065">
    <w:abstractNumId w:val="69"/>
  </w:num>
  <w:num w:numId="38" w16cid:durableId="1201624344">
    <w:abstractNumId w:val="27"/>
  </w:num>
  <w:num w:numId="39" w16cid:durableId="1059325275">
    <w:abstractNumId w:val="28"/>
  </w:num>
  <w:num w:numId="40" w16cid:durableId="2035693774">
    <w:abstractNumId w:val="23"/>
  </w:num>
  <w:num w:numId="41" w16cid:durableId="672798088">
    <w:abstractNumId w:val="64"/>
  </w:num>
  <w:num w:numId="42" w16cid:durableId="1893808239">
    <w:abstractNumId w:val="38"/>
  </w:num>
  <w:num w:numId="43" w16cid:durableId="752164163">
    <w:abstractNumId w:val="46"/>
  </w:num>
  <w:num w:numId="44" w16cid:durableId="2140760052">
    <w:abstractNumId w:val="24"/>
  </w:num>
  <w:num w:numId="45" w16cid:durableId="662005828">
    <w:abstractNumId w:val="1"/>
  </w:num>
  <w:num w:numId="46" w16cid:durableId="1928731662">
    <w:abstractNumId w:val="56"/>
  </w:num>
  <w:num w:numId="47" w16cid:durableId="1536578817">
    <w:abstractNumId w:val="15"/>
  </w:num>
  <w:num w:numId="48" w16cid:durableId="819809047">
    <w:abstractNumId w:val="43"/>
  </w:num>
  <w:num w:numId="49" w16cid:durableId="740444624">
    <w:abstractNumId w:val="8"/>
  </w:num>
  <w:num w:numId="50" w16cid:durableId="1449663499">
    <w:abstractNumId w:val="58"/>
  </w:num>
  <w:num w:numId="51" w16cid:durableId="825433168">
    <w:abstractNumId w:val="52"/>
  </w:num>
  <w:num w:numId="52" w16cid:durableId="1579292519">
    <w:abstractNumId w:val="16"/>
  </w:num>
  <w:num w:numId="53" w16cid:durableId="1054889476">
    <w:abstractNumId w:val="3"/>
  </w:num>
  <w:num w:numId="54" w16cid:durableId="1168640041">
    <w:abstractNumId w:val="42"/>
  </w:num>
  <w:num w:numId="55" w16cid:durableId="723067962">
    <w:abstractNumId w:val="54"/>
  </w:num>
  <w:num w:numId="56" w16cid:durableId="1943680429">
    <w:abstractNumId w:val="20"/>
  </w:num>
  <w:num w:numId="57" w16cid:durableId="494876976">
    <w:abstractNumId w:val="25"/>
  </w:num>
  <w:num w:numId="58" w16cid:durableId="1708749647">
    <w:abstractNumId w:val="34"/>
  </w:num>
  <w:num w:numId="59" w16cid:durableId="10567133">
    <w:abstractNumId w:val="21"/>
  </w:num>
  <w:num w:numId="60" w16cid:durableId="1240746725">
    <w:abstractNumId w:val="53"/>
  </w:num>
  <w:num w:numId="61" w16cid:durableId="486480439">
    <w:abstractNumId w:val="65"/>
  </w:num>
  <w:num w:numId="62" w16cid:durableId="1650330799">
    <w:abstractNumId w:val="10"/>
  </w:num>
  <w:num w:numId="63" w16cid:durableId="9764215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88630098">
    <w:abstractNumId w:val="12"/>
  </w:num>
  <w:num w:numId="65" w16cid:durableId="977801652">
    <w:abstractNumId w:val="6"/>
  </w:num>
  <w:num w:numId="66" w16cid:durableId="1258171712">
    <w:abstractNumId w:val="0"/>
  </w:num>
  <w:num w:numId="67" w16cid:durableId="447284302">
    <w:abstractNumId w:val="45"/>
  </w:num>
  <w:num w:numId="68" w16cid:durableId="1051657688">
    <w:abstractNumId w:val="37"/>
  </w:num>
  <w:num w:numId="69" w16cid:durableId="65879345">
    <w:abstractNumId w:val="51"/>
  </w:num>
  <w:num w:numId="70" w16cid:durableId="1641575664">
    <w:abstractNumId w:val="62"/>
  </w:num>
  <w:num w:numId="71" w16cid:durableId="621230358">
    <w:abstractNumId w:val="19"/>
  </w:num>
  <w:num w:numId="72" w16cid:durableId="690454228">
    <w:abstractNumId w:val="9"/>
  </w:num>
  <w:num w:numId="73" w16cid:durableId="1557348769">
    <w:abstractNumId w:val="14"/>
  </w:num>
  <w:num w:numId="74" w16cid:durableId="408038471">
    <w:abstractNumId w:val="44"/>
  </w:num>
  <w:num w:numId="75" w16cid:durableId="261761508">
    <w:abstractNumId w:val="71"/>
  </w:num>
  <w:num w:numId="76" w16cid:durableId="1228035391">
    <w:abstractNumId w:val="39"/>
  </w:num>
  <w:num w:numId="77" w16cid:durableId="382869529">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28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93D"/>
    <w:rsid w:val="00001918"/>
    <w:rsid w:val="00003F57"/>
    <w:rsid w:val="00010052"/>
    <w:rsid w:val="00010FD7"/>
    <w:rsid w:val="00011DEF"/>
    <w:rsid w:val="00013E15"/>
    <w:rsid w:val="0002154D"/>
    <w:rsid w:val="00022902"/>
    <w:rsid w:val="000230EB"/>
    <w:rsid w:val="00024133"/>
    <w:rsid w:val="00024406"/>
    <w:rsid w:val="00024763"/>
    <w:rsid w:val="00024AF4"/>
    <w:rsid w:val="0002547A"/>
    <w:rsid w:val="000267C6"/>
    <w:rsid w:val="00026B88"/>
    <w:rsid w:val="000279DA"/>
    <w:rsid w:val="00027EA2"/>
    <w:rsid w:val="000308AA"/>
    <w:rsid w:val="00031A2C"/>
    <w:rsid w:val="00032485"/>
    <w:rsid w:val="00033243"/>
    <w:rsid w:val="00040770"/>
    <w:rsid w:val="00042AB9"/>
    <w:rsid w:val="00042B93"/>
    <w:rsid w:val="00042F1D"/>
    <w:rsid w:val="00043C7F"/>
    <w:rsid w:val="00044B66"/>
    <w:rsid w:val="00045B22"/>
    <w:rsid w:val="000467A8"/>
    <w:rsid w:val="00047F9C"/>
    <w:rsid w:val="00053792"/>
    <w:rsid w:val="000542A6"/>
    <w:rsid w:val="000543E2"/>
    <w:rsid w:val="00055F30"/>
    <w:rsid w:val="00056A5B"/>
    <w:rsid w:val="00057D37"/>
    <w:rsid w:val="00060DC6"/>
    <w:rsid w:val="00061A75"/>
    <w:rsid w:val="00061CB9"/>
    <w:rsid w:val="00061D9C"/>
    <w:rsid w:val="0006570F"/>
    <w:rsid w:val="000718CB"/>
    <w:rsid w:val="00072627"/>
    <w:rsid w:val="0007365F"/>
    <w:rsid w:val="00074C0B"/>
    <w:rsid w:val="00075DE8"/>
    <w:rsid w:val="000761AA"/>
    <w:rsid w:val="00077F26"/>
    <w:rsid w:val="00082282"/>
    <w:rsid w:val="0008350D"/>
    <w:rsid w:val="00083736"/>
    <w:rsid w:val="00084980"/>
    <w:rsid w:val="00084BEC"/>
    <w:rsid w:val="00084EB0"/>
    <w:rsid w:val="0008528D"/>
    <w:rsid w:val="0008624D"/>
    <w:rsid w:val="00087229"/>
    <w:rsid w:val="00087345"/>
    <w:rsid w:val="00087439"/>
    <w:rsid w:val="000878EA"/>
    <w:rsid w:val="00091AB8"/>
    <w:rsid w:val="00094137"/>
    <w:rsid w:val="000966F4"/>
    <w:rsid w:val="000A0A5B"/>
    <w:rsid w:val="000A15AD"/>
    <w:rsid w:val="000A2C64"/>
    <w:rsid w:val="000A478B"/>
    <w:rsid w:val="000A544A"/>
    <w:rsid w:val="000A5591"/>
    <w:rsid w:val="000A68C9"/>
    <w:rsid w:val="000A77EB"/>
    <w:rsid w:val="000A7D49"/>
    <w:rsid w:val="000B12B2"/>
    <w:rsid w:val="000B1354"/>
    <w:rsid w:val="000B4F56"/>
    <w:rsid w:val="000B5EE5"/>
    <w:rsid w:val="000B6665"/>
    <w:rsid w:val="000B733C"/>
    <w:rsid w:val="000B7624"/>
    <w:rsid w:val="000B7974"/>
    <w:rsid w:val="000C053B"/>
    <w:rsid w:val="000C0C17"/>
    <w:rsid w:val="000C11C9"/>
    <w:rsid w:val="000C1260"/>
    <w:rsid w:val="000C40DA"/>
    <w:rsid w:val="000C5343"/>
    <w:rsid w:val="000C560C"/>
    <w:rsid w:val="000C6477"/>
    <w:rsid w:val="000D080B"/>
    <w:rsid w:val="000D0F37"/>
    <w:rsid w:val="000D1946"/>
    <w:rsid w:val="000D3FA2"/>
    <w:rsid w:val="000D4720"/>
    <w:rsid w:val="000D48FD"/>
    <w:rsid w:val="000D57C0"/>
    <w:rsid w:val="000D5833"/>
    <w:rsid w:val="000D79CC"/>
    <w:rsid w:val="000D7D52"/>
    <w:rsid w:val="000E0426"/>
    <w:rsid w:val="000E1035"/>
    <w:rsid w:val="000E10B3"/>
    <w:rsid w:val="000E160C"/>
    <w:rsid w:val="000E169F"/>
    <w:rsid w:val="000E1C64"/>
    <w:rsid w:val="000E21D1"/>
    <w:rsid w:val="000E2508"/>
    <w:rsid w:val="000E25E7"/>
    <w:rsid w:val="000E2E07"/>
    <w:rsid w:val="000E2E62"/>
    <w:rsid w:val="000E3245"/>
    <w:rsid w:val="000E3333"/>
    <w:rsid w:val="000E3F13"/>
    <w:rsid w:val="000E5C51"/>
    <w:rsid w:val="000E6666"/>
    <w:rsid w:val="000E7D32"/>
    <w:rsid w:val="000F096F"/>
    <w:rsid w:val="000F0E89"/>
    <w:rsid w:val="000F306E"/>
    <w:rsid w:val="000F3235"/>
    <w:rsid w:val="000F43CA"/>
    <w:rsid w:val="000F5F82"/>
    <w:rsid w:val="000F611D"/>
    <w:rsid w:val="000F7119"/>
    <w:rsid w:val="00100739"/>
    <w:rsid w:val="0010311A"/>
    <w:rsid w:val="00103404"/>
    <w:rsid w:val="0010493E"/>
    <w:rsid w:val="00105A8F"/>
    <w:rsid w:val="001075D3"/>
    <w:rsid w:val="00107885"/>
    <w:rsid w:val="001101A1"/>
    <w:rsid w:val="001102E2"/>
    <w:rsid w:val="0011124A"/>
    <w:rsid w:val="00113696"/>
    <w:rsid w:val="00114FC4"/>
    <w:rsid w:val="00116739"/>
    <w:rsid w:val="00117E08"/>
    <w:rsid w:val="00120E1A"/>
    <w:rsid w:val="00121BE1"/>
    <w:rsid w:val="001229CC"/>
    <w:rsid w:val="0012329C"/>
    <w:rsid w:val="00127731"/>
    <w:rsid w:val="00127DA6"/>
    <w:rsid w:val="001302CB"/>
    <w:rsid w:val="0013041F"/>
    <w:rsid w:val="001315DD"/>
    <w:rsid w:val="0013397C"/>
    <w:rsid w:val="00133FE1"/>
    <w:rsid w:val="00134E81"/>
    <w:rsid w:val="00134FA7"/>
    <w:rsid w:val="0013592C"/>
    <w:rsid w:val="001365B2"/>
    <w:rsid w:val="001373BF"/>
    <w:rsid w:val="001374E9"/>
    <w:rsid w:val="00137950"/>
    <w:rsid w:val="00137B13"/>
    <w:rsid w:val="00140E92"/>
    <w:rsid w:val="00141F51"/>
    <w:rsid w:val="0014201A"/>
    <w:rsid w:val="001441EF"/>
    <w:rsid w:val="00146D08"/>
    <w:rsid w:val="00147757"/>
    <w:rsid w:val="001478C1"/>
    <w:rsid w:val="00150080"/>
    <w:rsid w:val="001504A3"/>
    <w:rsid w:val="00150FF3"/>
    <w:rsid w:val="00151BEF"/>
    <w:rsid w:val="00151E52"/>
    <w:rsid w:val="00152102"/>
    <w:rsid w:val="00152F29"/>
    <w:rsid w:val="00153BE8"/>
    <w:rsid w:val="001547FA"/>
    <w:rsid w:val="001555CF"/>
    <w:rsid w:val="0015648E"/>
    <w:rsid w:val="0015753B"/>
    <w:rsid w:val="00157F62"/>
    <w:rsid w:val="00161D49"/>
    <w:rsid w:val="00162BFF"/>
    <w:rsid w:val="00162D48"/>
    <w:rsid w:val="001636AE"/>
    <w:rsid w:val="00164B01"/>
    <w:rsid w:val="0016562A"/>
    <w:rsid w:val="001658BB"/>
    <w:rsid w:val="00167597"/>
    <w:rsid w:val="00167947"/>
    <w:rsid w:val="00170093"/>
    <w:rsid w:val="00172F6C"/>
    <w:rsid w:val="001737BE"/>
    <w:rsid w:val="00173EF1"/>
    <w:rsid w:val="001747F5"/>
    <w:rsid w:val="00174D54"/>
    <w:rsid w:val="00175368"/>
    <w:rsid w:val="00176659"/>
    <w:rsid w:val="0017702C"/>
    <w:rsid w:val="00177CD0"/>
    <w:rsid w:val="00181B1B"/>
    <w:rsid w:val="00184545"/>
    <w:rsid w:val="0018486E"/>
    <w:rsid w:val="00184894"/>
    <w:rsid w:val="001850A8"/>
    <w:rsid w:val="00185270"/>
    <w:rsid w:val="0019049F"/>
    <w:rsid w:val="00193070"/>
    <w:rsid w:val="00194483"/>
    <w:rsid w:val="001954E3"/>
    <w:rsid w:val="0019644B"/>
    <w:rsid w:val="001A18FF"/>
    <w:rsid w:val="001A3B5A"/>
    <w:rsid w:val="001B0978"/>
    <w:rsid w:val="001B2E15"/>
    <w:rsid w:val="001B35B5"/>
    <w:rsid w:val="001B3C02"/>
    <w:rsid w:val="001B41A8"/>
    <w:rsid w:val="001B76BE"/>
    <w:rsid w:val="001B7CE9"/>
    <w:rsid w:val="001C0B3B"/>
    <w:rsid w:val="001C2C3E"/>
    <w:rsid w:val="001C2EAB"/>
    <w:rsid w:val="001C5360"/>
    <w:rsid w:val="001C6E69"/>
    <w:rsid w:val="001C75E0"/>
    <w:rsid w:val="001D0A8C"/>
    <w:rsid w:val="001D1B30"/>
    <w:rsid w:val="001D22C6"/>
    <w:rsid w:val="001D2676"/>
    <w:rsid w:val="001D3DE2"/>
    <w:rsid w:val="001D3EF9"/>
    <w:rsid w:val="001D4636"/>
    <w:rsid w:val="001D495A"/>
    <w:rsid w:val="001D673B"/>
    <w:rsid w:val="001D77C0"/>
    <w:rsid w:val="001E0256"/>
    <w:rsid w:val="001E11A0"/>
    <w:rsid w:val="001E244C"/>
    <w:rsid w:val="001E3A9F"/>
    <w:rsid w:val="001E4161"/>
    <w:rsid w:val="001E5BE3"/>
    <w:rsid w:val="001E7670"/>
    <w:rsid w:val="001F11EE"/>
    <w:rsid w:val="001F1437"/>
    <w:rsid w:val="001F14DD"/>
    <w:rsid w:val="001F17A9"/>
    <w:rsid w:val="001F4932"/>
    <w:rsid w:val="001F52E4"/>
    <w:rsid w:val="001F5901"/>
    <w:rsid w:val="001F742B"/>
    <w:rsid w:val="001F764F"/>
    <w:rsid w:val="00201215"/>
    <w:rsid w:val="00201772"/>
    <w:rsid w:val="00201D65"/>
    <w:rsid w:val="00203372"/>
    <w:rsid w:val="00204203"/>
    <w:rsid w:val="002051FD"/>
    <w:rsid w:val="002061D2"/>
    <w:rsid w:val="00206799"/>
    <w:rsid w:val="00207342"/>
    <w:rsid w:val="002074FE"/>
    <w:rsid w:val="002075E2"/>
    <w:rsid w:val="00207C1A"/>
    <w:rsid w:val="002104E3"/>
    <w:rsid w:val="0021178A"/>
    <w:rsid w:val="00213D15"/>
    <w:rsid w:val="00213F7B"/>
    <w:rsid w:val="002208FE"/>
    <w:rsid w:val="00221439"/>
    <w:rsid w:val="0022425B"/>
    <w:rsid w:val="002258BB"/>
    <w:rsid w:val="002259EF"/>
    <w:rsid w:val="00230368"/>
    <w:rsid w:val="00233F0F"/>
    <w:rsid w:val="002348C4"/>
    <w:rsid w:val="002351FB"/>
    <w:rsid w:val="00235BBD"/>
    <w:rsid w:val="0023600B"/>
    <w:rsid w:val="002375F6"/>
    <w:rsid w:val="00240581"/>
    <w:rsid w:val="002416D2"/>
    <w:rsid w:val="0024257D"/>
    <w:rsid w:val="00242ED1"/>
    <w:rsid w:val="0024303D"/>
    <w:rsid w:val="002444BB"/>
    <w:rsid w:val="00245600"/>
    <w:rsid w:val="00245ABB"/>
    <w:rsid w:val="002477CC"/>
    <w:rsid w:val="00250ADD"/>
    <w:rsid w:val="00250C6F"/>
    <w:rsid w:val="00251BBD"/>
    <w:rsid w:val="002526CD"/>
    <w:rsid w:val="00254069"/>
    <w:rsid w:val="00255DCE"/>
    <w:rsid w:val="00256602"/>
    <w:rsid w:val="00257728"/>
    <w:rsid w:val="00261038"/>
    <w:rsid w:val="00263134"/>
    <w:rsid w:val="00263D8E"/>
    <w:rsid w:val="0026414D"/>
    <w:rsid w:val="00264F88"/>
    <w:rsid w:val="0026523A"/>
    <w:rsid w:val="00265FA2"/>
    <w:rsid w:val="00267881"/>
    <w:rsid w:val="00267ABF"/>
    <w:rsid w:val="00270621"/>
    <w:rsid w:val="00270748"/>
    <w:rsid w:val="00271207"/>
    <w:rsid w:val="00271AF3"/>
    <w:rsid w:val="00272B47"/>
    <w:rsid w:val="00273077"/>
    <w:rsid w:val="002734E5"/>
    <w:rsid w:val="002740A7"/>
    <w:rsid w:val="00274153"/>
    <w:rsid w:val="002746DB"/>
    <w:rsid w:val="002747CF"/>
    <w:rsid w:val="00274818"/>
    <w:rsid w:val="00274881"/>
    <w:rsid w:val="00275187"/>
    <w:rsid w:val="00275955"/>
    <w:rsid w:val="00276F52"/>
    <w:rsid w:val="00277976"/>
    <w:rsid w:val="00280C5A"/>
    <w:rsid w:val="00280CAF"/>
    <w:rsid w:val="00281784"/>
    <w:rsid w:val="00282351"/>
    <w:rsid w:val="00282A08"/>
    <w:rsid w:val="00282F09"/>
    <w:rsid w:val="002860CC"/>
    <w:rsid w:val="00286B60"/>
    <w:rsid w:val="00286B76"/>
    <w:rsid w:val="00290838"/>
    <w:rsid w:val="00291810"/>
    <w:rsid w:val="002918C4"/>
    <w:rsid w:val="00293EE6"/>
    <w:rsid w:val="00294BE9"/>
    <w:rsid w:val="00294D62"/>
    <w:rsid w:val="00295DD0"/>
    <w:rsid w:val="002964B0"/>
    <w:rsid w:val="00297532"/>
    <w:rsid w:val="00297FFD"/>
    <w:rsid w:val="002A0367"/>
    <w:rsid w:val="002A06F3"/>
    <w:rsid w:val="002A08AD"/>
    <w:rsid w:val="002A10DA"/>
    <w:rsid w:val="002A10EF"/>
    <w:rsid w:val="002A1210"/>
    <w:rsid w:val="002A32C3"/>
    <w:rsid w:val="002A3F3B"/>
    <w:rsid w:val="002A47D2"/>
    <w:rsid w:val="002A5848"/>
    <w:rsid w:val="002A6FCB"/>
    <w:rsid w:val="002A7FB5"/>
    <w:rsid w:val="002B2074"/>
    <w:rsid w:val="002B4642"/>
    <w:rsid w:val="002B4769"/>
    <w:rsid w:val="002B5993"/>
    <w:rsid w:val="002B5CED"/>
    <w:rsid w:val="002B6644"/>
    <w:rsid w:val="002C098F"/>
    <w:rsid w:val="002C0A02"/>
    <w:rsid w:val="002C1CB7"/>
    <w:rsid w:val="002C3737"/>
    <w:rsid w:val="002C3D4F"/>
    <w:rsid w:val="002C64C8"/>
    <w:rsid w:val="002D01F8"/>
    <w:rsid w:val="002D14D8"/>
    <w:rsid w:val="002D264D"/>
    <w:rsid w:val="002D2B52"/>
    <w:rsid w:val="002D40BD"/>
    <w:rsid w:val="002D4799"/>
    <w:rsid w:val="002D6344"/>
    <w:rsid w:val="002D7992"/>
    <w:rsid w:val="002E1CD0"/>
    <w:rsid w:val="002E30C1"/>
    <w:rsid w:val="002E3291"/>
    <w:rsid w:val="002E3FA4"/>
    <w:rsid w:val="002E41E0"/>
    <w:rsid w:val="002E53A5"/>
    <w:rsid w:val="002E54CD"/>
    <w:rsid w:val="002E64B8"/>
    <w:rsid w:val="002E6834"/>
    <w:rsid w:val="002F2524"/>
    <w:rsid w:val="002F2A9D"/>
    <w:rsid w:val="002F30B0"/>
    <w:rsid w:val="002F3206"/>
    <w:rsid w:val="002F3A57"/>
    <w:rsid w:val="002F4013"/>
    <w:rsid w:val="002F49C2"/>
    <w:rsid w:val="002F5D2A"/>
    <w:rsid w:val="003007E7"/>
    <w:rsid w:val="0030173B"/>
    <w:rsid w:val="00303ACC"/>
    <w:rsid w:val="00306A97"/>
    <w:rsid w:val="00307AD1"/>
    <w:rsid w:val="00307FD0"/>
    <w:rsid w:val="003104B0"/>
    <w:rsid w:val="00310E56"/>
    <w:rsid w:val="003113FF"/>
    <w:rsid w:val="003120BB"/>
    <w:rsid w:val="00312622"/>
    <w:rsid w:val="0031422C"/>
    <w:rsid w:val="00314871"/>
    <w:rsid w:val="0031495C"/>
    <w:rsid w:val="00314A6D"/>
    <w:rsid w:val="00314EF5"/>
    <w:rsid w:val="00317D6A"/>
    <w:rsid w:val="00320EC9"/>
    <w:rsid w:val="003226F7"/>
    <w:rsid w:val="0032277F"/>
    <w:rsid w:val="00322857"/>
    <w:rsid w:val="00322E94"/>
    <w:rsid w:val="00324E08"/>
    <w:rsid w:val="00325387"/>
    <w:rsid w:val="003263B5"/>
    <w:rsid w:val="00326EC6"/>
    <w:rsid w:val="00330C4D"/>
    <w:rsid w:val="00331481"/>
    <w:rsid w:val="003316DA"/>
    <w:rsid w:val="003317F0"/>
    <w:rsid w:val="00331AA5"/>
    <w:rsid w:val="003336A2"/>
    <w:rsid w:val="00334D2B"/>
    <w:rsid w:val="00335863"/>
    <w:rsid w:val="00335C8D"/>
    <w:rsid w:val="003360CF"/>
    <w:rsid w:val="00336B69"/>
    <w:rsid w:val="00336D19"/>
    <w:rsid w:val="003373EB"/>
    <w:rsid w:val="003377FA"/>
    <w:rsid w:val="003408FB"/>
    <w:rsid w:val="003415A5"/>
    <w:rsid w:val="003423A0"/>
    <w:rsid w:val="0034263A"/>
    <w:rsid w:val="0034302B"/>
    <w:rsid w:val="00343EF5"/>
    <w:rsid w:val="00344F7A"/>
    <w:rsid w:val="003450EB"/>
    <w:rsid w:val="00346772"/>
    <w:rsid w:val="00346B47"/>
    <w:rsid w:val="00350523"/>
    <w:rsid w:val="0035189D"/>
    <w:rsid w:val="00351987"/>
    <w:rsid w:val="00352C88"/>
    <w:rsid w:val="00352CCF"/>
    <w:rsid w:val="00353BEC"/>
    <w:rsid w:val="00354017"/>
    <w:rsid w:val="0035445B"/>
    <w:rsid w:val="0035571D"/>
    <w:rsid w:val="00355B62"/>
    <w:rsid w:val="00356818"/>
    <w:rsid w:val="00356EC0"/>
    <w:rsid w:val="00357C8A"/>
    <w:rsid w:val="00362938"/>
    <w:rsid w:val="003674B9"/>
    <w:rsid w:val="003722B2"/>
    <w:rsid w:val="0037306A"/>
    <w:rsid w:val="003740BC"/>
    <w:rsid w:val="0037456B"/>
    <w:rsid w:val="00374FD6"/>
    <w:rsid w:val="003763D1"/>
    <w:rsid w:val="00376E7A"/>
    <w:rsid w:val="0037729A"/>
    <w:rsid w:val="003801A3"/>
    <w:rsid w:val="00380261"/>
    <w:rsid w:val="00381780"/>
    <w:rsid w:val="00383D90"/>
    <w:rsid w:val="003846F4"/>
    <w:rsid w:val="0038608C"/>
    <w:rsid w:val="00386840"/>
    <w:rsid w:val="003870AE"/>
    <w:rsid w:val="00387DE6"/>
    <w:rsid w:val="0039062C"/>
    <w:rsid w:val="003912BE"/>
    <w:rsid w:val="00393475"/>
    <w:rsid w:val="003939EB"/>
    <w:rsid w:val="00395D40"/>
    <w:rsid w:val="0039636D"/>
    <w:rsid w:val="00396690"/>
    <w:rsid w:val="0039797E"/>
    <w:rsid w:val="00397F7A"/>
    <w:rsid w:val="003A1A27"/>
    <w:rsid w:val="003A1D7B"/>
    <w:rsid w:val="003A3FD3"/>
    <w:rsid w:val="003A41EF"/>
    <w:rsid w:val="003A44B7"/>
    <w:rsid w:val="003A50CC"/>
    <w:rsid w:val="003A5C07"/>
    <w:rsid w:val="003A5C13"/>
    <w:rsid w:val="003A7C42"/>
    <w:rsid w:val="003B0241"/>
    <w:rsid w:val="003B35A6"/>
    <w:rsid w:val="003B422E"/>
    <w:rsid w:val="003B42B3"/>
    <w:rsid w:val="003B4FA9"/>
    <w:rsid w:val="003B4FEF"/>
    <w:rsid w:val="003B5B4B"/>
    <w:rsid w:val="003B6384"/>
    <w:rsid w:val="003C0C77"/>
    <w:rsid w:val="003C0FE2"/>
    <w:rsid w:val="003C29B4"/>
    <w:rsid w:val="003C4EBB"/>
    <w:rsid w:val="003D018A"/>
    <w:rsid w:val="003D1531"/>
    <w:rsid w:val="003D5EE6"/>
    <w:rsid w:val="003E1303"/>
    <w:rsid w:val="003E2B18"/>
    <w:rsid w:val="003E31C4"/>
    <w:rsid w:val="003E3A1C"/>
    <w:rsid w:val="003E4EC6"/>
    <w:rsid w:val="003E527E"/>
    <w:rsid w:val="003E553E"/>
    <w:rsid w:val="003E7078"/>
    <w:rsid w:val="003E716C"/>
    <w:rsid w:val="003E7E64"/>
    <w:rsid w:val="003F3DF5"/>
    <w:rsid w:val="003F534C"/>
    <w:rsid w:val="003F5B3B"/>
    <w:rsid w:val="003F6029"/>
    <w:rsid w:val="003F680E"/>
    <w:rsid w:val="003F73B8"/>
    <w:rsid w:val="00400906"/>
    <w:rsid w:val="0040105C"/>
    <w:rsid w:val="00401A09"/>
    <w:rsid w:val="0040297E"/>
    <w:rsid w:val="004046CD"/>
    <w:rsid w:val="004050D7"/>
    <w:rsid w:val="0040513B"/>
    <w:rsid w:val="00407156"/>
    <w:rsid w:val="00407986"/>
    <w:rsid w:val="00411D11"/>
    <w:rsid w:val="00411D9B"/>
    <w:rsid w:val="00412AD8"/>
    <w:rsid w:val="00412AFF"/>
    <w:rsid w:val="00413ECF"/>
    <w:rsid w:val="00414494"/>
    <w:rsid w:val="00414501"/>
    <w:rsid w:val="00415206"/>
    <w:rsid w:val="00415E23"/>
    <w:rsid w:val="00415F9B"/>
    <w:rsid w:val="0041670D"/>
    <w:rsid w:val="00416C36"/>
    <w:rsid w:val="00420491"/>
    <w:rsid w:val="00421726"/>
    <w:rsid w:val="00422BCB"/>
    <w:rsid w:val="00423272"/>
    <w:rsid w:val="00424061"/>
    <w:rsid w:val="004248B1"/>
    <w:rsid w:val="00425718"/>
    <w:rsid w:val="004257E7"/>
    <w:rsid w:val="00425CC4"/>
    <w:rsid w:val="00426034"/>
    <w:rsid w:val="004270E1"/>
    <w:rsid w:val="00432149"/>
    <w:rsid w:val="00434A42"/>
    <w:rsid w:val="00435525"/>
    <w:rsid w:val="004363AA"/>
    <w:rsid w:val="004364EB"/>
    <w:rsid w:val="004416B5"/>
    <w:rsid w:val="00441DAB"/>
    <w:rsid w:val="00442216"/>
    <w:rsid w:val="00442A3C"/>
    <w:rsid w:val="00443969"/>
    <w:rsid w:val="004441F8"/>
    <w:rsid w:val="004443E5"/>
    <w:rsid w:val="004457A5"/>
    <w:rsid w:val="00445FEA"/>
    <w:rsid w:val="00446310"/>
    <w:rsid w:val="00447D74"/>
    <w:rsid w:val="00450A74"/>
    <w:rsid w:val="0045126D"/>
    <w:rsid w:val="00452334"/>
    <w:rsid w:val="00452743"/>
    <w:rsid w:val="004546BF"/>
    <w:rsid w:val="004552DD"/>
    <w:rsid w:val="004555F2"/>
    <w:rsid w:val="00456298"/>
    <w:rsid w:val="00457F24"/>
    <w:rsid w:val="0046051F"/>
    <w:rsid w:val="0046245E"/>
    <w:rsid w:val="00464F3A"/>
    <w:rsid w:val="00465350"/>
    <w:rsid w:val="004653B0"/>
    <w:rsid w:val="0046766E"/>
    <w:rsid w:val="00467994"/>
    <w:rsid w:val="00467E77"/>
    <w:rsid w:val="0047140C"/>
    <w:rsid w:val="0047238C"/>
    <w:rsid w:val="00476B7A"/>
    <w:rsid w:val="00476B91"/>
    <w:rsid w:val="004800F3"/>
    <w:rsid w:val="004819DD"/>
    <w:rsid w:val="00483B5F"/>
    <w:rsid w:val="00484629"/>
    <w:rsid w:val="004846BF"/>
    <w:rsid w:val="00487AE1"/>
    <w:rsid w:val="00487B66"/>
    <w:rsid w:val="004940D0"/>
    <w:rsid w:val="00494912"/>
    <w:rsid w:val="00495292"/>
    <w:rsid w:val="0049593E"/>
    <w:rsid w:val="004A0272"/>
    <w:rsid w:val="004A06EA"/>
    <w:rsid w:val="004A2505"/>
    <w:rsid w:val="004A3661"/>
    <w:rsid w:val="004A4CCD"/>
    <w:rsid w:val="004A5323"/>
    <w:rsid w:val="004A5483"/>
    <w:rsid w:val="004A5657"/>
    <w:rsid w:val="004A5A99"/>
    <w:rsid w:val="004A5FBF"/>
    <w:rsid w:val="004A6256"/>
    <w:rsid w:val="004A75D3"/>
    <w:rsid w:val="004A7D26"/>
    <w:rsid w:val="004B0F95"/>
    <w:rsid w:val="004B30CD"/>
    <w:rsid w:val="004B42CC"/>
    <w:rsid w:val="004B44F9"/>
    <w:rsid w:val="004B4742"/>
    <w:rsid w:val="004B640B"/>
    <w:rsid w:val="004C00F1"/>
    <w:rsid w:val="004C1025"/>
    <w:rsid w:val="004C15AE"/>
    <w:rsid w:val="004C1A71"/>
    <w:rsid w:val="004C20B3"/>
    <w:rsid w:val="004C3221"/>
    <w:rsid w:val="004C3B75"/>
    <w:rsid w:val="004C4402"/>
    <w:rsid w:val="004C46C4"/>
    <w:rsid w:val="004C58A8"/>
    <w:rsid w:val="004C637E"/>
    <w:rsid w:val="004C6979"/>
    <w:rsid w:val="004C6E87"/>
    <w:rsid w:val="004C7EEC"/>
    <w:rsid w:val="004D13A2"/>
    <w:rsid w:val="004D168B"/>
    <w:rsid w:val="004D1ADF"/>
    <w:rsid w:val="004D253C"/>
    <w:rsid w:val="004D359B"/>
    <w:rsid w:val="004D3E7A"/>
    <w:rsid w:val="004D7D37"/>
    <w:rsid w:val="004E147F"/>
    <w:rsid w:val="004E1E80"/>
    <w:rsid w:val="004E2BEB"/>
    <w:rsid w:val="004E34A3"/>
    <w:rsid w:val="004E5EAA"/>
    <w:rsid w:val="004F34C7"/>
    <w:rsid w:val="004F40A2"/>
    <w:rsid w:val="004F40DA"/>
    <w:rsid w:val="004F594B"/>
    <w:rsid w:val="004F61E1"/>
    <w:rsid w:val="004F6CD8"/>
    <w:rsid w:val="00500609"/>
    <w:rsid w:val="005008DA"/>
    <w:rsid w:val="00500FCE"/>
    <w:rsid w:val="005010DC"/>
    <w:rsid w:val="00502ABC"/>
    <w:rsid w:val="00504005"/>
    <w:rsid w:val="00504036"/>
    <w:rsid w:val="00507DBF"/>
    <w:rsid w:val="005106CC"/>
    <w:rsid w:val="00512555"/>
    <w:rsid w:val="00512F45"/>
    <w:rsid w:val="00516DC5"/>
    <w:rsid w:val="00517629"/>
    <w:rsid w:val="00521A01"/>
    <w:rsid w:val="00521E30"/>
    <w:rsid w:val="00523976"/>
    <w:rsid w:val="00524C66"/>
    <w:rsid w:val="005250A2"/>
    <w:rsid w:val="00525E31"/>
    <w:rsid w:val="005319FA"/>
    <w:rsid w:val="00531D69"/>
    <w:rsid w:val="005335DE"/>
    <w:rsid w:val="0053380B"/>
    <w:rsid w:val="00534551"/>
    <w:rsid w:val="005347EE"/>
    <w:rsid w:val="005351BC"/>
    <w:rsid w:val="005423EF"/>
    <w:rsid w:val="00543194"/>
    <w:rsid w:val="00544138"/>
    <w:rsid w:val="00545E29"/>
    <w:rsid w:val="00545ECE"/>
    <w:rsid w:val="005469A2"/>
    <w:rsid w:val="00546CD2"/>
    <w:rsid w:val="00552B71"/>
    <w:rsid w:val="00553A08"/>
    <w:rsid w:val="00554710"/>
    <w:rsid w:val="00554868"/>
    <w:rsid w:val="00554E34"/>
    <w:rsid w:val="005624FA"/>
    <w:rsid w:val="00562588"/>
    <w:rsid w:val="00562D0C"/>
    <w:rsid w:val="00565057"/>
    <w:rsid w:val="00565826"/>
    <w:rsid w:val="00565D2F"/>
    <w:rsid w:val="005673F7"/>
    <w:rsid w:val="00572385"/>
    <w:rsid w:val="0057370E"/>
    <w:rsid w:val="00577EB8"/>
    <w:rsid w:val="00580A3A"/>
    <w:rsid w:val="00581CEE"/>
    <w:rsid w:val="00582253"/>
    <w:rsid w:val="00584583"/>
    <w:rsid w:val="005845F9"/>
    <w:rsid w:val="00584970"/>
    <w:rsid w:val="00585964"/>
    <w:rsid w:val="0059006C"/>
    <w:rsid w:val="0059016E"/>
    <w:rsid w:val="00590E90"/>
    <w:rsid w:val="00590EEB"/>
    <w:rsid w:val="0059282D"/>
    <w:rsid w:val="00593D42"/>
    <w:rsid w:val="005947C9"/>
    <w:rsid w:val="00594CC1"/>
    <w:rsid w:val="00597745"/>
    <w:rsid w:val="005979DA"/>
    <w:rsid w:val="00597C4E"/>
    <w:rsid w:val="00597CA0"/>
    <w:rsid w:val="005A005C"/>
    <w:rsid w:val="005A0799"/>
    <w:rsid w:val="005A0D5B"/>
    <w:rsid w:val="005A2583"/>
    <w:rsid w:val="005A2ADD"/>
    <w:rsid w:val="005A2E77"/>
    <w:rsid w:val="005A2F60"/>
    <w:rsid w:val="005A4099"/>
    <w:rsid w:val="005A5BCF"/>
    <w:rsid w:val="005A7525"/>
    <w:rsid w:val="005A7C18"/>
    <w:rsid w:val="005B09CC"/>
    <w:rsid w:val="005B13D7"/>
    <w:rsid w:val="005B224F"/>
    <w:rsid w:val="005B2773"/>
    <w:rsid w:val="005B5170"/>
    <w:rsid w:val="005B6CE1"/>
    <w:rsid w:val="005C09D7"/>
    <w:rsid w:val="005C35A7"/>
    <w:rsid w:val="005C38B2"/>
    <w:rsid w:val="005C4711"/>
    <w:rsid w:val="005C494C"/>
    <w:rsid w:val="005C5029"/>
    <w:rsid w:val="005C55C2"/>
    <w:rsid w:val="005C665F"/>
    <w:rsid w:val="005C6E38"/>
    <w:rsid w:val="005C71CA"/>
    <w:rsid w:val="005C745C"/>
    <w:rsid w:val="005C7A1E"/>
    <w:rsid w:val="005D1DEA"/>
    <w:rsid w:val="005D2623"/>
    <w:rsid w:val="005D2E79"/>
    <w:rsid w:val="005D3747"/>
    <w:rsid w:val="005D388A"/>
    <w:rsid w:val="005D4DF5"/>
    <w:rsid w:val="005D5684"/>
    <w:rsid w:val="005D6886"/>
    <w:rsid w:val="005D689E"/>
    <w:rsid w:val="005D7A76"/>
    <w:rsid w:val="005E0029"/>
    <w:rsid w:val="005E0990"/>
    <w:rsid w:val="005E138E"/>
    <w:rsid w:val="005E38C0"/>
    <w:rsid w:val="005E42BA"/>
    <w:rsid w:val="005E43BD"/>
    <w:rsid w:val="005E54CB"/>
    <w:rsid w:val="005E57BB"/>
    <w:rsid w:val="005E5D4B"/>
    <w:rsid w:val="005E6ED6"/>
    <w:rsid w:val="005E78EE"/>
    <w:rsid w:val="005E7DD9"/>
    <w:rsid w:val="005E7F79"/>
    <w:rsid w:val="005F0417"/>
    <w:rsid w:val="005F0CC6"/>
    <w:rsid w:val="005F10FE"/>
    <w:rsid w:val="005F1332"/>
    <w:rsid w:val="005F26F6"/>
    <w:rsid w:val="005F2BFB"/>
    <w:rsid w:val="005F3181"/>
    <w:rsid w:val="005F31B3"/>
    <w:rsid w:val="005F3ED2"/>
    <w:rsid w:val="005F55DE"/>
    <w:rsid w:val="006000BF"/>
    <w:rsid w:val="006008E5"/>
    <w:rsid w:val="00604D4A"/>
    <w:rsid w:val="006077F4"/>
    <w:rsid w:val="00607AF3"/>
    <w:rsid w:val="006101EB"/>
    <w:rsid w:val="00610E15"/>
    <w:rsid w:val="00611174"/>
    <w:rsid w:val="00611492"/>
    <w:rsid w:val="00611D6B"/>
    <w:rsid w:val="00611EE5"/>
    <w:rsid w:val="0061345B"/>
    <w:rsid w:val="00613DDE"/>
    <w:rsid w:val="00614692"/>
    <w:rsid w:val="006147BF"/>
    <w:rsid w:val="00615566"/>
    <w:rsid w:val="00620FD8"/>
    <w:rsid w:val="006213FE"/>
    <w:rsid w:val="006217E1"/>
    <w:rsid w:val="00623BD8"/>
    <w:rsid w:val="00623F65"/>
    <w:rsid w:val="00625AEB"/>
    <w:rsid w:val="006326EC"/>
    <w:rsid w:val="0063390B"/>
    <w:rsid w:val="00635FB8"/>
    <w:rsid w:val="00636919"/>
    <w:rsid w:val="0063693D"/>
    <w:rsid w:val="00640CB1"/>
    <w:rsid w:val="006417DB"/>
    <w:rsid w:val="00642068"/>
    <w:rsid w:val="00642138"/>
    <w:rsid w:val="00642A27"/>
    <w:rsid w:val="006447E7"/>
    <w:rsid w:val="006457CA"/>
    <w:rsid w:val="006460F5"/>
    <w:rsid w:val="006475F2"/>
    <w:rsid w:val="006479DB"/>
    <w:rsid w:val="006520CC"/>
    <w:rsid w:val="006524F6"/>
    <w:rsid w:val="00654F59"/>
    <w:rsid w:val="0065508F"/>
    <w:rsid w:val="00655ED7"/>
    <w:rsid w:val="006568DA"/>
    <w:rsid w:val="00661493"/>
    <w:rsid w:val="00662C4B"/>
    <w:rsid w:val="0066305C"/>
    <w:rsid w:val="00663A42"/>
    <w:rsid w:val="006641C7"/>
    <w:rsid w:val="00664357"/>
    <w:rsid w:val="006646FF"/>
    <w:rsid w:val="00664B7B"/>
    <w:rsid w:val="00664FAC"/>
    <w:rsid w:val="006662F1"/>
    <w:rsid w:val="006705EA"/>
    <w:rsid w:val="00670BE2"/>
    <w:rsid w:val="006749FA"/>
    <w:rsid w:val="006755F8"/>
    <w:rsid w:val="006763FF"/>
    <w:rsid w:val="006807DE"/>
    <w:rsid w:val="006809FE"/>
    <w:rsid w:val="00682015"/>
    <w:rsid w:val="006826A9"/>
    <w:rsid w:val="00682911"/>
    <w:rsid w:val="00687C83"/>
    <w:rsid w:val="006916D9"/>
    <w:rsid w:val="00691CD7"/>
    <w:rsid w:val="006936D3"/>
    <w:rsid w:val="00695E70"/>
    <w:rsid w:val="00696465"/>
    <w:rsid w:val="006965DE"/>
    <w:rsid w:val="00696A1B"/>
    <w:rsid w:val="006974EA"/>
    <w:rsid w:val="006A0868"/>
    <w:rsid w:val="006A0E05"/>
    <w:rsid w:val="006A19DE"/>
    <w:rsid w:val="006A1AA0"/>
    <w:rsid w:val="006A26C6"/>
    <w:rsid w:val="006A3AE7"/>
    <w:rsid w:val="006A465A"/>
    <w:rsid w:val="006A4A31"/>
    <w:rsid w:val="006A57AA"/>
    <w:rsid w:val="006A5BA7"/>
    <w:rsid w:val="006A77B7"/>
    <w:rsid w:val="006A7B4E"/>
    <w:rsid w:val="006A7D5D"/>
    <w:rsid w:val="006A7F74"/>
    <w:rsid w:val="006B3FAE"/>
    <w:rsid w:val="006B49E3"/>
    <w:rsid w:val="006B4A28"/>
    <w:rsid w:val="006B7AA2"/>
    <w:rsid w:val="006C30E9"/>
    <w:rsid w:val="006C57F6"/>
    <w:rsid w:val="006C5EEE"/>
    <w:rsid w:val="006C629D"/>
    <w:rsid w:val="006C6344"/>
    <w:rsid w:val="006C6586"/>
    <w:rsid w:val="006C7058"/>
    <w:rsid w:val="006C7366"/>
    <w:rsid w:val="006C79BD"/>
    <w:rsid w:val="006D0C12"/>
    <w:rsid w:val="006D1410"/>
    <w:rsid w:val="006D19EC"/>
    <w:rsid w:val="006D1C02"/>
    <w:rsid w:val="006D3F42"/>
    <w:rsid w:val="006D5D57"/>
    <w:rsid w:val="006D61E4"/>
    <w:rsid w:val="006D69C7"/>
    <w:rsid w:val="006D6D3A"/>
    <w:rsid w:val="006D7F68"/>
    <w:rsid w:val="006E0521"/>
    <w:rsid w:val="006E0E12"/>
    <w:rsid w:val="006E1780"/>
    <w:rsid w:val="006E18E0"/>
    <w:rsid w:val="006E2538"/>
    <w:rsid w:val="006E2D46"/>
    <w:rsid w:val="006E302F"/>
    <w:rsid w:val="006E43AE"/>
    <w:rsid w:val="006E6F2B"/>
    <w:rsid w:val="006E7FA3"/>
    <w:rsid w:val="006F0115"/>
    <w:rsid w:val="006F1582"/>
    <w:rsid w:val="006F1F21"/>
    <w:rsid w:val="006F2315"/>
    <w:rsid w:val="006F28BC"/>
    <w:rsid w:val="006F308E"/>
    <w:rsid w:val="006F4AD1"/>
    <w:rsid w:val="006F4B00"/>
    <w:rsid w:val="006F4D6D"/>
    <w:rsid w:val="006F5389"/>
    <w:rsid w:val="006F63F2"/>
    <w:rsid w:val="006F692A"/>
    <w:rsid w:val="006F7DE5"/>
    <w:rsid w:val="00700CCB"/>
    <w:rsid w:val="00702CE5"/>
    <w:rsid w:val="00702E5F"/>
    <w:rsid w:val="00704533"/>
    <w:rsid w:val="00704A3F"/>
    <w:rsid w:val="00705086"/>
    <w:rsid w:val="00705225"/>
    <w:rsid w:val="00707A37"/>
    <w:rsid w:val="00707A4F"/>
    <w:rsid w:val="00711E37"/>
    <w:rsid w:val="00713417"/>
    <w:rsid w:val="00713AE0"/>
    <w:rsid w:val="00714513"/>
    <w:rsid w:val="00714CFB"/>
    <w:rsid w:val="0071513A"/>
    <w:rsid w:val="00716137"/>
    <w:rsid w:val="007167DE"/>
    <w:rsid w:val="0071681B"/>
    <w:rsid w:val="00716B95"/>
    <w:rsid w:val="0071728D"/>
    <w:rsid w:val="007205E5"/>
    <w:rsid w:val="00721E81"/>
    <w:rsid w:val="00722001"/>
    <w:rsid w:val="007226A3"/>
    <w:rsid w:val="0072328C"/>
    <w:rsid w:val="007248DB"/>
    <w:rsid w:val="00725228"/>
    <w:rsid w:val="00725A9B"/>
    <w:rsid w:val="0072757F"/>
    <w:rsid w:val="0073101B"/>
    <w:rsid w:val="00731780"/>
    <w:rsid w:val="00732711"/>
    <w:rsid w:val="00732823"/>
    <w:rsid w:val="00737500"/>
    <w:rsid w:val="00737A59"/>
    <w:rsid w:val="00737DEF"/>
    <w:rsid w:val="007402AC"/>
    <w:rsid w:val="00741B1F"/>
    <w:rsid w:val="00742411"/>
    <w:rsid w:val="007469C7"/>
    <w:rsid w:val="00747679"/>
    <w:rsid w:val="0074799E"/>
    <w:rsid w:val="0075182A"/>
    <w:rsid w:val="00751E66"/>
    <w:rsid w:val="00754497"/>
    <w:rsid w:val="0075473E"/>
    <w:rsid w:val="007562B8"/>
    <w:rsid w:val="00757C35"/>
    <w:rsid w:val="00760AF8"/>
    <w:rsid w:val="007613EF"/>
    <w:rsid w:val="00761C54"/>
    <w:rsid w:val="0076241D"/>
    <w:rsid w:val="00763CDE"/>
    <w:rsid w:val="007662EE"/>
    <w:rsid w:val="00766BD7"/>
    <w:rsid w:val="00771E1B"/>
    <w:rsid w:val="00773053"/>
    <w:rsid w:val="0077469B"/>
    <w:rsid w:val="007753C9"/>
    <w:rsid w:val="00775A06"/>
    <w:rsid w:val="007802FF"/>
    <w:rsid w:val="007838F2"/>
    <w:rsid w:val="007852E0"/>
    <w:rsid w:val="00785664"/>
    <w:rsid w:val="007861D4"/>
    <w:rsid w:val="0078636C"/>
    <w:rsid w:val="00787082"/>
    <w:rsid w:val="00787912"/>
    <w:rsid w:val="00787C39"/>
    <w:rsid w:val="00790EBD"/>
    <w:rsid w:val="007910C6"/>
    <w:rsid w:val="00791BE6"/>
    <w:rsid w:val="007920D5"/>
    <w:rsid w:val="0079255D"/>
    <w:rsid w:val="00792947"/>
    <w:rsid w:val="0079368F"/>
    <w:rsid w:val="00793A82"/>
    <w:rsid w:val="00794C3C"/>
    <w:rsid w:val="007957AA"/>
    <w:rsid w:val="00795DF3"/>
    <w:rsid w:val="00797A78"/>
    <w:rsid w:val="007A02AF"/>
    <w:rsid w:val="007A373C"/>
    <w:rsid w:val="007B225C"/>
    <w:rsid w:val="007B273C"/>
    <w:rsid w:val="007B2792"/>
    <w:rsid w:val="007B5785"/>
    <w:rsid w:val="007B6254"/>
    <w:rsid w:val="007B6665"/>
    <w:rsid w:val="007B6797"/>
    <w:rsid w:val="007B761F"/>
    <w:rsid w:val="007C0895"/>
    <w:rsid w:val="007C1027"/>
    <w:rsid w:val="007C3C1F"/>
    <w:rsid w:val="007C496A"/>
    <w:rsid w:val="007C6C23"/>
    <w:rsid w:val="007C719A"/>
    <w:rsid w:val="007C75B1"/>
    <w:rsid w:val="007C7731"/>
    <w:rsid w:val="007C7A48"/>
    <w:rsid w:val="007D0F81"/>
    <w:rsid w:val="007D1FE3"/>
    <w:rsid w:val="007D2F11"/>
    <w:rsid w:val="007D3DFC"/>
    <w:rsid w:val="007D4D56"/>
    <w:rsid w:val="007D4E97"/>
    <w:rsid w:val="007D59E8"/>
    <w:rsid w:val="007D6547"/>
    <w:rsid w:val="007D6B6D"/>
    <w:rsid w:val="007D6EC1"/>
    <w:rsid w:val="007D7379"/>
    <w:rsid w:val="007E015C"/>
    <w:rsid w:val="007E1F10"/>
    <w:rsid w:val="007E287D"/>
    <w:rsid w:val="007E2F07"/>
    <w:rsid w:val="007E56B3"/>
    <w:rsid w:val="007E59A8"/>
    <w:rsid w:val="007E5CED"/>
    <w:rsid w:val="007E5D63"/>
    <w:rsid w:val="007F0300"/>
    <w:rsid w:val="007F2010"/>
    <w:rsid w:val="007F2113"/>
    <w:rsid w:val="007F3AE3"/>
    <w:rsid w:val="007F3F2B"/>
    <w:rsid w:val="007F5B34"/>
    <w:rsid w:val="007F7097"/>
    <w:rsid w:val="007F788B"/>
    <w:rsid w:val="007F7C83"/>
    <w:rsid w:val="008008DC"/>
    <w:rsid w:val="00801D34"/>
    <w:rsid w:val="00801DC8"/>
    <w:rsid w:val="008022A8"/>
    <w:rsid w:val="008028E6"/>
    <w:rsid w:val="0080319E"/>
    <w:rsid w:val="00803CCE"/>
    <w:rsid w:val="008040AA"/>
    <w:rsid w:val="0080613C"/>
    <w:rsid w:val="0080776D"/>
    <w:rsid w:val="00810145"/>
    <w:rsid w:val="00810157"/>
    <w:rsid w:val="00810242"/>
    <w:rsid w:val="008108FA"/>
    <w:rsid w:val="00810EFD"/>
    <w:rsid w:val="00810FF1"/>
    <w:rsid w:val="008139EC"/>
    <w:rsid w:val="00814771"/>
    <w:rsid w:val="0081508E"/>
    <w:rsid w:val="00815DA7"/>
    <w:rsid w:val="00820073"/>
    <w:rsid w:val="00820785"/>
    <w:rsid w:val="008209AB"/>
    <w:rsid w:val="00821784"/>
    <w:rsid w:val="00822336"/>
    <w:rsid w:val="00823DFA"/>
    <w:rsid w:val="00824822"/>
    <w:rsid w:val="00826A11"/>
    <w:rsid w:val="00827779"/>
    <w:rsid w:val="008278E2"/>
    <w:rsid w:val="00830021"/>
    <w:rsid w:val="008301D3"/>
    <w:rsid w:val="0083043A"/>
    <w:rsid w:val="008339C4"/>
    <w:rsid w:val="00835201"/>
    <w:rsid w:val="0083638B"/>
    <w:rsid w:val="00836916"/>
    <w:rsid w:val="00836BCA"/>
    <w:rsid w:val="00841A85"/>
    <w:rsid w:val="00842DB7"/>
    <w:rsid w:val="00843752"/>
    <w:rsid w:val="0084479F"/>
    <w:rsid w:val="00845650"/>
    <w:rsid w:val="00845A9E"/>
    <w:rsid w:val="00845C99"/>
    <w:rsid w:val="008463D2"/>
    <w:rsid w:val="00846F65"/>
    <w:rsid w:val="0084788D"/>
    <w:rsid w:val="00847DA5"/>
    <w:rsid w:val="0085110D"/>
    <w:rsid w:val="00851164"/>
    <w:rsid w:val="0085187B"/>
    <w:rsid w:val="0085243F"/>
    <w:rsid w:val="00852466"/>
    <w:rsid w:val="00852A5B"/>
    <w:rsid w:val="00853BBD"/>
    <w:rsid w:val="0085447E"/>
    <w:rsid w:val="00854F59"/>
    <w:rsid w:val="00855104"/>
    <w:rsid w:val="0085533C"/>
    <w:rsid w:val="00855C0D"/>
    <w:rsid w:val="0085725E"/>
    <w:rsid w:val="00857DE7"/>
    <w:rsid w:val="00862012"/>
    <w:rsid w:val="008667C0"/>
    <w:rsid w:val="00866ACF"/>
    <w:rsid w:val="00866B4C"/>
    <w:rsid w:val="00871CD3"/>
    <w:rsid w:val="00872A7A"/>
    <w:rsid w:val="008735D2"/>
    <w:rsid w:val="00873D4F"/>
    <w:rsid w:val="00873DA4"/>
    <w:rsid w:val="0087509D"/>
    <w:rsid w:val="0087509F"/>
    <w:rsid w:val="00875411"/>
    <w:rsid w:val="00876777"/>
    <w:rsid w:val="00877B5F"/>
    <w:rsid w:val="00877CA1"/>
    <w:rsid w:val="0088011D"/>
    <w:rsid w:val="0088197E"/>
    <w:rsid w:val="00881A91"/>
    <w:rsid w:val="0088252E"/>
    <w:rsid w:val="00882CFE"/>
    <w:rsid w:val="00884105"/>
    <w:rsid w:val="008846A6"/>
    <w:rsid w:val="008848B3"/>
    <w:rsid w:val="008849FF"/>
    <w:rsid w:val="00885B09"/>
    <w:rsid w:val="00886B90"/>
    <w:rsid w:val="00886DCA"/>
    <w:rsid w:val="008870A8"/>
    <w:rsid w:val="00887217"/>
    <w:rsid w:val="0089132A"/>
    <w:rsid w:val="008913C3"/>
    <w:rsid w:val="00891A4D"/>
    <w:rsid w:val="00892400"/>
    <w:rsid w:val="00896183"/>
    <w:rsid w:val="008A03E1"/>
    <w:rsid w:val="008A1029"/>
    <w:rsid w:val="008A1D36"/>
    <w:rsid w:val="008A209D"/>
    <w:rsid w:val="008A22BB"/>
    <w:rsid w:val="008A5690"/>
    <w:rsid w:val="008A7FB1"/>
    <w:rsid w:val="008B035D"/>
    <w:rsid w:val="008B0A8B"/>
    <w:rsid w:val="008B0E29"/>
    <w:rsid w:val="008B0EFA"/>
    <w:rsid w:val="008B11C0"/>
    <w:rsid w:val="008B205A"/>
    <w:rsid w:val="008B30AB"/>
    <w:rsid w:val="008B3296"/>
    <w:rsid w:val="008B4203"/>
    <w:rsid w:val="008B49D9"/>
    <w:rsid w:val="008B4A12"/>
    <w:rsid w:val="008B597F"/>
    <w:rsid w:val="008B5A18"/>
    <w:rsid w:val="008B753E"/>
    <w:rsid w:val="008B796E"/>
    <w:rsid w:val="008B7E84"/>
    <w:rsid w:val="008C3BB8"/>
    <w:rsid w:val="008C46BF"/>
    <w:rsid w:val="008C4B65"/>
    <w:rsid w:val="008C588A"/>
    <w:rsid w:val="008C58CD"/>
    <w:rsid w:val="008C5D28"/>
    <w:rsid w:val="008C6083"/>
    <w:rsid w:val="008C621A"/>
    <w:rsid w:val="008C6FFA"/>
    <w:rsid w:val="008C77D9"/>
    <w:rsid w:val="008D0F77"/>
    <w:rsid w:val="008D36AA"/>
    <w:rsid w:val="008D42F8"/>
    <w:rsid w:val="008D4867"/>
    <w:rsid w:val="008D4D2D"/>
    <w:rsid w:val="008D5495"/>
    <w:rsid w:val="008E027E"/>
    <w:rsid w:val="008E3D08"/>
    <w:rsid w:val="008E546A"/>
    <w:rsid w:val="008E5F55"/>
    <w:rsid w:val="008E69D3"/>
    <w:rsid w:val="008F2619"/>
    <w:rsid w:val="008F4344"/>
    <w:rsid w:val="008F575B"/>
    <w:rsid w:val="008F5A35"/>
    <w:rsid w:val="009007BA"/>
    <w:rsid w:val="009009E7"/>
    <w:rsid w:val="009037BA"/>
    <w:rsid w:val="00905DEF"/>
    <w:rsid w:val="00906000"/>
    <w:rsid w:val="00906056"/>
    <w:rsid w:val="009109E2"/>
    <w:rsid w:val="009118C2"/>
    <w:rsid w:val="00911A62"/>
    <w:rsid w:val="009122AE"/>
    <w:rsid w:val="0091232F"/>
    <w:rsid w:val="0091333F"/>
    <w:rsid w:val="00913B43"/>
    <w:rsid w:val="00914B42"/>
    <w:rsid w:val="00915E41"/>
    <w:rsid w:val="0091642E"/>
    <w:rsid w:val="00916EFF"/>
    <w:rsid w:val="00921949"/>
    <w:rsid w:val="00922F39"/>
    <w:rsid w:val="00924015"/>
    <w:rsid w:val="00925C0D"/>
    <w:rsid w:val="00926675"/>
    <w:rsid w:val="00927213"/>
    <w:rsid w:val="0092769E"/>
    <w:rsid w:val="00930203"/>
    <w:rsid w:val="009311D2"/>
    <w:rsid w:val="009311E6"/>
    <w:rsid w:val="00931275"/>
    <w:rsid w:val="00934824"/>
    <w:rsid w:val="009369BF"/>
    <w:rsid w:val="00936AC7"/>
    <w:rsid w:val="00937177"/>
    <w:rsid w:val="00937B0A"/>
    <w:rsid w:val="00940B28"/>
    <w:rsid w:val="00941878"/>
    <w:rsid w:val="00945A51"/>
    <w:rsid w:val="00945B30"/>
    <w:rsid w:val="00945EE5"/>
    <w:rsid w:val="00947698"/>
    <w:rsid w:val="009509BC"/>
    <w:rsid w:val="0095117E"/>
    <w:rsid w:val="00953B64"/>
    <w:rsid w:val="009559C2"/>
    <w:rsid w:val="009566CB"/>
    <w:rsid w:val="009572C3"/>
    <w:rsid w:val="0095797B"/>
    <w:rsid w:val="0096200E"/>
    <w:rsid w:val="009627DF"/>
    <w:rsid w:val="00962B37"/>
    <w:rsid w:val="00963045"/>
    <w:rsid w:val="009644C9"/>
    <w:rsid w:val="009646A7"/>
    <w:rsid w:val="00966588"/>
    <w:rsid w:val="009707FD"/>
    <w:rsid w:val="00970A88"/>
    <w:rsid w:val="00971514"/>
    <w:rsid w:val="009719C8"/>
    <w:rsid w:val="0097237D"/>
    <w:rsid w:val="00972F16"/>
    <w:rsid w:val="00974838"/>
    <w:rsid w:val="00975C2C"/>
    <w:rsid w:val="0097688F"/>
    <w:rsid w:val="00977362"/>
    <w:rsid w:val="009777B5"/>
    <w:rsid w:val="009802D0"/>
    <w:rsid w:val="00980B61"/>
    <w:rsid w:val="009818A1"/>
    <w:rsid w:val="00983B05"/>
    <w:rsid w:val="00984A1F"/>
    <w:rsid w:val="0098570C"/>
    <w:rsid w:val="00985873"/>
    <w:rsid w:val="00991465"/>
    <w:rsid w:val="00993ACC"/>
    <w:rsid w:val="00996AC6"/>
    <w:rsid w:val="00997957"/>
    <w:rsid w:val="009A0C99"/>
    <w:rsid w:val="009A0D06"/>
    <w:rsid w:val="009A1674"/>
    <w:rsid w:val="009A169A"/>
    <w:rsid w:val="009A4D67"/>
    <w:rsid w:val="009A6BC6"/>
    <w:rsid w:val="009B0A23"/>
    <w:rsid w:val="009B0AD9"/>
    <w:rsid w:val="009B0ED4"/>
    <w:rsid w:val="009B2A9E"/>
    <w:rsid w:val="009B38BE"/>
    <w:rsid w:val="009B3FA2"/>
    <w:rsid w:val="009B4923"/>
    <w:rsid w:val="009B4DF2"/>
    <w:rsid w:val="009B56F8"/>
    <w:rsid w:val="009B702D"/>
    <w:rsid w:val="009B7DE5"/>
    <w:rsid w:val="009C05DD"/>
    <w:rsid w:val="009C2AD0"/>
    <w:rsid w:val="009C406D"/>
    <w:rsid w:val="009C618E"/>
    <w:rsid w:val="009C684F"/>
    <w:rsid w:val="009D042B"/>
    <w:rsid w:val="009D074C"/>
    <w:rsid w:val="009D1E90"/>
    <w:rsid w:val="009D286C"/>
    <w:rsid w:val="009D32AE"/>
    <w:rsid w:val="009D3B11"/>
    <w:rsid w:val="009D5608"/>
    <w:rsid w:val="009D6A7D"/>
    <w:rsid w:val="009D6E73"/>
    <w:rsid w:val="009E0435"/>
    <w:rsid w:val="009E233B"/>
    <w:rsid w:val="009E3343"/>
    <w:rsid w:val="009E44A6"/>
    <w:rsid w:val="009E5F89"/>
    <w:rsid w:val="009E6722"/>
    <w:rsid w:val="009F0687"/>
    <w:rsid w:val="009F0F33"/>
    <w:rsid w:val="009F18CE"/>
    <w:rsid w:val="009F1E13"/>
    <w:rsid w:val="009F1F1D"/>
    <w:rsid w:val="009F247B"/>
    <w:rsid w:val="009F2B4F"/>
    <w:rsid w:val="009F2B57"/>
    <w:rsid w:val="009F2DAA"/>
    <w:rsid w:val="009F2E90"/>
    <w:rsid w:val="009F333B"/>
    <w:rsid w:val="009F3C63"/>
    <w:rsid w:val="009F43E9"/>
    <w:rsid w:val="009F5154"/>
    <w:rsid w:val="009F5B4C"/>
    <w:rsid w:val="009F66B5"/>
    <w:rsid w:val="00A000AD"/>
    <w:rsid w:val="00A02F10"/>
    <w:rsid w:val="00A03E4D"/>
    <w:rsid w:val="00A040A0"/>
    <w:rsid w:val="00A07DAA"/>
    <w:rsid w:val="00A10F65"/>
    <w:rsid w:val="00A11122"/>
    <w:rsid w:val="00A141C1"/>
    <w:rsid w:val="00A16118"/>
    <w:rsid w:val="00A16221"/>
    <w:rsid w:val="00A17009"/>
    <w:rsid w:val="00A1705E"/>
    <w:rsid w:val="00A208C5"/>
    <w:rsid w:val="00A20A7D"/>
    <w:rsid w:val="00A2298C"/>
    <w:rsid w:val="00A24800"/>
    <w:rsid w:val="00A2598D"/>
    <w:rsid w:val="00A31092"/>
    <w:rsid w:val="00A31D21"/>
    <w:rsid w:val="00A33011"/>
    <w:rsid w:val="00A343E6"/>
    <w:rsid w:val="00A35D42"/>
    <w:rsid w:val="00A362A4"/>
    <w:rsid w:val="00A41894"/>
    <w:rsid w:val="00A41A09"/>
    <w:rsid w:val="00A4222C"/>
    <w:rsid w:val="00A42EA7"/>
    <w:rsid w:val="00A4350B"/>
    <w:rsid w:val="00A43558"/>
    <w:rsid w:val="00A44B2E"/>
    <w:rsid w:val="00A44E0D"/>
    <w:rsid w:val="00A46CCF"/>
    <w:rsid w:val="00A506DE"/>
    <w:rsid w:val="00A50DF1"/>
    <w:rsid w:val="00A5136D"/>
    <w:rsid w:val="00A513E5"/>
    <w:rsid w:val="00A531A1"/>
    <w:rsid w:val="00A53451"/>
    <w:rsid w:val="00A53784"/>
    <w:rsid w:val="00A53C36"/>
    <w:rsid w:val="00A56F33"/>
    <w:rsid w:val="00A574AF"/>
    <w:rsid w:val="00A57807"/>
    <w:rsid w:val="00A57867"/>
    <w:rsid w:val="00A60773"/>
    <w:rsid w:val="00A64AEE"/>
    <w:rsid w:val="00A65378"/>
    <w:rsid w:val="00A67608"/>
    <w:rsid w:val="00A70426"/>
    <w:rsid w:val="00A707CC"/>
    <w:rsid w:val="00A70814"/>
    <w:rsid w:val="00A71410"/>
    <w:rsid w:val="00A734CA"/>
    <w:rsid w:val="00A73E16"/>
    <w:rsid w:val="00A7449E"/>
    <w:rsid w:val="00A7451B"/>
    <w:rsid w:val="00A754A1"/>
    <w:rsid w:val="00A7601C"/>
    <w:rsid w:val="00A819AB"/>
    <w:rsid w:val="00A872D6"/>
    <w:rsid w:val="00A905A8"/>
    <w:rsid w:val="00A91490"/>
    <w:rsid w:val="00A91E9A"/>
    <w:rsid w:val="00A92EF1"/>
    <w:rsid w:val="00A93ED9"/>
    <w:rsid w:val="00A950F7"/>
    <w:rsid w:val="00A9517F"/>
    <w:rsid w:val="00A95730"/>
    <w:rsid w:val="00A95F03"/>
    <w:rsid w:val="00A96221"/>
    <w:rsid w:val="00A96533"/>
    <w:rsid w:val="00A96EE3"/>
    <w:rsid w:val="00A972E0"/>
    <w:rsid w:val="00A97842"/>
    <w:rsid w:val="00A97BEB"/>
    <w:rsid w:val="00AA0CD8"/>
    <w:rsid w:val="00AA22C7"/>
    <w:rsid w:val="00AA270B"/>
    <w:rsid w:val="00AA27D7"/>
    <w:rsid w:val="00AA3F6E"/>
    <w:rsid w:val="00AA42B0"/>
    <w:rsid w:val="00AA4F18"/>
    <w:rsid w:val="00AA5554"/>
    <w:rsid w:val="00AA61E4"/>
    <w:rsid w:val="00AB0B8D"/>
    <w:rsid w:val="00AB6571"/>
    <w:rsid w:val="00AB678F"/>
    <w:rsid w:val="00AB6DD0"/>
    <w:rsid w:val="00AB70AD"/>
    <w:rsid w:val="00AC1906"/>
    <w:rsid w:val="00AC1A3B"/>
    <w:rsid w:val="00AC2DBB"/>
    <w:rsid w:val="00AC419D"/>
    <w:rsid w:val="00AC4348"/>
    <w:rsid w:val="00AC5507"/>
    <w:rsid w:val="00AC6A99"/>
    <w:rsid w:val="00AD2748"/>
    <w:rsid w:val="00AD29E8"/>
    <w:rsid w:val="00AD2E42"/>
    <w:rsid w:val="00AD2F14"/>
    <w:rsid w:val="00AD3D80"/>
    <w:rsid w:val="00AD5393"/>
    <w:rsid w:val="00AD6048"/>
    <w:rsid w:val="00AD770F"/>
    <w:rsid w:val="00AE0596"/>
    <w:rsid w:val="00AE122D"/>
    <w:rsid w:val="00AE4258"/>
    <w:rsid w:val="00AE5CDE"/>
    <w:rsid w:val="00AF4170"/>
    <w:rsid w:val="00AF79B9"/>
    <w:rsid w:val="00B03190"/>
    <w:rsid w:val="00B03E80"/>
    <w:rsid w:val="00B055EF"/>
    <w:rsid w:val="00B05A98"/>
    <w:rsid w:val="00B05CB8"/>
    <w:rsid w:val="00B05D13"/>
    <w:rsid w:val="00B0617A"/>
    <w:rsid w:val="00B06B5B"/>
    <w:rsid w:val="00B112AF"/>
    <w:rsid w:val="00B12521"/>
    <w:rsid w:val="00B13E53"/>
    <w:rsid w:val="00B14EF9"/>
    <w:rsid w:val="00B16154"/>
    <w:rsid w:val="00B17FE7"/>
    <w:rsid w:val="00B20D3F"/>
    <w:rsid w:val="00B214C0"/>
    <w:rsid w:val="00B21B17"/>
    <w:rsid w:val="00B23125"/>
    <w:rsid w:val="00B232BF"/>
    <w:rsid w:val="00B23769"/>
    <w:rsid w:val="00B24CA2"/>
    <w:rsid w:val="00B25150"/>
    <w:rsid w:val="00B27521"/>
    <w:rsid w:val="00B27E26"/>
    <w:rsid w:val="00B31CCE"/>
    <w:rsid w:val="00B343E9"/>
    <w:rsid w:val="00B34537"/>
    <w:rsid w:val="00B352BA"/>
    <w:rsid w:val="00B357A9"/>
    <w:rsid w:val="00B35AD5"/>
    <w:rsid w:val="00B35E0E"/>
    <w:rsid w:val="00B3730F"/>
    <w:rsid w:val="00B411E4"/>
    <w:rsid w:val="00B41789"/>
    <w:rsid w:val="00B4490A"/>
    <w:rsid w:val="00B45921"/>
    <w:rsid w:val="00B45BB5"/>
    <w:rsid w:val="00B475E6"/>
    <w:rsid w:val="00B506B8"/>
    <w:rsid w:val="00B50AE0"/>
    <w:rsid w:val="00B5229B"/>
    <w:rsid w:val="00B53E58"/>
    <w:rsid w:val="00B55503"/>
    <w:rsid w:val="00B57ED0"/>
    <w:rsid w:val="00B60FD6"/>
    <w:rsid w:val="00B61D07"/>
    <w:rsid w:val="00B621AA"/>
    <w:rsid w:val="00B64623"/>
    <w:rsid w:val="00B65A08"/>
    <w:rsid w:val="00B65CA7"/>
    <w:rsid w:val="00B67BC6"/>
    <w:rsid w:val="00B70346"/>
    <w:rsid w:val="00B710EB"/>
    <w:rsid w:val="00B71BB2"/>
    <w:rsid w:val="00B71F2D"/>
    <w:rsid w:val="00B71F4A"/>
    <w:rsid w:val="00B72C99"/>
    <w:rsid w:val="00B75604"/>
    <w:rsid w:val="00B7781F"/>
    <w:rsid w:val="00B8001F"/>
    <w:rsid w:val="00B81808"/>
    <w:rsid w:val="00B819A2"/>
    <w:rsid w:val="00B85E0F"/>
    <w:rsid w:val="00B86DFA"/>
    <w:rsid w:val="00B908D5"/>
    <w:rsid w:val="00B936D0"/>
    <w:rsid w:val="00B93B2D"/>
    <w:rsid w:val="00BA08A8"/>
    <w:rsid w:val="00BA10D6"/>
    <w:rsid w:val="00BA19A4"/>
    <w:rsid w:val="00BA1E98"/>
    <w:rsid w:val="00BA386C"/>
    <w:rsid w:val="00BA48C7"/>
    <w:rsid w:val="00BA5D70"/>
    <w:rsid w:val="00BA70F8"/>
    <w:rsid w:val="00BB1061"/>
    <w:rsid w:val="00BB15FB"/>
    <w:rsid w:val="00BB2C11"/>
    <w:rsid w:val="00BB2CEE"/>
    <w:rsid w:val="00BC05BB"/>
    <w:rsid w:val="00BC07F0"/>
    <w:rsid w:val="00BC2727"/>
    <w:rsid w:val="00BC37F4"/>
    <w:rsid w:val="00BC46EE"/>
    <w:rsid w:val="00BC4CF2"/>
    <w:rsid w:val="00BC533A"/>
    <w:rsid w:val="00BC5AF2"/>
    <w:rsid w:val="00BC6F39"/>
    <w:rsid w:val="00BC7834"/>
    <w:rsid w:val="00BC7B5A"/>
    <w:rsid w:val="00BD057F"/>
    <w:rsid w:val="00BD0B8C"/>
    <w:rsid w:val="00BD1530"/>
    <w:rsid w:val="00BD225C"/>
    <w:rsid w:val="00BD28AE"/>
    <w:rsid w:val="00BD32D9"/>
    <w:rsid w:val="00BD3D5B"/>
    <w:rsid w:val="00BD4115"/>
    <w:rsid w:val="00BD5DE2"/>
    <w:rsid w:val="00BD7D32"/>
    <w:rsid w:val="00BE0ADD"/>
    <w:rsid w:val="00BE0EE7"/>
    <w:rsid w:val="00BE3600"/>
    <w:rsid w:val="00BE51CD"/>
    <w:rsid w:val="00BE64F9"/>
    <w:rsid w:val="00BE770E"/>
    <w:rsid w:val="00BF0E24"/>
    <w:rsid w:val="00BF11DC"/>
    <w:rsid w:val="00BF3011"/>
    <w:rsid w:val="00BF3423"/>
    <w:rsid w:val="00BF4E23"/>
    <w:rsid w:val="00BF51D7"/>
    <w:rsid w:val="00BF63FF"/>
    <w:rsid w:val="00C01F6F"/>
    <w:rsid w:val="00C02AEB"/>
    <w:rsid w:val="00C02FD5"/>
    <w:rsid w:val="00C041EA"/>
    <w:rsid w:val="00C042D8"/>
    <w:rsid w:val="00C063C5"/>
    <w:rsid w:val="00C06A3A"/>
    <w:rsid w:val="00C06BDC"/>
    <w:rsid w:val="00C07FB5"/>
    <w:rsid w:val="00C132A1"/>
    <w:rsid w:val="00C13BBD"/>
    <w:rsid w:val="00C149AB"/>
    <w:rsid w:val="00C1569E"/>
    <w:rsid w:val="00C15A54"/>
    <w:rsid w:val="00C15C69"/>
    <w:rsid w:val="00C16929"/>
    <w:rsid w:val="00C172A3"/>
    <w:rsid w:val="00C17583"/>
    <w:rsid w:val="00C20351"/>
    <w:rsid w:val="00C20690"/>
    <w:rsid w:val="00C206CE"/>
    <w:rsid w:val="00C20E86"/>
    <w:rsid w:val="00C21157"/>
    <w:rsid w:val="00C21D50"/>
    <w:rsid w:val="00C21E0B"/>
    <w:rsid w:val="00C23FC2"/>
    <w:rsid w:val="00C2471F"/>
    <w:rsid w:val="00C249AC"/>
    <w:rsid w:val="00C255F6"/>
    <w:rsid w:val="00C320F0"/>
    <w:rsid w:val="00C32AF4"/>
    <w:rsid w:val="00C32EC6"/>
    <w:rsid w:val="00C3394A"/>
    <w:rsid w:val="00C34CD2"/>
    <w:rsid w:val="00C36020"/>
    <w:rsid w:val="00C37443"/>
    <w:rsid w:val="00C40694"/>
    <w:rsid w:val="00C408E2"/>
    <w:rsid w:val="00C41014"/>
    <w:rsid w:val="00C42BD9"/>
    <w:rsid w:val="00C42E29"/>
    <w:rsid w:val="00C43A15"/>
    <w:rsid w:val="00C43A7A"/>
    <w:rsid w:val="00C443D0"/>
    <w:rsid w:val="00C479BF"/>
    <w:rsid w:val="00C5124B"/>
    <w:rsid w:val="00C52AE3"/>
    <w:rsid w:val="00C5378D"/>
    <w:rsid w:val="00C54DBB"/>
    <w:rsid w:val="00C56586"/>
    <w:rsid w:val="00C57B5F"/>
    <w:rsid w:val="00C6246C"/>
    <w:rsid w:val="00C62DCD"/>
    <w:rsid w:val="00C631BF"/>
    <w:rsid w:val="00C63C14"/>
    <w:rsid w:val="00C6474D"/>
    <w:rsid w:val="00C65637"/>
    <w:rsid w:val="00C65D31"/>
    <w:rsid w:val="00C70542"/>
    <w:rsid w:val="00C719C1"/>
    <w:rsid w:val="00C724FC"/>
    <w:rsid w:val="00C7265D"/>
    <w:rsid w:val="00C7438E"/>
    <w:rsid w:val="00C75CBF"/>
    <w:rsid w:val="00C76BD3"/>
    <w:rsid w:val="00C77883"/>
    <w:rsid w:val="00C841CF"/>
    <w:rsid w:val="00C872E1"/>
    <w:rsid w:val="00C90397"/>
    <w:rsid w:val="00C9180A"/>
    <w:rsid w:val="00C91B59"/>
    <w:rsid w:val="00C939E8"/>
    <w:rsid w:val="00C9428A"/>
    <w:rsid w:val="00C9713E"/>
    <w:rsid w:val="00CA04B1"/>
    <w:rsid w:val="00CA324C"/>
    <w:rsid w:val="00CA368E"/>
    <w:rsid w:val="00CA5FF3"/>
    <w:rsid w:val="00CA688C"/>
    <w:rsid w:val="00CB041D"/>
    <w:rsid w:val="00CB0D77"/>
    <w:rsid w:val="00CB10B3"/>
    <w:rsid w:val="00CB1963"/>
    <w:rsid w:val="00CB19B5"/>
    <w:rsid w:val="00CB2D1A"/>
    <w:rsid w:val="00CB31A2"/>
    <w:rsid w:val="00CB53DE"/>
    <w:rsid w:val="00CB6C75"/>
    <w:rsid w:val="00CB7741"/>
    <w:rsid w:val="00CC0397"/>
    <w:rsid w:val="00CC2632"/>
    <w:rsid w:val="00CC2894"/>
    <w:rsid w:val="00CD1AA2"/>
    <w:rsid w:val="00CD32DC"/>
    <w:rsid w:val="00CD34B5"/>
    <w:rsid w:val="00CD4D99"/>
    <w:rsid w:val="00CD4FC9"/>
    <w:rsid w:val="00CD7685"/>
    <w:rsid w:val="00CD77C3"/>
    <w:rsid w:val="00CD7C95"/>
    <w:rsid w:val="00CE0189"/>
    <w:rsid w:val="00CE112C"/>
    <w:rsid w:val="00CE2AE6"/>
    <w:rsid w:val="00CE397C"/>
    <w:rsid w:val="00CE477F"/>
    <w:rsid w:val="00CE5AD5"/>
    <w:rsid w:val="00CE6334"/>
    <w:rsid w:val="00CE784B"/>
    <w:rsid w:val="00CF1E78"/>
    <w:rsid w:val="00CF3906"/>
    <w:rsid w:val="00CF4E0B"/>
    <w:rsid w:val="00CF5323"/>
    <w:rsid w:val="00CF55D4"/>
    <w:rsid w:val="00CF641F"/>
    <w:rsid w:val="00CF7D9F"/>
    <w:rsid w:val="00D00853"/>
    <w:rsid w:val="00D01C22"/>
    <w:rsid w:val="00D068D2"/>
    <w:rsid w:val="00D0755A"/>
    <w:rsid w:val="00D10347"/>
    <w:rsid w:val="00D10790"/>
    <w:rsid w:val="00D12E02"/>
    <w:rsid w:val="00D13E35"/>
    <w:rsid w:val="00D14A60"/>
    <w:rsid w:val="00D1508A"/>
    <w:rsid w:val="00D15659"/>
    <w:rsid w:val="00D15BA1"/>
    <w:rsid w:val="00D1702B"/>
    <w:rsid w:val="00D17046"/>
    <w:rsid w:val="00D17540"/>
    <w:rsid w:val="00D17DB0"/>
    <w:rsid w:val="00D2031E"/>
    <w:rsid w:val="00D2062C"/>
    <w:rsid w:val="00D2474C"/>
    <w:rsid w:val="00D25D4E"/>
    <w:rsid w:val="00D26A02"/>
    <w:rsid w:val="00D30626"/>
    <w:rsid w:val="00D3098F"/>
    <w:rsid w:val="00D3186C"/>
    <w:rsid w:val="00D31A21"/>
    <w:rsid w:val="00D3283D"/>
    <w:rsid w:val="00D32A71"/>
    <w:rsid w:val="00D32C03"/>
    <w:rsid w:val="00D34EF3"/>
    <w:rsid w:val="00D35DFF"/>
    <w:rsid w:val="00D36540"/>
    <w:rsid w:val="00D37328"/>
    <w:rsid w:val="00D375B6"/>
    <w:rsid w:val="00D376DB"/>
    <w:rsid w:val="00D41F9A"/>
    <w:rsid w:val="00D42637"/>
    <w:rsid w:val="00D44347"/>
    <w:rsid w:val="00D445CE"/>
    <w:rsid w:val="00D4495E"/>
    <w:rsid w:val="00D50287"/>
    <w:rsid w:val="00D514CF"/>
    <w:rsid w:val="00D533F9"/>
    <w:rsid w:val="00D53683"/>
    <w:rsid w:val="00D544F9"/>
    <w:rsid w:val="00D5547F"/>
    <w:rsid w:val="00D56AC8"/>
    <w:rsid w:val="00D56E27"/>
    <w:rsid w:val="00D608DA"/>
    <w:rsid w:val="00D60BE4"/>
    <w:rsid w:val="00D61FF7"/>
    <w:rsid w:val="00D64582"/>
    <w:rsid w:val="00D65074"/>
    <w:rsid w:val="00D653C8"/>
    <w:rsid w:val="00D6544D"/>
    <w:rsid w:val="00D654CB"/>
    <w:rsid w:val="00D66583"/>
    <w:rsid w:val="00D67E04"/>
    <w:rsid w:val="00D67F3E"/>
    <w:rsid w:val="00D709CB"/>
    <w:rsid w:val="00D70EB9"/>
    <w:rsid w:val="00D72CAD"/>
    <w:rsid w:val="00D730BF"/>
    <w:rsid w:val="00D740CE"/>
    <w:rsid w:val="00D743E9"/>
    <w:rsid w:val="00D74B0C"/>
    <w:rsid w:val="00D76138"/>
    <w:rsid w:val="00D7639A"/>
    <w:rsid w:val="00D76620"/>
    <w:rsid w:val="00D76CC1"/>
    <w:rsid w:val="00D7717B"/>
    <w:rsid w:val="00D778FA"/>
    <w:rsid w:val="00D81E98"/>
    <w:rsid w:val="00D822BC"/>
    <w:rsid w:val="00D82DED"/>
    <w:rsid w:val="00D83921"/>
    <w:rsid w:val="00D852F4"/>
    <w:rsid w:val="00D86C9A"/>
    <w:rsid w:val="00D92AFA"/>
    <w:rsid w:val="00D9397E"/>
    <w:rsid w:val="00D9407B"/>
    <w:rsid w:val="00D97143"/>
    <w:rsid w:val="00D974DC"/>
    <w:rsid w:val="00DA10C0"/>
    <w:rsid w:val="00DA1BDA"/>
    <w:rsid w:val="00DA2697"/>
    <w:rsid w:val="00DA3184"/>
    <w:rsid w:val="00DA4033"/>
    <w:rsid w:val="00DA67D6"/>
    <w:rsid w:val="00DA7D8C"/>
    <w:rsid w:val="00DB1110"/>
    <w:rsid w:val="00DB2C51"/>
    <w:rsid w:val="00DB3730"/>
    <w:rsid w:val="00DB39B7"/>
    <w:rsid w:val="00DB43ED"/>
    <w:rsid w:val="00DB4B45"/>
    <w:rsid w:val="00DB6E61"/>
    <w:rsid w:val="00DB72EA"/>
    <w:rsid w:val="00DC117B"/>
    <w:rsid w:val="00DC1782"/>
    <w:rsid w:val="00DC371B"/>
    <w:rsid w:val="00DC3788"/>
    <w:rsid w:val="00DC3B36"/>
    <w:rsid w:val="00DC410C"/>
    <w:rsid w:val="00DC5641"/>
    <w:rsid w:val="00DC76C7"/>
    <w:rsid w:val="00DD0331"/>
    <w:rsid w:val="00DD09F5"/>
    <w:rsid w:val="00DD0E02"/>
    <w:rsid w:val="00DD0E91"/>
    <w:rsid w:val="00DD0F24"/>
    <w:rsid w:val="00DD20D5"/>
    <w:rsid w:val="00DD24B2"/>
    <w:rsid w:val="00DD3C78"/>
    <w:rsid w:val="00DD4201"/>
    <w:rsid w:val="00DD59F6"/>
    <w:rsid w:val="00DD5E9F"/>
    <w:rsid w:val="00DD63E6"/>
    <w:rsid w:val="00DD6D26"/>
    <w:rsid w:val="00DD7D19"/>
    <w:rsid w:val="00DE20D9"/>
    <w:rsid w:val="00DE2304"/>
    <w:rsid w:val="00DE297B"/>
    <w:rsid w:val="00DE308C"/>
    <w:rsid w:val="00DE3700"/>
    <w:rsid w:val="00DE3864"/>
    <w:rsid w:val="00DE3B52"/>
    <w:rsid w:val="00DE3FBB"/>
    <w:rsid w:val="00DE3FCC"/>
    <w:rsid w:val="00DE5474"/>
    <w:rsid w:val="00DE5711"/>
    <w:rsid w:val="00DE5C75"/>
    <w:rsid w:val="00DE67F0"/>
    <w:rsid w:val="00DF096C"/>
    <w:rsid w:val="00DF14C5"/>
    <w:rsid w:val="00DF3222"/>
    <w:rsid w:val="00DF3283"/>
    <w:rsid w:val="00DF4ABA"/>
    <w:rsid w:val="00DF4CFF"/>
    <w:rsid w:val="00DF549E"/>
    <w:rsid w:val="00DF5E42"/>
    <w:rsid w:val="00DF70A5"/>
    <w:rsid w:val="00DF74D4"/>
    <w:rsid w:val="00DF7F9F"/>
    <w:rsid w:val="00E005B3"/>
    <w:rsid w:val="00E00B8D"/>
    <w:rsid w:val="00E00EA0"/>
    <w:rsid w:val="00E021CB"/>
    <w:rsid w:val="00E03602"/>
    <w:rsid w:val="00E03B87"/>
    <w:rsid w:val="00E03C42"/>
    <w:rsid w:val="00E06B93"/>
    <w:rsid w:val="00E071C4"/>
    <w:rsid w:val="00E07B96"/>
    <w:rsid w:val="00E101D5"/>
    <w:rsid w:val="00E10D5C"/>
    <w:rsid w:val="00E118F7"/>
    <w:rsid w:val="00E1272B"/>
    <w:rsid w:val="00E138F1"/>
    <w:rsid w:val="00E14EBA"/>
    <w:rsid w:val="00E15A1C"/>
    <w:rsid w:val="00E1660E"/>
    <w:rsid w:val="00E16CE4"/>
    <w:rsid w:val="00E17604"/>
    <w:rsid w:val="00E211A7"/>
    <w:rsid w:val="00E21FC4"/>
    <w:rsid w:val="00E2309D"/>
    <w:rsid w:val="00E232B0"/>
    <w:rsid w:val="00E2391E"/>
    <w:rsid w:val="00E2401F"/>
    <w:rsid w:val="00E24404"/>
    <w:rsid w:val="00E25302"/>
    <w:rsid w:val="00E25C8D"/>
    <w:rsid w:val="00E26758"/>
    <w:rsid w:val="00E31F77"/>
    <w:rsid w:val="00E32050"/>
    <w:rsid w:val="00E350B6"/>
    <w:rsid w:val="00E3522E"/>
    <w:rsid w:val="00E36B5F"/>
    <w:rsid w:val="00E37358"/>
    <w:rsid w:val="00E41BFB"/>
    <w:rsid w:val="00E4223A"/>
    <w:rsid w:val="00E4357B"/>
    <w:rsid w:val="00E43B29"/>
    <w:rsid w:val="00E443A7"/>
    <w:rsid w:val="00E45904"/>
    <w:rsid w:val="00E463F8"/>
    <w:rsid w:val="00E54827"/>
    <w:rsid w:val="00E55ECD"/>
    <w:rsid w:val="00E5672C"/>
    <w:rsid w:val="00E6074D"/>
    <w:rsid w:val="00E61121"/>
    <w:rsid w:val="00E631BE"/>
    <w:rsid w:val="00E635D3"/>
    <w:rsid w:val="00E63DE5"/>
    <w:rsid w:val="00E645CF"/>
    <w:rsid w:val="00E647AF"/>
    <w:rsid w:val="00E647C7"/>
    <w:rsid w:val="00E654E1"/>
    <w:rsid w:val="00E65A37"/>
    <w:rsid w:val="00E65C00"/>
    <w:rsid w:val="00E65EF7"/>
    <w:rsid w:val="00E66EA2"/>
    <w:rsid w:val="00E71027"/>
    <w:rsid w:val="00E712F0"/>
    <w:rsid w:val="00E71F09"/>
    <w:rsid w:val="00E74A03"/>
    <w:rsid w:val="00E76D23"/>
    <w:rsid w:val="00E777D5"/>
    <w:rsid w:val="00E77A43"/>
    <w:rsid w:val="00E77B48"/>
    <w:rsid w:val="00E805D5"/>
    <w:rsid w:val="00E831CA"/>
    <w:rsid w:val="00E834EE"/>
    <w:rsid w:val="00E83580"/>
    <w:rsid w:val="00E857FB"/>
    <w:rsid w:val="00E87A4E"/>
    <w:rsid w:val="00E91799"/>
    <w:rsid w:val="00E91A10"/>
    <w:rsid w:val="00E93001"/>
    <w:rsid w:val="00E94010"/>
    <w:rsid w:val="00E941CF"/>
    <w:rsid w:val="00E9440E"/>
    <w:rsid w:val="00E96430"/>
    <w:rsid w:val="00E9707A"/>
    <w:rsid w:val="00E97BAC"/>
    <w:rsid w:val="00E97D92"/>
    <w:rsid w:val="00E97DF8"/>
    <w:rsid w:val="00EA037F"/>
    <w:rsid w:val="00EA0580"/>
    <w:rsid w:val="00EA07DF"/>
    <w:rsid w:val="00EA1B46"/>
    <w:rsid w:val="00EA1C3B"/>
    <w:rsid w:val="00EA21FE"/>
    <w:rsid w:val="00EA34E3"/>
    <w:rsid w:val="00EA3D98"/>
    <w:rsid w:val="00EA777F"/>
    <w:rsid w:val="00EA7783"/>
    <w:rsid w:val="00EB0BAC"/>
    <w:rsid w:val="00EB1D12"/>
    <w:rsid w:val="00EB203E"/>
    <w:rsid w:val="00EB3831"/>
    <w:rsid w:val="00EB45C6"/>
    <w:rsid w:val="00EB5241"/>
    <w:rsid w:val="00EB5409"/>
    <w:rsid w:val="00EB6A04"/>
    <w:rsid w:val="00EB6CE6"/>
    <w:rsid w:val="00EB6EEC"/>
    <w:rsid w:val="00EB7538"/>
    <w:rsid w:val="00EC04A7"/>
    <w:rsid w:val="00EC1868"/>
    <w:rsid w:val="00EC5DCC"/>
    <w:rsid w:val="00EC798D"/>
    <w:rsid w:val="00EC7E29"/>
    <w:rsid w:val="00ED02B4"/>
    <w:rsid w:val="00ED0E62"/>
    <w:rsid w:val="00ED1C22"/>
    <w:rsid w:val="00ED4735"/>
    <w:rsid w:val="00ED5B12"/>
    <w:rsid w:val="00EE1FA2"/>
    <w:rsid w:val="00EE4377"/>
    <w:rsid w:val="00EE44BA"/>
    <w:rsid w:val="00EE6468"/>
    <w:rsid w:val="00EE6E6F"/>
    <w:rsid w:val="00EE72FE"/>
    <w:rsid w:val="00EF0273"/>
    <w:rsid w:val="00EF25B9"/>
    <w:rsid w:val="00EF300F"/>
    <w:rsid w:val="00EF302F"/>
    <w:rsid w:val="00EF32D8"/>
    <w:rsid w:val="00EF32DF"/>
    <w:rsid w:val="00EF402D"/>
    <w:rsid w:val="00EF4BBC"/>
    <w:rsid w:val="00F00F3F"/>
    <w:rsid w:val="00F015C3"/>
    <w:rsid w:val="00F01969"/>
    <w:rsid w:val="00F01F60"/>
    <w:rsid w:val="00F0273E"/>
    <w:rsid w:val="00F03039"/>
    <w:rsid w:val="00F04D65"/>
    <w:rsid w:val="00F05673"/>
    <w:rsid w:val="00F05A07"/>
    <w:rsid w:val="00F102B7"/>
    <w:rsid w:val="00F10848"/>
    <w:rsid w:val="00F12165"/>
    <w:rsid w:val="00F1299B"/>
    <w:rsid w:val="00F16481"/>
    <w:rsid w:val="00F16AA6"/>
    <w:rsid w:val="00F207A4"/>
    <w:rsid w:val="00F22390"/>
    <w:rsid w:val="00F22976"/>
    <w:rsid w:val="00F25173"/>
    <w:rsid w:val="00F251F6"/>
    <w:rsid w:val="00F2650E"/>
    <w:rsid w:val="00F31435"/>
    <w:rsid w:val="00F31612"/>
    <w:rsid w:val="00F3246A"/>
    <w:rsid w:val="00F33697"/>
    <w:rsid w:val="00F338D9"/>
    <w:rsid w:val="00F340D7"/>
    <w:rsid w:val="00F355AC"/>
    <w:rsid w:val="00F365AE"/>
    <w:rsid w:val="00F36B44"/>
    <w:rsid w:val="00F373C8"/>
    <w:rsid w:val="00F39BF9"/>
    <w:rsid w:val="00F40CF7"/>
    <w:rsid w:val="00F41B2F"/>
    <w:rsid w:val="00F420B7"/>
    <w:rsid w:val="00F42224"/>
    <w:rsid w:val="00F42A39"/>
    <w:rsid w:val="00F42A6C"/>
    <w:rsid w:val="00F430DE"/>
    <w:rsid w:val="00F43B06"/>
    <w:rsid w:val="00F44194"/>
    <w:rsid w:val="00F45B11"/>
    <w:rsid w:val="00F501F1"/>
    <w:rsid w:val="00F53445"/>
    <w:rsid w:val="00F544F0"/>
    <w:rsid w:val="00F56D55"/>
    <w:rsid w:val="00F576BF"/>
    <w:rsid w:val="00F57911"/>
    <w:rsid w:val="00F60C57"/>
    <w:rsid w:val="00F61333"/>
    <w:rsid w:val="00F62BC8"/>
    <w:rsid w:val="00F631EF"/>
    <w:rsid w:val="00F635CB"/>
    <w:rsid w:val="00F63DB7"/>
    <w:rsid w:val="00F64C4A"/>
    <w:rsid w:val="00F66660"/>
    <w:rsid w:val="00F66F05"/>
    <w:rsid w:val="00F705A2"/>
    <w:rsid w:val="00F70985"/>
    <w:rsid w:val="00F70AA4"/>
    <w:rsid w:val="00F71A5A"/>
    <w:rsid w:val="00F71AD9"/>
    <w:rsid w:val="00F72404"/>
    <w:rsid w:val="00F72862"/>
    <w:rsid w:val="00F73A1A"/>
    <w:rsid w:val="00F75945"/>
    <w:rsid w:val="00F769E0"/>
    <w:rsid w:val="00F76C58"/>
    <w:rsid w:val="00F777FF"/>
    <w:rsid w:val="00F77BDD"/>
    <w:rsid w:val="00F822B1"/>
    <w:rsid w:val="00F85318"/>
    <w:rsid w:val="00F85D52"/>
    <w:rsid w:val="00F9090D"/>
    <w:rsid w:val="00F909D8"/>
    <w:rsid w:val="00F91EB8"/>
    <w:rsid w:val="00F94076"/>
    <w:rsid w:val="00F95191"/>
    <w:rsid w:val="00F95C9D"/>
    <w:rsid w:val="00FA03B4"/>
    <w:rsid w:val="00FA14C4"/>
    <w:rsid w:val="00FA15A0"/>
    <w:rsid w:val="00FA1CA9"/>
    <w:rsid w:val="00FA3CB6"/>
    <w:rsid w:val="00FA4A46"/>
    <w:rsid w:val="00FA69C0"/>
    <w:rsid w:val="00FA75FE"/>
    <w:rsid w:val="00FA7662"/>
    <w:rsid w:val="00FB021A"/>
    <w:rsid w:val="00FB0BDE"/>
    <w:rsid w:val="00FB1032"/>
    <w:rsid w:val="00FB1235"/>
    <w:rsid w:val="00FB1341"/>
    <w:rsid w:val="00FB39BC"/>
    <w:rsid w:val="00FB63A1"/>
    <w:rsid w:val="00FB6A53"/>
    <w:rsid w:val="00FB7C0D"/>
    <w:rsid w:val="00FC056B"/>
    <w:rsid w:val="00FC11CA"/>
    <w:rsid w:val="00FC170F"/>
    <w:rsid w:val="00FC1FFC"/>
    <w:rsid w:val="00FC233F"/>
    <w:rsid w:val="00FC6BDE"/>
    <w:rsid w:val="00FC74A0"/>
    <w:rsid w:val="00FC7BAB"/>
    <w:rsid w:val="00FD147A"/>
    <w:rsid w:val="00FD22C5"/>
    <w:rsid w:val="00FD26F0"/>
    <w:rsid w:val="00FD4CA2"/>
    <w:rsid w:val="00FD58E0"/>
    <w:rsid w:val="00FE2F61"/>
    <w:rsid w:val="00FE4111"/>
    <w:rsid w:val="00FE4BCA"/>
    <w:rsid w:val="00FE6427"/>
    <w:rsid w:val="00FF05ED"/>
    <w:rsid w:val="00FF109D"/>
    <w:rsid w:val="00FF58B5"/>
    <w:rsid w:val="00FF5D8D"/>
    <w:rsid w:val="00FF6138"/>
    <w:rsid w:val="00FF74CA"/>
    <w:rsid w:val="00FF7948"/>
    <w:rsid w:val="01C678D1"/>
    <w:rsid w:val="02639ADB"/>
    <w:rsid w:val="0302B537"/>
    <w:rsid w:val="03849D02"/>
    <w:rsid w:val="045EBBFC"/>
    <w:rsid w:val="0541A66B"/>
    <w:rsid w:val="0B6D19C1"/>
    <w:rsid w:val="0FA5B966"/>
    <w:rsid w:val="158E8A36"/>
    <w:rsid w:val="17854529"/>
    <w:rsid w:val="17A3064D"/>
    <w:rsid w:val="1ACEAA3A"/>
    <w:rsid w:val="1AE21AB8"/>
    <w:rsid w:val="1E5CC129"/>
    <w:rsid w:val="2030CE98"/>
    <w:rsid w:val="206586CF"/>
    <w:rsid w:val="21CC9EF9"/>
    <w:rsid w:val="21DBAEC1"/>
    <w:rsid w:val="22B9A356"/>
    <w:rsid w:val="24FCFEC3"/>
    <w:rsid w:val="26158AB3"/>
    <w:rsid w:val="2C450C5A"/>
    <w:rsid w:val="2CE471A6"/>
    <w:rsid w:val="2EDB6F83"/>
    <w:rsid w:val="313E3E06"/>
    <w:rsid w:val="32987F33"/>
    <w:rsid w:val="36EA31A4"/>
    <w:rsid w:val="3952F024"/>
    <w:rsid w:val="39C32B8E"/>
    <w:rsid w:val="3BC71414"/>
    <w:rsid w:val="3C52B7F2"/>
    <w:rsid w:val="3EF633DC"/>
    <w:rsid w:val="404041E3"/>
    <w:rsid w:val="41BFD921"/>
    <w:rsid w:val="43DABA21"/>
    <w:rsid w:val="459AE3B6"/>
    <w:rsid w:val="478AD6F4"/>
    <w:rsid w:val="4825F794"/>
    <w:rsid w:val="48A8BC99"/>
    <w:rsid w:val="49E81E73"/>
    <w:rsid w:val="4A2D91F5"/>
    <w:rsid w:val="4B94615C"/>
    <w:rsid w:val="506FE714"/>
    <w:rsid w:val="524BBA79"/>
    <w:rsid w:val="5539EFB9"/>
    <w:rsid w:val="56E3F2F9"/>
    <w:rsid w:val="56E77580"/>
    <w:rsid w:val="57ABDB39"/>
    <w:rsid w:val="5970B01C"/>
    <w:rsid w:val="5CE70370"/>
    <w:rsid w:val="5D49C855"/>
    <w:rsid w:val="5D712D6C"/>
    <w:rsid w:val="5E5B3201"/>
    <w:rsid w:val="61DE357C"/>
    <w:rsid w:val="6290C793"/>
    <w:rsid w:val="64CCEB23"/>
    <w:rsid w:val="6568F8A1"/>
    <w:rsid w:val="699FEE55"/>
    <w:rsid w:val="6C2D59E4"/>
    <w:rsid w:val="6C99E595"/>
    <w:rsid w:val="6D216CD6"/>
    <w:rsid w:val="700AAF71"/>
    <w:rsid w:val="7047FE88"/>
    <w:rsid w:val="70870CAE"/>
    <w:rsid w:val="73D105C6"/>
    <w:rsid w:val="746B7199"/>
    <w:rsid w:val="74EFB88A"/>
    <w:rsid w:val="75690251"/>
    <w:rsid w:val="75F8FF7D"/>
    <w:rsid w:val="787A785A"/>
    <w:rsid w:val="7B4061ED"/>
    <w:rsid w:val="7CEFD64A"/>
    <w:rsid w:val="7DE3FC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74096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Body Text"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0FF3"/>
    <w:rPr>
      <w:sz w:val="24"/>
      <w:szCs w:val="24"/>
    </w:rPr>
  </w:style>
  <w:style w:type="paragraph" w:styleId="Heading1">
    <w:name w:val="heading 1"/>
    <w:basedOn w:val="Normal"/>
    <w:next w:val="Normal"/>
    <w:link w:val="Heading1Char"/>
    <w:qFormat/>
    <w:rsid w:val="00C62DCD"/>
    <w:pPr>
      <w:keepNext/>
      <w:keepLines/>
      <w:widowControl w:val="0"/>
      <w:spacing w:before="240" w:line="276" w:lineRule="auto"/>
      <w:outlineLvl w:val="0"/>
    </w:pPr>
    <w:rPr>
      <w:rFonts w:ascii="Cambria" w:hAnsi="Cambria"/>
      <w:color w:val="365F91"/>
      <w:sz w:val="32"/>
      <w:szCs w:val="32"/>
    </w:rPr>
  </w:style>
  <w:style w:type="paragraph" w:styleId="Heading2">
    <w:name w:val="heading 2"/>
    <w:aliases w:val="h2"/>
    <w:basedOn w:val="Normal"/>
    <w:link w:val="Heading2Char"/>
    <w:qFormat/>
    <w:rsid w:val="00C63C14"/>
    <w:pPr>
      <w:spacing w:before="200" w:after="100"/>
      <w:jc w:val="center"/>
      <w:outlineLvl w:val="1"/>
    </w:pPr>
    <w:rPr>
      <w:b/>
      <w:bCs/>
      <w:sz w:val="21"/>
      <w:szCs w:val="21"/>
    </w:rPr>
  </w:style>
  <w:style w:type="paragraph" w:styleId="Heading3">
    <w:name w:val="heading 3"/>
    <w:basedOn w:val="Normal"/>
    <w:next w:val="Normal"/>
    <w:link w:val="Heading3Char"/>
    <w:uiPriority w:val="9"/>
    <w:unhideWhenUsed/>
    <w:qFormat/>
    <w:rsid w:val="00525E31"/>
    <w:pPr>
      <w:keepNext/>
      <w:spacing w:before="240" w:after="60"/>
      <w:outlineLvl w:val="2"/>
    </w:pPr>
    <w:rPr>
      <w:rFonts w:ascii="Calibri Light" w:hAnsi="Calibri Light"/>
      <w:b/>
      <w:bCs/>
      <w:sz w:val="26"/>
      <w:szCs w:val="26"/>
    </w:rPr>
  </w:style>
  <w:style w:type="paragraph" w:styleId="Heading4">
    <w:name w:val="heading 4"/>
    <w:aliases w:val="h4"/>
    <w:basedOn w:val="Normal"/>
    <w:next w:val="Normal"/>
    <w:link w:val="Heading4Char"/>
    <w:unhideWhenUsed/>
    <w:qFormat/>
    <w:rsid w:val="00525E31"/>
    <w:pPr>
      <w:keepNext/>
      <w:spacing w:before="240" w:after="60"/>
      <w:outlineLvl w:val="3"/>
    </w:pPr>
    <w:rPr>
      <w:rFonts w:ascii="Calibri" w:hAnsi="Calibri"/>
      <w:b/>
      <w:bCs/>
      <w:sz w:val="28"/>
      <w:szCs w:val="28"/>
    </w:rPr>
  </w:style>
  <w:style w:type="paragraph" w:styleId="Heading5">
    <w:name w:val="heading 5"/>
    <w:aliases w:val="h5"/>
    <w:basedOn w:val="Normal"/>
    <w:next w:val="Normal"/>
    <w:link w:val="Heading5Char"/>
    <w:unhideWhenUsed/>
    <w:qFormat/>
    <w:rsid w:val="00C62DCD"/>
    <w:pPr>
      <w:keepNext/>
      <w:keepLines/>
      <w:spacing w:before="40" w:line="256" w:lineRule="auto"/>
      <w:outlineLvl w:val="4"/>
    </w:pPr>
    <w:rPr>
      <w:rFonts w:ascii="Cambria" w:hAnsi="Cambria"/>
      <w:color w:val="365F91"/>
      <w:sz w:val="22"/>
      <w:szCs w:val="22"/>
    </w:rPr>
  </w:style>
  <w:style w:type="paragraph" w:styleId="Heading6">
    <w:name w:val="heading 6"/>
    <w:aliases w:val="h6"/>
    <w:basedOn w:val="Normal"/>
    <w:next w:val="Normal"/>
    <w:link w:val="Heading6Char"/>
    <w:qFormat/>
    <w:rsid w:val="00C62DCD"/>
    <w:pPr>
      <w:spacing w:before="240" w:after="60"/>
      <w:jc w:val="both"/>
      <w:outlineLvl w:val="5"/>
    </w:pPr>
    <w:rPr>
      <w:b/>
      <w:bCs/>
      <w:sz w:val="22"/>
      <w:szCs w:val="22"/>
    </w:rPr>
  </w:style>
  <w:style w:type="paragraph" w:styleId="Heading7">
    <w:name w:val="heading 7"/>
    <w:basedOn w:val="Normal"/>
    <w:next w:val="Normal"/>
    <w:link w:val="Heading7Char"/>
    <w:qFormat/>
    <w:rsid w:val="00C62DCD"/>
    <w:pPr>
      <w:spacing w:before="240" w:after="60"/>
      <w:jc w:val="both"/>
      <w:outlineLvl w:val="6"/>
    </w:pPr>
  </w:style>
  <w:style w:type="paragraph" w:styleId="Heading8">
    <w:name w:val="heading 8"/>
    <w:basedOn w:val="Normal"/>
    <w:next w:val="Normal"/>
    <w:link w:val="Heading8Char"/>
    <w:qFormat/>
    <w:rsid w:val="00C62DCD"/>
    <w:pPr>
      <w:spacing w:before="240" w:after="60"/>
      <w:jc w:val="both"/>
      <w:outlineLvl w:val="7"/>
    </w:pPr>
    <w:rPr>
      <w:i/>
      <w:iCs/>
    </w:rPr>
  </w:style>
  <w:style w:type="paragraph" w:styleId="Heading9">
    <w:name w:val="heading 9"/>
    <w:basedOn w:val="Normal"/>
    <w:next w:val="Normal"/>
    <w:link w:val="Heading9Char"/>
    <w:qFormat/>
    <w:rsid w:val="00C62DCD"/>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rsid w:val="00254069"/>
    <w:rPr>
      <w:rFonts w:ascii="Tahoma" w:hAnsi="Tahoma" w:cs="Tahoma"/>
      <w:sz w:val="16"/>
      <w:szCs w:val="16"/>
    </w:rPr>
  </w:style>
  <w:style w:type="table" w:styleId="TableGrid">
    <w:name w:val="Table Grid"/>
    <w:basedOn w:val="TableNormal"/>
    <w:uiPriority w:val="3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uiPriority w:val="99"/>
    <w:rsid w:val="0010493E"/>
    <w:rPr>
      <w:color w:val="0563C1"/>
      <w:u w:val="single"/>
    </w:rPr>
  </w:style>
  <w:style w:type="character" w:styleId="UnresolvedMention">
    <w:name w:val="Unresolved Mention"/>
    <w:uiPriority w:val="99"/>
    <w:unhideWhenUsed/>
    <w:rsid w:val="0010493E"/>
    <w:rPr>
      <w:color w:val="605E5C"/>
      <w:shd w:val="clear" w:color="auto" w:fill="E1DFDD"/>
    </w:rPr>
  </w:style>
  <w:style w:type="character" w:styleId="FollowedHyperlink">
    <w:name w:val="FollowedHyperlink"/>
    <w:uiPriority w:val="99"/>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aliases w:val="Comment Text Style"/>
    <w:uiPriority w:val="99"/>
    <w:rsid w:val="00512F45"/>
    <w:rPr>
      <w:sz w:val="16"/>
      <w:szCs w:val="16"/>
    </w:rPr>
  </w:style>
  <w:style w:type="paragraph" w:styleId="CommentText">
    <w:name w:val="annotation text"/>
    <w:basedOn w:val="Normal"/>
    <w:link w:val="CommentTextChar"/>
    <w:uiPriority w:val="99"/>
    <w:rsid w:val="00512F45"/>
    <w:rPr>
      <w:sz w:val="20"/>
      <w:szCs w:val="20"/>
    </w:rPr>
  </w:style>
  <w:style w:type="character" w:customStyle="1" w:styleId="CommentTextChar">
    <w:name w:val="Comment Text Char"/>
    <w:basedOn w:val="DefaultParagraphFont"/>
    <w:link w:val="CommentText"/>
    <w:uiPriority w:val="99"/>
    <w:rsid w:val="00512F45"/>
  </w:style>
  <w:style w:type="paragraph" w:styleId="CommentSubject">
    <w:name w:val="annotation subject"/>
    <w:basedOn w:val="CommentText"/>
    <w:next w:val="CommentText"/>
    <w:link w:val="CommentSubjectChar"/>
    <w:uiPriority w:val="99"/>
    <w:rsid w:val="00512F45"/>
    <w:rPr>
      <w:b/>
      <w:bCs/>
    </w:rPr>
  </w:style>
  <w:style w:type="character" w:customStyle="1" w:styleId="CommentSubjectChar">
    <w:name w:val="Comment Subject Char"/>
    <w:link w:val="CommentSubject"/>
    <w:uiPriority w:val="99"/>
    <w:rsid w:val="00512F45"/>
    <w:rPr>
      <w:b/>
      <w:bCs/>
    </w:rPr>
  </w:style>
  <w:style w:type="paragraph" w:styleId="BodyText">
    <w:name w:val="Body Text"/>
    <w:basedOn w:val="Normal"/>
    <w:link w:val="BodyTextChar"/>
    <w:qFormat/>
    <w:rsid w:val="00696A1B"/>
    <w:pPr>
      <w:spacing w:after="120"/>
    </w:pPr>
  </w:style>
  <w:style w:type="character" w:customStyle="1" w:styleId="BodyTextChar">
    <w:name w:val="Body Text Char"/>
    <w:link w:val="BodyText"/>
    <w:rsid w:val="00696A1B"/>
    <w:rPr>
      <w:sz w:val="24"/>
      <w:szCs w:val="24"/>
    </w:rPr>
  </w:style>
  <w:style w:type="character" w:customStyle="1" w:styleId="Heading2Char">
    <w:name w:val="Heading 2 Char"/>
    <w:aliases w:val="h2 Char"/>
    <w:link w:val="Heading2"/>
    <w:rsid w:val="00C63C14"/>
    <w:rPr>
      <w:b/>
      <w:bCs/>
      <w:sz w:val="21"/>
      <w:szCs w:val="21"/>
    </w:rPr>
  </w:style>
  <w:style w:type="paragraph" w:styleId="Caption">
    <w:name w:val="caption"/>
    <w:basedOn w:val="Normal"/>
    <w:next w:val="Normal"/>
    <w:unhideWhenUsed/>
    <w:qFormat/>
    <w:rsid w:val="002A06F3"/>
    <w:rPr>
      <w:rFonts w:eastAsia="Calibri"/>
    </w:rPr>
  </w:style>
  <w:style w:type="paragraph" w:styleId="FootnoteText">
    <w:name w:val="footnote text"/>
    <w:basedOn w:val="Normal"/>
    <w:link w:val="FootnoteTextChar"/>
    <w:unhideWhenUsed/>
    <w:rsid w:val="00F102B7"/>
    <w:rPr>
      <w:rFonts w:eastAsia="Calibri"/>
      <w:sz w:val="20"/>
      <w:szCs w:val="20"/>
    </w:rPr>
  </w:style>
  <w:style w:type="character" w:customStyle="1" w:styleId="FootnoteTextChar">
    <w:name w:val="Footnote Text Char"/>
    <w:link w:val="FootnoteText"/>
    <w:rsid w:val="00F102B7"/>
    <w:rPr>
      <w:rFonts w:eastAsia="Calibri"/>
    </w:rPr>
  </w:style>
  <w:style w:type="character" w:styleId="FootnoteReference">
    <w:name w:val="footnote reference"/>
    <w:unhideWhenUsed/>
    <w:rsid w:val="00F102B7"/>
    <w:rPr>
      <w:vertAlign w:val="superscript"/>
    </w:rPr>
  </w:style>
  <w:style w:type="paragraph" w:customStyle="1" w:styleId="TableParagraph">
    <w:name w:val="Table Paragraph"/>
    <w:basedOn w:val="Normal"/>
    <w:uiPriority w:val="1"/>
    <w:qFormat/>
    <w:rsid w:val="00702CE5"/>
    <w:pPr>
      <w:autoSpaceDE w:val="0"/>
      <w:autoSpaceDN w:val="0"/>
      <w:adjustRightInd w:val="0"/>
    </w:pPr>
  </w:style>
  <w:style w:type="character" w:customStyle="1" w:styleId="Heading3Char">
    <w:name w:val="Heading 3 Char"/>
    <w:link w:val="Heading3"/>
    <w:uiPriority w:val="9"/>
    <w:rsid w:val="00525E31"/>
    <w:rPr>
      <w:rFonts w:ascii="Calibri Light" w:eastAsia="Times New Roman" w:hAnsi="Calibri Light" w:cs="Times New Roman"/>
      <w:b/>
      <w:bCs/>
      <w:sz w:val="26"/>
      <w:szCs w:val="26"/>
    </w:rPr>
  </w:style>
  <w:style w:type="character" w:customStyle="1" w:styleId="Heading4Char">
    <w:name w:val="Heading 4 Char"/>
    <w:aliases w:val="h4 Char"/>
    <w:link w:val="Heading4"/>
    <w:rsid w:val="00525E31"/>
    <w:rPr>
      <w:rFonts w:ascii="Calibri" w:eastAsia="Times New Roman" w:hAnsi="Calibri" w:cs="Times New Roman"/>
      <w:b/>
      <w:bCs/>
      <w:sz w:val="28"/>
      <w:szCs w:val="28"/>
    </w:rPr>
  </w:style>
  <w:style w:type="paragraph" w:styleId="BodyTextFirstIndent">
    <w:name w:val="Body Text First Indent"/>
    <w:basedOn w:val="BodyText"/>
    <w:link w:val="BodyTextFirstIndentChar"/>
    <w:uiPriority w:val="99"/>
    <w:unhideWhenUsed/>
    <w:rsid w:val="00F85318"/>
    <w:pPr>
      <w:spacing w:after="200"/>
      <w:ind w:firstLine="360"/>
    </w:pPr>
    <w:rPr>
      <w:rFonts w:eastAsia="Calibri"/>
    </w:rPr>
  </w:style>
  <w:style w:type="character" w:customStyle="1" w:styleId="BodyTextFirstIndentChar">
    <w:name w:val="Body Text First Indent Char"/>
    <w:link w:val="BodyTextFirstIndent"/>
    <w:uiPriority w:val="99"/>
    <w:rsid w:val="00F85318"/>
    <w:rPr>
      <w:rFonts w:eastAsia="Calibri"/>
      <w:sz w:val="24"/>
      <w:szCs w:val="24"/>
    </w:rPr>
  </w:style>
  <w:style w:type="character" w:styleId="Strong">
    <w:name w:val="Strong"/>
    <w:uiPriority w:val="22"/>
    <w:qFormat/>
    <w:rsid w:val="0037729A"/>
    <w:rPr>
      <w:b/>
      <w:bCs/>
    </w:rPr>
  </w:style>
  <w:style w:type="paragraph" w:styleId="Revision">
    <w:name w:val="Revision"/>
    <w:hidden/>
    <w:uiPriority w:val="99"/>
    <w:semiHidden/>
    <w:rsid w:val="0037729A"/>
    <w:rPr>
      <w:sz w:val="24"/>
      <w:szCs w:val="24"/>
    </w:rPr>
  </w:style>
  <w:style w:type="character" w:customStyle="1" w:styleId="Heading1Char">
    <w:name w:val="Heading 1 Char"/>
    <w:link w:val="Heading1"/>
    <w:rsid w:val="00C62DCD"/>
    <w:rPr>
      <w:rFonts w:ascii="Cambria" w:hAnsi="Cambria"/>
      <w:color w:val="365F91"/>
      <w:sz w:val="32"/>
      <w:szCs w:val="32"/>
    </w:rPr>
  </w:style>
  <w:style w:type="character" w:customStyle="1" w:styleId="Heading5Char">
    <w:name w:val="Heading 5 Char"/>
    <w:aliases w:val="h5 Char"/>
    <w:link w:val="Heading5"/>
    <w:rsid w:val="00C62DCD"/>
    <w:rPr>
      <w:rFonts w:ascii="Cambria" w:hAnsi="Cambria"/>
      <w:color w:val="365F91"/>
      <w:sz w:val="22"/>
      <w:szCs w:val="22"/>
    </w:rPr>
  </w:style>
  <w:style w:type="character" w:customStyle="1" w:styleId="Heading6Char">
    <w:name w:val="Heading 6 Char"/>
    <w:aliases w:val="h6 Char"/>
    <w:link w:val="Heading6"/>
    <w:rsid w:val="00C62DCD"/>
    <w:rPr>
      <w:b/>
      <w:bCs/>
      <w:sz w:val="22"/>
      <w:szCs w:val="22"/>
    </w:rPr>
  </w:style>
  <w:style w:type="character" w:customStyle="1" w:styleId="Heading7Char">
    <w:name w:val="Heading 7 Char"/>
    <w:link w:val="Heading7"/>
    <w:rsid w:val="00C62DCD"/>
    <w:rPr>
      <w:sz w:val="24"/>
      <w:szCs w:val="24"/>
    </w:rPr>
  </w:style>
  <w:style w:type="character" w:customStyle="1" w:styleId="Heading8Char">
    <w:name w:val="Heading 8 Char"/>
    <w:link w:val="Heading8"/>
    <w:rsid w:val="00C62DCD"/>
    <w:rPr>
      <w:i/>
      <w:iCs/>
      <w:sz w:val="24"/>
      <w:szCs w:val="24"/>
    </w:rPr>
  </w:style>
  <w:style w:type="character" w:customStyle="1" w:styleId="Heading9Char">
    <w:name w:val="Heading 9 Char"/>
    <w:link w:val="Heading9"/>
    <w:rsid w:val="00C62DCD"/>
    <w:rPr>
      <w:rFonts w:ascii="Arial" w:hAnsi="Arial" w:cs="Arial"/>
      <w:sz w:val="22"/>
      <w:szCs w:val="22"/>
    </w:rPr>
  </w:style>
  <w:style w:type="character" w:customStyle="1" w:styleId="FooterChar">
    <w:name w:val="Footer Char"/>
    <w:link w:val="Footer"/>
    <w:uiPriority w:val="99"/>
    <w:rsid w:val="00C62DCD"/>
    <w:rPr>
      <w:sz w:val="24"/>
      <w:szCs w:val="24"/>
    </w:rPr>
  </w:style>
  <w:style w:type="character" w:customStyle="1" w:styleId="BalloonTextChar">
    <w:name w:val="Balloon Text Char"/>
    <w:link w:val="BalloonText"/>
    <w:uiPriority w:val="99"/>
    <w:rsid w:val="00C62DCD"/>
    <w:rPr>
      <w:rFonts w:ascii="Tahoma" w:hAnsi="Tahoma" w:cs="Tahoma"/>
      <w:sz w:val="16"/>
      <w:szCs w:val="16"/>
    </w:rPr>
  </w:style>
  <w:style w:type="paragraph" w:styleId="EndnoteText">
    <w:name w:val="endnote text"/>
    <w:basedOn w:val="Normal"/>
    <w:link w:val="EndnoteTextChar"/>
    <w:uiPriority w:val="99"/>
    <w:unhideWhenUsed/>
    <w:rsid w:val="00C62DCD"/>
    <w:pPr>
      <w:widowControl w:val="0"/>
    </w:pPr>
    <w:rPr>
      <w:rFonts w:ascii="Calibri" w:eastAsia="Calibri" w:hAnsi="Calibri"/>
      <w:sz w:val="20"/>
      <w:szCs w:val="20"/>
    </w:rPr>
  </w:style>
  <w:style w:type="character" w:customStyle="1" w:styleId="EndnoteTextChar">
    <w:name w:val="Endnote Text Char"/>
    <w:link w:val="EndnoteText"/>
    <w:uiPriority w:val="99"/>
    <w:rsid w:val="00C62DCD"/>
    <w:rPr>
      <w:rFonts w:ascii="Calibri" w:eastAsia="Calibri" w:hAnsi="Calibri"/>
    </w:rPr>
  </w:style>
  <w:style w:type="character" w:styleId="EndnoteReference">
    <w:name w:val="endnote reference"/>
    <w:uiPriority w:val="99"/>
    <w:unhideWhenUsed/>
    <w:rsid w:val="00C62DCD"/>
    <w:rPr>
      <w:vertAlign w:val="superscript"/>
    </w:rPr>
  </w:style>
  <w:style w:type="character" w:styleId="LineNumber">
    <w:name w:val="line number"/>
    <w:unhideWhenUsed/>
    <w:rsid w:val="00C62DCD"/>
  </w:style>
  <w:style w:type="paragraph" w:customStyle="1" w:styleId="Subhead">
    <w:name w:val="Subhead"/>
    <w:basedOn w:val="Normal"/>
    <w:rsid w:val="00C62DCD"/>
    <w:pPr>
      <w:spacing w:before="240"/>
      <w:jc w:val="both"/>
    </w:pPr>
    <w:rPr>
      <w:rFonts w:ascii="Arial" w:hAnsi="Arial"/>
      <w:b/>
      <w:sz w:val="19"/>
      <w:szCs w:val="19"/>
    </w:rPr>
  </w:style>
  <w:style w:type="paragraph" w:customStyle="1" w:styleId="Headline">
    <w:name w:val="Headline"/>
    <w:basedOn w:val="Normal"/>
    <w:rsid w:val="00C62DCD"/>
    <w:pPr>
      <w:jc w:val="center"/>
    </w:pPr>
    <w:rPr>
      <w:rFonts w:ascii="Arial" w:hAnsi="Arial"/>
      <w:b/>
      <w:szCs w:val="19"/>
    </w:rPr>
  </w:style>
  <w:style w:type="paragraph" w:customStyle="1" w:styleId="Text">
    <w:name w:val="Text"/>
    <w:basedOn w:val="Normal"/>
    <w:rsid w:val="00C62DCD"/>
    <w:pPr>
      <w:spacing w:before="240"/>
      <w:jc w:val="both"/>
    </w:pPr>
    <w:rPr>
      <w:rFonts w:ascii="Arial" w:hAnsi="Arial"/>
      <w:sz w:val="19"/>
      <w:szCs w:val="19"/>
    </w:rPr>
  </w:style>
  <w:style w:type="paragraph" w:customStyle="1" w:styleId="Lists">
    <w:name w:val="Lists"/>
    <w:basedOn w:val="Normal"/>
    <w:rsid w:val="00C62DCD"/>
    <w:pPr>
      <w:tabs>
        <w:tab w:val="left" w:pos="270"/>
      </w:tabs>
      <w:spacing w:before="240"/>
      <w:ind w:left="274" w:hanging="274"/>
      <w:jc w:val="both"/>
    </w:pPr>
    <w:rPr>
      <w:rFonts w:ascii="Arial" w:hAnsi="Arial"/>
      <w:sz w:val="19"/>
      <w:szCs w:val="19"/>
    </w:rPr>
  </w:style>
  <w:style w:type="paragraph" w:customStyle="1" w:styleId="Reference">
    <w:name w:val="Reference"/>
    <w:basedOn w:val="Normal"/>
    <w:rsid w:val="00C62DCD"/>
    <w:pPr>
      <w:tabs>
        <w:tab w:val="left" w:pos="-1440"/>
        <w:tab w:val="left" w:pos="-720"/>
        <w:tab w:val="left" w:pos="0"/>
        <w:tab w:val="left" w:pos="720"/>
        <w:tab w:val="right" w:leader="dot" w:pos="7886"/>
      </w:tabs>
      <w:spacing w:before="200"/>
    </w:pPr>
    <w:rPr>
      <w:rFonts w:ascii="Arial" w:hAnsi="Arial"/>
      <w:sz w:val="19"/>
      <w:szCs w:val="19"/>
    </w:rPr>
  </w:style>
  <w:style w:type="paragraph" w:customStyle="1" w:styleId="1decimalhead">
    <w:name w:val="1decimalhead"/>
    <w:basedOn w:val="Normal"/>
    <w:rsid w:val="00C62DCD"/>
    <w:pPr>
      <w:keepNext/>
      <w:numPr>
        <w:ilvl w:val="1"/>
        <w:numId w:val="24"/>
      </w:numPr>
      <w:spacing w:before="200"/>
      <w:jc w:val="both"/>
    </w:pPr>
    <w:rPr>
      <w:rFonts w:ascii="Arial" w:hAnsi="Arial"/>
      <w:b/>
      <w:sz w:val="20"/>
      <w:szCs w:val="19"/>
    </w:rPr>
  </w:style>
  <w:style w:type="paragraph" w:customStyle="1" w:styleId="2decimalhead">
    <w:name w:val="2decimalhead"/>
    <w:basedOn w:val="Normal"/>
    <w:rsid w:val="00C62DCD"/>
    <w:pPr>
      <w:keepNext/>
      <w:numPr>
        <w:ilvl w:val="2"/>
        <w:numId w:val="24"/>
      </w:numPr>
      <w:spacing w:before="200"/>
      <w:jc w:val="both"/>
    </w:pPr>
    <w:rPr>
      <w:rFonts w:ascii="Arial" w:hAnsi="Arial"/>
      <w:b/>
      <w:sz w:val="20"/>
      <w:szCs w:val="19"/>
    </w:rPr>
  </w:style>
  <w:style w:type="paragraph" w:customStyle="1" w:styleId="Sectionhead">
    <w:name w:val="Sectionhead"/>
    <w:basedOn w:val="Normal"/>
    <w:link w:val="SectionheadChar"/>
    <w:rsid w:val="00C62DCD"/>
    <w:pPr>
      <w:keepNext/>
      <w:numPr>
        <w:numId w:val="24"/>
      </w:numPr>
      <w:spacing w:before="200"/>
      <w:jc w:val="both"/>
    </w:pPr>
    <w:rPr>
      <w:rFonts w:ascii="Arial" w:hAnsi="Arial"/>
      <w:b/>
      <w:szCs w:val="19"/>
    </w:rPr>
  </w:style>
  <w:style w:type="paragraph" w:customStyle="1" w:styleId="note">
    <w:name w:val="note"/>
    <w:basedOn w:val="Normal"/>
    <w:link w:val="noteChar"/>
    <w:rsid w:val="00C62DCD"/>
    <w:pPr>
      <w:spacing w:before="200"/>
      <w:jc w:val="both"/>
    </w:pPr>
    <w:rPr>
      <w:rFonts w:ascii="Arial" w:hAnsi="Arial"/>
      <w:sz w:val="17"/>
      <w:szCs w:val="19"/>
    </w:rPr>
  </w:style>
  <w:style w:type="paragraph" w:customStyle="1" w:styleId="3decimalhead">
    <w:name w:val="3decimalhead"/>
    <w:basedOn w:val="Normal"/>
    <w:rsid w:val="00C62DCD"/>
    <w:pPr>
      <w:keepNext/>
      <w:numPr>
        <w:ilvl w:val="3"/>
        <w:numId w:val="24"/>
      </w:numPr>
      <w:spacing w:before="200"/>
      <w:jc w:val="both"/>
    </w:pPr>
    <w:rPr>
      <w:rFonts w:ascii="Arial" w:hAnsi="Arial"/>
      <w:b/>
      <w:sz w:val="20"/>
      <w:szCs w:val="19"/>
    </w:rPr>
  </w:style>
  <w:style w:type="paragraph" w:styleId="TOC1">
    <w:name w:val="toc 1"/>
    <w:basedOn w:val="Normal"/>
    <w:next w:val="Normal"/>
    <w:autoRedefine/>
    <w:uiPriority w:val="39"/>
    <w:rsid w:val="00C62DCD"/>
    <w:pPr>
      <w:tabs>
        <w:tab w:val="left" w:pos="360"/>
        <w:tab w:val="right" w:leader="dot" w:pos="9360"/>
      </w:tabs>
      <w:spacing w:before="160"/>
      <w:ind w:left="187" w:hanging="187"/>
    </w:pPr>
    <w:rPr>
      <w:rFonts w:ascii="Arial" w:hAnsi="Arial"/>
      <w:sz w:val="19"/>
      <w:szCs w:val="19"/>
    </w:rPr>
  </w:style>
  <w:style w:type="paragraph" w:styleId="TOC2">
    <w:name w:val="toc 2"/>
    <w:basedOn w:val="Normal"/>
    <w:next w:val="Normal"/>
    <w:uiPriority w:val="39"/>
    <w:rsid w:val="00C62DCD"/>
    <w:pPr>
      <w:tabs>
        <w:tab w:val="left" w:pos="936"/>
        <w:tab w:val="right" w:leader="dot" w:pos="9360"/>
      </w:tabs>
      <w:ind w:left="360"/>
      <w:jc w:val="both"/>
    </w:pPr>
    <w:rPr>
      <w:rFonts w:ascii="Arial" w:hAnsi="Arial"/>
      <w:sz w:val="19"/>
      <w:szCs w:val="19"/>
    </w:rPr>
  </w:style>
  <w:style w:type="paragraph" w:customStyle="1" w:styleId="text0">
    <w:name w:val="text"/>
    <w:basedOn w:val="Normal"/>
    <w:rsid w:val="00C62DCD"/>
    <w:pPr>
      <w:spacing w:before="200"/>
      <w:jc w:val="both"/>
    </w:pPr>
    <w:rPr>
      <w:rFonts w:ascii="Arial" w:hAnsi="Arial"/>
      <w:sz w:val="19"/>
      <w:szCs w:val="19"/>
    </w:rPr>
  </w:style>
  <w:style w:type="paragraph" w:customStyle="1" w:styleId="definitiontext">
    <w:name w:val="definition text"/>
    <w:basedOn w:val="Normal"/>
    <w:link w:val="definitiontextChar"/>
    <w:rsid w:val="00C62DCD"/>
    <w:pPr>
      <w:jc w:val="both"/>
    </w:pPr>
    <w:rPr>
      <w:rFonts w:ascii="Arial" w:hAnsi="Arial"/>
      <w:sz w:val="19"/>
      <w:szCs w:val="19"/>
    </w:rPr>
  </w:style>
  <w:style w:type="paragraph" w:customStyle="1" w:styleId="CAUTION">
    <w:name w:val="CAUTION"/>
    <w:basedOn w:val="Normal"/>
    <w:rsid w:val="00C62DCD"/>
    <w:pPr>
      <w:spacing w:before="200"/>
      <w:jc w:val="both"/>
    </w:pPr>
    <w:rPr>
      <w:rFonts w:ascii="Arial" w:hAnsi="Arial"/>
      <w:i/>
      <w:sz w:val="19"/>
      <w:szCs w:val="19"/>
    </w:rPr>
  </w:style>
  <w:style w:type="paragraph" w:customStyle="1" w:styleId="List1">
    <w:name w:val="List1"/>
    <w:basedOn w:val="Normal"/>
    <w:link w:val="listChar"/>
    <w:rsid w:val="00C62DCD"/>
    <w:pPr>
      <w:spacing w:before="160"/>
      <w:jc w:val="both"/>
    </w:pPr>
    <w:rPr>
      <w:rFonts w:ascii="Arial" w:hAnsi="Arial"/>
      <w:sz w:val="19"/>
      <w:szCs w:val="19"/>
    </w:rPr>
  </w:style>
  <w:style w:type="paragraph" w:customStyle="1" w:styleId="4dechead">
    <w:name w:val="4dechead"/>
    <w:basedOn w:val="Normal"/>
    <w:rsid w:val="00C62DCD"/>
    <w:pPr>
      <w:keepNext/>
      <w:numPr>
        <w:ilvl w:val="4"/>
        <w:numId w:val="24"/>
      </w:numPr>
      <w:spacing w:before="200"/>
      <w:jc w:val="both"/>
    </w:pPr>
    <w:rPr>
      <w:rFonts w:ascii="Arial" w:hAnsi="Arial"/>
      <w:b/>
      <w:bCs/>
      <w:sz w:val="20"/>
      <w:szCs w:val="19"/>
    </w:rPr>
  </w:style>
  <w:style w:type="paragraph" w:customStyle="1" w:styleId="lista">
    <w:name w:val="list  a)"/>
    <w:basedOn w:val="List2"/>
    <w:rsid w:val="00C62DCD"/>
    <w:pPr>
      <w:numPr>
        <w:numId w:val="23"/>
      </w:numPr>
    </w:pPr>
  </w:style>
  <w:style w:type="paragraph" w:customStyle="1" w:styleId="Tabletitle">
    <w:name w:val="Table title"/>
    <w:basedOn w:val="Normal"/>
    <w:rsid w:val="00C62DCD"/>
    <w:pPr>
      <w:keepNext/>
      <w:spacing w:after="200"/>
      <w:jc w:val="center"/>
    </w:pPr>
    <w:rPr>
      <w:rFonts w:ascii="Arial" w:hAnsi="Arial"/>
      <w:b/>
      <w:sz w:val="19"/>
      <w:szCs w:val="19"/>
    </w:rPr>
  </w:style>
  <w:style w:type="paragraph" w:customStyle="1" w:styleId="FootnoteText1">
    <w:name w:val="Footnote Text1"/>
    <w:basedOn w:val="note"/>
    <w:rsid w:val="00C62DCD"/>
    <w:pPr>
      <w:spacing w:before="0" w:after="120"/>
    </w:pPr>
    <w:rPr>
      <w:szCs w:val="17"/>
    </w:rPr>
  </w:style>
  <w:style w:type="paragraph" w:customStyle="1" w:styleId="1decnotitle">
    <w:name w:val="1 dec no title"/>
    <w:basedOn w:val="1decimalhead"/>
    <w:rsid w:val="00C62DCD"/>
  </w:style>
  <w:style w:type="paragraph" w:styleId="TOC3">
    <w:name w:val="toc 3"/>
    <w:basedOn w:val="Normal"/>
    <w:next w:val="Normal"/>
    <w:autoRedefine/>
    <w:uiPriority w:val="39"/>
    <w:rsid w:val="00C62DCD"/>
    <w:pPr>
      <w:tabs>
        <w:tab w:val="right" w:leader="dot" w:pos="9350"/>
      </w:tabs>
      <w:ind w:left="1166" w:hanging="446"/>
      <w:jc w:val="both"/>
    </w:pPr>
    <w:rPr>
      <w:rFonts w:ascii="Arial" w:hAnsi="Arial"/>
      <w:sz w:val="19"/>
      <w:szCs w:val="19"/>
    </w:rPr>
  </w:style>
  <w:style w:type="paragraph" w:styleId="TableofFigures">
    <w:name w:val="table of figures"/>
    <w:basedOn w:val="Normal"/>
    <w:next w:val="Normal"/>
    <w:rsid w:val="00C62DCD"/>
    <w:pPr>
      <w:tabs>
        <w:tab w:val="right" w:leader="dot" w:pos="9360"/>
      </w:tabs>
      <w:ind w:left="380" w:hanging="380"/>
      <w:jc w:val="both"/>
    </w:pPr>
    <w:rPr>
      <w:rFonts w:ascii="Arial" w:hAnsi="Arial"/>
      <w:sz w:val="19"/>
      <w:szCs w:val="19"/>
    </w:rPr>
  </w:style>
  <w:style w:type="paragraph" w:customStyle="1" w:styleId="Appsectionhead">
    <w:name w:val="App sectionhead"/>
    <w:basedOn w:val="Sectionhead"/>
    <w:rsid w:val="00C62DCD"/>
    <w:pPr>
      <w:numPr>
        <w:numId w:val="0"/>
      </w:numPr>
    </w:pPr>
  </w:style>
  <w:style w:type="paragraph" w:customStyle="1" w:styleId="App1dec">
    <w:name w:val="App 1dec"/>
    <w:basedOn w:val="1decimalhead"/>
    <w:rsid w:val="00C62DCD"/>
  </w:style>
  <w:style w:type="paragraph" w:customStyle="1" w:styleId="App2dec">
    <w:name w:val="App 2 dec"/>
    <w:basedOn w:val="2decimalhead"/>
    <w:rsid w:val="00C62DCD"/>
  </w:style>
  <w:style w:type="paragraph" w:customStyle="1" w:styleId="Appendixtitle">
    <w:name w:val="Appendix title"/>
    <w:basedOn w:val="Normal"/>
    <w:rsid w:val="00C62DCD"/>
    <w:pPr>
      <w:spacing w:after="200"/>
      <w:jc w:val="center"/>
    </w:pPr>
    <w:rPr>
      <w:rFonts w:ascii="Arial" w:hAnsi="Arial"/>
      <w:b/>
      <w:szCs w:val="19"/>
    </w:rPr>
  </w:style>
  <w:style w:type="paragraph" w:customStyle="1" w:styleId="equation">
    <w:name w:val="equation"/>
    <w:rsid w:val="00C62DCD"/>
    <w:pPr>
      <w:spacing w:before="200" w:after="200"/>
      <w:jc w:val="center"/>
    </w:pPr>
    <w:rPr>
      <w:rFonts w:ascii="Arial" w:hAnsi="Arial"/>
      <w:b/>
      <w:sz w:val="19"/>
    </w:rPr>
  </w:style>
  <w:style w:type="paragraph" w:styleId="TOC4">
    <w:name w:val="toc 4"/>
    <w:basedOn w:val="Normal"/>
    <w:next w:val="Normal"/>
    <w:autoRedefine/>
    <w:uiPriority w:val="39"/>
    <w:rsid w:val="00C62DCD"/>
    <w:pPr>
      <w:ind w:left="570"/>
      <w:jc w:val="both"/>
    </w:pPr>
    <w:rPr>
      <w:rFonts w:ascii="Arial" w:hAnsi="Arial"/>
      <w:sz w:val="19"/>
      <w:szCs w:val="19"/>
    </w:rPr>
  </w:style>
  <w:style w:type="paragraph" w:styleId="TOC5">
    <w:name w:val="toc 5"/>
    <w:basedOn w:val="Normal"/>
    <w:next w:val="Normal"/>
    <w:autoRedefine/>
    <w:uiPriority w:val="39"/>
    <w:rsid w:val="00C62DCD"/>
    <w:pPr>
      <w:ind w:left="760"/>
      <w:jc w:val="both"/>
    </w:pPr>
    <w:rPr>
      <w:rFonts w:ascii="Arial" w:hAnsi="Arial"/>
      <w:sz w:val="19"/>
      <w:szCs w:val="19"/>
    </w:rPr>
  </w:style>
  <w:style w:type="paragraph" w:styleId="TOC6">
    <w:name w:val="toc 6"/>
    <w:basedOn w:val="Normal"/>
    <w:next w:val="Normal"/>
    <w:autoRedefine/>
    <w:uiPriority w:val="39"/>
    <w:rsid w:val="00C62DCD"/>
    <w:pPr>
      <w:ind w:left="950"/>
      <w:jc w:val="both"/>
    </w:pPr>
    <w:rPr>
      <w:rFonts w:ascii="Arial" w:hAnsi="Arial"/>
      <w:sz w:val="19"/>
      <w:szCs w:val="19"/>
    </w:rPr>
  </w:style>
  <w:style w:type="paragraph" w:styleId="TOC7">
    <w:name w:val="toc 7"/>
    <w:basedOn w:val="Normal"/>
    <w:next w:val="Normal"/>
    <w:autoRedefine/>
    <w:uiPriority w:val="39"/>
    <w:rsid w:val="00C62DCD"/>
    <w:pPr>
      <w:ind w:left="1140"/>
      <w:jc w:val="both"/>
    </w:pPr>
    <w:rPr>
      <w:rFonts w:ascii="Arial" w:hAnsi="Arial"/>
      <w:sz w:val="19"/>
      <w:szCs w:val="19"/>
    </w:rPr>
  </w:style>
  <w:style w:type="paragraph" w:styleId="TOC8">
    <w:name w:val="toc 8"/>
    <w:basedOn w:val="Normal"/>
    <w:next w:val="Normal"/>
    <w:autoRedefine/>
    <w:uiPriority w:val="39"/>
    <w:rsid w:val="00C62DCD"/>
    <w:pPr>
      <w:ind w:left="1330"/>
      <w:jc w:val="both"/>
    </w:pPr>
    <w:rPr>
      <w:rFonts w:ascii="Arial" w:hAnsi="Arial"/>
      <w:sz w:val="19"/>
      <w:szCs w:val="19"/>
    </w:rPr>
  </w:style>
  <w:style w:type="paragraph" w:styleId="TOC9">
    <w:name w:val="toc 9"/>
    <w:basedOn w:val="Normal"/>
    <w:next w:val="Normal"/>
    <w:autoRedefine/>
    <w:uiPriority w:val="39"/>
    <w:rsid w:val="00C62DCD"/>
    <w:pPr>
      <w:ind w:left="1520"/>
      <w:jc w:val="both"/>
    </w:pPr>
    <w:rPr>
      <w:rFonts w:ascii="Arial" w:hAnsi="Arial"/>
      <w:sz w:val="19"/>
      <w:szCs w:val="19"/>
    </w:rPr>
  </w:style>
  <w:style w:type="paragraph" w:customStyle="1" w:styleId="Bulletintitle">
    <w:name w:val="Bulletin title"/>
    <w:basedOn w:val="Normal"/>
    <w:rsid w:val="00C62DCD"/>
    <w:pPr>
      <w:spacing w:after="200"/>
      <w:jc w:val="center"/>
    </w:pPr>
    <w:rPr>
      <w:rFonts w:ascii="Arial" w:hAnsi="Arial"/>
      <w:b/>
      <w:bCs/>
    </w:rPr>
  </w:style>
  <w:style w:type="paragraph" w:customStyle="1" w:styleId="Apptabletitle">
    <w:name w:val="App table title"/>
    <w:basedOn w:val="Tabletitle"/>
    <w:rsid w:val="00C62DCD"/>
  </w:style>
  <w:style w:type="paragraph" w:customStyle="1" w:styleId="Appfiguretitle">
    <w:name w:val="App figure title"/>
    <w:basedOn w:val="Normal"/>
    <w:rsid w:val="00C62DCD"/>
    <w:pPr>
      <w:jc w:val="center"/>
    </w:pPr>
    <w:rPr>
      <w:rFonts w:ascii="Arial" w:hAnsi="Arial"/>
      <w:b/>
      <w:sz w:val="19"/>
      <w:szCs w:val="19"/>
    </w:rPr>
  </w:style>
  <w:style w:type="paragraph" w:customStyle="1" w:styleId="Figuretitle">
    <w:name w:val="Figure title"/>
    <w:basedOn w:val="Normal"/>
    <w:autoRedefine/>
    <w:rsid w:val="00C62DCD"/>
    <w:pPr>
      <w:jc w:val="center"/>
    </w:pPr>
    <w:rPr>
      <w:rFonts w:ascii="Arial" w:hAnsi="Arial"/>
      <w:b/>
      <w:sz w:val="19"/>
      <w:szCs w:val="19"/>
    </w:rPr>
  </w:style>
  <w:style w:type="paragraph" w:customStyle="1" w:styleId="Amendmentbullet">
    <w:name w:val="Amendment bullet"/>
    <w:basedOn w:val="Normal"/>
    <w:rsid w:val="00C62DCD"/>
    <w:pPr>
      <w:numPr>
        <w:numId w:val="25"/>
      </w:numPr>
      <w:spacing w:before="200"/>
      <w:jc w:val="both"/>
    </w:pPr>
    <w:rPr>
      <w:rFonts w:ascii="Arial" w:hAnsi="Arial"/>
      <w:i/>
      <w:sz w:val="19"/>
      <w:szCs w:val="20"/>
    </w:rPr>
  </w:style>
  <w:style w:type="paragraph" w:customStyle="1" w:styleId="Amendmenttext">
    <w:name w:val="Amendment text"/>
    <w:basedOn w:val="Normal"/>
    <w:rsid w:val="00C62DCD"/>
    <w:pPr>
      <w:spacing w:before="120"/>
      <w:ind w:left="720" w:hanging="360"/>
      <w:jc w:val="both"/>
    </w:pPr>
    <w:rPr>
      <w:rFonts w:ascii="Arial" w:hAnsi="Arial"/>
      <w:sz w:val="19"/>
      <w:szCs w:val="20"/>
    </w:rPr>
  </w:style>
  <w:style w:type="paragraph" w:customStyle="1" w:styleId="Amendmentheading">
    <w:name w:val="Amendment heading"/>
    <w:basedOn w:val="Normal"/>
    <w:rsid w:val="00C62DCD"/>
    <w:pPr>
      <w:spacing w:after="240"/>
      <w:jc w:val="center"/>
    </w:pPr>
    <w:rPr>
      <w:rFonts w:ascii="Arial" w:hAnsi="Arial"/>
      <w:b/>
    </w:rPr>
  </w:style>
  <w:style w:type="paragraph" w:customStyle="1" w:styleId="bodytextnoindent">
    <w:name w:val="bodytextnoindent"/>
    <w:basedOn w:val="Normal"/>
    <w:rsid w:val="00C62DCD"/>
    <w:pPr>
      <w:spacing w:before="100" w:beforeAutospacing="1" w:after="100" w:afterAutospacing="1"/>
    </w:pPr>
  </w:style>
  <w:style w:type="paragraph" w:customStyle="1" w:styleId="textChar">
    <w:name w:val="text Char"/>
    <w:basedOn w:val="Normal"/>
    <w:link w:val="textCharChar"/>
    <w:rsid w:val="00C62DCD"/>
    <w:pPr>
      <w:spacing w:before="200"/>
      <w:jc w:val="both"/>
    </w:pPr>
    <w:rPr>
      <w:rFonts w:ascii="Arial" w:hAnsi="Arial"/>
      <w:sz w:val="19"/>
      <w:szCs w:val="19"/>
    </w:rPr>
  </w:style>
  <w:style w:type="character" w:customStyle="1" w:styleId="textCharChar">
    <w:name w:val="text Char Char"/>
    <w:link w:val="textChar"/>
    <w:rsid w:val="00C62DCD"/>
    <w:rPr>
      <w:rFonts w:ascii="Arial" w:hAnsi="Arial"/>
      <w:sz w:val="19"/>
      <w:szCs w:val="19"/>
    </w:rPr>
  </w:style>
  <w:style w:type="character" w:customStyle="1" w:styleId="listChar">
    <w:name w:val="list Char"/>
    <w:link w:val="List1"/>
    <w:rsid w:val="00C62DCD"/>
    <w:rPr>
      <w:rFonts w:ascii="Arial" w:hAnsi="Arial"/>
      <w:sz w:val="19"/>
      <w:szCs w:val="19"/>
    </w:rPr>
  </w:style>
  <w:style w:type="paragraph" w:customStyle="1" w:styleId="StyleAppendixtitle12pt">
    <w:name w:val="Style Appendix title + 12 pt"/>
    <w:basedOn w:val="Appendixtitle"/>
    <w:rsid w:val="00C62DCD"/>
    <w:rPr>
      <w:rFonts w:ascii="Arial Bold" w:hAnsi="Arial Bold"/>
      <w:bCs/>
      <w:szCs w:val="24"/>
    </w:rPr>
  </w:style>
  <w:style w:type="paragraph" w:styleId="Title">
    <w:name w:val="Title"/>
    <w:basedOn w:val="BodyText"/>
    <w:link w:val="TitleChar"/>
    <w:qFormat/>
    <w:rsid w:val="00C62DCD"/>
    <w:pPr>
      <w:spacing w:before="240" w:after="240"/>
      <w:jc w:val="center"/>
      <w:outlineLvl w:val="0"/>
    </w:pPr>
    <w:rPr>
      <w:rFonts w:ascii="Arial" w:hAnsi="Arial"/>
      <w:b/>
      <w:szCs w:val="19"/>
      <w:lang w:val="en-GB"/>
    </w:rPr>
  </w:style>
  <w:style w:type="character" w:customStyle="1" w:styleId="TitleChar">
    <w:name w:val="Title Char"/>
    <w:link w:val="Title"/>
    <w:rsid w:val="00C62DCD"/>
    <w:rPr>
      <w:rFonts w:ascii="Arial" w:hAnsi="Arial"/>
      <w:b/>
      <w:sz w:val="24"/>
      <w:szCs w:val="19"/>
      <w:lang w:val="en-GB"/>
    </w:rPr>
  </w:style>
  <w:style w:type="paragraph" w:styleId="Subtitle">
    <w:name w:val="Subtitle"/>
    <w:basedOn w:val="Normal"/>
    <w:link w:val="SubtitleChar"/>
    <w:qFormat/>
    <w:rsid w:val="00C62DCD"/>
    <w:pPr>
      <w:spacing w:after="60"/>
      <w:jc w:val="center"/>
      <w:outlineLvl w:val="1"/>
    </w:pPr>
    <w:rPr>
      <w:rFonts w:ascii="Arial" w:hAnsi="Arial"/>
      <w:szCs w:val="19"/>
      <w:lang w:val="en-GB"/>
    </w:rPr>
  </w:style>
  <w:style w:type="character" w:customStyle="1" w:styleId="SubtitleChar">
    <w:name w:val="Subtitle Char"/>
    <w:link w:val="Subtitle"/>
    <w:rsid w:val="00C62DCD"/>
    <w:rPr>
      <w:rFonts w:ascii="Arial" w:hAnsi="Arial"/>
      <w:sz w:val="24"/>
      <w:szCs w:val="19"/>
      <w:lang w:val="en-GB"/>
    </w:rPr>
  </w:style>
  <w:style w:type="paragraph" w:customStyle="1" w:styleId="List2">
    <w:name w:val="List2"/>
    <w:basedOn w:val="Normal"/>
    <w:autoRedefine/>
    <w:rsid w:val="00C62DCD"/>
    <w:pPr>
      <w:numPr>
        <w:numId w:val="22"/>
      </w:numPr>
      <w:spacing w:before="160"/>
      <w:jc w:val="both"/>
    </w:pPr>
    <w:rPr>
      <w:rFonts w:ascii="Arial" w:hAnsi="Arial"/>
      <w:sz w:val="19"/>
      <w:szCs w:val="19"/>
    </w:rPr>
  </w:style>
  <w:style w:type="character" w:customStyle="1" w:styleId="noteChar">
    <w:name w:val="note Char"/>
    <w:link w:val="note"/>
    <w:rsid w:val="00C62DCD"/>
    <w:rPr>
      <w:rFonts w:ascii="Arial" w:hAnsi="Arial"/>
      <w:sz w:val="17"/>
      <w:szCs w:val="19"/>
    </w:rPr>
  </w:style>
  <w:style w:type="paragraph" w:customStyle="1" w:styleId="AgendaDetail3">
    <w:name w:val="Agenda_Detail_3"/>
    <w:basedOn w:val="Normal"/>
    <w:rsid w:val="00C62DCD"/>
    <w:pPr>
      <w:tabs>
        <w:tab w:val="left" w:pos="3024"/>
      </w:tabs>
      <w:spacing w:after="40"/>
      <w:ind w:left="2304" w:hanging="720"/>
    </w:pPr>
    <w:rPr>
      <w:rFonts w:ascii="Arial" w:hAnsi="Arial"/>
      <w:sz w:val="20"/>
      <w:szCs w:val="20"/>
    </w:rPr>
  </w:style>
  <w:style w:type="character" w:customStyle="1" w:styleId="s8">
    <w:name w:val="s8"/>
    <w:rsid w:val="00C62DCD"/>
  </w:style>
  <w:style w:type="character" w:customStyle="1" w:styleId="SectionheadChar">
    <w:name w:val="Sectionhead Char"/>
    <w:link w:val="Sectionhead"/>
    <w:rsid w:val="00C62DCD"/>
    <w:rPr>
      <w:rFonts w:ascii="Arial" w:hAnsi="Arial"/>
      <w:b/>
      <w:sz w:val="24"/>
      <w:szCs w:val="19"/>
    </w:rPr>
  </w:style>
  <w:style w:type="paragraph" w:customStyle="1" w:styleId="List3">
    <w:name w:val="List3"/>
    <w:basedOn w:val="Normal"/>
    <w:rsid w:val="00C62DCD"/>
    <w:pPr>
      <w:tabs>
        <w:tab w:val="num" w:pos="360"/>
      </w:tabs>
      <w:spacing w:before="160"/>
      <w:ind w:left="360" w:hanging="360"/>
      <w:jc w:val="both"/>
    </w:pPr>
    <w:rPr>
      <w:rFonts w:ascii="Arial" w:hAnsi="Arial"/>
      <w:sz w:val="19"/>
      <w:szCs w:val="19"/>
    </w:rPr>
  </w:style>
  <w:style w:type="paragraph" w:customStyle="1" w:styleId="FootnoteText2">
    <w:name w:val="Footnote Text2"/>
    <w:basedOn w:val="note"/>
    <w:rsid w:val="00C62DCD"/>
    <w:pPr>
      <w:spacing w:before="0" w:after="120"/>
    </w:pPr>
    <w:rPr>
      <w:szCs w:val="17"/>
    </w:rPr>
  </w:style>
  <w:style w:type="paragraph" w:styleId="BodyText3">
    <w:name w:val="Body Text 3"/>
    <w:basedOn w:val="Normal"/>
    <w:link w:val="BodyText3Char"/>
    <w:rsid w:val="00C62DCD"/>
    <w:pPr>
      <w:spacing w:after="120"/>
      <w:jc w:val="both"/>
    </w:pPr>
    <w:rPr>
      <w:rFonts w:ascii="Arial" w:hAnsi="Arial"/>
      <w:sz w:val="16"/>
      <w:szCs w:val="16"/>
    </w:rPr>
  </w:style>
  <w:style w:type="character" w:customStyle="1" w:styleId="BodyText3Char">
    <w:name w:val="Body Text 3 Char"/>
    <w:link w:val="BodyText3"/>
    <w:rsid w:val="00C62DCD"/>
    <w:rPr>
      <w:rFonts w:ascii="Arial" w:hAnsi="Arial"/>
      <w:sz w:val="16"/>
      <w:szCs w:val="16"/>
    </w:rPr>
  </w:style>
  <w:style w:type="paragraph" w:customStyle="1" w:styleId="List4">
    <w:name w:val="List4"/>
    <w:basedOn w:val="Normal"/>
    <w:rsid w:val="00C62DCD"/>
    <w:pPr>
      <w:tabs>
        <w:tab w:val="num" w:pos="360"/>
      </w:tabs>
      <w:spacing w:before="160"/>
      <w:ind w:left="360" w:hanging="360"/>
      <w:jc w:val="both"/>
    </w:pPr>
    <w:rPr>
      <w:rFonts w:ascii="Arial" w:hAnsi="Arial"/>
      <w:sz w:val="19"/>
      <w:szCs w:val="19"/>
    </w:rPr>
  </w:style>
  <w:style w:type="paragraph" w:styleId="TOCHeading">
    <w:name w:val="TOC Heading"/>
    <w:basedOn w:val="Heading1"/>
    <w:next w:val="Normal"/>
    <w:uiPriority w:val="39"/>
    <w:semiHidden/>
    <w:unhideWhenUsed/>
    <w:qFormat/>
    <w:rsid w:val="00C62DCD"/>
    <w:pPr>
      <w:widowControl/>
      <w:spacing w:before="480"/>
      <w:jc w:val="center"/>
      <w:outlineLvl w:val="9"/>
    </w:pPr>
    <w:rPr>
      <w:bCs/>
      <w:sz w:val="28"/>
      <w:szCs w:val="28"/>
      <w:lang w:eastAsia="ja-JP"/>
    </w:rPr>
  </w:style>
  <w:style w:type="paragraph" w:customStyle="1" w:styleId="List5">
    <w:name w:val="List5"/>
    <w:basedOn w:val="Normal"/>
    <w:rsid w:val="00C62DCD"/>
    <w:pPr>
      <w:tabs>
        <w:tab w:val="num" w:pos="360"/>
      </w:tabs>
      <w:spacing w:before="160"/>
      <w:ind w:left="360" w:hanging="360"/>
      <w:jc w:val="both"/>
    </w:pPr>
    <w:rPr>
      <w:rFonts w:ascii="Arial" w:hAnsi="Arial"/>
      <w:sz w:val="19"/>
      <w:szCs w:val="19"/>
    </w:rPr>
  </w:style>
  <w:style w:type="paragraph" w:customStyle="1" w:styleId="FootnoteText3">
    <w:name w:val="Footnote Text3"/>
    <w:basedOn w:val="note"/>
    <w:rsid w:val="00C62DCD"/>
    <w:pPr>
      <w:spacing w:before="0" w:after="120"/>
    </w:pPr>
    <w:rPr>
      <w:szCs w:val="17"/>
    </w:rPr>
  </w:style>
  <w:style w:type="paragraph" w:customStyle="1" w:styleId="List6">
    <w:name w:val="List6"/>
    <w:basedOn w:val="Normal"/>
    <w:rsid w:val="00C62DCD"/>
    <w:pPr>
      <w:tabs>
        <w:tab w:val="num" w:pos="360"/>
      </w:tabs>
      <w:spacing w:before="160"/>
      <w:ind w:left="360" w:hanging="360"/>
      <w:jc w:val="both"/>
    </w:pPr>
    <w:rPr>
      <w:rFonts w:ascii="Arial" w:hAnsi="Arial"/>
      <w:sz w:val="19"/>
      <w:szCs w:val="19"/>
    </w:rPr>
  </w:style>
  <w:style w:type="paragraph" w:customStyle="1" w:styleId="FootnoteText4">
    <w:name w:val="Footnote Text4"/>
    <w:basedOn w:val="note"/>
    <w:rsid w:val="00C62DCD"/>
    <w:pPr>
      <w:spacing w:before="0" w:after="120"/>
    </w:pPr>
    <w:rPr>
      <w:szCs w:val="17"/>
    </w:rPr>
  </w:style>
  <w:style w:type="paragraph" w:customStyle="1" w:styleId="List7">
    <w:name w:val="List7"/>
    <w:basedOn w:val="Normal"/>
    <w:rsid w:val="00C62DCD"/>
    <w:pPr>
      <w:tabs>
        <w:tab w:val="num" w:pos="360"/>
      </w:tabs>
      <w:spacing w:before="160"/>
      <w:ind w:left="360" w:hanging="360"/>
      <w:jc w:val="both"/>
    </w:pPr>
    <w:rPr>
      <w:rFonts w:ascii="Arial" w:hAnsi="Arial"/>
      <w:sz w:val="19"/>
      <w:szCs w:val="19"/>
    </w:rPr>
  </w:style>
  <w:style w:type="paragraph" w:customStyle="1" w:styleId="FootnoteText5">
    <w:name w:val="Footnote Text5"/>
    <w:basedOn w:val="note"/>
    <w:rsid w:val="00C62DCD"/>
    <w:pPr>
      <w:spacing w:before="0" w:after="120"/>
    </w:pPr>
    <w:rPr>
      <w:szCs w:val="17"/>
    </w:rPr>
  </w:style>
  <w:style w:type="numbering" w:customStyle="1" w:styleId="Style1">
    <w:name w:val="Style1"/>
    <w:uiPriority w:val="99"/>
    <w:rsid w:val="00C62DCD"/>
    <w:pPr>
      <w:numPr>
        <w:numId w:val="26"/>
      </w:numPr>
    </w:pPr>
  </w:style>
  <w:style w:type="character" w:customStyle="1" w:styleId="UnresolvedMention1">
    <w:name w:val="Unresolved Mention1"/>
    <w:uiPriority w:val="99"/>
    <w:semiHidden/>
    <w:unhideWhenUsed/>
    <w:rsid w:val="00C62DCD"/>
    <w:rPr>
      <w:color w:val="808080"/>
      <w:shd w:val="clear" w:color="auto" w:fill="E6E6E6"/>
    </w:rPr>
  </w:style>
  <w:style w:type="paragraph" w:customStyle="1" w:styleId="Contents">
    <w:name w:val="Contents"/>
    <w:basedOn w:val="Normal"/>
    <w:rsid w:val="00C62DCD"/>
    <w:pPr>
      <w:tabs>
        <w:tab w:val="left" w:pos="360"/>
        <w:tab w:val="right" w:leader="dot" w:pos="9360"/>
      </w:tabs>
      <w:jc w:val="both"/>
    </w:pPr>
    <w:rPr>
      <w:rFonts w:ascii="Arial" w:hAnsi="Arial"/>
      <w:sz w:val="19"/>
      <w:szCs w:val="19"/>
    </w:rPr>
  </w:style>
  <w:style w:type="character" w:customStyle="1" w:styleId="definitiontextChar">
    <w:name w:val="definition text Char"/>
    <w:link w:val="definitiontext"/>
    <w:locked/>
    <w:rsid w:val="00C62DCD"/>
    <w:rPr>
      <w:rFonts w:ascii="Arial" w:hAnsi="Arial"/>
      <w:sz w:val="19"/>
      <w:szCs w:val="19"/>
    </w:rPr>
  </w:style>
  <w:style w:type="character" w:customStyle="1" w:styleId="hits1">
    <w:name w:val="hits1"/>
    <w:rsid w:val="00C62DCD"/>
    <w:rPr>
      <w:color w:val="FF0000"/>
    </w:rPr>
  </w:style>
  <w:style w:type="paragraph" w:styleId="NoSpacing">
    <w:name w:val="No Spacing"/>
    <w:uiPriority w:val="1"/>
    <w:qFormat/>
    <w:rsid w:val="00AA0CD8"/>
    <w:rPr>
      <w:rFonts w:ascii="Calibri" w:eastAsia="Calibri" w:hAnsi="Calibri"/>
      <w:sz w:val="22"/>
      <w:szCs w:val="22"/>
    </w:rPr>
  </w:style>
  <w:style w:type="table" w:customStyle="1" w:styleId="TableGrid1">
    <w:name w:val="Table Grid1"/>
    <w:basedOn w:val="TableNormal"/>
    <w:next w:val="TableGrid"/>
    <w:uiPriority w:val="39"/>
    <w:rsid w:val="00367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835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A7D49"/>
    <w:rPr>
      <w:color w:val="2B579A"/>
      <w:shd w:val="clear" w:color="auto" w:fill="E1DFDD"/>
    </w:rPr>
  </w:style>
  <w:style w:type="table" w:customStyle="1" w:styleId="TableGrid0">
    <w:name w:val="TableGrid"/>
    <w:rsid w:val="00714513"/>
    <w:rPr>
      <w:rFonts w:eastAsia="MS Mincho" w:asciiTheme="minorHAnsi"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industry/small-business-assistance"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64B4D-088A-450A-B7EB-47CCF7172011}">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2024-07-03T00:02:00Z</dcterms:created>
  <dcterms:modified xsi:type="dcterms:W3CDTF">2024-07-03T11:57:00Z</dcterms:modified>
</cp:coreProperties>
</file>