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0123" w:rsidP="00080123" w14:paraId="2E33936F" w14:textId="77777777">
      <w:pPr>
        <w:rPr>
          <w:b/>
          <w:u w:val="single"/>
        </w:rPr>
      </w:pPr>
    </w:p>
    <w:p w:rsidR="009E329D" w:rsidRPr="00CD6014" w:rsidP="009E329D" w14:paraId="29AD2557" w14:textId="4EB4BAFF">
      <w:pPr>
        <w:jc w:val="center"/>
        <w:rPr>
          <w:b/>
          <w:sz w:val="44"/>
          <w:szCs w:val="44"/>
        </w:rPr>
      </w:pPr>
      <w:r>
        <w:rPr>
          <w:b/>
          <w:sz w:val="44"/>
          <w:szCs w:val="44"/>
        </w:rPr>
        <w:t>Importation</w:t>
      </w:r>
      <w:r w:rsidRPr="00CD6014">
        <w:rPr>
          <w:b/>
          <w:sz w:val="44"/>
          <w:szCs w:val="44"/>
        </w:rPr>
        <w:t xml:space="preserve"> Regulations (42 CFR 71)</w:t>
      </w:r>
    </w:p>
    <w:p w:rsidR="00080123" w:rsidRPr="00C77027" w:rsidP="00080123" w14:paraId="5B873BD1" w14:textId="4A537E8F">
      <w:pPr>
        <w:jc w:val="center"/>
        <w:rPr>
          <w:b/>
        </w:rPr>
      </w:pPr>
      <w:r w:rsidRPr="00C77027">
        <w:rPr>
          <w:b/>
        </w:rPr>
        <w:t xml:space="preserve"> (OMB Control No. 0920-</w:t>
      </w:r>
      <w:r w:rsidR="004A6831">
        <w:rPr>
          <w:b/>
        </w:rPr>
        <w:t>1383</w:t>
      </w:r>
      <w:r w:rsidRPr="00C77027">
        <w:rPr>
          <w:b/>
        </w:rPr>
        <w:t>)</w:t>
      </w:r>
    </w:p>
    <w:p w:rsidR="00080123" w:rsidRPr="00C77027" w:rsidP="00080123" w14:paraId="6E0EAF84" w14:textId="77777777">
      <w:pPr>
        <w:jc w:val="center"/>
        <w:rPr>
          <w:b/>
        </w:rPr>
      </w:pPr>
      <w:r>
        <w:rPr>
          <w:b/>
        </w:rPr>
        <w:t>Supporting Statement B</w:t>
      </w:r>
    </w:p>
    <w:p w:rsidR="00080123" w:rsidP="00080123" w14:paraId="44705F0D" w14:textId="6D4F3479">
      <w:pPr>
        <w:jc w:val="center"/>
        <w:rPr>
          <w:b/>
        </w:rPr>
      </w:pPr>
      <w:r>
        <w:rPr>
          <w:b/>
        </w:rPr>
        <w:t>Revision of Existing</w:t>
      </w:r>
      <w:r w:rsidR="00AA54FF">
        <w:rPr>
          <w:b/>
        </w:rPr>
        <w:t xml:space="preserve"> Information</w:t>
      </w:r>
      <w:r w:rsidRPr="00C77027">
        <w:rPr>
          <w:b/>
        </w:rPr>
        <w:t xml:space="preserve"> Collection</w:t>
      </w:r>
    </w:p>
    <w:p w:rsidR="000D12AF" w:rsidP="00080123" w14:paraId="729360A8" w14:textId="35177930">
      <w:pPr>
        <w:jc w:val="center"/>
        <w:rPr>
          <w:b/>
        </w:rPr>
      </w:pPr>
      <w:r>
        <w:rPr>
          <w:b/>
        </w:rPr>
        <w:t>2</w:t>
      </w:r>
      <w:r w:rsidR="00271806">
        <w:rPr>
          <w:b/>
        </w:rPr>
        <w:t>/</w:t>
      </w:r>
      <w:r>
        <w:rPr>
          <w:b/>
        </w:rPr>
        <w:t>2</w:t>
      </w:r>
      <w:r w:rsidR="00F01E11">
        <w:rPr>
          <w:b/>
        </w:rPr>
        <w:t>9</w:t>
      </w:r>
      <w:r w:rsidR="009E329D">
        <w:rPr>
          <w:b/>
        </w:rPr>
        <w:t>/202</w:t>
      </w:r>
      <w:r>
        <w:rPr>
          <w:b/>
        </w:rPr>
        <w:t>4</w:t>
      </w:r>
    </w:p>
    <w:p w:rsidR="00080123" w:rsidRPr="00C77027" w:rsidP="00080123" w14:paraId="2941BA17" w14:textId="77777777">
      <w:pPr>
        <w:jc w:val="center"/>
        <w:rPr>
          <w:b/>
        </w:rPr>
      </w:pPr>
    </w:p>
    <w:p w:rsidR="00080123" w:rsidRPr="00C77027" w:rsidP="00080123" w14:paraId="598CDFD7" w14:textId="77777777">
      <w:pPr>
        <w:jc w:val="center"/>
        <w:rPr>
          <w:b/>
        </w:rPr>
      </w:pPr>
    </w:p>
    <w:p w:rsidR="00080123" w:rsidRPr="00C77027" w:rsidP="00080123" w14:paraId="0C7432FF" w14:textId="77777777">
      <w:pPr>
        <w:jc w:val="center"/>
        <w:rPr>
          <w:b/>
        </w:rPr>
      </w:pPr>
    </w:p>
    <w:p w:rsidR="00080123" w:rsidRPr="00C77027" w:rsidP="00080123" w14:paraId="60D505B9" w14:textId="77777777">
      <w:pPr>
        <w:jc w:val="center"/>
        <w:rPr>
          <w:b/>
        </w:rPr>
      </w:pPr>
    </w:p>
    <w:p w:rsidR="00080123" w:rsidRPr="00C77027" w:rsidP="00080123" w14:paraId="67498709" w14:textId="77777777">
      <w:pPr>
        <w:jc w:val="center"/>
        <w:rPr>
          <w:b/>
        </w:rPr>
      </w:pPr>
    </w:p>
    <w:p w:rsidR="00080123" w:rsidRPr="00C77027" w:rsidP="00080123" w14:paraId="0ACE55A4" w14:textId="77777777">
      <w:pPr>
        <w:jc w:val="center"/>
        <w:rPr>
          <w:b/>
        </w:rPr>
      </w:pPr>
    </w:p>
    <w:p w:rsidR="00080123" w:rsidRPr="00C77027" w:rsidP="00080123" w14:paraId="28B8213D" w14:textId="77777777">
      <w:pPr>
        <w:jc w:val="center"/>
        <w:rPr>
          <w:b/>
        </w:rPr>
      </w:pPr>
    </w:p>
    <w:p w:rsidR="00080123" w:rsidRPr="00C77027" w:rsidP="00080123" w14:paraId="3ADFDE87" w14:textId="77777777">
      <w:pPr>
        <w:jc w:val="center"/>
        <w:rPr>
          <w:b/>
        </w:rPr>
      </w:pPr>
    </w:p>
    <w:p w:rsidR="00080123" w:rsidRPr="00C77027" w:rsidP="00080123" w14:paraId="3968B1D1" w14:textId="77777777">
      <w:pPr>
        <w:jc w:val="center"/>
        <w:rPr>
          <w:b/>
        </w:rPr>
      </w:pPr>
    </w:p>
    <w:p w:rsidR="00080123" w:rsidRPr="00C77027" w:rsidP="00080123" w14:paraId="007A716D" w14:textId="77777777">
      <w:pPr>
        <w:jc w:val="center"/>
        <w:rPr>
          <w:b/>
        </w:rPr>
      </w:pPr>
    </w:p>
    <w:p w:rsidR="00080123" w:rsidRPr="00C77027" w:rsidP="00080123" w14:paraId="745E158C" w14:textId="77777777">
      <w:pPr>
        <w:jc w:val="center"/>
        <w:rPr>
          <w:b/>
        </w:rPr>
      </w:pPr>
    </w:p>
    <w:p w:rsidR="00080123" w:rsidRPr="00C77027" w:rsidP="00080123" w14:paraId="586D897B" w14:textId="77777777">
      <w:pPr>
        <w:jc w:val="center"/>
        <w:rPr>
          <w:b/>
        </w:rPr>
      </w:pPr>
    </w:p>
    <w:p w:rsidR="00080123" w:rsidRPr="00C77027" w:rsidP="00080123" w14:paraId="7D400F2B" w14:textId="77777777">
      <w:pPr>
        <w:jc w:val="center"/>
        <w:rPr>
          <w:b/>
        </w:rPr>
      </w:pPr>
    </w:p>
    <w:p w:rsidR="00080123" w:rsidRPr="00C77027" w:rsidP="00080123" w14:paraId="1D92DC82" w14:textId="77777777">
      <w:pPr>
        <w:jc w:val="center"/>
        <w:rPr>
          <w:b/>
        </w:rPr>
      </w:pPr>
    </w:p>
    <w:p w:rsidR="00080123" w:rsidRPr="00C77027" w:rsidP="00080123" w14:paraId="262232AE" w14:textId="77777777">
      <w:pPr>
        <w:jc w:val="center"/>
        <w:rPr>
          <w:b/>
        </w:rPr>
      </w:pPr>
    </w:p>
    <w:p w:rsidR="00080123" w:rsidRPr="00C77027" w:rsidP="00080123" w14:paraId="08FF13AF" w14:textId="77777777">
      <w:pPr>
        <w:jc w:val="center"/>
        <w:rPr>
          <w:b/>
        </w:rPr>
      </w:pPr>
    </w:p>
    <w:p w:rsidR="00080123" w:rsidRPr="00C77027" w:rsidP="00080123" w14:paraId="3CA2C537" w14:textId="77777777">
      <w:pPr>
        <w:jc w:val="center"/>
        <w:rPr>
          <w:b/>
        </w:rPr>
      </w:pPr>
    </w:p>
    <w:p w:rsidR="00080123" w:rsidRPr="00C77027" w:rsidP="00080123" w14:paraId="4B74A200" w14:textId="77777777">
      <w:pPr>
        <w:jc w:val="center"/>
        <w:rPr>
          <w:b/>
        </w:rPr>
      </w:pPr>
    </w:p>
    <w:p w:rsidR="00080123" w:rsidRPr="00C77027" w:rsidP="00080123" w14:paraId="5477BDBB" w14:textId="77777777">
      <w:pPr>
        <w:jc w:val="center"/>
        <w:rPr>
          <w:b/>
        </w:rPr>
      </w:pPr>
    </w:p>
    <w:p w:rsidR="00080123" w:rsidRPr="00C77027" w:rsidP="00080123" w14:paraId="10B67FB6" w14:textId="77777777">
      <w:pPr>
        <w:jc w:val="center"/>
        <w:rPr>
          <w:b/>
        </w:rPr>
      </w:pPr>
    </w:p>
    <w:p w:rsidR="00080123" w:rsidRPr="00C77027" w:rsidP="00080123" w14:paraId="444E1540" w14:textId="77777777">
      <w:pPr>
        <w:jc w:val="center"/>
        <w:rPr>
          <w:b/>
        </w:rPr>
      </w:pPr>
    </w:p>
    <w:p w:rsidR="00080123" w:rsidRPr="00C77027" w:rsidP="00080123" w14:paraId="02921192" w14:textId="77777777">
      <w:pPr>
        <w:jc w:val="center"/>
        <w:rPr>
          <w:b/>
        </w:rPr>
      </w:pPr>
    </w:p>
    <w:p w:rsidR="00080123" w:rsidRPr="00C77027" w:rsidP="00080123" w14:paraId="38B8AEEF" w14:textId="77777777">
      <w:pPr>
        <w:rPr>
          <w:b/>
        </w:rPr>
      </w:pPr>
    </w:p>
    <w:p w:rsidR="00080123" w:rsidRPr="00C77027" w:rsidP="00080123" w14:paraId="201BD6B4" w14:textId="77777777">
      <w:pPr>
        <w:outlineLvl w:val="0"/>
        <w:rPr>
          <w:b/>
        </w:rPr>
      </w:pPr>
      <w:bookmarkStart w:id="0" w:name="_Toc295819826"/>
      <w:bookmarkStart w:id="1" w:name="_Toc295818053"/>
      <w:bookmarkStart w:id="2" w:name="_Toc295817572"/>
      <w:bookmarkStart w:id="3" w:name="_Toc295817038"/>
    </w:p>
    <w:p w:rsidR="00080123" w:rsidRPr="00C77027" w:rsidP="00080123" w14:paraId="670873A2" w14:textId="77777777">
      <w:pPr>
        <w:outlineLvl w:val="0"/>
        <w:rPr>
          <w:b/>
        </w:rPr>
      </w:pPr>
    </w:p>
    <w:p w:rsidR="00080123" w:rsidRPr="00C77027" w:rsidP="00080123" w14:paraId="4A48E930" w14:textId="77777777">
      <w:pPr>
        <w:outlineLvl w:val="0"/>
        <w:rPr>
          <w:b/>
        </w:rPr>
      </w:pPr>
    </w:p>
    <w:p w:rsidR="00080123" w:rsidRPr="00C77027" w:rsidP="00080123" w14:paraId="6A26C062" w14:textId="77777777">
      <w:pPr>
        <w:outlineLvl w:val="0"/>
        <w:rPr>
          <w:b/>
        </w:rPr>
      </w:pPr>
    </w:p>
    <w:p w:rsidR="00080123" w:rsidRPr="00C77027" w:rsidP="00080123" w14:paraId="6BAF69A8" w14:textId="77777777">
      <w:pPr>
        <w:outlineLvl w:val="0"/>
        <w:rPr>
          <w:b/>
        </w:rPr>
      </w:pPr>
    </w:p>
    <w:p w:rsidR="00080123" w:rsidRPr="00C77027" w:rsidP="00080123" w14:paraId="43754E1D" w14:textId="77777777">
      <w:pPr>
        <w:outlineLvl w:val="0"/>
        <w:rPr>
          <w:b/>
        </w:rPr>
      </w:pPr>
    </w:p>
    <w:p w:rsidR="000D12AF" w:rsidRPr="00E059CA" w:rsidP="000D12AF" w14:paraId="56E61558" w14:textId="77777777">
      <w:bookmarkStart w:id="4" w:name="_Toc371500572"/>
      <w:bookmarkStart w:id="5" w:name="_Toc374340917"/>
      <w:r w:rsidRPr="00E059CA">
        <w:rPr>
          <w:b/>
          <w:u w:val="single"/>
        </w:rPr>
        <w:t>Program Official/Project Officer</w:t>
      </w:r>
    </w:p>
    <w:p w:rsidR="009E329D" w:rsidP="009E329D" w14:paraId="1A12DFCB" w14:textId="694869D9">
      <w:pPr>
        <w:pStyle w:val="NoSpacing"/>
      </w:pPr>
      <w:r>
        <w:t>Rudith Vice</w:t>
      </w:r>
    </w:p>
    <w:p w:rsidR="009E329D" w:rsidP="009E329D" w14:paraId="61203973" w14:textId="77777777">
      <w:pPr>
        <w:pStyle w:val="NoSpacing"/>
      </w:pPr>
      <w:r>
        <w:t xml:space="preserve">National Center for Emerging and Zoonotic Infectious Diseases </w:t>
      </w:r>
    </w:p>
    <w:p w:rsidR="009E329D" w:rsidP="009E329D" w14:paraId="2C48CE4A" w14:textId="77777777">
      <w:pPr>
        <w:pStyle w:val="NoSpacing"/>
      </w:pPr>
      <w:r>
        <w:t xml:space="preserve">Centers for Disease Control and Prevention </w:t>
      </w:r>
    </w:p>
    <w:p w:rsidR="009E329D" w:rsidP="009E329D" w14:paraId="001EBABD" w14:textId="77777777">
      <w:pPr>
        <w:pStyle w:val="NoSpacing"/>
      </w:pPr>
      <w:r>
        <w:t xml:space="preserve">1600 Clifton Road, NE </w:t>
      </w:r>
    </w:p>
    <w:p w:rsidR="009E329D" w:rsidP="009E329D" w14:paraId="35EE8D92" w14:textId="77777777">
      <w:pPr>
        <w:pStyle w:val="NoSpacing"/>
      </w:pPr>
      <w:r>
        <w:t xml:space="preserve">Atlanta, Georgia 30333 </w:t>
      </w:r>
    </w:p>
    <w:p w:rsidR="009E329D" w:rsidP="009E329D" w14:paraId="1BB9FAA0" w14:textId="603DC7D0">
      <w:pPr>
        <w:pStyle w:val="NoSpacing"/>
      </w:pPr>
      <w:r>
        <w:t xml:space="preserve">Phone: </w:t>
      </w:r>
      <w:r w:rsidRPr="00CA2110">
        <w:t>404.</w:t>
      </w:r>
      <w:r w:rsidR="003B1346">
        <w:t>553.3567</w:t>
      </w:r>
    </w:p>
    <w:p w:rsidR="009E329D" w:rsidP="009E329D" w14:paraId="48D09328" w14:textId="4B7989C8">
      <w:pPr>
        <w:pStyle w:val="NoSpacing"/>
      </w:pPr>
      <w:r>
        <w:t xml:space="preserve">Email: </w:t>
      </w:r>
      <w:hyperlink r:id="rId8" w:history="1">
        <w:r w:rsidRPr="00E3734A" w:rsidR="004A6831">
          <w:rPr>
            <w:rStyle w:val="Hyperlink"/>
          </w:rPr>
          <w:t>nhr9@cdc.gov</w:t>
        </w:r>
      </w:hyperlink>
    </w:p>
    <w:bookmarkEnd w:id="3" w:displacedByCustomXml="next"/>
    <w:bookmarkEnd w:id="2" w:displacedByCustomXml="next"/>
    <w:bookmarkEnd w:id="1" w:displacedByCustomXml="next"/>
    <w:bookmarkEnd w:id="0" w:displacedByCustomXml="next"/>
    <w:bookmarkEnd w:id="5" w:displacedByCustomXml="next"/>
    <w:bookmarkEnd w:id="4" w:displacedByCustomXml="next"/>
    <w:sdt>
      <w:sdtPr>
        <w:rPr>
          <w:rFonts w:ascii="Times New Roman" w:eastAsia="Times New Roman" w:hAnsi="Times New Roman" w:cs="Times New Roman"/>
          <w:b w:val="0"/>
          <w:bCs w:val="0"/>
          <w:color w:val="auto"/>
          <w:sz w:val="24"/>
          <w:szCs w:val="24"/>
          <w:lang w:eastAsia="en-US"/>
        </w:rPr>
        <w:id w:val="-1689901907"/>
        <w:docPartObj>
          <w:docPartGallery w:val="Table of Contents"/>
          <w:docPartUnique/>
        </w:docPartObj>
      </w:sdtPr>
      <w:sdtEndPr>
        <w:rPr>
          <w:noProof/>
        </w:rPr>
      </w:sdtEndPr>
      <w:sdtContent>
        <w:p w:rsidR="002E7198" w:rsidRPr="003E2257" w14:paraId="29BC9776" w14:textId="77777777">
          <w:pPr>
            <w:pStyle w:val="TOCHeading"/>
            <w:rPr>
              <w:rFonts w:ascii="Times New Roman" w:hAnsi="Times New Roman" w:cs="Times New Roman"/>
              <w:color w:val="auto"/>
            </w:rPr>
          </w:pPr>
          <w:r w:rsidRPr="003E2257">
            <w:rPr>
              <w:rFonts w:ascii="Times New Roman" w:hAnsi="Times New Roman" w:cs="Times New Roman"/>
              <w:color w:val="auto"/>
            </w:rPr>
            <w:t>Contents</w:t>
          </w:r>
        </w:p>
        <w:p w:rsidR="002E7198" w14:paraId="430B55C5" w14:textId="2C1513F5">
          <w:pPr>
            <w:pStyle w:val="TOC1"/>
            <w:tabs>
              <w:tab w:val="right" w:leader="dot" w:pos="9350"/>
            </w:tabs>
            <w:rPr>
              <w:noProof/>
            </w:rPr>
          </w:pPr>
          <w:r>
            <w:fldChar w:fldCharType="begin"/>
          </w:r>
          <w:r>
            <w:instrText xml:space="preserve"> TOC \o "1-3" \h \z \u </w:instrText>
          </w:r>
          <w:r>
            <w:fldChar w:fldCharType="separate"/>
          </w:r>
          <w:hyperlink w:anchor="_Toc415036872" w:history="1">
            <w:r w:rsidRPr="00613B6B">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_Toc415036872 \h </w:instrText>
            </w:r>
            <w:r>
              <w:rPr>
                <w:noProof/>
                <w:webHidden/>
              </w:rPr>
              <w:fldChar w:fldCharType="separate"/>
            </w:r>
            <w:r w:rsidR="00625ACC">
              <w:rPr>
                <w:noProof/>
                <w:webHidden/>
              </w:rPr>
              <w:t>2</w:t>
            </w:r>
            <w:r>
              <w:rPr>
                <w:noProof/>
                <w:webHidden/>
              </w:rPr>
              <w:fldChar w:fldCharType="end"/>
            </w:r>
          </w:hyperlink>
        </w:p>
        <w:p w:rsidR="002E7198" w14:paraId="24E6407B" w14:textId="5C73D1E8">
          <w:pPr>
            <w:pStyle w:val="TOC1"/>
            <w:tabs>
              <w:tab w:val="right" w:leader="dot" w:pos="9350"/>
            </w:tabs>
            <w:rPr>
              <w:noProof/>
            </w:rPr>
          </w:pPr>
          <w:hyperlink w:anchor="_Toc415036873" w:history="1">
            <w:r w:rsidRPr="00613B6B">
              <w:rPr>
                <w:rStyle w:val="Hyperlink"/>
                <w:noProof/>
              </w:rPr>
              <w:t>1. Respondent universe and Sampling Methods</w:t>
            </w:r>
            <w:r>
              <w:rPr>
                <w:noProof/>
                <w:webHidden/>
              </w:rPr>
              <w:tab/>
            </w:r>
            <w:r>
              <w:rPr>
                <w:noProof/>
                <w:webHidden/>
              </w:rPr>
              <w:fldChar w:fldCharType="begin"/>
            </w:r>
            <w:r>
              <w:rPr>
                <w:noProof/>
                <w:webHidden/>
              </w:rPr>
              <w:instrText xml:space="preserve"> PAGEREF _Toc415036873 \h </w:instrText>
            </w:r>
            <w:r>
              <w:rPr>
                <w:noProof/>
                <w:webHidden/>
              </w:rPr>
              <w:fldChar w:fldCharType="separate"/>
            </w:r>
            <w:r w:rsidR="00625ACC">
              <w:rPr>
                <w:noProof/>
                <w:webHidden/>
              </w:rPr>
              <w:t>2</w:t>
            </w:r>
            <w:r>
              <w:rPr>
                <w:noProof/>
                <w:webHidden/>
              </w:rPr>
              <w:fldChar w:fldCharType="end"/>
            </w:r>
          </w:hyperlink>
        </w:p>
        <w:p w:rsidR="002E7198" w14:paraId="30448753" w14:textId="72183471">
          <w:pPr>
            <w:pStyle w:val="TOC1"/>
            <w:tabs>
              <w:tab w:val="right" w:leader="dot" w:pos="9350"/>
            </w:tabs>
            <w:rPr>
              <w:noProof/>
            </w:rPr>
          </w:pPr>
          <w:hyperlink w:anchor="_Toc415036874" w:history="1">
            <w:r w:rsidRPr="00613B6B">
              <w:rPr>
                <w:rStyle w:val="Hyperlink"/>
                <w:noProof/>
              </w:rPr>
              <w:t>2. Procedures for the Collection of Information</w:t>
            </w:r>
            <w:r>
              <w:rPr>
                <w:noProof/>
                <w:webHidden/>
              </w:rPr>
              <w:tab/>
            </w:r>
            <w:r>
              <w:rPr>
                <w:noProof/>
                <w:webHidden/>
              </w:rPr>
              <w:fldChar w:fldCharType="begin"/>
            </w:r>
            <w:r>
              <w:rPr>
                <w:noProof/>
                <w:webHidden/>
              </w:rPr>
              <w:instrText xml:space="preserve"> PAGEREF _Toc415036874 \h </w:instrText>
            </w:r>
            <w:r>
              <w:rPr>
                <w:noProof/>
                <w:webHidden/>
              </w:rPr>
              <w:fldChar w:fldCharType="separate"/>
            </w:r>
            <w:r w:rsidR="00625ACC">
              <w:rPr>
                <w:noProof/>
                <w:webHidden/>
              </w:rPr>
              <w:t>2</w:t>
            </w:r>
            <w:r>
              <w:rPr>
                <w:noProof/>
                <w:webHidden/>
              </w:rPr>
              <w:fldChar w:fldCharType="end"/>
            </w:r>
          </w:hyperlink>
        </w:p>
        <w:p w:rsidR="002E7198" w14:paraId="5008506C" w14:textId="7DCE60B1">
          <w:pPr>
            <w:pStyle w:val="TOC1"/>
            <w:tabs>
              <w:tab w:val="right" w:leader="dot" w:pos="9350"/>
            </w:tabs>
            <w:rPr>
              <w:noProof/>
            </w:rPr>
          </w:pPr>
          <w:hyperlink w:anchor="_Toc415036875" w:history="1">
            <w:r w:rsidRPr="00613B6B">
              <w:rPr>
                <w:rStyle w:val="Hyperlink"/>
                <w:noProof/>
              </w:rPr>
              <w:t>3. Methods to Maximize Response Rates and Deal with No Response</w:t>
            </w:r>
            <w:r>
              <w:rPr>
                <w:noProof/>
                <w:webHidden/>
              </w:rPr>
              <w:tab/>
            </w:r>
            <w:r>
              <w:rPr>
                <w:noProof/>
                <w:webHidden/>
              </w:rPr>
              <w:fldChar w:fldCharType="begin"/>
            </w:r>
            <w:r>
              <w:rPr>
                <w:noProof/>
                <w:webHidden/>
              </w:rPr>
              <w:instrText xml:space="preserve"> PAGEREF _Toc415036875 \h </w:instrText>
            </w:r>
            <w:r>
              <w:rPr>
                <w:noProof/>
                <w:webHidden/>
              </w:rPr>
              <w:fldChar w:fldCharType="separate"/>
            </w:r>
            <w:r w:rsidR="00625ACC">
              <w:rPr>
                <w:noProof/>
                <w:webHidden/>
              </w:rPr>
              <w:t>2</w:t>
            </w:r>
            <w:r>
              <w:rPr>
                <w:noProof/>
                <w:webHidden/>
              </w:rPr>
              <w:fldChar w:fldCharType="end"/>
            </w:r>
          </w:hyperlink>
        </w:p>
        <w:p w:rsidR="002E7198" w14:paraId="6A020DD5" w14:textId="627D6D50">
          <w:pPr>
            <w:pStyle w:val="TOC1"/>
            <w:tabs>
              <w:tab w:val="right" w:leader="dot" w:pos="9350"/>
            </w:tabs>
            <w:rPr>
              <w:noProof/>
            </w:rPr>
          </w:pPr>
          <w:hyperlink w:anchor="_Toc415036876" w:history="1">
            <w:r w:rsidRPr="00613B6B">
              <w:rPr>
                <w:rStyle w:val="Hyperlink"/>
                <w:noProof/>
              </w:rPr>
              <w:t>4. Tests of Procedures or Methods to be Undertaken</w:t>
            </w:r>
            <w:r>
              <w:rPr>
                <w:noProof/>
                <w:webHidden/>
              </w:rPr>
              <w:tab/>
            </w:r>
            <w:r>
              <w:rPr>
                <w:noProof/>
                <w:webHidden/>
              </w:rPr>
              <w:fldChar w:fldCharType="begin"/>
            </w:r>
            <w:r>
              <w:rPr>
                <w:noProof/>
                <w:webHidden/>
              </w:rPr>
              <w:instrText xml:space="preserve"> PAGEREF _Toc415036876 \h </w:instrText>
            </w:r>
            <w:r>
              <w:rPr>
                <w:noProof/>
                <w:webHidden/>
              </w:rPr>
              <w:fldChar w:fldCharType="separate"/>
            </w:r>
            <w:r w:rsidR="00625ACC">
              <w:rPr>
                <w:noProof/>
                <w:webHidden/>
              </w:rPr>
              <w:t>3</w:t>
            </w:r>
            <w:r>
              <w:rPr>
                <w:noProof/>
                <w:webHidden/>
              </w:rPr>
              <w:fldChar w:fldCharType="end"/>
            </w:r>
          </w:hyperlink>
        </w:p>
        <w:p w:rsidR="002E7198" w14:paraId="6BD992F9" w14:textId="1E6D5025">
          <w:pPr>
            <w:pStyle w:val="TOC1"/>
            <w:tabs>
              <w:tab w:val="right" w:leader="dot" w:pos="9350"/>
            </w:tabs>
            <w:rPr>
              <w:noProof/>
            </w:rPr>
          </w:pPr>
          <w:hyperlink w:anchor="_Toc415036877" w:history="1">
            <w:r w:rsidRPr="00613B6B">
              <w:rPr>
                <w:rStyle w:val="Hyperlink"/>
                <w:noProof/>
              </w:rPr>
              <w:t>5. Individuals Consulted on Statistical Aspects and Individuals Collecting and/or Analyzing Data</w:t>
            </w:r>
            <w:r>
              <w:rPr>
                <w:noProof/>
                <w:webHidden/>
              </w:rPr>
              <w:tab/>
            </w:r>
            <w:r>
              <w:rPr>
                <w:noProof/>
                <w:webHidden/>
              </w:rPr>
              <w:fldChar w:fldCharType="begin"/>
            </w:r>
            <w:r>
              <w:rPr>
                <w:noProof/>
                <w:webHidden/>
              </w:rPr>
              <w:instrText xml:space="preserve"> PAGEREF _Toc415036877 \h </w:instrText>
            </w:r>
            <w:r>
              <w:rPr>
                <w:noProof/>
                <w:webHidden/>
              </w:rPr>
              <w:fldChar w:fldCharType="separate"/>
            </w:r>
            <w:r w:rsidR="00625ACC">
              <w:rPr>
                <w:noProof/>
                <w:webHidden/>
              </w:rPr>
              <w:t>3</w:t>
            </w:r>
            <w:r>
              <w:rPr>
                <w:noProof/>
                <w:webHidden/>
              </w:rPr>
              <w:fldChar w:fldCharType="end"/>
            </w:r>
          </w:hyperlink>
        </w:p>
        <w:p w:rsidR="002E7198" w14:paraId="14E83832" w14:textId="77777777">
          <w:r>
            <w:rPr>
              <w:b/>
              <w:bCs/>
              <w:noProof/>
            </w:rPr>
            <w:fldChar w:fldCharType="end"/>
          </w:r>
        </w:p>
      </w:sdtContent>
    </w:sdt>
    <w:p w:rsidR="00080123" w:rsidRPr="002E7198" w:rsidP="002E7198" w14:paraId="2BC092A2" w14:textId="77777777">
      <w:pPr>
        <w:pStyle w:val="Heading1"/>
        <w:rPr>
          <w:rFonts w:ascii="Times New Roman" w:hAnsi="Times New Roman" w:cs="Times New Roman"/>
          <w:color w:val="auto"/>
          <w:sz w:val="24"/>
          <w:szCs w:val="24"/>
        </w:rPr>
      </w:pPr>
      <w:bookmarkStart w:id="6" w:name="_Toc415036872"/>
      <w:r w:rsidRPr="002E7198">
        <w:rPr>
          <w:rFonts w:ascii="Times New Roman" w:hAnsi="Times New Roman" w:cs="Times New Roman"/>
          <w:color w:val="auto"/>
          <w:sz w:val="24"/>
          <w:szCs w:val="24"/>
        </w:rPr>
        <w:t>B. Collections of Information Employing Statistical Methods</w:t>
      </w:r>
      <w:bookmarkEnd w:id="6"/>
    </w:p>
    <w:p w:rsidR="00080123" w:rsidRPr="00392E33" w:rsidP="00080123" w14:paraId="15C61ABC" w14:textId="77777777">
      <w:r w:rsidRPr="00392E33">
        <w:t xml:space="preserve">There are no statistical methods used in the collection of information.  </w:t>
      </w:r>
    </w:p>
    <w:p w:rsidR="00080123" w:rsidRPr="00392E33" w:rsidP="00080123" w14:paraId="6BFC5584" w14:textId="77777777">
      <w:pPr>
        <w:widowControl w:val="0"/>
      </w:pPr>
    </w:p>
    <w:p w:rsidR="00080123" w:rsidRPr="002E7198" w:rsidP="002E7198" w14:paraId="4A69A423" w14:textId="77777777">
      <w:pPr>
        <w:pStyle w:val="Heading1"/>
        <w:rPr>
          <w:rFonts w:ascii="Times New Roman" w:hAnsi="Times New Roman" w:cs="Times New Roman"/>
          <w:color w:val="auto"/>
          <w:sz w:val="24"/>
          <w:szCs w:val="24"/>
        </w:rPr>
      </w:pPr>
      <w:bookmarkStart w:id="7" w:name="_Toc415036873"/>
      <w:r w:rsidRPr="002E7198">
        <w:rPr>
          <w:rFonts w:ascii="Times New Roman" w:hAnsi="Times New Roman" w:cs="Times New Roman"/>
          <w:color w:val="auto"/>
          <w:sz w:val="24"/>
          <w:szCs w:val="24"/>
        </w:rPr>
        <w:t>1. Respondent universe and Sampling Methods</w:t>
      </w:r>
      <w:bookmarkEnd w:id="7"/>
    </w:p>
    <w:p w:rsidR="00080123" w:rsidP="00080123" w14:paraId="51CA9DDE" w14:textId="77777777">
      <w:pPr>
        <w:widowControl w:val="0"/>
      </w:pPr>
    </w:p>
    <w:p w:rsidR="004E25BD" w:rsidP="00080123" w14:paraId="1E52FB17" w14:textId="7A46FD67">
      <w:pPr>
        <w:widowControl w:val="0"/>
      </w:pPr>
      <w:r>
        <w:t xml:space="preserve">There are no sampling methods employed in this information collection. </w:t>
      </w:r>
      <w:r w:rsidR="0096257C">
        <w:t xml:space="preserve">The regulations at 42 CFR part 71 </w:t>
      </w:r>
      <w:r w:rsidR="00C96383">
        <w:t xml:space="preserve">Subpart F </w:t>
      </w:r>
      <w:r w:rsidR="0096257C">
        <w:t>outline the respondent universe, which is</w:t>
      </w:r>
      <w:r>
        <w:t>:</w:t>
      </w:r>
    </w:p>
    <w:p w:rsidR="004E25BD" w:rsidP="004E25BD" w14:paraId="0D1813FA" w14:textId="057B3666">
      <w:pPr>
        <w:pStyle w:val="ListParagraph"/>
        <w:widowControl w:val="0"/>
        <w:numPr>
          <w:ilvl w:val="0"/>
          <w:numId w:val="1"/>
        </w:numPr>
      </w:pPr>
      <w:r>
        <w:t xml:space="preserve">any </w:t>
      </w:r>
      <w:r w:rsidR="00D55810">
        <w:t xml:space="preserve">person importing </w:t>
      </w:r>
      <w:r w:rsidR="00016606">
        <w:rPr>
          <w:rFonts w:cs="Shruti"/>
        </w:rPr>
        <w:t xml:space="preserve">dogs, cats, turtles, non-human primates (NHPs), civets, African rodents, </w:t>
      </w:r>
      <w:r w:rsidR="0042704F">
        <w:rPr>
          <w:rFonts w:cs="Shruti"/>
        </w:rPr>
        <w:t>and/or bats into the United States.</w:t>
      </w:r>
    </w:p>
    <w:p w:rsidR="004E25BD" w:rsidP="00016606" w14:paraId="24DACFE5" w14:textId="38863F70">
      <w:pPr>
        <w:pStyle w:val="ListParagraph"/>
        <w:widowControl w:val="0"/>
        <w:numPr>
          <w:ilvl w:val="0"/>
          <w:numId w:val="1"/>
        </w:numPr>
      </w:pPr>
      <w:r>
        <w:t xml:space="preserve">any </w:t>
      </w:r>
      <w:r w:rsidR="00D55810">
        <w:t xml:space="preserve">person </w:t>
      </w:r>
      <w:r w:rsidR="00016606">
        <w:t>importing human remains</w:t>
      </w:r>
      <w:r w:rsidR="0042704F">
        <w:t xml:space="preserve"> into the United States.</w:t>
      </w:r>
    </w:p>
    <w:p w:rsidR="004E25BD" w:rsidP="00080123" w14:paraId="2A7B36C6" w14:textId="77777777">
      <w:pPr>
        <w:widowControl w:val="0"/>
      </w:pPr>
    </w:p>
    <w:p w:rsidR="00080123" w:rsidRPr="00392E33" w:rsidP="00080123" w14:paraId="65172E9B" w14:textId="0A04FB8C">
      <w:pPr>
        <w:widowControl w:val="0"/>
        <w:rPr>
          <w:bCs/>
          <w:lang w:val="en"/>
        </w:rPr>
      </w:pPr>
      <w:r w:rsidRPr="007B7642">
        <w:t xml:space="preserve">CDC </w:t>
      </w:r>
      <w:r>
        <w:t>regulates</w:t>
      </w:r>
      <w:r w:rsidRPr="007B7642">
        <w:t xml:space="preserve"> the importation of human remains as well as animals and animal products capable of causing human disease.</w:t>
      </w:r>
      <w:r w:rsidR="008323F6">
        <w:t xml:space="preserve"> </w:t>
      </w:r>
      <w:r w:rsidRPr="008323F6" w:rsidR="008323F6">
        <w:t xml:space="preserve">Statute and the existing regulations governing foreign quarantine activities (42 CFR 71) authorize </w:t>
      </w:r>
      <w:r w:rsidR="004A6831">
        <w:t>port health protection</w:t>
      </w:r>
      <w:r w:rsidRPr="008323F6" w:rsidR="008323F6">
        <w:t xml:space="preserve"> officers and other personnel to inspect and undertake necessary control measures with respect to conveyances, persons, and shipments of animals and etiologic agents in order to protect the public’s health. Other inspection agencies, such as U.S. Customs and Border Protection (CBP), assist quarantine officers in public health screening of persons, pets, and other importations of public health importance and make referrals to </w:t>
      </w:r>
      <w:r w:rsidR="00001CCF">
        <w:t>port health protection</w:t>
      </w:r>
      <w:r w:rsidRPr="008323F6" w:rsidR="008323F6">
        <w:t xml:space="preserve"> station staff when indicated.</w:t>
      </w:r>
    </w:p>
    <w:p w:rsidR="00080123" w:rsidRPr="002E7198" w:rsidP="002E7198" w14:paraId="208E22A2" w14:textId="77777777">
      <w:pPr>
        <w:pStyle w:val="Heading1"/>
        <w:rPr>
          <w:rFonts w:ascii="Times New Roman" w:hAnsi="Times New Roman" w:cs="Times New Roman"/>
          <w:color w:val="auto"/>
          <w:sz w:val="24"/>
          <w:szCs w:val="24"/>
        </w:rPr>
      </w:pPr>
      <w:bookmarkStart w:id="8" w:name="_Toc415036874"/>
      <w:r w:rsidRPr="002E7198">
        <w:rPr>
          <w:rFonts w:ascii="Times New Roman" w:hAnsi="Times New Roman" w:cs="Times New Roman"/>
          <w:color w:val="auto"/>
          <w:sz w:val="24"/>
          <w:szCs w:val="24"/>
        </w:rPr>
        <w:t>2. Procedures for the Collection of Information</w:t>
      </w:r>
      <w:bookmarkEnd w:id="8"/>
    </w:p>
    <w:p w:rsidR="004E25BD" w:rsidP="00C7586E" w14:paraId="6F847759" w14:textId="6400EDAF"/>
    <w:p w:rsidR="003D369C" w:rsidP="004E25BD" w14:paraId="39BFDF3A" w14:textId="5E32CAE5">
      <w:r>
        <w:t>People wishing to import a</w:t>
      </w:r>
      <w:r w:rsidR="00075AE1">
        <w:t xml:space="preserve"> dog </w:t>
      </w:r>
      <w:r w:rsidR="006606A5">
        <w:t xml:space="preserve">into the United States </w:t>
      </w:r>
      <w:r w:rsidR="006606A5">
        <w:t xml:space="preserve">from a country at high risk for dog-maintained rabies virus variant (DMRVV) </w:t>
      </w:r>
      <w:r w:rsidR="00075AE1">
        <w:t>that was vaccinated overseas</w:t>
      </w:r>
      <w:r>
        <w:t xml:space="preserve"> must</w:t>
      </w:r>
      <w:r w:rsidR="002A0D9F">
        <w:t xml:space="preserve"> </w:t>
      </w:r>
      <w:r>
        <w:t xml:space="preserve">complete </w:t>
      </w:r>
      <w:r w:rsidR="006606A5">
        <w:t xml:space="preserve">a </w:t>
      </w:r>
      <w:r w:rsidRPr="006606A5" w:rsidR="006606A5">
        <w:rPr>
          <w:i/>
          <w:iCs/>
        </w:rPr>
        <w:t>CDC Rabies Vaccination and Microchip Record</w:t>
      </w:r>
      <w:r w:rsidR="006606A5">
        <w:t xml:space="preserve"> (Attachment 8) available on CDC’s website. They then may either submit an </w:t>
      </w:r>
      <w:r>
        <w:t xml:space="preserve">online application </w:t>
      </w:r>
      <w:r w:rsidR="00E40D03">
        <w:t xml:space="preserve">(Attachment </w:t>
      </w:r>
      <w:r w:rsidR="006606A5">
        <w:t>6</w:t>
      </w:r>
      <w:r w:rsidR="00E40D03">
        <w:t>)</w:t>
      </w:r>
      <w:r w:rsidR="002A0D9F">
        <w:t xml:space="preserve"> </w:t>
      </w:r>
      <w:r w:rsidR="006606A5">
        <w:t>also</w:t>
      </w:r>
      <w:r w:rsidR="002A0D9F">
        <w:t xml:space="preserve"> available on CDC’s website</w:t>
      </w:r>
      <w:r w:rsidR="00E40D03">
        <w:t xml:space="preserve"> requesting a </w:t>
      </w:r>
      <w:r w:rsidRPr="006606A5" w:rsidR="00E40D03">
        <w:rPr>
          <w:i/>
          <w:iCs/>
        </w:rPr>
        <w:t>CDC Dog Import Permit</w:t>
      </w:r>
      <w:r w:rsidR="006606A5">
        <w:t xml:space="preserve"> or they may make a reservation with a CDC-approved animal care facility. These options will be available until July 31, 2024, after which time the use of the </w:t>
      </w:r>
      <w:r w:rsidRPr="006606A5" w:rsidR="006606A5">
        <w:rPr>
          <w:i/>
          <w:iCs/>
        </w:rPr>
        <w:t>CDC Rabies Vaccination and Microchip Record</w:t>
      </w:r>
      <w:r w:rsidR="006606A5">
        <w:t xml:space="preserve"> will be discontinued and the permit application will be used for the importation of dogs from DMRVV-restricted countries. CDC does not anticipate adding any countries to the DMRVV-restricted country list in 2024.</w:t>
      </w:r>
    </w:p>
    <w:p w:rsidR="006606A5" w:rsidP="004E25BD" w14:paraId="6826BB05" w14:textId="77777777"/>
    <w:p w:rsidR="006606A5" w:rsidP="004E25BD" w14:paraId="5C4C2CC4" w14:textId="785F5D1A">
      <w:r>
        <w:t xml:space="preserve">For U.S.-vaccinated dogs from DMRVV high-risk countries, prior to August 1, 2024, they must have a valid rabies vaccination certificate. They may use the </w:t>
      </w:r>
      <w:r w:rsidRPr="006606A5">
        <w:rPr>
          <w:i/>
          <w:iCs/>
        </w:rPr>
        <w:t>CDC Rabies Vaccination and Microchip Record</w:t>
      </w:r>
      <w:r>
        <w:t xml:space="preserve"> for their certificate, or they may provide the information in a different format. Starting on August 1, 2024, these importer</w:t>
      </w:r>
      <w:r w:rsidR="00A558FC">
        <w:t>s</w:t>
      </w:r>
      <w:r>
        <w:t xml:space="preserve"> must </w:t>
      </w:r>
      <w:r w:rsidR="00B57C25">
        <w:t>obtain a</w:t>
      </w:r>
      <w:r>
        <w:t xml:space="preserve"> </w:t>
      </w:r>
      <w:r w:rsidRPr="00A558FC" w:rsidR="00A558FC">
        <w:rPr>
          <w:i/>
          <w:iCs/>
        </w:rPr>
        <w:t>C</w:t>
      </w:r>
      <w:r w:rsidRPr="00A558FC" w:rsidR="00A558FC">
        <w:rPr>
          <w:i/>
          <w:iCs/>
        </w:rPr>
        <w:t>ertification of U.S. issued Rabies Vaccination</w:t>
      </w:r>
      <w:r w:rsidR="00A558FC">
        <w:rPr>
          <w:i/>
          <w:iCs/>
        </w:rPr>
        <w:t xml:space="preserve"> </w:t>
      </w:r>
      <w:r w:rsidR="00A558FC">
        <w:t xml:space="preserve">(Attachment 11), which will be available on the U.S. Department of Agriculture’s </w:t>
      </w:r>
      <w:r w:rsidR="00C909CF">
        <w:t xml:space="preserve">website through the Veterinary Export Health </w:t>
      </w:r>
      <w:r w:rsidR="00B57C25">
        <w:t>Certification System and will be accessible to veterinarians.</w:t>
      </w:r>
      <w:r w:rsidR="00660D35">
        <w:t xml:space="preserve"> This form </w:t>
      </w:r>
      <w:r w:rsidR="005F61FC">
        <w:t xml:space="preserve">must </w:t>
      </w:r>
      <w:r w:rsidR="00660D35">
        <w:t>be presented to government officials at</w:t>
      </w:r>
      <w:r w:rsidR="00D9007C">
        <w:t xml:space="preserve"> the U.S. port of entry.</w:t>
      </w:r>
    </w:p>
    <w:p w:rsidR="00B57C25" w:rsidP="004E25BD" w14:paraId="0BA3B41A" w14:textId="31FA3DFE"/>
    <w:p w:rsidR="00B57C25" w:rsidP="004E25BD" w14:paraId="0B984828" w14:textId="2BDA7F94">
      <w:r>
        <w:t xml:space="preserve">Starting August 1, 2024, </w:t>
      </w:r>
      <w:r w:rsidR="00E913FF">
        <w:t xml:space="preserve">importers of foreign-vaccinated dogs from DMRVV high-risk countries must obtain a </w:t>
      </w:r>
      <w:r w:rsidRPr="00642D56" w:rsidR="00642D56">
        <w:rPr>
          <w:i/>
          <w:iCs/>
        </w:rPr>
        <w:t>Certification of Foreign Rabies Vaccination and Microchip</w:t>
      </w:r>
      <w:r w:rsidR="00642D56">
        <w:t xml:space="preserve"> form, which will be available on CDC’s website. </w:t>
      </w:r>
      <w:r w:rsidR="00660D35">
        <w:t>This form must be presented to the CDC</w:t>
      </w:r>
      <w:r w:rsidR="00D9007C">
        <w:t>-registered animal care facility when making their reservation with the facility.</w:t>
      </w:r>
    </w:p>
    <w:p w:rsidR="00D9007C" w:rsidP="004E25BD" w14:paraId="24AC225C" w14:textId="77777777"/>
    <w:p w:rsidR="00D9007C" w:rsidRPr="00A558FC" w:rsidP="004E25BD" w14:paraId="23512661" w14:textId="13DD4C2A">
      <w:r>
        <w:t xml:space="preserve">All dog importers must complete a </w:t>
      </w:r>
      <w:r w:rsidRPr="001A4AF0">
        <w:rPr>
          <w:i/>
          <w:iCs/>
        </w:rPr>
        <w:t>CDC Animal Import Form</w:t>
      </w:r>
      <w:r>
        <w:t xml:space="preserve">, which will be available </w:t>
      </w:r>
      <w:r w:rsidR="001A4AF0">
        <w:t>online on CDC’s website</w:t>
      </w:r>
      <w:r w:rsidR="005F61FC">
        <w:t xml:space="preserve"> as of August 1, 2024</w:t>
      </w:r>
      <w:r w:rsidR="001A4AF0">
        <w:t>. Importers of dogs that have not been in a DMRVV high-risk countries may</w:t>
      </w:r>
      <w:r w:rsidR="00386059">
        <w:t xml:space="preserve"> provide a number of documents for entry, one of which is the </w:t>
      </w:r>
      <w:r w:rsidRPr="005F61FC" w:rsidR="00D03580">
        <w:rPr>
          <w:i/>
          <w:iCs/>
        </w:rPr>
        <w:t>Certification of Dog Arriving from DMRVV-free or Low-risk Country</w:t>
      </w:r>
      <w:r w:rsidR="00D03580">
        <w:t xml:space="preserve"> form. This form is available on CDC’s website.</w:t>
      </w:r>
    </w:p>
    <w:p w:rsidR="00001CCF" w:rsidP="004E25BD" w14:paraId="2176B298" w14:textId="77777777"/>
    <w:p w:rsidR="00001CCF" w:rsidP="004E25BD" w14:paraId="70C29255" w14:textId="308BCFC3">
      <w:r>
        <w:t xml:space="preserve">People wishing to </w:t>
      </w:r>
      <w:r w:rsidR="000E5FB4">
        <w:t>become a CDC-registered animal care facility must register with CDC by using the email address posted to CDC’s website. They then email the required forms to complete the process.</w:t>
      </w:r>
    </w:p>
    <w:p w:rsidR="003D369C" w:rsidP="004E25BD" w14:paraId="068B4104" w14:textId="77777777"/>
    <w:p w:rsidR="0037683C" w:rsidRPr="009E329D" w:rsidP="008924CE" w14:paraId="4C2B2DFE" w14:textId="5DFD4FE8">
      <w:pPr>
        <w:rPr>
          <w:rFonts w:cs="Shruti"/>
          <w:bCs/>
        </w:rPr>
      </w:pPr>
      <w:r>
        <w:t xml:space="preserve">People wishing to import NHPs must first register </w:t>
      </w:r>
      <w:r w:rsidR="00924177">
        <w:t xml:space="preserve">with CDC as an importer. </w:t>
      </w:r>
      <w:r w:rsidR="00EE664B">
        <w:t xml:space="preserve">To do so, they need to email CDC’s Division of Global Migration </w:t>
      </w:r>
      <w:r w:rsidR="00001CCF">
        <w:t>Health</w:t>
      </w:r>
      <w:r w:rsidR="00EE664B">
        <w:t xml:space="preserve">. The email address to express interest in becoming an NHP importer is posted to CDC’s website. </w:t>
      </w:r>
      <w:r w:rsidR="000E5FB4">
        <w:t>They will then complete the required forms to register with CDC.</w:t>
      </w:r>
    </w:p>
    <w:p w:rsidR="00080123" w:rsidRPr="002E7198" w:rsidP="002E7198" w14:paraId="5ECA983A" w14:textId="77777777">
      <w:pPr>
        <w:pStyle w:val="Heading1"/>
        <w:rPr>
          <w:rFonts w:ascii="Times New Roman" w:hAnsi="Times New Roman" w:cs="Times New Roman"/>
          <w:color w:val="auto"/>
          <w:sz w:val="24"/>
          <w:szCs w:val="24"/>
        </w:rPr>
      </w:pPr>
      <w:bookmarkStart w:id="9" w:name="_Toc415036875"/>
      <w:r w:rsidRPr="002E7198">
        <w:rPr>
          <w:rFonts w:ascii="Times New Roman" w:hAnsi="Times New Roman" w:cs="Times New Roman"/>
          <w:color w:val="auto"/>
          <w:sz w:val="24"/>
          <w:szCs w:val="24"/>
        </w:rPr>
        <w:t>3. Methods to Maximize Response Rates and Deal with No Response</w:t>
      </w:r>
      <w:bookmarkEnd w:id="9"/>
      <w:r w:rsidRPr="002E7198">
        <w:rPr>
          <w:rFonts w:ascii="Times New Roman" w:hAnsi="Times New Roman" w:cs="Times New Roman"/>
          <w:color w:val="auto"/>
          <w:sz w:val="24"/>
          <w:szCs w:val="24"/>
        </w:rPr>
        <w:t xml:space="preserve"> </w:t>
      </w:r>
    </w:p>
    <w:p w:rsidR="00535426" w:rsidP="00080123" w14:paraId="1D3EC8AE" w14:textId="77777777"/>
    <w:p w:rsidR="00A3748A" w:rsidP="00080123" w14:paraId="46067465" w14:textId="77777777"/>
    <w:p w:rsidR="00ED03B0" w:rsidRPr="00014364" w:rsidP="008924CE" w14:paraId="49B5F1B0" w14:textId="7A8A140B">
      <w:pPr>
        <w:rPr>
          <w:rFonts w:cs="Shruti"/>
          <w:bCs/>
        </w:rPr>
      </w:pPr>
      <w:r>
        <w:t>This information collection is a requirement. People who do not complete the required information collection will not be able to import the regulated animal</w:t>
      </w:r>
      <w:r w:rsidR="00370676">
        <w:t xml:space="preserve"> or human remains.</w:t>
      </w:r>
      <w:r w:rsidR="008924CE">
        <w:t xml:space="preserve"> </w:t>
      </w:r>
    </w:p>
    <w:p w:rsidR="00080123" w:rsidRPr="002E7198" w:rsidP="002E7198" w14:paraId="71B9A282" w14:textId="77777777">
      <w:pPr>
        <w:pStyle w:val="Heading1"/>
        <w:rPr>
          <w:rFonts w:ascii="Times New Roman" w:hAnsi="Times New Roman" w:cs="Times New Roman"/>
          <w:color w:val="auto"/>
          <w:sz w:val="24"/>
          <w:szCs w:val="24"/>
        </w:rPr>
      </w:pPr>
      <w:bookmarkStart w:id="10" w:name="_Toc415036876"/>
      <w:r w:rsidRPr="002E7198">
        <w:rPr>
          <w:rFonts w:ascii="Times New Roman" w:hAnsi="Times New Roman" w:cs="Times New Roman"/>
          <w:color w:val="auto"/>
          <w:sz w:val="24"/>
          <w:szCs w:val="24"/>
        </w:rPr>
        <w:t>4. Tests of Procedures or Methods to be Undertaken</w:t>
      </w:r>
      <w:bookmarkEnd w:id="10"/>
      <w:r w:rsidRPr="002E7198">
        <w:rPr>
          <w:rFonts w:ascii="Times New Roman" w:hAnsi="Times New Roman" w:cs="Times New Roman"/>
          <w:color w:val="auto"/>
          <w:sz w:val="24"/>
          <w:szCs w:val="24"/>
        </w:rPr>
        <w:t xml:space="preserve"> </w:t>
      </w:r>
    </w:p>
    <w:p w:rsidR="007B2FF9" w:rsidP="007B2FF9" w14:paraId="4C23E86F" w14:textId="0C46732A">
      <w:r w:rsidRPr="00392E33">
        <w:t xml:space="preserve">CDC </w:t>
      </w:r>
      <w:r w:rsidR="00982795">
        <w:t xml:space="preserve">is continually </w:t>
      </w:r>
      <w:r w:rsidR="00757047">
        <w:t>thinking of ways to</w:t>
      </w:r>
      <w:r w:rsidR="00982795">
        <w:t xml:space="preserve"> streamline and improve the dog importation process</w:t>
      </w:r>
      <w:r w:rsidR="00994439">
        <w:t xml:space="preserve">. In issuing the Final Rule updating 42 CFR 71.51, CDC considered lessons learned from the temporary suspension of dogs </w:t>
      </w:r>
      <w:r w:rsidR="00AF1DA8">
        <w:t xml:space="preserve">entering the United States from countries </w:t>
      </w:r>
      <w:r w:rsidR="00F01E11">
        <w:t>with a</w:t>
      </w:r>
      <w:r w:rsidR="00AF1DA8">
        <w:t xml:space="preserve"> high risk of rabies</w:t>
      </w:r>
      <w:r w:rsidR="00982795">
        <w:t xml:space="preserve">. </w:t>
      </w:r>
      <w:r w:rsidR="00757047">
        <w:t>While there are no</w:t>
      </w:r>
      <w:r w:rsidR="00625ACC">
        <w:t xml:space="preserve"> current</w:t>
      </w:r>
      <w:r w:rsidR="00757047">
        <w:t xml:space="preserve"> plans to test new procedures related to </w:t>
      </w:r>
      <w:r w:rsidR="00625ACC">
        <w:t>the system at this time, CDC may do so in the future.</w:t>
      </w:r>
    </w:p>
    <w:p w:rsidR="00080123" w:rsidRPr="002E7198" w:rsidP="002E7198" w14:paraId="50CD586D" w14:textId="77777777">
      <w:pPr>
        <w:pStyle w:val="Heading1"/>
        <w:rPr>
          <w:rFonts w:ascii="Times New Roman" w:hAnsi="Times New Roman" w:cs="Times New Roman"/>
          <w:color w:val="auto"/>
          <w:sz w:val="24"/>
          <w:szCs w:val="24"/>
        </w:rPr>
      </w:pPr>
      <w:bookmarkStart w:id="11" w:name="_Toc415036877"/>
      <w:r w:rsidRPr="002E7198">
        <w:rPr>
          <w:rFonts w:ascii="Times New Roman" w:hAnsi="Times New Roman" w:cs="Times New Roman"/>
          <w:color w:val="auto"/>
          <w:sz w:val="24"/>
          <w:szCs w:val="24"/>
        </w:rPr>
        <w:t>5. Individuals Consulted on Statistical Aspects and Individuals Collecting and/or Analyzing Data</w:t>
      </w:r>
      <w:bookmarkEnd w:id="11"/>
    </w:p>
    <w:p w:rsidR="00080123" w:rsidP="00080123" w14:paraId="70C635F8" w14:textId="77777777"/>
    <w:p w:rsidR="00080123" w:rsidRPr="00392E33" w:rsidP="00080123" w14:paraId="7F116C44" w14:textId="77777777">
      <w:r w:rsidRPr="00392E33">
        <w:t>Not Applicable</w:t>
      </w:r>
    </w:p>
    <w:p w:rsidR="00657809" w14:paraId="5A73729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0763000"/>
    <w:multiLevelType w:val="hybridMultilevel"/>
    <w:tmpl w:val="45903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95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23"/>
    <w:rsid w:val="00001CCF"/>
    <w:rsid w:val="00001F96"/>
    <w:rsid w:val="00014364"/>
    <w:rsid w:val="00016606"/>
    <w:rsid w:val="00033E80"/>
    <w:rsid w:val="00035D4A"/>
    <w:rsid w:val="000411D0"/>
    <w:rsid w:val="00075AE1"/>
    <w:rsid w:val="00080123"/>
    <w:rsid w:val="00095D92"/>
    <w:rsid w:val="000B133F"/>
    <w:rsid w:val="000C501C"/>
    <w:rsid w:val="000D12AF"/>
    <w:rsid w:val="000E5FB4"/>
    <w:rsid w:val="000F5FD6"/>
    <w:rsid w:val="00167B13"/>
    <w:rsid w:val="001933C9"/>
    <w:rsid w:val="001A4AF0"/>
    <w:rsid w:val="001C581D"/>
    <w:rsid w:val="00271806"/>
    <w:rsid w:val="002A0D9F"/>
    <w:rsid w:val="002A764A"/>
    <w:rsid w:val="002D4CAD"/>
    <w:rsid w:val="002E7198"/>
    <w:rsid w:val="003463D4"/>
    <w:rsid w:val="00370676"/>
    <w:rsid w:val="003716BE"/>
    <w:rsid w:val="0037683C"/>
    <w:rsid w:val="00386059"/>
    <w:rsid w:val="00392E33"/>
    <w:rsid w:val="003B0AFE"/>
    <w:rsid w:val="003B1346"/>
    <w:rsid w:val="003D369C"/>
    <w:rsid w:val="003E128C"/>
    <w:rsid w:val="003E2257"/>
    <w:rsid w:val="0042704F"/>
    <w:rsid w:val="0044219A"/>
    <w:rsid w:val="00457734"/>
    <w:rsid w:val="0048624D"/>
    <w:rsid w:val="004A6831"/>
    <w:rsid w:val="004E25BD"/>
    <w:rsid w:val="004F6908"/>
    <w:rsid w:val="0050059F"/>
    <w:rsid w:val="00535426"/>
    <w:rsid w:val="005561B7"/>
    <w:rsid w:val="005B6FEE"/>
    <w:rsid w:val="005C0DFC"/>
    <w:rsid w:val="005D605E"/>
    <w:rsid w:val="005F61FC"/>
    <w:rsid w:val="00613B6B"/>
    <w:rsid w:val="00620391"/>
    <w:rsid w:val="00625ACC"/>
    <w:rsid w:val="00642D56"/>
    <w:rsid w:val="00657809"/>
    <w:rsid w:val="006606A5"/>
    <w:rsid w:val="00660D35"/>
    <w:rsid w:val="00666576"/>
    <w:rsid w:val="00736EB2"/>
    <w:rsid w:val="00757047"/>
    <w:rsid w:val="00766436"/>
    <w:rsid w:val="007B2FF9"/>
    <w:rsid w:val="007B7642"/>
    <w:rsid w:val="007E2FFB"/>
    <w:rsid w:val="00810619"/>
    <w:rsid w:val="00810CF8"/>
    <w:rsid w:val="00812FB2"/>
    <w:rsid w:val="00822288"/>
    <w:rsid w:val="008323F6"/>
    <w:rsid w:val="00856182"/>
    <w:rsid w:val="00866C02"/>
    <w:rsid w:val="008924CE"/>
    <w:rsid w:val="008C1AB0"/>
    <w:rsid w:val="0092345E"/>
    <w:rsid w:val="00924177"/>
    <w:rsid w:val="00930406"/>
    <w:rsid w:val="00940787"/>
    <w:rsid w:val="0096257C"/>
    <w:rsid w:val="00963E91"/>
    <w:rsid w:val="00981E7E"/>
    <w:rsid w:val="00982795"/>
    <w:rsid w:val="00990813"/>
    <w:rsid w:val="00994439"/>
    <w:rsid w:val="009E329D"/>
    <w:rsid w:val="009F7446"/>
    <w:rsid w:val="00A3748A"/>
    <w:rsid w:val="00A4659F"/>
    <w:rsid w:val="00A558FC"/>
    <w:rsid w:val="00A96973"/>
    <w:rsid w:val="00AA54FF"/>
    <w:rsid w:val="00AA7AC5"/>
    <w:rsid w:val="00AC7C92"/>
    <w:rsid w:val="00AF1DA8"/>
    <w:rsid w:val="00B30CA4"/>
    <w:rsid w:val="00B33693"/>
    <w:rsid w:val="00B57C25"/>
    <w:rsid w:val="00B614FB"/>
    <w:rsid w:val="00B8599E"/>
    <w:rsid w:val="00BD0608"/>
    <w:rsid w:val="00BE64ED"/>
    <w:rsid w:val="00C05290"/>
    <w:rsid w:val="00C56EFB"/>
    <w:rsid w:val="00C7586E"/>
    <w:rsid w:val="00C77027"/>
    <w:rsid w:val="00C909CF"/>
    <w:rsid w:val="00C96383"/>
    <w:rsid w:val="00CA2110"/>
    <w:rsid w:val="00CD1FFA"/>
    <w:rsid w:val="00CD6014"/>
    <w:rsid w:val="00D03580"/>
    <w:rsid w:val="00D04D64"/>
    <w:rsid w:val="00D13BCA"/>
    <w:rsid w:val="00D33C01"/>
    <w:rsid w:val="00D55810"/>
    <w:rsid w:val="00D648CE"/>
    <w:rsid w:val="00D9007C"/>
    <w:rsid w:val="00D92DA5"/>
    <w:rsid w:val="00DB3155"/>
    <w:rsid w:val="00E059CA"/>
    <w:rsid w:val="00E3734A"/>
    <w:rsid w:val="00E40D03"/>
    <w:rsid w:val="00E5411C"/>
    <w:rsid w:val="00E913FF"/>
    <w:rsid w:val="00EA67E6"/>
    <w:rsid w:val="00ED03B0"/>
    <w:rsid w:val="00EE664B"/>
    <w:rsid w:val="00EF6276"/>
    <w:rsid w:val="00F01E11"/>
    <w:rsid w:val="00F834A4"/>
    <w:rsid w:val="00FD7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BFCABF"/>
  <w15:docId w15:val="{DDA5237D-2461-44FA-875B-39E273F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7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0123"/>
    <w:rPr>
      <w:color w:val="0000FF"/>
      <w:u w:val="single"/>
    </w:rPr>
  </w:style>
  <w:style w:type="character" w:styleId="CommentReference">
    <w:name w:val="annotation reference"/>
    <w:semiHidden/>
    <w:rsid w:val="00080123"/>
    <w:rPr>
      <w:sz w:val="16"/>
      <w:szCs w:val="16"/>
    </w:rPr>
  </w:style>
  <w:style w:type="paragraph" w:styleId="CommentText">
    <w:name w:val="annotation text"/>
    <w:basedOn w:val="Normal"/>
    <w:link w:val="CommentTextChar"/>
    <w:semiHidden/>
    <w:rsid w:val="00080123"/>
    <w:rPr>
      <w:sz w:val="20"/>
      <w:szCs w:val="20"/>
    </w:rPr>
  </w:style>
  <w:style w:type="character" w:customStyle="1" w:styleId="CommentTextChar">
    <w:name w:val="Comment Text Char"/>
    <w:basedOn w:val="DefaultParagraphFont"/>
    <w:link w:val="CommentText"/>
    <w:semiHidden/>
    <w:rsid w:val="00080123"/>
    <w:rPr>
      <w:rFonts w:ascii="Times New Roman" w:eastAsia="Times New Roman" w:hAnsi="Times New Roman" w:cs="Times New Roman"/>
      <w:sz w:val="20"/>
      <w:szCs w:val="20"/>
    </w:rPr>
  </w:style>
  <w:style w:type="paragraph" w:customStyle="1" w:styleId="Level5indent">
    <w:name w:val="Level 5 indent"/>
    <w:basedOn w:val="Normal"/>
    <w:link w:val="Level5indentChar"/>
    <w:uiPriority w:val="99"/>
    <w:rsid w:val="00080123"/>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080123"/>
    <w:rPr>
      <w:rFonts w:ascii="Times New Roman" w:eastAsia="SimSu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80123"/>
    <w:rPr>
      <w:rFonts w:ascii="Tahoma" w:hAnsi="Tahoma" w:cs="Tahoma"/>
      <w:sz w:val="16"/>
      <w:szCs w:val="16"/>
    </w:rPr>
  </w:style>
  <w:style w:type="character" w:customStyle="1" w:styleId="BalloonTextChar">
    <w:name w:val="Balloon Text Char"/>
    <w:basedOn w:val="DefaultParagraphFont"/>
    <w:link w:val="BalloonText"/>
    <w:uiPriority w:val="99"/>
    <w:semiHidden/>
    <w:rsid w:val="0008012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57734"/>
    <w:rPr>
      <w:b/>
      <w:bCs/>
    </w:rPr>
  </w:style>
  <w:style w:type="character" w:customStyle="1" w:styleId="CommentSubjectChar">
    <w:name w:val="Comment Subject Char"/>
    <w:basedOn w:val="CommentTextChar"/>
    <w:link w:val="CommentSubject"/>
    <w:uiPriority w:val="99"/>
    <w:semiHidden/>
    <w:rsid w:val="0045773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E71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E7198"/>
    <w:pPr>
      <w:spacing w:line="276" w:lineRule="auto"/>
      <w:outlineLvl w:val="9"/>
    </w:pPr>
    <w:rPr>
      <w:lang w:eastAsia="ja-JP"/>
    </w:rPr>
  </w:style>
  <w:style w:type="paragraph" w:styleId="TOC1">
    <w:name w:val="toc 1"/>
    <w:basedOn w:val="Normal"/>
    <w:next w:val="Normal"/>
    <w:autoRedefine/>
    <w:uiPriority w:val="39"/>
    <w:unhideWhenUsed/>
    <w:rsid w:val="002E7198"/>
    <w:pPr>
      <w:spacing w:after="100"/>
    </w:pPr>
  </w:style>
  <w:style w:type="paragraph" w:styleId="ListParagraph">
    <w:name w:val="List Paragraph"/>
    <w:basedOn w:val="Normal"/>
    <w:uiPriority w:val="34"/>
    <w:qFormat/>
    <w:rsid w:val="004E25BD"/>
    <w:pPr>
      <w:ind w:left="720"/>
      <w:contextualSpacing/>
    </w:pPr>
  </w:style>
  <w:style w:type="paragraph" w:styleId="NoSpacing">
    <w:name w:val="No Spacing"/>
    <w:uiPriority w:val="1"/>
    <w:qFormat/>
    <w:rsid w:val="009E329D"/>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4A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CF0E-8EF5-41CA-A57A-092BBFF0EC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42438-60B7-41DB-BF7F-2AD724D7B06B}">
  <ds:schemaRefs>
    <ds:schemaRef ds:uri="http://schemas.microsoft.com/sharepoint/v3/contenttype/forms"/>
  </ds:schemaRefs>
</ds:datastoreItem>
</file>

<file path=customXml/itemProps3.xml><?xml version="1.0" encoding="utf-8"?>
<ds:datastoreItem xmlns:ds="http://schemas.openxmlformats.org/officeDocument/2006/customXml" ds:itemID="{12C98B33-1CB4-4838-8F35-1CB5C71F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0AF2C-17EE-4039-B100-2ECEC2DF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Brouillette, Colleen (CDC/NCEZID/DGMH/OD)</cp:lastModifiedBy>
  <cp:revision>15</cp:revision>
  <dcterms:created xsi:type="dcterms:W3CDTF">2024-02-29T18:16:00Z</dcterms:created>
  <dcterms:modified xsi:type="dcterms:W3CDTF">2024-02-29T19:02:00Z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MSIP_Label_7b94a7b8-f06c-4dfe-bdcc-9b548fd58c31_ActionId">
    <vt:lpwstr>32985b12-509c-4254-b001-fe1a252bea36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2022-03-23T14:25:53Z</vt:lpwstr>
  </property>
  <property fmtid="{D5CDD505-2E9C-101B-9397-08002B2CF9AE}" pid="9" name="MSIP_Label_7b94a7b8-f06c-4dfe-bdcc-9b548fd58c31_SiteId">
    <vt:lpwstr>9ce70869-60db-44fd-abe8-d2767077fc8f</vt:lpwstr>
  </property>
</Properties>
</file>