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BDB" w:rsidP="00B56752" w14:paraId="04D81119" w14:textId="77777777">
      <w:pPr>
        <w:autoSpaceDE w:val="0"/>
        <w:autoSpaceDN w:val="0"/>
        <w:adjustRightInd w:val="0"/>
        <w:rPr>
          <w:rFonts w:asciiTheme="minorHAnsi" w:hAnsiTheme="minorHAnsi"/>
          <w:b/>
          <w:bCs/>
          <w:color w:val="FF0000"/>
          <w:sz w:val="22"/>
          <w:szCs w:val="22"/>
        </w:rPr>
      </w:pPr>
    </w:p>
    <w:p w:rsidR="00913EDB" w:rsidRPr="00913EDB" w:rsidP="00FB432B" w14:paraId="04D8111A" w14:textId="77777777">
      <w:pPr>
        <w:autoSpaceDE w:val="0"/>
        <w:autoSpaceDN w:val="0"/>
        <w:adjustRightInd w:val="0"/>
        <w:jc w:val="center"/>
        <w:rPr>
          <w:rFonts w:asciiTheme="minorHAnsi" w:hAnsiTheme="minorHAnsi"/>
          <w:b/>
          <w:bCs/>
          <w:color w:val="FF0000"/>
          <w:sz w:val="22"/>
          <w:szCs w:val="22"/>
        </w:rPr>
      </w:pPr>
    </w:p>
    <w:p w:rsidR="00211558" w:rsidRPr="00691454" w:rsidP="00FB432B" w14:paraId="04D8111B" w14:textId="77777777">
      <w:pPr>
        <w:autoSpaceDE w:val="0"/>
        <w:autoSpaceDN w:val="0"/>
        <w:adjustRightInd w:val="0"/>
        <w:ind w:left="720"/>
        <w:jc w:val="center"/>
        <w:rPr>
          <w:b/>
          <w:bCs/>
        </w:rPr>
      </w:pPr>
    </w:p>
    <w:p w:rsidR="00384074" w:rsidP="00384074" w14:paraId="04D8111C"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92047B" w:rsidRPr="00EA366E" w:rsidP="00384074" w14:paraId="04D8111D"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972DEF" w:rsidP="00FB432B" w14:paraId="04D8111E" w14:textId="77777777">
      <w:pPr>
        <w:pStyle w:val="BalloonText"/>
        <w:jc w:val="center"/>
      </w:pPr>
    </w:p>
    <w:p w:rsidR="00A84082" w:rsidP="00FB432B" w14:paraId="5D1A53B6" w14:textId="77777777">
      <w:pPr>
        <w:pStyle w:val="BalloonText"/>
        <w:jc w:val="center"/>
      </w:pPr>
    </w:p>
    <w:p w:rsidR="00A84082" w:rsidP="00FB432B" w14:paraId="66F44CC6" w14:textId="77777777">
      <w:pPr>
        <w:pStyle w:val="BalloonText"/>
        <w:jc w:val="center"/>
      </w:pPr>
    </w:p>
    <w:p w:rsidR="00A84082" w:rsidP="00FB432B" w14:paraId="30548815" w14:textId="77777777">
      <w:pPr>
        <w:pStyle w:val="BalloonText"/>
        <w:jc w:val="center"/>
      </w:pPr>
    </w:p>
    <w:p w:rsidR="008C4239" w:rsidP="00FB432B" w14:paraId="7679A474" w14:textId="77777777">
      <w:pPr>
        <w:pStyle w:val="BalloonText"/>
        <w:jc w:val="center"/>
      </w:pPr>
    </w:p>
    <w:p w:rsidR="008C4239" w:rsidRPr="00691454" w:rsidP="00FB432B" w14:paraId="3C7F22B1" w14:textId="77777777">
      <w:pPr>
        <w:pStyle w:val="BalloonText"/>
        <w:jc w:val="center"/>
      </w:pPr>
    </w:p>
    <w:p w:rsidR="0092047B" w:rsidP="0074254D" w14:paraId="04D8111F" w14:textId="2E6C2DDB">
      <w:pPr>
        <w:autoSpaceDE w:val="0"/>
        <w:autoSpaceDN w:val="0"/>
        <w:adjustRightInd w:val="0"/>
        <w:jc w:val="center"/>
        <w:rPr>
          <w:b/>
          <w:bCs/>
        </w:rPr>
      </w:pPr>
      <w:bookmarkStart w:id="0" w:name="_Hlk156402714"/>
      <w:r w:rsidRPr="00722FF6">
        <w:rPr>
          <w:b/>
          <w:bCs/>
        </w:rPr>
        <w:t>OD2A</w:t>
      </w:r>
      <w:r w:rsidRPr="00722FF6" w:rsidR="00BA2970">
        <w:rPr>
          <w:b/>
          <w:bCs/>
        </w:rPr>
        <w:t>: LOCAL</w:t>
      </w:r>
      <w:r w:rsidRPr="00722FF6">
        <w:rPr>
          <w:b/>
          <w:bCs/>
        </w:rPr>
        <w:t xml:space="preserve"> </w:t>
      </w:r>
      <w:r w:rsidRPr="00722FF6" w:rsidR="0074254D">
        <w:rPr>
          <w:b/>
          <w:bCs/>
        </w:rPr>
        <w:t xml:space="preserve">Linkage to </w:t>
      </w:r>
      <w:r w:rsidRPr="00722FF6" w:rsidR="00BA2970">
        <w:rPr>
          <w:b/>
          <w:bCs/>
        </w:rPr>
        <w:t xml:space="preserve">and Retention in </w:t>
      </w:r>
      <w:r w:rsidRPr="00722FF6" w:rsidR="0074254D">
        <w:rPr>
          <w:b/>
          <w:bCs/>
        </w:rPr>
        <w:t>Care Surveillance</w:t>
      </w:r>
    </w:p>
    <w:p w:rsidR="008C4239" w:rsidP="0074254D" w14:paraId="54A68742" w14:textId="77777777">
      <w:pPr>
        <w:autoSpaceDE w:val="0"/>
        <w:autoSpaceDN w:val="0"/>
        <w:adjustRightInd w:val="0"/>
        <w:jc w:val="center"/>
        <w:rPr>
          <w:b/>
          <w:bCs/>
        </w:rPr>
      </w:pPr>
    </w:p>
    <w:p w:rsidR="008C4239" w:rsidRPr="00691454" w:rsidP="0074254D" w14:paraId="6674D9B9" w14:textId="77777777">
      <w:pPr>
        <w:autoSpaceDE w:val="0"/>
        <w:autoSpaceDN w:val="0"/>
        <w:adjustRightInd w:val="0"/>
        <w:jc w:val="center"/>
        <w:rPr>
          <w:b/>
          <w:bCs/>
        </w:rPr>
      </w:pPr>
    </w:p>
    <w:bookmarkEnd w:id="0"/>
    <w:p w:rsidR="00972DEF" w:rsidRPr="00691454" w:rsidP="00FB432B" w14:paraId="04D81120" w14:textId="77777777">
      <w:pPr>
        <w:autoSpaceDE w:val="0"/>
        <w:autoSpaceDN w:val="0"/>
        <w:adjustRightInd w:val="0"/>
        <w:jc w:val="center"/>
        <w:rPr>
          <w:b/>
          <w:bCs/>
        </w:rPr>
      </w:pPr>
    </w:p>
    <w:p w:rsidR="00972DEF" w:rsidP="0074254D" w14:paraId="04D81121" w14:textId="6839CE05">
      <w:pPr>
        <w:jc w:val="center"/>
        <w:rPr>
          <w:b/>
        </w:rPr>
      </w:pPr>
      <w:r>
        <w:rPr>
          <w:b/>
        </w:rPr>
        <w:t>OMB# 0920</w:t>
      </w:r>
      <w:r w:rsidR="0038533A">
        <w:rPr>
          <w:b/>
        </w:rPr>
        <w:t>-</w:t>
      </w:r>
      <w:r w:rsidR="0096153E">
        <w:rPr>
          <w:b/>
        </w:rPr>
        <w:t>24AZ</w:t>
      </w:r>
    </w:p>
    <w:p w:rsidR="0092047B" w:rsidRPr="00691454" w:rsidP="00FB432B" w14:paraId="04D81122" w14:textId="77777777">
      <w:pPr>
        <w:jc w:val="center"/>
        <w:rPr>
          <w:b/>
        </w:rPr>
      </w:pPr>
    </w:p>
    <w:p w:rsidR="00972DEF" w:rsidRPr="00691454" w:rsidP="00FB432B" w14:paraId="04D81123" w14:textId="77777777">
      <w:pPr>
        <w:jc w:val="center"/>
      </w:pPr>
    </w:p>
    <w:p w:rsidR="009901D4" w:rsidP="00FB432B" w14:paraId="04D81124" w14:textId="1D09CA32">
      <w:pPr>
        <w:jc w:val="center"/>
        <w:rPr>
          <w:b/>
        </w:rPr>
      </w:pPr>
      <w:r>
        <w:rPr>
          <w:b/>
        </w:rPr>
        <w:t xml:space="preserve">May </w:t>
      </w:r>
      <w:r w:rsidR="008C4239">
        <w:rPr>
          <w:b/>
        </w:rPr>
        <w:t>23</w:t>
      </w:r>
      <w:r w:rsidR="00FB432B">
        <w:rPr>
          <w:b/>
        </w:rPr>
        <w:t>, 20</w:t>
      </w:r>
      <w:r w:rsidR="003A253D">
        <w:rPr>
          <w:b/>
        </w:rPr>
        <w:t>2</w:t>
      </w:r>
      <w:r w:rsidR="00AE434B">
        <w:rPr>
          <w:b/>
        </w:rPr>
        <w:t>4</w:t>
      </w:r>
    </w:p>
    <w:p w:rsidR="00E2294D" w:rsidRPr="00691454" w:rsidP="00FB432B" w14:paraId="04D81125" w14:textId="77777777">
      <w:pPr>
        <w:jc w:val="center"/>
        <w:rPr>
          <w:b/>
        </w:rPr>
      </w:pPr>
    </w:p>
    <w:p w:rsidR="009901D4" w:rsidRPr="00691454" w:rsidP="00FB432B" w14:paraId="04D81126" w14:textId="77777777">
      <w:pPr>
        <w:jc w:val="center"/>
      </w:pPr>
    </w:p>
    <w:p w:rsidR="009901D4" w:rsidRPr="00691454" w:rsidP="00FB432B" w14:paraId="04D81127" w14:textId="77777777">
      <w:pPr>
        <w:jc w:val="center"/>
      </w:pPr>
    </w:p>
    <w:p w:rsidR="00972DEF" w:rsidRPr="00691454" w:rsidP="00FB432B" w14:paraId="04D81128" w14:textId="77777777">
      <w:pPr>
        <w:jc w:val="center"/>
      </w:pPr>
    </w:p>
    <w:p w:rsidR="00972DEF" w:rsidRPr="00691454" w:rsidP="00FB432B" w14:paraId="04D81129" w14:textId="77777777">
      <w:pPr>
        <w:jc w:val="center"/>
      </w:pPr>
    </w:p>
    <w:p w:rsidR="00972DEF" w:rsidRPr="00691454" w:rsidP="00FB432B" w14:paraId="04D8112A" w14:textId="77777777">
      <w:pPr>
        <w:jc w:val="center"/>
      </w:pPr>
    </w:p>
    <w:p w:rsidR="00972DEF" w:rsidRPr="00691454" w:rsidP="00FB432B" w14:paraId="04D8112B" w14:textId="15142083">
      <w:pPr>
        <w:jc w:val="center"/>
      </w:pPr>
      <w:r w:rsidRPr="00691454">
        <w:t>Point</w:t>
      </w:r>
      <w:r w:rsidR="00BA2970">
        <w:t>s</w:t>
      </w:r>
      <w:r w:rsidRPr="00691454">
        <w:t xml:space="preserve"> of Contact</w:t>
      </w:r>
      <w:r w:rsidRPr="00691454">
        <w:t>:</w:t>
      </w:r>
    </w:p>
    <w:p w:rsidR="00FB432B" w:rsidP="00FB432B" w14:paraId="04D8112C" w14:textId="45D76945">
      <w:pPr>
        <w:jc w:val="center"/>
      </w:pPr>
      <w:r w:rsidRPr="00722FF6">
        <w:t>Emily Ussery</w:t>
      </w:r>
      <w:r w:rsidRPr="00722FF6" w:rsidR="00902E8A">
        <w:t xml:space="preserve"> (yzv4@cdc.gov)</w:t>
      </w:r>
    </w:p>
    <w:p w:rsidR="00BA2970" w:rsidP="00FB432B" w14:paraId="0AC53FC2" w14:textId="14AA5090">
      <w:pPr>
        <w:jc w:val="center"/>
      </w:pPr>
      <w:r>
        <w:t>Seung Hee Lee (</w:t>
      </w:r>
      <w:r w:rsidRPr="00902E8A">
        <w:t>xde5@cdc.gov</w:t>
      </w:r>
      <w:r>
        <w:t>)</w:t>
      </w:r>
    </w:p>
    <w:p w:rsidR="003A253D" w:rsidP="00FB432B" w14:paraId="5C94D8F9" w14:textId="77777777">
      <w:pPr>
        <w:jc w:val="center"/>
      </w:pPr>
    </w:p>
    <w:p w:rsidR="00972DEF" w:rsidRPr="00691454" w:rsidP="00FB432B" w14:paraId="04D8112D" w14:textId="77777777">
      <w:pPr>
        <w:jc w:val="center"/>
      </w:pPr>
      <w:r w:rsidRPr="00691454">
        <w:t>Contact Information:</w:t>
      </w:r>
    </w:p>
    <w:p w:rsidR="00972DEF" w:rsidRPr="00691454" w:rsidP="00FB432B" w14:paraId="04D8112E" w14:textId="77777777">
      <w:pPr>
        <w:pStyle w:val="E-mailSignature"/>
        <w:jc w:val="center"/>
        <w:rPr>
          <w:noProof/>
        </w:rPr>
      </w:pPr>
      <w:bookmarkStart w:id="1" w:name="_MailAutoSig"/>
      <w:r w:rsidRPr="00691454">
        <w:rPr>
          <w:noProof/>
        </w:rPr>
        <w:t>Centers for Disease Control and Prevention</w:t>
      </w:r>
    </w:p>
    <w:p w:rsidR="00972DEF" w:rsidRPr="00691454" w:rsidP="00FB432B" w14:paraId="04D8112F" w14:textId="77777777">
      <w:pPr>
        <w:pStyle w:val="E-mailSignature"/>
        <w:jc w:val="center"/>
        <w:rPr>
          <w:noProof/>
        </w:rPr>
      </w:pPr>
      <w:r w:rsidRPr="00691454">
        <w:rPr>
          <w:noProof/>
        </w:rPr>
        <w:t>National Center for Injury Prevention and Control</w:t>
      </w:r>
    </w:p>
    <w:p w:rsidR="00CF4520" w:rsidRPr="00691454" w:rsidP="00FB432B" w14:paraId="04D81130" w14:textId="77777777">
      <w:pPr>
        <w:pStyle w:val="E-mailSignature"/>
        <w:jc w:val="center"/>
        <w:rPr>
          <w:noProof/>
        </w:rPr>
      </w:pPr>
      <w:r w:rsidRPr="00691454">
        <w:rPr>
          <w:noProof/>
        </w:rPr>
        <w:t>4770 Buford Highway NE  MS F-64</w:t>
      </w:r>
    </w:p>
    <w:p w:rsidR="00972DEF" w:rsidRPr="00691454" w:rsidP="00FB432B" w14:paraId="04D81131" w14:textId="77777777">
      <w:pPr>
        <w:pStyle w:val="E-mailSignature"/>
        <w:jc w:val="center"/>
        <w:rPr>
          <w:noProof/>
        </w:rPr>
      </w:pPr>
      <w:r w:rsidRPr="00691454">
        <w:rPr>
          <w:noProof/>
        </w:rPr>
        <w:t>A</w:t>
      </w:r>
      <w:r w:rsidRPr="00691454">
        <w:rPr>
          <w:noProof/>
        </w:rPr>
        <w:t>tlanta, GA 30341-3724</w:t>
      </w:r>
    </w:p>
    <w:p w:rsidR="00972DEF" w:rsidRPr="00691454" w:rsidP="00FB432B" w14:paraId="04D81132" w14:textId="37853FF8">
      <w:pPr>
        <w:pStyle w:val="E-mailSignature"/>
        <w:jc w:val="center"/>
        <w:rPr>
          <w:noProof/>
        </w:rPr>
      </w:pPr>
      <w:r>
        <w:rPr>
          <w:noProof/>
        </w:rPr>
        <w:t>P</w:t>
      </w:r>
      <w:r w:rsidRPr="00691454" w:rsidR="00CF4520">
        <w:rPr>
          <w:noProof/>
        </w:rPr>
        <w:t>hone:</w:t>
      </w:r>
      <w:r w:rsidR="003A253D">
        <w:rPr>
          <w:noProof/>
        </w:rPr>
        <w:t xml:space="preserve"> (770) 488-3766</w:t>
      </w:r>
    </w:p>
    <w:p w:rsidR="00647E6E" w:rsidP="003A253D" w14:paraId="49F239E9" w14:textId="77777777">
      <w:pPr>
        <w:pStyle w:val="E-mailSignature"/>
        <w:jc w:val="center"/>
        <w:rPr>
          <w:rStyle w:val="Hyperlink"/>
          <w:noProof/>
        </w:rPr>
        <w:sectPr w:rsidSect="00722FF6">
          <w:footerReference w:type="even" r:id="rId10"/>
          <w:footerReference w:type="default" r:id="rId11"/>
          <w:pgSz w:w="12240" w:h="15840" w:code="1"/>
          <w:pgMar w:top="1440" w:right="990" w:bottom="1440" w:left="1440" w:header="720" w:footer="720" w:gutter="0"/>
          <w:pgNumType w:start="1"/>
          <w:cols w:space="720"/>
          <w:noEndnote/>
          <w:titlePg/>
        </w:sectPr>
      </w:pPr>
      <w:r>
        <w:rPr>
          <w:noProof/>
        </w:rPr>
        <w:t>E</w:t>
      </w:r>
      <w:r w:rsidRPr="00691454" w:rsidR="008A02C8">
        <w:rPr>
          <w:noProof/>
        </w:rPr>
        <w:t>mail:</w:t>
      </w:r>
      <w:r w:rsidR="003A253D">
        <w:rPr>
          <w:noProof/>
        </w:rPr>
        <w:t xml:space="preserve"> </w:t>
      </w:r>
      <w:hyperlink r:id="rId12" w:history="1">
        <w:r w:rsidRPr="00D516F7" w:rsidR="003A253D">
          <w:rPr>
            <w:rStyle w:val="Hyperlink"/>
            <w:noProof/>
          </w:rPr>
          <w:t>yzv4@cdc.gov</w:t>
        </w:r>
      </w:hyperlink>
    </w:p>
    <w:bookmarkEnd w:id="1" w:displacedByCustomXml="next"/>
    <w:sdt>
      <w:sdtPr>
        <w:rPr>
          <w:rFonts w:ascii="Times New Roman" w:eastAsia="Times New Roman" w:hAnsi="Times New Roman" w:cs="Times New Roman"/>
          <w:b/>
          <w:bCs/>
          <w:caps/>
          <w:color w:val="auto"/>
          <w:sz w:val="24"/>
          <w:szCs w:val="24"/>
        </w:rPr>
        <w:id w:val="-1864196319"/>
        <w:docPartObj>
          <w:docPartGallery w:val="Table of Contents"/>
          <w:docPartUnique/>
        </w:docPartObj>
      </w:sdtPr>
      <w:sdtEndPr>
        <w:rPr>
          <w:rFonts w:asciiTheme="minorHAnsi" w:hAnsiTheme="minorHAnsi" w:cstheme="minorHAnsi"/>
          <w:noProof/>
          <w:sz w:val="20"/>
          <w:szCs w:val="20"/>
        </w:rPr>
      </w:sdtEndPr>
      <w:sdtContent>
        <w:p w:rsidR="00FB02C7" w14:paraId="1862EBD0" w14:textId="4578DAE1">
          <w:pPr>
            <w:pStyle w:val="TOCHeading"/>
          </w:pPr>
          <w:r>
            <w:t>Table of Contents</w:t>
          </w:r>
        </w:p>
        <w:p w:rsidR="001E76F4" w:rsidP="005A74D9" w14:paraId="5EC1EE6E" w14:textId="263A3864">
          <w:pPr>
            <w:pStyle w:val="TOC1"/>
            <w:rPr>
              <w:rFonts w:eastAsiaTheme="minorEastAsia" w:cstheme="minorBidi"/>
              <w:noProof/>
              <w:sz w:val="22"/>
              <w:szCs w:val="22"/>
            </w:rPr>
          </w:pPr>
          <w:r>
            <w:fldChar w:fldCharType="begin"/>
          </w:r>
          <w:r>
            <w:instrText xml:space="preserve"> TOC \o "1-2" \h \z \u </w:instrText>
          </w:r>
          <w:r>
            <w:fldChar w:fldCharType="separate"/>
          </w:r>
          <w:hyperlink w:anchor="_Toc150420011" w:history="1">
            <w:r w:rsidRPr="00061076">
              <w:rPr>
                <w:rStyle w:val="Hyperlink"/>
                <w:noProof/>
              </w:rPr>
              <w:t>ACROYNMS</w:t>
            </w:r>
            <w:r>
              <w:rPr>
                <w:noProof/>
                <w:webHidden/>
              </w:rPr>
              <w:tab/>
            </w:r>
            <w:r>
              <w:rPr>
                <w:noProof/>
                <w:webHidden/>
              </w:rPr>
              <w:fldChar w:fldCharType="begin"/>
            </w:r>
            <w:r>
              <w:rPr>
                <w:noProof/>
                <w:webHidden/>
              </w:rPr>
              <w:instrText xml:space="preserve"> PAGEREF _Toc150420011 \h </w:instrText>
            </w:r>
            <w:r>
              <w:rPr>
                <w:noProof/>
                <w:webHidden/>
              </w:rPr>
              <w:fldChar w:fldCharType="separate"/>
            </w:r>
            <w:r>
              <w:rPr>
                <w:noProof/>
                <w:webHidden/>
              </w:rPr>
              <w:t>2</w:t>
            </w:r>
            <w:r>
              <w:rPr>
                <w:noProof/>
                <w:webHidden/>
              </w:rPr>
              <w:fldChar w:fldCharType="end"/>
            </w:r>
          </w:hyperlink>
        </w:p>
        <w:p w:rsidR="001E76F4" w:rsidP="005A74D9" w14:paraId="50E4DE62" w14:textId="555DD622">
          <w:pPr>
            <w:pStyle w:val="TOC1"/>
            <w:rPr>
              <w:rFonts w:eastAsiaTheme="minorEastAsia" w:cstheme="minorBidi"/>
              <w:noProof/>
              <w:sz w:val="22"/>
              <w:szCs w:val="22"/>
            </w:rPr>
          </w:pPr>
          <w:hyperlink w:anchor="_Toc150420012" w:history="1">
            <w:r w:rsidRPr="00061076">
              <w:rPr>
                <w:rStyle w:val="Hyperlink"/>
                <w:noProof/>
              </w:rPr>
              <w:t>SUMMARY TABLE</w:t>
            </w:r>
            <w:r>
              <w:rPr>
                <w:noProof/>
                <w:webHidden/>
              </w:rPr>
              <w:tab/>
            </w:r>
            <w:r>
              <w:rPr>
                <w:noProof/>
                <w:webHidden/>
              </w:rPr>
              <w:fldChar w:fldCharType="begin"/>
            </w:r>
            <w:r>
              <w:rPr>
                <w:noProof/>
                <w:webHidden/>
              </w:rPr>
              <w:instrText xml:space="preserve"> PAGEREF _Toc150420012 \h </w:instrText>
            </w:r>
            <w:r>
              <w:rPr>
                <w:noProof/>
                <w:webHidden/>
              </w:rPr>
              <w:fldChar w:fldCharType="separate"/>
            </w:r>
            <w:r>
              <w:rPr>
                <w:noProof/>
                <w:webHidden/>
              </w:rPr>
              <w:t>3</w:t>
            </w:r>
            <w:r>
              <w:rPr>
                <w:noProof/>
                <w:webHidden/>
              </w:rPr>
              <w:fldChar w:fldCharType="end"/>
            </w:r>
          </w:hyperlink>
        </w:p>
        <w:p w:rsidR="001E76F4" w:rsidP="005A74D9" w14:paraId="77342912" w14:textId="5E792FCB">
          <w:pPr>
            <w:pStyle w:val="TOC1"/>
            <w:rPr>
              <w:rFonts w:eastAsiaTheme="minorEastAsia" w:cstheme="minorBidi"/>
              <w:noProof/>
              <w:sz w:val="22"/>
              <w:szCs w:val="22"/>
            </w:rPr>
          </w:pPr>
          <w:hyperlink w:anchor="_Toc150420013" w:history="1">
            <w:r w:rsidRPr="00061076">
              <w:rPr>
                <w:rStyle w:val="Hyperlink"/>
                <w:noProof/>
              </w:rPr>
              <w:t>A.  JUSTIFICATION</w:t>
            </w:r>
            <w:r>
              <w:rPr>
                <w:noProof/>
                <w:webHidden/>
              </w:rPr>
              <w:tab/>
            </w:r>
            <w:r>
              <w:rPr>
                <w:noProof/>
                <w:webHidden/>
              </w:rPr>
              <w:fldChar w:fldCharType="begin"/>
            </w:r>
            <w:r>
              <w:rPr>
                <w:noProof/>
                <w:webHidden/>
              </w:rPr>
              <w:instrText xml:space="preserve"> PAGEREF _Toc150420013 \h </w:instrText>
            </w:r>
            <w:r>
              <w:rPr>
                <w:noProof/>
                <w:webHidden/>
              </w:rPr>
              <w:fldChar w:fldCharType="separate"/>
            </w:r>
            <w:r>
              <w:rPr>
                <w:noProof/>
                <w:webHidden/>
              </w:rPr>
              <w:t>3</w:t>
            </w:r>
            <w:r>
              <w:rPr>
                <w:noProof/>
                <w:webHidden/>
              </w:rPr>
              <w:fldChar w:fldCharType="end"/>
            </w:r>
          </w:hyperlink>
        </w:p>
        <w:p w:rsidR="001E76F4" w:rsidP="005A74D9" w14:paraId="27187EB8" w14:textId="220AE8E1">
          <w:pPr>
            <w:pStyle w:val="TOC1"/>
            <w:rPr>
              <w:rFonts w:eastAsiaTheme="minorEastAsia" w:cstheme="minorBidi"/>
              <w:noProof/>
              <w:sz w:val="22"/>
              <w:szCs w:val="22"/>
            </w:rPr>
          </w:pPr>
          <w:hyperlink w:anchor="_Toc150420014" w:history="1">
            <w:r w:rsidRPr="00061076">
              <w:rPr>
                <w:rStyle w:val="Hyperlink"/>
                <w:noProof/>
              </w:rPr>
              <w:t xml:space="preserve">A.1. </w:t>
            </w:r>
            <w:r>
              <w:rPr>
                <w:rFonts w:eastAsiaTheme="minorEastAsia" w:cstheme="minorBidi"/>
                <w:noProof/>
                <w:sz w:val="22"/>
                <w:szCs w:val="22"/>
              </w:rPr>
              <w:tab/>
            </w:r>
            <w:r w:rsidRPr="00061076">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_Toc150420014 \h </w:instrText>
            </w:r>
            <w:r>
              <w:rPr>
                <w:noProof/>
                <w:webHidden/>
              </w:rPr>
              <w:fldChar w:fldCharType="separate"/>
            </w:r>
            <w:r>
              <w:rPr>
                <w:noProof/>
                <w:webHidden/>
              </w:rPr>
              <w:t>3</w:t>
            </w:r>
            <w:r>
              <w:rPr>
                <w:noProof/>
                <w:webHidden/>
              </w:rPr>
              <w:fldChar w:fldCharType="end"/>
            </w:r>
          </w:hyperlink>
        </w:p>
        <w:p w:rsidR="001E76F4" w:rsidP="005A74D9" w14:paraId="71C210F6" w14:textId="1DF5821C">
          <w:pPr>
            <w:pStyle w:val="TOC1"/>
            <w:rPr>
              <w:rFonts w:eastAsiaTheme="minorEastAsia" w:cstheme="minorBidi"/>
              <w:noProof/>
              <w:sz w:val="22"/>
              <w:szCs w:val="22"/>
            </w:rPr>
          </w:pPr>
          <w:hyperlink w:anchor="_Toc150420015" w:history="1">
            <w:r w:rsidRPr="00061076">
              <w:rPr>
                <w:rStyle w:val="Hyperlink"/>
                <w:noProof/>
              </w:rPr>
              <w:t>A.2.     Purpose and Use of Information Collection</w:t>
            </w:r>
            <w:r>
              <w:rPr>
                <w:noProof/>
                <w:webHidden/>
              </w:rPr>
              <w:tab/>
            </w:r>
            <w:r>
              <w:rPr>
                <w:noProof/>
                <w:webHidden/>
              </w:rPr>
              <w:fldChar w:fldCharType="begin"/>
            </w:r>
            <w:r>
              <w:rPr>
                <w:noProof/>
                <w:webHidden/>
              </w:rPr>
              <w:instrText xml:space="preserve"> PAGEREF _Toc150420015 \h </w:instrText>
            </w:r>
            <w:r>
              <w:rPr>
                <w:noProof/>
                <w:webHidden/>
              </w:rPr>
              <w:fldChar w:fldCharType="separate"/>
            </w:r>
            <w:r>
              <w:rPr>
                <w:noProof/>
                <w:webHidden/>
              </w:rPr>
              <w:t>4</w:t>
            </w:r>
            <w:r>
              <w:rPr>
                <w:noProof/>
                <w:webHidden/>
              </w:rPr>
              <w:fldChar w:fldCharType="end"/>
            </w:r>
          </w:hyperlink>
        </w:p>
        <w:p w:rsidR="001E76F4" w:rsidP="005A74D9" w14:paraId="3D11AF71" w14:textId="685E0B8E">
          <w:pPr>
            <w:pStyle w:val="TOC1"/>
            <w:rPr>
              <w:rFonts w:eastAsiaTheme="minorEastAsia" w:cstheme="minorBidi"/>
              <w:noProof/>
              <w:sz w:val="22"/>
              <w:szCs w:val="22"/>
            </w:rPr>
          </w:pPr>
          <w:hyperlink w:anchor="_Toc150420016" w:history="1">
            <w:r w:rsidRPr="00061076">
              <w:rPr>
                <w:rStyle w:val="Hyperlink"/>
                <w:noProof/>
              </w:rPr>
              <w:t xml:space="preserve">A.3. </w:t>
            </w:r>
            <w:r>
              <w:rPr>
                <w:rFonts w:eastAsiaTheme="minorEastAsia" w:cstheme="minorBidi"/>
                <w:noProof/>
                <w:sz w:val="22"/>
                <w:szCs w:val="22"/>
              </w:rPr>
              <w:tab/>
            </w:r>
            <w:r w:rsidRPr="00061076">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_Toc150420016 \h </w:instrText>
            </w:r>
            <w:r>
              <w:rPr>
                <w:noProof/>
                <w:webHidden/>
              </w:rPr>
              <w:fldChar w:fldCharType="separate"/>
            </w:r>
            <w:r>
              <w:rPr>
                <w:noProof/>
                <w:webHidden/>
              </w:rPr>
              <w:t>5</w:t>
            </w:r>
            <w:r>
              <w:rPr>
                <w:noProof/>
                <w:webHidden/>
              </w:rPr>
              <w:fldChar w:fldCharType="end"/>
            </w:r>
          </w:hyperlink>
        </w:p>
        <w:p w:rsidR="001E76F4" w:rsidP="005A74D9" w14:paraId="6A84687A" w14:textId="60833218">
          <w:pPr>
            <w:pStyle w:val="TOC1"/>
            <w:rPr>
              <w:rFonts w:eastAsiaTheme="minorEastAsia" w:cstheme="minorBidi"/>
              <w:noProof/>
              <w:sz w:val="22"/>
              <w:szCs w:val="22"/>
            </w:rPr>
          </w:pPr>
          <w:hyperlink w:anchor="_Toc150420017" w:history="1">
            <w:r w:rsidRPr="00061076">
              <w:rPr>
                <w:rStyle w:val="Hyperlink"/>
                <w:noProof/>
              </w:rPr>
              <w:t xml:space="preserve">A.4. </w:t>
            </w:r>
            <w:r>
              <w:rPr>
                <w:rFonts w:eastAsiaTheme="minorEastAsia" w:cstheme="minorBidi"/>
                <w:noProof/>
                <w:sz w:val="22"/>
                <w:szCs w:val="22"/>
              </w:rPr>
              <w:tab/>
            </w:r>
            <w:r w:rsidRPr="00061076">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_Toc150420017 \h </w:instrText>
            </w:r>
            <w:r>
              <w:rPr>
                <w:noProof/>
                <w:webHidden/>
              </w:rPr>
              <w:fldChar w:fldCharType="separate"/>
            </w:r>
            <w:r>
              <w:rPr>
                <w:noProof/>
                <w:webHidden/>
              </w:rPr>
              <w:t>5</w:t>
            </w:r>
            <w:r>
              <w:rPr>
                <w:noProof/>
                <w:webHidden/>
              </w:rPr>
              <w:fldChar w:fldCharType="end"/>
            </w:r>
          </w:hyperlink>
        </w:p>
        <w:p w:rsidR="001E76F4" w:rsidP="005A74D9" w14:paraId="74A8F5C5" w14:textId="2888D7AF">
          <w:pPr>
            <w:pStyle w:val="TOC1"/>
            <w:rPr>
              <w:rFonts w:eastAsiaTheme="minorEastAsia" w:cstheme="minorBidi"/>
              <w:noProof/>
              <w:sz w:val="22"/>
              <w:szCs w:val="22"/>
            </w:rPr>
          </w:pPr>
          <w:hyperlink w:anchor="_Toc150420018" w:history="1">
            <w:r w:rsidRPr="00061076">
              <w:rPr>
                <w:rStyle w:val="Hyperlink"/>
                <w:noProof/>
              </w:rPr>
              <w:t xml:space="preserve">A.5. </w:t>
            </w:r>
            <w:r>
              <w:rPr>
                <w:rFonts w:eastAsiaTheme="minorEastAsia" w:cstheme="minorBidi"/>
                <w:noProof/>
                <w:sz w:val="22"/>
                <w:szCs w:val="22"/>
              </w:rPr>
              <w:tab/>
            </w:r>
            <w:r w:rsidRPr="00061076">
              <w:rPr>
                <w:rStyle w:val="Hyperlink"/>
                <w:noProof/>
              </w:rPr>
              <w:t>Impact on Small Businesses or Other Small Entities</w:t>
            </w:r>
            <w:r>
              <w:rPr>
                <w:noProof/>
                <w:webHidden/>
              </w:rPr>
              <w:tab/>
            </w:r>
            <w:r>
              <w:rPr>
                <w:noProof/>
                <w:webHidden/>
              </w:rPr>
              <w:fldChar w:fldCharType="begin"/>
            </w:r>
            <w:r>
              <w:rPr>
                <w:noProof/>
                <w:webHidden/>
              </w:rPr>
              <w:instrText xml:space="preserve"> PAGEREF _Toc150420018 \h </w:instrText>
            </w:r>
            <w:r>
              <w:rPr>
                <w:noProof/>
                <w:webHidden/>
              </w:rPr>
              <w:fldChar w:fldCharType="separate"/>
            </w:r>
            <w:r>
              <w:rPr>
                <w:noProof/>
                <w:webHidden/>
              </w:rPr>
              <w:t>6</w:t>
            </w:r>
            <w:r>
              <w:rPr>
                <w:noProof/>
                <w:webHidden/>
              </w:rPr>
              <w:fldChar w:fldCharType="end"/>
            </w:r>
          </w:hyperlink>
        </w:p>
        <w:p w:rsidR="001E76F4" w:rsidP="005A74D9" w14:paraId="10E98486" w14:textId="5D1DFCA1">
          <w:pPr>
            <w:pStyle w:val="TOC1"/>
            <w:rPr>
              <w:rFonts w:eastAsiaTheme="minorEastAsia" w:cstheme="minorBidi"/>
              <w:noProof/>
              <w:sz w:val="22"/>
              <w:szCs w:val="22"/>
            </w:rPr>
          </w:pPr>
          <w:hyperlink w:anchor="_Toc150420019" w:history="1">
            <w:r w:rsidRPr="00061076">
              <w:rPr>
                <w:rStyle w:val="Hyperlink"/>
                <w:noProof/>
              </w:rPr>
              <w:t xml:space="preserve">A.6. </w:t>
            </w:r>
            <w:r>
              <w:rPr>
                <w:rFonts w:eastAsiaTheme="minorEastAsia" w:cstheme="minorBidi"/>
                <w:noProof/>
                <w:sz w:val="22"/>
                <w:szCs w:val="22"/>
              </w:rPr>
              <w:tab/>
            </w:r>
            <w:r w:rsidRPr="00061076">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_Toc150420019 \h </w:instrText>
            </w:r>
            <w:r>
              <w:rPr>
                <w:noProof/>
                <w:webHidden/>
              </w:rPr>
              <w:fldChar w:fldCharType="separate"/>
            </w:r>
            <w:r>
              <w:rPr>
                <w:noProof/>
                <w:webHidden/>
              </w:rPr>
              <w:t>6</w:t>
            </w:r>
            <w:r>
              <w:rPr>
                <w:noProof/>
                <w:webHidden/>
              </w:rPr>
              <w:fldChar w:fldCharType="end"/>
            </w:r>
          </w:hyperlink>
        </w:p>
        <w:p w:rsidR="001E76F4" w:rsidP="005A74D9" w14:paraId="698DC931" w14:textId="16BB6270">
          <w:pPr>
            <w:pStyle w:val="TOC1"/>
            <w:rPr>
              <w:rFonts w:eastAsiaTheme="minorEastAsia" w:cstheme="minorBidi"/>
              <w:noProof/>
              <w:sz w:val="22"/>
              <w:szCs w:val="22"/>
            </w:rPr>
          </w:pPr>
          <w:hyperlink w:anchor="_Toc150420020" w:history="1">
            <w:r w:rsidRPr="00061076">
              <w:rPr>
                <w:rStyle w:val="Hyperlink"/>
                <w:noProof/>
              </w:rPr>
              <w:t xml:space="preserve">A.7. </w:t>
            </w:r>
            <w:r>
              <w:rPr>
                <w:rFonts w:eastAsiaTheme="minorEastAsia" w:cstheme="minorBidi"/>
                <w:noProof/>
                <w:sz w:val="22"/>
                <w:szCs w:val="22"/>
              </w:rPr>
              <w:tab/>
            </w:r>
            <w:r w:rsidRPr="00061076">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_Toc150420020 \h </w:instrText>
            </w:r>
            <w:r>
              <w:rPr>
                <w:noProof/>
                <w:webHidden/>
              </w:rPr>
              <w:fldChar w:fldCharType="separate"/>
            </w:r>
            <w:r>
              <w:rPr>
                <w:noProof/>
                <w:webHidden/>
              </w:rPr>
              <w:t>7</w:t>
            </w:r>
            <w:r>
              <w:rPr>
                <w:noProof/>
                <w:webHidden/>
              </w:rPr>
              <w:fldChar w:fldCharType="end"/>
            </w:r>
          </w:hyperlink>
        </w:p>
        <w:p w:rsidR="001E76F4" w:rsidP="005A74D9" w14:paraId="7F6C45B2" w14:textId="2B0460DC">
          <w:pPr>
            <w:pStyle w:val="TOC1"/>
            <w:rPr>
              <w:rFonts w:eastAsiaTheme="minorEastAsia" w:cstheme="minorBidi"/>
              <w:noProof/>
              <w:sz w:val="22"/>
              <w:szCs w:val="22"/>
            </w:rPr>
          </w:pPr>
          <w:hyperlink w:anchor="_Toc150420021" w:history="1">
            <w:r w:rsidRPr="00061076">
              <w:rPr>
                <w:rStyle w:val="Hyperlink"/>
                <w:noProof/>
              </w:rPr>
              <w:t xml:space="preserve">A.8. </w:t>
            </w:r>
            <w:r>
              <w:rPr>
                <w:rFonts w:eastAsiaTheme="minorEastAsia" w:cstheme="minorBidi"/>
                <w:noProof/>
                <w:sz w:val="22"/>
                <w:szCs w:val="22"/>
              </w:rPr>
              <w:tab/>
            </w:r>
            <w:r w:rsidRPr="00061076">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_Toc150420021 \h </w:instrText>
            </w:r>
            <w:r>
              <w:rPr>
                <w:noProof/>
                <w:webHidden/>
              </w:rPr>
              <w:fldChar w:fldCharType="separate"/>
            </w:r>
            <w:r>
              <w:rPr>
                <w:noProof/>
                <w:webHidden/>
              </w:rPr>
              <w:t>7</w:t>
            </w:r>
            <w:r>
              <w:rPr>
                <w:noProof/>
                <w:webHidden/>
              </w:rPr>
              <w:fldChar w:fldCharType="end"/>
            </w:r>
          </w:hyperlink>
        </w:p>
        <w:p w:rsidR="001E76F4" w:rsidP="005A74D9" w14:paraId="77BAC941" w14:textId="5C017FEC">
          <w:pPr>
            <w:pStyle w:val="TOC1"/>
            <w:rPr>
              <w:rFonts w:eastAsiaTheme="minorEastAsia" w:cstheme="minorBidi"/>
              <w:noProof/>
              <w:sz w:val="22"/>
              <w:szCs w:val="22"/>
            </w:rPr>
          </w:pPr>
          <w:hyperlink w:anchor="_Toc150420022" w:history="1">
            <w:r w:rsidRPr="00061076">
              <w:rPr>
                <w:rStyle w:val="Hyperlink"/>
                <w:noProof/>
              </w:rPr>
              <w:t xml:space="preserve">A.9. </w:t>
            </w:r>
            <w:r>
              <w:rPr>
                <w:rFonts w:eastAsiaTheme="minorEastAsia" w:cstheme="minorBidi"/>
                <w:noProof/>
                <w:sz w:val="22"/>
                <w:szCs w:val="22"/>
              </w:rPr>
              <w:tab/>
            </w:r>
            <w:r w:rsidRPr="00061076">
              <w:rPr>
                <w:rStyle w:val="Hyperlink"/>
                <w:noProof/>
              </w:rPr>
              <w:t>Explanation of Any Payment or Gift to Respondents</w:t>
            </w:r>
            <w:r>
              <w:rPr>
                <w:noProof/>
                <w:webHidden/>
              </w:rPr>
              <w:tab/>
            </w:r>
            <w:r>
              <w:rPr>
                <w:noProof/>
                <w:webHidden/>
              </w:rPr>
              <w:fldChar w:fldCharType="begin"/>
            </w:r>
            <w:r>
              <w:rPr>
                <w:noProof/>
                <w:webHidden/>
              </w:rPr>
              <w:instrText xml:space="preserve"> PAGEREF _Toc150420022 \h </w:instrText>
            </w:r>
            <w:r>
              <w:rPr>
                <w:noProof/>
                <w:webHidden/>
              </w:rPr>
              <w:fldChar w:fldCharType="separate"/>
            </w:r>
            <w:r>
              <w:rPr>
                <w:noProof/>
                <w:webHidden/>
              </w:rPr>
              <w:t>7</w:t>
            </w:r>
            <w:r>
              <w:rPr>
                <w:noProof/>
                <w:webHidden/>
              </w:rPr>
              <w:fldChar w:fldCharType="end"/>
            </w:r>
          </w:hyperlink>
        </w:p>
        <w:p w:rsidR="001E76F4" w:rsidP="005A74D9" w14:paraId="53C7ABBD" w14:textId="744E7E05">
          <w:pPr>
            <w:pStyle w:val="TOC1"/>
            <w:rPr>
              <w:rFonts w:eastAsiaTheme="minorEastAsia" w:cstheme="minorBidi"/>
              <w:noProof/>
              <w:sz w:val="22"/>
              <w:szCs w:val="22"/>
            </w:rPr>
          </w:pPr>
          <w:hyperlink w:anchor="_Toc150420023" w:history="1">
            <w:r w:rsidRPr="00061076">
              <w:rPr>
                <w:rStyle w:val="Hyperlink"/>
                <w:noProof/>
              </w:rPr>
              <w:t xml:space="preserve">A.10. </w:t>
            </w:r>
            <w:r>
              <w:rPr>
                <w:rFonts w:eastAsiaTheme="minorEastAsia" w:cstheme="minorBidi"/>
                <w:noProof/>
                <w:sz w:val="22"/>
                <w:szCs w:val="22"/>
              </w:rPr>
              <w:tab/>
            </w:r>
            <w:r w:rsidRPr="00061076">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_Toc150420023 \h </w:instrText>
            </w:r>
            <w:r>
              <w:rPr>
                <w:noProof/>
                <w:webHidden/>
              </w:rPr>
              <w:fldChar w:fldCharType="separate"/>
            </w:r>
            <w:r>
              <w:rPr>
                <w:noProof/>
                <w:webHidden/>
              </w:rPr>
              <w:t>8</w:t>
            </w:r>
            <w:r>
              <w:rPr>
                <w:noProof/>
                <w:webHidden/>
              </w:rPr>
              <w:fldChar w:fldCharType="end"/>
            </w:r>
          </w:hyperlink>
        </w:p>
        <w:p w:rsidR="001E76F4" w:rsidP="005A74D9" w14:paraId="2E144582" w14:textId="1B534215">
          <w:pPr>
            <w:pStyle w:val="TOC1"/>
            <w:rPr>
              <w:rFonts w:eastAsiaTheme="minorEastAsia" w:cstheme="minorBidi"/>
              <w:noProof/>
              <w:sz w:val="22"/>
              <w:szCs w:val="22"/>
            </w:rPr>
          </w:pPr>
          <w:hyperlink w:anchor="_Toc150420024" w:history="1">
            <w:r w:rsidRPr="00061076">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_Toc150420024 \h </w:instrText>
            </w:r>
            <w:r>
              <w:rPr>
                <w:noProof/>
                <w:webHidden/>
              </w:rPr>
              <w:fldChar w:fldCharType="separate"/>
            </w:r>
            <w:r>
              <w:rPr>
                <w:noProof/>
                <w:webHidden/>
              </w:rPr>
              <w:t>8</w:t>
            </w:r>
            <w:r>
              <w:rPr>
                <w:noProof/>
                <w:webHidden/>
              </w:rPr>
              <w:fldChar w:fldCharType="end"/>
            </w:r>
          </w:hyperlink>
        </w:p>
        <w:p w:rsidR="001E76F4" w:rsidP="005A74D9" w14:paraId="5ABB4984" w14:textId="5DFB2839">
          <w:pPr>
            <w:pStyle w:val="TOC1"/>
            <w:rPr>
              <w:rFonts w:eastAsiaTheme="minorEastAsia" w:cstheme="minorBidi"/>
              <w:noProof/>
              <w:sz w:val="22"/>
              <w:szCs w:val="22"/>
            </w:rPr>
          </w:pPr>
          <w:hyperlink w:anchor="_Toc150420025" w:history="1">
            <w:r w:rsidRPr="00061076">
              <w:rPr>
                <w:rStyle w:val="Hyperlink"/>
                <w:noProof/>
              </w:rPr>
              <w:t>A.12.  Estimates of Annualized Burden Hours and Costs</w:t>
            </w:r>
            <w:r>
              <w:rPr>
                <w:noProof/>
                <w:webHidden/>
              </w:rPr>
              <w:tab/>
            </w:r>
            <w:r>
              <w:rPr>
                <w:noProof/>
                <w:webHidden/>
              </w:rPr>
              <w:fldChar w:fldCharType="begin"/>
            </w:r>
            <w:r>
              <w:rPr>
                <w:noProof/>
                <w:webHidden/>
              </w:rPr>
              <w:instrText xml:space="preserve"> PAGEREF _Toc150420025 \h </w:instrText>
            </w:r>
            <w:r>
              <w:rPr>
                <w:noProof/>
                <w:webHidden/>
              </w:rPr>
              <w:fldChar w:fldCharType="separate"/>
            </w:r>
            <w:r>
              <w:rPr>
                <w:noProof/>
                <w:webHidden/>
              </w:rPr>
              <w:t>8</w:t>
            </w:r>
            <w:r>
              <w:rPr>
                <w:noProof/>
                <w:webHidden/>
              </w:rPr>
              <w:fldChar w:fldCharType="end"/>
            </w:r>
          </w:hyperlink>
        </w:p>
        <w:p w:rsidR="001E76F4" w:rsidP="005A74D9" w14:paraId="5E003D1F" w14:textId="262D663E">
          <w:pPr>
            <w:pStyle w:val="TOC1"/>
            <w:rPr>
              <w:rFonts w:eastAsiaTheme="minorEastAsia" w:cstheme="minorBidi"/>
              <w:noProof/>
              <w:sz w:val="22"/>
              <w:szCs w:val="22"/>
            </w:rPr>
          </w:pPr>
          <w:hyperlink w:anchor="_Toc150420026" w:history="1">
            <w:r w:rsidRPr="00061076">
              <w:rPr>
                <w:rStyle w:val="Hyperlink"/>
                <w:noProof/>
              </w:rPr>
              <w:t xml:space="preserve">A.13. </w:t>
            </w:r>
            <w:r>
              <w:rPr>
                <w:rFonts w:eastAsiaTheme="minorEastAsia" w:cstheme="minorBidi"/>
                <w:noProof/>
                <w:sz w:val="22"/>
                <w:szCs w:val="22"/>
              </w:rPr>
              <w:tab/>
            </w:r>
            <w:r w:rsidRPr="00061076">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_Toc150420026 \h </w:instrText>
            </w:r>
            <w:r>
              <w:rPr>
                <w:noProof/>
                <w:webHidden/>
              </w:rPr>
              <w:fldChar w:fldCharType="separate"/>
            </w:r>
            <w:r>
              <w:rPr>
                <w:noProof/>
                <w:webHidden/>
              </w:rPr>
              <w:t>10</w:t>
            </w:r>
            <w:r>
              <w:rPr>
                <w:noProof/>
                <w:webHidden/>
              </w:rPr>
              <w:fldChar w:fldCharType="end"/>
            </w:r>
          </w:hyperlink>
        </w:p>
        <w:p w:rsidR="001E76F4" w:rsidP="005A74D9" w14:paraId="4A35A4E1" w14:textId="3A48E507">
          <w:pPr>
            <w:pStyle w:val="TOC1"/>
            <w:rPr>
              <w:rFonts w:eastAsiaTheme="minorEastAsia" w:cstheme="minorBidi"/>
              <w:noProof/>
              <w:sz w:val="22"/>
              <w:szCs w:val="22"/>
            </w:rPr>
          </w:pPr>
          <w:hyperlink w:anchor="_Toc150420027" w:history="1">
            <w:r w:rsidRPr="00061076">
              <w:rPr>
                <w:rStyle w:val="Hyperlink"/>
                <w:noProof/>
              </w:rPr>
              <w:t xml:space="preserve">A.14. </w:t>
            </w:r>
            <w:r>
              <w:rPr>
                <w:rFonts w:eastAsiaTheme="minorEastAsia" w:cstheme="minorBidi"/>
                <w:noProof/>
                <w:sz w:val="22"/>
                <w:szCs w:val="22"/>
              </w:rPr>
              <w:tab/>
            </w:r>
            <w:r w:rsidRPr="00061076">
              <w:rPr>
                <w:rStyle w:val="Hyperlink"/>
                <w:noProof/>
              </w:rPr>
              <w:t>Annualized Cost to the Government</w:t>
            </w:r>
            <w:r>
              <w:rPr>
                <w:noProof/>
                <w:webHidden/>
              </w:rPr>
              <w:tab/>
            </w:r>
            <w:r>
              <w:rPr>
                <w:noProof/>
                <w:webHidden/>
              </w:rPr>
              <w:fldChar w:fldCharType="begin"/>
            </w:r>
            <w:r>
              <w:rPr>
                <w:noProof/>
                <w:webHidden/>
              </w:rPr>
              <w:instrText xml:space="preserve"> PAGEREF _Toc150420027 \h </w:instrText>
            </w:r>
            <w:r>
              <w:rPr>
                <w:noProof/>
                <w:webHidden/>
              </w:rPr>
              <w:fldChar w:fldCharType="separate"/>
            </w:r>
            <w:r>
              <w:rPr>
                <w:noProof/>
                <w:webHidden/>
              </w:rPr>
              <w:t>10</w:t>
            </w:r>
            <w:r>
              <w:rPr>
                <w:noProof/>
                <w:webHidden/>
              </w:rPr>
              <w:fldChar w:fldCharType="end"/>
            </w:r>
          </w:hyperlink>
        </w:p>
        <w:p w:rsidR="001E76F4" w:rsidP="005A74D9" w14:paraId="070324AF" w14:textId="0B9C6A77">
          <w:pPr>
            <w:pStyle w:val="TOC1"/>
            <w:rPr>
              <w:rFonts w:eastAsiaTheme="minorEastAsia" w:cstheme="minorBidi"/>
              <w:noProof/>
              <w:sz w:val="22"/>
              <w:szCs w:val="22"/>
            </w:rPr>
          </w:pPr>
          <w:hyperlink w:anchor="_Toc150420028" w:history="1">
            <w:r w:rsidRPr="00061076">
              <w:rPr>
                <w:rStyle w:val="Hyperlink"/>
                <w:noProof/>
              </w:rPr>
              <w:t xml:space="preserve">A.15. </w:t>
            </w:r>
            <w:r>
              <w:rPr>
                <w:rFonts w:eastAsiaTheme="minorEastAsia" w:cstheme="minorBidi"/>
                <w:noProof/>
                <w:sz w:val="22"/>
                <w:szCs w:val="22"/>
              </w:rPr>
              <w:tab/>
            </w:r>
            <w:r w:rsidRPr="00061076">
              <w:rPr>
                <w:rStyle w:val="Hyperlink"/>
                <w:noProof/>
              </w:rPr>
              <w:t>Explanation for Program Changes or Adjustments</w:t>
            </w:r>
            <w:r>
              <w:rPr>
                <w:noProof/>
                <w:webHidden/>
              </w:rPr>
              <w:tab/>
            </w:r>
            <w:r>
              <w:rPr>
                <w:noProof/>
                <w:webHidden/>
              </w:rPr>
              <w:fldChar w:fldCharType="begin"/>
            </w:r>
            <w:r>
              <w:rPr>
                <w:noProof/>
                <w:webHidden/>
              </w:rPr>
              <w:instrText xml:space="preserve"> PAGEREF _Toc150420028 \h </w:instrText>
            </w:r>
            <w:r>
              <w:rPr>
                <w:noProof/>
                <w:webHidden/>
              </w:rPr>
              <w:fldChar w:fldCharType="separate"/>
            </w:r>
            <w:r>
              <w:rPr>
                <w:noProof/>
                <w:webHidden/>
              </w:rPr>
              <w:t>10</w:t>
            </w:r>
            <w:r>
              <w:rPr>
                <w:noProof/>
                <w:webHidden/>
              </w:rPr>
              <w:fldChar w:fldCharType="end"/>
            </w:r>
          </w:hyperlink>
        </w:p>
        <w:p w:rsidR="001E76F4" w:rsidP="005A74D9" w14:paraId="1EA2F1FE" w14:textId="3741C91F">
          <w:pPr>
            <w:pStyle w:val="TOC1"/>
            <w:rPr>
              <w:rFonts w:eastAsiaTheme="minorEastAsia" w:cstheme="minorBidi"/>
              <w:noProof/>
              <w:sz w:val="22"/>
              <w:szCs w:val="22"/>
            </w:rPr>
          </w:pPr>
          <w:hyperlink w:anchor="_Toc150420029" w:history="1">
            <w:r w:rsidRPr="00061076">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_Toc150420029 \h </w:instrText>
            </w:r>
            <w:r>
              <w:rPr>
                <w:noProof/>
                <w:webHidden/>
              </w:rPr>
              <w:fldChar w:fldCharType="separate"/>
            </w:r>
            <w:r>
              <w:rPr>
                <w:noProof/>
                <w:webHidden/>
              </w:rPr>
              <w:t>10</w:t>
            </w:r>
            <w:r>
              <w:rPr>
                <w:noProof/>
                <w:webHidden/>
              </w:rPr>
              <w:fldChar w:fldCharType="end"/>
            </w:r>
          </w:hyperlink>
        </w:p>
        <w:p w:rsidR="001E76F4" w:rsidP="005A74D9" w14:paraId="6C2A5B63" w14:textId="38E6C9F2">
          <w:pPr>
            <w:pStyle w:val="TOC1"/>
            <w:rPr>
              <w:rFonts w:eastAsiaTheme="minorEastAsia" w:cstheme="minorBidi"/>
              <w:noProof/>
              <w:sz w:val="22"/>
              <w:szCs w:val="22"/>
            </w:rPr>
          </w:pPr>
          <w:hyperlink w:anchor="_Toc150420030" w:history="1">
            <w:r w:rsidRPr="00061076">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_Toc150420030 \h </w:instrText>
            </w:r>
            <w:r>
              <w:rPr>
                <w:noProof/>
                <w:webHidden/>
              </w:rPr>
              <w:fldChar w:fldCharType="separate"/>
            </w:r>
            <w:r>
              <w:rPr>
                <w:noProof/>
                <w:webHidden/>
              </w:rPr>
              <w:t>11</w:t>
            </w:r>
            <w:r>
              <w:rPr>
                <w:noProof/>
                <w:webHidden/>
              </w:rPr>
              <w:fldChar w:fldCharType="end"/>
            </w:r>
          </w:hyperlink>
        </w:p>
        <w:p w:rsidR="001E76F4" w:rsidP="005A74D9" w14:paraId="3000D50F" w14:textId="5B33ECFA">
          <w:pPr>
            <w:pStyle w:val="TOC1"/>
            <w:rPr>
              <w:rFonts w:eastAsiaTheme="minorEastAsia" w:cstheme="minorBidi"/>
              <w:noProof/>
              <w:sz w:val="22"/>
              <w:szCs w:val="22"/>
            </w:rPr>
          </w:pPr>
          <w:hyperlink w:anchor="_Toc150420031" w:history="1">
            <w:r w:rsidRPr="00061076">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_Toc150420031 \h </w:instrText>
            </w:r>
            <w:r>
              <w:rPr>
                <w:noProof/>
                <w:webHidden/>
              </w:rPr>
              <w:fldChar w:fldCharType="separate"/>
            </w:r>
            <w:r>
              <w:rPr>
                <w:noProof/>
                <w:webHidden/>
              </w:rPr>
              <w:t>11</w:t>
            </w:r>
            <w:r>
              <w:rPr>
                <w:noProof/>
                <w:webHidden/>
              </w:rPr>
              <w:fldChar w:fldCharType="end"/>
            </w:r>
          </w:hyperlink>
        </w:p>
        <w:p w:rsidR="001E76F4" w:rsidP="005A74D9" w14:paraId="2AFA7019" w14:textId="29705D68">
          <w:pPr>
            <w:pStyle w:val="TOC1"/>
            <w:rPr>
              <w:noProof/>
            </w:rPr>
          </w:pPr>
          <w:hyperlink w:anchor="_Toc150420032" w:history="1">
            <w:r w:rsidRPr="00061076">
              <w:rPr>
                <w:rStyle w:val="Hyperlink"/>
                <w:noProof/>
              </w:rPr>
              <w:t>REFERENCES</w:t>
            </w:r>
            <w:r>
              <w:rPr>
                <w:noProof/>
                <w:webHidden/>
              </w:rPr>
              <w:tab/>
            </w:r>
            <w:r>
              <w:rPr>
                <w:noProof/>
                <w:webHidden/>
              </w:rPr>
              <w:fldChar w:fldCharType="begin"/>
            </w:r>
            <w:r>
              <w:rPr>
                <w:noProof/>
                <w:webHidden/>
              </w:rPr>
              <w:instrText xml:space="preserve"> PAGEREF _Toc150420032 \h </w:instrText>
            </w:r>
            <w:r>
              <w:rPr>
                <w:noProof/>
                <w:webHidden/>
              </w:rPr>
              <w:fldChar w:fldCharType="separate"/>
            </w:r>
            <w:r>
              <w:rPr>
                <w:noProof/>
                <w:webHidden/>
              </w:rPr>
              <w:t>11</w:t>
            </w:r>
            <w:r>
              <w:rPr>
                <w:noProof/>
                <w:webHidden/>
              </w:rPr>
              <w:fldChar w:fldCharType="end"/>
            </w:r>
          </w:hyperlink>
        </w:p>
        <w:p w:rsidR="008C4239" w:rsidP="005A74D9" w14:paraId="271B28FD" w14:textId="77777777">
          <w:pPr>
            <w:pStyle w:val="TOC1"/>
            <w:rPr>
              <w:rFonts w:eastAsiaTheme="minorEastAsia" w:cstheme="minorBidi"/>
              <w:noProof/>
              <w:sz w:val="22"/>
              <w:szCs w:val="22"/>
            </w:rPr>
          </w:pPr>
        </w:p>
        <w:p w:rsidR="001E76F4" w:rsidP="005A74D9" w14:paraId="64AB4C24" w14:textId="18CE62B6">
          <w:pPr>
            <w:pStyle w:val="TOC1"/>
            <w:rPr>
              <w:rFonts w:eastAsiaTheme="minorEastAsia" w:cstheme="minorBidi"/>
              <w:noProof/>
              <w:sz w:val="22"/>
              <w:szCs w:val="22"/>
            </w:rPr>
          </w:pPr>
          <w:hyperlink w:anchor="_Toc150420033" w:history="1">
            <w:r w:rsidRPr="00061076">
              <w:rPr>
                <w:rStyle w:val="Hyperlink"/>
                <w:noProof/>
              </w:rPr>
              <w:t>ATTACHMENTS</w:t>
            </w:r>
          </w:hyperlink>
        </w:p>
        <w:p w:rsidR="001E76F4" w:rsidRPr="008C4239" w:rsidP="008C4239" w14:paraId="1A94F1D9" w14:textId="0A92B177">
          <w:pPr>
            <w:pStyle w:val="TOC2"/>
            <w:rPr>
              <w:rStyle w:val="Hyperlink"/>
              <w:caps/>
              <w:smallCaps w:val="0"/>
              <w:color w:val="auto"/>
            </w:rPr>
          </w:pPr>
          <w:hyperlink w:anchor="_Toc150420034" w:history="1">
            <w:r w:rsidRPr="008C4239">
              <w:rPr>
                <w:rStyle w:val="Hyperlink"/>
                <w:caps/>
                <w:smallCaps w:val="0"/>
                <w:color w:val="auto"/>
              </w:rPr>
              <w:t>Authorizing Legislation: Public Health Service Act</w:t>
            </w:r>
          </w:hyperlink>
        </w:p>
        <w:p w:rsidR="001E76F4" w:rsidRPr="008C4239" w:rsidP="008C4239" w14:paraId="5F0ED378" w14:textId="2A7FF97B">
          <w:pPr>
            <w:pStyle w:val="TOC2"/>
            <w:rPr>
              <w:rStyle w:val="Hyperlink"/>
              <w:caps/>
              <w:smallCaps w:val="0"/>
              <w:color w:val="auto"/>
              <w:u w:val="none"/>
            </w:rPr>
          </w:pPr>
          <w:hyperlink w:anchor="_Toc150420035" w:history="1">
            <w:r w:rsidRPr="008C4239">
              <w:rPr>
                <w:rStyle w:val="Hyperlink"/>
                <w:caps/>
                <w:smallCaps w:val="0"/>
                <w:color w:val="auto"/>
                <w:u w:val="none"/>
              </w:rPr>
              <w:t>OD2A</w:t>
            </w:r>
            <w:r w:rsidRPr="008C4239" w:rsidR="006C206D">
              <w:rPr>
                <w:rStyle w:val="Hyperlink"/>
                <w:caps/>
                <w:smallCaps w:val="0"/>
                <w:color w:val="auto"/>
                <w:u w:val="none"/>
              </w:rPr>
              <w:t>:</w:t>
            </w:r>
            <w:r w:rsidRPr="008C4239">
              <w:rPr>
                <w:rStyle w:val="Hyperlink"/>
                <w:caps/>
                <w:smallCaps w:val="0"/>
                <w:color w:val="auto"/>
                <w:u w:val="none"/>
              </w:rPr>
              <w:t xml:space="preserve"> LOCAL Technical Guidance for LTC Surveillance</w:t>
            </w:r>
          </w:hyperlink>
        </w:p>
        <w:p w:rsidR="001E76F4" w:rsidRPr="008C4239" w:rsidP="008C4239" w14:paraId="56D380ED" w14:textId="021CEB6A">
          <w:pPr>
            <w:pStyle w:val="TOC2"/>
            <w:rPr>
              <w:rStyle w:val="Hyperlink"/>
              <w:caps/>
              <w:smallCaps w:val="0"/>
              <w:color w:val="auto"/>
              <w:u w:val="none"/>
            </w:rPr>
          </w:pPr>
          <w:hyperlink w:anchor="_Toc150420036" w:history="1">
            <w:r w:rsidRPr="008C4239">
              <w:rPr>
                <w:rStyle w:val="Hyperlink"/>
                <w:caps/>
                <w:smallCaps w:val="0"/>
                <w:color w:val="auto"/>
                <w:u w:val="none"/>
              </w:rPr>
              <w:t>OD2A</w:t>
            </w:r>
            <w:r w:rsidRPr="008C4239" w:rsidR="006C206D">
              <w:rPr>
                <w:rStyle w:val="Hyperlink"/>
                <w:caps/>
                <w:smallCaps w:val="0"/>
                <w:color w:val="auto"/>
                <w:u w:val="none"/>
              </w:rPr>
              <w:t xml:space="preserve">: </w:t>
            </w:r>
            <w:r w:rsidRPr="008C4239">
              <w:rPr>
                <w:rStyle w:val="Hyperlink"/>
                <w:caps/>
                <w:smallCaps w:val="0"/>
                <w:color w:val="auto"/>
                <w:u w:val="none"/>
              </w:rPr>
              <w:t>LOCAL</w:t>
            </w:r>
            <w:r w:rsidRPr="008C4239" w:rsidR="006C206D">
              <w:rPr>
                <w:rStyle w:val="Hyperlink"/>
                <w:caps/>
                <w:smallCaps w:val="0"/>
                <w:color w:val="auto"/>
                <w:u w:val="none"/>
              </w:rPr>
              <w:t xml:space="preserve"> </w:t>
            </w:r>
            <w:r w:rsidRPr="008C4239">
              <w:rPr>
                <w:rStyle w:val="Hyperlink"/>
                <w:caps/>
                <w:smallCaps w:val="0"/>
                <w:color w:val="auto"/>
                <w:u w:val="none"/>
              </w:rPr>
              <w:t>LTC</w:t>
            </w:r>
            <w:r w:rsidRPr="008C4239" w:rsidR="006C206D">
              <w:rPr>
                <w:rStyle w:val="Hyperlink"/>
                <w:caps/>
                <w:smallCaps w:val="0"/>
                <w:color w:val="auto"/>
                <w:u w:val="none"/>
              </w:rPr>
              <w:t xml:space="preserve"> </w:t>
            </w:r>
            <w:r w:rsidRPr="008C4239">
              <w:rPr>
                <w:rStyle w:val="Hyperlink"/>
                <w:caps/>
                <w:smallCaps w:val="0"/>
                <w:color w:val="auto"/>
                <w:u w:val="none"/>
              </w:rPr>
              <w:t>Data</w:t>
            </w:r>
            <w:r w:rsidRPr="008C4239" w:rsidR="006C206D">
              <w:rPr>
                <w:rStyle w:val="Hyperlink"/>
                <w:caps/>
                <w:smallCaps w:val="0"/>
                <w:color w:val="auto"/>
                <w:u w:val="none"/>
              </w:rPr>
              <w:t xml:space="preserve"> </w:t>
            </w:r>
            <w:r w:rsidRPr="008C4239" w:rsidR="00E7207F">
              <w:rPr>
                <w:rStyle w:val="Hyperlink"/>
                <w:caps/>
                <w:smallCaps w:val="0"/>
                <w:color w:val="auto"/>
                <w:u w:val="none"/>
              </w:rPr>
              <w:t>Entry Form</w:t>
            </w:r>
          </w:hyperlink>
        </w:p>
        <w:p w:rsidR="003C600B" w:rsidRPr="008C4239" w:rsidP="008C4239" w14:paraId="118E5EC5" w14:textId="7F8DE87C">
          <w:pPr>
            <w:pStyle w:val="TOC2"/>
            <w:rPr>
              <w:rStyle w:val="Hyperlink"/>
              <w:caps/>
              <w:smallCaps w:val="0"/>
              <w:color w:val="auto"/>
              <w:u w:val="none"/>
            </w:rPr>
          </w:pPr>
          <w:r w:rsidRPr="008C4239">
            <w:rPr>
              <w:rStyle w:val="Hyperlink"/>
              <w:caps/>
              <w:smallCaps w:val="0"/>
              <w:color w:val="auto"/>
              <w:u w:val="none"/>
            </w:rPr>
            <w:t>OD2A: LOCAL LTC</w:t>
          </w:r>
          <w:r w:rsidRPr="008C4239" w:rsidR="00AE31CC">
            <w:rPr>
              <w:rStyle w:val="Hyperlink"/>
              <w:caps/>
              <w:smallCaps w:val="0"/>
              <w:color w:val="auto"/>
              <w:u w:val="none"/>
            </w:rPr>
            <w:t xml:space="preserve"> Data </w:t>
          </w:r>
          <w:r w:rsidRPr="008C4239" w:rsidR="00EC73D1">
            <w:rPr>
              <w:rStyle w:val="Hyperlink"/>
              <w:caps/>
              <w:smallCaps w:val="0"/>
              <w:color w:val="auto"/>
              <w:u w:val="none"/>
            </w:rPr>
            <w:t>Import Template</w:t>
          </w:r>
        </w:p>
        <w:p w:rsidR="001E76F4" w:rsidRPr="008C4239" w:rsidP="008C4239" w14:paraId="4AE52DEF" w14:textId="39E0C90E">
          <w:pPr>
            <w:pStyle w:val="TOC2"/>
            <w:rPr>
              <w:rStyle w:val="Hyperlink"/>
              <w:caps/>
              <w:smallCaps w:val="0"/>
              <w:color w:val="auto"/>
              <w:u w:val="none"/>
            </w:rPr>
          </w:pPr>
          <w:hyperlink w:anchor="_Toc150420038" w:history="1"/>
          <w:hyperlink w:anchor="_Toc150420039" w:history="1">
            <w:r w:rsidRPr="008C4239">
              <w:rPr>
                <w:rStyle w:val="Hyperlink"/>
                <w:caps/>
                <w:smallCaps w:val="0"/>
                <w:color w:val="auto"/>
                <w:u w:val="none"/>
              </w:rPr>
              <w:t>Published 60-Day Federal Register Notice (</w:t>
            </w:r>
            <w:r w:rsidRPr="008C4239" w:rsidR="0038533A">
              <w:rPr>
                <w:rStyle w:val="Hyperlink"/>
                <w:caps/>
                <w:smallCaps w:val="0"/>
                <w:color w:val="auto"/>
                <w:u w:val="none"/>
              </w:rPr>
              <w:t>FRN</w:t>
            </w:r>
            <w:r w:rsidRPr="008C4239">
              <w:rPr>
                <w:rStyle w:val="Hyperlink"/>
                <w:caps/>
                <w:smallCaps w:val="0"/>
                <w:color w:val="auto"/>
                <w:u w:val="none"/>
              </w:rPr>
              <w:t>)</w:t>
            </w:r>
            <w:r w:rsidRPr="008C4239" w:rsidR="0038533A">
              <w:rPr>
                <w:rStyle w:val="Hyperlink"/>
                <w:caps/>
                <w:smallCaps w:val="0"/>
                <w:color w:val="auto"/>
                <w:u w:val="none"/>
              </w:rPr>
              <w:t xml:space="preserve"> </w:t>
            </w:r>
          </w:hyperlink>
        </w:p>
        <w:p w:rsidR="001E76F4" w:rsidRPr="008C4239" w:rsidP="008C4239" w14:paraId="55200875" w14:textId="37C92016">
          <w:pPr>
            <w:pStyle w:val="TOC2"/>
            <w:rPr>
              <w:rStyle w:val="Hyperlink"/>
              <w:caps/>
              <w:smallCaps w:val="0"/>
              <w:color w:val="auto"/>
              <w:u w:val="none"/>
            </w:rPr>
          </w:pPr>
          <w:hyperlink w:anchor="_Toc150420040" w:history="1">
            <w:r w:rsidRPr="008C4239" w:rsidR="0038533A">
              <w:rPr>
                <w:rStyle w:val="Hyperlink"/>
                <w:caps/>
                <w:smallCaps w:val="0"/>
                <w:color w:val="auto"/>
                <w:u w:val="none"/>
              </w:rPr>
              <w:t>Public comment to 60-Day FRN</w:t>
            </w:r>
          </w:hyperlink>
        </w:p>
        <w:p w:rsidR="00C618D1" w:rsidRPr="008C4239" w:rsidP="008C4239" w14:paraId="161D24C3" w14:textId="1419AB31">
          <w:pPr>
            <w:pStyle w:val="TOC2"/>
            <w:rPr>
              <w:rStyle w:val="Hyperlink"/>
              <w:caps/>
              <w:smallCaps w:val="0"/>
              <w:color w:val="auto"/>
              <w:u w:val="none"/>
            </w:rPr>
          </w:pPr>
          <w:r w:rsidRPr="008C4239">
            <w:rPr>
              <w:rStyle w:val="Hyperlink"/>
              <w:caps/>
              <w:smallCaps w:val="0"/>
              <w:color w:val="auto"/>
              <w:u w:val="none"/>
            </w:rPr>
            <w:t xml:space="preserve">Aplicability of privacy act </w:t>
          </w:r>
        </w:p>
        <w:p w:rsidR="0038533A" w:rsidRPr="008C4239" w:rsidP="008C4239" w14:paraId="761C83A3" w14:textId="3A5AC861">
          <w:pPr>
            <w:pStyle w:val="TOC2"/>
            <w:rPr>
              <w:rFonts w:eastAsiaTheme="minorEastAsia"/>
            </w:rPr>
          </w:pPr>
          <w:r w:rsidRPr="008C4239">
            <w:rPr>
              <w:rStyle w:val="Hyperlink"/>
              <w:caps/>
              <w:smallCaps w:val="0"/>
              <w:color w:val="auto"/>
              <w:u w:val="none"/>
            </w:rPr>
            <w:t>Research determination</w:t>
          </w:r>
        </w:p>
        <w:p w:rsidR="00FB02C7" w:rsidRPr="00A10C57" w:rsidP="005A74D9" w14:paraId="25FD4934" w14:textId="7152491D">
          <w:pPr>
            <w:pStyle w:val="TOC1"/>
            <w:rPr>
              <w:rFonts w:eastAsiaTheme="minorEastAsia" w:cstheme="minorBidi"/>
              <w:noProof/>
              <w:sz w:val="22"/>
              <w:szCs w:val="22"/>
            </w:rPr>
          </w:pPr>
          <w:r>
            <w:fldChar w:fldCharType="end"/>
          </w:r>
        </w:p>
      </w:sdtContent>
    </w:sdt>
    <w:p w:rsidR="00972DEF" w:rsidRPr="00691454" w:rsidP="005A74D9" w14:paraId="04D81159" w14:textId="77777777">
      <w:pPr>
        <w:pStyle w:val="TOC5"/>
        <w:rPr>
          <w:noProof/>
        </w:rPr>
      </w:pPr>
    </w:p>
    <w:p w:rsidR="005A74D9" w:rsidP="000849E9" w14:paraId="0F57739A" w14:textId="77777777">
      <w:pPr>
        <w:pStyle w:val="TOC5"/>
        <w:rPr>
          <w:rFonts w:ascii="Times New Roman" w:hAnsi="Times New Roman" w:cs="Times New Roman"/>
          <w:sz w:val="24"/>
          <w:szCs w:val="24"/>
        </w:rPr>
      </w:pPr>
    </w:p>
    <w:p w:rsidR="005A74D9" w:rsidP="000849E9" w14:paraId="03A6E204" w14:textId="77777777">
      <w:pPr>
        <w:pStyle w:val="TOC5"/>
        <w:rPr>
          <w:rFonts w:ascii="Times New Roman" w:hAnsi="Times New Roman" w:cs="Times New Roman"/>
          <w:sz w:val="24"/>
          <w:szCs w:val="24"/>
        </w:rPr>
      </w:pPr>
    </w:p>
    <w:p w:rsidR="005A74D9" w:rsidRPr="00691454" w:rsidP="000849E9" w14:paraId="25EEBEB0" w14:textId="77777777">
      <w:pPr>
        <w:pStyle w:val="TOC5"/>
      </w:pPr>
    </w:p>
    <w:p w:rsidR="004D685E" w:rsidP="008C4239" w14:paraId="37199234" w14:textId="613F11AE">
      <w:bookmarkStart w:id="2" w:name="_Toc150420011"/>
      <w:bookmarkStart w:id="3" w:name="_Toc145659484"/>
      <w:r>
        <w:t>ACROYNMS</w:t>
      </w:r>
      <w:bookmarkEnd w:id="2"/>
    </w:p>
    <w:p w:rsidR="004D685E" w:rsidP="004D685E" w14:paraId="4B962FC7" w14:textId="659FC0A8"/>
    <w:p w:rsidR="004D685E" w:rsidP="004D685E" w14:paraId="3CAEC752" w14:textId="280BF25B">
      <w:r>
        <w:t>CoC</w:t>
      </w:r>
      <w:r>
        <w:tab/>
      </w:r>
      <w:r>
        <w:tab/>
      </w:r>
      <w:r w:rsidR="00EB0191">
        <w:t>C</w:t>
      </w:r>
      <w:r>
        <w:t xml:space="preserve">ascade of </w:t>
      </w:r>
      <w:r w:rsidR="00640E9D">
        <w:t>C</w:t>
      </w:r>
      <w:r>
        <w:t>are</w:t>
      </w:r>
    </w:p>
    <w:p w:rsidR="00EB0191" w:rsidP="004D685E" w14:paraId="467BBC69" w14:textId="3853BACA">
      <w:r>
        <w:t>DOP</w:t>
      </w:r>
      <w:r>
        <w:tab/>
      </w:r>
      <w:r>
        <w:tab/>
        <w:t>Division of Overdose Prevention</w:t>
      </w:r>
    </w:p>
    <w:p w:rsidR="00F212A2" w:rsidP="004D685E" w14:paraId="3C58BB17" w14:textId="7E24481B">
      <w:r>
        <w:t>ED</w:t>
      </w:r>
      <w:r>
        <w:tab/>
      </w:r>
      <w:r>
        <w:tab/>
        <w:t>Emergency departments</w:t>
      </w:r>
      <w:r>
        <w:tab/>
      </w:r>
    </w:p>
    <w:p w:rsidR="00F212A2" w:rsidP="004D685E" w14:paraId="72B27E30" w14:textId="0749BFF1">
      <w:r>
        <w:t>EMS</w:t>
      </w:r>
      <w:r>
        <w:tab/>
      </w:r>
      <w:r>
        <w:tab/>
        <w:t>Emergency Medical Services</w:t>
      </w:r>
    </w:p>
    <w:p w:rsidR="00BC3B28" w:rsidP="004D685E" w14:paraId="62D94E65" w14:textId="3DE4197C">
      <w:r>
        <w:t>LTC</w:t>
      </w:r>
      <w:r>
        <w:tab/>
      </w:r>
      <w:r>
        <w:tab/>
        <w:t>Linkage to and Retention in Care</w:t>
      </w:r>
    </w:p>
    <w:p w:rsidR="00192FDD" w:rsidRPr="002812CD" w:rsidP="00192FDD" w14:paraId="5CE6D198" w14:textId="77777777">
      <w:r w:rsidRPr="002812CD">
        <w:t>MOUD</w:t>
      </w:r>
      <w:r>
        <w:t xml:space="preserve">           </w:t>
      </w:r>
      <w:r>
        <w:tab/>
      </w:r>
      <w:r w:rsidRPr="002812CD">
        <w:t>Medications for Opioid Use Disorder</w:t>
      </w:r>
    </w:p>
    <w:p w:rsidR="00EB0191" w:rsidP="004D685E" w14:paraId="6FF66CEA" w14:textId="6DAD139A">
      <w:r>
        <w:t>NCIPC</w:t>
      </w:r>
      <w:r>
        <w:tab/>
      </w:r>
      <w:r>
        <w:tab/>
      </w:r>
      <w:r w:rsidRPr="001573D4" w:rsidR="00EA3231">
        <w:rPr>
          <w:rFonts w:eastAsiaTheme="minorHAnsi"/>
        </w:rPr>
        <w:t>National Center for Injury Prevention and Control</w:t>
      </w:r>
    </w:p>
    <w:p w:rsidR="00192FDD" w:rsidRPr="00813B35" w:rsidP="00192FDD" w14:paraId="00EAADF9" w14:textId="77777777">
      <w:r w:rsidRPr="00813B35">
        <w:t xml:space="preserve">OUD </w:t>
      </w:r>
      <w:r w:rsidRPr="00813B35">
        <w:tab/>
      </w:r>
      <w:r w:rsidRPr="00813B35">
        <w:tab/>
        <w:t>Opioid Use Disorder</w:t>
      </w:r>
    </w:p>
    <w:p w:rsidR="004D685E" w:rsidP="004D685E" w14:paraId="336110D2" w14:textId="72EFAE16">
      <w:r>
        <w:t>SUD</w:t>
      </w:r>
      <w:r>
        <w:tab/>
      </w:r>
      <w:r>
        <w:tab/>
        <w:t>Substance use disorder</w:t>
      </w:r>
    </w:p>
    <w:p w:rsidR="004D685E" w:rsidP="004D685E" w14:paraId="4FBC6E9E" w14:textId="0638E422">
      <w:r>
        <w:t>StUD</w:t>
      </w:r>
      <w:r>
        <w:tab/>
      </w:r>
      <w:r>
        <w:tab/>
        <w:t>Stimulant use disorder</w:t>
      </w:r>
    </w:p>
    <w:p w:rsidR="004D685E" w:rsidRPr="004D685E" w:rsidP="004D685E" w14:paraId="4F100B1A" w14:textId="77777777"/>
    <w:p w:rsidR="004D685E" w:rsidP="00EB0191" w14:paraId="06D3DE79" w14:textId="6B0AAE6D"/>
    <w:p w:rsidR="004D685E" w14:paraId="700EDB70" w14:textId="77777777">
      <w:pPr>
        <w:rPr>
          <w:rFonts w:ascii="Cambria" w:hAnsi="Cambria" w:cs="Cambria"/>
          <w:b/>
          <w:bCs/>
          <w:kern w:val="32"/>
        </w:rPr>
      </w:pPr>
      <w:r>
        <w:br w:type="page"/>
      </w:r>
    </w:p>
    <w:p w:rsidR="00E40213" w:rsidRPr="00722FF6" w:rsidP="00722FF6" w14:paraId="543286A9" w14:textId="622DBC94">
      <w:pPr>
        <w:pStyle w:val="Heading1"/>
        <w:spacing w:after="0" w:line="240" w:lineRule="auto"/>
        <w:jc w:val="left"/>
        <w:rPr>
          <w:sz w:val="24"/>
          <w:szCs w:val="24"/>
        </w:rPr>
      </w:pPr>
      <w:bookmarkStart w:id="4" w:name="_Toc150420012"/>
      <w:r w:rsidRPr="00722FF6">
        <w:rPr>
          <w:sz w:val="24"/>
          <w:szCs w:val="24"/>
        </w:rPr>
        <w:t>SUMMARY TABLE</w:t>
      </w:r>
      <w:bookmarkEnd w:id="3"/>
      <w:bookmarkEnd w:id="4"/>
    </w:p>
    <w:p w:rsidR="00594B70" w:rsidP="00E40213" w14:paraId="7F49DE9A" w14:textId="77777777">
      <w:pPr>
        <w:rPr>
          <w:b/>
          <w:bCs/>
        </w:rPr>
      </w:pPr>
    </w:p>
    <w:p w:rsidR="00FB1045" w:rsidP="00812EDE" w14:paraId="04D81162" w14:textId="3316C423">
      <w:pPr>
        <w:rPr>
          <w:b/>
          <w:bCs/>
        </w:rPr>
      </w:pPr>
      <w:r>
        <w:rPr>
          <w:noProof/>
        </w:rPr>
        <mc:AlternateContent>
          <mc:Choice Requires="wps">
            <w:drawing>
              <wp:inline distT="0" distB="0" distL="0" distR="0">
                <wp:extent cx="6162675" cy="5514975"/>
                <wp:effectExtent l="0" t="0" r="28575" b="28575"/>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514975"/>
                        </a:xfrm>
                        <a:prstGeom prst="rect">
                          <a:avLst/>
                        </a:prstGeom>
                        <a:solidFill>
                          <a:srgbClr val="FFFFFF"/>
                        </a:solidFill>
                        <a:ln w="9525">
                          <a:solidFill>
                            <a:srgbClr val="000000"/>
                          </a:solidFill>
                          <a:miter lim="800000"/>
                          <a:headEnd/>
                          <a:tailEnd/>
                        </a:ln>
                      </wps:spPr>
                      <wps:txbx>
                        <w:txbxContent>
                          <w:p w:rsidR="00647E6E" w:rsidRPr="00642478" w:rsidP="00225942" w14:textId="3C3CB71A">
                            <w:pPr>
                              <w:pStyle w:val="ListParagraph"/>
                              <w:numPr>
                                <w:ilvl w:val="0"/>
                                <w:numId w:val="47"/>
                              </w:numPr>
                              <w:spacing w:before="20" w:after="20"/>
                            </w:pPr>
                            <w:r w:rsidRPr="00225942">
                              <w:rPr>
                                <w:b/>
                                <w:bCs/>
                              </w:rPr>
                              <w:t>Goal of the study</w:t>
                            </w:r>
                            <w:r w:rsidR="00AD1D63">
                              <w:t xml:space="preserve"> </w:t>
                            </w:r>
                            <w:r w:rsidR="00D54B8F">
                              <w:t>–</w:t>
                            </w:r>
                            <w:r w:rsidR="00777C14">
                              <w:t xml:space="preserve"> </w:t>
                            </w:r>
                            <w:r w:rsidR="00225942">
                              <w:t>E</w:t>
                            </w:r>
                            <w:r w:rsidRPr="00837761" w:rsidR="00225942">
                              <w:t xml:space="preserve">stablish a surveillance system to measure linkage to and retention in care for substance use disorder (SUD). </w:t>
                            </w:r>
                            <w:r w:rsidRPr="00D35F33" w:rsidR="00225942">
                              <w:t xml:space="preserve">This goal </w:t>
                            </w:r>
                            <w:r w:rsidR="008E3D32">
                              <w:t>will be</w:t>
                            </w:r>
                            <w:r w:rsidRPr="00D35F33" w:rsidR="00225942">
                              <w:t xml:space="preserve"> accomplished by funding 12 jurisdictions (local health departments) that will collect and share </w:t>
                            </w:r>
                            <w:r w:rsidR="00225942">
                              <w:t xml:space="preserve">standardized </w:t>
                            </w:r>
                            <w:r w:rsidRPr="00D35F33" w:rsidR="00225942">
                              <w:t>data with CDC to inform and enhance regional and national linkage to care efforts.</w:t>
                            </w:r>
                            <w:r w:rsidR="00225942">
                              <w:t xml:space="preserve"> L</w:t>
                            </w:r>
                            <w:r w:rsidRPr="00837761" w:rsidR="00225942">
                              <w:t xml:space="preserve">inkage to and retention in care </w:t>
                            </w:r>
                            <w:r w:rsidR="00225942">
                              <w:t xml:space="preserve">surveillance </w:t>
                            </w:r>
                            <w:r w:rsidRPr="00837761" w:rsidR="00225942">
                              <w:t>at the local level complement</w:t>
                            </w:r>
                            <w:r w:rsidR="00225942">
                              <w:t>s</w:t>
                            </w:r>
                            <w:r w:rsidRPr="00837761" w:rsidR="00225942">
                              <w:t xml:space="preserve"> prevention-focused activities by providing a better understanding of the cascade of care (CoC) for SUD, including referral to, initiation of, retention in, and loss to follow-up in evidence-based treatment for SUD</w:t>
                            </w:r>
                            <w:r w:rsidR="00F9748C">
                              <w:t>, harm reduction services, and other</w:t>
                            </w:r>
                            <w:r w:rsidRPr="00837761" w:rsidR="00225942">
                              <w:t xml:space="preserve"> related support</w:t>
                            </w:r>
                            <w:r w:rsidR="00F9748C">
                              <w:t>s</w:t>
                            </w:r>
                            <w:r w:rsidRPr="00837761" w:rsidR="00225942">
                              <w:t>, especially among people at higher risk of overdose and/or historically underserved.</w:t>
                            </w:r>
                          </w:p>
                          <w:p w:rsidR="0073187D" w:rsidRPr="005708A7" w:rsidP="00FB1045" w14:textId="77777777">
                            <w:pPr>
                              <w:pStyle w:val="ListParagraph"/>
                              <w:ind w:left="360"/>
                            </w:pPr>
                          </w:p>
                          <w:p w:rsidR="0073187D" w:rsidRPr="005708A7" w:rsidP="00FB1045" w14:textId="7ABD893F">
                            <w:pPr>
                              <w:pStyle w:val="ListParagraph"/>
                              <w:numPr>
                                <w:ilvl w:val="0"/>
                                <w:numId w:val="47"/>
                              </w:numPr>
                              <w:spacing w:after="200" w:line="276" w:lineRule="auto"/>
                            </w:pPr>
                            <w:r w:rsidRPr="00777C14">
                              <w:rPr>
                                <w:b/>
                                <w:bCs/>
                              </w:rPr>
                              <w:t>Intended use of the resulting data</w:t>
                            </w:r>
                            <w:r w:rsidR="001A7CE7">
                              <w:t xml:space="preserve"> – Improve </w:t>
                            </w:r>
                            <w:r w:rsidR="00486BD3">
                              <w:t xml:space="preserve">monitoring </w:t>
                            </w:r>
                            <w:r w:rsidR="00DB3F3A">
                              <w:t>of linkage to</w:t>
                            </w:r>
                            <w:r w:rsidR="00FB1179">
                              <w:t xml:space="preserve"> and retention in</w:t>
                            </w:r>
                            <w:r w:rsidR="00DB3F3A">
                              <w:t xml:space="preserve"> care for SUD </w:t>
                            </w:r>
                            <w:r w:rsidR="002558CE">
                              <w:t>at the local</w:t>
                            </w:r>
                            <w:r w:rsidR="00A05FB7">
                              <w:t xml:space="preserve"> </w:t>
                            </w:r>
                            <w:r w:rsidR="00647E6E">
                              <w:t>level and</w:t>
                            </w:r>
                            <w:r w:rsidR="00DB3F3A">
                              <w:t xml:space="preserve"> evaluate programmatic efforts to </w:t>
                            </w:r>
                            <w:r w:rsidR="0087712F">
                              <w:t xml:space="preserve">link </w:t>
                            </w:r>
                            <w:r w:rsidR="00A565EB">
                              <w:t>individuals with SUD</w:t>
                            </w:r>
                            <w:r w:rsidR="00DB3F3A">
                              <w:t xml:space="preserve"> to </w:t>
                            </w:r>
                            <w:r w:rsidR="00A565EB">
                              <w:t>treatment</w:t>
                            </w:r>
                            <w:r w:rsidR="00DB3F3A">
                              <w:t>.</w:t>
                            </w:r>
                            <w:r w:rsidR="00BB4369">
                              <w:t xml:space="preserve"> </w:t>
                            </w:r>
                          </w:p>
                          <w:p w:rsidR="0073187D" w:rsidRPr="005708A7" w:rsidP="00FB1045" w14:textId="77777777">
                            <w:pPr>
                              <w:pStyle w:val="ListParagraph"/>
                              <w:ind w:left="360"/>
                            </w:pPr>
                          </w:p>
                          <w:p w:rsidR="00410031" w:rsidP="00410031" w14:textId="6E5F4264">
                            <w:pPr>
                              <w:pStyle w:val="ListParagraph"/>
                              <w:numPr>
                                <w:ilvl w:val="0"/>
                                <w:numId w:val="47"/>
                              </w:numPr>
                              <w:spacing w:after="200" w:line="276" w:lineRule="auto"/>
                            </w:pPr>
                            <w:r w:rsidRPr="00647E6E">
                              <w:rPr>
                                <w:b/>
                                <w:bCs/>
                              </w:rPr>
                              <w:t>Methods to be used to collect</w:t>
                            </w:r>
                            <w:r w:rsidR="006C10F3">
                              <w:t xml:space="preserve"> </w:t>
                            </w:r>
                            <w:r w:rsidR="0087712F">
                              <w:t xml:space="preserve">– </w:t>
                            </w:r>
                            <w:r w:rsidR="00902E8A">
                              <w:t>Twelve l</w:t>
                            </w:r>
                            <w:r w:rsidR="005F6200">
                              <w:t xml:space="preserve">ocal health departments </w:t>
                            </w:r>
                            <w:r w:rsidR="00902E8A">
                              <w:t xml:space="preserve">were </w:t>
                            </w:r>
                            <w:r w:rsidR="005F6200">
                              <w:t xml:space="preserve">funded by CDC to </w:t>
                            </w:r>
                            <w:r w:rsidR="0065774D">
                              <w:t>collect</w:t>
                            </w:r>
                            <w:r w:rsidR="0087712F">
                              <w:t xml:space="preserve"> </w:t>
                            </w:r>
                            <w:r w:rsidR="006B50C2">
                              <w:t xml:space="preserve">programmatic </w:t>
                            </w:r>
                            <w:r w:rsidR="0065774D">
                              <w:t xml:space="preserve">data on </w:t>
                            </w:r>
                            <w:r w:rsidR="005200ED">
                              <w:t xml:space="preserve">linkage to care </w:t>
                            </w:r>
                            <w:r w:rsidR="00F3023E">
                              <w:t xml:space="preserve">among individuals with SUD identified via key entry points to care </w:t>
                            </w:r>
                            <w:r w:rsidR="00DC062C">
                              <w:t>and leverage other existing data sources</w:t>
                            </w:r>
                            <w:r w:rsidR="006B50C2">
                              <w:t>. Funded health departments will</w:t>
                            </w:r>
                            <w:r w:rsidR="00041A13">
                              <w:t xml:space="preserve"> </w:t>
                            </w:r>
                            <w:r w:rsidR="00ED75E6">
                              <w:t xml:space="preserve">collect </w:t>
                            </w:r>
                            <w:r w:rsidR="007551E3">
                              <w:t xml:space="preserve">standardized </w:t>
                            </w:r>
                            <w:r w:rsidR="008D328F">
                              <w:t xml:space="preserve">indicators of </w:t>
                            </w:r>
                            <w:r w:rsidR="00D54EE2">
                              <w:t xml:space="preserve">linkage to care </w:t>
                            </w:r>
                            <w:r w:rsidR="00C93321">
                              <w:t xml:space="preserve">for </w:t>
                            </w:r>
                            <w:r w:rsidR="00F212A2">
                              <w:t>SUD and</w:t>
                            </w:r>
                            <w:r w:rsidR="00D37A65">
                              <w:t xml:space="preserve"> </w:t>
                            </w:r>
                            <w:r w:rsidR="004D685E">
                              <w:t xml:space="preserve">submit </w:t>
                            </w:r>
                            <w:r w:rsidR="007568A6">
                              <w:t xml:space="preserve">aggregate </w:t>
                            </w:r>
                            <w:r w:rsidR="00D37A65">
                              <w:t xml:space="preserve">data </w:t>
                            </w:r>
                            <w:r w:rsidR="00873E64">
                              <w:t>t</w:t>
                            </w:r>
                            <w:r w:rsidR="007B6AF4">
                              <w:t>o</w:t>
                            </w:r>
                            <w:r w:rsidR="00D37A65">
                              <w:t xml:space="preserve"> CDC </w:t>
                            </w:r>
                            <w:r w:rsidR="00484916">
                              <w:t>every</w:t>
                            </w:r>
                            <w:r w:rsidR="00632FD5">
                              <w:t xml:space="preserve"> </w:t>
                            </w:r>
                            <w:r w:rsidR="007911C4">
                              <w:t>6</w:t>
                            </w:r>
                            <w:r w:rsidR="00F8733D">
                              <w:t xml:space="preserve"> </w:t>
                            </w:r>
                            <w:r w:rsidR="007911C4">
                              <w:t>month</w:t>
                            </w:r>
                            <w:r w:rsidR="00484916">
                              <w:t>s</w:t>
                            </w:r>
                            <w:r w:rsidR="00632FD5">
                              <w:t xml:space="preserve"> </w:t>
                            </w:r>
                            <w:r w:rsidR="007B6AF4">
                              <w:t xml:space="preserve">via </w:t>
                            </w:r>
                            <w:r w:rsidR="001862D5">
                              <w:t>REDCap</w:t>
                            </w:r>
                            <w:r w:rsidR="00ED75E6">
                              <w:t>.</w:t>
                            </w:r>
                            <w:r w:rsidR="00CD6FE2">
                              <w:t xml:space="preserve"> </w:t>
                            </w:r>
                          </w:p>
                          <w:p w:rsidR="00410031" w:rsidRPr="00410031" w:rsidP="00410031" w14:textId="77777777">
                            <w:pPr>
                              <w:pStyle w:val="ListParagraph"/>
                              <w:rPr>
                                <w:b/>
                                <w:bCs/>
                              </w:rPr>
                            </w:pPr>
                          </w:p>
                          <w:p w:rsidR="0073187D" w:rsidP="00985DE2" w14:textId="69899B8B">
                            <w:pPr>
                              <w:pStyle w:val="ListParagraph"/>
                              <w:numPr>
                                <w:ilvl w:val="0"/>
                                <w:numId w:val="47"/>
                              </w:numPr>
                              <w:spacing w:after="200" w:line="276" w:lineRule="auto"/>
                            </w:pPr>
                            <w:r w:rsidRPr="00410031">
                              <w:rPr>
                                <w:b/>
                                <w:bCs/>
                              </w:rPr>
                              <w:t>The subpopulation to be studied</w:t>
                            </w:r>
                            <w:r w:rsidRPr="005708A7">
                              <w:t xml:space="preserve"> </w:t>
                            </w:r>
                            <w:r w:rsidR="00F75195">
                              <w:t xml:space="preserve">– Individuals </w:t>
                            </w:r>
                            <w:r w:rsidRPr="00821EE0" w:rsidR="00821EE0">
                              <w:t xml:space="preserve">with opioid use </w:t>
                            </w:r>
                            <w:r w:rsidR="007B6AF4">
                              <w:t>disorder</w:t>
                            </w:r>
                            <w:r w:rsidR="00431AED">
                              <w:t xml:space="preserve"> (OUD)</w:t>
                            </w:r>
                            <w:r w:rsidR="007B6AF4">
                              <w:t xml:space="preserve"> </w:t>
                            </w:r>
                            <w:r w:rsidRPr="00821EE0" w:rsidR="00821EE0">
                              <w:t>and/or stimulant use disorder</w:t>
                            </w:r>
                            <w:r w:rsidR="007B6AF4">
                              <w:t xml:space="preserve"> </w:t>
                            </w:r>
                            <w:r w:rsidR="004D685E">
                              <w:t xml:space="preserve">(StUD) </w:t>
                            </w:r>
                            <w:r w:rsidR="007B6AF4">
                              <w:t>identified via key entry points to care</w:t>
                            </w:r>
                            <w:r w:rsidR="00410031">
                              <w:t xml:space="preserve"> such as </w:t>
                            </w:r>
                            <w:r w:rsidR="00944ED8">
                              <w:t>nonfatal overdose</w:t>
                            </w:r>
                            <w:r w:rsidR="00063B26">
                              <w:t xml:space="preserve"> identified in the ED or by EMS</w:t>
                            </w:r>
                            <w:r w:rsidR="00944ED8">
                              <w:t xml:space="preserve">, </w:t>
                            </w:r>
                            <w:r w:rsidR="00EA7230">
                              <w:t xml:space="preserve">other clinical care programs, </w:t>
                            </w:r>
                            <w:r w:rsidR="00410031">
                              <w:t>harm reduction program</w:t>
                            </w:r>
                            <w:r w:rsidR="00944ED8">
                              <w:t>s</w:t>
                            </w:r>
                            <w:r w:rsidR="00410031">
                              <w:t>, criminal justice</w:t>
                            </w:r>
                            <w:r w:rsidR="00EA7230">
                              <w:t xml:space="preserve"> or other</w:t>
                            </w:r>
                            <w:r w:rsidR="00410031">
                              <w:t xml:space="preserve"> community-based programs.  </w:t>
                            </w:r>
                          </w:p>
                          <w:p w:rsidR="00410031" w:rsidP="00410031" w14:textId="77777777">
                            <w:pPr>
                              <w:pStyle w:val="ListParagraph"/>
                            </w:pPr>
                          </w:p>
                          <w:p w:rsidR="0073187D" w:rsidP="00FB1045" w14:textId="42055228">
                            <w:pPr>
                              <w:pStyle w:val="ListParagraph"/>
                              <w:numPr>
                                <w:ilvl w:val="0"/>
                                <w:numId w:val="47"/>
                              </w:numPr>
                              <w:spacing w:after="200" w:line="276" w:lineRule="auto"/>
                            </w:pPr>
                            <w:r w:rsidRPr="00777C14">
                              <w:rPr>
                                <w:b/>
                                <w:bCs/>
                              </w:rPr>
                              <w:t>How data will be analyzed</w:t>
                            </w:r>
                            <w:r w:rsidRPr="005708A7">
                              <w:t> </w:t>
                            </w:r>
                            <w:r w:rsidR="000C506E">
                              <w:t xml:space="preserve">- </w:t>
                            </w:r>
                            <w:r w:rsidRPr="00463FFC" w:rsidR="000C506E">
                              <w:t>Descriptive analyses such as frequencies</w:t>
                            </w:r>
                            <w:r w:rsidR="005F6C40">
                              <w:t>, proportions</w:t>
                            </w:r>
                            <w:r w:rsidR="00431AED">
                              <w:t>,</w:t>
                            </w:r>
                            <w:r w:rsidRPr="00463FFC" w:rsidR="000C506E">
                              <w:t xml:space="preserve"> and rates.</w:t>
                            </w:r>
                            <w:r w:rsidR="00766288">
                              <w:t xml:space="preserve"> Additional analysis may be conducted (e.g., jointpoint regression) to describe trends</w:t>
                            </w:r>
                            <w:r w:rsidR="00651729">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85.25pt;height:434.25pt;mso-left-percent:-10001;mso-position-horizontal-relative:char;mso-position-vertical-relative:line;mso-top-percent:-10001;mso-wrap-style:square;visibility:visible;v-text-anchor:top">
                <v:textbox>
                  <w:txbxContent>
                    <w:p w:rsidR="00647E6E" w:rsidRPr="00642478" w:rsidP="00225942" w14:paraId="49F5BB83" w14:textId="3C3CB71A">
                      <w:pPr>
                        <w:pStyle w:val="ListParagraph"/>
                        <w:numPr>
                          <w:ilvl w:val="0"/>
                          <w:numId w:val="47"/>
                        </w:numPr>
                        <w:spacing w:before="20" w:after="20"/>
                      </w:pPr>
                      <w:r w:rsidRPr="00225942">
                        <w:rPr>
                          <w:b/>
                          <w:bCs/>
                        </w:rPr>
                        <w:t>Goal of the study</w:t>
                      </w:r>
                      <w:r w:rsidR="00AD1D63">
                        <w:t xml:space="preserve"> </w:t>
                      </w:r>
                      <w:r w:rsidR="00D54B8F">
                        <w:t>–</w:t>
                      </w:r>
                      <w:r w:rsidR="00777C14">
                        <w:t xml:space="preserve"> </w:t>
                      </w:r>
                      <w:r w:rsidR="00225942">
                        <w:t>E</w:t>
                      </w:r>
                      <w:r w:rsidRPr="00837761" w:rsidR="00225942">
                        <w:t xml:space="preserve">stablish a surveillance system to measure linkage to and retention in care for substance use disorder (SUD). </w:t>
                      </w:r>
                      <w:r w:rsidRPr="00D35F33" w:rsidR="00225942">
                        <w:t xml:space="preserve">This goal </w:t>
                      </w:r>
                      <w:r w:rsidR="008E3D32">
                        <w:t>will be</w:t>
                      </w:r>
                      <w:r w:rsidRPr="00D35F33" w:rsidR="00225942">
                        <w:t xml:space="preserve"> accomplished by funding 12 jurisdictions (local health departments) that will collect and share </w:t>
                      </w:r>
                      <w:r w:rsidR="00225942">
                        <w:t xml:space="preserve">standardized </w:t>
                      </w:r>
                      <w:r w:rsidRPr="00D35F33" w:rsidR="00225942">
                        <w:t>data with CDC to inform and enhance regional and national linkage to care efforts.</w:t>
                      </w:r>
                      <w:r w:rsidR="00225942">
                        <w:t xml:space="preserve"> L</w:t>
                      </w:r>
                      <w:r w:rsidRPr="00837761" w:rsidR="00225942">
                        <w:t xml:space="preserve">inkage to and retention in care </w:t>
                      </w:r>
                      <w:r w:rsidR="00225942">
                        <w:t xml:space="preserve">surveillance </w:t>
                      </w:r>
                      <w:r w:rsidRPr="00837761" w:rsidR="00225942">
                        <w:t>at the local level complement</w:t>
                      </w:r>
                      <w:r w:rsidR="00225942">
                        <w:t>s</w:t>
                      </w:r>
                      <w:r w:rsidRPr="00837761" w:rsidR="00225942">
                        <w:t xml:space="preserve"> prevention-focused activities by providing a better understanding of the cascade of care (CoC) for SUD, including referral to, initiation of, retention in, and loss to follow-up in evidence-based treatment for SUD</w:t>
                      </w:r>
                      <w:r w:rsidR="00F9748C">
                        <w:t>, harm reduction services, and other</w:t>
                      </w:r>
                      <w:r w:rsidRPr="00837761" w:rsidR="00225942">
                        <w:t xml:space="preserve"> related support</w:t>
                      </w:r>
                      <w:r w:rsidR="00F9748C">
                        <w:t>s</w:t>
                      </w:r>
                      <w:r w:rsidRPr="00837761" w:rsidR="00225942">
                        <w:t>, especially among people at higher risk of overdose and/or historically underserved.</w:t>
                      </w:r>
                    </w:p>
                    <w:p w:rsidR="0073187D" w:rsidRPr="005708A7" w:rsidP="00FB1045" w14:paraId="04D811FC" w14:textId="77777777">
                      <w:pPr>
                        <w:pStyle w:val="ListParagraph"/>
                        <w:ind w:left="360"/>
                      </w:pPr>
                    </w:p>
                    <w:p w:rsidR="0073187D" w:rsidRPr="005708A7" w:rsidP="00FB1045" w14:paraId="04D811FD" w14:textId="7ABD893F">
                      <w:pPr>
                        <w:pStyle w:val="ListParagraph"/>
                        <w:numPr>
                          <w:ilvl w:val="0"/>
                          <w:numId w:val="47"/>
                        </w:numPr>
                        <w:spacing w:after="200" w:line="276" w:lineRule="auto"/>
                      </w:pPr>
                      <w:r w:rsidRPr="00777C14">
                        <w:rPr>
                          <w:b/>
                          <w:bCs/>
                        </w:rPr>
                        <w:t>Intended use of the resulting data</w:t>
                      </w:r>
                      <w:r w:rsidR="001A7CE7">
                        <w:t xml:space="preserve"> – Improve </w:t>
                      </w:r>
                      <w:r w:rsidR="00486BD3">
                        <w:t xml:space="preserve">monitoring </w:t>
                      </w:r>
                      <w:r w:rsidR="00DB3F3A">
                        <w:t>of linkage to</w:t>
                      </w:r>
                      <w:r w:rsidR="00FB1179">
                        <w:t xml:space="preserve"> and retention in</w:t>
                      </w:r>
                      <w:r w:rsidR="00DB3F3A">
                        <w:t xml:space="preserve"> care for SUD </w:t>
                      </w:r>
                      <w:r w:rsidR="002558CE">
                        <w:t>at the local</w:t>
                      </w:r>
                      <w:r w:rsidR="00A05FB7">
                        <w:t xml:space="preserve"> </w:t>
                      </w:r>
                      <w:r w:rsidR="00647E6E">
                        <w:t>level and</w:t>
                      </w:r>
                      <w:r w:rsidR="00DB3F3A">
                        <w:t xml:space="preserve"> evaluate programmatic efforts to </w:t>
                      </w:r>
                      <w:r w:rsidR="0087712F">
                        <w:t xml:space="preserve">link </w:t>
                      </w:r>
                      <w:r w:rsidR="00A565EB">
                        <w:t>individuals with SUD</w:t>
                      </w:r>
                      <w:r w:rsidR="00DB3F3A">
                        <w:t xml:space="preserve"> to </w:t>
                      </w:r>
                      <w:r w:rsidR="00A565EB">
                        <w:t>treatment</w:t>
                      </w:r>
                      <w:r w:rsidR="00DB3F3A">
                        <w:t>.</w:t>
                      </w:r>
                      <w:r w:rsidR="00BB4369">
                        <w:t xml:space="preserve"> </w:t>
                      </w:r>
                    </w:p>
                    <w:p w:rsidR="0073187D" w:rsidRPr="005708A7" w:rsidP="00FB1045" w14:paraId="04D811FE" w14:textId="77777777">
                      <w:pPr>
                        <w:pStyle w:val="ListParagraph"/>
                        <w:ind w:left="360"/>
                      </w:pPr>
                    </w:p>
                    <w:p w:rsidR="00410031" w:rsidP="00410031" w14:paraId="435029EE" w14:textId="6E5F4264">
                      <w:pPr>
                        <w:pStyle w:val="ListParagraph"/>
                        <w:numPr>
                          <w:ilvl w:val="0"/>
                          <w:numId w:val="47"/>
                        </w:numPr>
                        <w:spacing w:after="200" w:line="276" w:lineRule="auto"/>
                      </w:pPr>
                      <w:r w:rsidRPr="00647E6E">
                        <w:rPr>
                          <w:b/>
                          <w:bCs/>
                        </w:rPr>
                        <w:t>Methods to be used to collect</w:t>
                      </w:r>
                      <w:r w:rsidR="006C10F3">
                        <w:t xml:space="preserve"> </w:t>
                      </w:r>
                      <w:r w:rsidR="0087712F">
                        <w:t xml:space="preserve">– </w:t>
                      </w:r>
                      <w:r w:rsidR="00902E8A">
                        <w:t>Twelve l</w:t>
                      </w:r>
                      <w:r w:rsidR="005F6200">
                        <w:t xml:space="preserve">ocal health departments </w:t>
                      </w:r>
                      <w:r w:rsidR="00902E8A">
                        <w:t xml:space="preserve">were </w:t>
                      </w:r>
                      <w:r w:rsidR="005F6200">
                        <w:t xml:space="preserve">funded by CDC to </w:t>
                      </w:r>
                      <w:r w:rsidR="0065774D">
                        <w:t>collect</w:t>
                      </w:r>
                      <w:r w:rsidR="0087712F">
                        <w:t xml:space="preserve"> </w:t>
                      </w:r>
                      <w:r w:rsidR="006B50C2">
                        <w:t xml:space="preserve">programmatic </w:t>
                      </w:r>
                      <w:r w:rsidR="0065774D">
                        <w:t xml:space="preserve">data on </w:t>
                      </w:r>
                      <w:r w:rsidR="005200ED">
                        <w:t xml:space="preserve">linkage to care </w:t>
                      </w:r>
                      <w:r w:rsidR="00F3023E">
                        <w:t xml:space="preserve">among individuals with SUD identified via key entry points to care </w:t>
                      </w:r>
                      <w:r w:rsidR="00DC062C">
                        <w:t>and leverage other existing data sources</w:t>
                      </w:r>
                      <w:r w:rsidR="006B50C2">
                        <w:t>. Funded health departments will</w:t>
                      </w:r>
                      <w:r w:rsidR="00041A13">
                        <w:t xml:space="preserve"> </w:t>
                      </w:r>
                      <w:r w:rsidR="00ED75E6">
                        <w:t xml:space="preserve">collect </w:t>
                      </w:r>
                      <w:r w:rsidR="007551E3">
                        <w:t xml:space="preserve">standardized </w:t>
                      </w:r>
                      <w:r w:rsidR="008D328F">
                        <w:t xml:space="preserve">indicators of </w:t>
                      </w:r>
                      <w:r w:rsidR="00D54EE2">
                        <w:t xml:space="preserve">linkage to care </w:t>
                      </w:r>
                      <w:r w:rsidR="00C93321">
                        <w:t xml:space="preserve">for </w:t>
                      </w:r>
                      <w:r w:rsidR="00F212A2">
                        <w:t>SUD and</w:t>
                      </w:r>
                      <w:r w:rsidR="00D37A65">
                        <w:t xml:space="preserve"> </w:t>
                      </w:r>
                      <w:r w:rsidR="004D685E">
                        <w:t xml:space="preserve">submit </w:t>
                      </w:r>
                      <w:r w:rsidR="007568A6">
                        <w:t xml:space="preserve">aggregate </w:t>
                      </w:r>
                      <w:r w:rsidR="00D37A65">
                        <w:t xml:space="preserve">data </w:t>
                      </w:r>
                      <w:r w:rsidR="00873E64">
                        <w:t>t</w:t>
                      </w:r>
                      <w:r w:rsidR="007B6AF4">
                        <w:t>o</w:t>
                      </w:r>
                      <w:r w:rsidR="00D37A65">
                        <w:t xml:space="preserve"> CDC </w:t>
                      </w:r>
                      <w:r w:rsidR="00484916">
                        <w:t>every</w:t>
                      </w:r>
                      <w:r w:rsidR="00632FD5">
                        <w:t xml:space="preserve"> </w:t>
                      </w:r>
                      <w:r w:rsidR="007911C4">
                        <w:t>6</w:t>
                      </w:r>
                      <w:r w:rsidR="00F8733D">
                        <w:t xml:space="preserve"> </w:t>
                      </w:r>
                      <w:r w:rsidR="007911C4">
                        <w:t>month</w:t>
                      </w:r>
                      <w:r w:rsidR="00484916">
                        <w:t>s</w:t>
                      </w:r>
                      <w:r w:rsidR="00632FD5">
                        <w:t xml:space="preserve"> </w:t>
                      </w:r>
                      <w:r w:rsidR="007B6AF4">
                        <w:t xml:space="preserve">via </w:t>
                      </w:r>
                      <w:r w:rsidR="001862D5">
                        <w:t>REDCap</w:t>
                      </w:r>
                      <w:r w:rsidR="00ED75E6">
                        <w:t>.</w:t>
                      </w:r>
                      <w:r w:rsidR="00CD6FE2">
                        <w:t xml:space="preserve"> </w:t>
                      </w:r>
                    </w:p>
                    <w:p w:rsidR="00410031" w:rsidRPr="00410031" w:rsidP="00410031" w14:paraId="7565700A" w14:textId="77777777">
                      <w:pPr>
                        <w:pStyle w:val="ListParagraph"/>
                        <w:rPr>
                          <w:b/>
                          <w:bCs/>
                        </w:rPr>
                      </w:pPr>
                    </w:p>
                    <w:p w:rsidR="0073187D" w:rsidP="00985DE2" w14:paraId="04D81202" w14:textId="69899B8B">
                      <w:pPr>
                        <w:pStyle w:val="ListParagraph"/>
                        <w:numPr>
                          <w:ilvl w:val="0"/>
                          <w:numId w:val="47"/>
                        </w:numPr>
                        <w:spacing w:after="200" w:line="276" w:lineRule="auto"/>
                      </w:pPr>
                      <w:r w:rsidRPr="00410031">
                        <w:rPr>
                          <w:b/>
                          <w:bCs/>
                        </w:rPr>
                        <w:t>The subpopulation to be studied</w:t>
                      </w:r>
                      <w:r w:rsidRPr="005708A7">
                        <w:t xml:space="preserve"> </w:t>
                      </w:r>
                      <w:r w:rsidR="00F75195">
                        <w:t xml:space="preserve">– Individuals </w:t>
                      </w:r>
                      <w:r w:rsidRPr="00821EE0" w:rsidR="00821EE0">
                        <w:t xml:space="preserve">with opioid use </w:t>
                      </w:r>
                      <w:r w:rsidR="007B6AF4">
                        <w:t>disorder</w:t>
                      </w:r>
                      <w:r w:rsidR="00431AED">
                        <w:t xml:space="preserve"> (OUD)</w:t>
                      </w:r>
                      <w:r w:rsidR="007B6AF4">
                        <w:t xml:space="preserve"> </w:t>
                      </w:r>
                      <w:r w:rsidRPr="00821EE0" w:rsidR="00821EE0">
                        <w:t>and/or stimulant use disorder</w:t>
                      </w:r>
                      <w:r w:rsidR="007B6AF4">
                        <w:t xml:space="preserve"> </w:t>
                      </w:r>
                      <w:r w:rsidR="004D685E">
                        <w:t xml:space="preserve">(StUD) </w:t>
                      </w:r>
                      <w:r w:rsidR="007B6AF4">
                        <w:t>identified via key entry points to care</w:t>
                      </w:r>
                      <w:r w:rsidR="00410031">
                        <w:t xml:space="preserve"> such as </w:t>
                      </w:r>
                      <w:r w:rsidR="00944ED8">
                        <w:t>nonfatal overdose</w:t>
                      </w:r>
                      <w:r w:rsidR="00063B26">
                        <w:t xml:space="preserve"> identified in the ED or by EMS</w:t>
                      </w:r>
                      <w:r w:rsidR="00944ED8">
                        <w:t xml:space="preserve">, </w:t>
                      </w:r>
                      <w:r w:rsidR="00EA7230">
                        <w:t xml:space="preserve">other clinical care programs, </w:t>
                      </w:r>
                      <w:r w:rsidR="00410031">
                        <w:t>harm reduction program</w:t>
                      </w:r>
                      <w:r w:rsidR="00944ED8">
                        <w:t>s</w:t>
                      </w:r>
                      <w:r w:rsidR="00410031">
                        <w:t xml:space="preserve">, criminal </w:t>
                      </w:r>
                      <w:r w:rsidR="00410031">
                        <w:t>justice</w:t>
                      </w:r>
                      <w:r w:rsidR="00EA7230">
                        <w:t xml:space="preserve"> or other</w:t>
                      </w:r>
                      <w:r w:rsidR="00410031">
                        <w:t xml:space="preserve"> community-based programs.  </w:t>
                      </w:r>
                    </w:p>
                    <w:p w:rsidR="00410031" w:rsidP="00410031" w14:paraId="58282D2A" w14:textId="77777777">
                      <w:pPr>
                        <w:pStyle w:val="ListParagraph"/>
                      </w:pPr>
                    </w:p>
                    <w:p w:rsidR="0073187D" w:rsidP="00FB1045" w14:paraId="04D81204" w14:textId="42055228">
                      <w:pPr>
                        <w:pStyle w:val="ListParagraph"/>
                        <w:numPr>
                          <w:ilvl w:val="0"/>
                          <w:numId w:val="47"/>
                        </w:numPr>
                        <w:spacing w:after="200" w:line="276" w:lineRule="auto"/>
                      </w:pPr>
                      <w:r w:rsidRPr="00777C14">
                        <w:rPr>
                          <w:b/>
                          <w:bCs/>
                        </w:rPr>
                        <w:t>How data will be analyzed</w:t>
                      </w:r>
                      <w:r w:rsidRPr="005708A7">
                        <w:t> </w:t>
                      </w:r>
                      <w:r w:rsidR="000C506E">
                        <w:t xml:space="preserve">- </w:t>
                      </w:r>
                      <w:r w:rsidRPr="00463FFC" w:rsidR="000C506E">
                        <w:t>Descriptive analyses such as frequencies</w:t>
                      </w:r>
                      <w:r w:rsidR="005F6C40">
                        <w:t>, proportions</w:t>
                      </w:r>
                      <w:r w:rsidR="00431AED">
                        <w:t>,</w:t>
                      </w:r>
                      <w:r w:rsidRPr="00463FFC" w:rsidR="000C506E">
                        <w:t xml:space="preserve"> and rates.</w:t>
                      </w:r>
                      <w:r w:rsidR="00766288">
                        <w:t xml:space="preserve"> Additional analysis may be conducted (e.g., jointpoint regression) to describe trends</w:t>
                      </w:r>
                      <w:r w:rsidR="00651729">
                        <w:t>.</w:t>
                      </w:r>
                    </w:p>
                  </w:txbxContent>
                </v:textbox>
                <w10:wrap type="none"/>
                <w10:anchorlock/>
              </v:shape>
            </w:pict>
          </mc:Fallback>
        </mc:AlternateContent>
      </w:r>
    </w:p>
    <w:p w:rsidR="00FB1045" w:rsidP="00812EDE" w14:paraId="04D81163" w14:textId="77777777">
      <w:pPr>
        <w:rPr>
          <w:b/>
          <w:bCs/>
        </w:rPr>
      </w:pPr>
    </w:p>
    <w:p w:rsidR="008C4239" w:rsidP="00722FF6" w14:paraId="0DCBE2BB" w14:textId="77777777">
      <w:pPr>
        <w:pStyle w:val="Heading1"/>
        <w:spacing w:after="0" w:line="240" w:lineRule="auto"/>
        <w:jc w:val="left"/>
        <w:rPr>
          <w:sz w:val="24"/>
          <w:szCs w:val="24"/>
        </w:rPr>
      </w:pPr>
      <w:bookmarkStart w:id="5" w:name="_Toc145659485"/>
      <w:bookmarkStart w:id="6" w:name="_Toc150420013"/>
    </w:p>
    <w:p w:rsidR="00972DEF" w:rsidRPr="00722FF6" w:rsidP="00722FF6" w14:paraId="04D81170" w14:textId="7B2677B9">
      <w:pPr>
        <w:pStyle w:val="Heading1"/>
        <w:spacing w:after="0" w:line="240" w:lineRule="auto"/>
        <w:jc w:val="left"/>
        <w:rPr>
          <w:sz w:val="24"/>
          <w:szCs w:val="24"/>
        </w:rPr>
      </w:pPr>
      <w:r w:rsidRPr="00722FF6">
        <w:rPr>
          <w:sz w:val="24"/>
          <w:szCs w:val="24"/>
        </w:rPr>
        <w:t>A.  JUSTIFICATION</w:t>
      </w:r>
      <w:bookmarkEnd w:id="5"/>
      <w:bookmarkEnd w:id="6"/>
      <w:r w:rsidRPr="00722FF6">
        <w:rPr>
          <w:sz w:val="24"/>
          <w:szCs w:val="24"/>
        </w:rPr>
        <w:t xml:space="preserve"> </w:t>
      </w:r>
    </w:p>
    <w:p w:rsidR="00660ED8" w:rsidRPr="00691454" w:rsidP="00972DEF" w14:paraId="04D81171" w14:textId="77777777">
      <w:pPr>
        <w:autoSpaceDE w:val="0"/>
        <w:autoSpaceDN w:val="0"/>
        <w:adjustRightInd w:val="0"/>
        <w:rPr>
          <w:b/>
          <w:bCs/>
        </w:rPr>
      </w:pPr>
    </w:p>
    <w:p w:rsidR="008C4239" w:rsidP="00722FF6" w14:paraId="7E93E612" w14:textId="77777777">
      <w:pPr>
        <w:pStyle w:val="Heading1"/>
        <w:tabs>
          <w:tab w:val="left" w:pos="540"/>
          <w:tab w:val="clear" w:pos="1152"/>
        </w:tabs>
        <w:spacing w:after="0" w:line="240" w:lineRule="auto"/>
        <w:jc w:val="left"/>
        <w:rPr>
          <w:sz w:val="24"/>
          <w:szCs w:val="24"/>
        </w:rPr>
      </w:pPr>
      <w:bookmarkStart w:id="7" w:name="_Toc145659486"/>
      <w:bookmarkStart w:id="8" w:name="_Toc150420014"/>
    </w:p>
    <w:p w:rsidR="00972DEF" w:rsidRPr="00722FF6" w:rsidP="00722FF6" w14:paraId="04D81172" w14:textId="61C5DBF3">
      <w:pPr>
        <w:pStyle w:val="Heading1"/>
        <w:tabs>
          <w:tab w:val="left" w:pos="540"/>
          <w:tab w:val="clear" w:pos="1152"/>
        </w:tabs>
        <w:spacing w:after="0" w:line="240" w:lineRule="auto"/>
        <w:jc w:val="left"/>
        <w:rPr>
          <w:sz w:val="24"/>
          <w:szCs w:val="24"/>
        </w:rPr>
      </w:pPr>
      <w:r w:rsidRPr="00722FF6">
        <w:rPr>
          <w:sz w:val="24"/>
          <w:szCs w:val="24"/>
        </w:rPr>
        <w:t xml:space="preserve">A.1. </w:t>
      </w:r>
      <w:r w:rsidRPr="00722FF6">
        <w:rPr>
          <w:sz w:val="24"/>
          <w:szCs w:val="24"/>
        </w:rPr>
        <w:tab/>
        <w:t>Circumstances Making the Collection of Information Necessary</w:t>
      </w:r>
      <w:bookmarkEnd w:id="7"/>
      <w:bookmarkEnd w:id="8"/>
    </w:p>
    <w:p w:rsidR="00F54F37" w:rsidP="00A96A4A" w14:paraId="02CAD1E9" w14:textId="20BC1371">
      <w:pPr>
        <w:kinsoku w:val="0"/>
        <w:overflowPunct w:val="0"/>
        <w:autoSpaceDE w:val="0"/>
        <w:autoSpaceDN w:val="0"/>
        <w:adjustRightInd w:val="0"/>
        <w:ind w:left="39" w:right="124"/>
        <w:rPr>
          <w:rFonts w:eastAsiaTheme="minorHAnsi"/>
        </w:rPr>
      </w:pPr>
      <w:r w:rsidRPr="001573D4">
        <w:rPr>
          <w:rFonts w:eastAsiaTheme="minorHAnsi"/>
        </w:rPr>
        <w:t xml:space="preserve">The Centers for Disease Control and Prevention (CDC), requests the Office of Management and Budget (OMB) approval for </w:t>
      </w:r>
      <w:r w:rsidR="000C76F9">
        <w:rPr>
          <w:rFonts w:eastAsiaTheme="minorHAnsi"/>
        </w:rPr>
        <w:t>three</w:t>
      </w:r>
      <w:r w:rsidRPr="001573D4">
        <w:rPr>
          <w:rFonts w:eastAsiaTheme="minorHAnsi"/>
        </w:rPr>
        <w:t xml:space="preserve"> years for a new information collection request (ICR) to </w:t>
      </w:r>
      <w:r>
        <w:rPr>
          <w:rFonts w:eastAsiaTheme="minorHAnsi"/>
        </w:rPr>
        <w:t xml:space="preserve">collect and analyze </w:t>
      </w:r>
      <w:r w:rsidR="00DE6D21">
        <w:rPr>
          <w:rFonts w:eastAsiaTheme="minorHAnsi"/>
        </w:rPr>
        <w:t xml:space="preserve">data </w:t>
      </w:r>
      <w:r w:rsidR="00EE5803">
        <w:rPr>
          <w:rFonts w:eastAsiaTheme="minorHAnsi"/>
        </w:rPr>
        <w:t xml:space="preserve">tracking </w:t>
      </w:r>
      <w:r w:rsidR="00EC21A8">
        <w:rPr>
          <w:rFonts w:eastAsiaTheme="minorHAnsi"/>
        </w:rPr>
        <w:t xml:space="preserve">individuals </w:t>
      </w:r>
      <w:r>
        <w:t>linked to</w:t>
      </w:r>
      <w:r w:rsidRPr="0057039E">
        <w:t xml:space="preserve"> evidence-based treatment, </w:t>
      </w:r>
      <w:r>
        <w:t xml:space="preserve">harm reduction </w:t>
      </w:r>
      <w:r w:rsidRPr="0057039E">
        <w:t>services, and supports</w:t>
      </w:r>
      <w:r>
        <w:t xml:space="preserve"> through the Cascade of Care (CoC) for Opioid Use Disorder and/or Stimulant Use Disorder.</w:t>
      </w:r>
    </w:p>
    <w:p w:rsidR="00F54F37" w:rsidP="00F54F37" w14:paraId="39E390F7" w14:textId="77777777">
      <w:pPr>
        <w:kinsoku w:val="0"/>
        <w:overflowPunct w:val="0"/>
        <w:autoSpaceDE w:val="0"/>
        <w:autoSpaceDN w:val="0"/>
        <w:adjustRightInd w:val="0"/>
        <w:ind w:left="39" w:right="124"/>
        <w:rPr>
          <w:rFonts w:eastAsiaTheme="minorHAnsi"/>
        </w:rPr>
      </w:pPr>
    </w:p>
    <w:p w:rsidR="0006556E" w:rsidP="00F54F37" w14:paraId="51091BB9" w14:textId="77777777">
      <w:pPr>
        <w:kinsoku w:val="0"/>
        <w:overflowPunct w:val="0"/>
        <w:autoSpaceDE w:val="0"/>
        <w:autoSpaceDN w:val="0"/>
        <w:adjustRightInd w:val="0"/>
        <w:ind w:right="124"/>
        <w:rPr>
          <w:rFonts w:eastAsiaTheme="minorHAnsi"/>
          <w:u w:val="single"/>
        </w:rPr>
      </w:pPr>
    </w:p>
    <w:p w:rsidR="009902D7" w:rsidP="00F54F37" w14:paraId="4AD55D91" w14:textId="77777777">
      <w:pPr>
        <w:kinsoku w:val="0"/>
        <w:overflowPunct w:val="0"/>
        <w:autoSpaceDE w:val="0"/>
        <w:autoSpaceDN w:val="0"/>
        <w:adjustRightInd w:val="0"/>
        <w:ind w:right="124"/>
        <w:rPr>
          <w:rFonts w:eastAsiaTheme="minorHAnsi"/>
          <w:u w:val="single"/>
        </w:rPr>
      </w:pPr>
    </w:p>
    <w:p w:rsidR="009902D7" w:rsidP="00F54F37" w14:paraId="3CF198F2" w14:textId="77777777">
      <w:pPr>
        <w:kinsoku w:val="0"/>
        <w:overflowPunct w:val="0"/>
        <w:autoSpaceDE w:val="0"/>
        <w:autoSpaceDN w:val="0"/>
        <w:adjustRightInd w:val="0"/>
        <w:ind w:right="124"/>
        <w:rPr>
          <w:rFonts w:eastAsiaTheme="minorHAnsi"/>
          <w:u w:val="single"/>
        </w:rPr>
      </w:pPr>
    </w:p>
    <w:p w:rsidR="00F54F37" w:rsidRPr="001573D4" w:rsidP="00F54F37" w14:paraId="6A3D3758" w14:textId="3E5EAC69">
      <w:pPr>
        <w:kinsoku w:val="0"/>
        <w:overflowPunct w:val="0"/>
        <w:autoSpaceDE w:val="0"/>
        <w:autoSpaceDN w:val="0"/>
        <w:adjustRightInd w:val="0"/>
        <w:ind w:right="124"/>
        <w:rPr>
          <w:u w:val="single"/>
        </w:rPr>
      </w:pPr>
      <w:r w:rsidRPr="001573D4">
        <w:rPr>
          <w:rFonts w:eastAsiaTheme="minorHAnsi"/>
          <w:u w:val="single"/>
        </w:rPr>
        <w:t>Background</w:t>
      </w:r>
    </w:p>
    <w:p w:rsidR="00F54F37" w:rsidP="0013575F" w14:paraId="498113DE" w14:textId="5BE75FA9">
      <w:pPr>
        <w:kinsoku w:val="0"/>
        <w:overflowPunct w:val="0"/>
        <w:autoSpaceDE w:val="0"/>
        <w:autoSpaceDN w:val="0"/>
        <w:adjustRightInd w:val="0"/>
        <w:ind w:left="39" w:right="124"/>
        <w:rPr>
          <w:rFonts w:eastAsiaTheme="minorHAnsi"/>
        </w:rPr>
      </w:pPr>
      <w:r w:rsidRPr="00A77717">
        <w:rPr>
          <w:rFonts w:eastAsiaTheme="minorHAnsi"/>
        </w:rPr>
        <w:t xml:space="preserve">In the United States, opioid overdose deaths have increased </w:t>
      </w:r>
      <w:r>
        <w:rPr>
          <w:rFonts w:eastAsiaTheme="minorHAnsi"/>
        </w:rPr>
        <w:t>significantly over the years</w:t>
      </w:r>
      <w:r w:rsidRPr="00A77717">
        <w:rPr>
          <w:rFonts w:eastAsiaTheme="minorHAnsi"/>
        </w:rPr>
        <w:t xml:space="preserve">. Drug overdose deaths in the United States increased </w:t>
      </w:r>
      <w:r>
        <w:rPr>
          <w:rFonts w:eastAsiaTheme="minorHAnsi"/>
        </w:rPr>
        <w:t>by 14% from 2020 to 2021</w:t>
      </w:r>
      <w:r w:rsidRPr="00A77717">
        <w:rPr>
          <w:rFonts w:eastAsiaTheme="minorHAnsi"/>
        </w:rPr>
        <w:t xml:space="preserve">. Of the </w:t>
      </w:r>
      <w:r>
        <w:rPr>
          <w:rFonts w:eastAsiaTheme="minorHAnsi"/>
        </w:rPr>
        <w:t>106,699</w:t>
      </w:r>
      <w:r w:rsidRPr="00A77717">
        <w:rPr>
          <w:rFonts w:eastAsiaTheme="minorHAnsi"/>
        </w:rPr>
        <w:t xml:space="preserve"> drug overdose deaths in </w:t>
      </w:r>
      <w:r>
        <w:rPr>
          <w:rFonts w:eastAsiaTheme="minorHAnsi"/>
        </w:rPr>
        <w:t>2021</w:t>
      </w:r>
      <w:r w:rsidRPr="00A77717">
        <w:rPr>
          <w:rFonts w:eastAsiaTheme="minorHAnsi"/>
        </w:rPr>
        <w:t xml:space="preserve">, </w:t>
      </w:r>
      <w:r>
        <w:rPr>
          <w:rFonts w:eastAsiaTheme="minorHAnsi"/>
        </w:rPr>
        <w:t>over 75%</w:t>
      </w:r>
      <w:r w:rsidRPr="00A77717">
        <w:rPr>
          <w:rFonts w:eastAsiaTheme="minorHAnsi"/>
        </w:rPr>
        <w:t xml:space="preserve"> involved an opioid. </w:t>
      </w:r>
      <w:r>
        <w:rPr>
          <w:rFonts w:eastAsiaTheme="minorHAnsi"/>
        </w:rPr>
        <w:t>Deaths involving psychostimulants, such as methamphetamine, also increased from 2020 to 2021.</w:t>
      </w:r>
      <w:r>
        <w:rPr>
          <w:rFonts w:eastAsiaTheme="minorHAnsi"/>
        </w:rPr>
        <w:t xml:space="preserve"> </w:t>
      </w:r>
      <w:r w:rsidR="00DD59C2">
        <w:rPr>
          <w:rFonts w:eastAsiaTheme="minorHAnsi"/>
        </w:rPr>
        <w:t>S</w:t>
      </w:r>
      <w:r w:rsidRPr="00A77717">
        <w:rPr>
          <w:rFonts w:eastAsiaTheme="minorHAnsi"/>
        </w:rPr>
        <w:t>caling up prevention</w:t>
      </w:r>
      <w:r w:rsidRPr="00642478">
        <w:rPr>
          <w:rFonts w:eastAsiaTheme="minorHAnsi"/>
        </w:rPr>
        <w:t xml:space="preserve"> and surveillance</w:t>
      </w:r>
      <w:r w:rsidRPr="00A77717">
        <w:rPr>
          <w:rFonts w:eastAsiaTheme="minorHAnsi"/>
        </w:rPr>
        <w:t xml:space="preserve"> activities to </w:t>
      </w:r>
      <w:r>
        <w:rPr>
          <w:rFonts w:eastAsiaTheme="minorHAnsi"/>
        </w:rPr>
        <w:t xml:space="preserve">address substance </w:t>
      </w:r>
      <w:r w:rsidRPr="00A77717">
        <w:rPr>
          <w:rFonts w:eastAsiaTheme="minorHAnsi"/>
        </w:rPr>
        <w:t xml:space="preserve">misuse and </w:t>
      </w:r>
      <w:r>
        <w:rPr>
          <w:rFonts w:eastAsiaTheme="minorHAnsi"/>
        </w:rPr>
        <w:t xml:space="preserve">nonfatal and fatal drug </w:t>
      </w:r>
      <w:r w:rsidRPr="00A77717">
        <w:rPr>
          <w:rFonts w:eastAsiaTheme="minorHAnsi"/>
        </w:rPr>
        <w:t>overdose</w:t>
      </w:r>
      <w:r>
        <w:rPr>
          <w:rFonts w:eastAsiaTheme="minorHAnsi"/>
        </w:rPr>
        <w:t>s</w:t>
      </w:r>
      <w:r w:rsidRPr="00A77717">
        <w:rPr>
          <w:rFonts w:eastAsiaTheme="minorHAnsi"/>
        </w:rPr>
        <w:t xml:space="preserve"> are priorities for the Centers for Disease Control</w:t>
      </w:r>
      <w:r w:rsidRPr="00642478">
        <w:rPr>
          <w:rFonts w:eastAsiaTheme="minorHAnsi"/>
        </w:rPr>
        <w:t xml:space="preserve"> </w:t>
      </w:r>
      <w:r w:rsidRPr="00A77717">
        <w:rPr>
          <w:rFonts w:eastAsiaTheme="minorHAnsi"/>
        </w:rPr>
        <w:t>and Prevention.</w:t>
      </w:r>
      <w:r w:rsidR="00CD450C">
        <w:rPr>
          <w:rFonts w:eastAsiaTheme="minorHAnsi"/>
        </w:rPr>
        <w:t xml:space="preserve"> </w:t>
      </w:r>
      <w:r w:rsidR="00AF0D76">
        <w:rPr>
          <w:rFonts w:eastAsiaTheme="minorHAnsi"/>
        </w:rPr>
        <w:t>Evidence shows that reducing drug overdoses requires increased capacity for linking people to treatment and harm reduction services and improving retention across care settings.</w:t>
      </w:r>
      <w:r w:rsidR="0013575F">
        <w:rPr>
          <w:rFonts w:eastAsiaTheme="minorHAnsi"/>
        </w:rPr>
        <w:t xml:space="preserve"> </w:t>
      </w:r>
      <w:r w:rsidR="00B23F07">
        <w:rPr>
          <w:rFonts w:eastAsiaTheme="minorHAnsi"/>
        </w:rPr>
        <w:t>L</w:t>
      </w:r>
      <w:r w:rsidR="00983CF5">
        <w:rPr>
          <w:rFonts w:eastAsiaTheme="minorHAnsi"/>
        </w:rPr>
        <w:t>inking individuals with a substance use disorder to treatment and harm reduction is a key strategy for saving lives</w:t>
      </w:r>
      <w:r w:rsidR="003B42DC">
        <w:rPr>
          <w:rFonts w:eastAsiaTheme="minorHAnsi"/>
        </w:rPr>
        <w:t xml:space="preserve"> and it is crucial that jurisdictions implement surveillance strategies that can inform and improve their linkage to and retention in care activities. </w:t>
      </w:r>
    </w:p>
    <w:p w:rsidR="00916D58" w:rsidP="00F54F37" w14:paraId="07B624D6" w14:textId="36205701"/>
    <w:p w:rsidR="00916D58" w:rsidP="00916D58" w14:paraId="2B475E89" w14:textId="408DC0C4">
      <w:r>
        <w:t>In</w:t>
      </w:r>
      <w:r>
        <w:t xml:space="preserve"> September 2023, the Division of Overdose Prevention (DOP) launched a new surveillance program as part of the </w:t>
      </w:r>
      <w:r w:rsidRPr="0094527B">
        <w:rPr>
          <w:i/>
          <w:iCs/>
        </w:rPr>
        <w:t>Overdose Data to Action: Limiting Overdose through Collaborative Actions in Localities</w:t>
      </w:r>
      <w:r>
        <w:t xml:space="preserve"> (OD2A: LOCAL) Notice of Funding Opportunity (NOFO): </w:t>
      </w:r>
      <w:r w:rsidR="00B92CA2">
        <w:t>Linkage to and Retention in Care surveillance.</w:t>
      </w:r>
      <w:r w:rsidR="00B86E6E">
        <w:t xml:space="preserve"> </w:t>
      </w:r>
      <w:r>
        <w:t xml:space="preserve">Linkage to Care </w:t>
      </w:r>
      <w:r w:rsidR="00AB4B34">
        <w:t xml:space="preserve">is a 5-year NOFO which </w:t>
      </w:r>
      <w:r>
        <w:t xml:space="preserve">connects individuals at risk of overdose to evidence-based treatment, services, and supports, thereby reducing future overdoses and other harms associated with substance use. Implementation of surveillance systems to collect data on standardized Linkage to and Retention in Care indicators is needed so that health departments can measure the impact of their linkage to care programs, inform overdose prevention activities, and appropriately allocate public health resources where they are most needed. </w:t>
      </w:r>
      <w:r w:rsidRPr="00BA5132" w:rsidR="00036CA2">
        <w:t>This program is authorized under section 301 (a) [42 U.S.C. 241(a)] of the Public Health Service Act and section 391 (a) [42 U.S.C. 280(b)] of the Public Service Health Act (See Attachment A).</w:t>
      </w:r>
    </w:p>
    <w:p w:rsidR="0088363B" w:rsidP="00916D58" w14:paraId="3CCC2A82" w14:textId="77777777"/>
    <w:p w:rsidR="0088363B" w:rsidP="00916D58" w14:paraId="374D30C9" w14:textId="191829E3">
      <w:r>
        <w:t>This collection acknowledges the n</w:t>
      </w:r>
      <w:r w:rsidRPr="00901663">
        <w:t>otice from the Office of Management and Budget (OMB) announcing revisions to Statistical Policy Directive No. 15: Standards for Maintaining, Collecting, and Presenting Federal Data on Race and Ethnicity (SPD 15)</w:t>
      </w:r>
      <w:r>
        <w:t xml:space="preserve">, </w:t>
      </w:r>
      <w:r w:rsidRPr="00901663">
        <w:t>effective March 28, 2024</w:t>
      </w:r>
      <w:r>
        <w:t xml:space="preserve">. </w:t>
      </w:r>
      <w:r w:rsidR="00EB4140">
        <w:t xml:space="preserve">We have </w:t>
      </w:r>
      <w:r w:rsidR="002E05C8">
        <w:t xml:space="preserve">updated the race categories </w:t>
      </w:r>
      <w:r w:rsidR="00985277">
        <w:t xml:space="preserve">that will be collected </w:t>
      </w:r>
      <w:r w:rsidR="002E05C8">
        <w:t xml:space="preserve">to </w:t>
      </w:r>
      <w:r w:rsidR="002E05C8">
        <w:t xml:space="preserve">more closely align with the </w:t>
      </w:r>
      <w:r w:rsidR="00B1733B">
        <w:t xml:space="preserve">new </w:t>
      </w:r>
      <w:r w:rsidR="002E05C8">
        <w:t>minimum categories</w:t>
      </w:r>
      <w:r w:rsidR="002E05C8">
        <w:t xml:space="preserve">. </w:t>
      </w:r>
      <w:r>
        <w:t xml:space="preserve">However, </w:t>
      </w:r>
      <w:r w:rsidR="0073400C">
        <w:t xml:space="preserve">it is unknown if the </w:t>
      </w:r>
      <w:r w:rsidR="00E80BCD">
        <w:t xml:space="preserve">funded </w:t>
      </w:r>
      <w:r w:rsidR="0073400C">
        <w:t xml:space="preserve">local health departments that submit data </w:t>
      </w:r>
      <w:r w:rsidR="00E80BCD">
        <w:t xml:space="preserve">to CDC will </w:t>
      </w:r>
      <w:r>
        <w:t>be able to comply with the new standards at this time</w:t>
      </w:r>
      <w:r w:rsidR="009B3062">
        <w:t>;</w:t>
      </w:r>
      <w:r>
        <w:t xml:space="preserve"> reasons </w:t>
      </w:r>
      <w:r w:rsidR="009B3062">
        <w:t xml:space="preserve">are </w:t>
      </w:r>
      <w:r>
        <w:t>provided below on A.2.</w:t>
      </w:r>
    </w:p>
    <w:p w:rsidR="00632F8A" w:rsidP="00972DEF" w14:paraId="7BD171C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2DEF" w:rsidP="00722FF6" w14:paraId="04D81176" w14:textId="5CB05C5A">
      <w:pPr>
        <w:pStyle w:val="Heading1"/>
        <w:tabs>
          <w:tab w:val="left" w:pos="540"/>
          <w:tab w:val="clear" w:pos="1152"/>
        </w:tabs>
        <w:spacing w:after="0" w:line="240" w:lineRule="auto"/>
        <w:jc w:val="left"/>
        <w:rPr>
          <w:sz w:val="24"/>
          <w:szCs w:val="24"/>
        </w:rPr>
      </w:pPr>
      <w:bookmarkStart w:id="9" w:name="_Toc145659487"/>
      <w:bookmarkStart w:id="10" w:name="_Toc150420015"/>
      <w:r w:rsidRPr="00722FF6">
        <w:rPr>
          <w:sz w:val="24"/>
          <w:szCs w:val="24"/>
        </w:rPr>
        <w:t xml:space="preserve">A.2. </w:t>
      </w:r>
      <w:r w:rsidRPr="00722FF6" w:rsidR="00F64FA1">
        <w:rPr>
          <w:sz w:val="24"/>
          <w:szCs w:val="24"/>
        </w:rPr>
        <w:t xml:space="preserve">    </w:t>
      </w:r>
      <w:r w:rsidRPr="00722FF6">
        <w:rPr>
          <w:sz w:val="24"/>
          <w:szCs w:val="24"/>
        </w:rPr>
        <w:t>Purpose and Use of Information Collection</w:t>
      </w:r>
      <w:bookmarkEnd w:id="9"/>
      <w:bookmarkEnd w:id="10"/>
      <w:r w:rsidRPr="00722FF6">
        <w:rPr>
          <w:sz w:val="24"/>
          <w:szCs w:val="24"/>
        </w:rPr>
        <w:t xml:space="preserve"> </w:t>
      </w:r>
    </w:p>
    <w:p w:rsidR="00B23F07" w:rsidP="005A17AB" w14:paraId="397E53AE" w14:textId="20B85CCF"/>
    <w:p w:rsidR="00B23F07" w:rsidP="005A17AB" w14:paraId="64521698" w14:textId="5FC401DB">
      <w:r w:rsidRPr="009F1B50">
        <w:t xml:space="preserve">Funded local health departments </w:t>
      </w:r>
      <w:r w:rsidR="00C12C2A">
        <w:t>will be</w:t>
      </w:r>
      <w:r w:rsidRPr="009F1B50">
        <w:t xml:space="preserve"> tasked with the collection and sharing of standardized Linkage to and Retention in Care indicators with CDC</w:t>
      </w:r>
      <w:r w:rsidR="001E7672">
        <w:t>, as part of this effort</w:t>
      </w:r>
      <w:r w:rsidRPr="009F1B50">
        <w:t xml:space="preserve">. </w:t>
      </w:r>
      <w:r w:rsidRPr="009F1B50" w:rsidR="00A96F1F">
        <w:t xml:space="preserve">Local health departments are uniquely suited to implement surveillance systems for </w:t>
      </w:r>
      <w:r w:rsidRPr="003E0859" w:rsidR="00A96F1F">
        <w:t>standardized</w:t>
      </w:r>
      <w:r w:rsidRPr="00C950E3" w:rsidR="00A96F1F">
        <w:t xml:space="preserve"> </w:t>
      </w:r>
      <w:r w:rsidRPr="009F1B50" w:rsidR="00A96F1F">
        <w:t>Linkage to and Retention in Care (LTC) indicators</w:t>
      </w:r>
      <w:r w:rsidRPr="009F1B50" w:rsidR="005408A9">
        <w:t xml:space="preserve"> due to their proximity to the communities they serve and </w:t>
      </w:r>
      <w:r w:rsidRPr="009F1B50" w:rsidR="00E73A81">
        <w:t xml:space="preserve">access to </w:t>
      </w:r>
      <w:r w:rsidRPr="009F1B50" w:rsidR="009F1B50">
        <w:t>data from local linkage to care programs</w:t>
      </w:r>
      <w:r w:rsidR="009F1B50">
        <w:t xml:space="preserve"> and activities</w:t>
      </w:r>
      <w:r w:rsidRPr="009F1B50" w:rsidR="009F1B50">
        <w:t>.</w:t>
      </w:r>
      <w:r w:rsidR="009F1B50">
        <w:t xml:space="preserve"> </w:t>
      </w:r>
      <w:r w:rsidR="005A17AB">
        <w:t xml:space="preserve">Following an extensive environmental scan and with input from local and state overdose prevention and response </w:t>
      </w:r>
      <w:r w:rsidRPr="008E1F8C" w:rsidR="005A17AB">
        <w:t xml:space="preserve">programs, the CDC defined a substance use disorder cascade of care (CoC) and </w:t>
      </w:r>
      <w:r w:rsidR="00A75F84">
        <w:t xml:space="preserve">a </w:t>
      </w:r>
      <w:r w:rsidRPr="008E1F8C" w:rsidR="005A17AB">
        <w:t xml:space="preserve">set of minimum standard measures to assess local LTC efforts. </w:t>
      </w:r>
      <w:r w:rsidRPr="008E1F8C">
        <w:t>The overarching goal of this initiative hinges on generating actionable data that jurisdictions can leverage to enhance and fine-tune their linkage to and retention in care programs. Linkage to and Retention in Care surveillance will also foster a robust foundation for deriving insights into disparities, unmet needs, and optimal practices across the CoC.</w:t>
      </w:r>
    </w:p>
    <w:p w:rsidR="00E7641C" w:rsidP="005A17AB" w14:paraId="1CE99CAE" w14:textId="77777777"/>
    <w:p w:rsidR="00E7641C" w:rsidP="005A17AB" w14:paraId="4BF31C2F" w14:textId="3F04C55F">
      <w:r>
        <w:t xml:space="preserve">Standardized LTC </w:t>
      </w:r>
      <w:r w:rsidRPr="00E7641C">
        <w:t>indicators include identification of need, engagement by linkage to care programs, referral to care and treatment, linkage to care/treatment initiation, and treatment retention status.</w:t>
      </w:r>
      <w:r>
        <w:t xml:space="preserve"> The data collection procedures and instruments include:</w:t>
      </w:r>
    </w:p>
    <w:p w:rsidR="00E7641C" w:rsidRPr="000166D0" w:rsidP="00E7641C" w14:paraId="71026E96" w14:textId="2BCC6BE5">
      <w:pPr>
        <w:pStyle w:val="ListParagraph"/>
        <w:numPr>
          <w:ilvl w:val="0"/>
          <w:numId w:val="66"/>
        </w:numPr>
      </w:pPr>
      <w:r w:rsidRPr="000166D0">
        <w:t xml:space="preserve">The </w:t>
      </w:r>
      <w:r>
        <w:rPr>
          <w:b/>
          <w:bCs/>
        </w:rPr>
        <w:t>T</w:t>
      </w:r>
      <w:r w:rsidRPr="000166D0">
        <w:rPr>
          <w:b/>
          <w:bCs/>
        </w:rPr>
        <w:t xml:space="preserve">echnical </w:t>
      </w:r>
      <w:r>
        <w:rPr>
          <w:b/>
          <w:bCs/>
        </w:rPr>
        <w:t>G</w:t>
      </w:r>
      <w:r w:rsidRPr="000166D0">
        <w:rPr>
          <w:b/>
          <w:bCs/>
        </w:rPr>
        <w:t>uidance document</w:t>
      </w:r>
      <w:r w:rsidRPr="000166D0">
        <w:t xml:space="preserve"> includes detailed instructions for collecting standardized indicators on linkage to and retention in care to funded jurisdictions. It provides </w:t>
      </w:r>
      <w:r w:rsidRPr="000166D0">
        <w:t xml:space="preserve">detailed indicator </w:t>
      </w:r>
      <w:r w:rsidR="00991856">
        <w:t xml:space="preserve">case </w:t>
      </w:r>
      <w:r w:rsidRPr="000166D0">
        <w:t>definitions, how to report and submit aggregate data, and information on reporting timelines.</w:t>
      </w:r>
      <w:r>
        <w:t xml:space="preserve"> Version 1.0 of the Technical Guidance is </w:t>
      </w:r>
      <w:r w:rsidR="00991856">
        <w:t xml:space="preserve">provided </w:t>
      </w:r>
      <w:r w:rsidR="007D0CD2">
        <w:t xml:space="preserve">as Attachment </w:t>
      </w:r>
      <w:r w:rsidR="00B22600">
        <w:t>B</w:t>
      </w:r>
      <w:r w:rsidR="00991856">
        <w:t xml:space="preserve">. </w:t>
      </w:r>
    </w:p>
    <w:p w:rsidR="009D2645" w:rsidP="00E7641C" w14:paraId="7AE23B3A" w14:textId="77777777">
      <w:pPr>
        <w:pStyle w:val="ListParagraph"/>
        <w:numPr>
          <w:ilvl w:val="0"/>
          <w:numId w:val="66"/>
        </w:numPr>
      </w:pPr>
      <w:r>
        <w:t xml:space="preserve">Jurisdictions will have the option to submit </w:t>
      </w:r>
      <w:r w:rsidR="000F2F1F">
        <w:t xml:space="preserve">indicator </w:t>
      </w:r>
      <w:r>
        <w:t xml:space="preserve">data to CDC via </w:t>
      </w:r>
      <w:r>
        <w:t>REDCap</w:t>
      </w:r>
      <w:r>
        <w:t xml:space="preserve"> </w:t>
      </w:r>
      <w:r w:rsidR="00E95179">
        <w:t>using one of two methods</w:t>
      </w:r>
      <w:r w:rsidR="0001279D">
        <w:t xml:space="preserve">: </w:t>
      </w:r>
    </w:p>
    <w:p w:rsidR="009D2645" w:rsidP="00817A7C" w14:paraId="112FBE45" w14:textId="6DCC365F">
      <w:pPr>
        <w:pStyle w:val="ListParagraph"/>
        <w:numPr>
          <w:ilvl w:val="1"/>
          <w:numId w:val="69"/>
        </w:numPr>
      </w:pPr>
      <w:r>
        <w:t>D</w:t>
      </w:r>
      <w:r w:rsidR="00D250B0">
        <w:t xml:space="preserve">irectly entering data into the </w:t>
      </w:r>
      <w:r w:rsidRPr="00817A7C" w:rsidR="00CC5773">
        <w:rPr>
          <w:b/>
          <w:bCs/>
        </w:rPr>
        <w:t>OD2A:</w:t>
      </w:r>
      <w:r w:rsidR="00B76C89">
        <w:rPr>
          <w:b/>
          <w:bCs/>
        </w:rPr>
        <w:t xml:space="preserve"> </w:t>
      </w:r>
      <w:r w:rsidRPr="00817A7C" w:rsidR="00CC5773">
        <w:rPr>
          <w:b/>
          <w:bCs/>
        </w:rPr>
        <w:t>LOCAL</w:t>
      </w:r>
      <w:r w:rsidR="00CC5773">
        <w:t xml:space="preserve"> </w:t>
      </w:r>
      <w:r w:rsidRPr="00817A7C" w:rsidR="00E95179">
        <w:rPr>
          <w:b/>
          <w:bCs/>
        </w:rPr>
        <w:t xml:space="preserve">Linkage to and Retention in Care </w:t>
      </w:r>
      <w:r w:rsidR="00CC5773">
        <w:rPr>
          <w:b/>
          <w:bCs/>
        </w:rPr>
        <w:t>D</w:t>
      </w:r>
      <w:r w:rsidR="001E5C0D">
        <w:rPr>
          <w:b/>
          <w:bCs/>
        </w:rPr>
        <w:t xml:space="preserve">ata </w:t>
      </w:r>
      <w:r w:rsidR="00CC5773">
        <w:rPr>
          <w:b/>
          <w:bCs/>
        </w:rPr>
        <w:t>E</w:t>
      </w:r>
      <w:r w:rsidR="001E5C0D">
        <w:rPr>
          <w:b/>
          <w:bCs/>
        </w:rPr>
        <w:t>ntry</w:t>
      </w:r>
      <w:r w:rsidRPr="00817A7C" w:rsidR="00D250B0">
        <w:rPr>
          <w:b/>
          <w:bCs/>
        </w:rPr>
        <w:t xml:space="preserve"> </w:t>
      </w:r>
      <w:r w:rsidR="00CC5773">
        <w:rPr>
          <w:b/>
          <w:bCs/>
        </w:rPr>
        <w:t>F</w:t>
      </w:r>
      <w:r w:rsidRPr="00817A7C" w:rsidR="00D250B0">
        <w:rPr>
          <w:b/>
          <w:bCs/>
        </w:rPr>
        <w:t>orm</w:t>
      </w:r>
      <w:r w:rsidR="00F7023D">
        <w:rPr>
          <w:b/>
          <w:bCs/>
        </w:rPr>
        <w:t xml:space="preserve"> </w:t>
      </w:r>
      <w:r w:rsidRPr="00817A7C" w:rsidR="00F7023D">
        <w:t>(</w:t>
      </w:r>
      <w:r w:rsidR="006C2813">
        <w:t xml:space="preserve">indicator questions from the data entry form are included in </w:t>
      </w:r>
      <w:r w:rsidRPr="00817A7C" w:rsidR="00F7023D">
        <w:t xml:space="preserve">Attachment </w:t>
      </w:r>
      <w:r w:rsidR="00826721">
        <w:t>C</w:t>
      </w:r>
      <w:r w:rsidRPr="00817A7C" w:rsidR="00F7023D">
        <w:t>)</w:t>
      </w:r>
      <w:r w:rsidRPr="00D91989" w:rsidR="0001279D">
        <w:t>,</w:t>
      </w:r>
      <w:r w:rsidR="00D250B0">
        <w:t xml:space="preserve"> or </w:t>
      </w:r>
    </w:p>
    <w:p w:rsidR="000166D0" w:rsidRPr="00817A7C" w:rsidP="00817A7C" w14:paraId="099B8A1A" w14:textId="0C629359">
      <w:pPr>
        <w:pStyle w:val="ListParagraph"/>
        <w:numPr>
          <w:ilvl w:val="1"/>
          <w:numId w:val="69"/>
        </w:numPr>
      </w:pPr>
      <w:r w:rsidRPr="00817A7C">
        <w:t>E</w:t>
      </w:r>
      <w:r w:rsidRPr="00817A7C" w:rsidR="0001279D">
        <w:t xml:space="preserve">ntering data into the </w:t>
      </w:r>
      <w:r w:rsidRPr="00817A7C" w:rsidR="00F84214">
        <w:rPr>
          <w:b/>
          <w:bCs/>
        </w:rPr>
        <w:t>OD2A: LOCAL</w:t>
      </w:r>
      <w:r w:rsidRPr="00817A7C" w:rsidR="00F84214">
        <w:t xml:space="preserve"> </w:t>
      </w:r>
      <w:r w:rsidRPr="00817A7C" w:rsidR="00F84214">
        <w:rPr>
          <w:b/>
          <w:bCs/>
        </w:rPr>
        <w:t xml:space="preserve">Linkage to and Retention in Care </w:t>
      </w:r>
      <w:r w:rsidRPr="00817A7C" w:rsidR="004454F9">
        <w:rPr>
          <w:b/>
          <w:bCs/>
        </w:rPr>
        <w:t xml:space="preserve">Data </w:t>
      </w:r>
      <w:r w:rsidRPr="00817A7C" w:rsidR="00FD4DFF">
        <w:rPr>
          <w:b/>
          <w:bCs/>
        </w:rPr>
        <w:t>Import</w:t>
      </w:r>
      <w:r w:rsidRPr="00817A7C" w:rsidR="004454F9">
        <w:rPr>
          <w:b/>
          <w:bCs/>
        </w:rPr>
        <w:t xml:space="preserve"> Template</w:t>
      </w:r>
      <w:r w:rsidRPr="00817A7C" w:rsidR="004454F9">
        <w:t xml:space="preserve"> </w:t>
      </w:r>
      <w:r w:rsidRPr="00817A7C">
        <w:t xml:space="preserve">(Attachment </w:t>
      </w:r>
      <w:r w:rsidRPr="00817A7C" w:rsidR="00826721">
        <w:t>D</w:t>
      </w:r>
      <w:r w:rsidRPr="00817A7C">
        <w:t xml:space="preserve">) </w:t>
      </w:r>
      <w:r w:rsidRPr="00817A7C" w:rsidR="0001279D">
        <w:t xml:space="preserve">and </w:t>
      </w:r>
      <w:r w:rsidRPr="00817A7C" w:rsidR="00D250B0">
        <w:t>using the data import feature</w:t>
      </w:r>
      <w:r w:rsidRPr="00817A7C" w:rsidR="00E962D1">
        <w:t xml:space="preserve"> in </w:t>
      </w:r>
      <w:r w:rsidRPr="00817A7C" w:rsidR="00E962D1">
        <w:t>REDCap</w:t>
      </w:r>
      <w:r w:rsidRPr="00817A7C" w:rsidR="00D250B0">
        <w:t>.</w:t>
      </w:r>
      <w:r w:rsidRPr="00817A7C" w:rsidR="00E95179">
        <w:t xml:space="preserve"> </w:t>
      </w:r>
      <w:r w:rsidRPr="00817A7C" w:rsidR="00991856">
        <w:t xml:space="preserve">The </w:t>
      </w:r>
      <w:r w:rsidRPr="00817A7C" w:rsidR="00991856">
        <w:rPr>
          <w:b/>
          <w:bCs/>
        </w:rPr>
        <w:t xml:space="preserve">data </w:t>
      </w:r>
      <w:r w:rsidRPr="00817A7C" w:rsidR="00FD4DFF">
        <w:rPr>
          <w:b/>
          <w:bCs/>
        </w:rPr>
        <w:t xml:space="preserve">import </w:t>
      </w:r>
      <w:r w:rsidRPr="00817A7C" w:rsidR="00991856">
        <w:rPr>
          <w:b/>
          <w:bCs/>
        </w:rPr>
        <w:t>template</w:t>
      </w:r>
      <w:r w:rsidRPr="00817A7C" w:rsidR="00991856">
        <w:t xml:space="preserve"> is a tool </w:t>
      </w:r>
      <w:r w:rsidRPr="00817A7C" w:rsidR="00FD4DFF">
        <w:t xml:space="preserve">that provides a structured framework </w:t>
      </w:r>
      <w:r w:rsidRPr="00817A7C" w:rsidR="00991856">
        <w:t>for jurisdictions to report standardized aggregate data on linkage to and retention in care indicators</w:t>
      </w:r>
      <w:r w:rsidRPr="00817A7C" w:rsidR="00C41041">
        <w:t xml:space="preserve">. </w:t>
      </w:r>
      <w:r w:rsidRPr="00817A7C" w:rsidR="000142B4">
        <w:t xml:space="preserve">A Data Dictionary is included as </w:t>
      </w:r>
      <w:r w:rsidRPr="00817A7C" w:rsidR="00BE71DC">
        <w:t xml:space="preserve">a separate </w:t>
      </w:r>
      <w:r w:rsidRPr="00817A7C" w:rsidR="00D441A2">
        <w:t>tab in the Data Import Template document</w:t>
      </w:r>
      <w:r w:rsidRPr="00817A7C" w:rsidR="000142B4">
        <w:t>, which includes</w:t>
      </w:r>
      <w:r w:rsidRPr="00817A7C" w:rsidR="00677FE0">
        <w:t xml:space="preserve"> </w:t>
      </w:r>
      <w:r w:rsidRPr="00817A7C" w:rsidR="006F283B">
        <w:t>the</w:t>
      </w:r>
      <w:r w:rsidRPr="00817A7C" w:rsidR="00677FE0">
        <w:t xml:space="preserve"> name, </w:t>
      </w:r>
      <w:r w:rsidRPr="00817A7C" w:rsidR="00BE5219">
        <w:t xml:space="preserve">description, </w:t>
      </w:r>
      <w:r w:rsidRPr="00817A7C" w:rsidR="00815D3C">
        <w:t xml:space="preserve">field type, </w:t>
      </w:r>
      <w:r w:rsidRPr="00817A7C" w:rsidR="00975220">
        <w:t xml:space="preserve">and </w:t>
      </w:r>
      <w:r w:rsidRPr="00817A7C" w:rsidR="00BE5219">
        <w:t>value</w:t>
      </w:r>
      <w:r w:rsidRPr="00817A7C" w:rsidR="00975220">
        <w:t xml:space="preserve">s </w:t>
      </w:r>
      <w:r w:rsidRPr="00817A7C" w:rsidR="00133BE7">
        <w:t>for each variable.</w:t>
      </w:r>
    </w:p>
    <w:p w:rsidR="00635F3B" w:rsidP="00E7641C" w14:paraId="0DA47BB8" w14:textId="6AE8366D">
      <w:pPr>
        <w:pStyle w:val="ListParagraph"/>
        <w:numPr>
          <w:ilvl w:val="0"/>
          <w:numId w:val="66"/>
        </w:numPr>
      </w:pPr>
      <w:r>
        <w:t xml:space="preserve">Jurisdictions will submit answers to metadata questions </w:t>
      </w:r>
      <w:r w:rsidR="00566877">
        <w:t xml:space="preserve">via </w:t>
      </w:r>
      <w:r w:rsidRPr="00817A7C" w:rsidR="00566877">
        <w:t xml:space="preserve">the </w:t>
      </w:r>
      <w:r w:rsidR="00B76C89">
        <w:t xml:space="preserve">OD2A: LOCAL </w:t>
      </w:r>
      <w:r w:rsidRPr="00817A7C" w:rsidR="00566877">
        <w:t xml:space="preserve">Linkage to and Retention in Care </w:t>
      </w:r>
      <w:r w:rsidRPr="00817A7C" w:rsidR="006441AB">
        <w:t>Data Entry Form</w:t>
      </w:r>
      <w:r w:rsidRPr="00AC7AAA" w:rsidR="00AC7AAA">
        <w:t xml:space="preserve"> </w:t>
      </w:r>
      <w:r w:rsidR="00AC7AAA">
        <w:t xml:space="preserve">in </w:t>
      </w:r>
      <w:r w:rsidR="00AC7AAA">
        <w:t>REDCap</w:t>
      </w:r>
      <w:r w:rsidR="00AC7AAA">
        <w:t xml:space="preserve"> (</w:t>
      </w:r>
      <w:r w:rsidR="00AB21EE">
        <w:t xml:space="preserve">metadata questions from the data entry form are included in </w:t>
      </w:r>
      <w:r w:rsidR="00217923">
        <w:t xml:space="preserve">Attachment </w:t>
      </w:r>
      <w:r w:rsidR="00826721">
        <w:t>C</w:t>
      </w:r>
      <w:r w:rsidR="00AC7AAA">
        <w:t>)</w:t>
      </w:r>
      <w:r w:rsidR="00217923">
        <w:t>.</w:t>
      </w:r>
    </w:p>
    <w:p w:rsidR="005A17AB" w:rsidRPr="008E1F8C" w:rsidP="005A17AB" w14:paraId="528BEC15" w14:textId="77777777"/>
    <w:p w:rsidR="009902D7" w:rsidP="005A17AB" w14:paraId="7D3BFFED" w14:textId="14273B4A">
      <w:r>
        <w:t xml:space="preserve">This approach </w:t>
      </w:r>
      <w:r w:rsidR="00134D82">
        <w:t>will help</w:t>
      </w:r>
      <w:r>
        <w:t xml:space="preserve"> standardize data processes </w:t>
      </w:r>
      <w:r w:rsidR="00134D82">
        <w:t xml:space="preserve">to drive data-to-action decision making and improve intra-jurisdictional comparisons over time to drive better health outcomes. </w:t>
      </w:r>
      <w:r w:rsidRPr="008E1F8C" w:rsidR="005A17AB">
        <w:t>Ultimately, a standardized approach ensures that a greater number of individuals access the care they require and drives meaningful change in how individuals are connected to care.</w:t>
      </w:r>
      <w:r w:rsidR="005A17AB">
        <w:t xml:space="preserve"> </w:t>
      </w:r>
    </w:p>
    <w:p w:rsidR="00901663" w:rsidP="005A17AB" w14:paraId="06D609F1" w14:textId="77777777"/>
    <w:p w:rsidR="00901663" w:rsidP="005A17AB" w14:paraId="0768131E" w14:textId="1DAA6BD3">
      <w:r>
        <w:t xml:space="preserve">To </w:t>
      </w:r>
      <w:r>
        <w:t xml:space="preserve">more closely align with the recent </w:t>
      </w:r>
      <w:r w:rsidR="00E80BCD">
        <w:t xml:space="preserve">OMB </w:t>
      </w:r>
      <w:r w:rsidR="00B11A1F">
        <w:t>requirements</w:t>
      </w:r>
      <w:r w:rsidR="00E80BCD">
        <w:t xml:space="preserve"> for collecting data on race and ethnicity</w:t>
      </w:r>
      <w:r w:rsidR="00BB6FE5">
        <w:t>, we have added</w:t>
      </w:r>
      <w:r w:rsidR="00650C72">
        <w:t xml:space="preserve"> “</w:t>
      </w:r>
      <w:r w:rsidRPr="00650C72" w:rsidR="00650C72">
        <w:t>Middle Eastern or North African</w:t>
      </w:r>
      <w:r w:rsidR="00650C72">
        <w:t xml:space="preserve">” </w:t>
      </w:r>
      <w:r w:rsidR="00EB5186">
        <w:t xml:space="preserve">as </w:t>
      </w:r>
      <w:r w:rsidR="00BB6FE5">
        <w:t>an additional rac</w:t>
      </w:r>
      <w:r w:rsidR="00EB5186">
        <w:t>e category</w:t>
      </w:r>
      <w:r w:rsidRPr="00B11A1F" w:rsidR="00B11A1F">
        <w:t xml:space="preserve"> </w:t>
      </w:r>
      <w:r w:rsidR="00B11A1F">
        <w:t>in the data import template</w:t>
      </w:r>
      <w:r w:rsidR="00EB5186">
        <w:t xml:space="preserve">. </w:t>
      </w:r>
      <w:r w:rsidR="00B11A1F">
        <w:t xml:space="preserve">This will allow CDC to </w:t>
      </w:r>
      <w:r w:rsidR="007A5FCC">
        <w:t xml:space="preserve">analyze and report data by the minimum </w:t>
      </w:r>
      <w:r w:rsidR="00B42EC3">
        <w:t xml:space="preserve">race and/or ethnicity </w:t>
      </w:r>
      <w:r w:rsidR="007A5FCC">
        <w:t xml:space="preserve">categories required by OMB. </w:t>
      </w:r>
      <w:r w:rsidR="00947447">
        <w:t xml:space="preserve">However, </w:t>
      </w:r>
      <w:r w:rsidR="004332F4">
        <w:t xml:space="preserve">since </w:t>
      </w:r>
      <w:r w:rsidR="005A37FD">
        <w:t>CDC is not collecting primary data</w:t>
      </w:r>
      <w:r w:rsidR="00947447">
        <w:t xml:space="preserve"> for this data collection</w:t>
      </w:r>
      <w:r w:rsidR="00550676">
        <w:t xml:space="preserve"> activity</w:t>
      </w:r>
      <w:r w:rsidR="004332F4">
        <w:t>, our ability to report accurate data for the</w:t>
      </w:r>
      <w:r w:rsidR="00652C3D">
        <w:t xml:space="preserve"> required </w:t>
      </w:r>
      <w:r w:rsidR="004332F4">
        <w:t xml:space="preserve">categories </w:t>
      </w:r>
      <w:r w:rsidR="00932E84">
        <w:t xml:space="preserve">is dependent </w:t>
      </w:r>
      <w:r w:rsidR="004332F4">
        <w:t>on th</w:t>
      </w:r>
      <w:r w:rsidR="00BC580F">
        <w:t xml:space="preserve">e </w:t>
      </w:r>
      <w:r w:rsidR="00932E84">
        <w:t xml:space="preserve">data sources </w:t>
      </w:r>
      <w:r w:rsidR="00155CBE">
        <w:t>utilized by</w:t>
      </w:r>
      <w:r w:rsidR="00932E84">
        <w:t xml:space="preserve"> </w:t>
      </w:r>
      <w:r w:rsidR="00BC580F">
        <w:t>local health departments</w:t>
      </w:r>
      <w:r w:rsidR="004F70DD">
        <w:t xml:space="preserve">. </w:t>
      </w:r>
      <w:r w:rsidR="00417518">
        <w:t xml:space="preserve">Many of the funded </w:t>
      </w:r>
      <w:r w:rsidR="00D612CD">
        <w:t xml:space="preserve">health departments are </w:t>
      </w:r>
      <w:r w:rsidR="00155CBE">
        <w:t>using</w:t>
      </w:r>
      <w:r w:rsidR="00D612CD">
        <w:t xml:space="preserve"> data from administrative data sets (</w:t>
      </w:r>
      <w:r w:rsidR="00D612CD">
        <w:t>eg</w:t>
      </w:r>
      <w:r w:rsidR="00D612CD">
        <w:t>, billing or claims data</w:t>
      </w:r>
      <w:r w:rsidR="00F22C71">
        <w:t>, emergency department data</w:t>
      </w:r>
      <w:r w:rsidR="00D612CD">
        <w:t>) to calculate the indicator</w:t>
      </w:r>
      <w:r w:rsidR="00E8536A">
        <w:t>s</w:t>
      </w:r>
      <w:r w:rsidR="00F22C71">
        <w:t xml:space="preserve"> and stratify the data by racial and ethnic categories</w:t>
      </w:r>
      <w:r w:rsidR="00E8536A">
        <w:t>.</w:t>
      </w:r>
      <w:r w:rsidR="004F70DD">
        <w:t xml:space="preserve"> </w:t>
      </w:r>
      <w:r w:rsidR="00417518">
        <w:t xml:space="preserve">Thus, </w:t>
      </w:r>
      <w:r w:rsidR="00287EAE">
        <w:t xml:space="preserve">they will only be able to abstract </w:t>
      </w:r>
      <w:r w:rsidR="00DF29FA">
        <w:t>racial/ethnic</w:t>
      </w:r>
      <w:r w:rsidR="00287EAE">
        <w:t xml:space="preserve"> </w:t>
      </w:r>
      <w:r w:rsidR="00DF29FA">
        <w:t>categories that are collected by these data systems</w:t>
      </w:r>
      <w:r w:rsidR="00910870">
        <w:t>,</w:t>
      </w:r>
      <w:r w:rsidR="00DF29FA">
        <w:t xml:space="preserve"> and </w:t>
      </w:r>
      <w:r w:rsidR="00417518">
        <w:t>their abilit</w:t>
      </w:r>
      <w:r w:rsidR="00DC2D82">
        <w:t xml:space="preserve">y to comply </w:t>
      </w:r>
      <w:r w:rsidR="004F70DD">
        <w:t xml:space="preserve">with </w:t>
      </w:r>
      <w:r w:rsidR="00E8536A">
        <w:t xml:space="preserve">the new OMB standards will be dependent on </w:t>
      </w:r>
      <w:r w:rsidR="00DC2D82">
        <w:t>updates within relevant</w:t>
      </w:r>
      <w:r w:rsidR="000F3153">
        <w:t xml:space="preserve"> data systems to </w:t>
      </w:r>
      <w:r w:rsidR="00CD2DEB">
        <w:t>align</w:t>
      </w:r>
      <w:r w:rsidR="000F3153">
        <w:t xml:space="preserve"> with the new standards. This </w:t>
      </w:r>
      <w:r w:rsidR="00CD2DEB">
        <w:t xml:space="preserve">will likely </w:t>
      </w:r>
      <w:r w:rsidR="008A7532">
        <w:t>take several years to fully implement at the local level</w:t>
      </w:r>
      <w:r w:rsidR="00FB7A70">
        <w:t xml:space="preserve"> across data sharing part</w:t>
      </w:r>
      <w:r w:rsidR="00770DD6">
        <w:t>ners</w:t>
      </w:r>
      <w:r w:rsidR="008A7532">
        <w:t xml:space="preserve">. CDC will </w:t>
      </w:r>
      <w:r w:rsidR="00770DD6">
        <w:t xml:space="preserve">provide information on the new standards </w:t>
      </w:r>
      <w:r w:rsidR="00C84685">
        <w:t>and the</w:t>
      </w:r>
      <w:r w:rsidR="00550B91">
        <w:t xml:space="preserve"> required</w:t>
      </w:r>
      <w:r w:rsidR="00C84685">
        <w:t xml:space="preserve"> timeline for coming into compliance </w:t>
      </w:r>
      <w:r w:rsidR="00770DD6">
        <w:t>to</w:t>
      </w:r>
      <w:r w:rsidR="008A7532">
        <w:t xml:space="preserve"> </w:t>
      </w:r>
      <w:r w:rsidR="00770DD6">
        <w:t xml:space="preserve">OD2A: LOCAL </w:t>
      </w:r>
      <w:r w:rsidR="008A7532">
        <w:t>recipients</w:t>
      </w:r>
      <w:r w:rsidR="00C84685">
        <w:t>,</w:t>
      </w:r>
      <w:r w:rsidR="008A7532">
        <w:t xml:space="preserve"> and </w:t>
      </w:r>
      <w:r w:rsidR="00C84685">
        <w:t xml:space="preserve">we will </w:t>
      </w:r>
      <w:r w:rsidR="001A0DF1">
        <w:t>encourage recipients to</w:t>
      </w:r>
      <w:r w:rsidR="009D75D0">
        <w:t xml:space="preserve"> communicat</w:t>
      </w:r>
      <w:r w:rsidR="001A0DF1">
        <w:t xml:space="preserve">e these </w:t>
      </w:r>
      <w:r w:rsidR="00C84685">
        <w:t>requirements</w:t>
      </w:r>
      <w:r w:rsidR="001A0DF1">
        <w:t xml:space="preserve"> to their data sharing partners</w:t>
      </w:r>
      <w:r w:rsidR="00291AF7">
        <w:t xml:space="preserve">. </w:t>
      </w:r>
    </w:p>
    <w:p w:rsidR="00972DEF" w:rsidRPr="00691454" w:rsidP="00972DEF" w14:paraId="04D81177" w14:textId="77777777">
      <w:pPr>
        <w:autoSpaceDE w:val="0"/>
        <w:autoSpaceDN w:val="0"/>
        <w:adjustRightInd w:val="0"/>
      </w:pPr>
    </w:p>
    <w:p w:rsidR="00972DEF" w:rsidRPr="00722FF6" w:rsidP="00722FF6" w14:paraId="04D81178" w14:textId="4D34B22C">
      <w:pPr>
        <w:pStyle w:val="Heading1"/>
        <w:tabs>
          <w:tab w:val="left" w:pos="540"/>
          <w:tab w:val="clear" w:pos="1152"/>
        </w:tabs>
        <w:spacing w:after="0" w:line="240" w:lineRule="auto"/>
        <w:jc w:val="left"/>
        <w:rPr>
          <w:sz w:val="24"/>
          <w:szCs w:val="24"/>
        </w:rPr>
      </w:pPr>
      <w:bookmarkStart w:id="11" w:name="_Toc145659488"/>
      <w:bookmarkStart w:id="12" w:name="_Toc150420016"/>
      <w:r w:rsidRPr="00170729">
        <w:rPr>
          <w:sz w:val="24"/>
          <w:szCs w:val="24"/>
        </w:rPr>
        <w:t xml:space="preserve">A.3. </w:t>
      </w:r>
      <w:r>
        <w:tab/>
      </w:r>
      <w:r w:rsidRPr="00170729">
        <w:rPr>
          <w:sz w:val="24"/>
          <w:szCs w:val="24"/>
        </w:rPr>
        <w:t>Use of Improved Information Technology and Burden Reduction</w:t>
      </w:r>
      <w:bookmarkEnd w:id="11"/>
      <w:bookmarkEnd w:id="12"/>
    </w:p>
    <w:p w:rsidR="0037634D" w:rsidP="0037634D" w14:paraId="2BEDCE03" w14:textId="77777777">
      <w:pPr>
        <w:contextualSpacing/>
      </w:pPr>
    </w:p>
    <w:p w:rsidR="00AB4B34" w:rsidP="00AB4B34" w14:paraId="654584C0" w14:textId="306F4F16">
      <w:pPr>
        <w:pStyle w:val="pf0"/>
        <w:spacing w:before="0" w:beforeAutospacing="0" w:after="0" w:afterAutospacing="0"/>
        <w:rPr>
          <w:rFonts w:ascii="Arial" w:hAnsi="Arial" w:cs="Arial"/>
          <w:sz w:val="20"/>
          <w:szCs w:val="20"/>
        </w:rPr>
      </w:pPr>
      <w:r w:rsidRPr="0014030E">
        <w:rPr>
          <w:szCs w:val="32"/>
        </w:rPr>
        <w:t xml:space="preserve">CDC </w:t>
      </w:r>
      <w:r w:rsidRPr="004B057F" w:rsidR="003D0D75">
        <w:rPr>
          <w:szCs w:val="32"/>
        </w:rPr>
        <w:t xml:space="preserve">will be leveraging </w:t>
      </w:r>
      <w:r w:rsidR="00EF43B1">
        <w:t xml:space="preserve">an established CDC </w:t>
      </w:r>
      <w:r w:rsidRPr="00943A05" w:rsidR="004B057F">
        <w:t xml:space="preserve">web-based </w:t>
      </w:r>
      <w:r w:rsidRPr="004B057F" w:rsidR="004B057F">
        <w:rPr>
          <w:szCs w:val="32"/>
        </w:rPr>
        <w:t xml:space="preserve">data collection </w:t>
      </w:r>
      <w:r w:rsidR="00C44C79">
        <w:rPr>
          <w:szCs w:val="32"/>
        </w:rPr>
        <w:t>tool</w:t>
      </w:r>
      <w:r w:rsidR="00EF43B1">
        <w:rPr>
          <w:szCs w:val="32"/>
        </w:rPr>
        <w:t xml:space="preserve">, called </w:t>
      </w:r>
      <w:r w:rsidR="001862D5">
        <w:rPr>
          <w:szCs w:val="32"/>
        </w:rPr>
        <w:t>REDCap</w:t>
      </w:r>
      <w:r w:rsidR="00EF43B1">
        <w:rPr>
          <w:szCs w:val="32"/>
        </w:rPr>
        <w:t>,</w:t>
      </w:r>
      <w:r w:rsidRPr="004B057F" w:rsidR="004B057F">
        <w:rPr>
          <w:szCs w:val="32"/>
        </w:rPr>
        <w:t xml:space="preserve"> </w:t>
      </w:r>
      <w:r w:rsidR="004B057F">
        <w:rPr>
          <w:szCs w:val="32"/>
        </w:rPr>
        <w:t>to collect the standardized indicator data</w:t>
      </w:r>
      <w:r w:rsidRPr="004B057F" w:rsidR="004B057F">
        <w:rPr>
          <w:szCs w:val="32"/>
        </w:rPr>
        <w:t xml:space="preserve">. </w:t>
      </w:r>
      <w:r w:rsidR="001862D5">
        <w:rPr>
          <w:szCs w:val="32"/>
        </w:rPr>
        <w:t>REDCap</w:t>
      </w:r>
      <w:r w:rsidR="008F2F9B">
        <w:rPr>
          <w:szCs w:val="32"/>
        </w:rPr>
        <w:t xml:space="preserve"> will minimize burden </w:t>
      </w:r>
      <w:r w:rsidR="00233273">
        <w:rPr>
          <w:szCs w:val="32"/>
        </w:rPr>
        <w:t>o</w:t>
      </w:r>
      <w:r w:rsidR="00EB4D98">
        <w:rPr>
          <w:szCs w:val="32"/>
        </w:rPr>
        <w:t>n</w:t>
      </w:r>
      <w:r w:rsidR="00233273">
        <w:rPr>
          <w:szCs w:val="32"/>
        </w:rPr>
        <w:t xml:space="preserve"> local health departments </w:t>
      </w:r>
      <w:r w:rsidR="007D3A6C">
        <w:rPr>
          <w:szCs w:val="32"/>
        </w:rPr>
        <w:t xml:space="preserve">in three critical ways. First, </w:t>
      </w:r>
      <w:r w:rsidR="001862D5">
        <w:rPr>
          <w:szCs w:val="32"/>
        </w:rPr>
        <w:t>REDCap</w:t>
      </w:r>
      <w:r w:rsidR="008F2F9B">
        <w:rPr>
          <w:szCs w:val="32"/>
        </w:rPr>
        <w:t xml:space="preserve"> automatically and quickly identif</w:t>
      </w:r>
      <w:r w:rsidR="00C666F7">
        <w:rPr>
          <w:szCs w:val="32"/>
        </w:rPr>
        <w:t>ies</w:t>
      </w:r>
      <w:r w:rsidR="008F2F9B">
        <w:rPr>
          <w:szCs w:val="32"/>
        </w:rPr>
        <w:t xml:space="preserve"> data errors when the </w:t>
      </w:r>
      <w:r w:rsidR="00C17933">
        <w:rPr>
          <w:szCs w:val="32"/>
        </w:rPr>
        <w:t xml:space="preserve">recipient </w:t>
      </w:r>
      <w:r w:rsidR="00887D11">
        <w:rPr>
          <w:szCs w:val="32"/>
        </w:rPr>
        <w:t>submit</w:t>
      </w:r>
      <w:r w:rsidR="007738FC">
        <w:rPr>
          <w:szCs w:val="32"/>
        </w:rPr>
        <w:t>s data to CDC</w:t>
      </w:r>
      <w:r w:rsidR="00887D11">
        <w:rPr>
          <w:szCs w:val="32"/>
        </w:rPr>
        <w:t>. This will allow recipients to quickly</w:t>
      </w:r>
      <w:r w:rsidR="007738FC">
        <w:rPr>
          <w:szCs w:val="32"/>
        </w:rPr>
        <w:t xml:space="preserve"> </w:t>
      </w:r>
      <w:r w:rsidR="003F0725">
        <w:rPr>
          <w:szCs w:val="32"/>
        </w:rPr>
        <w:t xml:space="preserve">fix errors on submission instead of engaging in extended data quality discussions </w:t>
      </w:r>
      <w:r w:rsidR="00E04934">
        <w:rPr>
          <w:szCs w:val="32"/>
        </w:rPr>
        <w:t xml:space="preserve">with CDC </w:t>
      </w:r>
      <w:r w:rsidR="003F0725">
        <w:rPr>
          <w:szCs w:val="32"/>
        </w:rPr>
        <w:t xml:space="preserve">over days. Also, </w:t>
      </w:r>
      <w:r w:rsidR="002119F4">
        <w:rPr>
          <w:szCs w:val="32"/>
        </w:rPr>
        <w:t>REDCap</w:t>
      </w:r>
      <w:r w:rsidR="00887D11">
        <w:rPr>
          <w:szCs w:val="32"/>
        </w:rPr>
        <w:t xml:space="preserve"> </w:t>
      </w:r>
      <w:r w:rsidR="00BD294E">
        <w:rPr>
          <w:szCs w:val="32"/>
        </w:rPr>
        <w:t xml:space="preserve">is a mature </w:t>
      </w:r>
      <w:r w:rsidR="00992F93">
        <w:rPr>
          <w:szCs w:val="32"/>
        </w:rPr>
        <w:t>data collection tool that is stable</w:t>
      </w:r>
      <w:r w:rsidR="00A66D84">
        <w:rPr>
          <w:szCs w:val="32"/>
        </w:rPr>
        <w:t xml:space="preserve"> and accessible</w:t>
      </w:r>
      <w:r w:rsidR="00B01414">
        <w:rPr>
          <w:szCs w:val="32"/>
        </w:rPr>
        <w:t xml:space="preserve">. This will </w:t>
      </w:r>
      <w:r w:rsidR="00BA425E">
        <w:rPr>
          <w:szCs w:val="32"/>
        </w:rPr>
        <w:t xml:space="preserve">prevent </w:t>
      </w:r>
      <w:r w:rsidR="001C42B9">
        <w:rPr>
          <w:szCs w:val="32"/>
        </w:rPr>
        <w:t xml:space="preserve">local health departments </w:t>
      </w:r>
      <w:r w:rsidR="00326C7F">
        <w:rPr>
          <w:szCs w:val="32"/>
        </w:rPr>
        <w:t xml:space="preserve">losing time due to instabilities or programming issues often associated with new systems. Finally, </w:t>
      </w:r>
      <w:r w:rsidR="00C566C8">
        <w:rPr>
          <w:szCs w:val="32"/>
        </w:rPr>
        <w:t xml:space="preserve">the system is integrated with CDC security protocols </w:t>
      </w:r>
      <w:r w:rsidR="009D21E4">
        <w:rPr>
          <w:szCs w:val="32"/>
        </w:rPr>
        <w:t xml:space="preserve">widely used at CDC which </w:t>
      </w:r>
      <w:r w:rsidR="00C566C8">
        <w:rPr>
          <w:szCs w:val="32"/>
        </w:rPr>
        <w:t>mak</w:t>
      </w:r>
      <w:r w:rsidR="009D21E4">
        <w:rPr>
          <w:szCs w:val="32"/>
        </w:rPr>
        <w:t>es</w:t>
      </w:r>
      <w:r w:rsidR="00C566C8">
        <w:rPr>
          <w:szCs w:val="32"/>
        </w:rPr>
        <w:t xml:space="preserve"> access</w:t>
      </w:r>
      <w:r w:rsidR="009D21E4">
        <w:rPr>
          <w:szCs w:val="32"/>
        </w:rPr>
        <w:t xml:space="preserve"> familiar to many local public health staff and easy </w:t>
      </w:r>
      <w:r w:rsidR="009055CB">
        <w:rPr>
          <w:szCs w:val="32"/>
        </w:rPr>
        <w:t>to use for</w:t>
      </w:r>
      <w:r w:rsidR="009D21E4">
        <w:rPr>
          <w:szCs w:val="32"/>
        </w:rPr>
        <w:t xml:space="preserve"> staff at local health </w:t>
      </w:r>
      <w:r w:rsidRPr="00AB4B34" w:rsidR="009D21E4">
        <w:t>departments.</w:t>
      </w:r>
      <w:r w:rsidRPr="00AB4B34">
        <w:t xml:space="preserve"> </w:t>
      </w:r>
      <w:r w:rsidR="009A71BC">
        <w:rPr>
          <w:rStyle w:val="cf01"/>
          <w:rFonts w:ascii="Times New Roman" w:hAnsi="Times New Roman" w:cs="Times New Roman"/>
          <w:sz w:val="24"/>
          <w:szCs w:val="24"/>
        </w:rPr>
        <w:t xml:space="preserve">Many OD2A: LOCAL recipients use </w:t>
      </w:r>
      <w:r w:rsidR="009A71BC">
        <w:rPr>
          <w:rStyle w:val="cf01"/>
          <w:rFonts w:ascii="Times New Roman" w:hAnsi="Times New Roman" w:cs="Times New Roman"/>
          <w:sz w:val="24"/>
          <w:szCs w:val="24"/>
        </w:rPr>
        <w:t>REDCap</w:t>
      </w:r>
      <w:r w:rsidRPr="00AB4B34" w:rsidR="009A71BC">
        <w:rPr>
          <w:rStyle w:val="cf01"/>
          <w:rFonts w:ascii="Times New Roman" w:hAnsi="Times New Roman" w:cs="Times New Roman"/>
          <w:sz w:val="24"/>
          <w:szCs w:val="24"/>
        </w:rPr>
        <w:t xml:space="preserve"> </w:t>
      </w:r>
      <w:r w:rsidR="002119F4">
        <w:rPr>
          <w:rStyle w:val="cf01"/>
          <w:rFonts w:ascii="Times New Roman" w:hAnsi="Times New Roman" w:cs="Times New Roman"/>
          <w:sz w:val="24"/>
          <w:szCs w:val="24"/>
        </w:rPr>
        <w:t>for data collection</w:t>
      </w:r>
      <w:r w:rsidR="00711C00">
        <w:rPr>
          <w:rStyle w:val="cf01"/>
          <w:rFonts w:ascii="Times New Roman" w:hAnsi="Times New Roman" w:cs="Times New Roman"/>
          <w:sz w:val="24"/>
          <w:szCs w:val="24"/>
        </w:rPr>
        <w:t xml:space="preserve"> </w:t>
      </w:r>
      <w:r w:rsidR="009A71BC">
        <w:rPr>
          <w:rStyle w:val="cf01"/>
          <w:rFonts w:ascii="Times New Roman" w:hAnsi="Times New Roman" w:cs="Times New Roman"/>
          <w:sz w:val="24"/>
          <w:szCs w:val="24"/>
        </w:rPr>
        <w:t>in their</w:t>
      </w:r>
      <w:r w:rsidR="00711C00">
        <w:rPr>
          <w:rStyle w:val="cf01"/>
          <w:rFonts w:ascii="Times New Roman" w:hAnsi="Times New Roman" w:cs="Times New Roman"/>
          <w:sz w:val="24"/>
          <w:szCs w:val="24"/>
        </w:rPr>
        <w:t xml:space="preserve"> jurisdiction</w:t>
      </w:r>
      <w:r w:rsidR="009A71BC">
        <w:rPr>
          <w:rStyle w:val="cf01"/>
          <w:rFonts w:ascii="Times New Roman" w:hAnsi="Times New Roman" w:cs="Times New Roman"/>
          <w:sz w:val="24"/>
          <w:szCs w:val="24"/>
        </w:rPr>
        <w:t>s</w:t>
      </w:r>
      <w:r w:rsidR="002119F4">
        <w:rPr>
          <w:rStyle w:val="cf01"/>
          <w:rFonts w:ascii="Times New Roman" w:hAnsi="Times New Roman" w:cs="Times New Roman"/>
          <w:sz w:val="24"/>
          <w:szCs w:val="24"/>
        </w:rPr>
        <w:t xml:space="preserve"> </w:t>
      </w:r>
      <w:r w:rsidRPr="00AB4B34">
        <w:rPr>
          <w:rStyle w:val="cf01"/>
          <w:rFonts w:ascii="Times New Roman" w:hAnsi="Times New Roman" w:cs="Times New Roman"/>
          <w:sz w:val="24"/>
          <w:szCs w:val="24"/>
        </w:rPr>
        <w:t>and are already familiar with the system, further dec</w:t>
      </w:r>
      <w:r w:rsidR="003F4F88">
        <w:rPr>
          <w:rStyle w:val="cf01"/>
          <w:rFonts w:ascii="Times New Roman" w:hAnsi="Times New Roman" w:cs="Times New Roman"/>
          <w:sz w:val="24"/>
          <w:szCs w:val="24"/>
        </w:rPr>
        <w:t>r</w:t>
      </w:r>
      <w:r w:rsidRPr="00AB4B34">
        <w:rPr>
          <w:rStyle w:val="cf01"/>
          <w:rFonts w:ascii="Times New Roman" w:hAnsi="Times New Roman" w:cs="Times New Roman"/>
          <w:sz w:val="24"/>
          <w:szCs w:val="24"/>
        </w:rPr>
        <w:t>easing burden associated with having to learn a new platform.</w:t>
      </w:r>
    </w:p>
    <w:p w:rsidR="004B057F" w:rsidRPr="004B057F" w:rsidP="004B057F" w14:paraId="3FBBE0C1" w14:textId="3702AB44">
      <w:pPr>
        <w:spacing w:before="20" w:after="20"/>
        <w:rPr>
          <w:szCs w:val="32"/>
        </w:rPr>
      </w:pPr>
    </w:p>
    <w:p w:rsidR="00E0399F" w:rsidP="001665F6" w14:paraId="482690A7" w14:textId="3939DB01">
      <w:pPr>
        <w:spacing w:before="20" w:after="20"/>
        <w:rPr>
          <w:szCs w:val="32"/>
        </w:rPr>
      </w:pPr>
      <w:r>
        <w:rPr>
          <w:szCs w:val="32"/>
        </w:rPr>
        <w:t>CDC is also working to further reduce burden</w:t>
      </w:r>
      <w:r w:rsidR="00816F51">
        <w:rPr>
          <w:szCs w:val="32"/>
        </w:rPr>
        <w:t xml:space="preserve"> over the 5-year NOFO in two ways. First, CDC will provide local health departments</w:t>
      </w:r>
      <w:r w:rsidRPr="00F34DA9" w:rsidR="00816F51">
        <w:rPr>
          <w:b/>
          <w:bCs/>
        </w:rPr>
        <w:t xml:space="preserve"> SAS and</w:t>
      </w:r>
      <w:r w:rsidR="00D738A0">
        <w:rPr>
          <w:b/>
          <w:bCs/>
        </w:rPr>
        <w:t>/or</w:t>
      </w:r>
      <w:r w:rsidRPr="00F34DA9" w:rsidR="00816F51">
        <w:rPr>
          <w:b/>
          <w:bCs/>
        </w:rPr>
        <w:t xml:space="preserve"> R </w:t>
      </w:r>
      <w:r w:rsidR="00816F51">
        <w:rPr>
          <w:b/>
          <w:bCs/>
        </w:rPr>
        <w:t xml:space="preserve">statistical </w:t>
      </w:r>
      <w:r w:rsidRPr="00F34DA9" w:rsidR="00816F51">
        <w:rPr>
          <w:b/>
          <w:bCs/>
        </w:rPr>
        <w:t>programming code</w:t>
      </w:r>
      <w:r w:rsidR="00816F51">
        <w:rPr>
          <w:b/>
          <w:bCs/>
        </w:rPr>
        <w:t xml:space="preserve"> </w:t>
      </w:r>
      <w:r w:rsidR="00816F51">
        <w:t xml:space="preserve">that will assist them </w:t>
      </w:r>
      <w:r w:rsidR="00474B03">
        <w:t xml:space="preserve">in </w:t>
      </w:r>
      <w:r w:rsidR="00816F51">
        <w:t xml:space="preserve">quickly and automatically </w:t>
      </w:r>
      <w:r w:rsidR="00474B03">
        <w:t>formatting</w:t>
      </w:r>
      <w:r w:rsidR="00C640D4">
        <w:t xml:space="preserve"> and </w:t>
      </w:r>
      <w:r w:rsidR="00816F51">
        <w:t>load</w:t>
      </w:r>
      <w:r w:rsidR="00474B03">
        <w:t>ing</w:t>
      </w:r>
      <w:r w:rsidR="00816F51">
        <w:t xml:space="preserve"> data into </w:t>
      </w:r>
      <w:r w:rsidR="00C44C79">
        <w:t>REDCap</w:t>
      </w:r>
      <w:r w:rsidR="00816F51">
        <w:t xml:space="preserve">. </w:t>
      </w:r>
      <w:r w:rsidRPr="0037218E" w:rsidR="00C640D4">
        <w:rPr>
          <w:szCs w:val="32"/>
        </w:rPr>
        <w:t xml:space="preserve">This reduces the burden on health departments by </w:t>
      </w:r>
      <w:r w:rsidR="00C640D4">
        <w:rPr>
          <w:szCs w:val="32"/>
        </w:rPr>
        <w:t>helping them automate the process of translating their data into the format required by CDC.</w:t>
      </w:r>
      <w:r w:rsidR="00DD5F23">
        <w:rPr>
          <w:szCs w:val="32"/>
        </w:rPr>
        <w:t xml:space="preserve"> </w:t>
      </w:r>
      <w:r w:rsidR="00816F51">
        <w:t xml:space="preserve">Second, CDC will work with a contractor to explore other </w:t>
      </w:r>
      <w:r w:rsidR="00C640D4">
        <w:t xml:space="preserve">technological </w:t>
      </w:r>
      <w:r w:rsidR="00816F51">
        <w:t xml:space="preserve">ways to automate and streamline data </w:t>
      </w:r>
      <w:r w:rsidR="00C640D4">
        <w:t>submission.</w:t>
      </w:r>
      <w:r w:rsidR="00FD4F13">
        <w:t xml:space="preserve"> Specifically, in 202</w:t>
      </w:r>
      <w:r w:rsidR="00DE0BB4">
        <w:t xml:space="preserve">4, CDC will review and pilot the reporting process with a few jurisdictions to identify opportunities to </w:t>
      </w:r>
      <w:r w:rsidR="0036310A">
        <w:t xml:space="preserve">reduce burden and </w:t>
      </w:r>
      <w:r w:rsidR="004A20DB">
        <w:t xml:space="preserve">improve </w:t>
      </w:r>
      <w:r w:rsidR="0036310A">
        <w:t>data quality.</w:t>
      </w:r>
    </w:p>
    <w:p w:rsidR="00E169E7" w:rsidRPr="00691454" w:rsidP="00972DEF" w14:paraId="08758F97" w14:textId="77777777"/>
    <w:p w:rsidR="00972DEF" w:rsidRPr="00722FF6" w:rsidP="00722FF6" w14:paraId="04D8117A" w14:textId="77777777">
      <w:pPr>
        <w:pStyle w:val="Heading1"/>
        <w:tabs>
          <w:tab w:val="left" w:pos="540"/>
          <w:tab w:val="clear" w:pos="1152"/>
        </w:tabs>
        <w:spacing w:after="0" w:line="240" w:lineRule="auto"/>
        <w:jc w:val="left"/>
        <w:rPr>
          <w:sz w:val="24"/>
          <w:szCs w:val="24"/>
        </w:rPr>
      </w:pPr>
      <w:bookmarkStart w:id="13" w:name="_Toc145659489"/>
      <w:bookmarkStart w:id="14" w:name="_Toc150420017"/>
      <w:r w:rsidRPr="00722FF6">
        <w:rPr>
          <w:sz w:val="24"/>
          <w:szCs w:val="24"/>
        </w:rPr>
        <w:t xml:space="preserve">A.4. </w:t>
      </w:r>
      <w:r w:rsidRPr="00722FF6">
        <w:rPr>
          <w:sz w:val="24"/>
          <w:szCs w:val="24"/>
        </w:rPr>
        <w:tab/>
        <w:t>Efforts to Identify Duplication and Use of Similar Information</w:t>
      </w:r>
      <w:bookmarkEnd w:id="13"/>
      <w:bookmarkEnd w:id="14"/>
    </w:p>
    <w:p w:rsidR="00972DEF" w:rsidP="00972DEF" w14:paraId="04D8117B" w14:textId="77777777">
      <w:pPr>
        <w:autoSpaceDE w:val="0"/>
        <w:autoSpaceDN w:val="0"/>
        <w:adjustRightInd w:val="0"/>
      </w:pPr>
    </w:p>
    <w:p w:rsidR="009813FA" w:rsidP="009813FA" w14:paraId="5010364D" w14:textId="6409CD69">
      <w:pPr>
        <w:autoSpaceDE w:val="0"/>
        <w:autoSpaceDN w:val="0"/>
        <w:adjustRightInd w:val="0"/>
        <w:rPr>
          <w:rStyle w:val="cf01"/>
          <w:rFonts w:ascii="Times New Roman" w:hAnsi="Times New Roman" w:cs="Times New Roman"/>
          <w:sz w:val="24"/>
          <w:szCs w:val="24"/>
        </w:rPr>
      </w:pPr>
      <w:bookmarkStart w:id="15" w:name="_Hlk147831626"/>
      <w:r w:rsidRPr="008C6088">
        <w:t>There is no similar ongoing surveillance system in existence</w:t>
      </w:r>
      <w:r w:rsidR="005F2CD9">
        <w:t>, and currently no standardized surveillance data to understand linkage to and retention in care for substance use disorder.</w:t>
      </w:r>
      <w:r w:rsidRPr="008C6088">
        <w:t xml:space="preserve"> </w:t>
      </w:r>
      <w:r>
        <w:t>Additionally, this surveillance system differs comp</w:t>
      </w:r>
      <w:r w:rsidRPr="008C6088">
        <w:rPr>
          <w:rStyle w:val="cf01"/>
          <w:rFonts w:ascii="Times New Roman" w:hAnsi="Times New Roman" w:cs="Times New Roman"/>
          <w:sz w:val="24"/>
          <w:szCs w:val="24"/>
        </w:rPr>
        <w:t>letely from the other state-level surveillance systems in OD2A-S</w:t>
      </w:r>
      <w:r>
        <w:rPr>
          <w:rStyle w:val="cf01"/>
          <w:rFonts w:ascii="Times New Roman" w:hAnsi="Times New Roman" w:cs="Times New Roman"/>
          <w:sz w:val="24"/>
          <w:szCs w:val="24"/>
        </w:rPr>
        <w:t xml:space="preserve"> (e.g., DOSE, SUDORS). </w:t>
      </w:r>
    </w:p>
    <w:p w:rsidR="00EB1A82" w:rsidP="009813FA" w14:paraId="21A50242" w14:textId="77777777">
      <w:pPr>
        <w:autoSpaceDE w:val="0"/>
        <w:autoSpaceDN w:val="0"/>
        <w:adjustRightInd w:val="0"/>
        <w:rPr>
          <w:rStyle w:val="cf01"/>
          <w:rFonts w:ascii="Times New Roman" w:hAnsi="Times New Roman" w:cs="Times New Roman"/>
          <w:sz w:val="24"/>
          <w:szCs w:val="24"/>
        </w:rPr>
      </w:pPr>
    </w:p>
    <w:p w:rsidR="009813FA" w:rsidP="009813FA" w14:paraId="1900197E" w14:textId="2F4C6AAC">
      <w:pPr>
        <w:autoSpaceDE w:val="0"/>
        <w:autoSpaceDN w:val="0"/>
        <w:adjustRightInd w:val="0"/>
        <w:rPr>
          <w:rStyle w:val="cf11"/>
          <w:rFonts w:ascii="Times New Roman" w:hAnsi="Times New Roman" w:cs="Times New Roman"/>
          <w:sz w:val="24"/>
          <w:szCs w:val="24"/>
        </w:rPr>
      </w:pPr>
      <w:r w:rsidRPr="008C6088">
        <w:rPr>
          <w:rStyle w:val="cf01"/>
          <w:rFonts w:ascii="Times New Roman" w:hAnsi="Times New Roman" w:cs="Times New Roman"/>
          <w:sz w:val="24"/>
          <w:szCs w:val="24"/>
        </w:rPr>
        <w:t>Information about overdose-related emergency department admissions is reported to CDC under OMB No. 0920-1268 (exp. 9/30/2025),</w:t>
      </w:r>
      <w:r w:rsidRPr="008C6088">
        <w:rPr>
          <w:rStyle w:val="cf11"/>
          <w:rFonts w:ascii="Times New Roman" w:hAnsi="Times New Roman" w:cs="Times New Roman"/>
          <w:sz w:val="24"/>
          <w:szCs w:val="24"/>
        </w:rPr>
        <w:t xml:space="preserve"> Drug Overdose Surveillance and Epidemiology (DOSE). This information collection allows CDC and participating jurisdictions to rapidly identify outbreaks and provide situational awareness of changes in emergency department (ED) visits involving suspected drug, opioid, heroin, and stimulant overdoses at the local, state, and regional level.</w:t>
      </w:r>
    </w:p>
    <w:p w:rsidR="009813FA" w:rsidRPr="008C6088" w:rsidP="009813FA" w14:paraId="33DEB15E" w14:textId="77777777">
      <w:pPr>
        <w:autoSpaceDE w:val="0"/>
        <w:autoSpaceDN w:val="0"/>
        <w:adjustRightInd w:val="0"/>
      </w:pPr>
    </w:p>
    <w:p w:rsidR="009813FA" w:rsidRPr="00AE6467" w:rsidP="009813FA" w14:paraId="01473EA4" w14:textId="77777777">
      <w:pPr>
        <w:pStyle w:val="pf0"/>
        <w:spacing w:before="0" w:beforeAutospacing="0" w:after="0" w:afterAutospacing="0"/>
        <w:rPr>
          <w:rStyle w:val="cf11"/>
          <w:rFonts w:ascii="Times New Roman" w:hAnsi="Times New Roman" w:cs="Times New Roman"/>
          <w:sz w:val="24"/>
          <w:szCs w:val="24"/>
        </w:rPr>
      </w:pPr>
      <w:r w:rsidRPr="008C6088">
        <w:rPr>
          <w:rStyle w:val="cf11"/>
          <w:rFonts w:ascii="Times New Roman" w:hAnsi="Times New Roman" w:cs="Times New Roman"/>
          <w:sz w:val="24"/>
          <w:szCs w:val="24"/>
        </w:rPr>
        <w:t xml:space="preserve">Information about overdose-related mortality is reported to CDC under OMB No. 0920-1128 (exp. </w:t>
      </w:r>
      <w:r w:rsidRPr="008C6088">
        <w:rPr>
          <w:rStyle w:val="cf21"/>
          <w:rFonts w:ascii="Times New Roman" w:hAnsi="Times New Roman" w:cs="Times New Roman"/>
          <w:sz w:val="24"/>
          <w:szCs w:val="24"/>
        </w:rPr>
        <w:t>2/28/2026</w:t>
      </w:r>
      <w:r w:rsidRPr="008C6088">
        <w:rPr>
          <w:rStyle w:val="cf11"/>
          <w:rFonts w:ascii="Times New Roman" w:hAnsi="Times New Roman" w:cs="Times New Roman"/>
          <w:sz w:val="24"/>
          <w:szCs w:val="24"/>
        </w:rPr>
        <w:t xml:space="preserve">), in the State Unintentional Drug Overdose Reporting System (SUDORS). This information collection allows CDC and participating jurisdictions to detect state and local community changes in unintentional and undetermined intent drug-related overdose deaths. It also collects information about risk factors for fatal drug overdose deaths that can inform the selection and targeting of </w:t>
      </w:r>
      <w:r w:rsidRPr="00AE6467">
        <w:rPr>
          <w:rStyle w:val="cf11"/>
          <w:rFonts w:ascii="Times New Roman" w:hAnsi="Times New Roman" w:cs="Times New Roman"/>
          <w:sz w:val="24"/>
          <w:szCs w:val="24"/>
        </w:rPr>
        <w:t>interventions.</w:t>
      </w:r>
    </w:p>
    <w:p w:rsidR="006E7407" w:rsidRPr="00AE6467" w:rsidP="009813FA" w14:paraId="41EC174C" w14:textId="77777777">
      <w:pPr>
        <w:pStyle w:val="pf0"/>
        <w:spacing w:before="0" w:beforeAutospacing="0" w:after="0" w:afterAutospacing="0"/>
        <w:rPr>
          <w:rStyle w:val="cf11"/>
          <w:rFonts w:ascii="Times New Roman" w:hAnsi="Times New Roman" w:cs="Times New Roman"/>
          <w:sz w:val="24"/>
          <w:szCs w:val="24"/>
        </w:rPr>
      </w:pPr>
    </w:p>
    <w:p w:rsidR="000D3852" w:rsidRPr="00AE6467" w:rsidP="009813FA" w14:paraId="1EFE5BF6" w14:textId="141BA52A">
      <w:pPr>
        <w:pStyle w:val="pf0"/>
        <w:spacing w:before="0" w:beforeAutospacing="0" w:after="0" w:afterAutospacing="0"/>
      </w:pPr>
      <w:r w:rsidRPr="00AE6467">
        <w:rPr>
          <w:rStyle w:val="cf11"/>
          <w:rFonts w:ascii="Times New Roman" w:hAnsi="Times New Roman" w:cs="Times New Roman"/>
          <w:sz w:val="24"/>
          <w:szCs w:val="24"/>
        </w:rPr>
        <w:t xml:space="preserve">Information about </w:t>
      </w:r>
      <w:r w:rsidRPr="00AE6467" w:rsidR="006F7DFF">
        <w:rPr>
          <w:rStyle w:val="cf11"/>
          <w:rFonts w:ascii="Times New Roman" w:hAnsi="Times New Roman" w:cs="Times New Roman"/>
          <w:sz w:val="24"/>
          <w:szCs w:val="24"/>
        </w:rPr>
        <w:t xml:space="preserve">linkage to care (LTC) was previously reported to CDC under OMB No. </w:t>
      </w:r>
      <w:r w:rsidRPr="00D22E1C" w:rsidR="00D22E1C">
        <w:t>0920-1283</w:t>
      </w:r>
      <w:r w:rsidRPr="00AE6467" w:rsidR="006F7DFF">
        <w:rPr>
          <w:rStyle w:val="cf11"/>
          <w:rFonts w:ascii="Times New Roman" w:hAnsi="Times New Roman" w:cs="Times New Roman"/>
          <w:sz w:val="24"/>
          <w:szCs w:val="24"/>
        </w:rPr>
        <w:t xml:space="preserve"> (exp. </w:t>
      </w:r>
      <w:r w:rsidRPr="00AE6467" w:rsidR="005E661E">
        <w:rPr>
          <w:rStyle w:val="cf11"/>
          <w:rFonts w:ascii="Times New Roman" w:hAnsi="Times New Roman" w:cs="Times New Roman"/>
          <w:sz w:val="24"/>
          <w:szCs w:val="24"/>
        </w:rPr>
        <w:t xml:space="preserve">8/31/2023) </w:t>
      </w:r>
      <w:r w:rsidR="00D30910">
        <w:rPr>
          <w:rStyle w:val="cf11"/>
          <w:rFonts w:ascii="Times New Roman" w:hAnsi="Times New Roman" w:cs="Times New Roman"/>
          <w:sz w:val="24"/>
          <w:szCs w:val="24"/>
        </w:rPr>
        <w:t xml:space="preserve">Strategy 3 </w:t>
      </w:r>
      <w:r w:rsidRPr="00D30910" w:rsidR="00D30910">
        <w:t>“Implement innovative surveillance to support NOFO interventions</w:t>
      </w:r>
      <w:r w:rsidR="00D30910">
        <w:t xml:space="preserve">.” </w:t>
      </w:r>
      <w:r w:rsidR="00D30910">
        <w:rPr>
          <w:rStyle w:val="cf11"/>
          <w:rFonts w:ascii="Times New Roman" w:hAnsi="Times New Roman" w:cs="Times New Roman"/>
          <w:sz w:val="24"/>
          <w:szCs w:val="24"/>
        </w:rPr>
        <w:t>Funded</w:t>
      </w:r>
      <w:r w:rsidRPr="00AE6467" w:rsidR="005E661E">
        <w:rPr>
          <w:rStyle w:val="cf11"/>
          <w:rFonts w:ascii="Times New Roman" w:hAnsi="Times New Roman" w:cs="Times New Roman"/>
          <w:sz w:val="24"/>
          <w:szCs w:val="24"/>
        </w:rPr>
        <w:t xml:space="preserve"> health departments </w:t>
      </w:r>
      <w:r w:rsidR="00D30910">
        <w:rPr>
          <w:rStyle w:val="cf11"/>
          <w:rFonts w:ascii="Times New Roman" w:hAnsi="Times New Roman" w:cs="Times New Roman"/>
          <w:sz w:val="24"/>
          <w:szCs w:val="24"/>
        </w:rPr>
        <w:t xml:space="preserve">for Strategy 3 </w:t>
      </w:r>
      <w:r w:rsidRPr="00AE6467" w:rsidR="005E661E">
        <w:rPr>
          <w:rStyle w:val="cf11"/>
          <w:rFonts w:ascii="Times New Roman" w:hAnsi="Times New Roman" w:cs="Times New Roman"/>
          <w:sz w:val="24"/>
          <w:szCs w:val="24"/>
        </w:rPr>
        <w:t xml:space="preserve">were required to implement linkage to care (LTC) as part of their prevention activities </w:t>
      </w:r>
      <w:r w:rsidRPr="00AE6467" w:rsidR="00C1246F">
        <w:rPr>
          <w:rStyle w:val="cf11"/>
          <w:rFonts w:ascii="Times New Roman" w:hAnsi="Times New Roman" w:cs="Times New Roman"/>
          <w:sz w:val="24"/>
          <w:szCs w:val="24"/>
        </w:rPr>
        <w:t xml:space="preserve">and were also required to select an innovative surveillance project, one of which could be tracking LTC. </w:t>
      </w:r>
      <w:r w:rsidRPr="00AE6467">
        <w:t xml:space="preserve">However, jurisdictions </w:t>
      </w:r>
      <w:r w:rsidRPr="00AE6467" w:rsidR="00AA3874">
        <w:t>were able to select their</w:t>
      </w:r>
      <w:r w:rsidRPr="00AE6467">
        <w:t xml:space="preserve"> own indicators to </w:t>
      </w:r>
      <w:r w:rsidRPr="00AE6467">
        <w:t>report, a</w:t>
      </w:r>
      <w:r w:rsidRPr="00AE6467" w:rsidR="00AA3874">
        <w:t>nd</w:t>
      </w:r>
      <w:r w:rsidRPr="00AE6467">
        <w:t xml:space="preserve"> flexibility was given to recipients with reporting requirements for innovative surveillance. Also, many recipients</w:t>
      </w:r>
      <w:r w:rsidRPr="00AE6467" w:rsidR="00AA3874">
        <w:t xml:space="preserve"> were</w:t>
      </w:r>
      <w:r w:rsidRPr="00AE6467">
        <w:t xml:space="preserve"> not conducting surveillance of their required LTC projects, which </w:t>
      </w:r>
      <w:r w:rsidRPr="00AE6467" w:rsidR="00AA3874">
        <w:t>impeded</w:t>
      </w:r>
      <w:r w:rsidRPr="00AE6467">
        <w:t xml:space="preserve"> their implementation and evaluation. </w:t>
      </w:r>
      <w:r w:rsidRPr="00375862" w:rsidR="00375862">
        <w:t>Due to an expressed interest from jurisdictions funded under Strategy 3 for more guidance on which indicators to collect and a desire for a more standardized approach, CDC developed standardized indicators to be used across all jurisdictions</w:t>
      </w:r>
      <w:r w:rsidR="008753AC">
        <w:t xml:space="preserve"> </w:t>
      </w:r>
      <w:r w:rsidRPr="00AE6467" w:rsidR="008753AC">
        <w:t>to better understand outcomes for LTC.</w:t>
      </w:r>
      <w:r w:rsidR="008753AC">
        <w:t xml:space="preserve"> A standardized</w:t>
      </w:r>
      <w:r w:rsidRPr="008753AC" w:rsidR="008753AC">
        <w:t xml:space="preserve"> approach aims to </w:t>
      </w:r>
      <w:r w:rsidRPr="00AE6467" w:rsidR="008753AC">
        <w:t>better track referral and linkage to and retention in care and to evaluate prevention activities focused on these efforts</w:t>
      </w:r>
      <w:r w:rsidR="008753AC">
        <w:t xml:space="preserve">. </w:t>
      </w:r>
      <w:r w:rsidRPr="00AE6467" w:rsidR="008B0555">
        <w:t>Expanding surveillance of linkage to and retention in care will complement prevention-focused activities and support public health agencies’ efforts to evaluate linkage to and retention in care programs.</w:t>
      </w:r>
    </w:p>
    <w:p w:rsidR="000D3852" w:rsidRPr="00AE6467" w:rsidP="009813FA" w14:paraId="5D8F5AD3" w14:textId="77777777">
      <w:pPr>
        <w:pStyle w:val="pf0"/>
        <w:spacing w:before="0" w:beforeAutospacing="0" w:after="0" w:afterAutospacing="0"/>
      </w:pPr>
    </w:p>
    <w:p w:rsidR="00955B53" w:rsidP="009813FA" w14:paraId="1B25C9C9" w14:textId="590E8643">
      <w:pPr>
        <w:pStyle w:val="pf0"/>
        <w:spacing w:before="0" w:beforeAutospacing="0" w:after="0" w:afterAutospacing="0"/>
      </w:pPr>
      <w:r w:rsidRPr="00AE6467">
        <w:t>On March 4, 2022, NCIPC staff provided OMB an overview of th</w:t>
      </w:r>
      <w:r w:rsidRPr="00AE6467" w:rsidR="00AE6467">
        <w:t>e</w:t>
      </w:r>
      <w:r w:rsidRPr="00AE6467">
        <w:t xml:space="preserve"> proposed data collection</w:t>
      </w:r>
      <w:r w:rsidRPr="00AE6467" w:rsidR="00AE6467">
        <w:t xml:space="preserve"> for linkage to and retention in </w:t>
      </w:r>
      <w:r w:rsidR="0088363B">
        <w:t>c</w:t>
      </w:r>
      <w:r w:rsidRPr="00AE6467" w:rsidR="00AE6467">
        <w:t>are</w:t>
      </w:r>
      <w:r w:rsidRPr="00AE6467">
        <w:t xml:space="preserve">. Staff </w:t>
      </w:r>
      <w:r w:rsidR="00B45A22">
        <w:t>gave a presentation</w:t>
      </w:r>
      <w:r w:rsidR="006A1A94">
        <w:t xml:space="preserve"> which included </w:t>
      </w:r>
      <w:r w:rsidR="007A33F7">
        <w:t xml:space="preserve">background on </w:t>
      </w:r>
      <w:r w:rsidR="00BF734B">
        <w:t xml:space="preserve">the </w:t>
      </w:r>
      <w:r w:rsidR="009572A2">
        <w:t>current</w:t>
      </w:r>
      <w:r w:rsidR="007A33F7">
        <w:t xml:space="preserve"> </w:t>
      </w:r>
      <w:r w:rsidR="00BF734B">
        <w:t xml:space="preserve">state of </w:t>
      </w:r>
      <w:r w:rsidR="007A33F7">
        <w:t xml:space="preserve">linkage to care </w:t>
      </w:r>
      <w:r w:rsidR="00BF734B">
        <w:t>surveillance efforts</w:t>
      </w:r>
      <w:r w:rsidR="007A33F7">
        <w:t xml:space="preserve">, </w:t>
      </w:r>
      <w:r w:rsidR="00BF734B">
        <w:t xml:space="preserve">an overview of </w:t>
      </w:r>
      <w:r w:rsidRPr="00AE6467">
        <w:t xml:space="preserve">the OD2A: LOCAL </w:t>
      </w:r>
      <w:r w:rsidR="00BF734B">
        <w:t>cooperative agreement</w:t>
      </w:r>
      <w:r w:rsidR="0013296E">
        <w:t>,</w:t>
      </w:r>
      <w:r w:rsidR="0094573B">
        <w:t xml:space="preserve"> goals of the proposed data collection,</w:t>
      </w:r>
      <w:r w:rsidR="0013296E">
        <w:t xml:space="preserve"> </w:t>
      </w:r>
      <w:r w:rsidRPr="00AE6467">
        <w:t>and the preliminary reporting schedule</w:t>
      </w:r>
      <w:r w:rsidR="0088363B">
        <w:t>.</w:t>
      </w:r>
      <w:r w:rsidRPr="00AE6467">
        <w:t xml:space="preserve"> </w:t>
      </w:r>
      <w:r w:rsidR="008A1F9B">
        <w:t xml:space="preserve">OMB provided guidance on the timeline required for </w:t>
      </w:r>
      <w:r w:rsidR="00147AFF">
        <w:t>each step in the OMB approval process, including the 60-day and 30-day FRN</w:t>
      </w:r>
      <w:r w:rsidR="00ED0990">
        <w:t xml:space="preserve">. </w:t>
      </w:r>
      <w:r w:rsidR="00CA5BDD">
        <w:t>NCIPC s</w:t>
      </w:r>
      <w:r w:rsidR="00ED0990">
        <w:t xml:space="preserve">taff </w:t>
      </w:r>
      <w:r w:rsidR="00761CD0">
        <w:t xml:space="preserve">mentioned that the data collection would include some optional data fields, and asked </w:t>
      </w:r>
      <w:r w:rsidR="00D116C0">
        <w:t xml:space="preserve">if the </w:t>
      </w:r>
      <w:r w:rsidR="00DE008A">
        <w:t xml:space="preserve">optional fields </w:t>
      </w:r>
      <w:r w:rsidR="00D116C0">
        <w:t xml:space="preserve">should be included </w:t>
      </w:r>
      <w:r w:rsidR="00DE008A">
        <w:t>in the OMB package</w:t>
      </w:r>
      <w:r w:rsidR="00D116C0">
        <w:t>.</w:t>
      </w:r>
      <w:r w:rsidR="00DE008A">
        <w:t xml:space="preserve"> OMB staff advised that </w:t>
      </w:r>
      <w:r w:rsidR="003C1AF8">
        <w:t xml:space="preserve">the package </w:t>
      </w:r>
      <w:r w:rsidR="00D116C0">
        <w:t xml:space="preserve">should </w:t>
      </w:r>
      <w:r w:rsidR="003C1AF8">
        <w:t xml:space="preserve">include </w:t>
      </w:r>
      <w:r w:rsidR="00D14E77">
        <w:t>both required and optional fields</w:t>
      </w:r>
      <w:r w:rsidR="00D116C0">
        <w:t>,</w:t>
      </w:r>
      <w:r w:rsidR="00B85717">
        <w:t xml:space="preserve"> with </w:t>
      </w:r>
      <w:r w:rsidR="00566951">
        <w:t xml:space="preserve">the instrument </w:t>
      </w:r>
      <w:r w:rsidR="00B85717">
        <w:t>notat</w:t>
      </w:r>
      <w:r w:rsidR="00566951">
        <w:t>ed to</w:t>
      </w:r>
      <w:r w:rsidR="00B85717">
        <w:t xml:space="preserve"> indicat</w:t>
      </w:r>
      <w:r w:rsidR="00566951">
        <w:t>e</w:t>
      </w:r>
      <w:r w:rsidR="00B85717">
        <w:t xml:space="preserve"> which fields are optional</w:t>
      </w:r>
      <w:r w:rsidR="00D14E77">
        <w:t>.</w:t>
      </w:r>
      <w:r w:rsidR="00D34CE4">
        <w:t xml:space="preserve"> Given that OD2A: LOCAL is a 5-year cooperative agreement, </w:t>
      </w:r>
      <w:r w:rsidR="00D32F3B">
        <w:t xml:space="preserve">OMB advised NCIPC staff that they would need to submit a revision at </w:t>
      </w:r>
      <w:r w:rsidR="001D1A95">
        <w:t>least every 3 years.</w:t>
      </w:r>
      <w:r w:rsidR="000B242A">
        <w:t xml:space="preserve"> </w:t>
      </w:r>
      <w:r w:rsidR="009E4B22">
        <w:t>OMB staff also stated that the same OMB control number could be used for future funding that collected linkage to care surveillance data</w:t>
      </w:r>
      <w:r w:rsidR="00451E2F">
        <w:t>; in other words,</w:t>
      </w:r>
      <w:r w:rsidR="009E4B22">
        <w:t xml:space="preserve"> </w:t>
      </w:r>
      <w:r w:rsidR="00451E2F">
        <w:t xml:space="preserve">the </w:t>
      </w:r>
      <w:r w:rsidR="009E4B22">
        <w:t xml:space="preserve">OMB </w:t>
      </w:r>
      <w:r w:rsidR="00451E2F">
        <w:t xml:space="preserve">approval </w:t>
      </w:r>
      <w:r w:rsidR="009E4B22">
        <w:t>follows the data collection activity</w:t>
      </w:r>
      <w:r w:rsidR="00451E2F">
        <w:t>,</w:t>
      </w:r>
      <w:r w:rsidR="009E4B22">
        <w:t xml:space="preserve"> not necessarily the funding source.</w:t>
      </w:r>
    </w:p>
    <w:bookmarkEnd w:id="15"/>
    <w:p w:rsidR="00732EE6" w:rsidRPr="00691454" w:rsidP="00972DEF" w14:paraId="5E0D355E" w14:textId="77777777">
      <w:pPr>
        <w:autoSpaceDE w:val="0"/>
        <w:autoSpaceDN w:val="0"/>
        <w:adjustRightInd w:val="0"/>
      </w:pPr>
    </w:p>
    <w:p w:rsidR="00972DEF" w:rsidRPr="00722FF6" w:rsidP="00722FF6" w14:paraId="04D8117C" w14:textId="77777777">
      <w:pPr>
        <w:pStyle w:val="Heading1"/>
        <w:tabs>
          <w:tab w:val="left" w:pos="540"/>
          <w:tab w:val="clear" w:pos="1152"/>
        </w:tabs>
        <w:spacing w:after="0" w:line="240" w:lineRule="auto"/>
        <w:jc w:val="left"/>
        <w:rPr>
          <w:sz w:val="24"/>
          <w:szCs w:val="24"/>
        </w:rPr>
      </w:pPr>
      <w:bookmarkStart w:id="16" w:name="_Toc145659490"/>
      <w:bookmarkStart w:id="17" w:name="_Toc150420018"/>
      <w:r w:rsidRPr="00722FF6">
        <w:rPr>
          <w:sz w:val="24"/>
          <w:szCs w:val="24"/>
        </w:rPr>
        <w:t xml:space="preserve">A.5. </w:t>
      </w:r>
      <w:r w:rsidRPr="00722FF6">
        <w:rPr>
          <w:sz w:val="24"/>
          <w:szCs w:val="24"/>
        </w:rPr>
        <w:tab/>
        <w:t>Impact on Small Businesses or Other Small Entities</w:t>
      </w:r>
      <w:bookmarkEnd w:id="16"/>
      <w:bookmarkEnd w:id="17"/>
      <w:r w:rsidRPr="00722FF6">
        <w:rPr>
          <w:sz w:val="24"/>
          <w:szCs w:val="24"/>
        </w:rPr>
        <w:t xml:space="preserve"> </w:t>
      </w:r>
    </w:p>
    <w:p w:rsidR="00972DEF" w:rsidRPr="00691454" w:rsidP="00972DEF" w14:paraId="04D8117D" w14:textId="77777777">
      <w:pPr>
        <w:autoSpaceDE w:val="0"/>
        <w:autoSpaceDN w:val="0"/>
        <w:adjustRightInd w:val="0"/>
        <w:rPr>
          <w:b/>
          <w:bCs/>
        </w:rPr>
      </w:pPr>
    </w:p>
    <w:p w:rsidR="0027700E" w:rsidP="00972DEF" w14:paraId="04D8117E" w14:textId="2F90F8C6">
      <w:pPr>
        <w:autoSpaceDE w:val="0"/>
        <w:autoSpaceDN w:val="0"/>
        <w:adjustRightInd w:val="0"/>
      </w:pPr>
      <w:r w:rsidRPr="00691454">
        <w:t>No small businesses will be involved in this data collection.</w:t>
      </w:r>
    </w:p>
    <w:p w:rsidR="006766E2" w:rsidRPr="00691454" w:rsidP="00972DEF" w14:paraId="67A4839E" w14:textId="77777777">
      <w:pPr>
        <w:autoSpaceDE w:val="0"/>
        <w:autoSpaceDN w:val="0"/>
        <w:adjustRightInd w:val="0"/>
      </w:pPr>
    </w:p>
    <w:p w:rsidR="00972DEF" w:rsidP="00722FF6" w14:paraId="04D81180" w14:textId="60D504EB">
      <w:pPr>
        <w:pStyle w:val="Heading1"/>
        <w:tabs>
          <w:tab w:val="left" w:pos="540"/>
          <w:tab w:val="clear" w:pos="1152"/>
        </w:tabs>
        <w:spacing w:after="0" w:line="240" w:lineRule="auto"/>
        <w:jc w:val="left"/>
        <w:rPr>
          <w:sz w:val="24"/>
          <w:szCs w:val="24"/>
        </w:rPr>
      </w:pPr>
      <w:bookmarkStart w:id="18" w:name="_Toc145659491"/>
      <w:bookmarkStart w:id="19" w:name="_Toc150420019"/>
      <w:r w:rsidRPr="00722FF6">
        <w:rPr>
          <w:sz w:val="24"/>
          <w:szCs w:val="24"/>
        </w:rPr>
        <w:t xml:space="preserve">A.6. </w:t>
      </w:r>
      <w:r w:rsidRPr="00722FF6">
        <w:rPr>
          <w:sz w:val="24"/>
          <w:szCs w:val="24"/>
        </w:rPr>
        <w:tab/>
        <w:t>Consequences of Collecting the Information Less Frequently</w:t>
      </w:r>
      <w:bookmarkEnd w:id="18"/>
      <w:bookmarkEnd w:id="19"/>
      <w:r w:rsidRPr="00722FF6">
        <w:rPr>
          <w:sz w:val="24"/>
          <w:szCs w:val="24"/>
        </w:rPr>
        <w:t xml:space="preserve"> </w:t>
      </w:r>
    </w:p>
    <w:p w:rsidR="00AB2871" w:rsidP="00E51F60" w14:paraId="3034BB4D" w14:textId="77777777">
      <w:pPr>
        <w:pStyle w:val="Normal0"/>
        <w:rPr>
          <w:rFonts w:ascii="Times New Roman" w:eastAsia="Times New Roman" w:hAnsi="Times New Roman" w:cs="Times New Roman"/>
          <w:sz w:val="24"/>
          <w:szCs w:val="24"/>
        </w:rPr>
      </w:pPr>
    </w:p>
    <w:p w:rsidR="00DD7042" w:rsidP="00E51F60" w14:paraId="0603DC94" w14:textId="4401DBE1">
      <w:pPr>
        <w:pStyle w:val="Normal0"/>
        <w:rPr>
          <w:rFonts w:ascii="Times New Roman" w:eastAsia="Times New Roman" w:hAnsi="Times New Roman" w:cs="Times New Roman"/>
          <w:sz w:val="24"/>
          <w:szCs w:val="24"/>
        </w:rPr>
      </w:pPr>
      <w:r w:rsidRPr="00F52E54">
        <w:rPr>
          <w:rFonts w:ascii="Times New Roman" w:eastAsia="Times New Roman" w:hAnsi="Times New Roman" w:cs="Times New Roman"/>
          <w:sz w:val="24"/>
          <w:szCs w:val="24"/>
        </w:rPr>
        <w:t xml:space="preserve">While overdose death rates have increased across </w:t>
      </w:r>
      <w:r w:rsidR="00CE588C">
        <w:rPr>
          <w:rFonts w:ascii="Times New Roman" w:eastAsia="Times New Roman" w:hAnsi="Times New Roman" w:cs="Times New Roman"/>
          <w:sz w:val="24"/>
          <w:szCs w:val="24"/>
        </w:rPr>
        <w:t>demographics in the</w:t>
      </w:r>
      <w:r w:rsidRPr="00F52E54" w:rsidR="00CE588C">
        <w:rPr>
          <w:rFonts w:ascii="Times New Roman" w:eastAsia="Times New Roman" w:hAnsi="Times New Roman" w:cs="Times New Roman"/>
          <w:sz w:val="24"/>
          <w:szCs w:val="24"/>
        </w:rPr>
        <w:t xml:space="preserve"> </w:t>
      </w:r>
      <w:r w:rsidRPr="00F52E54">
        <w:rPr>
          <w:rFonts w:ascii="Times New Roman" w:eastAsia="Times New Roman" w:hAnsi="Times New Roman" w:cs="Times New Roman"/>
          <w:sz w:val="24"/>
          <w:szCs w:val="24"/>
        </w:rPr>
        <w:t>U.S., recent increases</w:t>
      </w:r>
      <w:r w:rsidR="003E3CFB">
        <w:rPr>
          <w:rFonts w:ascii="Times New Roman" w:eastAsia="Times New Roman" w:hAnsi="Times New Roman" w:cs="Times New Roman"/>
          <w:sz w:val="24"/>
          <w:szCs w:val="24"/>
        </w:rPr>
        <w:t xml:space="preserve"> (2020)</w:t>
      </w:r>
      <w:r w:rsidRPr="00F52E54">
        <w:rPr>
          <w:rFonts w:ascii="Times New Roman" w:eastAsia="Times New Roman" w:hAnsi="Times New Roman" w:cs="Times New Roman"/>
          <w:sz w:val="24"/>
          <w:szCs w:val="24"/>
        </w:rPr>
        <w:t xml:space="preserve"> were highest among certain racial/ethnic minority populations, including non-Hispanic Black (44%) and Native Hawaiian/Other Pacific Islander persons (</w:t>
      </w:r>
      <w:r w:rsidR="003E3CFB">
        <w:rPr>
          <w:rFonts w:ascii="Times New Roman" w:eastAsia="Times New Roman" w:hAnsi="Times New Roman" w:cs="Times New Roman"/>
          <w:sz w:val="24"/>
          <w:szCs w:val="24"/>
        </w:rPr>
        <w:t>39</w:t>
      </w:r>
      <w:r w:rsidRPr="00F52E54">
        <w:rPr>
          <w:rFonts w:ascii="Times New Roman" w:eastAsia="Times New Roman" w:hAnsi="Times New Roman" w:cs="Times New Roman"/>
          <w:sz w:val="24"/>
          <w:szCs w:val="24"/>
        </w:rPr>
        <w:t>%).</w:t>
      </w:r>
      <w:r w:rsidRPr="00923A5F" w:rsidR="003E3CFB">
        <w:rPr>
          <w:rFonts w:ascii="Times New Roman" w:eastAsia="Times New Roman" w:hAnsi="Times New Roman" w:cs="Times New Roman"/>
          <w:sz w:val="24"/>
          <w:szCs w:val="24"/>
          <w:vertAlign w:val="superscript"/>
        </w:rPr>
        <w:t>1</w:t>
      </w:r>
      <w:r w:rsidRPr="00F52E54">
        <w:rPr>
          <w:rFonts w:ascii="Times New Roman" w:eastAsia="Times New Roman" w:hAnsi="Times New Roman" w:cs="Times New Roman"/>
          <w:sz w:val="24"/>
          <w:szCs w:val="24"/>
        </w:rPr>
        <w:t xml:space="preserve"> Systemic racism and its impacts on social determinants of health have resulted in disparities in access to, linkage to, and retention in </w:t>
      </w:r>
      <w:r w:rsidR="00DC28CD">
        <w:rPr>
          <w:rFonts w:ascii="Times New Roman" w:eastAsia="Times New Roman" w:hAnsi="Times New Roman" w:cs="Times New Roman"/>
          <w:sz w:val="24"/>
          <w:szCs w:val="24"/>
        </w:rPr>
        <w:t>care</w:t>
      </w:r>
      <w:r w:rsidRPr="00F52E54">
        <w:rPr>
          <w:rFonts w:ascii="Times New Roman" w:eastAsia="Times New Roman" w:hAnsi="Times New Roman" w:cs="Times New Roman"/>
          <w:sz w:val="24"/>
          <w:szCs w:val="24"/>
        </w:rPr>
        <w:t xml:space="preserve"> for substance use disorders, compounding risk in certain populations. </w:t>
      </w:r>
      <w:r w:rsidR="00FA1E58">
        <w:rPr>
          <w:rFonts w:ascii="Times New Roman" w:eastAsia="Times New Roman" w:hAnsi="Times New Roman" w:cs="Times New Roman"/>
          <w:sz w:val="24"/>
          <w:szCs w:val="24"/>
        </w:rPr>
        <w:t>A better understanding of</w:t>
      </w:r>
      <w:r w:rsidR="00D11ADC">
        <w:rPr>
          <w:rFonts w:ascii="Times New Roman" w:eastAsia="Times New Roman" w:hAnsi="Times New Roman" w:cs="Times New Roman"/>
          <w:sz w:val="24"/>
          <w:szCs w:val="24"/>
        </w:rPr>
        <w:t xml:space="preserve"> linkage to and retention in care among priority populations</w:t>
      </w:r>
      <w:r w:rsidR="00BC7291">
        <w:rPr>
          <w:rFonts w:ascii="Times New Roman" w:eastAsia="Times New Roman" w:hAnsi="Times New Roman" w:cs="Times New Roman"/>
          <w:sz w:val="24"/>
          <w:szCs w:val="24"/>
        </w:rPr>
        <w:t xml:space="preserve"> </w:t>
      </w:r>
      <w:r w:rsidRPr="00BC7291" w:rsidR="00BC7291">
        <w:rPr>
          <w:rFonts w:ascii="Times New Roman" w:eastAsia="Times New Roman" w:hAnsi="Times New Roman" w:cs="Times New Roman"/>
          <w:sz w:val="24"/>
          <w:szCs w:val="24"/>
        </w:rPr>
        <w:t>(e.g., persons at increased risk of overdose)</w:t>
      </w:r>
      <w:r w:rsidR="00BC7291">
        <w:rPr>
          <w:rFonts w:ascii="Times New Roman" w:eastAsia="Times New Roman" w:hAnsi="Times New Roman" w:cs="Times New Roman"/>
          <w:sz w:val="24"/>
          <w:szCs w:val="24"/>
        </w:rPr>
        <w:t xml:space="preserve"> is needed to address disparities in </w:t>
      </w:r>
      <w:r w:rsidR="00DC28CD">
        <w:rPr>
          <w:rFonts w:ascii="Times New Roman" w:eastAsia="Times New Roman" w:hAnsi="Times New Roman" w:cs="Times New Roman"/>
          <w:sz w:val="24"/>
          <w:szCs w:val="24"/>
        </w:rPr>
        <w:t>access to and outcomes for linkage to and retention in care.</w:t>
      </w:r>
    </w:p>
    <w:p w:rsidR="00E51F60" w:rsidRPr="00F52E54" w:rsidP="00E51F60" w14:paraId="31A51759" w14:textId="77777777">
      <w:pPr>
        <w:pStyle w:val="Normal0"/>
        <w:rPr>
          <w:rFonts w:ascii="Times New Roman" w:eastAsia="Times New Roman" w:hAnsi="Times New Roman" w:cs="Times New Roman"/>
          <w:sz w:val="24"/>
          <w:szCs w:val="24"/>
        </w:rPr>
      </w:pPr>
    </w:p>
    <w:p w:rsidR="00E51F60" w:rsidRPr="00F52E54" w:rsidP="00E51F60" w14:paraId="257D83FB" w14:textId="26DBBEB7">
      <w:r w:rsidRPr="00F52E54">
        <w:t xml:space="preserve">CDC’s Overdose Data to Action: Limiting Overdose through Collaborative Actions in Localities (OD2A: LOCAL), Component C is the first time a surveillance system </w:t>
      </w:r>
      <w:r w:rsidR="006E5802">
        <w:t>will be</w:t>
      </w:r>
      <w:r w:rsidRPr="00F52E54" w:rsidR="006E5802">
        <w:t xml:space="preserve"> </w:t>
      </w:r>
      <w:r w:rsidRPr="00F52E54">
        <w:t xml:space="preserve">established to measure linkage to and retention in care for </w:t>
      </w:r>
      <w:r w:rsidR="006766E2">
        <w:t>SUD</w:t>
      </w:r>
      <w:r w:rsidR="005D1D00">
        <w:t xml:space="preserve"> among</w:t>
      </w:r>
      <w:r w:rsidR="00DC28CD">
        <w:t xml:space="preserve"> individuals at increased risk of overdose</w:t>
      </w:r>
      <w:r w:rsidRPr="00F52E54">
        <w:t xml:space="preserve">. The first year of funding for Component C, September 2023 – September 2024, is a planning year. During the planning year, CDC and a </w:t>
      </w:r>
      <w:r w:rsidR="001850D8">
        <w:t>sub</w:t>
      </w:r>
      <w:r w:rsidRPr="00F52E54">
        <w:t>contractor will work with recipients to refine Component C program requirements and iteratively address challenges</w:t>
      </w:r>
      <w:r w:rsidR="005D1D00">
        <w:t xml:space="preserve"> and </w:t>
      </w:r>
      <w:r w:rsidR="006241FA">
        <w:t>opportunities</w:t>
      </w:r>
      <w:r w:rsidRPr="00F52E54">
        <w:t xml:space="preserve"> </w:t>
      </w:r>
      <w:r w:rsidR="006241FA">
        <w:t>so that</w:t>
      </w:r>
      <w:r w:rsidRPr="00F52E54">
        <w:t xml:space="preserve"> data collection </w:t>
      </w:r>
      <w:r w:rsidR="006241FA">
        <w:t xml:space="preserve">can begin </w:t>
      </w:r>
      <w:r w:rsidR="00D21ADD">
        <w:t>by</w:t>
      </w:r>
      <w:r w:rsidRPr="00F52E54" w:rsidR="00D21ADD">
        <w:t xml:space="preserve"> </w:t>
      </w:r>
      <w:r w:rsidRPr="00F52E54">
        <w:t xml:space="preserve">September 2024. </w:t>
      </w:r>
      <w:r w:rsidR="00D60965">
        <w:t>Aggregate data</w:t>
      </w:r>
      <w:r w:rsidRPr="00D60965" w:rsidR="00D60965">
        <w:t xml:space="preserve"> </w:t>
      </w:r>
      <w:r w:rsidR="00D60965">
        <w:t xml:space="preserve">for standardized LTC indicators will be </w:t>
      </w:r>
      <w:r w:rsidRPr="00D60965" w:rsidR="00D60965">
        <w:t>submitted to CDC every six months, and each data submission should include two quarters of aggregate data.</w:t>
      </w:r>
    </w:p>
    <w:p w:rsidR="00E51F60" w:rsidP="00E51F60" w14:paraId="5B3CF512" w14:textId="77777777">
      <w:pPr>
        <w:pStyle w:val="Normal0"/>
        <w:rPr>
          <w:rFonts w:ascii="Times New Roman" w:hAnsi="Times New Roman" w:cs="Times New Roman"/>
          <w:sz w:val="24"/>
          <w:szCs w:val="24"/>
        </w:rPr>
      </w:pPr>
    </w:p>
    <w:p w:rsidR="00CC2183" w:rsidP="00E51F60" w14:paraId="48C81213" w14:textId="77777777">
      <w:pPr>
        <w:pStyle w:val="Normal0"/>
        <w:rPr>
          <w:rFonts w:ascii="Times New Roman" w:eastAsia="Times New Roman" w:hAnsi="Times New Roman" w:cs="Times New Roman"/>
          <w:color w:val="auto"/>
          <w:sz w:val="24"/>
          <w:szCs w:val="24"/>
        </w:rPr>
      </w:pPr>
      <w:r w:rsidRPr="003E3F7A">
        <w:rPr>
          <w:rFonts w:ascii="Times New Roman" w:eastAsia="Times New Roman" w:hAnsi="Times New Roman" w:cs="Times New Roman"/>
          <w:color w:val="auto"/>
          <w:sz w:val="24"/>
          <w:szCs w:val="24"/>
        </w:rPr>
        <w:t xml:space="preserve">If Component C </w:t>
      </w:r>
      <w:r w:rsidRPr="00F31231">
        <w:rPr>
          <w:rFonts w:ascii="Times New Roman" w:eastAsia="Times New Roman" w:hAnsi="Times New Roman" w:cs="Times New Roman"/>
          <w:color w:val="auto"/>
          <w:sz w:val="24"/>
          <w:szCs w:val="24"/>
        </w:rPr>
        <w:t xml:space="preserve">information is not collected, there will be a gap in local level surveillance data </w:t>
      </w:r>
      <w:r w:rsidRPr="00F31231" w:rsidR="00D63337">
        <w:rPr>
          <w:rFonts w:ascii="Times New Roman" w:eastAsia="Times New Roman" w:hAnsi="Times New Roman" w:cs="Times New Roman"/>
          <w:color w:val="auto"/>
          <w:sz w:val="24"/>
          <w:szCs w:val="24"/>
        </w:rPr>
        <w:t>about</w:t>
      </w:r>
      <w:r w:rsidRPr="00F31231" w:rsidR="00F31231">
        <w:rPr>
          <w:rFonts w:ascii="Times New Roman" w:eastAsia="Times New Roman" w:hAnsi="Times New Roman" w:cs="Times New Roman"/>
          <w:color w:val="auto"/>
          <w:sz w:val="24"/>
          <w:szCs w:val="24"/>
        </w:rPr>
        <w:t xml:space="preserve"> the extent to which </w:t>
      </w:r>
      <w:r w:rsidRPr="00F31231" w:rsidR="00D63337">
        <w:rPr>
          <w:rFonts w:ascii="Times New Roman" w:eastAsia="Times New Roman" w:hAnsi="Times New Roman" w:cs="Times New Roman"/>
          <w:color w:val="auto"/>
          <w:sz w:val="24"/>
          <w:szCs w:val="24"/>
        </w:rPr>
        <w:t>individuals at risk of overdose</w:t>
      </w:r>
      <w:r w:rsidRPr="009902D7" w:rsidR="00F31231">
        <w:rPr>
          <w:rFonts w:ascii="Times New Roman" w:eastAsia="Times New Roman" w:hAnsi="Times New Roman" w:cs="Times New Roman"/>
          <w:color w:val="auto"/>
          <w:sz w:val="24"/>
          <w:szCs w:val="24"/>
        </w:rPr>
        <w:t xml:space="preserve"> are linked</w:t>
      </w:r>
      <w:r w:rsidRPr="00F31231" w:rsidR="00D63337">
        <w:rPr>
          <w:rFonts w:ascii="Times New Roman" w:eastAsia="Times New Roman" w:hAnsi="Times New Roman" w:cs="Times New Roman"/>
          <w:color w:val="auto"/>
          <w:sz w:val="24"/>
          <w:szCs w:val="24"/>
        </w:rPr>
        <w:t xml:space="preserve"> to evidence-based treatment, services, and support</w:t>
      </w:r>
      <w:r w:rsidRPr="009902D7" w:rsidR="00F31231">
        <w:rPr>
          <w:rFonts w:ascii="Times New Roman" w:eastAsia="Times New Roman" w:hAnsi="Times New Roman" w:cs="Times New Roman"/>
          <w:color w:val="auto"/>
          <w:sz w:val="24"/>
          <w:szCs w:val="24"/>
        </w:rPr>
        <w:t>s</w:t>
      </w:r>
      <w:r w:rsidRPr="00F31231" w:rsidR="00D63337">
        <w:rPr>
          <w:rFonts w:ascii="Times New Roman" w:eastAsia="Times New Roman" w:hAnsi="Times New Roman" w:cs="Times New Roman"/>
          <w:color w:val="auto"/>
          <w:sz w:val="24"/>
          <w:szCs w:val="24"/>
        </w:rPr>
        <w:t xml:space="preserve"> </w:t>
      </w:r>
      <w:r w:rsidRPr="009902D7" w:rsidR="00F31231">
        <w:rPr>
          <w:rFonts w:ascii="Times New Roman" w:eastAsia="Times New Roman" w:hAnsi="Times New Roman" w:cs="Times New Roman"/>
          <w:color w:val="auto"/>
          <w:sz w:val="24"/>
          <w:szCs w:val="24"/>
        </w:rPr>
        <w:t>that</w:t>
      </w:r>
      <w:r w:rsidRPr="00F31231" w:rsidR="00D63337">
        <w:rPr>
          <w:rFonts w:ascii="Times New Roman" w:eastAsia="Times New Roman" w:hAnsi="Times New Roman" w:cs="Times New Roman"/>
          <w:color w:val="auto"/>
          <w:sz w:val="24"/>
          <w:szCs w:val="24"/>
        </w:rPr>
        <w:t xml:space="preserve"> </w:t>
      </w:r>
      <w:r w:rsidRPr="005575D2" w:rsidR="00D63337">
        <w:rPr>
          <w:rFonts w:ascii="Times New Roman" w:eastAsia="Times New Roman" w:hAnsi="Times New Roman" w:cs="Times New Roman"/>
          <w:color w:val="auto"/>
          <w:sz w:val="24"/>
          <w:szCs w:val="24"/>
        </w:rPr>
        <w:t xml:space="preserve">help reduce future overdoses. </w:t>
      </w:r>
      <w:r w:rsidRPr="005575D2" w:rsidR="005575D2">
        <w:rPr>
          <w:rFonts w:ascii="Times New Roman" w:eastAsia="Times New Roman" w:hAnsi="Times New Roman" w:cs="Times New Roman"/>
          <w:color w:val="auto"/>
          <w:sz w:val="24"/>
          <w:szCs w:val="24"/>
        </w:rPr>
        <w:t xml:space="preserve">This will hinder the ability of both funded jurisdictions and CDC </w:t>
      </w:r>
      <w:r w:rsidRPr="005575D2" w:rsidR="00B82EFB">
        <w:rPr>
          <w:rFonts w:ascii="Times New Roman" w:eastAsia="Times New Roman" w:hAnsi="Times New Roman" w:cs="Times New Roman"/>
          <w:color w:val="auto"/>
          <w:sz w:val="24"/>
          <w:szCs w:val="24"/>
        </w:rPr>
        <w:t xml:space="preserve">to identify emerging challenges, </w:t>
      </w:r>
      <w:r w:rsidRPr="00CC2183" w:rsidR="00B82EFB">
        <w:rPr>
          <w:rFonts w:ascii="Times New Roman" w:eastAsia="Times New Roman" w:hAnsi="Times New Roman" w:cs="Times New Roman"/>
          <w:color w:val="auto"/>
          <w:sz w:val="24"/>
          <w:szCs w:val="24"/>
        </w:rPr>
        <w:t xml:space="preserve">assess the impact of interventions, and make timely adjustments to </w:t>
      </w:r>
      <w:r w:rsidRPr="00CC2183" w:rsidR="005575D2">
        <w:rPr>
          <w:rFonts w:ascii="Times New Roman" w:eastAsia="Times New Roman" w:hAnsi="Times New Roman" w:cs="Times New Roman"/>
          <w:color w:val="auto"/>
          <w:sz w:val="24"/>
          <w:szCs w:val="24"/>
        </w:rPr>
        <w:t>linkage to care strategies and programs</w:t>
      </w:r>
      <w:r w:rsidRPr="00CC2183" w:rsidR="00B82EFB">
        <w:rPr>
          <w:rFonts w:ascii="Times New Roman" w:eastAsia="Times New Roman" w:hAnsi="Times New Roman" w:cs="Times New Roman"/>
          <w:color w:val="auto"/>
          <w:sz w:val="24"/>
          <w:szCs w:val="24"/>
        </w:rPr>
        <w:t>.</w:t>
      </w:r>
      <w:r w:rsidRPr="00CC2183" w:rsidR="005575D2">
        <w:rPr>
          <w:rFonts w:ascii="Times New Roman" w:eastAsia="Times New Roman" w:hAnsi="Times New Roman" w:cs="Times New Roman"/>
          <w:color w:val="auto"/>
          <w:sz w:val="24"/>
          <w:szCs w:val="24"/>
        </w:rPr>
        <w:t xml:space="preserve"> </w:t>
      </w:r>
      <w:r w:rsidRPr="00CC2183" w:rsidR="00B82EFB">
        <w:rPr>
          <w:rFonts w:ascii="Times New Roman" w:eastAsia="Times New Roman" w:hAnsi="Times New Roman" w:cs="Times New Roman"/>
          <w:color w:val="auto"/>
          <w:sz w:val="24"/>
          <w:szCs w:val="24"/>
        </w:rPr>
        <w:t>Furthermore, without data collection, it becomes challenging to measure the effectiveness of efforts to connect individuals at risk of overdose to evidence-based treatment</w:t>
      </w:r>
      <w:r w:rsidRPr="009902D7" w:rsidR="005575D2">
        <w:rPr>
          <w:rFonts w:ascii="Times New Roman" w:eastAsia="Times New Roman" w:hAnsi="Times New Roman" w:cs="Times New Roman"/>
          <w:color w:val="auto"/>
          <w:sz w:val="24"/>
          <w:szCs w:val="24"/>
        </w:rPr>
        <w:t xml:space="preserve">, which is </w:t>
      </w:r>
      <w:r w:rsidRPr="009902D7" w:rsidR="00226C50">
        <w:rPr>
          <w:rFonts w:ascii="Times New Roman" w:eastAsia="Times New Roman" w:hAnsi="Times New Roman" w:cs="Times New Roman"/>
          <w:color w:val="auto"/>
          <w:sz w:val="24"/>
          <w:szCs w:val="24"/>
        </w:rPr>
        <w:t>a crucial strategy for overdose prevention</w:t>
      </w:r>
      <w:r w:rsidRPr="00CC2183" w:rsidR="00B82EFB">
        <w:rPr>
          <w:rFonts w:ascii="Times New Roman" w:eastAsia="Times New Roman" w:hAnsi="Times New Roman" w:cs="Times New Roman"/>
          <w:color w:val="auto"/>
          <w:sz w:val="24"/>
          <w:szCs w:val="24"/>
        </w:rPr>
        <w:t xml:space="preserve">. This, in turn, limits our ability to </w:t>
      </w:r>
      <w:r w:rsidRPr="009902D7">
        <w:rPr>
          <w:rFonts w:ascii="Times New Roman" w:eastAsia="Times New Roman" w:hAnsi="Times New Roman" w:cs="Times New Roman"/>
          <w:color w:val="auto"/>
          <w:sz w:val="24"/>
          <w:szCs w:val="24"/>
        </w:rPr>
        <w:t>identify and investigate barriers to treatment and identify other needed program resources for individuals lost to follow-up along the SUD CoC.</w:t>
      </w:r>
      <w:r w:rsidRPr="00CC2183">
        <w:rPr>
          <w:rFonts w:ascii="Times New Roman" w:eastAsia="Times New Roman" w:hAnsi="Times New Roman" w:cs="Times New Roman"/>
          <w:color w:val="auto"/>
          <w:sz w:val="24"/>
          <w:szCs w:val="24"/>
        </w:rPr>
        <w:t xml:space="preserve"> </w:t>
      </w:r>
    </w:p>
    <w:p w:rsidR="00CC2183" w:rsidP="00E51F60" w14:paraId="15E4CEB0" w14:textId="77777777">
      <w:pPr>
        <w:pStyle w:val="Normal0"/>
        <w:rPr>
          <w:rFonts w:ascii="Times New Roman" w:eastAsia="Times New Roman" w:hAnsi="Times New Roman" w:cs="Times New Roman"/>
          <w:color w:val="auto"/>
          <w:sz w:val="24"/>
          <w:szCs w:val="24"/>
        </w:rPr>
      </w:pPr>
    </w:p>
    <w:p w:rsidR="00E51F60" w:rsidP="00E51F60" w14:paraId="625905B8" w14:textId="1309D013">
      <w:pPr>
        <w:pStyle w:val="Normal0"/>
        <w:rPr>
          <w:rFonts w:ascii="Times New Roman" w:eastAsia="Times New Roman" w:hAnsi="Times New Roman" w:cs="Times New Roman"/>
          <w:color w:val="auto"/>
          <w:sz w:val="24"/>
          <w:szCs w:val="24"/>
        </w:rPr>
      </w:pPr>
      <w:r w:rsidRPr="00CC2183">
        <w:rPr>
          <w:rFonts w:ascii="Times New Roman" w:eastAsia="Times New Roman" w:hAnsi="Times New Roman" w:cs="Times New Roman"/>
          <w:color w:val="auto"/>
          <w:sz w:val="24"/>
          <w:szCs w:val="24"/>
        </w:rPr>
        <w:t>Delays</w:t>
      </w:r>
      <w:r w:rsidRPr="003E3F7A">
        <w:rPr>
          <w:rFonts w:ascii="Times New Roman" w:eastAsia="Times New Roman" w:hAnsi="Times New Roman" w:cs="Times New Roman"/>
          <w:color w:val="auto"/>
          <w:sz w:val="24"/>
          <w:szCs w:val="24"/>
        </w:rPr>
        <w:t xml:space="preserve"> in </w:t>
      </w:r>
      <w:r w:rsidR="007A6A29">
        <w:rPr>
          <w:rFonts w:ascii="Times New Roman" w:eastAsia="Times New Roman" w:hAnsi="Times New Roman" w:cs="Times New Roman"/>
          <w:color w:val="auto"/>
          <w:sz w:val="24"/>
          <w:szCs w:val="24"/>
        </w:rPr>
        <w:t>reporting LTC aggregate data</w:t>
      </w:r>
      <w:r w:rsidRPr="003E3F7A">
        <w:rPr>
          <w:rFonts w:ascii="Times New Roman" w:eastAsia="Times New Roman" w:hAnsi="Times New Roman" w:cs="Times New Roman"/>
          <w:color w:val="auto"/>
          <w:sz w:val="24"/>
          <w:szCs w:val="24"/>
        </w:rPr>
        <w:t xml:space="preserve"> </w:t>
      </w:r>
      <w:r w:rsidR="00B82EFB">
        <w:rPr>
          <w:rFonts w:ascii="Times New Roman" w:eastAsia="Times New Roman" w:hAnsi="Times New Roman" w:cs="Times New Roman"/>
          <w:color w:val="auto"/>
          <w:sz w:val="24"/>
          <w:szCs w:val="24"/>
        </w:rPr>
        <w:t xml:space="preserve">every 6 months </w:t>
      </w:r>
      <w:r w:rsidR="007A6A29">
        <w:rPr>
          <w:rFonts w:ascii="Times New Roman" w:eastAsia="Times New Roman" w:hAnsi="Times New Roman" w:cs="Times New Roman"/>
          <w:color w:val="auto"/>
          <w:sz w:val="24"/>
          <w:szCs w:val="24"/>
        </w:rPr>
        <w:t xml:space="preserve">will </w:t>
      </w:r>
      <w:r>
        <w:rPr>
          <w:rFonts w:ascii="Times New Roman" w:eastAsia="Times New Roman" w:hAnsi="Times New Roman" w:cs="Times New Roman"/>
          <w:color w:val="auto"/>
          <w:sz w:val="24"/>
          <w:szCs w:val="24"/>
        </w:rPr>
        <w:t>also</w:t>
      </w:r>
      <w:r w:rsidRPr="003E3F7A">
        <w:rPr>
          <w:rFonts w:ascii="Times New Roman" w:eastAsia="Times New Roman" w:hAnsi="Times New Roman" w:cs="Times New Roman"/>
          <w:color w:val="auto"/>
          <w:sz w:val="24"/>
          <w:szCs w:val="24"/>
        </w:rPr>
        <w:t xml:space="preserve"> impede </w:t>
      </w:r>
      <w:r>
        <w:rPr>
          <w:rFonts w:ascii="Times New Roman" w:eastAsia="Times New Roman" w:hAnsi="Times New Roman" w:cs="Times New Roman"/>
          <w:color w:val="auto"/>
          <w:sz w:val="24"/>
          <w:szCs w:val="24"/>
        </w:rPr>
        <w:t xml:space="preserve">CDC’s ability to provide technical assistance to </w:t>
      </w:r>
      <w:r w:rsidR="00762679">
        <w:rPr>
          <w:rFonts w:ascii="Times New Roman" w:eastAsia="Times New Roman" w:hAnsi="Times New Roman" w:cs="Times New Roman"/>
          <w:color w:val="auto"/>
          <w:sz w:val="24"/>
          <w:szCs w:val="24"/>
        </w:rPr>
        <w:t>help jurisdictions refine and enhance their linkage to care programs and surveillance systems and address implement</w:t>
      </w:r>
      <w:r w:rsidR="00C16A38">
        <w:rPr>
          <w:rFonts w:ascii="Times New Roman" w:eastAsia="Times New Roman" w:hAnsi="Times New Roman" w:cs="Times New Roman"/>
          <w:color w:val="auto"/>
          <w:sz w:val="24"/>
          <w:szCs w:val="24"/>
        </w:rPr>
        <w:t xml:space="preserve">ation gaps and opportunities. </w:t>
      </w:r>
    </w:p>
    <w:p w:rsidR="00000226" w:rsidP="00000226" w14:paraId="672A85CF" w14:textId="60DE5F77"/>
    <w:p w:rsidR="00972DEF" w:rsidRPr="00722FF6" w:rsidP="00722FF6" w14:paraId="04D81182" w14:textId="77777777">
      <w:pPr>
        <w:pStyle w:val="Heading1"/>
        <w:tabs>
          <w:tab w:val="left" w:pos="540"/>
          <w:tab w:val="clear" w:pos="1152"/>
        </w:tabs>
        <w:spacing w:after="0" w:line="240" w:lineRule="auto"/>
        <w:jc w:val="left"/>
        <w:rPr>
          <w:sz w:val="24"/>
          <w:szCs w:val="24"/>
        </w:rPr>
      </w:pPr>
      <w:bookmarkStart w:id="20" w:name="_Toc145659492"/>
      <w:bookmarkStart w:id="21" w:name="_Toc150420020"/>
      <w:r w:rsidRPr="00722FF6">
        <w:rPr>
          <w:sz w:val="24"/>
          <w:szCs w:val="24"/>
        </w:rPr>
        <w:t xml:space="preserve">A.7. </w:t>
      </w:r>
      <w:r w:rsidRPr="00722FF6">
        <w:rPr>
          <w:sz w:val="24"/>
          <w:szCs w:val="24"/>
        </w:rPr>
        <w:tab/>
        <w:t>Special Circumstances Relating to the Guidelines of 5 CFR 1320.5</w:t>
      </w:r>
      <w:bookmarkEnd w:id="20"/>
      <w:bookmarkEnd w:id="21"/>
    </w:p>
    <w:p w:rsidR="00972DEF" w:rsidRPr="00691454" w:rsidP="00972DEF" w14:paraId="04D81183" w14:textId="77777777">
      <w:pPr>
        <w:autoSpaceDE w:val="0"/>
        <w:autoSpaceDN w:val="0"/>
        <w:adjustRightInd w:val="0"/>
      </w:pPr>
    </w:p>
    <w:p w:rsidR="00972DEF" w:rsidP="00972DEF" w14:paraId="04D81184" w14:textId="77777777">
      <w:pPr>
        <w:pStyle w:val="SL-FlLftSgl"/>
      </w:pPr>
      <w:r w:rsidRPr="00691454">
        <w:t xml:space="preserve">The request fully complies with the regulation 5 CFR 1320.5. </w:t>
      </w:r>
    </w:p>
    <w:p w:rsidR="0089466D" w:rsidRPr="00691454" w:rsidP="00972DEF" w14:paraId="67E3DE52" w14:textId="77777777">
      <w:pPr>
        <w:pStyle w:val="SL-FlLftSgl"/>
      </w:pPr>
    </w:p>
    <w:p w:rsidR="00972DEF" w:rsidRPr="00722FF6" w:rsidP="00722FF6" w14:paraId="04D81186" w14:textId="7D1E87FD">
      <w:pPr>
        <w:pStyle w:val="Heading1"/>
        <w:tabs>
          <w:tab w:val="left" w:pos="540"/>
          <w:tab w:val="clear" w:pos="1152"/>
        </w:tabs>
        <w:spacing w:after="0" w:line="240" w:lineRule="auto"/>
        <w:jc w:val="left"/>
        <w:rPr>
          <w:sz w:val="24"/>
          <w:szCs w:val="24"/>
        </w:rPr>
      </w:pPr>
      <w:bookmarkStart w:id="22" w:name="_Toc145659493"/>
      <w:bookmarkStart w:id="23" w:name="_Toc150420021"/>
      <w:r w:rsidRPr="00722FF6">
        <w:rPr>
          <w:sz w:val="24"/>
          <w:szCs w:val="24"/>
        </w:rPr>
        <w:t xml:space="preserve">A.8. </w:t>
      </w:r>
      <w:r w:rsidRPr="00722FF6">
        <w:rPr>
          <w:sz w:val="24"/>
          <w:szCs w:val="24"/>
        </w:rPr>
        <w:tab/>
        <w:t>Comments in Response to the Federal Register Notice and Efforts to Consult Outside the Agency</w:t>
      </w:r>
      <w:bookmarkEnd w:id="22"/>
      <w:bookmarkEnd w:id="23"/>
      <w:r w:rsidRPr="00722FF6">
        <w:rPr>
          <w:sz w:val="24"/>
          <w:szCs w:val="24"/>
        </w:rPr>
        <w:t xml:space="preserve"> </w:t>
      </w:r>
    </w:p>
    <w:p w:rsidR="00972DEF" w:rsidRPr="00691454" w:rsidP="00972DEF" w14:paraId="04D81187" w14:textId="77777777">
      <w:pPr>
        <w:autoSpaceDE w:val="0"/>
        <w:autoSpaceDN w:val="0"/>
        <w:adjustRightInd w:val="0"/>
      </w:pPr>
    </w:p>
    <w:p w:rsidR="00405CC1" w:rsidP="00972DEF" w14:paraId="04D81188" w14:textId="77777777">
      <w:pPr>
        <w:rPr>
          <w:noProof/>
        </w:rPr>
      </w:pPr>
      <w:r w:rsidRPr="00691454">
        <w:rPr>
          <w:b/>
        </w:rPr>
        <w:t>A.8.a)</w:t>
      </w:r>
      <w:r w:rsidRPr="00691454">
        <w:tab/>
      </w:r>
      <w:r w:rsidRPr="00923A5F" w:rsidR="0049057C">
        <w:rPr>
          <w:rFonts w:asciiTheme="majorHAnsi" w:hAnsiTheme="majorHAnsi"/>
          <w:b/>
          <w:bCs/>
          <w:noProof/>
        </w:rPr>
        <w:t>Federal Register Notice</w:t>
      </w:r>
    </w:p>
    <w:p w:rsidR="00FB1045" w:rsidRPr="00616D20" w:rsidP="00FB1045" w14:paraId="04D81189" w14:textId="68543A3C">
      <w:r w:rsidRPr="00C81C59">
        <w:t xml:space="preserve">A 60-day Federal Register Notice was published in the Federal Register on </w:t>
      </w:r>
      <w:bookmarkStart w:id="24" w:name="_Hlk156402649"/>
      <w:r w:rsidR="00C618D1">
        <w:t>November 14</w:t>
      </w:r>
      <w:r w:rsidRPr="00C81C59">
        <w:t xml:space="preserve">, </w:t>
      </w:r>
      <w:r w:rsidR="00CB2044">
        <w:t>2023</w:t>
      </w:r>
      <w:r w:rsidRPr="00C81C59">
        <w:t xml:space="preserve">, </w:t>
      </w:r>
      <w:bookmarkEnd w:id="24"/>
      <w:r w:rsidRPr="00C81C59">
        <w:t xml:space="preserve">vol. </w:t>
      </w:r>
      <w:r w:rsidR="00C618D1">
        <w:t>88</w:t>
      </w:r>
      <w:r w:rsidRPr="00C81C59">
        <w:t xml:space="preserve"> No. </w:t>
      </w:r>
      <w:r w:rsidR="00C618D1">
        <w:t>218</w:t>
      </w:r>
      <w:r w:rsidRPr="00C81C59">
        <w:t xml:space="preserve">, pp. </w:t>
      </w:r>
      <w:r w:rsidR="00C618D1">
        <w:t>78037</w:t>
      </w:r>
      <w:r w:rsidRPr="00C81C59">
        <w:t>-</w:t>
      </w:r>
      <w:r w:rsidR="00C618D1">
        <w:t>78038</w:t>
      </w:r>
      <w:r w:rsidRPr="00C81C59">
        <w:t xml:space="preserve"> (Attachment </w:t>
      </w:r>
      <w:r w:rsidR="00CA2E20">
        <w:t>E</w:t>
      </w:r>
      <w:r w:rsidRPr="00C81C59">
        <w:t xml:space="preserve">). </w:t>
      </w:r>
      <w:r w:rsidRPr="00C81C59" w:rsidR="0011275C">
        <w:t xml:space="preserve">CDC received </w:t>
      </w:r>
      <w:r w:rsidR="00B511E7">
        <w:t>two</w:t>
      </w:r>
      <w:r w:rsidR="005E51A5">
        <w:t xml:space="preserve"> non-substantial</w:t>
      </w:r>
      <w:r w:rsidR="0038533A">
        <w:t xml:space="preserve"> </w:t>
      </w:r>
      <w:r w:rsidRPr="00C81C59">
        <w:t>comment</w:t>
      </w:r>
      <w:r w:rsidR="0095107B">
        <w:t>s</w:t>
      </w:r>
      <w:r w:rsidRPr="00C81C59">
        <w:t xml:space="preserve"> to the </w:t>
      </w:r>
      <w:r w:rsidRPr="00C81C59" w:rsidR="003F647A">
        <w:t>60-day Federal Register Notice</w:t>
      </w:r>
      <w:r w:rsidR="008A3BBB">
        <w:t xml:space="preserve">, no changes were made to the collection </w:t>
      </w:r>
      <w:r w:rsidRPr="00C81C59" w:rsidR="00C618D1">
        <w:t xml:space="preserve">(Attachment </w:t>
      </w:r>
      <w:r w:rsidR="00E7207F">
        <w:t>F</w:t>
      </w:r>
      <w:r w:rsidRPr="00C81C59" w:rsidR="00C618D1">
        <w:t>).</w:t>
      </w:r>
    </w:p>
    <w:p w:rsidR="00405CC1" w:rsidRPr="00691454" w:rsidP="00972DEF" w14:paraId="04D8118A" w14:textId="77777777"/>
    <w:p w:rsidR="00972DEF" w:rsidRPr="00691454" w:rsidP="00972DEF" w14:paraId="04D8118B" w14:textId="77777777">
      <w:r w:rsidRPr="00691454">
        <w:rPr>
          <w:b/>
        </w:rPr>
        <w:t>A.8.b)</w:t>
      </w:r>
      <w:r w:rsidRPr="00691454">
        <w:t xml:space="preserve"> </w:t>
      </w:r>
      <w:r w:rsidRPr="00923A5F" w:rsidR="0049057C">
        <w:rPr>
          <w:rFonts w:asciiTheme="majorHAnsi" w:hAnsiTheme="majorHAnsi"/>
          <w:b/>
          <w:bCs/>
          <w:noProof/>
        </w:rPr>
        <w:t>Efforts to Consult Outside the Agency</w:t>
      </w:r>
    </w:p>
    <w:p w:rsidR="0099169E" w:rsidP="0099169E" w14:paraId="67F45BDA" w14:textId="66E2AC77">
      <w:r>
        <w:rPr>
          <w:color w:val="000000"/>
        </w:rPr>
        <w:t xml:space="preserve">DOP worked closely with a </w:t>
      </w:r>
      <w:r w:rsidR="001850D8">
        <w:rPr>
          <w:color w:val="000000"/>
        </w:rPr>
        <w:t>sub</w:t>
      </w:r>
      <w:r>
        <w:rPr>
          <w:color w:val="000000"/>
        </w:rPr>
        <w:t xml:space="preserve">contractor, </w:t>
      </w:r>
      <w:r>
        <w:rPr>
          <w:color w:val="000000"/>
        </w:rPr>
        <w:t>Kahuina</w:t>
      </w:r>
      <w:r>
        <w:rPr>
          <w:color w:val="000000"/>
        </w:rPr>
        <w:t xml:space="preserve"> Consulting, during </w:t>
      </w:r>
      <w:r w:rsidR="00296E46">
        <w:rPr>
          <w:color w:val="000000"/>
        </w:rPr>
        <w:t xml:space="preserve">2021 </w:t>
      </w:r>
      <w:r>
        <w:rPr>
          <w:color w:val="000000"/>
        </w:rPr>
        <w:t xml:space="preserve">– </w:t>
      </w:r>
      <w:r w:rsidR="005151A5">
        <w:rPr>
          <w:color w:val="000000"/>
        </w:rPr>
        <w:t xml:space="preserve">2022 </w:t>
      </w:r>
      <w:r>
        <w:rPr>
          <w:color w:val="000000"/>
        </w:rPr>
        <w:t xml:space="preserve">to </w:t>
      </w:r>
      <w:r w:rsidR="002451B0">
        <w:rPr>
          <w:color w:val="000000"/>
        </w:rPr>
        <w:t xml:space="preserve">develop and </w:t>
      </w:r>
      <w:r>
        <w:t>standardize</w:t>
      </w:r>
      <w:r w:rsidR="00B95E74">
        <w:t>d indicators for LTC</w:t>
      </w:r>
      <w:r>
        <w:t xml:space="preserve">. </w:t>
      </w:r>
      <w:r w:rsidR="0046078E">
        <w:t xml:space="preserve">First, a </w:t>
      </w:r>
      <w:r w:rsidRPr="0046078E" w:rsidR="0046078E">
        <w:t xml:space="preserve">comprehensive literature review, key informant interviews, and workshops with funded </w:t>
      </w:r>
      <w:r w:rsidR="0046078E">
        <w:t xml:space="preserve">OD2A </w:t>
      </w:r>
      <w:r w:rsidRPr="0046078E" w:rsidR="0046078E">
        <w:t>jurisdictions resulted in an environmental scan summarizing the current landscape of SUD LTC surveillance efforts and future opportunities.</w:t>
      </w:r>
      <w:r w:rsidR="009D5E7E">
        <w:t xml:space="preserve"> </w:t>
      </w:r>
      <w:r w:rsidRPr="00E12586" w:rsidR="00E12586">
        <w:t>Feedback from OD2A recipients</w:t>
      </w:r>
      <w:r w:rsidR="008C3973">
        <w:t xml:space="preserve"> conducting </w:t>
      </w:r>
      <w:r w:rsidR="00FD7120">
        <w:t>LTC surveillance projects</w:t>
      </w:r>
      <w:r w:rsidRPr="00E12586" w:rsidR="00E12586">
        <w:t>, CSTE’s Innovative Surveillance Community of Practice (CoP) workgroup members, prescription drug monitoring program (PDMP) representatives, and Health Information Exchange (HIE) experts was collected during workshops and interviews to clarify data flows and existing measures. Together with input from OD2A recipients and DOP experts, a refined set of achievable indicators was developed to measure SUD linkage to and retention in care.</w:t>
      </w:r>
      <w:r w:rsidR="00815EB4">
        <w:t xml:space="preserve"> </w:t>
      </w:r>
      <w:r>
        <w:t>Kahuina</w:t>
      </w:r>
      <w:r>
        <w:t xml:space="preserve"> Consulting was instrumental in collecting and responding to feedback from local and state health departments</w:t>
      </w:r>
      <w:r w:rsidR="00815EB4">
        <w:t xml:space="preserve"> and other public health partners</w:t>
      </w:r>
      <w:r>
        <w:t>. The indicators include</w:t>
      </w:r>
      <w:r w:rsidRPr="009E3A0D">
        <w:t xml:space="preserve"> </w:t>
      </w:r>
      <w:r>
        <w:t>i</w:t>
      </w:r>
      <w:r w:rsidRPr="009E3A0D">
        <w:t xml:space="preserve">dentification of need, </w:t>
      </w:r>
      <w:r>
        <w:t>e</w:t>
      </w:r>
      <w:r w:rsidRPr="009E3A0D">
        <w:t xml:space="preserve">ngagement </w:t>
      </w:r>
      <w:r>
        <w:t>by</w:t>
      </w:r>
      <w:r w:rsidRPr="009E3A0D">
        <w:t xml:space="preserve"> linkage to care programs, </w:t>
      </w:r>
      <w:r>
        <w:t>r</w:t>
      </w:r>
      <w:r w:rsidRPr="009E3A0D">
        <w:t xml:space="preserve">eferral to care and treatment, </w:t>
      </w:r>
      <w:r>
        <w:t>l</w:t>
      </w:r>
      <w:r w:rsidRPr="009E3A0D">
        <w:t>inkage to care/</w:t>
      </w:r>
      <w:r>
        <w:t>t</w:t>
      </w:r>
      <w:r w:rsidRPr="009E3A0D">
        <w:t xml:space="preserve">reatment initiation, </w:t>
      </w:r>
      <w:r>
        <w:t>and t</w:t>
      </w:r>
      <w:r w:rsidRPr="009E3A0D">
        <w:t>reatment retention</w:t>
      </w:r>
      <w:r>
        <w:t xml:space="preserve"> status. </w:t>
      </w:r>
    </w:p>
    <w:p w:rsidR="0099169E" w:rsidP="00C45252" w14:paraId="130202D7" w14:textId="34298798">
      <w:pPr>
        <w:rPr>
          <w:b/>
          <w:bCs/>
        </w:rPr>
      </w:pPr>
    </w:p>
    <w:p w:rsidR="00742070" w:rsidP="00C45252" w14:paraId="20E2CA96" w14:textId="0BBB5EAA">
      <w:r w:rsidRPr="009450F6">
        <w:t xml:space="preserve">During </w:t>
      </w:r>
      <w:r w:rsidRPr="009450F6" w:rsidR="003E5084">
        <w:t>202</w:t>
      </w:r>
      <w:r w:rsidR="003E5084">
        <w:t>2</w:t>
      </w:r>
      <w:r w:rsidRPr="009450F6">
        <w:t xml:space="preserve">- </w:t>
      </w:r>
      <w:r w:rsidRPr="009450F6" w:rsidR="003E5084">
        <w:t>202</w:t>
      </w:r>
      <w:r w:rsidR="005955D4">
        <w:t xml:space="preserve">3, </w:t>
      </w:r>
      <w:r w:rsidR="005955D4">
        <w:t>Kahuina</w:t>
      </w:r>
      <w:r w:rsidR="005955D4">
        <w:t xml:space="preserve"> in collaboration with DOP</w:t>
      </w:r>
      <w:r w:rsidR="00087D26">
        <w:t xml:space="preserve">, conducted a series of Refinement Workshops with nine OD2A jurisdictions to </w:t>
      </w:r>
      <w:r w:rsidRPr="00087D26" w:rsidR="00087D26">
        <w:t xml:space="preserve">inform adjustments to the indicator definitions, inclusion </w:t>
      </w:r>
      <w:r w:rsidRPr="00087D26" w:rsidR="00087D26">
        <w:t xml:space="preserve">criteria, relevant disaggregation and terminologies, </w:t>
      </w:r>
      <w:r w:rsidRPr="00046292" w:rsidR="00087D26">
        <w:t>and implementation guidance detailed in the draft Linkage to and Retention in Care Surveillance Indicator Toolkit</w:t>
      </w:r>
      <w:r w:rsidRPr="00046292" w:rsidR="008A6D71">
        <w:t>.</w:t>
      </w:r>
      <w:r w:rsidRPr="00046292" w:rsidR="00046292">
        <w:t xml:space="preserve"> </w:t>
      </w:r>
      <w:r w:rsidRPr="00046292" w:rsidR="00F34AF4">
        <w:t>Jurisdictions represented a mix of state and local health departments with demonstrated success in implementing linkage to care programs and tracking linkage to care outcomes.</w:t>
      </w:r>
      <w:r w:rsidRPr="00046292" w:rsidR="00046292">
        <w:t xml:space="preserve"> </w:t>
      </w:r>
      <w:r w:rsidRPr="00046292">
        <w:t xml:space="preserve">Based on </w:t>
      </w:r>
      <w:r w:rsidRPr="0013575F" w:rsidR="00046292">
        <w:t xml:space="preserve">workshop </w:t>
      </w:r>
      <w:r w:rsidRPr="00046292">
        <w:t>finding</w:t>
      </w:r>
      <w:r w:rsidRPr="0013575F" w:rsidR="00046292">
        <w:t>s</w:t>
      </w:r>
      <w:r w:rsidRPr="00046292">
        <w:t xml:space="preserve">, recommended adjustments were made to </w:t>
      </w:r>
      <w:r w:rsidRPr="0013575F" w:rsidR="00D50E51">
        <w:t xml:space="preserve">definitions, measurements, and scope of implementation </w:t>
      </w:r>
      <w:r w:rsidRPr="0013575F" w:rsidR="003F2A06">
        <w:t xml:space="preserve">described in the </w:t>
      </w:r>
      <w:r w:rsidRPr="00046292">
        <w:t>Toolkit</w:t>
      </w:r>
      <w:r w:rsidRPr="0013575F" w:rsidR="007560E9">
        <w:t>, t</w:t>
      </w:r>
      <w:r w:rsidRPr="0013575F" w:rsidR="00C009B9">
        <w:t xml:space="preserve">echnical </w:t>
      </w:r>
      <w:r w:rsidRPr="0013575F" w:rsidR="007560E9">
        <w:t>guidance</w:t>
      </w:r>
      <w:r w:rsidR="007E28B6">
        <w:t>,</w:t>
      </w:r>
      <w:r w:rsidRPr="0013575F" w:rsidR="007560E9">
        <w:t xml:space="preserve"> and data submission template.  </w:t>
      </w:r>
      <w:r w:rsidRPr="0013575F" w:rsidR="00C009B9">
        <w:t xml:space="preserve"> </w:t>
      </w:r>
      <w:r w:rsidRPr="00046292">
        <w:t xml:space="preserve"> </w:t>
      </w:r>
    </w:p>
    <w:p w:rsidR="008A6D71" w:rsidRPr="00156333" w:rsidP="00C45252" w14:paraId="62E8A1A8" w14:textId="77777777"/>
    <w:p w:rsidR="00972DEF" w:rsidP="009F53B8" w14:paraId="04D8118D" w14:textId="77777777">
      <w:pPr>
        <w:pStyle w:val="Heading1"/>
        <w:tabs>
          <w:tab w:val="left" w:pos="540"/>
          <w:tab w:val="clear" w:pos="1152"/>
        </w:tabs>
        <w:spacing w:after="0" w:line="240" w:lineRule="auto"/>
        <w:jc w:val="left"/>
        <w:rPr>
          <w:sz w:val="24"/>
          <w:szCs w:val="24"/>
        </w:rPr>
      </w:pPr>
      <w:bookmarkStart w:id="25" w:name="_Toc145659494"/>
      <w:bookmarkStart w:id="26" w:name="_Toc150420022"/>
      <w:r w:rsidRPr="009F53B8">
        <w:rPr>
          <w:sz w:val="24"/>
          <w:szCs w:val="24"/>
        </w:rPr>
        <w:t xml:space="preserve">A.9. </w:t>
      </w:r>
      <w:r w:rsidRPr="009F53B8">
        <w:rPr>
          <w:sz w:val="24"/>
          <w:szCs w:val="24"/>
        </w:rPr>
        <w:tab/>
        <w:t>Explanation of Any Payment or Gift to Respondents</w:t>
      </w:r>
      <w:bookmarkEnd w:id="25"/>
      <w:bookmarkEnd w:id="26"/>
      <w:r w:rsidRPr="009F53B8">
        <w:rPr>
          <w:sz w:val="24"/>
          <w:szCs w:val="24"/>
        </w:rPr>
        <w:t xml:space="preserve"> </w:t>
      </w:r>
    </w:p>
    <w:p w:rsidR="008C4239" w:rsidRPr="008C4239" w:rsidP="008C4239" w14:paraId="537FDC95" w14:textId="77777777"/>
    <w:p w:rsidR="002C5012" w:rsidRPr="00BA5132" w:rsidP="002C5012" w14:paraId="0E439810" w14:textId="582C3A46">
      <w:r w:rsidRPr="00BA5132">
        <w:t>No incentives, payments or gifts will be provided to survey participants</w:t>
      </w:r>
      <w:r>
        <w:t>.</w:t>
      </w:r>
      <w:r w:rsidRPr="00BA5132">
        <w:t xml:space="preserve"> </w:t>
      </w:r>
    </w:p>
    <w:p w:rsidR="00F7286B" w:rsidP="00972DEF" w14:paraId="04D8118F" w14:textId="77777777"/>
    <w:p w:rsidR="008A1A86" w:rsidRPr="009F53B8" w:rsidP="00E80157" w14:paraId="04D81190" w14:textId="5F16801D">
      <w:pPr>
        <w:pStyle w:val="Heading1"/>
        <w:tabs>
          <w:tab w:val="left" w:pos="540"/>
          <w:tab w:val="clear" w:pos="1152"/>
        </w:tabs>
        <w:spacing w:after="0" w:line="240" w:lineRule="auto"/>
        <w:ind w:left="1080"/>
        <w:jc w:val="left"/>
        <w:rPr>
          <w:sz w:val="24"/>
          <w:szCs w:val="24"/>
        </w:rPr>
      </w:pPr>
      <w:bookmarkStart w:id="27" w:name="_Toc145659495"/>
      <w:bookmarkStart w:id="28" w:name="_Toc150420023"/>
      <w:r w:rsidRPr="00C87A32">
        <w:rPr>
          <w:sz w:val="24"/>
          <w:szCs w:val="24"/>
        </w:rPr>
        <w:t xml:space="preserve">A.10. </w:t>
      </w:r>
      <w:r w:rsidRPr="00C87A32">
        <w:rPr>
          <w:sz w:val="24"/>
          <w:szCs w:val="24"/>
        </w:rPr>
        <w:tab/>
      </w:r>
      <w:r w:rsidRPr="00C87A32" w:rsidR="00053C31">
        <w:rPr>
          <w:sz w:val="24"/>
          <w:szCs w:val="24"/>
        </w:rPr>
        <w:t>Protection of the Privacy and Confidentiality of Information Provided by</w:t>
      </w:r>
      <w:r w:rsidR="008C2C03">
        <w:rPr>
          <w:sz w:val="24"/>
          <w:szCs w:val="24"/>
        </w:rPr>
        <w:t xml:space="preserve"> </w:t>
      </w:r>
      <w:r w:rsidRPr="00C87A32" w:rsidR="00053C31">
        <w:rPr>
          <w:sz w:val="24"/>
          <w:szCs w:val="24"/>
        </w:rPr>
        <w:t>Respondents</w:t>
      </w:r>
      <w:bookmarkEnd w:id="27"/>
      <w:bookmarkEnd w:id="28"/>
    </w:p>
    <w:p w:rsidR="00972DEF" w:rsidP="00972DEF" w14:paraId="04D81191" w14:textId="77777777"/>
    <w:p w:rsidR="00943A05" w:rsidP="00943A05" w14:paraId="68F3E221" w14:textId="563F9E8F">
      <w:pPr>
        <w:pStyle w:val="BodyTextIndent2"/>
        <w:spacing w:after="0" w:line="240" w:lineRule="auto"/>
        <w:ind w:left="0"/>
      </w:pPr>
      <w:r w:rsidRPr="00943A05">
        <w:t xml:space="preserve">The CDC Office of the Chief Information Officer has determined that the Privacy Act does not apply to this information collection request. </w:t>
      </w:r>
      <w:r w:rsidRPr="00943A05" w:rsidR="00E319F0">
        <w:t>Component C</w:t>
      </w:r>
      <w:r w:rsidR="00E319F0">
        <w:t>:</w:t>
      </w:r>
      <w:r w:rsidRPr="00943A05" w:rsidR="00E319F0">
        <w:t xml:space="preserve"> </w:t>
      </w:r>
      <w:r w:rsidRPr="00943A05">
        <w:t xml:space="preserve">Linkage to </w:t>
      </w:r>
      <w:r w:rsidR="00E319F0">
        <w:t xml:space="preserve">and Retention in </w:t>
      </w:r>
      <w:r w:rsidRPr="00943A05">
        <w:t>Care</w:t>
      </w:r>
      <w:r w:rsidR="00E319F0">
        <w:t xml:space="preserve"> Surveillance</w:t>
      </w:r>
      <w:r w:rsidRPr="00943A05">
        <w:t xml:space="preserve"> is housed within </w:t>
      </w:r>
      <w:r w:rsidRPr="00943A05">
        <w:t xml:space="preserve">the </w:t>
      </w:r>
      <w:r w:rsidRPr="00E319F0" w:rsidR="00E319F0">
        <w:t xml:space="preserve"> </w:t>
      </w:r>
      <w:r w:rsidR="00E319F0">
        <w:t>CDC</w:t>
      </w:r>
      <w:r w:rsidRPr="00943A05" w:rsidR="00E319F0">
        <w:t xml:space="preserve"> </w:t>
      </w:r>
      <w:r w:rsidR="00B55F21">
        <w:t>REDCap</w:t>
      </w:r>
      <w:r w:rsidRPr="00943A05">
        <w:t xml:space="preserve"> web-based system. The </w:t>
      </w:r>
      <w:r w:rsidR="00B55F21">
        <w:t>REDCap</w:t>
      </w:r>
      <w:r w:rsidRPr="00943A05">
        <w:t xml:space="preserve"> system has a current Authorization to </w:t>
      </w:r>
      <w:r w:rsidRPr="00C81C59">
        <w:t xml:space="preserve">Operate. </w:t>
      </w:r>
      <w:r w:rsidRPr="00C81C59" w:rsidR="00176D58">
        <w:t xml:space="preserve">The Privacy Impact Assessment (PIA) for the system is attached (Attachment </w:t>
      </w:r>
      <w:r w:rsidR="00E7207F">
        <w:t>G</w:t>
      </w:r>
      <w:r w:rsidRPr="00C81C59" w:rsidR="00176D58">
        <w:t>).</w:t>
      </w:r>
    </w:p>
    <w:p w:rsidR="00943A05" w:rsidP="00943A05" w14:paraId="601F08DD" w14:textId="77777777">
      <w:pPr>
        <w:pStyle w:val="BodyTextIndent2"/>
        <w:spacing w:after="0" w:line="240" w:lineRule="auto"/>
        <w:ind w:left="0"/>
      </w:pPr>
    </w:p>
    <w:p w:rsidR="00943A05" w:rsidP="00C87A32" w14:paraId="00592EAD" w14:textId="40C87298">
      <w:pPr>
        <w:pStyle w:val="BodyTextIndent2"/>
        <w:spacing w:after="0" w:line="240" w:lineRule="auto"/>
        <w:ind w:left="0"/>
        <w:rPr>
          <w:lang w:val="en"/>
        </w:rPr>
      </w:pPr>
      <w:r w:rsidRPr="00877507">
        <w:rPr>
          <w:lang w:val="en"/>
        </w:rPr>
        <w:t xml:space="preserve">Four main strategies will be implemented to maintain the </w:t>
      </w:r>
      <w:r w:rsidR="00023BA8">
        <w:rPr>
          <w:lang w:val="en"/>
        </w:rPr>
        <w:t>security</w:t>
      </w:r>
      <w:r w:rsidRPr="00877507">
        <w:rPr>
          <w:lang w:val="en"/>
        </w:rPr>
        <w:t xml:space="preserve"> of the data. </w:t>
      </w:r>
    </w:p>
    <w:p w:rsidR="00500426" w:rsidRPr="00877507" w:rsidP="00C87A32" w14:paraId="0AF0FA7A" w14:textId="176068AD">
      <w:pPr>
        <w:pStyle w:val="BodyTextIndent2"/>
        <w:spacing w:after="0" w:line="240" w:lineRule="auto"/>
        <w:ind w:left="0"/>
        <w:rPr>
          <w:lang w:val="en"/>
        </w:rPr>
      </w:pPr>
    </w:p>
    <w:p w:rsidR="00943A05" w:rsidRPr="00877507" w:rsidP="005E7460" w14:paraId="78604BD5" w14:textId="6497DC41">
      <w:pPr>
        <w:pStyle w:val="ListParagraph"/>
        <w:numPr>
          <w:ilvl w:val="0"/>
          <w:numId w:val="53"/>
        </w:numPr>
      </w:pPr>
      <w:r>
        <w:rPr>
          <w:lang w:val="en"/>
        </w:rPr>
        <w:t xml:space="preserve">Although the </w:t>
      </w:r>
      <w:r w:rsidRPr="00877507">
        <w:rPr>
          <w:lang w:val="en"/>
        </w:rPr>
        <w:t xml:space="preserve">funded jurisdictions </w:t>
      </w:r>
      <w:r>
        <w:rPr>
          <w:lang w:val="en"/>
        </w:rPr>
        <w:t xml:space="preserve">collect disaggregated data at the local level, they will only share </w:t>
      </w:r>
      <w:r w:rsidRPr="009955F5">
        <w:rPr>
          <w:lang w:val="en"/>
        </w:rPr>
        <w:t>aggregated</w:t>
      </w:r>
      <w:r>
        <w:rPr>
          <w:lang w:val="en"/>
        </w:rPr>
        <w:t>, deduplicated</w:t>
      </w:r>
      <w:r>
        <w:rPr>
          <w:rStyle w:val="FootnoteReference"/>
          <w:lang w:val="en"/>
        </w:rPr>
        <w:footnoteReference w:id="3"/>
      </w:r>
      <w:r>
        <w:rPr>
          <w:lang w:val="en"/>
        </w:rPr>
        <w:t xml:space="preserve"> data with CDC. </w:t>
      </w:r>
      <w:r w:rsidR="00115B0A">
        <w:rPr>
          <w:lang w:val="en"/>
        </w:rPr>
        <w:t xml:space="preserve">CDC will provide </w:t>
      </w:r>
      <w:r w:rsidRPr="005620E3" w:rsidR="005620E3">
        <w:rPr>
          <w:lang w:val="en"/>
        </w:rPr>
        <w:t>a</w:t>
      </w:r>
      <w:r w:rsidRPr="005620E3" w:rsidR="00115B0A">
        <w:rPr>
          <w:lang w:val="en"/>
        </w:rPr>
        <w:t xml:space="preserve"> template</w:t>
      </w:r>
      <w:r w:rsidRPr="005620E3" w:rsidR="009D51B2">
        <w:rPr>
          <w:lang w:val="en"/>
        </w:rPr>
        <w:t xml:space="preserve"> </w:t>
      </w:r>
      <w:r w:rsidRPr="005620E3" w:rsidR="00115B0A">
        <w:rPr>
          <w:lang w:val="en"/>
        </w:rPr>
        <w:t>to</w:t>
      </w:r>
      <w:r w:rsidR="00115B0A">
        <w:rPr>
          <w:lang w:val="en"/>
        </w:rPr>
        <w:t xml:space="preserve"> facilitate reporting of standardized indicators</w:t>
      </w:r>
      <w:r w:rsidR="00F05774">
        <w:rPr>
          <w:lang w:val="en"/>
        </w:rPr>
        <w:t xml:space="preserve"> and minimize data entry errors.</w:t>
      </w:r>
    </w:p>
    <w:p w:rsidR="00943A05" w:rsidRPr="00877507" w:rsidP="00F05774" w14:paraId="319EC0BD" w14:textId="2F8D3084">
      <w:pPr>
        <w:pStyle w:val="ListParagraph"/>
        <w:numPr>
          <w:ilvl w:val="0"/>
          <w:numId w:val="53"/>
        </w:numPr>
      </w:pPr>
      <w:r>
        <w:rPr>
          <w:lang w:val="en"/>
        </w:rPr>
        <w:t>J</w:t>
      </w:r>
      <w:r w:rsidR="00F05774">
        <w:rPr>
          <w:lang w:val="en"/>
        </w:rPr>
        <w:t xml:space="preserve">urisdictions will </w:t>
      </w:r>
      <w:r w:rsidR="00B458FB">
        <w:rPr>
          <w:lang w:val="en"/>
        </w:rPr>
        <w:t xml:space="preserve">submit </w:t>
      </w:r>
      <w:r w:rsidR="00B458FB">
        <w:t xml:space="preserve">aggregate LTC indicator data to CDC via </w:t>
      </w:r>
      <w:r w:rsidR="00B458FB">
        <w:rPr>
          <w:lang w:val="en"/>
        </w:rPr>
        <w:t>REDCap</w:t>
      </w:r>
      <w:r w:rsidR="00B458FB">
        <w:rPr>
          <w:lang w:val="en"/>
        </w:rPr>
        <w:t xml:space="preserve">, which is </w:t>
      </w:r>
      <w:r w:rsidRPr="00877507">
        <w:t>hosted on the CDC Secure Access Management Service (SAMS) site</w:t>
      </w:r>
      <w:r w:rsidR="00D810A9">
        <w:t>.</w:t>
      </w:r>
      <w:r w:rsidRPr="00877507">
        <w:t xml:space="preserve"> The CDC </w:t>
      </w:r>
      <w:r w:rsidR="00003744">
        <w:t>REDCap</w:t>
      </w:r>
      <w:r w:rsidR="00003744">
        <w:t xml:space="preserve"> system</w:t>
      </w:r>
      <w:r w:rsidRPr="00877507">
        <w:t xml:space="preserve"> is a web</w:t>
      </w:r>
      <w:r w:rsidR="00C17CA2">
        <w:t>-based tool</w:t>
      </w:r>
      <w:r w:rsidRPr="00877507">
        <w:t xml:space="preserve"> </w:t>
      </w:r>
      <w:r w:rsidR="004D1785">
        <w:t>that</w:t>
      </w:r>
      <w:r w:rsidRPr="00877507">
        <w:t xml:space="preserve"> can be used to securely exchange data between CDC and participating health departments.  </w:t>
      </w:r>
    </w:p>
    <w:p w:rsidR="00943A05" w:rsidRPr="00877507" w:rsidP="00943A05" w14:paraId="3254CE01" w14:textId="2FCEEF13">
      <w:pPr>
        <w:pStyle w:val="ListParagraph"/>
        <w:numPr>
          <w:ilvl w:val="0"/>
          <w:numId w:val="53"/>
        </w:numPr>
      </w:pPr>
      <w:r w:rsidRPr="00877507">
        <w:rPr>
          <w:lang w:val="en"/>
        </w:rPr>
        <w:t xml:space="preserve">Only selected staff working </w:t>
      </w:r>
      <w:r w:rsidR="00394606">
        <w:rPr>
          <w:lang w:val="en"/>
        </w:rPr>
        <w:t>o</w:t>
      </w:r>
      <w:r w:rsidRPr="00877507">
        <w:rPr>
          <w:lang w:val="en"/>
        </w:rPr>
        <w:t>n the OD2A</w:t>
      </w:r>
      <w:r w:rsidR="00E26C13">
        <w:rPr>
          <w:lang w:val="en"/>
        </w:rPr>
        <w:t>: LOCAL</w:t>
      </w:r>
      <w:r w:rsidRPr="00877507">
        <w:rPr>
          <w:lang w:val="en"/>
        </w:rPr>
        <w:t xml:space="preserve"> Linkage to </w:t>
      </w:r>
      <w:r w:rsidR="00E26C13">
        <w:rPr>
          <w:lang w:val="en"/>
        </w:rPr>
        <w:t xml:space="preserve">and Retention in </w:t>
      </w:r>
      <w:r w:rsidRPr="00877507">
        <w:rPr>
          <w:lang w:val="en"/>
        </w:rPr>
        <w:t xml:space="preserve">Care </w:t>
      </w:r>
      <w:r w:rsidR="00E319F0">
        <w:rPr>
          <w:lang w:val="en"/>
        </w:rPr>
        <w:t>S</w:t>
      </w:r>
      <w:r w:rsidR="00E26C13">
        <w:rPr>
          <w:lang w:val="en"/>
        </w:rPr>
        <w:t xml:space="preserve">urveillance </w:t>
      </w:r>
      <w:r w:rsidRPr="00877507">
        <w:rPr>
          <w:lang w:val="en"/>
        </w:rPr>
        <w:t xml:space="preserve">program will have access to aggregate data </w:t>
      </w:r>
      <w:r w:rsidR="005F473D">
        <w:rPr>
          <w:lang w:val="en"/>
        </w:rPr>
        <w:t>submitted via</w:t>
      </w:r>
      <w:r w:rsidRPr="00877507">
        <w:rPr>
          <w:lang w:val="en"/>
        </w:rPr>
        <w:t xml:space="preserve"> </w:t>
      </w:r>
      <w:r w:rsidR="00CA16D0">
        <w:rPr>
          <w:lang w:val="en"/>
        </w:rPr>
        <w:t>REDCap</w:t>
      </w:r>
      <w:r w:rsidRPr="009955F5">
        <w:rPr>
          <w:lang w:val="en"/>
        </w:rPr>
        <w:t>.</w:t>
      </w:r>
      <w:r w:rsidRPr="00877507">
        <w:rPr>
          <w:lang w:val="en"/>
        </w:rPr>
        <w:t xml:space="preserve"> </w:t>
      </w:r>
      <w:r w:rsidR="009955F5">
        <w:rPr>
          <w:lang w:val="en"/>
        </w:rPr>
        <w:t xml:space="preserve">Any data </w:t>
      </w:r>
      <w:r w:rsidRPr="00877507">
        <w:rPr>
          <w:lang w:val="en"/>
        </w:rPr>
        <w:t>files</w:t>
      </w:r>
      <w:r w:rsidR="009955F5">
        <w:rPr>
          <w:lang w:val="en"/>
        </w:rPr>
        <w:t xml:space="preserve">, including </w:t>
      </w:r>
      <w:r w:rsidRPr="00877507">
        <w:rPr>
          <w:lang w:val="en"/>
        </w:rPr>
        <w:t>analytical files</w:t>
      </w:r>
      <w:r w:rsidR="009955F5">
        <w:rPr>
          <w:lang w:val="en"/>
        </w:rPr>
        <w:t>,</w:t>
      </w:r>
      <w:r w:rsidRPr="00877507">
        <w:rPr>
          <w:lang w:val="en"/>
        </w:rPr>
        <w:t xml:space="preserve"> will be </w:t>
      </w:r>
      <w:r w:rsidRPr="00877507">
        <w:rPr>
          <w:lang w:val="en"/>
        </w:rPr>
        <w:t>stored</w:t>
      </w:r>
      <w:r w:rsidRPr="00877507">
        <w:rPr>
          <w:lang w:val="en"/>
        </w:rPr>
        <w:t xml:space="preserve"> and managed on </w:t>
      </w:r>
      <w:r w:rsidRPr="009955F5">
        <w:rPr>
          <w:b/>
          <w:bCs/>
          <w:lang w:val="en"/>
        </w:rPr>
        <w:t>secure CDC servers</w:t>
      </w:r>
      <w:r w:rsidRPr="00877507">
        <w:rPr>
          <w:lang w:val="en"/>
        </w:rPr>
        <w:t>.</w:t>
      </w:r>
    </w:p>
    <w:p w:rsidR="00023BA8" w:rsidP="00023BA8" w14:paraId="1F525190" w14:textId="360F45B4">
      <w:pPr>
        <w:pStyle w:val="ListParagraph"/>
        <w:numPr>
          <w:ilvl w:val="0"/>
          <w:numId w:val="53"/>
        </w:numPr>
      </w:pPr>
      <w:r w:rsidRPr="00877507">
        <w:rPr>
          <w:lang w:val="en"/>
        </w:rPr>
        <w:t>OD2A</w:t>
      </w:r>
      <w:r w:rsidR="00E319F0">
        <w:rPr>
          <w:lang w:val="en"/>
        </w:rPr>
        <w:t>: LOCAL</w:t>
      </w:r>
      <w:r w:rsidRPr="00877507">
        <w:rPr>
          <w:lang w:val="en"/>
        </w:rPr>
        <w:t xml:space="preserve"> Linkage to </w:t>
      </w:r>
      <w:r w:rsidR="00E319F0">
        <w:rPr>
          <w:lang w:val="en"/>
        </w:rPr>
        <w:t xml:space="preserve">and Retention in </w:t>
      </w:r>
      <w:r w:rsidRPr="00877507">
        <w:rPr>
          <w:lang w:val="en"/>
        </w:rPr>
        <w:t xml:space="preserve">Care </w:t>
      </w:r>
      <w:r w:rsidR="00E319F0">
        <w:rPr>
          <w:lang w:val="en"/>
        </w:rPr>
        <w:t xml:space="preserve">Surveillance </w:t>
      </w:r>
      <w:r w:rsidRPr="00877507">
        <w:rPr>
          <w:lang w:val="en"/>
        </w:rPr>
        <w:t xml:space="preserve">program </w:t>
      </w:r>
      <w:r w:rsidRPr="00877507">
        <w:t xml:space="preserve">will follow </w:t>
      </w:r>
      <w:r w:rsidRPr="009955F5">
        <w:rPr>
          <w:b/>
          <w:bCs/>
        </w:rPr>
        <w:t>data suppression</w:t>
      </w:r>
      <w:r w:rsidRPr="00877507">
        <w:t xml:space="preserve"> rules to prevent possible identification through publication of tables combining characteristics that could be used to identify an individual (e.g., age, sex, race/ethnicity, and geographic location). </w:t>
      </w:r>
      <w:r w:rsidR="009955F5">
        <w:t xml:space="preserve">This includes suppressing </w:t>
      </w:r>
      <w:r w:rsidRPr="00877507">
        <w:t>data for case counts ranging from 1 to 9 cases at the jurisdiction level.</w:t>
      </w:r>
    </w:p>
    <w:p w:rsidR="00023BA8" w:rsidP="00023BA8" w14:paraId="10DF6A5F" w14:textId="77777777"/>
    <w:p w:rsidR="00023BA8" w:rsidRPr="00877507" w:rsidP="00BB6B98" w14:paraId="3AD40114" w14:textId="6A8D97F5">
      <w:r>
        <w:t>Data will be kept private to the extent allowed by law.</w:t>
      </w:r>
    </w:p>
    <w:p w:rsidR="007503A7" w:rsidRPr="00691454" w:rsidP="00972DEF" w14:paraId="04D81193" w14:textId="77777777"/>
    <w:p w:rsidR="00972DEF" w:rsidP="009F53B8" w14:paraId="04D81194" w14:textId="2ADFEB2C">
      <w:pPr>
        <w:pStyle w:val="Heading1"/>
        <w:tabs>
          <w:tab w:val="left" w:pos="540"/>
          <w:tab w:val="clear" w:pos="1152"/>
        </w:tabs>
        <w:spacing w:after="0" w:line="240" w:lineRule="auto"/>
        <w:jc w:val="left"/>
        <w:rPr>
          <w:b w:val="0"/>
          <w:bCs w:val="0"/>
        </w:rPr>
      </w:pPr>
      <w:bookmarkStart w:id="29" w:name="_Toc145659496"/>
      <w:bookmarkStart w:id="30" w:name="_Toc150420024"/>
      <w:r w:rsidRPr="00012EF2">
        <w:rPr>
          <w:sz w:val="24"/>
          <w:szCs w:val="24"/>
        </w:rPr>
        <w:t>A.11.</w:t>
      </w:r>
      <w:r w:rsidR="00E76C78">
        <w:rPr>
          <w:sz w:val="24"/>
          <w:szCs w:val="24"/>
        </w:rPr>
        <w:t xml:space="preserve">  </w:t>
      </w:r>
      <w:r w:rsidRPr="00012EF2" w:rsidR="00CA5DC1">
        <w:rPr>
          <w:sz w:val="24"/>
          <w:szCs w:val="24"/>
        </w:rPr>
        <w:t>Institutional Review Board (IRB) and Justification for Sensitive Questions</w:t>
      </w:r>
      <w:bookmarkEnd w:id="29"/>
      <w:bookmarkEnd w:id="30"/>
      <w:r w:rsidRPr="00691454">
        <w:tab/>
      </w:r>
    </w:p>
    <w:p w:rsidR="0073187D" w:rsidP="00972DEF" w14:paraId="04D81195" w14:textId="77777777">
      <w:pPr>
        <w:rPr>
          <w:b/>
          <w:bCs/>
        </w:rPr>
      </w:pPr>
    </w:p>
    <w:p w:rsidR="0073187D" w:rsidRPr="00691454" w:rsidP="0073187D" w14:paraId="04D81196" w14:textId="77777777">
      <w:pPr>
        <w:rPr>
          <w:b/>
        </w:rPr>
      </w:pPr>
      <w:r w:rsidRPr="00691454">
        <w:rPr>
          <w:b/>
        </w:rPr>
        <w:t>IRB Approval</w:t>
      </w:r>
    </w:p>
    <w:p w:rsidR="0061789B" w:rsidRPr="00943A05" w:rsidP="0061789B" w14:paraId="5E27DBAD" w14:textId="30B68033">
      <w:r w:rsidRPr="00C87A32">
        <w:t xml:space="preserve">The CDC National Center for Injury Prevention and Control’s OMB and </w:t>
      </w:r>
      <w:r w:rsidRPr="00C87A32" w:rsidR="00943A05">
        <w:t>H</w:t>
      </w:r>
      <w:r w:rsidRPr="00C87A32">
        <w:t xml:space="preserve">uman </w:t>
      </w:r>
      <w:r w:rsidRPr="00C87A32" w:rsidR="00943A05">
        <w:t>S</w:t>
      </w:r>
      <w:r w:rsidRPr="00C87A32">
        <w:t xml:space="preserve">ubject’s liaison has determined that the </w:t>
      </w:r>
      <w:r w:rsidRPr="00C87A32">
        <w:rPr>
          <w:lang w:val="en"/>
        </w:rPr>
        <w:t xml:space="preserve">activity is not research and </w:t>
      </w:r>
      <w:r w:rsidRPr="00C87A32">
        <w:t>IRB approval is not needed. Human participants will not be used</w:t>
      </w:r>
      <w:r w:rsidR="00FE0449">
        <w:t xml:space="preserve"> (</w:t>
      </w:r>
      <w:r w:rsidRPr="00C81C59" w:rsidR="00FE0449">
        <w:t xml:space="preserve">Attachment </w:t>
      </w:r>
      <w:r w:rsidR="00E7207F">
        <w:t>H</w:t>
      </w:r>
      <w:r w:rsidR="00FE0449">
        <w:t>)</w:t>
      </w:r>
      <w:r w:rsidRPr="00C87A32">
        <w:t>.</w:t>
      </w:r>
    </w:p>
    <w:p w:rsidR="0073187D" w:rsidRPr="00691454" w:rsidP="00972DEF" w14:paraId="04D81198" w14:textId="77777777">
      <w:pPr>
        <w:rPr>
          <w:b/>
          <w:bCs/>
        </w:rPr>
      </w:pPr>
    </w:p>
    <w:p w:rsidR="008C4239" w:rsidP="00972DEF" w14:paraId="4A235D7F" w14:textId="77777777">
      <w:pPr>
        <w:rPr>
          <w:b/>
          <w:bCs/>
        </w:rPr>
      </w:pPr>
    </w:p>
    <w:p w:rsidR="008C4239" w:rsidP="00972DEF" w14:paraId="65830B86" w14:textId="77777777">
      <w:pPr>
        <w:rPr>
          <w:b/>
          <w:bCs/>
        </w:rPr>
      </w:pPr>
    </w:p>
    <w:p w:rsidR="00972DEF" w:rsidP="00972DEF" w14:paraId="04D81199" w14:textId="49C6AA60">
      <w:pPr>
        <w:rPr>
          <w:b/>
          <w:bCs/>
        </w:rPr>
      </w:pPr>
      <w:r w:rsidRPr="00CA5DC1">
        <w:rPr>
          <w:b/>
          <w:bCs/>
        </w:rPr>
        <w:t>Sensitive Questions</w:t>
      </w:r>
    </w:p>
    <w:p w:rsidR="00C35CCD" w:rsidP="00C35CCD" w14:paraId="2EC60D5C" w14:textId="112F5951">
      <w:pPr>
        <w:spacing w:before="20" w:after="20"/>
        <w:rPr>
          <w:szCs w:val="32"/>
        </w:rPr>
      </w:pPr>
      <w:r>
        <w:rPr>
          <w:szCs w:val="32"/>
        </w:rPr>
        <w:t xml:space="preserve">Although sensitive information will be collected by jurisdictions (e.g., data on </w:t>
      </w:r>
      <w:r w:rsidRPr="00D52C4A">
        <w:rPr>
          <w:szCs w:val="32"/>
        </w:rPr>
        <w:t>individuals who experienced a nonfatal overdose</w:t>
      </w:r>
      <w:r w:rsidR="00C34C9D">
        <w:rPr>
          <w:szCs w:val="32"/>
        </w:rPr>
        <w:t>,</w:t>
      </w:r>
      <w:r w:rsidRPr="00D52C4A">
        <w:rPr>
          <w:szCs w:val="32"/>
        </w:rPr>
        <w:t xml:space="preserve"> individuals identified other priority entry point</w:t>
      </w:r>
      <w:r w:rsidR="00786947">
        <w:rPr>
          <w:szCs w:val="32"/>
        </w:rPr>
        <w:t>s</w:t>
      </w:r>
      <w:r w:rsidRPr="00D52C4A">
        <w:rPr>
          <w:szCs w:val="32"/>
        </w:rPr>
        <w:t xml:space="preserve"> to care</w:t>
      </w:r>
      <w:r>
        <w:rPr>
          <w:szCs w:val="32"/>
        </w:rPr>
        <w:t xml:space="preserve">, </w:t>
      </w:r>
      <w:r w:rsidR="00D74EEB">
        <w:rPr>
          <w:szCs w:val="32"/>
        </w:rPr>
        <w:t>individuals referred to treatment and harm reduction services</w:t>
      </w:r>
      <w:r w:rsidR="00041CFF">
        <w:rPr>
          <w:szCs w:val="32"/>
        </w:rPr>
        <w:t>, individuals initiated and retained in treatment</w:t>
      </w:r>
      <w:r w:rsidR="00D74EEB">
        <w:rPr>
          <w:szCs w:val="32"/>
        </w:rPr>
        <w:t>)</w:t>
      </w:r>
      <w:r>
        <w:rPr>
          <w:szCs w:val="32"/>
        </w:rPr>
        <w:t>, only aggregate data will be reported to CDC.</w:t>
      </w:r>
    </w:p>
    <w:p w:rsidR="00C35CCD" w:rsidP="00972DEF" w14:paraId="0238827C" w14:textId="60C027B3">
      <w:pPr>
        <w:rPr>
          <w:b/>
          <w:bCs/>
        </w:rPr>
      </w:pPr>
    </w:p>
    <w:p w:rsidR="00972DEF" w:rsidP="009F53B8" w14:paraId="04D8119B" w14:textId="61151326">
      <w:pPr>
        <w:pStyle w:val="Heading1"/>
        <w:tabs>
          <w:tab w:val="left" w:pos="540"/>
          <w:tab w:val="clear" w:pos="1152"/>
        </w:tabs>
        <w:spacing w:after="0" w:line="240" w:lineRule="auto"/>
        <w:jc w:val="left"/>
        <w:rPr>
          <w:sz w:val="24"/>
          <w:szCs w:val="24"/>
        </w:rPr>
      </w:pPr>
      <w:bookmarkStart w:id="31" w:name="_Toc145659497"/>
      <w:bookmarkStart w:id="32" w:name="_Toc150420025"/>
      <w:r w:rsidRPr="009F53B8">
        <w:rPr>
          <w:sz w:val="24"/>
          <w:szCs w:val="24"/>
        </w:rPr>
        <w:t xml:space="preserve">A.12. </w:t>
      </w:r>
      <w:r w:rsidR="00F25BD3">
        <w:rPr>
          <w:sz w:val="24"/>
          <w:szCs w:val="24"/>
        </w:rPr>
        <w:t xml:space="preserve"> </w:t>
      </w:r>
      <w:r w:rsidRPr="009F53B8">
        <w:rPr>
          <w:sz w:val="24"/>
          <w:szCs w:val="24"/>
        </w:rPr>
        <w:t>Estimates of Annualized Burden Hours and Costs</w:t>
      </w:r>
      <w:bookmarkEnd w:id="31"/>
      <w:bookmarkEnd w:id="32"/>
      <w:r w:rsidRPr="009F53B8">
        <w:rPr>
          <w:sz w:val="24"/>
          <w:szCs w:val="24"/>
        </w:rPr>
        <w:t xml:space="preserve"> </w:t>
      </w:r>
    </w:p>
    <w:p w:rsidR="008C4239" w:rsidRPr="008C4239" w:rsidP="008C4239" w14:paraId="55CEFDE1" w14:textId="77777777"/>
    <w:p w:rsidR="008E047E" w:rsidP="00F25BD3" w14:paraId="349EEA5A" w14:textId="6693C026">
      <w:r>
        <w:t>D</w:t>
      </w:r>
      <w:r w:rsidR="00F25BD3">
        <w:t xml:space="preserve">ata collection includes reporting </w:t>
      </w:r>
      <w:r w:rsidR="000F550B">
        <w:t>aggregate counts for</w:t>
      </w:r>
      <w:r w:rsidR="00072476">
        <w:t xml:space="preserve"> </w:t>
      </w:r>
      <w:r w:rsidR="00110E5E">
        <w:t xml:space="preserve">a minimum of </w:t>
      </w:r>
      <w:r w:rsidR="009B1BC1">
        <w:t>13</w:t>
      </w:r>
      <w:r w:rsidR="00CD2390">
        <w:t xml:space="preserve"> indicators</w:t>
      </w:r>
      <w:r w:rsidR="0002698D">
        <w:t xml:space="preserve"> and </w:t>
      </w:r>
      <w:r w:rsidR="00072476">
        <w:t>up to</w:t>
      </w:r>
      <w:r w:rsidR="00F25BD3">
        <w:t xml:space="preserve"> </w:t>
      </w:r>
      <w:r w:rsidR="00BB4503">
        <w:t>2</w:t>
      </w:r>
      <w:r w:rsidR="009B1BC1">
        <w:t>4</w:t>
      </w:r>
      <w:r w:rsidR="00BB4503">
        <w:t xml:space="preserve"> </w:t>
      </w:r>
      <w:r w:rsidR="00F25BD3">
        <w:t xml:space="preserve">indicators </w:t>
      </w:r>
      <w:r w:rsidR="0000181D">
        <w:t xml:space="preserve">for </w:t>
      </w:r>
      <w:r w:rsidR="00B83E23">
        <w:t xml:space="preserve">at least two priority entry points (nonfatal overdose and one additional entry point including other clinical setting, harm reduction programs, criminal justice setting, other community setting, and self-referral). </w:t>
      </w:r>
      <w:r w:rsidR="000F550B">
        <w:t>Aggregate d</w:t>
      </w:r>
      <w:r w:rsidR="005D0394">
        <w:t xml:space="preserve">ata will be submitted to CDC every 6 months, so </w:t>
      </w:r>
      <w:r w:rsidR="00E840BC">
        <w:t xml:space="preserve">jurisdictions report </w:t>
      </w:r>
      <w:r w:rsidR="00BA0494">
        <w:t xml:space="preserve">indicators for two quarters of data </w:t>
      </w:r>
      <w:r w:rsidR="002A3E66">
        <w:t>at each data submission</w:t>
      </w:r>
      <w:r w:rsidR="000C34B4">
        <w:t>.</w:t>
      </w:r>
      <w:r w:rsidR="00BA0494">
        <w:t xml:space="preserve"> </w:t>
      </w:r>
      <w:r w:rsidR="00A165BF">
        <w:t xml:space="preserve">For each reporting period (6 months), </w:t>
      </w:r>
      <w:r w:rsidR="00B1242E">
        <w:t xml:space="preserve">jurisdictions will </w:t>
      </w:r>
      <w:r w:rsidR="00AF0877">
        <w:t xml:space="preserve">also </w:t>
      </w:r>
      <w:r w:rsidR="00B1242E">
        <w:t xml:space="preserve">provide responses to </w:t>
      </w:r>
      <w:r w:rsidR="00765E29">
        <w:t>8</w:t>
      </w:r>
      <w:r w:rsidR="00B1242E">
        <w:t xml:space="preserve"> metadata questions</w:t>
      </w:r>
      <w:r w:rsidR="00AF0877">
        <w:t>,</w:t>
      </w:r>
      <w:r w:rsidR="00B1242E">
        <w:t xml:space="preserve"> including </w:t>
      </w:r>
      <w:r w:rsidR="00DD53F8">
        <w:t>5</w:t>
      </w:r>
      <w:r w:rsidR="00B1242E">
        <w:t xml:space="preserve"> </w:t>
      </w:r>
      <w:r w:rsidR="00286090">
        <w:t xml:space="preserve">questions that ask for </w:t>
      </w:r>
      <w:r w:rsidR="00A165BF">
        <w:t xml:space="preserve">detailed </w:t>
      </w:r>
      <w:r w:rsidR="00A65CDF">
        <w:t>descriptive</w:t>
      </w:r>
      <w:r w:rsidR="000F160C">
        <w:t xml:space="preserve"> information</w:t>
      </w:r>
      <w:r w:rsidR="00A65CDF">
        <w:t xml:space="preserve"> about data sources and considerations for data coverage and quality. </w:t>
      </w:r>
    </w:p>
    <w:p w:rsidR="008E047E" w:rsidP="00F25BD3" w14:paraId="0CC70FB7" w14:textId="77777777"/>
    <w:p w:rsidR="00F52A52" w:rsidP="00F25BD3" w14:paraId="30F5009D" w14:textId="7495459E">
      <w:r>
        <w:t>Average burden per response is</w:t>
      </w:r>
      <w:r w:rsidR="00213FA6">
        <w:t xml:space="preserve"> </w:t>
      </w:r>
      <w:r w:rsidR="00EA39D1">
        <w:t xml:space="preserve">estimated </w:t>
      </w:r>
      <w:r w:rsidR="00213FA6">
        <w:t>based on comparing to</w:t>
      </w:r>
      <w:r w:rsidRPr="00892058">
        <w:t xml:space="preserve"> </w:t>
      </w:r>
      <w:r>
        <w:t xml:space="preserve">a </w:t>
      </w:r>
      <w:r w:rsidRPr="00892058">
        <w:t xml:space="preserve">similar </w:t>
      </w:r>
      <w:r>
        <w:t xml:space="preserve">CDC </w:t>
      </w:r>
      <w:r w:rsidRPr="00892058">
        <w:t>template</w:t>
      </w:r>
      <w:r w:rsidRPr="005874BF">
        <w:t xml:space="preserve">, the </w:t>
      </w:r>
      <w:r w:rsidRPr="002E5701">
        <w:rPr>
          <w:i/>
        </w:rPr>
        <w:t>ED discharge overdose data form</w:t>
      </w:r>
      <w:r w:rsidR="00054F7B">
        <w:rPr>
          <w:i/>
        </w:rPr>
        <w:t xml:space="preserve"> (</w:t>
      </w:r>
      <w:r w:rsidRPr="00054F7B" w:rsidR="00054F7B">
        <w:t xml:space="preserve">Drug Overdose </w:t>
      </w:r>
      <w:r w:rsidRPr="004A6054" w:rsidR="00054F7B">
        <w:t>Surveillance and Epidemiology (DOSE): OMB Control No: 0920-1268),</w:t>
      </w:r>
      <w:r w:rsidRPr="004A6054">
        <w:t xml:space="preserve"> which took a jurisdiction 3 hours to complete.</w:t>
      </w:r>
      <w:r w:rsidRPr="004A6054" w:rsidR="000461DC">
        <w:t xml:space="preserve"> Based on the number of </w:t>
      </w:r>
      <w:r w:rsidR="00B83040">
        <w:t>variables</w:t>
      </w:r>
      <w:r w:rsidRPr="004A6054" w:rsidR="00B83040">
        <w:t xml:space="preserve"> </w:t>
      </w:r>
      <w:r w:rsidRPr="004A6054" w:rsidR="00492C22">
        <w:t>in the ED discharge overdose data form</w:t>
      </w:r>
      <w:r w:rsidRPr="004A6054" w:rsidR="00294DD1">
        <w:t xml:space="preserve"> per data submission</w:t>
      </w:r>
      <w:r w:rsidRPr="004A6054" w:rsidR="00492C22">
        <w:t xml:space="preserve"> and comparing to the number of </w:t>
      </w:r>
      <w:r w:rsidR="00B83040">
        <w:t>variables</w:t>
      </w:r>
      <w:r w:rsidRPr="004A6054" w:rsidR="00B83040">
        <w:t xml:space="preserve"> </w:t>
      </w:r>
      <w:r w:rsidRPr="004A6054" w:rsidR="00492C22">
        <w:t xml:space="preserve">in the </w:t>
      </w:r>
      <w:r w:rsidRPr="004A6054" w:rsidR="006014F8">
        <w:t xml:space="preserve">linkage to care data form, it is estimated that jurisdictions will need </w:t>
      </w:r>
      <w:r w:rsidRPr="004A6054" w:rsidR="00957A1E">
        <w:t>8</w:t>
      </w:r>
      <w:r w:rsidRPr="004A6054" w:rsidR="006014F8">
        <w:t xml:space="preserve"> hours to enter the data into the template and submit to </w:t>
      </w:r>
      <w:r w:rsidR="00B83040">
        <w:t>REDCap</w:t>
      </w:r>
      <w:r w:rsidRPr="004A6054" w:rsidR="006014F8">
        <w:t>.</w:t>
      </w:r>
      <w:r w:rsidRPr="004A6054" w:rsidR="00564C17">
        <w:t xml:space="preserve"> </w:t>
      </w:r>
      <w:r w:rsidRPr="004A6054" w:rsidR="00564C17">
        <w:t>Using a similar approach, it</w:t>
      </w:r>
      <w:r w:rsidRPr="004A6054" w:rsidR="00564C17">
        <w:t xml:space="preserve"> is estimated that </w:t>
      </w:r>
      <w:r w:rsidR="006750CA">
        <w:t xml:space="preserve">it </w:t>
      </w:r>
      <w:r w:rsidRPr="004A6054" w:rsidR="00564C17">
        <w:t xml:space="preserve">will </w:t>
      </w:r>
      <w:r w:rsidRPr="004A6054" w:rsidR="00957A1E">
        <w:t>take jurisdictions 2 hours to complete</w:t>
      </w:r>
      <w:r w:rsidRPr="006750CA" w:rsidR="006750CA">
        <w:t xml:space="preserve"> </w:t>
      </w:r>
      <w:r w:rsidRPr="004A6054" w:rsidR="006750CA">
        <w:t>the metadata questions</w:t>
      </w:r>
      <w:r w:rsidRPr="004A6054" w:rsidR="00957A1E">
        <w:t>.</w:t>
      </w:r>
    </w:p>
    <w:p w:rsidR="00F25BD3" w:rsidP="00F25BD3" w14:paraId="5CCFD744" w14:textId="77777777"/>
    <w:p w:rsidR="00F25BD3" w:rsidRPr="00691454" w:rsidP="00F25BD3" w14:paraId="2C8243F7" w14:textId="473CBE82">
      <w:pPr>
        <w:pStyle w:val="a"/>
        <w:tabs>
          <w:tab w:val="left" w:pos="-1440"/>
        </w:tabs>
        <w:ind w:left="0" w:firstLine="0"/>
      </w:pPr>
      <w:r w:rsidRPr="00691454">
        <w:t xml:space="preserve">Table 1. Estimated Annualized Burden Hours </w:t>
      </w:r>
    </w:p>
    <w:tbl>
      <w:tblPr>
        <w:tblpPr w:leftFromText="180" w:rightFromText="180" w:vertAnchor="text" w:horzAnchor="margin" w:tblpY="64"/>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710"/>
        <w:gridCol w:w="1800"/>
        <w:gridCol w:w="1620"/>
        <w:gridCol w:w="1373"/>
        <w:gridCol w:w="1687"/>
      </w:tblGrid>
      <w:tr w14:paraId="38E332E8" w14:textId="77777777" w:rsidTr="008C4239">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777" w:type="dxa"/>
            <w:vAlign w:val="center"/>
          </w:tcPr>
          <w:p w:rsidR="008C4239" w:rsidRPr="00691454" w:rsidP="008C4239" w14:paraId="6CA73A2B" w14:textId="77777777">
            <w:r w:rsidRPr="00691454">
              <w:t>Type of Respondents</w:t>
            </w:r>
          </w:p>
        </w:tc>
        <w:tc>
          <w:tcPr>
            <w:tcW w:w="1710" w:type="dxa"/>
          </w:tcPr>
          <w:p w:rsidR="008C4239" w:rsidRPr="00691454" w:rsidP="008C4239" w14:paraId="666F65A0" w14:textId="77777777"/>
          <w:p w:rsidR="008C4239" w:rsidRPr="00691454" w:rsidP="008C4239" w14:paraId="5A9A9B71" w14:textId="77777777">
            <w:r w:rsidRPr="00691454">
              <w:t>Form Name</w:t>
            </w:r>
          </w:p>
        </w:tc>
        <w:tc>
          <w:tcPr>
            <w:tcW w:w="1800" w:type="dxa"/>
            <w:vAlign w:val="center"/>
          </w:tcPr>
          <w:p w:rsidR="008C4239" w:rsidRPr="00691454" w:rsidP="008C4239" w14:paraId="784A229A" w14:textId="77777777">
            <w:r w:rsidRPr="00691454">
              <w:t>Number of Respondents</w:t>
            </w:r>
          </w:p>
        </w:tc>
        <w:tc>
          <w:tcPr>
            <w:tcW w:w="1620" w:type="dxa"/>
            <w:vAlign w:val="center"/>
          </w:tcPr>
          <w:p w:rsidR="008C4239" w:rsidRPr="00691454" w:rsidP="008C4239" w14:paraId="4F1E6501" w14:textId="77777777">
            <w:r w:rsidRPr="00691454">
              <w:t>Number of Responses per Respondent</w:t>
            </w:r>
            <w:r>
              <w:t xml:space="preserve"> </w:t>
            </w:r>
          </w:p>
        </w:tc>
        <w:tc>
          <w:tcPr>
            <w:tcW w:w="1373" w:type="dxa"/>
            <w:vAlign w:val="center"/>
          </w:tcPr>
          <w:p w:rsidR="008C4239" w:rsidRPr="00691454" w:rsidP="008C4239" w14:paraId="5C15C954" w14:textId="77777777">
            <w:r w:rsidRPr="00691454">
              <w:t>Average Burden per Response</w:t>
            </w:r>
          </w:p>
          <w:p w:rsidR="008C4239" w:rsidRPr="00691454" w:rsidP="008C4239" w14:paraId="4AD97FEB" w14:textId="77777777">
            <w:r w:rsidRPr="00691454">
              <w:t>(</w:t>
            </w:r>
            <w:r w:rsidRPr="00691454">
              <w:t>in</w:t>
            </w:r>
            <w:r w:rsidRPr="00691454">
              <w:t xml:space="preserve"> hours)</w:t>
            </w:r>
          </w:p>
        </w:tc>
        <w:tc>
          <w:tcPr>
            <w:tcW w:w="1687" w:type="dxa"/>
            <w:vAlign w:val="center"/>
          </w:tcPr>
          <w:p w:rsidR="008C4239" w:rsidRPr="00193E38" w:rsidP="008C4239" w14:paraId="150D4380" w14:textId="77777777">
            <w:pPr>
              <w:rPr>
                <w:b/>
                <w:bCs/>
              </w:rPr>
            </w:pPr>
            <w:r w:rsidRPr="00CB2044">
              <w:t>Total Burden (in hours)</w:t>
            </w:r>
          </w:p>
        </w:tc>
      </w:tr>
      <w:tr w14:paraId="61E43470" w14:textId="77777777" w:rsidTr="008C4239">
        <w:tblPrEx>
          <w:tblW w:w="9967" w:type="dxa"/>
          <w:tblLayout w:type="fixed"/>
          <w:tblLook w:val="01E0"/>
        </w:tblPrEx>
        <w:trPr>
          <w:trHeight w:val="1345"/>
        </w:trPr>
        <w:tc>
          <w:tcPr>
            <w:tcW w:w="1777" w:type="dxa"/>
            <w:vMerge w:val="restart"/>
          </w:tcPr>
          <w:p w:rsidR="008C4239" w:rsidRPr="00193E38" w:rsidP="008C4239" w14:paraId="7F24CAF7" w14:textId="77777777">
            <w:pPr>
              <w:rPr>
                <w:sz w:val="22"/>
                <w:szCs w:val="22"/>
              </w:rPr>
            </w:pPr>
            <w:r w:rsidRPr="00193E38">
              <w:rPr>
                <w:sz w:val="22"/>
                <w:szCs w:val="22"/>
              </w:rPr>
              <w:t xml:space="preserve">Participating health departments </w:t>
            </w:r>
            <w:r w:rsidRPr="00193E38">
              <w:rPr>
                <w:sz w:val="22"/>
                <w:szCs w:val="22"/>
              </w:rPr>
              <w:t>reporting  aggregate</w:t>
            </w:r>
            <w:r w:rsidRPr="00193E38">
              <w:rPr>
                <w:sz w:val="22"/>
                <w:szCs w:val="22"/>
              </w:rPr>
              <w:t xml:space="preserve"> data to CDC using </w:t>
            </w:r>
            <w:r>
              <w:rPr>
                <w:sz w:val="22"/>
                <w:szCs w:val="22"/>
              </w:rPr>
              <w:t>REDCap</w:t>
            </w:r>
            <w:r w:rsidRPr="00193E38">
              <w:rPr>
                <w:sz w:val="22"/>
                <w:szCs w:val="22"/>
              </w:rPr>
              <w:t xml:space="preserve"> </w:t>
            </w:r>
          </w:p>
          <w:p w:rsidR="008C4239" w:rsidRPr="00FE0449" w:rsidP="008C4239" w14:paraId="418B5A05" w14:textId="77777777">
            <w:pPr>
              <w:rPr>
                <w:strike/>
                <w:sz w:val="22"/>
                <w:szCs w:val="22"/>
              </w:rPr>
            </w:pPr>
          </w:p>
        </w:tc>
        <w:tc>
          <w:tcPr>
            <w:tcW w:w="1710" w:type="dxa"/>
            <w:vAlign w:val="center"/>
          </w:tcPr>
          <w:p w:rsidR="008C4239" w:rsidP="008C4239" w14:paraId="1A094810" w14:textId="77777777">
            <w:pPr>
              <w:jc w:val="center"/>
              <w:rPr>
                <w:sz w:val="22"/>
                <w:szCs w:val="22"/>
              </w:rPr>
            </w:pPr>
            <w:r>
              <w:rPr>
                <w:sz w:val="22"/>
                <w:szCs w:val="22"/>
              </w:rPr>
              <w:t>REDCap</w:t>
            </w:r>
            <w:r w:rsidRPr="00193E38">
              <w:rPr>
                <w:sz w:val="22"/>
                <w:szCs w:val="22"/>
              </w:rPr>
              <w:t xml:space="preserve"> Data </w:t>
            </w:r>
            <w:r>
              <w:rPr>
                <w:sz w:val="22"/>
                <w:szCs w:val="22"/>
              </w:rPr>
              <w:t>Import Template (Up to 48 indicators)</w:t>
            </w:r>
            <w:r w:rsidRPr="00193E38">
              <w:rPr>
                <w:sz w:val="22"/>
                <w:szCs w:val="22"/>
              </w:rPr>
              <w:t xml:space="preserve"> </w:t>
            </w:r>
          </w:p>
          <w:p w:rsidR="008C4239" w:rsidRPr="00193E38" w:rsidP="008C4239" w14:paraId="711E43E8" w14:textId="77777777">
            <w:pPr>
              <w:jc w:val="center"/>
              <w:rPr>
                <w:sz w:val="22"/>
                <w:szCs w:val="22"/>
              </w:rPr>
            </w:pPr>
            <w:r>
              <w:rPr>
                <w:sz w:val="22"/>
                <w:szCs w:val="22"/>
              </w:rPr>
              <w:t>Att. D</w:t>
            </w:r>
          </w:p>
        </w:tc>
        <w:tc>
          <w:tcPr>
            <w:tcW w:w="1800" w:type="dxa"/>
            <w:vAlign w:val="center"/>
          </w:tcPr>
          <w:p w:rsidR="008C4239" w:rsidRPr="00193E38" w:rsidP="008C4239" w14:paraId="31202108" w14:textId="77777777">
            <w:pPr>
              <w:jc w:val="center"/>
              <w:rPr>
                <w:sz w:val="22"/>
                <w:szCs w:val="22"/>
              </w:rPr>
            </w:pPr>
            <w:r w:rsidRPr="00193E38">
              <w:rPr>
                <w:sz w:val="22"/>
                <w:szCs w:val="22"/>
              </w:rPr>
              <w:t>12</w:t>
            </w:r>
          </w:p>
        </w:tc>
        <w:tc>
          <w:tcPr>
            <w:tcW w:w="1620" w:type="dxa"/>
            <w:vAlign w:val="center"/>
          </w:tcPr>
          <w:p w:rsidR="008C4239" w:rsidRPr="00193E38" w:rsidP="008C4239" w14:paraId="389FEC39" w14:textId="77777777">
            <w:pPr>
              <w:jc w:val="center"/>
              <w:rPr>
                <w:sz w:val="22"/>
                <w:szCs w:val="22"/>
              </w:rPr>
            </w:pPr>
            <w:r>
              <w:rPr>
                <w:sz w:val="22"/>
                <w:szCs w:val="22"/>
              </w:rPr>
              <w:t>2</w:t>
            </w:r>
          </w:p>
        </w:tc>
        <w:tc>
          <w:tcPr>
            <w:tcW w:w="1373" w:type="dxa"/>
            <w:vAlign w:val="center"/>
          </w:tcPr>
          <w:p w:rsidR="008C4239" w:rsidRPr="00193E38" w:rsidP="008C4239" w14:paraId="6A362903" w14:textId="77777777">
            <w:pPr>
              <w:jc w:val="center"/>
              <w:rPr>
                <w:sz w:val="22"/>
                <w:szCs w:val="22"/>
              </w:rPr>
            </w:pPr>
            <w:r>
              <w:rPr>
                <w:sz w:val="22"/>
                <w:szCs w:val="22"/>
              </w:rPr>
              <w:t>8</w:t>
            </w:r>
          </w:p>
        </w:tc>
        <w:tc>
          <w:tcPr>
            <w:tcW w:w="1687" w:type="dxa"/>
            <w:vAlign w:val="center"/>
          </w:tcPr>
          <w:p w:rsidR="008C4239" w:rsidRPr="00193E38" w:rsidP="008C4239" w14:paraId="3AD03DEB" w14:textId="77777777">
            <w:pPr>
              <w:jc w:val="center"/>
              <w:rPr>
                <w:sz w:val="22"/>
                <w:szCs w:val="22"/>
              </w:rPr>
            </w:pPr>
            <w:r>
              <w:rPr>
                <w:sz w:val="22"/>
                <w:szCs w:val="22"/>
              </w:rPr>
              <w:t>192</w:t>
            </w:r>
          </w:p>
        </w:tc>
      </w:tr>
      <w:tr w14:paraId="770A0059" w14:textId="77777777" w:rsidTr="008C4239">
        <w:tblPrEx>
          <w:tblW w:w="9967" w:type="dxa"/>
          <w:tblLayout w:type="fixed"/>
          <w:tblLook w:val="01E0"/>
        </w:tblPrEx>
        <w:trPr>
          <w:trHeight w:val="1345"/>
        </w:trPr>
        <w:tc>
          <w:tcPr>
            <w:tcW w:w="1777" w:type="dxa"/>
            <w:vMerge/>
          </w:tcPr>
          <w:p w:rsidR="008C4239" w:rsidRPr="00193E38" w:rsidP="008C4239" w14:paraId="0ABCA540" w14:textId="77777777">
            <w:pPr>
              <w:rPr>
                <w:sz w:val="22"/>
                <w:szCs w:val="22"/>
              </w:rPr>
            </w:pPr>
          </w:p>
        </w:tc>
        <w:tc>
          <w:tcPr>
            <w:tcW w:w="1710" w:type="dxa"/>
            <w:vAlign w:val="center"/>
          </w:tcPr>
          <w:p w:rsidR="008C4239" w:rsidP="008C4239" w14:paraId="021C45B2" w14:textId="77777777">
            <w:pPr>
              <w:jc w:val="center"/>
              <w:rPr>
                <w:sz w:val="22"/>
                <w:szCs w:val="22"/>
              </w:rPr>
            </w:pPr>
            <w:r>
              <w:rPr>
                <w:sz w:val="22"/>
                <w:szCs w:val="22"/>
              </w:rPr>
              <w:t>REDCap</w:t>
            </w:r>
            <w:r w:rsidRPr="00193E38">
              <w:rPr>
                <w:sz w:val="22"/>
                <w:szCs w:val="22"/>
              </w:rPr>
              <w:t xml:space="preserve"> Data Entry Form</w:t>
            </w:r>
            <w:r>
              <w:rPr>
                <w:sz w:val="22"/>
                <w:szCs w:val="22"/>
              </w:rPr>
              <w:t xml:space="preserve"> (8 metadata questions)</w:t>
            </w:r>
          </w:p>
          <w:p w:rsidR="008C4239" w:rsidRPr="00193E38" w:rsidP="008C4239" w14:paraId="11AA6F0C" w14:textId="77777777">
            <w:pPr>
              <w:jc w:val="center"/>
              <w:rPr>
                <w:sz w:val="22"/>
                <w:szCs w:val="22"/>
              </w:rPr>
            </w:pPr>
            <w:r>
              <w:rPr>
                <w:sz w:val="22"/>
                <w:szCs w:val="22"/>
              </w:rPr>
              <w:t>Att</w:t>
            </w:r>
            <w:r>
              <w:rPr>
                <w:sz w:val="22"/>
                <w:szCs w:val="22"/>
              </w:rPr>
              <w:t xml:space="preserve"> C</w:t>
            </w:r>
          </w:p>
        </w:tc>
        <w:tc>
          <w:tcPr>
            <w:tcW w:w="1800" w:type="dxa"/>
            <w:vAlign w:val="center"/>
          </w:tcPr>
          <w:p w:rsidR="008C4239" w:rsidRPr="00193E38" w:rsidP="008C4239" w14:paraId="5272C75F" w14:textId="77777777">
            <w:pPr>
              <w:jc w:val="center"/>
              <w:rPr>
                <w:sz w:val="22"/>
                <w:szCs w:val="22"/>
              </w:rPr>
            </w:pPr>
            <w:r>
              <w:rPr>
                <w:sz w:val="22"/>
                <w:szCs w:val="22"/>
              </w:rPr>
              <w:t>12</w:t>
            </w:r>
          </w:p>
        </w:tc>
        <w:tc>
          <w:tcPr>
            <w:tcW w:w="1620" w:type="dxa"/>
            <w:vAlign w:val="center"/>
          </w:tcPr>
          <w:p w:rsidR="008C4239" w:rsidRPr="00193E38" w:rsidP="008C4239" w14:paraId="18577835" w14:textId="77777777">
            <w:pPr>
              <w:jc w:val="center"/>
              <w:rPr>
                <w:sz w:val="22"/>
                <w:szCs w:val="22"/>
              </w:rPr>
            </w:pPr>
            <w:r>
              <w:rPr>
                <w:sz w:val="22"/>
                <w:szCs w:val="22"/>
              </w:rPr>
              <w:t>2</w:t>
            </w:r>
          </w:p>
        </w:tc>
        <w:tc>
          <w:tcPr>
            <w:tcW w:w="1373" w:type="dxa"/>
            <w:vAlign w:val="center"/>
          </w:tcPr>
          <w:p w:rsidR="008C4239" w:rsidRPr="00193E38" w:rsidP="008C4239" w14:paraId="6EAB43EC" w14:textId="77777777">
            <w:pPr>
              <w:jc w:val="center"/>
              <w:rPr>
                <w:sz w:val="22"/>
                <w:szCs w:val="22"/>
              </w:rPr>
            </w:pPr>
            <w:r>
              <w:rPr>
                <w:sz w:val="22"/>
                <w:szCs w:val="22"/>
              </w:rPr>
              <w:t>2</w:t>
            </w:r>
          </w:p>
        </w:tc>
        <w:tc>
          <w:tcPr>
            <w:tcW w:w="1687" w:type="dxa"/>
            <w:vAlign w:val="center"/>
          </w:tcPr>
          <w:p w:rsidR="008C4239" w:rsidRPr="00193E38" w:rsidP="008C4239" w14:paraId="3B599731" w14:textId="77777777">
            <w:pPr>
              <w:jc w:val="center"/>
              <w:rPr>
                <w:sz w:val="22"/>
                <w:szCs w:val="22"/>
              </w:rPr>
            </w:pPr>
            <w:r>
              <w:rPr>
                <w:sz w:val="22"/>
                <w:szCs w:val="22"/>
              </w:rPr>
              <w:t>48</w:t>
            </w:r>
          </w:p>
        </w:tc>
      </w:tr>
      <w:tr w14:paraId="018DF94C" w14:textId="77777777" w:rsidTr="008C4239">
        <w:tblPrEx>
          <w:tblW w:w="9967" w:type="dxa"/>
          <w:tblLayout w:type="fixed"/>
          <w:tblLook w:val="01E0"/>
        </w:tblPrEx>
        <w:trPr>
          <w:trHeight w:val="276"/>
        </w:trPr>
        <w:tc>
          <w:tcPr>
            <w:tcW w:w="8280" w:type="dxa"/>
            <w:gridSpan w:val="5"/>
          </w:tcPr>
          <w:p w:rsidR="008C4239" w:rsidRPr="00691454" w:rsidP="008C4239" w14:paraId="55BC5675" w14:textId="77777777">
            <w:pPr>
              <w:jc w:val="right"/>
              <w:rPr>
                <w:b/>
              </w:rPr>
            </w:pPr>
            <w:r w:rsidRPr="00691454">
              <w:rPr>
                <w:b/>
              </w:rPr>
              <w:t>Total</w:t>
            </w:r>
          </w:p>
        </w:tc>
        <w:tc>
          <w:tcPr>
            <w:tcW w:w="1687" w:type="dxa"/>
          </w:tcPr>
          <w:p w:rsidR="008C4239" w:rsidRPr="00524ED5" w:rsidP="008C4239" w14:paraId="354DB7B9" w14:textId="77777777">
            <w:pPr>
              <w:jc w:val="center"/>
              <w:rPr>
                <w:b/>
                <w:bCs/>
              </w:rPr>
            </w:pPr>
            <w:r>
              <w:t>240</w:t>
            </w:r>
          </w:p>
        </w:tc>
      </w:tr>
    </w:tbl>
    <w:p w:rsidR="00F25BD3" w:rsidRPr="00691454" w:rsidP="00F25BD3" w14:paraId="1C7622AA" w14:textId="77777777">
      <w:pPr>
        <w:pStyle w:val="a"/>
        <w:tabs>
          <w:tab w:val="left" w:pos="-1440"/>
        </w:tabs>
        <w:ind w:left="0" w:firstLine="0"/>
      </w:pPr>
    </w:p>
    <w:p w:rsidR="00F25BD3" w:rsidP="00F25BD3" w14:paraId="3D0E3098" w14:textId="77777777"/>
    <w:p w:rsidR="008C4239" w:rsidP="00F25BD3" w14:paraId="064D60DD" w14:textId="77777777"/>
    <w:p w:rsidR="008C4239" w:rsidP="00F25BD3" w14:paraId="7C91BF32" w14:textId="77777777"/>
    <w:p w:rsidR="00F25BD3" w:rsidP="00F25BD3" w14:paraId="646B09CA" w14:textId="77777777">
      <w:pPr>
        <w:pStyle w:val="Bulleted"/>
        <w:numPr>
          <w:ilvl w:val="0"/>
          <w:numId w:val="0"/>
        </w:numPr>
      </w:pPr>
    </w:p>
    <w:p w:rsidR="00F25BD3" w:rsidRPr="00691454" w:rsidP="00F25BD3" w14:paraId="79636AAA" w14:textId="77777777">
      <w:pPr>
        <w:pStyle w:val="Bulleted"/>
        <w:numPr>
          <w:ilvl w:val="0"/>
          <w:numId w:val="0"/>
        </w:numPr>
      </w:pPr>
      <w:r w:rsidRPr="00691454">
        <w:t xml:space="preserve">A.12.b) </w:t>
      </w:r>
      <w:r w:rsidRPr="00380E1B">
        <w:t>A</w:t>
      </w:r>
      <w:r w:rsidRPr="00691454">
        <w:t xml:space="preserve">nnual burden cost </w:t>
      </w:r>
    </w:p>
    <w:p w:rsidR="00F25BD3" w:rsidP="00F25BD3" w14:paraId="75FFE541" w14:textId="77777777">
      <w:pPr>
        <w:pStyle w:val="SL-FlLftSgl"/>
      </w:pPr>
    </w:p>
    <w:p w:rsidR="00F25BD3" w:rsidP="00D90C0C" w14:paraId="3E08AA3A" w14:textId="3CF43381">
      <w:r w:rsidRPr="00BA5132">
        <w:rPr>
          <w:bCs/>
          <w:color w:val="000000"/>
        </w:rPr>
        <w:t xml:space="preserve">Because staff retrieving and sharing specified data with CDC will vary substantially across </w:t>
      </w:r>
      <w:r>
        <w:rPr>
          <w:bCs/>
          <w:color w:val="000000"/>
        </w:rPr>
        <w:t>jurisdictions</w:t>
      </w:r>
      <w:r w:rsidRPr="00BA5132">
        <w:rPr>
          <w:bCs/>
          <w:color w:val="000000"/>
        </w:rPr>
        <w:t>, the mean hourly wage of federal, state, and local government employees (</w:t>
      </w:r>
      <w:r w:rsidRPr="00BA5132">
        <w:t>$</w:t>
      </w:r>
      <w:r>
        <w:t>32</w:t>
      </w:r>
      <w:r w:rsidRPr="00BA5132">
        <w:t>.</w:t>
      </w:r>
      <w:r>
        <w:t>01</w:t>
      </w:r>
      <w:r w:rsidRPr="00BA5132">
        <w:rPr>
          <w:bCs/>
          <w:color w:val="000000"/>
        </w:rPr>
        <w:t>) as estimated by the Bureau of Labor Statistics (</w:t>
      </w:r>
      <w:hyperlink r:id="rId13" w:anchor="00-0000" w:history="1">
        <w:r w:rsidRPr="00BA5132">
          <w:rPr>
            <w:rStyle w:val="Hyperlink"/>
            <w:bCs/>
          </w:rPr>
          <w:t>https://www.bls.gov/oes/current/999001.htm#00-0000</w:t>
        </w:r>
      </w:hyperlink>
      <w:r w:rsidRPr="00BA5132">
        <w:rPr>
          <w:bCs/>
          <w:color w:val="000000"/>
        </w:rPr>
        <w:t>, accessed on Sept</w:t>
      </w:r>
      <w:r>
        <w:rPr>
          <w:bCs/>
          <w:color w:val="000000"/>
        </w:rPr>
        <w:t xml:space="preserve">ember 14, </w:t>
      </w:r>
      <w:r w:rsidRPr="00BA5132">
        <w:rPr>
          <w:bCs/>
          <w:color w:val="000000"/>
        </w:rPr>
        <w:t>20</w:t>
      </w:r>
      <w:r>
        <w:rPr>
          <w:bCs/>
          <w:color w:val="000000"/>
        </w:rPr>
        <w:t>23</w:t>
      </w:r>
      <w:r w:rsidRPr="00BA5132">
        <w:rPr>
          <w:bCs/>
          <w:color w:val="000000"/>
        </w:rPr>
        <w:t xml:space="preserve">) was used to estimate burden costs. </w:t>
      </w:r>
      <w:r w:rsidRPr="00BA5132">
        <w:t xml:space="preserve">Public Agencies who retrieve and refile records estimate costs </w:t>
      </w:r>
      <w:r w:rsidRPr="00F25BD3">
        <w:t>at [</w:t>
      </w:r>
      <w:r w:rsidR="0032033C">
        <w:t>240</w:t>
      </w:r>
      <w:r w:rsidRPr="00F25BD3">
        <w:t xml:space="preserve"> burden hours x $32.01/hour] = $</w:t>
      </w:r>
      <w:r w:rsidR="00F73109">
        <w:t>7</w:t>
      </w:r>
      <w:r w:rsidRPr="00F25BD3">
        <w:t>,</w:t>
      </w:r>
      <w:r w:rsidR="00F73109">
        <w:t>682.40</w:t>
      </w:r>
      <w:r w:rsidRPr="00F25BD3">
        <w:t>.</w:t>
      </w:r>
      <w:r w:rsidRPr="00BA5132">
        <w:t xml:space="preserve"> In some cases, state health departments may subcontract with the public agencies or otherwise find a way to defray these costs.</w:t>
      </w:r>
    </w:p>
    <w:p w:rsidR="008C4239" w:rsidP="00D90C0C" w14:paraId="6481F29A" w14:textId="77777777"/>
    <w:p w:rsidR="008C4239" w:rsidRPr="00D90C0C" w:rsidP="00D90C0C" w14:paraId="59FDB91F" w14:textId="77777777">
      <w:pPr>
        <w:rPr>
          <w:bCs/>
          <w:color w:val="000000"/>
        </w:rPr>
      </w:pPr>
    </w:p>
    <w:p w:rsidR="00F25BD3" w:rsidRPr="00691454" w:rsidP="00F25BD3" w14:paraId="6D7749E9" w14:textId="77777777">
      <w:r w:rsidRPr="00691454">
        <w:rPr>
          <w:bCs/>
        </w:rPr>
        <w:t>Table 2.</w:t>
      </w:r>
      <w:r w:rsidRPr="00691454">
        <w:t xml:space="preserve"> Estimated Annualized Burden Costs </w:t>
      </w:r>
    </w:p>
    <w:tbl>
      <w:tblPr>
        <w:tblpPr w:leftFromText="180" w:rightFromText="180" w:vertAnchor="text" w:horzAnchor="margin" w:tblpY="446"/>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350"/>
        <w:gridCol w:w="1350"/>
        <w:gridCol w:w="1710"/>
        <w:gridCol w:w="1890"/>
      </w:tblGrid>
      <w:tr w14:paraId="6FA390BF" w14:textId="77777777" w:rsidTr="008C4239">
        <w:tblPrEx>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75" w:type="dxa"/>
          </w:tcPr>
          <w:p w:rsidR="008C4239" w:rsidRPr="00524ED5" w:rsidP="008C4239" w14:paraId="02F84604" w14:textId="77777777">
            <w:pPr>
              <w:spacing w:line="276" w:lineRule="auto"/>
              <w:rPr>
                <w:rFonts w:eastAsia="Batang"/>
                <w:b/>
                <w:bCs/>
              </w:rPr>
            </w:pPr>
          </w:p>
          <w:p w:rsidR="008C4239" w:rsidRPr="00524ED5" w:rsidP="008C4239" w14:paraId="09A2B636" w14:textId="77777777">
            <w:pPr>
              <w:spacing w:line="276" w:lineRule="auto"/>
              <w:jc w:val="center"/>
              <w:rPr>
                <w:rFonts w:eastAsia="Batang"/>
                <w:b/>
                <w:bCs/>
              </w:rPr>
            </w:pPr>
            <w:r w:rsidRPr="00524ED5">
              <w:rPr>
                <w:rFonts w:eastAsia="Batang"/>
                <w:b/>
                <w:bCs/>
              </w:rPr>
              <w:t>Type of Respondent</w:t>
            </w:r>
          </w:p>
        </w:tc>
        <w:tc>
          <w:tcPr>
            <w:tcW w:w="1350" w:type="dxa"/>
          </w:tcPr>
          <w:p w:rsidR="008C4239" w:rsidRPr="00524ED5" w:rsidP="008C4239" w14:paraId="4234F648" w14:textId="77777777">
            <w:pPr>
              <w:spacing w:line="276" w:lineRule="auto"/>
              <w:jc w:val="center"/>
              <w:rPr>
                <w:rFonts w:eastAsia="Batang"/>
                <w:b/>
                <w:bCs/>
              </w:rPr>
            </w:pPr>
            <w:r w:rsidRPr="008C4239">
              <w:rPr>
                <w:rFonts w:eastAsia="Batang"/>
                <w:b/>
                <w:bCs/>
              </w:rPr>
              <w:t>Form Name</w:t>
            </w:r>
          </w:p>
        </w:tc>
        <w:tc>
          <w:tcPr>
            <w:tcW w:w="1350" w:type="dxa"/>
            <w:vAlign w:val="center"/>
          </w:tcPr>
          <w:p w:rsidR="008C4239" w:rsidRPr="00524ED5" w:rsidP="008C4239" w14:paraId="04D90FA0" w14:textId="77777777">
            <w:pPr>
              <w:spacing w:line="276" w:lineRule="auto"/>
              <w:jc w:val="center"/>
              <w:rPr>
                <w:rFonts w:eastAsia="Batang"/>
                <w:b/>
                <w:bCs/>
              </w:rPr>
            </w:pPr>
            <w:r w:rsidRPr="00524ED5">
              <w:rPr>
                <w:rFonts w:eastAsia="Batang"/>
                <w:b/>
                <w:bCs/>
              </w:rPr>
              <w:t>Total Burden (Hours)</w:t>
            </w:r>
          </w:p>
        </w:tc>
        <w:tc>
          <w:tcPr>
            <w:tcW w:w="1710" w:type="dxa"/>
            <w:vAlign w:val="center"/>
          </w:tcPr>
          <w:p w:rsidR="008C4239" w:rsidRPr="00524ED5" w:rsidP="008C4239" w14:paraId="163931C3" w14:textId="77777777">
            <w:pPr>
              <w:spacing w:line="276" w:lineRule="auto"/>
              <w:jc w:val="center"/>
              <w:rPr>
                <w:rFonts w:eastAsia="Batang"/>
                <w:b/>
                <w:bCs/>
              </w:rPr>
            </w:pPr>
            <w:r w:rsidRPr="00524ED5">
              <w:rPr>
                <w:rFonts w:eastAsia="Batang"/>
                <w:b/>
                <w:bCs/>
              </w:rPr>
              <w:t>Average Hourly Wage Rate (in dollars)</w:t>
            </w:r>
          </w:p>
        </w:tc>
        <w:tc>
          <w:tcPr>
            <w:tcW w:w="1890" w:type="dxa"/>
            <w:vAlign w:val="center"/>
          </w:tcPr>
          <w:p w:rsidR="008C4239" w:rsidRPr="00524ED5" w:rsidP="008C4239" w14:paraId="2B36C801" w14:textId="77777777">
            <w:pPr>
              <w:spacing w:line="276" w:lineRule="auto"/>
              <w:jc w:val="center"/>
              <w:rPr>
                <w:rFonts w:eastAsia="Batang"/>
                <w:b/>
                <w:bCs/>
              </w:rPr>
            </w:pPr>
            <w:r w:rsidRPr="00524ED5">
              <w:rPr>
                <w:rFonts w:eastAsia="Batang"/>
                <w:b/>
                <w:bCs/>
              </w:rPr>
              <w:t>Total</w:t>
            </w:r>
            <w:r>
              <w:rPr>
                <w:rFonts w:eastAsia="Batang"/>
                <w:b/>
                <w:bCs/>
              </w:rPr>
              <w:t xml:space="preserve"> </w:t>
            </w:r>
            <w:r w:rsidRPr="00524ED5">
              <w:rPr>
                <w:rFonts w:eastAsia="Batang"/>
                <w:b/>
                <w:bCs/>
              </w:rPr>
              <w:t>Cost</w:t>
            </w:r>
          </w:p>
        </w:tc>
      </w:tr>
      <w:tr w14:paraId="7D6E0337" w14:textId="77777777" w:rsidTr="008C4239">
        <w:tblPrEx>
          <w:tblW w:w="8275" w:type="dxa"/>
          <w:tblLayout w:type="fixed"/>
          <w:tblLook w:val="01E0"/>
        </w:tblPrEx>
        <w:tc>
          <w:tcPr>
            <w:tcW w:w="1975" w:type="dxa"/>
            <w:vMerge w:val="restart"/>
          </w:tcPr>
          <w:p w:rsidR="008C4239" w:rsidRPr="00691454" w:rsidP="008C4239" w14:paraId="70F4ED0A" w14:textId="77777777">
            <w:pPr>
              <w:rPr>
                <w:rFonts w:eastAsia="Batang"/>
              </w:rPr>
            </w:pPr>
            <w:r w:rsidRPr="00193E38">
              <w:rPr>
                <w:sz w:val="22"/>
                <w:szCs w:val="22"/>
              </w:rPr>
              <w:t xml:space="preserve">Participating health departments </w:t>
            </w:r>
            <w:r w:rsidRPr="00193E38">
              <w:rPr>
                <w:sz w:val="22"/>
                <w:szCs w:val="22"/>
              </w:rPr>
              <w:t>reporting  aggregate</w:t>
            </w:r>
            <w:r w:rsidRPr="00193E38">
              <w:rPr>
                <w:sz w:val="22"/>
                <w:szCs w:val="22"/>
              </w:rPr>
              <w:t xml:space="preserve"> data to CDC using </w:t>
            </w:r>
            <w:r>
              <w:rPr>
                <w:sz w:val="22"/>
                <w:szCs w:val="22"/>
              </w:rPr>
              <w:t>REDCap</w:t>
            </w:r>
            <w:r w:rsidRPr="00193E38">
              <w:rPr>
                <w:sz w:val="22"/>
                <w:szCs w:val="22"/>
              </w:rPr>
              <w:t xml:space="preserve"> </w:t>
            </w:r>
          </w:p>
        </w:tc>
        <w:tc>
          <w:tcPr>
            <w:tcW w:w="1350" w:type="dxa"/>
          </w:tcPr>
          <w:p w:rsidR="008C4239" w:rsidP="008C4239" w14:paraId="7F3689FF" w14:textId="77777777">
            <w:pPr>
              <w:jc w:val="center"/>
              <w:rPr>
                <w:sz w:val="22"/>
                <w:szCs w:val="22"/>
              </w:rPr>
            </w:pPr>
            <w:r>
              <w:rPr>
                <w:sz w:val="22"/>
                <w:szCs w:val="22"/>
              </w:rPr>
              <w:t>REDCap</w:t>
            </w:r>
            <w:r w:rsidRPr="00193E38">
              <w:rPr>
                <w:sz w:val="22"/>
                <w:szCs w:val="22"/>
              </w:rPr>
              <w:t xml:space="preserve"> Data </w:t>
            </w:r>
            <w:r>
              <w:rPr>
                <w:sz w:val="22"/>
                <w:szCs w:val="22"/>
              </w:rPr>
              <w:t>Import Template (Up to 48 indicators)</w:t>
            </w:r>
            <w:r w:rsidRPr="00193E38">
              <w:rPr>
                <w:sz w:val="22"/>
                <w:szCs w:val="22"/>
              </w:rPr>
              <w:t xml:space="preserve"> </w:t>
            </w:r>
          </w:p>
          <w:p w:rsidR="008C4239" w:rsidP="008C4239" w14:paraId="6A58F518" w14:textId="77777777">
            <w:pPr>
              <w:spacing w:line="276" w:lineRule="auto"/>
              <w:jc w:val="center"/>
              <w:rPr>
                <w:sz w:val="22"/>
                <w:szCs w:val="22"/>
              </w:rPr>
            </w:pPr>
            <w:r>
              <w:rPr>
                <w:sz w:val="22"/>
                <w:szCs w:val="22"/>
              </w:rPr>
              <w:t>Att. D</w:t>
            </w:r>
          </w:p>
        </w:tc>
        <w:tc>
          <w:tcPr>
            <w:tcW w:w="1350" w:type="dxa"/>
            <w:vAlign w:val="center"/>
          </w:tcPr>
          <w:p w:rsidR="008C4239" w:rsidRPr="00691454" w:rsidP="008C4239" w14:paraId="71BF847D" w14:textId="77777777">
            <w:pPr>
              <w:spacing w:line="276" w:lineRule="auto"/>
              <w:jc w:val="center"/>
              <w:rPr>
                <w:rFonts w:eastAsia="Batang"/>
              </w:rPr>
            </w:pPr>
            <w:r>
              <w:rPr>
                <w:sz w:val="22"/>
                <w:szCs w:val="22"/>
              </w:rPr>
              <w:t>192</w:t>
            </w:r>
          </w:p>
        </w:tc>
        <w:tc>
          <w:tcPr>
            <w:tcW w:w="1710" w:type="dxa"/>
            <w:vAlign w:val="center"/>
          </w:tcPr>
          <w:p w:rsidR="008C4239" w:rsidRPr="00691454" w:rsidP="008C4239" w14:paraId="5B4AA964" w14:textId="77777777">
            <w:pPr>
              <w:spacing w:line="276" w:lineRule="auto"/>
              <w:jc w:val="center"/>
              <w:rPr>
                <w:rFonts w:eastAsia="Batang"/>
              </w:rPr>
            </w:pPr>
            <w:r w:rsidRPr="00BA5132">
              <w:t>$</w:t>
            </w:r>
            <w:r>
              <w:t>32</w:t>
            </w:r>
            <w:r w:rsidRPr="00BA5132">
              <w:t>.</w:t>
            </w:r>
            <w:r>
              <w:t>01</w:t>
            </w:r>
          </w:p>
        </w:tc>
        <w:tc>
          <w:tcPr>
            <w:tcW w:w="1890" w:type="dxa"/>
            <w:vAlign w:val="center"/>
          </w:tcPr>
          <w:p w:rsidR="008C4239" w:rsidRPr="00691454" w:rsidP="008C4239" w14:paraId="5A515671" w14:textId="77777777">
            <w:pPr>
              <w:spacing w:line="276" w:lineRule="auto"/>
              <w:jc w:val="center"/>
              <w:rPr>
                <w:rFonts w:eastAsia="Batang"/>
              </w:rPr>
            </w:pPr>
            <w:r w:rsidRPr="00F25BD3">
              <w:t>$</w:t>
            </w:r>
            <w:r>
              <w:t>6,145.92</w:t>
            </w:r>
          </w:p>
        </w:tc>
      </w:tr>
      <w:tr w14:paraId="5828F9BE" w14:textId="77777777" w:rsidTr="008C4239">
        <w:tblPrEx>
          <w:tblW w:w="8275" w:type="dxa"/>
          <w:tblLayout w:type="fixed"/>
          <w:tblLook w:val="01E0"/>
        </w:tblPrEx>
        <w:tc>
          <w:tcPr>
            <w:tcW w:w="1975" w:type="dxa"/>
            <w:vMerge/>
          </w:tcPr>
          <w:p w:rsidR="008C4239" w:rsidRPr="00193E38" w:rsidP="008C4239" w14:paraId="007E50D7" w14:textId="77777777">
            <w:pPr>
              <w:rPr>
                <w:sz w:val="22"/>
                <w:szCs w:val="22"/>
              </w:rPr>
            </w:pPr>
          </w:p>
        </w:tc>
        <w:tc>
          <w:tcPr>
            <w:tcW w:w="1350" w:type="dxa"/>
          </w:tcPr>
          <w:p w:rsidR="008C4239" w:rsidP="008C4239" w14:paraId="08F00553" w14:textId="77777777">
            <w:pPr>
              <w:jc w:val="center"/>
              <w:rPr>
                <w:sz w:val="22"/>
                <w:szCs w:val="22"/>
              </w:rPr>
            </w:pPr>
            <w:r>
              <w:rPr>
                <w:sz w:val="22"/>
                <w:szCs w:val="22"/>
              </w:rPr>
              <w:t>REDCap</w:t>
            </w:r>
            <w:r w:rsidRPr="00193E38">
              <w:rPr>
                <w:sz w:val="22"/>
                <w:szCs w:val="22"/>
              </w:rPr>
              <w:t xml:space="preserve"> Data Entry Form</w:t>
            </w:r>
            <w:r>
              <w:rPr>
                <w:sz w:val="22"/>
                <w:szCs w:val="22"/>
              </w:rPr>
              <w:t xml:space="preserve"> (8 metadata questions)</w:t>
            </w:r>
          </w:p>
          <w:p w:rsidR="008C4239" w:rsidP="008C4239" w14:paraId="7B0903FC" w14:textId="77777777">
            <w:pPr>
              <w:spacing w:line="276" w:lineRule="auto"/>
              <w:jc w:val="center"/>
              <w:rPr>
                <w:sz w:val="22"/>
                <w:szCs w:val="22"/>
              </w:rPr>
            </w:pPr>
            <w:r>
              <w:rPr>
                <w:sz w:val="22"/>
                <w:szCs w:val="22"/>
              </w:rPr>
              <w:t>Att</w:t>
            </w:r>
            <w:r>
              <w:rPr>
                <w:sz w:val="22"/>
                <w:szCs w:val="22"/>
              </w:rPr>
              <w:t xml:space="preserve"> C</w:t>
            </w:r>
          </w:p>
        </w:tc>
        <w:tc>
          <w:tcPr>
            <w:tcW w:w="1350" w:type="dxa"/>
            <w:vAlign w:val="center"/>
          </w:tcPr>
          <w:p w:rsidR="008C4239" w:rsidP="008C4239" w14:paraId="23EAE727" w14:textId="77777777">
            <w:pPr>
              <w:spacing w:line="276" w:lineRule="auto"/>
              <w:jc w:val="center"/>
              <w:rPr>
                <w:sz w:val="22"/>
                <w:szCs w:val="22"/>
              </w:rPr>
            </w:pPr>
            <w:r>
              <w:rPr>
                <w:sz w:val="22"/>
                <w:szCs w:val="22"/>
              </w:rPr>
              <w:t>48</w:t>
            </w:r>
          </w:p>
        </w:tc>
        <w:tc>
          <w:tcPr>
            <w:tcW w:w="1710" w:type="dxa"/>
            <w:vAlign w:val="center"/>
          </w:tcPr>
          <w:p w:rsidR="008C4239" w:rsidRPr="00BA5132" w:rsidP="008C4239" w14:paraId="05B28422" w14:textId="77777777">
            <w:pPr>
              <w:spacing w:line="276" w:lineRule="auto"/>
              <w:jc w:val="center"/>
            </w:pPr>
            <w:r>
              <w:t>$32.01</w:t>
            </w:r>
          </w:p>
        </w:tc>
        <w:tc>
          <w:tcPr>
            <w:tcW w:w="1890" w:type="dxa"/>
            <w:vAlign w:val="center"/>
          </w:tcPr>
          <w:p w:rsidR="008C4239" w:rsidRPr="00F25BD3" w:rsidP="008C4239" w14:paraId="2C83D256" w14:textId="77777777">
            <w:pPr>
              <w:spacing w:line="276" w:lineRule="auto"/>
              <w:jc w:val="center"/>
            </w:pPr>
            <w:r w:rsidRPr="00F25BD3">
              <w:t>$</w:t>
            </w:r>
            <w:r>
              <w:t>1,536.48</w:t>
            </w:r>
          </w:p>
        </w:tc>
      </w:tr>
      <w:tr w14:paraId="5CFAFCD3" w14:textId="77777777" w:rsidTr="008C4239">
        <w:tblPrEx>
          <w:tblW w:w="8275" w:type="dxa"/>
          <w:tblLayout w:type="fixed"/>
          <w:tblLook w:val="01E0"/>
        </w:tblPrEx>
        <w:tc>
          <w:tcPr>
            <w:tcW w:w="8275" w:type="dxa"/>
            <w:gridSpan w:val="5"/>
          </w:tcPr>
          <w:p w:rsidR="008C4239" w:rsidRPr="00F25BD3" w:rsidP="008C4239" w14:paraId="3701D952" w14:textId="77777777">
            <w:pPr>
              <w:spacing w:line="276" w:lineRule="auto"/>
              <w:jc w:val="center"/>
            </w:pPr>
            <w:r>
              <w:t xml:space="preserve">Total                                                                                                 </w:t>
            </w:r>
            <w:r w:rsidRPr="00F25BD3">
              <w:t>$</w:t>
            </w:r>
            <w:r>
              <w:t>7</w:t>
            </w:r>
            <w:r w:rsidRPr="00F25BD3">
              <w:t>,</w:t>
            </w:r>
            <w:r>
              <w:t>682.40</w:t>
            </w:r>
          </w:p>
        </w:tc>
      </w:tr>
    </w:tbl>
    <w:p w:rsidR="00C55DD2" w:rsidP="00E704DE" w14:paraId="04D811D0" w14:textId="3A4F1D87">
      <w:pPr>
        <w:rPr>
          <w:b/>
        </w:rPr>
      </w:pPr>
    </w:p>
    <w:p w:rsidR="008C7385" w:rsidP="00B71CAA" w14:paraId="243E53F0" w14:textId="77777777">
      <w:pPr>
        <w:pStyle w:val="Heading1"/>
        <w:tabs>
          <w:tab w:val="left" w:pos="540"/>
          <w:tab w:val="clear" w:pos="1152"/>
        </w:tabs>
        <w:spacing w:after="0" w:line="240" w:lineRule="auto"/>
        <w:ind w:left="0" w:firstLine="0"/>
        <w:jc w:val="left"/>
        <w:rPr>
          <w:sz w:val="24"/>
          <w:szCs w:val="24"/>
        </w:rPr>
      </w:pPr>
      <w:bookmarkStart w:id="33" w:name="_Toc145659498"/>
    </w:p>
    <w:p w:rsidR="008C7385" w:rsidP="009F53B8" w14:paraId="6C7CB02D" w14:textId="77777777">
      <w:pPr>
        <w:pStyle w:val="Heading1"/>
        <w:tabs>
          <w:tab w:val="left" w:pos="540"/>
          <w:tab w:val="clear" w:pos="1152"/>
        </w:tabs>
        <w:spacing w:after="0" w:line="240" w:lineRule="auto"/>
        <w:jc w:val="left"/>
        <w:rPr>
          <w:sz w:val="24"/>
          <w:szCs w:val="24"/>
        </w:rPr>
      </w:pPr>
    </w:p>
    <w:p w:rsidR="00D90C0C" w:rsidP="00D90C0C" w14:paraId="0F80C871" w14:textId="77777777"/>
    <w:p w:rsidR="00D90C0C" w:rsidP="00D90C0C" w14:paraId="55EEE999" w14:textId="77777777"/>
    <w:p w:rsidR="00D90C0C" w:rsidP="00D90C0C" w14:paraId="32A11A49" w14:textId="77777777"/>
    <w:p w:rsidR="00D90C0C" w:rsidP="00D90C0C" w14:paraId="0E79CBC7" w14:textId="77777777"/>
    <w:p w:rsidR="00D90C0C" w:rsidP="00D90C0C" w14:paraId="2AD36920" w14:textId="77777777"/>
    <w:p w:rsidR="00D90C0C" w:rsidP="00D90C0C" w14:paraId="767C2B2A" w14:textId="77777777"/>
    <w:p w:rsidR="00D90C0C" w:rsidP="00D90C0C" w14:paraId="3EC0BAD4" w14:textId="77777777"/>
    <w:p w:rsidR="00D90C0C" w:rsidP="00D90C0C" w14:paraId="7F6767DB" w14:textId="77777777"/>
    <w:p w:rsidR="00D90C0C" w:rsidP="00D90C0C" w14:paraId="4034F7CE" w14:textId="77777777"/>
    <w:p w:rsidR="00D90C0C" w:rsidRPr="00D90C0C" w:rsidP="00D90C0C" w14:paraId="69747CB5" w14:textId="77777777"/>
    <w:p w:rsidR="008C4239" w:rsidP="009F53B8" w14:paraId="0B68D1DA" w14:textId="77777777">
      <w:pPr>
        <w:pStyle w:val="Heading1"/>
        <w:tabs>
          <w:tab w:val="left" w:pos="540"/>
          <w:tab w:val="clear" w:pos="1152"/>
        </w:tabs>
        <w:spacing w:after="0" w:line="240" w:lineRule="auto"/>
        <w:jc w:val="left"/>
        <w:rPr>
          <w:sz w:val="24"/>
          <w:szCs w:val="24"/>
        </w:rPr>
      </w:pPr>
      <w:bookmarkStart w:id="34" w:name="_Toc150420026"/>
    </w:p>
    <w:p w:rsidR="008C4239" w:rsidP="009F53B8" w14:paraId="7B4BECE1" w14:textId="77777777">
      <w:pPr>
        <w:pStyle w:val="Heading1"/>
        <w:tabs>
          <w:tab w:val="left" w:pos="540"/>
          <w:tab w:val="clear" w:pos="1152"/>
        </w:tabs>
        <w:spacing w:after="0" w:line="240" w:lineRule="auto"/>
        <w:jc w:val="left"/>
        <w:rPr>
          <w:sz w:val="24"/>
          <w:szCs w:val="24"/>
        </w:rPr>
      </w:pPr>
    </w:p>
    <w:p w:rsidR="008C4239" w:rsidP="009F53B8" w14:paraId="5A5F73F8" w14:textId="77777777">
      <w:pPr>
        <w:pStyle w:val="Heading1"/>
        <w:tabs>
          <w:tab w:val="left" w:pos="540"/>
          <w:tab w:val="clear" w:pos="1152"/>
        </w:tabs>
        <w:spacing w:after="0" w:line="240" w:lineRule="auto"/>
        <w:jc w:val="left"/>
        <w:rPr>
          <w:sz w:val="24"/>
          <w:szCs w:val="24"/>
        </w:rPr>
      </w:pPr>
    </w:p>
    <w:p w:rsidR="008C4239" w:rsidP="009F53B8" w14:paraId="2401D4DA" w14:textId="77777777">
      <w:pPr>
        <w:pStyle w:val="Heading1"/>
        <w:tabs>
          <w:tab w:val="left" w:pos="540"/>
          <w:tab w:val="clear" w:pos="1152"/>
        </w:tabs>
        <w:spacing w:after="0" w:line="240" w:lineRule="auto"/>
        <w:jc w:val="left"/>
        <w:rPr>
          <w:sz w:val="24"/>
          <w:szCs w:val="24"/>
        </w:rPr>
      </w:pPr>
    </w:p>
    <w:p w:rsidR="008C4239" w:rsidP="009F53B8" w14:paraId="017AD2CF" w14:textId="77777777">
      <w:pPr>
        <w:pStyle w:val="Heading1"/>
        <w:tabs>
          <w:tab w:val="left" w:pos="540"/>
          <w:tab w:val="clear" w:pos="1152"/>
        </w:tabs>
        <w:spacing w:after="0" w:line="240" w:lineRule="auto"/>
        <w:jc w:val="left"/>
        <w:rPr>
          <w:sz w:val="24"/>
          <w:szCs w:val="24"/>
        </w:rPr>
      </w:pPr>
    </w:p>
    <w:p w:rsidR="008C4239" w:rsidP="009F53B8" w14:paraId="1C3D6C20" w14:textId="77777777">
      <w:pPr>
        <w:pStyle w:val="Heading1"/>
        <w:tabs>
          <w:tab w:val="left" w:pos="540"/>
          <w:tab w:val="clear" w:pos="1152"/>
        </w:tabs>
        <w:spacing w:after="0" w:line="240" w:lineRule="auto"/>
        <w:jc w:val="left"/>
        <w:rPr>
          <w:sz w:val="24"/>
          <w:szCs w:val="24"/>
        </w:rPr>
      </w:pPr>
    </w:p>
    <w:p w:rsidR="008C4239" w:rsidP="009F53B8" w14:paraId="374D26B4" w14:textId="77777777">
      <w:pPr>
        <w:pStyle w:val="Heading1"/>
        <w:tabs>
          <w:tab w:val="left" w:pos="540"/>
          <w:tab w:val="clear" w:pos="1152"/>
        </w:tabs>
        <w:spacing w:after="0" w:line="240" w:lineRule="auto"/>
        <w:jc w:val="left"/>
        <w:rPr>
          <w:sz w:val="24"/>
          <w:szCs w:val="24"/>
        </w:rPr>
      </w:pPr>
    </w:p>
    <w:p w:rsidR="008C4239" w:rsidP="009F53B8" w14:paraId="1E071485" w14:textId="77777777">
      <w:pPr>
        <w:pStyle w:val="Heading1"/>
        <w:tabs>
          <w:tab w:val="left" w:pos="540"/>
          <w:tab w:val="clear" w:pos="1152"/>
        </w:tabs>
        <w:spacing w:after="0" w:line="240" w:lineRule="auto"/>
        <w:jc w:val="left"/>
        <w:rPr>
          <w:sz w:val="24"/>
          <w:szCs w:val="24"/>
        </w:rPr>
      </w:pPr>
    </w:p>
    <w:p w:rsidR="00972DEF" w:rsidP="009F53B8" w14:paraId="04D811D1" w14:textId="25D2AB6C">
      <w:pPr>
        <w:pStyle w:val="Heading1"/>
        <w:tabs>
          <w:tab w:val="left" w:pos="540"/>
          <w:tab w:val="clear" w:pos="1152"/>
        </w:tabs>
        <w:spacing w:after="0" w:line="240" w:lineRule="auto"/>
        <w:jc w:val="left"/>
        <w:rPr>
          <w:sz w:val="24"/>
          <w:szCs w:val="24"/>
        </w:rPr>
      </w:pPr>
      <w:r w:rsidRPr="003C53C2">
        <w:rPr>
          <w:sz w:val="24"/>
          <w:szCs w:val="24"/>
        </w:rPr>
        <w:t xml:space="preserve">A.13. </w:t>
      </w:r>
      <w:r w:rsidRPr="003C53C2">
        <w:rPr>
          <w:sz w:val="24"/>
          <w:szCs w:val="24"/>
        </w:rPr>
        <w:tab/>
        <w:t>Estimates of Other Total Annual Cost Burden to Respondents or Record Keepers</w:t>
      </w:r>
      <w:bookmarkEnd w:id="33"/>
      <w:bookmarkEnd w:id="34"/>
    </w:p>
    <w:p w:rsidR="00D90C0C" w:rsidRPr="00D90C0C" w:rsidP="00D90C0C" w14:paraId="0C40D28B" w14:textId="77777777"/>
    <w:p w:rsidR="003C53C2" w:rsidP="003C53C2" w14:paraId="754AB2CF" w14:textId="77777777">
      <w:r w:rsidRPr="005511A5">
        <w:t>Respondents will incur no capital or maintenance costs.</w:t>
      </w:r>
    </w:p>
    <w:p w:rsidR="008C4239" w:rsidRPr="005511A5" w:rsidP="003C53C2" w14:paraId="096C1555" w14:textId="77777777"/>
    <w:p w:rsidR="003C53C2" w:rsidRPr="00722FF6" w:rsidP="00E704DE" w14:paraId="1A459C54" w14:textId="77777777">
      <w:pPr>
        <w:rPr>
          <w:b/>
          <w:highlight w:val="yellow"/>
        </w:rPr>
      </w:pPr>
    </w:p>
    <w:p w:rsidR="00972DEF" w:rsidRPr="009F53B8" w:rsidP="009F53B8" w14:paraId="04D811D3" w14:textId="77777777">
      <w:pPr>
        <w:pStyle w:val="Heading1"/>
        <w:tabs>
          <w:tab w:val="left" w:pos="540"/>
          <w:tab w:val="clear" w:pos="1152"/>
        </w:tabs>
        <w:spacing w:after="0" w:line="240" w:lineRule="auto"/>
        <w:jc w:val="left"/>
        <w:rPr>
          <w:sz w:val="24"/>
          <w:szCs w:val="24"/>
        </w:rPr>
      </w:pPr>
      <w:bookmarkStart w:id="35" w:name="_Toc145659499"/>
      <w:bookmarkStart w:id="36" w:name="_Toc150420027"/>
      <w:r w:rsidRPr="00E72FB8">
        <w:rPr>
          <w:sz w:val="24"/>
          <w:szCs w:val="24"/>
        </w:rPr>
        <w:t xml:space="preserve">A.14. </w:t>
      </w:r>
      <w:r w:rsidRPr="00E72FB8">
        <w:rPr>
          <w:sz w:val="24"/>
          <w:szCs w:val="24"/>
        </w:rPr>
        <w:tab/>
        <w:t>Annualized Cost to the Government</w:t>
      </w:r>
      <w:bookmarkEnd w:id="35"/>
      <w:bookmarkEnd w:id="36"/>
      <w:r w:rsidRPr="009F53B8">
        <w:rPr>
          <w:sz w:val="24"/>
          <w:szCs w:val="24"/>
        </w:rPr>
        <w:t xml:space="preserve"> </w:t>
      </w:r>
    </w:p>
    <w:p w:rsidR="00900CA4" w:rsidP="00900CA4" w14:paraId="1C197596" w14:textId="77777777">
      <w:pPr>
        <w:autoSpaceDE w:val="0"/>
        <w:autoSpaceDN w:val="0"/>
        <w:adjustRightInd w:val="0"/>
      </w:pPr>
    </w:p>
    <w:p w:rsidR="00900CA4" w:rsidRPr="00EC44F4" w:rsidP="00900CA4" w14:paraId="157EBEA4" w14:textId="215F6F07">
      <w:pPr>
        <w:autoSpaceDE w:val="0"/>
        <w:autoSpaceDN w:val="0"/>
        <w:adjustRightInd w:val="0"/>
      </w:pPr>
      <w:r w:rsidRPr="00EC44F4">
        <w:t>The average annualized cost to the federal govern</w:t>
      </w:r>
      <w:r w:rsidRPr="00B046FB">
        <w:t>ment is $</w:t>
      </w:r>
      <w:r w:rsidRPr="00B046FB" w:rsidR="00B046FB">
        <w:t>308</w:t>
      </w:r>
      <w:r w:rsidRPr="00B046FB" w:rsidR="00B56DE1">
        <w:t>,</w:t>
      </w:r>
      <w:r w:rsidRPr="00B046FB" w:rsidR="00B046FB">
        <w:t>967</w:t>
      </w:r>
      <w:r w:rsidR="00B046FB">
        <w:t>.92</w:t>
      </w:r>
      <w:r w:rsidRPr="00EC44F4">
        <w:t xml:space="preserve">, as summarized in Table </w:t>
      </w:r>
      <w:r w:rsidR="00B56DE1">
        <w:t>3</w:t>
      </w:r>
      <w:r w:rsidRPr="00EC44F4">
        <w:t>.</w:t>
      </w:r>
    </w:p>
    <w:p w:rsidR="0012575C" w:rsidP="00013F0A" w14:paraId="04D811D4" w14:textId="77777777">
      <w:pPr>
        <w:pStyle w:val="SL-FlLftSgl"/>
      </w:pPr>
    </w:p>
    <w:p w:rsidR="008C4239" w:rsidP="00013F0A" w14:paraId="173017E8" w14:textId="77777777">
      <w:pPr>
        <w:pStyle w:val="SL-FlLftSgl"/>
      </w:pPr>
    </w:p>
    <w:p w:rsidR="008C4239" w:rsidRPr="00691454" w:rsidP="00013F0A" w14:paraId="64CC79C9" w14:textId="77777777">
      <w:pPr>
        <w:pStyle w:val="SL-FlLftSgl"/>
      </w:pPr>
    </w:p>
    <w:p w:rsidR="00900CA4" w:rsidP="005D4291" w14:paraId="6A66694F" w14:textId="77777777">
      <w:pPr>
        <w:pStyle w:val="SL-FlLftSgl"/>
      </w:pPr>
    </w:p>
    <w:p w:rsidR="00144640" w:rsidRPr="00691454" w:rsidP="005D4291" w14:paraId="04D811D6" w14:textId="72B42D43">
      <w:pPr>
        <w:pStyle w:val="SL-FlLftSgl"/>
      </w:pPr>
      <w:r w:rsidRPr="00691454">
        <w:t>Table 3.  Estimated Annual</w:t>
      </w:r>
      <w:r w:rsidRPr="00691454" w:rsidR="001B43C7">
        <w:t>ized</w:t>
      </w:r>
      <w:r w:rsidRPr="00691454">
        <w:t xml:space="preserve"> Cost</w:t>
      </w:r>
      <w:r w:rsidRPr="00691454" w:rsidR="001B43C7">
        <w:t xml:space="preserve"> to the Government</w:t>
      </w:r>
    </w:p>
    <w:p w:rsidR="00985DE2" w:rsidP="00B71CAA" w14:paraId="2AA3A603" w14:textId="3F219265">
      <w:pPr>
        <w:pStyle w:val="Heading3"/>
        <w:tabs>
          <w:tab w:val="clear" w:pos="864"/>
        </w:tabs>
        <w:ind w:left="0" w:firstLine="0"/>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2070"/>
      </w:tblGrid>
      <w:tr w14:paraId="1C09E3A3" w14:textId="77777777" w:rsidTr="00AF4460">
        <w:tblPrEx>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088" w:type="dxa"/>
          </w:tcPr>
          <w:p w:rsidR="002814A1" w:rsidRPr="00EC44F4" w:rsidP="00AF4460" w14:paraId="4A46A10D" w14:textId="77777777">
            <w:r w:rsidRPr="00EC44F4">
              <w:t>Type of Cost</w:t>
            </w:r>
          </w:p>
        </w:tc>
        <w:tc>
          <w:tcPr>
            <w:tcW w:w="5490" w:type="dxa"/>
          </w:tcPr>
          <w:p w:rsidR="002814A1" w:rsidRPr="00EC44F4" w:rsidP="00AF4460" w14:paraId="129D3CC1" w14:textId="77777777">
            <w:r w:rsidRPr="00EC44F4">
              <w:t>Description of Services</w:t>
            </w:r>
          </w:p>
        </w:tc>
        <w:tc>
          <w:tcPr>
            <w:tcW w:w="2070" w:type="dxa"/>
          </w:tcPr>
          <w:p w:rsidR="002814A1" w:rsidRPr="00EC44F4" w:rsidP="00AF4460" w14:paraId="3530611A" w14:textId="77777777">
            <w:r w:rsidRPr="00EC44F4">
              <w:t>Annual Cost</w:t>
            </w:r>
          </w:p>
        </w:tc>
      </w:tr>
      <w:tr w14:paraId="52E36385" w14:textId="77777777" w:rsidTr="00AF4460">
        <w:tblPrEx>
          <w:tblW w:w="9648" w:type="dxa"/>
          <w:jc w:val="center"/>
          <w:tblLook w:val="01E0"/>
        </w:tblPrEx>
        <w:trPr>
          <w:jc w:val="center"/>
        </w:trPr>
        <w:tc>
          <w:tcPr>
            <w:tcW w:w="2088" w:type="dxa"/>
          </w:tcPr>
          <w:p w:rsidR="002814A1" w:rsidRPr="00EC44F4" w:rsidP="00AF4460" w14:paraId="426E98BD" w14:textId="77777777">
            <w:r w:rsidRPr="00EC44F4">
              <w:t>CDC Personnel</w:t>
            </w:r>
          </w:p>
          <w:p w:rsidR="002814A1" w:rsidRPr="00EC44F4" w:rsidP="00AF4460" w14:paraId="27E6712A" w14:textId="77777777">
            <w:pPr>
              <w:rPr>
                <w:vertAlign w:val="superscript"/>
              </w:rPr>
            </w:pPr>
          </w:p>
        </w:tc>
        <w:tc>
          <w:tcPr>
            <w:tcW w:w="5490" w:type="dxa"/>
          </w:tcPr>
          <w:p w:rsidR="002814A1" w:rsidP="002814A1" w14:paraId="4E901E51" w14:textId="456E7472">
            <w:pPr>
              <w:pStyle w:val="ListParagraph"/>
              <w:numPr>
                <w:ilvl w:val="0"/>
                <w:numId w:val="60"/>
              </w:numPr>
              <w:ind w:left="228" w:hanging="180"/>
            </w:pPr>
            <w:r>
              <w:t>50</w:t>
            </w:r>
            <w:r w:rsidR="00324E1D">
              <w:t xml:space="preserve">% </w:t>
            </w:r>
            <w:r>
              <w:t xml:space="preserve">GS-14 @ </w:t>
            </w:r>
            <w:r w:rsidRPr="005F37F4" w:rsidR="005F37F4">
              <w:t>$113,228</w:t>
            </w:r>
            <w:r w:rsidR="005F37F4">
              <w:t>/year</w:t>
            </w:r>
            <w:r>
              <w:t xml:space="preserve"> = $</w:t>
            </w:r>
            <w:r w:rsidR="00EC4E2C">
              <w:t>56,614</w:t>
            </w:r>
          </w:p>
          <w:p w:rsidR="002814A1" w:rsidP="002814A1" w14:paraId="09E7DCE6" w14:textId="6CED1679">
            <w:pPr>
              <w:pStyle w:val="ListParagraph"/>
              <w:numPr>
                <w:ilvl w:val="0"/>
                <w:numId w:val="60"/>
              </w:numPr>
              <w:ind w:left="228" w:hanging="180"/>
            </w:pPr>
            <w:r>
              <w:t xml:space="preserve">50% </w:t>
            </w:r>
            <w:r>
              <w:t xml:space="preserve">GS-13 </w:t>
            </w:r>
            <w:r w:rsidRPr="00292162">
              <w:t xml:space="preserve">@ </w:t>
            </w:r>
            <w:r w:rsidRPr="00292162" w:rsidR="00292162">
              <w:rPr>
                <w:shd w:val="clear" w:color="auto" w:fill="FFFFFF"/>
              </w:rPr>
              <w:t>$95,818.00/year</w:t>
            </w:r>
            <w:r w:rsidRPr="00292162" w:rsidR="00292162">
              <w:rPr>
                <w:rFonts w:ascii="Roboto" w:hAnsi="Roboto"/>
                <w:shd w:val="clear" w:color="auto" w:fill="FFFFFF"/>
              </w:rPr>
              <w:t xml:space="preserve"> </w:t>
            </w:r>
            <w:r>
              <w:t>= $</w:t>
            </w:r>
            <w:r w:rsidR="00EC4E2C">
              <w:t>47,909</w:t>
            </w:r>
          </w:p>
          <w:p w:rsidR="00292162" w:rsidP="00292162" w14:paraId="17E123A8" w14:textId="1914ABB7">
            <w:pPr>
              <w:pStyle w:val="ListParagraph"/>
              <w:numPr>
                <w:ilvl w:val="0"/>
                <w:numId w:val="60"/>
              </w:numPr>
              <w:ind w:left="228" w:hanging="180"/>
            </w:pPr>
            <w:r>
              <w:t xml:space="preserve">15% </w:t>
            </w:r>
            <w:r w:rsidR="002814A1">
              <w:t xml:space="preserve">GS-13 @ </w:t>
            </w:r>
            <w:r w:rsidRPr="00292162">
              <w:rPr>
                <w:shd w:val="clear" w:color="auto" w:fill="FFFFFF"/>
              </w:rPr>
              <w:t>$95,818.00/year</w:t>
            </w:r>
            <w:r w:rsidRPr="00292162">
              <w:rPr>
                <w:rFonts w:ascii="Roboto" w:hAnsi="Roboto"/>
                <w:shd w:val="clear" w:color="auto" w:fill="FFFFFF"/>
              </w:rPr>
              <w:t xml:space="preserve"> </w:t>
            </w:r>
            <w:r>
              <w:t>= $</w:t>
            </w:r>
            <w:r w:rsidR="001C67AD">
              <w:t>14</w:t>
            </w:r>
            <w:r w:rsidR="004D54A4">
              <w:t>,</w:t>
            </w:r>
            <w:r w:rsidR="001C67AD">
              <w:t>372.70</w:t>
            </w:r>
          </w:p>
          <w:p w:rsidR="002814A1" w:rsidP="002814A1" w14:paraId="160A0890" w14:textId="490C4C98">
            <w:pPr>
              <w:pStyle w:val="ListParagraph"/>
              <w:numPr>
                <w:ilvl w:val="0"/>
                <w:numId w:val="60"/>
              </w:numPr>
              <w:ind w:left="228" w:hanging="180"/>
            </w:pPr>
            <w:r>
              <w:t xml:space="preserve">15% </w:t>
            </w:r>
            <w:r>
              <w:t xml:space="preserve">GS-13 @ </w:t>
            </w:r>
            <w:r w:rsidRPr="00292162">
              <w:rPr>
                <w:shd w:val="clear" w:color="auto" w:fill="FFFFFF"/>
              </w:rPr>
              <w:t>$95,818.00/year</w:t>
            </w:r>
            <w:r w:rsidRPr="00292162">
              <w:rPr>
                <w:rFonts w:ascii="Roboto" w:hAnsi="Roboto"/>
                <w:shd w:val="clear" w:color="auto" w:fill="FFFFFF"/>
              </w:rPr>
              <w:t xml:space="preserve"> </w:t>
            </w:r>
            <w:r>
              <w:t xml:space="preserve">= </w:t>
            </w:r>
            <w:r w:rsidR="001C67AD">
              <w:t>$14</w:t>
            </w:r>
            <w:r w:rsidR="004D54A4">
              <w:t>,</w:t>
            </w:r>
            <w:r w:rsidR="001C67AD">
              <w:t>372.70</w:t>
            </w:r>
          </w:p>
          <w:p w:rsidR="002814A1" w:rsidP="002814A1" w14:paraId="3A2DB2D9" w14:textId="1CB04F1B">
            <w:pPr>
              <w:pStyle w:val="ListParagraph"/>
              <w:numPr>
                <w:ilvl w:val="0"/>
                <w:numId w:val="60"/>
              </w:numPr>
              <w:ind w:left="228" w:hanging="180"/>
            </w:pPr>
            <w:r>
              <w:t xml:space="preserve">Benefits @ 30%, CDC Personnel = </w:t>
            </w:r>
            <w:r w:rsidRPr="0018110E">
              <w:t>$</w:t>
            </w:r>
            <w:r w:rsidR="00F352FE">
              <w:t>39</w:t>
            </w:r>
            <w:r w:rsidRPr="0018110E">
              <w:t>,</w:t>
            </w:r>
            <w:r w:rsidR="00F352FE">
              <w:t>980.52</w:t>
            </w:r>
          </w:p>
          <w:p w:rsidR="002814A1" w:rsidRPr="00EC44F4" w:rsidP="00AF4460" w14:paraId="063313EA" w14:textId="77777777">
            <w:pPr>
              <w:jc w:val="right"/>
            </w:pPr>
            <w:r w:rsidRPr="00EC44F4">
              <w:t>Subtotal, CDC Personnel</w:t>
            </w:r>
          </w:p>
        </w:tc>
        <w:tc>
          <w:tcPr>
            <w:tcW w:w="2070" w:type="dxa"/>
            <w:vAlign w:val="bottom"/>
          </w:tcPr>
          <w:p w:rsidR="002814A1" w:rsidRPr="00EC44F4" w:rsidP="00AF4460" w14:paraId="708FACC1" w14:textId="752B4C22">
            <w:pPr>
              <w:jc w:val="right"/>
            </w:pPr>
            <w:r w:rsidRPr="00C5475D">
              <w:t>$</w:t>
            </w:r>
            <w:r w:rsidR="004D54A4">
              <w:t>173,248.92</w:t>
            </w:r>
          </w:p>
        </w:tc>
      </w:tr>
      <w:tr w14:paraId="70B14827" w14:textId="77777777" w:rsidTr="00AF4460">
        <w:tblPrEx>
          <w:tblW w:w="9648" w:type="dxa"/>
          <w:jc w:val="center"/>
          <w:tblLook w:val="01E0"/>
        </w:tblPrEx>
        <w:trPr>
          <w:jc w:val="center"/>
        </w:trPr>
        <w:tc>
          <w:tcPr>
            <w:tcW w:w="2088" w:type="dxa"/>
          </w:tcPr>
          <w:p w:rsidR="002814A1" w:rsidRPr="00EC44F4" w:rsidP="00AF4460" w14:paraId="786DC572" w14:textId="77777777">
            <w:r w:rsidRPr="00EC44F4">
              <w:t>Contractor</w:t>
            </w:r>
          </w:p>
        </w:tc>
        <w:tc>
          <w:tcPr>
            <w:tcW w:w="5490" w:type="dxa"/>
          </w:tcPr>
          <w:p w:rsidR="002814A1" w:rsidRPr="00EC44F4" w:rsidP="00AF4460" w14:paraId="263CA857" w14:textId="77777777">
            <w:pPr>
              <w:pStyle w:val="ListParagraph"/>
              <w:ind w:left="72"/>
            </w:pPr>
            <w:r w:rsidRPr="00EC44F4">
              <w:t>Contractor</w:t>
            </w:r>
          </w:p>
        </w:tc>
        <w:tc>
          <w:tcPr>
            <w:tcW w:w="2070" w:type="dxa"/>
            <w:vAlign w:val="center"/>
          </w:tcPr>
          <w:p w:rsidR="002814A1" w:rsidRPr="00EC44F4" w:rsidP="00AF4460" w14:paraId="0012EA40" w14:textId="77777777">
            <w:pPr>
              <w:jc w:val="right"/>
            </w:pPr>
            <w:r w:rsidRPr="00C5475D">
              <w:t>$135,719</w:t>
            </w:r>
          </w:p>
        </w:tc>
      </w:tr>
      <w:tr w14:paraId="54867E3B" w14:textId="77777777" w:rsidTr="00AF4460">
        <w:tblPrEx>
          <w:tblW w:w="9648" w:type="dxa"/>
          <w:jc w:val="center"/>
          <w:tblLook w:val="01E0"/>
        </w:tblPrEx>
        <w:trPr>
          <w:trHeight w:val="251"/>
          <w:jc w:val="center"/>
        </w:trPr>
        <w:tc>
          <w:tcPr>
            <w:tcW w:w="7578" w:type="dxa"/>
            <w:gridSpan w:val="2"/>
          </w:tcPr>
          <w:p w:rsidR="002814A1" w:rsidRPr="00EC44F4" w:rsidP="00AF4460" w14:paraId="6173F903" w14:textId="77777777">
            <w:pPr>
              <w:jc w:val="right"/>
              <w:rPr>
                <w:bCs/>
              </w:rPr>
            </w:pPr>
            <w:r w:rsidRPr="00EC44F4">
              <w:rPr>
                <w:bCs/>
              </w:rPr>
              <w:t>Total Annual Estimated Costs</w:t>
            </w:r>
          </w:p>
        </w:tc>
        <w:tc>
          <w:tcPr>
            <w:tcW w:w="2070" w:type="dxa"/>
          </w:tcPr>
          <w:p w:rsidR="002814A1" w:rsidRPr="00C5475D" w:rsidP="00AF4460" w14:paraId="3924D184" w14:textId="619F088F">
            <w:pPr>
              <w:jc w:val="right"/>
              <w:rPr>
                <w:b/>
                <w:bCs/>
              </w:rPr>
            </w:pPr>
            <w:r w:rsidRPr="00B072B7">
              <w:rPr>
                <w:b/>
                <w:bCs/>
              </w:rPr>
              <w:t>$</w:t>
            </w:r>
            <w:r w:rsidR="00D2752A">
              <w:rPr>
                <w:b/>
                <w:bCs/>
              </w:rPr>
              <w:t>308</w:t>
            </w:r>
            <w:r w:rsidRPr="00B072B7">
              <w:rPr>
                <w:b/>
                <w:bCs/>
              </w:rPr>
              <w:t>,</w:t>
            </w:r>
            <w:r w:rsidR="00D2752A">
              <w:rPr>
                <w:b/>
                <w:bCs/>
              </w:rPr>
              <w:t>967.92</w:t>
            </w:r>
          </w:p>
        </w:tc>
      </w:tr>
    </w:tbl>
    <w:p w:rsidR="008C4239" w:rsidP="009F53B8" w14:paraId="3F3FB724" w14:textId="77777777">
      <w:pPr>
        <w:pStyle w:val="Heading1"/>
        <w:tabs>
          <w:tab w:val="left" w:pos="540"/>
          <w:tab w:val="clear" w:pos="1152"/>
        </w:tabs>
        <w:spacing w:after="0" w:line="240" w:lineRule="auto"/>
        <w:jc w:val="left"/>
        <w:rPr>
          <w:sz w:val="24"/>
          <w:szCs w:val="24"/>
        </w:rPr>
      </w:pPr>
      <w:bookmarkStart w:id="37" w:name="_Toc145659500"/>
      <w:bookmarkStart w:id="38" w:name="_Toc150420028"/>
    </w:p>
    <w:p w:rsidR="008C4239" w:rsidP="009F53B8" w14:paraId="618B0506" w14:textId="77777777">
      <w:pPr>
        <w:pStyle w:val="Heading1"/>
        <w:tabs>
          <w:tab w:val="left" w:pos="540"/>
          <w:tab w:val="clear" w:pos="1152"/>
        </w:tabs>
        <w:spacing w:after="0" w:line="240" w:lineRule="auto"/>
        <w:jc w:val="left"/>
        <w:rPr>
          <w:sz w:val="24"/>
          <w:szCs w:val="24"/>
        </w:rPr>
      </w:pPr>
    </w:p>
    <w:p w:rsidR="00972DEF" w:rsidP="009F53B8" w14:paraId="04D811E3" w14:textId="0A61B5E0">
      <w:pPr>
        <w:pStyle w:val="Heading1"/>
        <w:tabs>
          <w:tab w:val="left" w:pos="540"/>
          <w:tab w:val="clear" w:pos="1152"/>
        </w:tabs>
        <w:spacing w:after="0" w:line="240" w:lineRule="auto"/>
        <w:jc w:val="left"/>
        <w:rPr>
          <w:sz w:val="24"/>
          <w:szCs w:val="24"/>
        </w:rPr>
      </w:pPr>
      <w:r w:rsidRPr="009F53B8">
        <w:rPr>
          <w:sz w:val="24"/>
          <w:szCs w:val="24"/>
        </w:rPr>
        <w:t xml:space="preserve">A.15. </w:t>
      </w:r>
      <w:r w:rsidRPr="009F53B8">
        <w:rPr>
          <w:sz w:val="24"/>
          <w:szCs w:val="24"/>
        </w:rPr>
        <w:tab/>
        <w:t>Explanation for Program Changes or Adjustments</w:t>
      </w:r>
      <w:bookmarkEnd w:id="37"/>
      <w:bookmarkEnd w:id="38"/>
      <w:r w:rsidRPr="009F53B8">
        <w:rPr>
          <w:sz w:val="24"/>
          <w:szCs w:val="24"/>
        </w:rPr>
        <w:t xml:space="preserve"> </w:t>
      </w:r>
    </w:p>
    <w:p w:rsidR="006A6F38" w:rsidP="006A6F38" w14:paraId="1B594E8D" w14:textId="77777777"/>
    <w:p w:rsidR="006A6F38" w:rsidP="006A6F38" w14:paraId="057AEDDA" w14:textId="1C22140B">
      <w:r>
        <w:t>Not Applicable. This is a new collection.</w:t>
      </w:r>
    </w:p>
    <w:p w:rsidR="008C4239" w:rsidRPr="006A6F38" w:rsidP="006A6F38" w14:paraId="71ED8A3D" w14:textId="77777777"/>
    <w:p w:rsidR="00C55DD2" w:rsidRPr="00691454" w:rsidP="00972DEF" w14:paraId="04D811E4" w14:textId="77777777">
      <w:pPr>
        <w:autoSpaceDE w:val="0"/>
        <w:autoSpaceDN w:val="0"/>
        <w:adjustRightInd w:val="0"/>
        <w:rPr>
          <w:b/>
          <w:bCs/>
        </w:rPr>
      </w:pPr>
    </w:p>
    <w:p w:rsidR="00972DEF" w:rsidP="009F53B8" w14:paraId="04D811E5" w14:textId="4C27321E">
      <w:pPr>
        <w:pStyle w:val="Heading1"/>
        <w:tabs>
          <w:tab w:val="left" w:pos="540"/>
          <w:tab w:val="clear" w:pos="1152"/>
        </w:tabs>
        <w:spacing w:after="0" w:line="240" w:lineRule="auto"/>
        <w:jc w:val="left"/>
        <w:rPr>
          <w:sz w:val="24"/>
          <w:szCs w:val="24"/>
        </w:rPr>
      </w:pPr>
      <w:bookmarkStart w:id="39" w:name="_Toc145659501"/>
      <w:bookmarkStart w:id="40" w:name="_Toc150420029"/>
      <w:r w:rsidRPr="00472061">
        <w:rPr>
          <w:sz w:val="24"/>
          <w:szCs w:val="24"/>
        </w:rPr>
        <w:t>A.16. Plans for Tabulation</w:t>
      </w:r>
      <w:r w:rsidRPr="00472061" w:rsidR="00203955">
        <w:rPr>
          <w:sz w:val="24"/>
          <w:szCs w:val="24"/>
        </w:rPr>
        <w:t xml:space="preserve"> and </w:t>
      </w:r>
      <w:r w:rsidRPr="00472061">
        <w:rPr>
          <w:sz w:val="24"/>
          <w:szCs w:val="24"/>
        </w:rPr>
        <w:t>Publication, and Project Time Schedule</w:t>
      </w:r>
      <w:bookmarkEnd w:id="39"/>
      <w:bookmarkEnd w:id="40"/>
      <w:r w:rsidRPr="009F53B8">
        <w:rPr>
          <w:sz w:val="24"/>
          <w:szCs w:val="24"/>
        </w:rPr>
        <w:t xml:space="preserve"> </w:t>
      </w:r>
    </w:p>
    <w:p w:rsidR="008C4239" w:rsidRPr="008C4239" w:rsidP="008C4239" w14:paraId="4C08DEE4" w14:textId="77777777"/>
    <w:p w:rsidR="00472061" w:rsidP="00472061" w14:paraId="2406C552" w14:textId="3C4FB04B">
      <w:pPr>
        <w:spacing w:after="200"/>
        <w:rPr>
          <w:lang w:val="en"/>
        </w:rPr>
      </w:pPr>
      <w:r w:rsidRPr="00AA5FCE">
        <w:rPr>
          <w:rFonts w:cs="Arial"/>
        </w:rPr>
        <w:t xml:space="preserve">CDC </w:t>
      </w:r>
      <w:r>
        <w:rPr>
          <w:rFonts w:cs="Arial"/>
        </w:rPr>
        <w:t xml:space="preserve">will </w:t>
      </w:r>
      <w:r w:rsidRPr="00AA5FCE">
        <w:rPr>
          <w:rFonts w:cs="Arial"/>
        </w:rPr>
        <w:t xml:space="preserve">disseminate results to highlight progress in establishing standardized linkage to care surveillance. </w:t>
      </w:r>
      <w:r w:rsidR="001D4775">
        <w:rPr>
          <w:rFonts w:cs="Arial"/>
        </w:rPr>
        <w:t>S</w:t>
      </w:r>
      <w:r>
        <w:rPr>
          <w:rFonts w:cs="Arial"/>
        </w:rPr>
        <w:t xml:space="preserve">ome examples include </w:t>
      </w:r>
      <w:r w:rsidRPr="00DC40B9">
        <w:rPr>
          <w:lang w:val="en"/>
        </w:rPr>
        <w:t>publications in peer-reviewed literature, MMWRS, published reports, data briefs, periodicals, brochures, books, and media correspondence,</w:t>
      </w:r>
      <w:r>
        <w:rPr>
          <w:lang w:val="en"/>
        </w:rPr>
        <w:t xml:space="preserve"> </w:t>
      </w:r>
      <w:r w:rsidRPr="00DC40B9">
        <w:rPr>
          <w:lang w:val="en"/>
        </w:rPr>
        <w:t xml:space="preserve">CDC website (e.g., </w:t>
      </w:r>
      <w:r w:rsidRPr="00DC40B9">
        <w:t>dashboards)</w:t>
      </w:r>
      <w:r w:rsidRPr="00DC40B9">
        <w:rPr>
          <w:lang w:val="en"/>
        </w:rPr>
        <w:t>, listserv, and e-mail,</w:t>
      </w:r>
      <w:r>
        <w:t xml:space="preserve"> </w:t>
      </w:r>
      <w:r w:rsidRPr="00DC40B9">
        <w:rPr>
          <w:lang w:val="en"/>
        </w:rPr>
        <w:t xml:space="preserve">oral presentations, and </w:t>
      </w:r>
      <w:r>
        <w:rPr>
          <w:lang w:val="en"/>
        </w:rPr>
        <w:t>d</w:t>
      </w:r>
      <w:r w:rsidRPr="00DC40B9">
        <w:rPr>
          <w:lang w:val="en"/>
        </w:rPr>
        <w:t>ata briefs or tables shared with CDC, HHS, and other governmental leaders in response to internal or external requests</w:t>
      </w:r>
      <w:r>
        <w:rPr>
          <w:lang w:val="en"/>
        </w:rPr>
        <w:t>.</w:t>
      </w:r>
    </w:p>
    <w:p w:rsidR="006A6F38" w:rsidP="006A6F38" w14:paraId="16BA79E6" w14:textId="0AE32D99"/>
    <w:p w:rsidR="00972DEF" w:rsidRPr="009F53B8" w:rsidP="009F53B8" w14:paraId="04D811E7" w14:textId="77777777">
      <w:pPr>
        <w:pStyle w:val="Heading1"/>
        <w:tabs>
          <w:tab w:val="left" w:pos="540"/>
          <w:tab w:val="clear" w:pos="1152"/>
        </w:tabs>
        <w:spacing w:after="0" w:line="240" w:lineRule="auto"/>
        <w:jc w:val="left"/>
        <w:rPr>
          <w:sz w:val="24"/>
          <w:szCs w:val="24"/>
        </w:rPr>
      </w:pPr>
      <w:bookmarkStart w:id="41" w:name="_Toc145659502"/>
      <w:bookmarkStart w:id="42" w:name="_Toc150420030"/>
      <w:r w:rsidRPr="009F53B8">
        <w:rPr>
          <w:sz w:val="24"/>
          <w:szCs w:val="24"/>
        </w:rPr>
        <w:t>A.17. Reason(s) Display of OMB Expiration Date is Inappropriate</w:t>
      </w:r>
      <w:bookmarkEnd w:id="41"/>
      <w:bookmarkEnd w:id="42"/>
      <w:r w:rsidRPr="009F53B8">
        <w:rPr>
          <w:sz w:val="24"/>
          <w:szCs w:val="24"/>
        </w:rPr>
        <w:t xml:space="preserve"> </w:t>
      </w:r>
    </w:p>
    <w:p w:rsidR="00972DEF" w:rsidRPr="00691454" w:rsidP="00972DEF" w14:paraId="04D811E8" w14:textId="77777777">
      <w:pPr>
        <w:autoSpaceDE w:val="0"/>
        <w:autoSpaceDN w:val="0"/>
        <w:adjustRightInd w:val="0"/>
        <w:rPr>
          <w:b/>
          <w:bCs/>
        </w:rPr>
      </w:pPr>
    </w:p>
    <w:p w:rsidR="00972DEF" w:rsidP="00972DEF" w14:paraId="04D811EA" w14:textId="288056BF">
      <w:pPr>
        <w:autoSpaceDE w:val="0"/>
        <w:autoSpaceDN w:val="0"/>
        <w:adjustRightInd w:val="0"/>
      </w:pPr>
      <w:r w:rsidRPr="00BE734F">
        <w:t xml:space="preserve">There are no standard paper data collection forms to be used by states because states will be abstracting information from electronic or paper </w:t>
      </w:r>
      <w:r>
        <w:t>sources and transferring to the format.</w:t>
      </w:r>
    </w:p>
    <w:p w:rsidR="00BB6149" w:rsidRPr="00691454" w:rsidP="00972DEF" w14:paraId="7EED1C6D" w14:textId="77777777">
      <w:pPr>
        <w:autoSpaceDE w:val="0"/>
        <w:autoSpaceDN w:val="0"/>
        <w:adjustRightInd w:val="0"/>
      </w:pPr>
    </w:p>
    <w:p w:rsidR="00972DEF" w:rsidRPr="009F53B8" w:rsidP="009F53B8" w14:paraId="04D811EB" w14:textId="77777777">
      <w:pPr>
        <w:pStyle w:val="Heading1"/>
        <w:tabs>
          <w:tab w:val="left" w:pos="540"/>
          <w:tab w:val="clear" w:pos="1152"/>
        </w:tabs>
        <w:spacing w:after="0" w:line="240" w:lineRule="auto"/>
        <w:jc w:val="left"/>
        <w:rPr>
          <w:sz w:val="24"/>
          <w:szCs w:val="24"/>
        </w:rPr>
      </w:pPr>
      <w:bookmarkStart w:id="43" w:name="_Toc145659503"/>
      <w:bookmarkStart w:id="44" w:name="_Toc150420031"/>
      <w:r w:rsidRPr="009F53B8">
        <w:rPr>
          <w:sz w:val="24"/>
          <w:szCs w:val="24"/>
        </w:rPr>
        <w:t>A.18. Exceptions to Certification for Paperwork Reduction Act Submissions</w:t>
      </w:r>
      <w:bookmarkEnd w:id="43"/>
      <w:bookmarkEnd w:id="44"/>
      <w:r w:rsidRPr="009F53B8">
        <w:rPr>
          <w:sz w:val="24"/>
          <w:szCs w:val="24"/>
        </w:rPr>
        <w:t xml:space="preserve"> </w:t>
      </w:r>
    </w:p>
    <w:p w:rsidR="00972DEF" w:rsidRPr="00691454" w:rsidP="00972DEF" w14:paraId="04D811EC" w14:textId="77777777">
      <w:pPr>
        <w:autoSpaceDE w:val="0"/>
        <w:autoSpaceDN w:val="0"/>
        <w:adjustRightInd w:val="0"/>
        <w:rPr>
          <w:b/>
          <w:bCs/>
        </w:rPr>
      </w:pPr>
    </w:p>
    <w:p w:rsidR="00972DEF" w:rsidRPr="00691454" w:rsidP="00972DEF" w14:paraId="04D811ED" w14:textId="77777777">
      <w:pPr>
        <w:autoSpaceDE w:val="0"/>
        <w:autoSpaceDN w:val="0"/>
        <w:adjustRightInd w:val="0"/>
      </w:pPr>
      <w:r w:rsidRPr="00691454">
        <w:t>There are no exceptions to the certification.</w:t>
      </w:r>
    </w:p>
    <w:p w:rsidR="00972DEF" w:rsidRPr="00691454" w:rsidP="00420226" w14:paraId="04D811EE" w14:textId="77777777">
      <w:pPr>
        <w:autoSpaceDE w:val="0"/>
        <w:autoSpaceDN w:val="0"/>
        <w:adjustRightInd w:val="0"/>
      </w:pPr>
      <w:r w:rsidRPr="00691454">
        <w:t xml:space="preserve"> </w:t>
      </w:r>
    </w:p>
    <w:p w:rsidR="00E14B37" w:rsidRPr="00691454" w:rsidP="00420226" w14:paraId="04D811EF" w14:textId="77777777">
      <w:pPr>
        <w:autoSpaceDE w:val="0"/>
        <w:autoSpaceDN w:val="0"/>
        <w:adjustRightInd w:val="0"/>
      </w:pPr>
    </w:p>
    <w:p w:rsidR="00742897" w:rsidP="009F53B8" w14:paraId="04D811F0" w14:textId="50EC1757">
      <w:pPr>
        <w:pStyle w:val="Heading1"/>
        <w:tabs>
          <w:tab w:val="left" w:pos="540"/>
          <w:tab w:val="clear" w:pos="1152"/>
        </w:tabs>
        <w:spacing w:after="0" w:line="240" w:lineRule="auto"/>
        <w:jc w:val="left"/>
        <w:rPr>
          <w:sz w:val="24"/>
          <w:szCs w:val="24"/>
        </w:rPr>
      </w:pPr>
      <w:r w:rsidRPr="009F53B8">
        <w:rPr>
          <w:sz w:val="24"/>
          <w:szCs w:val="24"/>
        </w:rPr>
        <w:t xml:space="preserve"> </w:t>
      </w:r>
      <w:bookmarkStart w:id="45" w:name="_Toc145659504"/>
      <w:bookmarkStart w:id="46" w:name="_Toc150420032"/>
      <w:r w:rsidRPr="009F53B8">
        <w:rPr>
          <w:sz w:val="24"/>
          <w:szCs w:val="24"/>
        </w:rPr>
        <w:t>REFERENCES</w:t>
      </w:r>
      <w:bookmarkEnd w:id="45"/>
      <w:bookmarkEnd w:id="46"/>
    </w:p>
    <w:p w:rsidR="003E3CFB" w:rsidP="003E3CFB" w14:paraId="0C483E99" w14:textId="134D2727"/>
    <w:p w:rsidR="00B0775A" w:rsidP="008C4239" w14:paraId="3E526D44" w14:textId="4C0C9A59">
      <w:pPr>
        <w:ind w:left="720"/>
      </w:pPr>
      <w:r w:rsidRPr="003E3CFB">
        <w:t xml:space="preserve">Kariisa M, Davis NL, Kumar S, et al. Vital Signs: Drug Overdose Deaths, by Selected Sociodemographic and Social Determinants of Health Characteristics — 25 States and the District of Columbia, 2019–2020. MMWR </w:t>
      </w:r>
      <w:r w:rsidRPr="003E3CFB">
        <w:t>Morb</w:t>
      </w:r>
      <w:r w:rsidRPr="003E3CFB">
        <w:t xml:space="preserve"> Mortal </w:t>
      </w:r>
      <w:r w:rsidRPr="003E3CFB">
        <w:t>Wkly</w:t>
      </w:r>
      <w:r w:rsidRPr="003E3CFB">
        <w:t xml:space="preserve"> Rep 2022;71:940–947. DOI: </w:t>
      </w:r>
      <w:hyperlink r:id="rId14" w:history="1">
        <w:r w:rsidRPr="005A74D9" w:rsidR="005A74D9">
          <w:rPr>
            <w:rStyle w:val="Hyperlink"/>
          </w:rPr>
          <w:t>http://dx.doi.org/10.15585/mmwr.mm7129e2</w:t>
        </w:r>
      </w:hyperlink>
      <w:r w:rsidRPr="003E3CFB">
        <w:t>.</w:t>
      </w:r>
    </w:p>
    <w:sectPr w:rsidSect="00722FF6">
      <w:pgSz w:w="12240" w:h="15840" w:code="1"/>
      <w:pgMar w:top="1440" w:right="99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04D811F7" w14:textId="1DED37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65C">
      <w:rPr>
        <w:rStyle w:val="PageNumber"/>
        <w:noProof/>
      </w:rPr>
      <w:t>4</w:t>
    </w:r>
    <w:r>
      <w:rPr>
        <w:rStyle w:val="PageNumber"/>
      </w:rPr>
      <w:fldChar w:fldCharType="end"/>
    </w:r>
  </w:p>
  <w:p w:rsidR="0073187D" w:rsidP="001A0A8C" w14:paraId="04D811F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87D" w:rsidP="001A0A8C" w14:paraId="04D811F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90A">
      <w:rPr>
        <w:rStyle w:val="PageNumber"/>
        <w:noProof/>
      </w:rPr>
      <w:t>5</w:t>
    </w:r>
    <w:r>
      <w:rPr>
        <w:rStyle w:val="PageNumber"/>
      </w:rPr>
      <w:fldChar w:fldCharType="end"/>
    </w:r>
  </w:p>
  <w:p w:rsidR="0073187D" w:rsidRPr="00BB4559" w:rsidP="00144640" w14:paraId="04D811F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36A8" w14:paraId="30A3647C" w14:textId="77777777">
      <w:r>
        <w:separator/>
      </w:r>
    </w:p>
  </w:footnote>
  <w:footnote w:type="continuationSeparator" w:id="1">
    <w:p w:rsidR="00A736A8" w14:paraId="0D646C22" w14:textId="77777777">
      <w:r>
        <w:continuationSeparator/>
      </w:r>
    </w:p>
  </w:footnote>
  <w:footnote w:type="continuationNotice" w:id="2">
    <w:p w:rsidR="00A736A8" w14:paraId="4E631852" w14:textId="77777777"/>
  </w:footnote>
  <w:footnote w:id="3">
    <w:p w:rsidR="00F05774" w14:paraId="3113FFC8" w14:textId="50E0AA1A">
      <w:pPr>
        <w:pStyle w:val="FootnoteText"/>
      </w:pPr>
      <w:r w:rsidRPr="00F05774">
        <w:rPr>
          <w:rStyle w:val="FootnoteReference"/>
          <w:sz w:val="18"/>
          <w:szCs w:val="18"/>
        </w:rPr>
        <w:footnoteRef/>
      </w:r>
      <w:r w:rsidRPr="00F05774">
        <w:rPr>
          <w:sz w:val="18"/>
          <w:szCs w:val="18"/>
        </w:rPr>
        <w:t xml:space="preserve"> Source:  </w:t>
      </w:r>
      <w:hyperlink r:id="rId1" w:history="1">
        <w:r w:rsidRPr="00F05774">
          <w:rPr>
            <w:rStyle w:val="Hyperlink"/>
            <w:sz w:val="18"/>
            <w:szCs w:val="18"/>
          </w:rPr>
          <w:t>https://www.cdc.gov/vaccines/programs/iis/technical-guidance/deduplication.html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000003"/>
    <w:multiLevelType w:val="multilevel"/>
    <w:tmpl w:val="00000000"/>
    <w:lvl w:ilvl="0">
      <w:start w:val="1"/>
      <w:numFmt w:val="decimal"/>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2E18B7"/>
    <w:multiLevelType w:val="hybridMultilevel"/>
    <w:tmpl w:val="AA46E120"/>
    <w:lvl w:ilvl="0">
      <w:start w:val="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1C50169"/>
    <w:multiLevelType w:val="hybridMultilevel"/>
    <w:tmpl w:val="70920D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421BAA"/>
    <w:multiLevelType w:val="hybridMultilevel"/>
    <w:tmpl w:val="75F23BE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0933077E"/>
    <w:multiLevelType w:val="hybridMultilevel"/>
    <w:tmpl w:val="5DB6A73E"/>
    <w:lvl w:ilvl="0">
      <w:start w:val="1"/>
      <w:numFmt w:val="upperLetter"/>
      <w:pStyle w:val="TOC2"/>
      <w:lvlText w:val="%1."/>
      <w:lvlJc w:val="left"/>
      <w:pPr>
        <w:ind w:left="720" w:hanging="480"/>
      </w:pPr>
      <w:rPr>
        <w:rFonts w:eastAsia="Times New Roman"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9">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0EBB4C13"/>
    <w:multiLevelType w:val="hybridMultilevel"/>
    <w:tmpl w:val="92649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1BFC3C0B"/>
    <w:multiLevelType w:val="hybridMultilevel"/>
    <w:tmpl w:val="8B90A04A"/>
    <w:lvl w:ilvl="0">
      <w:start w:val="1"/>
      <w:numFmt w:val="bullet"/>
      <w:lvlText w:val="-"/>
      <w:lvlJc w:val="left"/>
      <w:pPr>
        <w:ind w:left="763" w:hanging="360"/>
      </w:pPr>
      <w:rPr>
        <w:rFonts w:ascii="Calibri" w:eastAsia="Calibri" w:hAnsi="Calibri" w:cs="Times New Roman"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28">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0">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31">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3">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2B934FBF"/>
    <w:multiLevelType w:val="hybridMultilevel"/>
    <w:tmpl w:val="23AE0E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AF3879"/>
    <w:multiLevelType w:val="hybridMultilevel"/>
    <w:tmpl w:val="D13802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8">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C00052B"/>
    <w:multiLevelType w:val="hybridMultilevel"/>
    <w:tmpl w:val="513CE7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0554AB5"/>
    <w:multiLevelType w:val="hybridMultilevel"/>
    <w:tmpl w:val="1B12D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42">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63B7B73"/>
    <w:multiLevelType w:val="hybridMultilevel"/>
    <w:tmpl w:val="67D27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5">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7">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8">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9">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50">
    <w:nsid w:val="564259F8"/>
    <w:multiLevelType w:val="hybridMultilevel"/>
    <w:tmpl w:val="AB52DB2C"/>
    <w:lvl w:ilvl="0">
      <w:start w:val="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2">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53">
    <w:nsid w:val="5C3364E9"/>
    <w:multiLevelType w:val="hybridMultilevel"/>
    <w:tmpl w:val="15941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4F3C6D"/>
    <w:multiLevelType w:val="hybridMultilevel"/>
    <w:tmpl w:val="D490341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72B2B3D"/>
    <w:multiLevelType w:val="hybridMultilevel"/>
    <w:tmpl w:val="7660D4E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B975077"/>
    <w:multiLevelType w:val="hybridMultilevel"/>
    <w:tmpl w:val="70920D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F946383"/>
    <w:multiLevelType w:val="hybridMultilevel"/>
    <w:tmpl w:val="C0BA58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6FFA1D4E"/>
    <w:multiLevelType w:val="hybridMultilevel"/>
    <w:tmpl w:val="D56625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0C34069"/>
    <w:multiLevelType w:val="hybridMultilevel"/>
    <w:tmpl w:val="8CEA7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62">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3">
    <w:nsid w:val="7AA03249"/>
    <w:multiLevelType w:val="hybridMultilevel"/>
    <w:tmpl w:val="89ECC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65">
    <w:nsid w:val="7BDF7D12"/>
    <w:multiLevelType w:val="hybridMultilevel"/>
    <w:tmpl w:val="F6B292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DA44F82"/>
    <w:multiLevelType w:val="hybridMultilevel"/>
    <w:tmpl w:val="CC127D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nsid w:val="7EE729FC"/>
    <w:multiLevelType w:val="hybridMultilevel"/>
    <w:tmpl w:val="70920D8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EF31502"/>
    <w:multiLevelType w:val="hybridMultilevel"/>
    <w:tmpl w:val="22DCD4BE"/>
    <w:lvl w:ilvl="0">
      <w:start w:val="1"/>
      <w:numFmt w:val="upperLetter"/>
      <w:lvlText w:val="%1."/>
      <w:lvlJc w:val="left"/>
      <w:pPr>
        <w:ind w:left="960" w:hanging="360"/>
      </w:p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9">
    <w:nsid w:val="7F093DE5"/>
    <w:multiLevelType w:val="hybridMultilevel"/>
    <w:tmpl w:val="62A00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9953811">
    <w:abstractNumId w:val="9"/>
  </w:num>
  <w:num w:numId="2" w16cid:durableId="2032339144">
    <w:abstractNumId w:val="24"/>
  </w:num>
  <w:num w:numId="3" w16cid:durableId="470024535">
    <w:abstractNumId w:val="32"/>
  </w:num>
  <w:num w:numId="4" w16cid:durableId="619993189">
    <w:abstractNumId w:val="19"/>
  </w:num>
  <w:num w:numId="5" w16cid:durableId="1239635974">
    <w:abstractNumId w:val="20"/>
  </w:num>
  <w:num w:numId="6" w16cid:durableId="1523593400">
    <w:abstractNumId w:val="42"/>
  </w:num>
  <w:num w:numId="7" w16cid:durableId="194774830">
    <w:abstractNumId w:val="33"/>
  </w:num>
  <w:num w:numId="8" w16cid:durableId="364644520">
    <w:abstractNumId w:val="17"/>
  </w:num>
  <w:num w:numId="9" w16cid:durableId="357463258">
    <w:abstractNumId w:val="61"/>
  </w:num>
  <w:num w:numId="10" w16cid:durableId="234826546">
    <w:abstractNumId w:val="48"/>
  </w:num>
  <w:num w:numId="11" w16cid:durableId="302077929">
    <w:abstractNumId w:val="62"/>
  </w:num>
  <w:num w:numId="12" w16cid:durableId="1649168551">
    <w:abstractNumId w:val="47"/>
  </w:num>
  <w:num w:numId="13" w16cid:durableId="1786266891">
    <w:abstractNumId w:val="41"/>
  </w:num>
  <w:num w:numId="14" w16cid:durableId="1506096168">
    <w:abstractNumId w:val="37"/>
  </w:num>
  <w:num w:numId="15" w16cid:durableId="1457021633">
    <w:abstractNumId w:val="13"/>
  </w:num>
  <w:num w:numId="16" w16cid:durableId="192227274">
    <w:abstractNumId w:val="28"/>
  </w:num>
  <w:num w:numId="17" w16cid:durableId="351759837">
    <w:abstractNumId w:val="26"/>
  </w:num>
  <w:num w:numId="18" w16cid:durableId="2032950700">
    <w:abstractNumId w:val="30"/>
  </w:num>
  <w:num w:numId="19" w16cid:durableId="2110732354">
    <w:abstractNumId w:val="52"/>
  </w:num>
  <w:num w:numId="20" w16cid:durableId="1704018884">
    <w:abstractNumId w:val="49"/>
  </w:num>
  <w:num w:numId="21" w16cid:durableId="1898272645">
    <w:abstractNumId w:val="64"/>
  </w:num>
  <w:num w:numId="22" w16cid:durableId="2073573032">
    <w:abstractNumId w:val="7"/>
  </w:num>
  <w:num w:numId="23" w16cid:durableId="900677493">
    <w:abstractNumId w:val="6"/>
  </w:num>
  <w:num w:numId="24" w16cid:durableId="433593969">
    <w:abstractNumId w:val="5"/>
  </w:num>
  <w:num w:numId="25" w16cid:durableId="2074115311">
    <w:abstractNumId w:val="4"/>
  </w:num>
  <w:num w:numId="26" w16cid:durableId="570190093">
    <w:abstractNumId w:val="8"/>
  </w:num>
  <w:num w:numId="27" w16cid:durableId="1605383689">
    <w:abstractNumId w:val="3"/>
  </w:num>
  <w:num w:numId="28" w16cid:durableId="441145047">
    <w:abstractNumId w:val="2"/>
  </w:num>
  <w:num w:numId="29" w16cid:durableId="1059935046">
    <w:abstractNumId w:val="1"/>
  </w:num>
  <w:num w:numId="30" w16cid:durableId="1501189486">
    <w:abstractNumId w:val="0"/>
  </w:num>
  <w:num w:numId="31" w16cid:durableId="1005327443">
    <w:abstractNumId w:val="34"/>
  </w:num>
  <w:num w:numId="32" w16cid:durableId="704522578">
    <w:abstractNumId w:val="31"/>
  </w:num>
  <w:num w:numId="33" w16cid:durableId="594632918">
    <w:abstractNumId w:val="51"/>
  </w:num>
  <w:num w:numId="34" w16cid:durableId="261036338">
    <w:abstractNumId w:val="29"/>
  </w:num>
  <w:num w:numId="35" w16cid:durableId="2058238577">
    <w:abstractNumId w:val="46"/>
  </w:num>
  <w:num w:numId="36" w16cid:durableId="629676919">
    <w:abstractNumId w:val="14"/>
  </w:num>
  <w:num w:numId="37" w16cid:durableId="1288243649">
    <w:abstractNumId w:val="22"/>
  </w:num>
  <w:num w:numId="38" w16cid:durableId="560946261">
    <w:abstractNumId w:val="12"/>
  </w:num>
  <w:num w:numId="39" w16cid:durableId="676157614">
    <w:abstractNumId w:val="45"/>
  </w:num>
  <w:num w:numId="40" w16cid:durableId="429937908">
    <w:abstractNumId w:val="44"/>
  </w:num>
  <w:num w:numId="41" w16cid:durableId="1288849848">
    <w:abstractNumId w:val="57"/>
  </w:num>
  <w:num w:numId="42" w16cid:durableId="956836580">
    <w:abstractNumId w:val="23"/>
  </w:num>
  <w:num w:numId="43" w16cid:durableId="331642286">
    <w:abstractNumId w:val="54"/>
  </w:num>
  <w:num w:numId="44" w16cid:durableId="1441146172">
    <w:abstractNumId w:val="11"/>
  </w:num>
  <w:num w:numId="45" w16cid:durableId="1247762592">
    <w:abstractNumId w:val="50"/>
  </w:num>
  <w:num w:numId="46" w16cid:durableId="239295265">
    <w:abstractNumId w:val="27"/>
  </w:num>
  <w:num w:numId="47" w16cid:durableId="44841682">
    <w:abstractNumId w:val="36"/>
  </w:num>
  <w:num w:numId="48" w16cid:durableId="908032791">
    <w:abstractNumId w:val="1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16cid:durableId="521633324">
    <w:abstractNumId w:val="21"/>
  </w:num>
  <w:num w:numId="50" w16cid:durableId="551813186">
    <w:abstractNumId w:val="59"/>
  </w:num>
  <w:num w:numId="51" w16cid:durableId="548499315">
    <w:abstractNumId w:val="53"/>
  </w:num>
  <w:num w:numId="52" w16cid:durableId="207694006">
    <w:abstractNumId w:val="35"/>
  </w:num>
  <w:num w:numId="53" w16cid:durableId="2081828102">
    <w:abstractNumId w:val="69"/>
  </w:num>
  <w:num w:numId="54" w16cid:durableId="647513733">
    <w:abstractNumId w:val="39"/>
  </w:num>
  <w:num w:numId="55" w16cid:durableId="11013398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2623052">
    <w:abstractNumId w:val="58"/>
  </w:num>
  <w:num w:numId="57" w16cid:durableId="1588228668">
    <w:abstractNumId w:val="66"/>
  </w:num>
  <w:num w:numId="58" w16cid:durableId="460878039">
    <w:abstractNumId w:val="43"/>
  </w:num>
  <w:num w:numId="59" w16cid:durableId="1961758521">
    <w:abstractNumId w:val="40"/>
  </w:num>
  <w:num w:numId="60" w16cid:durableId="21176015">
    <w:abstractNumId w:val="38"/>
  </w:num>
  <w:num w:numId="61" w16cid:durableId="746462054">
    <w:abstractNumId w:val="25"/>
  </w:num>
  <w:num w:numId="62" w16cid:durableId="1406219507">
    <w:abstractNumId w:val="63"/>
  </w:num>
  <w:num w:numId="63" w16cid:durableId="178004964">
    <w:abstractNumId w:val="55"/>
  </w:num>
  <w:num w:numId="64" w16cid:durableId="194081752">
    <w:abstractNumId w:val="56"/>
  </w:num>
  <w:num w:numId="65" w16cid:durableId="268586072">
    <w:abstractNumId w:val="68"/>
  </w:num>
  <w:num w:numId="66" w16cid:durableId="1337877559">
    <w:abstractNumId w:val="60"/>
  </w:num>
  <w:num w:numId="67" w16cid:durableId="1374773842">
    <w:abstractNumId w:val="15"/>
  </w:num>
  <w:num w:numId="68" w16cid:durableId="1904637623">
    <w:abstractNumId w:val="67"/>
  </w:num>
  <w:num w:numId="69" w16cid:durableId="1999841967">
    <w:abstractNumId w:val="16"/>
  </w:num>
  <w:num w:numId="70" w16cid:durableId="367800754">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0226"/>
    <w:rsid w:val="00000564"/>
    <w:rsid w:val="0000181D"/>
    <w:rsid w:val="00002669"/>
    <w:rsid w:val="00002969"/>
    <w:rsid w:val="00002CB2"/>
    <w:rsid w:val="00003744"/>
    <w:rsid w:val="00003D0C"/>
    <w:rsid w:val="000051FE"/>
    <w:rsid w:val="000068D5"/>
    <w:rsid w:val="00006CD4"/>
    <w:rsid w:val="00012596"/>
    <w:rsid w:val="0001279D"/>
    <w:rsid w:val="00012EF2"/>
    <w:rsid w:val="00013A6D"/>
    <w:rsid w:val="00013F0A"/>
    <w:rsid w:val="00014066"/>
    <w:rsid w:val="000142B4"/>
    <w:rsid w:val="0001452F"/>
    <w:rsid w:val="00014C5D"/>
    <w:rsid w:val="000151A9"/>
    <w:rsid w:val="000166D0"/>
    <w:rsid w:val="000212AC"/>
    <w:rsid w:val="00023314"/>
    <w:rsid w:val="000236D9"/>
    <w:rsid w:val="00023BA8"/>
    <w:rsid w:val="00024097"/>
    <w:rsid w:val="0002698D"/>
    <w:rsid w:val="00026C55"/>
    <w:rsid w:val="00030B06"/>
    <w:rsid w:val="00031490"/>
    <w:rsid w:val="00031C9D"/>
    <w:rsid w:val="00032759"/>
    <w:rsid w:val="0003295A"/>
    <w:rsid w:val="00032EAB"/>
    <w:rsid w:val="00034D66"/>
    <w:rsid w:val="00036CA2"/>
    <w:rsid w:val="00037139"/>
    <w:rsid w:val="00040551"/>
    <w:rsid w:val="00041929"/>
    <w:rsid w:val="00041A13"/>
    <w:rsid w:val="00041CFF"/>
    <w:rsid w:val="00042E45"/>
    <w:rsid w:val="00043C49"/>
    <w:rsid w:val="000461DC"/>
    <w:rsid w:val="00046292"/>
    <w:rsid w:val="000462CE"/>
    <w:rsid w:val="00046631"/>
    <w:rsid w:val="00046D69"/>
    <w:rsid w:val="00047243"/>
    <w:rsid w:val="00047A3B"/>
    <w:rsid w:val="00047F19"/>
    <w:rsid w:val="000523C9"/>
    <w:rsid w:val="0005319C"/>
    <w:rsid w:val="00053C31"/>
    <w:rsid w:val="000541BB"/>
    <w:rsid w:val="00054F7B"/>
    <w:rsid w:val="00054F7E"/>
    <w:rsid w:val="0005567A"/>
    <w:rsid w:val="0005603E"/>
    <w:rsid w:val="00056806"/>
    <w:rsid w:val="00061076"/>
    <w:rsid w:val="000629D4"/>
    <w:rsid w:val="000630F3"/>
    <w:rsid w:val="00063B26"/>
    <w:rsid w:val="00063B71"/>
    <w:rsid w:val="00063EA6"/>
    <w:rsid w:val="000642F2"/>
    <w:rsid w:val="00064B91"/>
    <w:rsid w:val="0006556E"/>
    <w:rsid w:val="000663CC"/>
    <w:rsid w:val="000711CD"/>
    <w:rsid w:val="00072144"/>
    <w:rsid w:val="000722C5"/>
    <w:rsid w:val="00072476"/>
    <w:rsid w:val="00081BDB"/>
    <w:rsid w:val="00082FB9"/>
    <w:rsid w:val="000847B7"/>
    <w:rsid w:val="000849E9"/>
    <w:rsid w:val="00084F1E"/>
    <w:rsid w:val="00085277"/>
    <w:rsid w:val="000858FA"/>
    <w:rsid w:val="00086115"/>
    <w:rsid w:val="00087962"/>
    <w:rsid w:val="00087D26"/>
    <w:rsid w:val="0009080F"/>
    <w:rsid w:val="000925D2"/>
    <w:rsid w:val="00093851"/>
    <w:rsid w:val="00094919"/>
    <w:rsid w:val="00094BF2"/>
    <w:rsid w:val="00095AF9"/>
    <w:rsid w:val="000960F1"/>
    <w:rsid w:val="00096849"/>
    <w:rsid w:val="000A0F71"/>
    <w:rsid w:val="000A5755"/>
    <w:rsid w:val="000A5D30"/>
    <w:rsid w:val="000B242A"/>
    <w:rsid w:val="000B7303"/>
    <w:rsid w:val="000C002A"/>
    <w:rsid w:val="000C274B"/>
    <w:rsid w:val="000C2EFC"/>
    <w:rsid w:val="000C34B4"/>
    <w:rsid w:val="000C3B79"/>
    <w:rsid w:val="000C4150"/>
    <w:rsid w:val="000C4CAF"/>
    <w:rsid w:val="000C506E"/>
    <w:rsid w:val="000C6966"/>
    <w:rsid w:val="000C76F9"/>
    <w:rsid w:val="000D05A0"/>
    <w:rsid w:val="000D0892"/>
    <w:rsid w:val="000D31C0"/>
    <w:rsid w:val="000D3852"/>
    <w:rsid w:val="000D4D34"/>
    <w:rsid w:val="000D75D0"/>
    <w:rsid w:val="000E1A40"/>
    <w:rsid w:val="000E3608"/>
    <w:rsid w:val="000E3B6C"/>
    <w:rsid w:val="000E3BC9"/>
    <w:rsid w:val="000F0EE6"/>
    <w:rsid w:val="000F160C"/>
    <w:rsid w:val="000F1766"/>
    <w:rsid w:val="000F19A7"/>
    <w:rsid w:val="000F2F1F"/>
    <w:rsid w:val="000F3153"/>
    <w:rsid w:val="000F36C7"/>
    <w:rsid w:val="000F50B9"/>
    <w:rsid w:val="000F550B"/>
    <w:rsid w:val="000F55B5"/>
    <w:rsid w:val="00100D30"/>
    <w:rsid w:val="00102734"/>
    <w:rsid w:val="00103D59"/>
    <w:rsid w:val="00106F98"/>
    <w:rsid w:val="00107D5F"/>
    <w:rsid w:val="00110B23"/>
    <w:rsid w:val="00110E5E"/>
    <w:rsid w:val="0011275C"/>
    <w:rsid w:val="001134E9"/>
    <w:rsid w:val="00115B0A"/>
    <w:rsid w:val="00115D62"/>
    <w:rsid w:val="00117092"/>
    <w:rsid w:val="00117749"/>
    <w:rsid w:val="00122751"/>
    <w:rsid w:val="0012317D"/>
    <w:rsid w:val="001245D1"/>
    <w:rsid w:val="00124EB1"/>
    <w:rsid w:val="00124F7A"/>
    <w:rsid w:val="0012575C"/>
    <w:rsid w:val="00125D25"/>
    <w:rsid w:val="00130162"/>
    <w:rsid w:val="0013185D"/>
    <w:rsid w:val="0013296E"/>
    <w:rsid w:val="00133154"/>
    <w:rsid w:val="00133289"/>
    <w:rsid w:val="00133BE7"/>
    <w:rsid w:val="00134D82"/>
    <w:rsid w:val="001355B4"/>
    <w:rsid w:val="0013575F"/>
    <w:rsid w:val="00135823"/>
    <w:rsid w:val="001362A1"/>
    <w:rsid w:val="00137665"/>
    <w:rsid w:val="0014030E"/>
    <w:rsid w:val="00140AD2"/>
    <w:rsid w:val="00141F78"/>
    <w:rsid w:val="00143326"/>
    <w:rsid w:val="00143A97"/>
    <w:rsid w:val="00143BF1"/>
    <w:rsid w:val="001440C5"/>
    <w:rsid w:val="00144640"/>
    <w:rsid w:val="00147660"/>
    <w:rsid w:val="00147AFF"/>
    <w:rsid w:val="00147F0D"/>
    <w:rsid w:val="00151399"/>
    <w:rsid w:val="0015213C"/>
    <w:rsid w:val="00152324"/>
    <w:rsid w:val="001528DE"/>
    <w:rsid w:val="001530AA"/>
    <w:rsid w:val="00153B43"/>
    <w:rsid w:val="001543AF"/>
    <w:rsid w:val="00154ABD"/>
    <w:rsid w:val="0015509C"/>
    <w:rsid w:val="001553BF"/>
    <w:rsid w:val="00155CBE"/>
    <w:rsid w:val="00156333"/>
    <w:rsid w:val="001573D4"/>
    <w:rsid w:val="00162CE1"/>
    <w:rsid w:val="0016565B"/>
    <w:rsid w:val="00166105"/>
    <w:rsid w:val="001664EA"/>
    <w:rsid w:val="001665F6"/>
    <w:rsid w:val="001668C4"/>
    <w:rsid w:val="0016766C"/>
    <w:rsid w:val="00170729"/>
    <w:rsid w:val="00171ED9"/>
    <w:rsid w:val="00171FBB"/>
    <w:rsid w:val="00176D58"/>
    <w:rsid w:val="001776FE"/>
    <w:rsid w:val="001802C8"/>
    <w:rsid w:val="0018110E"/>
    <w:rsid w:val="001815AE"/>
    <w:rsid w:val="00181A26"/>
    <w:rsid w:val="0018364C"/>
    <w:rsid w:val="00183655"/>
    <w:rsid w:val="001838E3"/>
    <w:rsid w:val="001850D8"/>
    <w:rsid w:val="001862D5"/>
    <w:rsid w:val="00190B66"/>
    <w:rsid w:val="00190E6C"/>
    <w:rsid w:val="00191682"/>
    <w:rsid w:val="00191F5C"/>
    <w:rsid w:val="00192682"/>
    <w:rsid w:val="00192FDD"/>
    <w:rsid w:val="00193B59"/>
    <w:rsid w:val="00193E38"/>
    <w:rsid w:val="0019427F"/>
    <w:rsid w:val="00195C2D"/>
    <w:rsid w:val="0019616B"/>
    <w:rsid w:val="001975B7"/>
    <w:rsid w:val="001A05F9"/>
    <w:rsid w:val="001A0A8C"/>
    <w:rsid w:val="001A0DF1"/>
    <w:rsid w:val="001A25A8"/>
    <w:rsid w:val="001A360A"/>
    <w:rsid w:val="001A4379"/>
    <w:rsid w:val="001A4E71"/>
    <w:rsid w:val="001A569A"/>
    <w:rsid w:val="001A5E9F"/>
    <w:rsid w:val="001A60BF"/>
    <w:rsid w:val="001A6157"/>
    <w:rsid w:val="001A6442"/>
    <w:rsid w:val="001A752B"/>
    <w:rsid w:val="001A77D0"/>
    <w:rsid w:val="001A793D"/>
    <w:rsid w:val="001A7C5C"/>
    <w:rsid w:val="001A7CE7"/>
    <w:rsid w:val="001B00D4"/>
    <w:rsid w:val="001B218A"/>
    <w:rsid w:val="001B2979"/>
    <w:rsid w:val="001B43C7"/>
    <w:rsid w:val="001B495A"/>
    <w:rsid w:val="001B6330"/>
    <w:rsid w:val="001C03CC"/>
    <w:rsid w:val="001C0E4A"/>
    <w:rsid w:val="001C143C"/>
    <w:rsid w:val="001C29D5"/>
    <w:rsid w:val="001C42B9"/>
    <w:rsid w:val="001C4949"/>
    <w:rsid w:val="001C4D29"/>
    <w:rsid w:val="001C67AD"/>
    <w:rsid w:val="001C7212"/>
    <w:rsid w:val="001C7245"/>
    <w:rsid w:val="001C79EF"/>
    <w:rsid w:val="001D1502"/>
    <w:rsid w:val="001D1A95"/>
    <w:rsid w:val="001D230B"/>
    <w:rsid w:val="001D3733"/>
    <w:rsid w:val="001D3CE3"/>
    <w:rsid w:val="001D4775"/>
    <w:rsid w:val="001D55A6"/>
    <w:rsid w:val="001D5FC3"/>
    <w:rsid w:val="001E07EB"/>
    <w:rsid w:val="001E07F1"/>
    <w:rsid w:val="001E1A5D"/>
    <w:rsid w:val="001E2475"/>
    <w:rsid w:val="001E5C0D"/>
    <w:rsid w:val="001E7051"/>
    <w:rsid w:val="001E7672"/>
    <w:rsid w:val="001E76F4"/>
    <w:rsid w:val="001E7CD8"/>
    <w:rsid w:val="001F1FDA"/>
    <w:rsid w:val="001F2730"/>
    <w:rsid w:val="001F2E0D"/>
    <w:rsid w:val="001F3081"/>
    <w:rsid w:val="001F32FD"/>
    <w:rsid w:val="001F4E47"/>
    <w:rsid w:val="001F6B71"/>
    <w:rsid w:val="001F6EB7"/>
    <w:rsid w:val="00200EF9"/>
    <w:rsid w:val="0020133D"/>
    <w:rsid w:val="0020149B"/>
    <w:rsid w:val="00201BD5"/>
    <w:rsid w:val="00202616"/>
    <w:rsid w:val="00203779"/>
    <w:rsid w:val="00203955"/>
    <w:rsid w:val="00205D79"/>
    <w:rsid w:val="002060D7"/>
    <w:rsid w:val="002069E2"/>
    <w:rsid w:val="00211543"/>
    <w:rsid w:val="00211558"/>
    <w:rsid w:val="002119F4"/>
    <w:rsid w:val="002121A0"/>
    <w:rsid w:val="00212621"/>
    <w:rsid w:val="00212983"/>
    <w:rsid w:val="00213ECD"/>
    <w:rsid w:val="00213FA6"/>
    <w:rsid w:val="00215ED9"/>
    <w:rsid w:val="0021747E"/>
    <w:rsid w:val="002174E2"/>
    <w:rsid w:val="00217923"/>
    <w:rsid w:val="00220898"/>
    <w:rsid w:val="002217F7"/>
    <w:rsid w:val="0022279A"/>
    <w:rsid w:val="00222B5F"/>
    <w:rsid w:val="00222E65"/>
    <w:rsid w:val="00224D1C"/>
    <w:rsid w:val="002252FA"/>
    <w:rsid w:val="002254E6"/>
    <w:rsid w:val="00225942"/>
    <w:rsid w:val="00226C50"/>
    <w:rsid w:val="00227662"/>
    <w:rsid w:val="00231CBD"/>
    <w:rsid w:val="002322DF"/>
    <w:rsid w:val="00232E52"/>
    <w:rsid w:val="00233273"/>
    <w:rsid w:val="00233FB1"/>
    <w:rsid w:val="00234AED"/>
    <w:rsid w:val="00234FD5"/>
    <w:rsid w:val="002350EC"/>
    <w:rsid w:val="00236E15"/>
    <w:rsid w:val="00237911"/>
    <w:rsid w:val="00240647"/>
    <w:rsid w:val="00240DF2"/>
    <w:rsid w:val="002420E6"/>
    <w:rsid w:val="00242B38"/>
    <w:rsid w:val="002451B0"/>
    <w:rsid w:val="00250E22"/>
    <w:rsid w:val="002521E3"/>
    <w:rsid w:val="00253F44"/>
    <w:rsid w:val="0025574D"/>
    <w:rsid w:val="002558CE"/>
    <w:rsid w:val="00255E99"/>
    <w:rsid w:val="00260F61"/>
    <w:rsid w:val="00263928"/>
    <w:rsid w:val="00264A2A"/>
    <w:rsid w:val="0026518B"/>
    <w:rsid w:val="00265796"/>
    <w:rsid w:val="00267068"/>
    <w:rsid w:val="00267102"/>
    <w:rsid w:val="0027160A"/>
    <w:rsid w:val="00271E8F"/>
    <w:rsid w:val="00274D73"/>
    <w:rsid w:val="0027700E"/>
    <w:rsid w:val="0027701C"/>
    <w:rsid w:val="00277131"/>
    <w:rsid w:val="0028011B"/>
    <w:rsid w:val="002812CD"/>
    <w:rsid w:val="002814A1"/>
    <w:rsid w:val="00281D3E"/>
    <w:rsid w:val="00282E91"/>
    <w:rsid w:val="00283ADD"/>
    <w:rsid w:val="00285213"/>
    <w:rsid w:val="002859CF"/>
    <w:rsid w:val="00286090"/>
    <w:rsid w:val="00286743"/>
    <w:rsid w:val="002868D1"/>
    <w:rsid w:val="00286B9B"/>
    <w:rsid w:val="00287302"/>
    <w:rsid w:val="0028778D"/>
    <w:rsid w:val="00287B54"/>
    <w:rsid w:val="00287EAE"/>
    <w:rsid w:val="0029008D"/>
    <w:rsid w:val="00291AF7"/>
    <w:rsid w:val="00291CC1"/>
    <w:rsid w:val="00292162"/>
    <w:rsid w:val="00293622"/>
    <w:rsid w:val="00294DD1"/>
    <w:rsid w:val="00295BB7"/>
    <w:rsid w:val="002962FE"/>
    <w:rsid w:val="002963A8"/>
    <w:rsid w:val="0029651F"/>
    <w:rsid w:val="00296C3E"/>
    <w:rsid w:val="00296E46"/>
    <w:rsid w:val="002A14FA"/>
    <w:rsid w:val="002A25C6"/>
    <w:rsid w:val="002A2858"/>
    <w:rsid w:val="002A3E66"/>
    <w:rsid w:val="002A71C6"/>
    <w:rsid w:val="002A7BE0"/>
    <w:rsid w:val="002B0C8C"/>
    <w:rsid w:val="002B1F00"/>
    <w:rsid w:val="002B1FD3"/>
    <w:rsid w:val="002B27BB"/>
    <w:rsid w:val="002B4943"/>
    <w:rsid w:val="002B5374"/>
    <w:rsid w:val="002B686F"/>
    <w:rsid w:val="002B7441"/>
    <w:rsid w:val="002B7F79"/>
    <w:rsid w:val="002C00AF"/>
    <w:rsid w:val="002C0813"/>
    <w:rsid w:val="002C3BEA"/>
    <w:rsid w:val="002C5012"/>
    <w:rsid w:val="002C5DEA"/>
    <w:rsid w:val="002D1314"/>
    <w:rsid w:val="002D1936"/>
    <w:rsid w:val="002D2218"/>
    <w:rsid w:val="002D2E9B"/>
    <w:rsid w:val="002D2FA6"/>
    <w:rsid w:val="002D37F7"/>
    <w:rsid w:val="002D5113"/>
    <w:rsid w:val="002D626B"/>
    <w:rsid w:val="002E05C8"/>
    <w:rsid w:val="002E0F3E"/>
    <w:rsid w:val="002E2B98"/>
    <w:rsid w:val="002E2CB7"/>
    <w:rsid w:val="002E3A2A"/>
    <w:rsid w:val="002E447A"/>
    <w:rsid w:val="002E45B2"/>
    <w:rsid w:val="002E5701"/>
    <w:rsid w:val="002E64CD"/>
    <w:rsid w:val="002F0D3D"/>
    <w:rsid w:val="002F2AE6"/>
    <w:rsid w:val="002F364B"/>
    <w:rsid w:val="002F446F"/>
    <w:rsid w:val="002F55BA"/>
    <w:rsid w:val="002F658C"/>
    <w:rsid w:val="002F7686"/>
    <w:rsid w:val="0030062F"/>
    <w:rsid w:val="00300922"/>
    <w:rsid w:val="0030186F"/>
    <w:rsid w:val="0030197B"/>
    <w:rsid w:val="003027A3"/>
    <w:rsid w:val="00303D69"/>
    <w:rsid w:val="0030433A"/>
    <w:rsid w:val="00305166"/>
    <w:rsid w:val="003056EB"/>
    <w:rsid w:val="00305748"/>
    <w:rsid w:val="00305806"/>
    <w:rsid w:val="00306D50"/>
    <w:rsid w:val="00307CE5"/>
    <w:rsid w:val="00307DC2"/>
    <w:rsid w:val="003116AB"/>
    <w:rsid w:val="00312116"/>
    <w:rsid w:val="00313C77"/>
    <w:rsid w:val="00317A2B"/>
    <w:rsid w:val="00317E6D"/>
    <w:rsid w:val="00317FF8"/>
    <w:rsid w:val="0032033C"/>
    <w:rsid w:val="00321103"/>
    <w:rsid w:val="003213FB"/>
    <w:rsid w:val="0032281D"/>
    <w:rsid w:val="00322A75"/>
    <w:rsid w:val="0032357F"/>
    <w:rsid w:val="003245AD"/>
    <w:rsid w:val="00324E1D"/>
    <w:rsid w:val="00326C7F"/>
    <w:rsid w:val="003278E0"/>
    <w:rsid w:val="00330867"/>
    <w:rsid w:val="00330C43"/>
    <w:rsid w:val="00334B07"/>
    <w:rsid w:val="00335D3D"/>
    <w:rsid w:val="00336388"/>
    <w:rsid w:val="003369F1"/>
    <w:rsid w:val="00336D5E"/>
    <w:rsid w:val="003379A2"/>
    <w:rsid w:val="00337C4A"/>
    <w:rsid w:val="00337E44"/>
    <w:rsid w:val="00337FCD"/>
    <w:rsid w:val="00340DB2"/>
    <w:rsid w:val="00341F95"/>
    <w:rsid w:val="003467B9"/>
    <w:rsid w:val="003474F1"/>
    <w:rsid w:val="00350716"/>
    <w:rsid w:val="00351B4A"/>
    <w:rsid w:val="00352DA4"/>
    <w:rsid w:val="00352FCF"/>
    <w:rsid w:val="00354085"/>
    <w:rsid w:val="003544B9"/>
    <w:rsid w:val="00360C3E"/>
    <w:rsid w:val="00360F81"/>
    <w:rsid w:val="00361659"/>
    <w:rsid w:val="0036217D"/>
    <w:rsid w:val="00362CAD"/>
    <w:rsid w:val="00362DA5"/>
    <w:rsid w:val="0036310A"/>
    <w:rsid w:val="00366B01"/>
    <w:rsid w:val="0037022F"/>
    <w:rsid w:val="0037218E"/>
    <w:rsid w:val="00372876"/>
    <w:rsid w:val="00373237"/>
    <w:rsid w:val="00375862"/>
    <w:rsid w:val="00375BB2"/>
    <w:rsid w:val="0037634D"/>
    <w:rsid w:val="00377B8E"/>
    <w:rsid w:val="00380E1B"/>
    <w:rsid w:val="0038124B"/>
    <w:rsid w:val="00382642"/>
    <w:rsid w:val="0038374C"/>
    <w:rsid w:val="00384074"/>
    <w:rsid w:val="0038533A"/>
    <w:rsid w:val="00385A1E"/>
    <w:rsid w:val="00386D2B"/>
    <w:rsid w:val="00386DC7"/>
    <w:rsid w:val="00387AC0"/>
    <w:rsid w:val="003901C4"/>
    <w:rsid w:val="00390B26"/>
    <w:rsid w:val="00390B3E"/>
    <w:rsid w:val="00391BED"/>
    <w:rsid w:val="0039296A"/>
    <w:rsid w:val="00392A36"/>
    <w:rsid w:val="00393820"/>
    <w:rsid w:val="00394606"/>
    <w:rsid w:val="00395139"/>
    <w:rsid w:val="00396C12"/>
    <w:rsid w:val="0039709E"/>
    <w:rsid w:val="00397B2C"/>
    <w:rsid w:val="003A1A29"/>
    <w:rsid w:val="003A236F"/>
    <w:rsid w:val="003A253D"/>
    <w:rsid w:val="003A256D"/>
    <w:rsid w:val="003A517B"/>
    <w:rsid w:val="003A5968"/>
    <w:rsid w:val="003A6381"/>
    <w:rsid w:val="003B1062"/>
    <w:rsid w:val="003B14A4"/>
    <w:rsid w:val="003B1FC1"/>
    <w:rsid w:val="003B3B26"/>
    <w:rsid w:val="003B3C8F"/>
    <w:rsid w:val="003B42DC"/>
    <w:rsid w:val="003B4D2D"/>
    <w:rsid w:val="003B54A2"/>
    <w:rsid w:val="003B62E6"/>
    <w:rsid w:val="003B6AB5"/>
    <w:rsid w:val="003B6E8E"/>
    <w:rsid w:val="003C1031"/>
    <w:rsid w:val="003C1543"/>
    <w:rsid w:val="003C1AF8"/>
    <w:rsid w:val="003C2F65"/>
    <w:rsid w:val="003C5105"/>
    <w:rsid w:val="003C53C2"/>
    <w:rsid w:val="003C586C"/>
    <w:rsid w:val="003C600B"/>
    <w:rsid w:val="003C6134"/>
    <w:rsid w:val="003C61ED"/>
    <w:rsid w:val="003C657F"/>
    <w:rsid w:val="003D01BA"/>
    <w:rsid w:val="003D0D75"/>
    <w:rsid w:val="003D0E3E"/>
    <w:rsid w:val="003D29AA"/>
    <w:rsid w:val="003D3E6C"/>
    <w:rsid w:val="003D5482"/>
    <w:rsid w:val="003E0859"/>
    <w:rsid w:val="003E1523"/>
    <w:rsid w:val="003E3CFB"/>
    <w:rsid w:val="003E3F7A"/>
    <w:rsid w:val="003E5084"/>
    <w:rsid w:val="003E596F"/>
    <w:rsid w:val="003F0725"/>
    <w:rsid w:val="003F1873"/>
    <w:rsid w:val="003F2103"/>
    <w:rsid w:val="003F24FB"/>
    <w:rsid w:val="003F2567"/>
    <w:rsid w:val="003F2A06"/>
    <w:rsid w:val="003F39D3"/>
    <w:rsid w:val="003F4612"/>
    <w:rsid w:val="003F4EDC"/>
    <w:rsid w:val="003F4F88"/>
    <w:rsid w:val="003F647A"/>
    <w:rsid w:val="003F6713"/>
    <w:rsid w:val="003F6D3F"/>
    <w:rsid w:val="003F77E5"/>
    <w:rsid w:val="004008A2"/>
    <w:rsid w:val="00401597"/>
    <w:rsid w:val="004016E1"/>
    <w:rsid w:val="00401926"/>
    <w:rsid w:val="00401F13"/>
    <w:rsid w:val="0040417C"/>
    <w:rsid w:val="004055ED"/>
    <w:rsid w:val="00405CC1"/>
    <w:rsid w:val="00410031"/>
    <w:rsid w:val="00410DE1"/>
    <w:rsid w:val="00413799"/>
    <w:rsid w:val="00414129"/>
    <w:rsid w:val="00414F4D"/>
    <w:rsid w:val="00416B32"/>
    <w:rsid w:val="00417518"/>
    <w:rsid w:val="00420226"/>
    <w:rsid w:val="004210E8"/>
    <w:rsid w:val="0042316A"/>
    <w:rsid w:val="004270FA"/>
    <w:rsid w:val="0043002B"/>
    <w:rsid w:val="004308C9"/>
    <w:rsid w:val="0043129A"/>
    <w:rsid w:val="00431AED"/>
    <w:rsid w:val="00432338"/>
    <w:rsid w:val="0043245D"/>
    <w:rsid w:val="004332F4"/>
    <w:rsid w:val="00434AC6"/>
    <w:rsid w:val="00435F41"/>
    <w:rsid w:val="00436861"/>
    <w:rsid w:val="00440CAA"/>
    <w:rsid w:val="0044122E"/>
    <w:rsid w:val="00444062"/>
    <w:rsid w:val="004454F9"/>
    <w:rsid w:val="004463FB"/>
    <w:rsid w:val="004467D7"/>
    <w:rsid w:val="00447B2A"/>
    <w:rsid w:val="004505B1"/>
    <w:rsid w:val="0045133E"/>
    <w:rsid w:val="0045156A"/>
    <w:rsid w:val="00451E2F"/>
    <w:rsid w:val="00452D20"/>
    <w:rsid w:val="00453144"/>
    <w:rsid w:val="004540AF"/>
    <w:rsid w:val="00454FBB"/>
    <w:rsid w:val="004557D8"/>
    <w:rsid w:val="00457A05"/>
    <w:rsid w:val="0046078E"/>
    <w:rsid w:val="00461B34"/>
    <w:rsid w:val="004629C8"/>
    <w:rsid w:val="00462A10"/>
    <w:rsid w:val="00462C2C"/>
    <w:rsid w:val="00463909"/>
    <w:rsid w:val="00463FFC"/>
    <w:rsid w:val="0046461B"/>
    <w:rsid w:val="00464FC7"/>
    <w:rsid w:val="00465088"/>
    <w:rsid w:val="004652C6"/>
    <w:rsid w:val="00465E5A"/>
    <w:rsid w:val="00466764"/>
    <w:rsid w:val="0046688A"/>
    <w:rsid w:val="00466B57"/>
    <w:rsid w:val="00466E9B"/>
    <w:rsid w:val="00467698"/>
    <w:rsid w:val="0046792F"/>
    <w:rsid w:val="00467DF4"/>
    <w:rsid w:val="004704D7"/>
    <w:rsid w:val="004711E7"/>
    <w:rsid w:val="004712A2"/>
    <w:rsid w:val="004716C6"/>
    <w:rsid w:val="00472061"/>
    <w:rsid w:val="0047487F"/>
    <w:rsid w:val="00474B03"/>
    <w:rsid w:val="0047522A"/>
    <w:rsid w:val="0047585C"/>
    <w:rsid w:val="0047702E"/>
    <w:rsid w:val="00477041"/>
    <w:rsid w:val="0047775D"/>
    <w:rsid w:val="00477892"/>
    <w:rsid w:val="00480944"/>
    <w:rsid w:val="00481649"/>
    <w:rsid w:val="00483754"/>
    <w:rsid w:val="00483ACE"/>
    <w:rsid w:val="00484916"/>
    <w:rsid w:val="00485BBD"/>
    <w:rsid w:val="00486B82"/>
    <w:rsid w:val="00486BD3"/>
    <w:rsid w:val="00486BF8"/>
    <w:rsid w:val="004900A1"/>
    <w:rsid w:val="0049057C"/>
    <w:rsid w:val="00490F99"/>
    <w:rsid w:val="00492C22"/>
    <w:rsid w:val="004930E9"/>
    <w:rsid w:val="004941DD"/>
    <w:rsid w:val="00495DF8"/>
    <w:rsid w:val="00496044"/>
    <w:rsid w:val="004964BB"/>
    <w:rsid w:val="004966A9"/>
    <w:rsid w:val="00496C16"/>
    <w:rsid w:val="004970E0"/>
    <w:rsid w:val="004A20DB"/>
    <w:rsid w:val="004A33B3"/>
    <w:rsid w:val="004A3A24"/>
    <w:rsid w:val="004A4436"/>
    <w:rsid w:val="004A5382"/>
    <w:rsid w:val="004A6054"/>
    <w:rsid w:val="004B057F"/>
    <w:rsid w:val="004B1AD2"/>
    <w:rsid w:val="004B28B6"/>
    <w:rsid w:val="004B43E5"/>
    <w:rsid w:val="004B65A1"/>
    <w:rsid w:val="004B6BE1"/>
    <w:rsid w:val="004C029C"/>
    <w:rsid w:val="004C382C"/>
    <w:rsid w:val="004C3842"/>
    <w:rsid w:val="004C4BBD"/>
    <w:rsid w:val="004C7230"/>
    <w:rsid w:val="004C7912"/>
    <w:rsid w:val="004D01B3"/>
    <w:rsid w:val="004D03F8"/>
    <w:rsid w:val="004D0582"/>
    <w:rsid w:val="004D098F"/>
    <w:rsid w:val="004D0D75"/>
    <w:rsid w:val="004D15BB"/>
    <w:rsid w:val="004D1785"/>
    <w:rsid w:val="004D27C0"/>
    <w:rsid w:val="004D2BD3"/>
    <w:rsid w:val="004D3458"/>
    <w:rsid w:val="004D5117"/>
    <w:rsid w:val="004D54A4"/>
    <w:rsid w:val="004D5948"/>
    <w:rsid w:val="004D6211"/>
    <w:rsid w:val="004D6379"/>
    <w:rsid w:val="004D685E"/>
    <w:rsid w:val="004D6C11"/>
    <w:rsid w:val="004D709D"/>
    <w:rsid w:val="004D74FA"/>
    <w:rsid w:val="004D7884"/>
    <w:rsid w:val="004E35BD"/>
    <w:rsid w:val="004E3D74"/>
    <w:rsid w:val="004E4A64"/>
    <w:rsid w:val="004F0F79"/>
    <w:rsid w:val="004F18B0"/>
    <w:rsid w:val="004F1B4B"/>
    <w:rsid w:val="004F2F1A"/>
    <w:rsid w:val="004F39CA"/>
    <w:rsid w:val="004F4964"/>
    <w:rsid w:val="004F5AAA"/>
    <w:rsid w:val="004F70DD"/>
    <w:rsid w:val="004F7D4D"/>
    <w:rsid w:val="00500426"/>
    <w:rsid w:val="00500A22"/>
    <w:rsid w:val="00501904"/>
    <w:rsid w:val="00502332"/>
    <w:rsid w:val="00502A59"/>
    <w:rsid w:val="005031BF"/>
    <w:rsid w:val="005040E3"/>
    <w:rsid w:val="00506507"/>
    <w:rsid w:val="005068B0"/>
    <w:rsid w:val="00510566"/>
    <w:rsid w:val="00511650"/>
    <w:rsid w:val="00514E0A"/>
    <w:rsid w:val="005151A5"/>
    <w:rsid w:val="00516C4D"/>
    <w:rsid w:val="005170B6"/>
    <w:rsid w:val="005200ED"/>
    <w:rsid w:val="005228D2"/>
    <w:rsid w:val="00524798"/>
    <w:rsid w:val="00524ED5"/>
    <w:rsid w:val="00527146"/>
    <w:rsid w:val="0052776C"/>
    <w:rsid w:val="00530611"/>
    <w:rsid w:val="00530866"/>
    <w:rsid w:val="00530A86"/>
    <w:rsid w:val="005319FE"/>
    <w:rsid w:val="00532821"/>
    <w:rsid w:val="00532988"/>
    <w:rsid w:val="00532DEA"/>
    <w:rsid w:val="00534D79"/>
    <w:rsid w:val="005359C1"/>
    <w:rsid w:val="00537652"/>
    <w:rsid w:val="00537F19"/>
    <w:rsid w:val="005408A9"/>
    <w:rsid w:val="00541B70"/>
    <w:rsid w:val="00541D30"/>
    <w:rsid w:val="0054256B"/>
    <w:rsid w:val="005430B6"/>
    <w:rsid w:val="00543913"/>
    <w:rsid w:val="005441D4"/>
    <w:rsid w:val="00546310"/>
    <w:rsid w:val="00546EDE"/>
    <w:rsid w:val="00550046"/>
    <w:rsid w:val="005502AE"/>
    <w:rsid w:val="00550417"/>
    <w:rsid w:val="00550676"/>
    <w:rsid w:val="00550B91"/>
    <w:rsid w:val="005511A5"/>
    <w:rsid w:val="00551816"/>
    <w:rsid w:val="0055218E"/>
    <w:rsid w:val="00553712"/>
    <w:rsid w:val="00553AE3"/>
    <w:rsid w:val="00553C3C"/>
    <w:rsid w:val="00556198"/>
    <w:rsid w:val="00556AFF"/>
    <w:rsid w:val="00557028"/>
    <w:rsid w:val="005575D2"/>
    <w:rsid w:val="00560DD5"/>
    <w:rsid w:val="0056138E"/>
    <w:rsid w:val="005620E3"/>
    <w:rsid w:val="00562428"/>
    <w:rsid w:val="00562BC1"/>
    <w:rsid w:val="00564C17"/>
    <w:rsid w:val="005657B2"/>
    <w:rsid w:val="005666AD"/>
    <w:rsid w:val="00566877"/>
    <w:rsid w:val="00566951"/>
    <w:rsid w:val="005677A5"/>
    <w:rsid w:val="0057039E"/>
    <w:rsid w:val="005708A7"/>
    <w:rsid w:val="0057192D"/>
    <w:rsid w:val="00571B88"/>
    <w:rsid w:val="00572127"/>
    <w:rsid w:val="00572D0A"/>
    <w:rsid w:val="005745B3"/>
    <w:rsid w:val="00575DCB"/>
    <w:rsid w:val="005802D0"/>
    <w:rsid w:val="00580585"/>
    <w:rsid w:val="005826C4"/>
    <w:rsid w:val="005827F4"/>
    <w:rsid w:val="00584D31"/>
    <w:rsid w:val="005874BF"/>
    <w:rsid w:val="005901DE"/>
    <w:rsid w:val="00590795"/>
    <w:rsid w:val="00590EAA"/>
    <w:rsid w:val="005913ED"/>
    <w:rsid w:val="005937DA"/>
    <w:rsid w:val="0059448A"/>
    <w:rsid w:val="00594B70"/>
    <w:rsid w:val="00594CB8"/>
    <w:rsid w:val="005955D4"/>
    <w:rsid w:val="00595BDF"/>
    <w:rsid w:val="00595C10"/>
    <w:rsid w:val="005964CB"/>
    <w:rsid w:val="00596733"/>
    <w:rsid w:val="00597261"/>
    <w:rsid w:val="005A17AB"/>
    <w:rsid w:val="005A377A"/>
    <w:rsid w:val="005A37FD"/>
    <w:rsid w:val="005A406C"/>
    <w:rsid w:val="005A4E67"/>
    <w:rsid w:val="005A53E2"/>
    <w:rsid w:val="005A58AE"/>
    <w:rsid w:val="005A74D9"/>
    <w:rsid w:val="005B1431"/>
    <w:rsid w:val="005B23E0"/>
    <w:rsid w:val="005C0A7A"/>
    <w:rsid w:val="005C0B15"/>
    <w:rsid w:val="005C1C95"/>
    <w:rsid w:val="005C20AE"/>
    <w:rsid w:val="005C26E4"/>
    <w:rsid w:val="005C3BA0"/>
    <w:rsid w:val="005C420B"/>
    <w:rsid w:val="005C53C4"/>
    <w:rsid w:val="005C56CE"/>
    <w:rsid w:val="005C5B05"/>
    <w:rsid w:val="005C6A4D"/>
    <w:rsid w:val="005D017B"/>
    <w:rsid w:val="005D0394"/>
    <w:rsid w:val="005D1D00"/>
    <w:rsid w:val="005D4291"/>
    <w:rsid w:val="005D4786"/>
    <w:rsid w:val="005D4AE4"/>
    <w:rsid w:val="005D5E45"/>
    <w:rsid w:val="005D6CA3"/>
    <w:rsid w:val="005D73F5"/>
    <w:rsid w:val="005E012C"/>
    <w:rsid w:val="005E0216"/>
    <w:rsid w:val="005E4C8D"/>
    <w:rsid w:val="005E51A5"/>
    <w:rsid w:val="005E661E"/>
    <w:rsid w:val="005E72AB"/>
    <w:rsid w:val="005E7460"/>
    <w:rsid w:val="005F2CD9"/>
    <w:rsid w:val="005F37F4"/>
    <w:rsid w:val="005F3F4E"/>
    <w:rsid w:val="005F4116"/>
    <w:rsid w:val="005F473D"/>
    <w:rsid w:val="005F6200"/>
    <w:rsid w:val="005F6C40"/>
    <w:rsid w:val="006014F8"/>
    <w:rsid w:val="006045B1"/>
    <w:rsid w:val="00605B2C"/>
    <w:rsid w:val="00605B59"/>
    <w:rsid w:val="00606950"/>
    <w:rsid w:val="00607F3C"/>
    <w:rsid w:val="00611967"/>
    <w:rsid w:val="00615DCD"/>
    <w:rsid w:val="00615F2A"/>
    <w:rsid w:val="006164A2"/>
    <w:rsid w:val="006167A0"/>
    <w:rsid w:val="00616CD1"/>
    <w:rsid w:val="00616D20"/>
    <w:rsid w:val="0061789B"/>
    <w:rsid w:val="00621DE5"/>
    <w:rsid w:val="0062245E"/>
    <w:rsid w:val="00622B11"/>
    <w:rsid w:val="006241FA"/>
    <w:rsid w:val="00624CC1"/>
    <w:rsid w:val="00624DFA"/>
    <w:rsid w:val="006260B2"/>
    <w:rsid w:val="006274BE"/>
    <w:rsid w:val="006304DB"/>
    <w:rsid w:val="0063176A"/>
    <w:rsid w:val="00631B18"/>
    <w:rsid w:val="00631F44"/>
    <w:rsid w:val="00631F91"/>
    <w:rsid w:val="0063296F"/>
    <w:rsid w:val="00632F8A"/>
    <w:rsid w:val="00632FD5"/>
    <w:rsid w:val="006334B1"/>
    <w:rsid w:val="00633591"/>
    <w:rsid w:val="006338EA"/>
    <w:rsid w:val="006340BB"/>
    <w:rsid w:val="00635389"/>
    <w:rsid w:val="00635F3B"/>
    <w:rsid w:val="00637802"/>
    <w:rsid w:val="00637B29"/>
    <w:rsid w:val="00637FBE"/>
    <w:rsid w:val="00640153"/>
    <w:rsid w:val="00640E9D"/>
    <w:rsid w:val="00642478"/>
    <w:rsid w:val="006441AB"/>
    <w:rsid w:val="00644377"/>
    <w:rsid w:val="00647E6E"/>
    <w:rsid w:val="00650C72"/>
    <w:rsid w:val="00650E72"/>
    <w:rsid w:val="006515B4"/>
    <w:rsid w:val="006516AD"/>
    <w:rsid w:val="00651729"/>
    <w:rsid w:val="00651F6F"/>
    <w:rsid w:val="00652C3D"/>
    <w:rsid w:val="006536FC"/>
    <w:rsid w:val="0065774D"/>
    <w:rsid w:val="006604C6"/>
    <w:rsid w:val="00660600"/>
    <w:rsid w:val="00660ED8"/>
    <w:rsid w:val="0066175B"/>
    <w:rsid w:val="00661B1D"/>
    <w:rsid w:val="00662030"/>
    <w:rsid w:val="00664077"/>
    <w:rsid w:val="0066627F"/>
    <w:rsid w:val="006700B5"/>
    <w:rsid w:val="00670229"/>
    <w:rsid w:val="006712C3"/>
    <w:rsid w:val="00674D68"/>
    <w:rsid w:val="00674F65"/>
    <w:rsid w:val="006750CA"/>
    <w:rsid w:val="006766E2"/>
    <w:rsid w:val="00677BBC"/>
    <w:rsid w:val="00677FE0"/>
    <w:rsid w:val="00680642"/>
    <w:rsid w:val="006844FE"/>
    <w:rsid w:val="006846BF"/>
    <w:rsid w:val="00686CCB"/>
    <w:rsid w:val="00690CAD"/>
    <w:rsid w:val="00691454"/>
    <w:rsid w:val="0069190D"/>
    <w:rsid w:val="0069204F"/>
    <w:rsid w:val="006930FA"/>
    <w:rsid w:val="0069426C"/>
    <w:rsid w:val="0069469E"/>
    <w:rsid w:val="00694A0F"/>
    <w:rsid w:val="00694C3F"/>
    <w:rsid w:val="00697758"/>
    <w:rsid w:val="006A10F2"/>
    <w:rsid w:val="006A1A94"/>
    <w:rsid w:val="006A26BA"/>
    <w:rsid w:val="006A2984"/>
    <w:rsid w:val="006A3D91"/>
    <w:rsid w:val="006A3F52"/>
    <w:rsid w:val="006A43AB"/>
    <w:rsid w:val="006A4D7F"/>
    <w:rsid w:val="006A4DC2"/>
    <w:rsid w:val="006A52E7"/>
    <w:rsid w:val="006A6D80"/>
    <w:rsid w:val="006A6F38"/>
    <w:rsid w:val="006A7A53"/>
    <w:rsid w:val="006B1164"/>
    <w:rsid w:val="006B11CA"/>
    <w:rsid w:val="006B204A"/>
    <w:rsid w:val="006B3C55"/>
    <w:rsid w:val="006B4FFC"/>
    <w:rsid w:val="006B50C2"/>
    <w:rsid w:val="006B54AF"/>
    <w:rsid w:val="006B5984"/>
    <w:rsid w:val="006B71C5"/>
    <w:rsid w:val="006C10F3"/>
    <w:rsid w:val="006C1464"/>
    <w:rsid w:val="006C206D"/>
    <w:rsid w:val="006C2091"/>
    <w:rsid w:val="006C279D"/>
    <w:rsid w:val="006C2813"/>
    <w:rsid w:val="006C41DB"/>
    <w:rsid w:val="006C6E10"/>
    <w:rsid w:val="006C797C"/>
    <w:rsid w:val="006D202B"/>
    <w:rsid w:val="006D375D"/>
    <w:rsid w:val="006D43A2"/>
    <w:rsid w:val="006D5759"/>
    <w:rsid w:val="006D7764"/>
    <w:rsid w:val="006D7A23"/>
    <w:rsid w:val="006D7CBF"/>
    <w:rsid w:val="006E22AC"/>
    <w:rsid w:val="006E52A2"/>
    <w:rsid w:val="006E54B7"/>
    <w:rsid w:val="006E5802"/>
    <w:rsid w:val="006E7407"/>
    <w:rsid w:val="006E7641"/>
    <w:rsid w:val="006F0679"/>
    <w:rsid w:val="006F1DA6"/>
    <w:rsid w:val="006F20DA"/>
    <w:rsid w:val="006F283B"/>
    <w:rsid w:val="006F49BF"/>
    <w:rsid w:val="006F66A9"/>
    <w:rsid w:val="006F6C70"/>
    <w:rsid w:val="006F7DFF"/>
    <w:rsid w:val="007018C5"/>
    <w:rsid w:val="00701B01"/>
    <w:rsid w:val="00703113"/>
    <w:rsid w:val="00704C1A"/>
    <w:rsid w:val="00704CC1"/>
    <w:rsid w:val="00707868"/>
    <w:rsid w:val="00711C00"/>
    <w:rsid w:val="00713376"/>
    <w:rsid w:val="00713463"/>
    <w:rsid w:val="00713F59"/>
    <w:rsid w:val="00714750"/>
    <w:rsid w:val="007151D7"/>
    <w:rsid w:val="00715DAC"/>
    <w:rsid w:val="0072282F"/>
    <w:rsid w:val="00722FF6"/>
    <w:rsid w:val="00723EE4"/>
    <w:rsid w:val="007245ED"/>
    <w:rsid w:val="00725634"/>
    <w:rsid w:val="00726CE9"/>
    <w:rsid w:val="007274B4"/>
    <w:rsid w:val="00727F68"/>
    <w:rsid w:val="007306D6"/>
    <w:rsid w:val="007310C0"/>
    <w:rsid w:val="0073187D"/>
    <w:rsid w:val="007325BB"/>
    <w:rsid w:val="00732EE6"/>
    <w:rsid w:val="0073400C"/>
    <w:rsid w:val="0073441E"/>
    <w:rsid w:val="007346CC"/>
    <w:rsid w:val="00734D2F"/>
    <w:rsid w:val="00736BB3"/>
    <w:rsid w:val="00741732"/>
    <w:rsid w:val="0074187A"/>
    <w:rsid w:val="00742070"/>
    <w:rsid w:val="00742330"/>
    <w:rsid w:val="0074254D"/>
    <w:rsid w:val="00742897"/>
    <w:rsid w:val="00743E43"/>
    <w:rsid w:val="00744B54"/>
    <w:rsid w:val="0074501C"/>
    <w:rsid w:val="00745DE6"/>
    <w:rsid w:val="00746844"/>
    <w:rsid w:val="00747468"/>
    <w:rsid w:val="007475AC"/>
    <w:rsid w:val="007478DD"/>
    <w:rsid w:val="00747954"/>
    <w:rsid w:val="007479AD"/>
    <w:rsid w:val="007503A7"/>
    <w:rsid w:val="00751082"/>
    <w:rsid w:val="00752DF4"/>
    <w:rsid w:val="007530D5"/>
    <w:rsid w:val="00753C4E"/>
    <w:rsid w:val="00754B26"/>
    <w:rsid w:val="00754E7A"/>
    <w:rsid w:val="007551E3"/>
    <w:rsid w:val="00755CE8"/>
    <w:rsid w:val="007560E9"/>
    <w:rsid w:val="00756792"/>
    <w:rsid w:val="007568A6"/>
    <w:rsid w:val="00757AD8"/>
    <w:rsid w:val="00760067"/>
    <w:rsid w:val="00760946"/>
    <w:rsid w:val="00760CBB"/>
    <w:rsid w:val="007616A8"/>
    <w:rsid w:val="00761CD0"/>
    <w:rsid w:val="00762679"/>
    <w:rsid w:val="00762A56"/>
    <w:rsid w:val="007630E5"/>
    <w:rsid w:val="00764618"/>
    <w:rsid w:val="00764EDA"/>
    <w:rsid w:val="00765642"/>
    <w:rsid w:val="00765989"/>
    <w:rsid w:val="00765E29"/>
    <w:rsid w:val="00765EEB"/>
    <w:rsid w:val="00766288"/>
    <w:rsid w:val="00770A7D"/>
    <w:rsid w:val="00770DD6"/>
    <w:rsid w:val="00771B3A"/>
    <w:rsid w:val="007733AE"/>
    <w:rsid w:val="007738FC"/>
    <w:rsid w:val="007740B4"/>
    <w:rsid w:val="00774741"/>
    <w:rsid w:val="00774FAA"/>
    <w:rsid w:val="00777C14"/>
    <w:rsid w:val="007800FF"/>
    <w:rsid w:val="00780684"/>
    <w:rsid w:val="007813F5"/>
    <w:rsid w:val="00781D75"/>
    <w:rsid w:val="007858BF"/>
    <w:rsid w:val="00786947"/>
    <w:rsid w:val="00786ABB"/>
    <w:rsid w:val="007875F6"/>
    <w:rsid w:val="00790AF0"/>
    <w:rsid w:val="007911C4"/>
    <w:rsid w:val="0079212E"/>
    <w:rsid w:val="007932AC"/>
    <w:rsid w:val="0079357C"/>
    <w:rsid w:val="0079382B"/>
    <w:rsid w:val="0079760C"/>
    <w:rsid w:val="007A1A1B"/>
    <w:rsid w:val="007A1B80"/>
    <w:rsid w:val="007A264F"/>
    <w:rsid w:val="007A2C77"/>
    <w:rsid w:val="007A33F7"/>
    <w:rsid w:val="007A5FCC"/>
    <w:rsid w:val="007A6A29"/>
    <w:rsid w:val="007B046D"/>
    <w:rsid w:val="007B0680"/>
    <w:rsid w:val="007B06FF"/>
    <w:rsid w:val="007B0D9F"/>
    <w:rsid w:val="007B2E53"/>
    <w:rsid w:val="007B2F29"/>
    <w:rsid w:val="007B3A6F"/>
    <w:rsid w:val="007B5F29"/>
    <w:rsid w:val="007B6550"/>
    <w:rsid w:val="007B6AF4"/>
    <w:rsid w:val="007B6DE7"/>
    <w:rsid w:val="007B6FF1"/>
    <w:rsid w:val="007C0E1E"/>
    <w:rsid w:val="007C0FAE"/>
    <w:rsid w:val="007C2F4A"/>
    <w:rsid w:val="007C5DBE"/>
    <w:rsid w:val="007C5FF4"/>
    <w:rsid w:val="007C742D"/>
    <w:rsid w:val="007D0CD2"/>
    <w:rsid w:val="007D2420"/>
    <w:rsid w:val="007D3A6C"/>
    <w:rsid w:val="007D5AE0"/>
    <w:rsid w:val="007D65EF"/>
    <w:rsid w:val="007E077E"/>
    <w:rsid w:val="007E151D"/>
    <w:rsid w:val="007E1F3E"/>
    <w:rsid w:val="007E28B6"/>
    <w:rsid w:val="007E4E6B"/>
    <w:rsid w:val="007E52BC"/>
    <w:rsid w:val="007E5D14"/>
    <w:rsid w:val="007E73B7"/>
    <w:rsid w:val="007E749D"/>
    <w:rsid w:val="007E7C28"/>
    <w:rsid w:val="007E7C63"/>
    <w:rsid w:val="007E7ECC"/>
    <w:rsid w:val="007F0C8A"/>
    <w:rsid w:val="007F15C5"/>
    <w:rsid w:val="007F327B"/>
    <w:rsid w:val="007F5750"/>
    <w:rsid w:val="007F5BED"/>
    <w:rsid w:val="007F6BAA"/>
    <w:rsid w:val="007F7BF7"/>
    <w:rsid w:val="008008F9"/>
    <w:rsid w:val="0080270A"/>
    <w:rsid w:val="00802BBC"/>
    <w:rsid w:val="008050C2"/>
    <w:rsid w:val="00806FCE"/>
    <w:rsid w:val="00807160"/>
    <w:rsid w:val="00807B32"/>
    <w:rsid w:val="00810052"/>
    <w:rsid w:val="00810DF9"/>
    <w:rsid w:val="00811F14"/>
    <w:rsid w:val="008128E5"/>
    <w:rsid w:val="00812EDE"/>
    <w:rsid w:val="00813278"/>
    <w:rsid w:val="00813B35"/>
    <w:rsid w:val="008152E0"/>
    <w:rsid w:val="00815D3C"/>
    <w:rsid w:val="00815EB4"/>
    <w:rsid w:val="00815F1F"/>
    <w:rsid w:val="0081610C"/>
    <w:rsid w:val="00816F51"/>
    <w:rsid w:val="00817A7C"/>
    <w:rsid w:val="008211F0"/>
    <w:rsid w:val="00821EE0"/>
    <w:rsid w:val="00822164"/>
    <w:rsid w:val="008228DF"/>
    <w:rsid w:val="00823DD1"/>
    <w:rsid w:val="0082457E"/>
    <w:rsid w:val="008245FB"/>
    <w:rsid w:val="008256F6"/>
    <w:rsid w:val="00825F2F"/>
    <w:rsid w:val="00826721"/>
    <w:rsid w:val="0082734C"/>
    <w:rsid w:val="008309D9"/>
    <w:rsid w:val="00830F3B"/>
    <w:rsid w:val="0083236C"/>
    <w:rsid w:val="00833CB3"/>
    <w:rsid w:val="00834745"/>
    <w:rsid w:val="00834F55"/>
    <w:rsid w:val="00836074"/>
    <w:rsid w:val="00837761"/>
    <w:rsid w:val="008429DD"/>
    <w:rsid w:val="00843107"/>
    <w:rsid w:val="00843F9D"/>
    <w:rsid w:val="0084469A"/>
    <w:rsid w:val="0084646E"/>
    <w:rsid w:val="008478B1"/>
    <w:rsid w:val="00847E58"/>
    <w:rsid w:val="00850889"/>
    <w:rsid w:val="00851DE3"/>
    <w:rsid w:val="00854468"/>
    <w:rsid w:val="00855014"/>
    <w:rsid w:val="00855124"/>
    <w:rsid w:val="00855324"/>
    <w:rsid w:val="0086059F"/>
    <w:rsid w:val="00860D56"/>
    <w:rsid w:val="008615EB"/>
    <w:rsid w:val="00865E81"/>
    <w:rsid w:val="0086721B"/>
    <w:rsid w:val="008678C3"/>
    <w:rsid w:val="00867F51"/>
    <w:rsid w:val="00870558"/>
    <w:rsid w:val="00870631"/>
    <w:rsid w:val="00870F16"/>
    <w:rsid w:val="0087371B"/>
    <w:rsid w:val="00873CA2"/>
    <w:rsid w:val="00873E64"/>
    <w:rsid w:val="00875095"/>
    <w:rsid w:val="008753AC"/>
    <w:rsid w:val="0087712F"/>
    <w:rsid w:val="00877201"/>
    <w:rsid w:val="00877507"/>
    <w:rsid w:val="008816A7"/>
    <w:rsid w:val="0088363B"/>
    <w:rsid w:val="00885A4B"/>
    <w:rsid w:val="00886EEB"/>
    <w:rsid w:val="00887D11"/>
    <w:rsid w:val="00892058"/>
    <w:rsid w:val="0089215A"/>
    <w:rsid w:val="0089466D"/>
    <w:rsid w:val="00895DB5"/>
    <w:rsid w:val="008A02C8"/>
    <w:rsid w:val="008A0F74"/>
    <w:rsid w:val="008A1866"/>
    <w:rsid w:val="008A1A86"/>
    <w:rsid w:val="008A1E86"/>
    <w:rsid w:val="008A1F9B"/>
    <w:rsid w:val="008A3BBB"/>
    <w:rsid w:val="008A4DE6"/>
    <w:rsid w:val="008A663C"/>
    <w:rsid w:val="008A6D71"/>
    <w:rsid w:val="008A7362"/>
    <w:rsid w:val="008A7532"/>
    <w:rsid w:val="008B0113"/>
    <w:rsid w:val="008B0555"/>
    <w:rsid w:val="008B0908"/>
    <w:rsid w:val="008B4B38"/>
    <w:rsid w:val="008B6133"/>
    <w:rsid w:val="008B6E27"/>
    <w:rsid w:val="008C0105"/>
    <w:rsid w:val="008C0FDD"/>
    <w:rsid w:val="008C1FDF"/>
    <w:rsid w:val="008C26EC"/>
    <w:rsid w:val="008C2C03"/>
    <w:rsid w:val="008C3973"/>
    <w:rsid w:val="008C4045"/>
    <w:rsid w:val="008C4239"/>
    <w:rsid w:val="008C54DC"/>
    <w:rsid w:val="008C6088"/>
    <w:rsid w:val="008C7385"/>
    <w:rsid w:val="008D0B72"/>
    <w:rsid w:val="008D1EBA"/>
    <w:rsid w:val="008D2085"/>
    <w:rsid w:val="008D2CE4"/>
    <w:rsid w:val="008D2E86"/>
    <w:rsid w:val="008D328F"/>
    <w:rsid w:val="008D48F1"/>
    <w:rsid w:val="008E047E"/>
    <w:rsid w:val="008E0680"/>
    <w:rsid w:val="008E14C2"/>
    <w:rsid w:val="008E1F8C"/>
    <w:rsid w:val="008E3293"/>
    <w:rsid w:val="008E3D32"/>
    <w:rsid w:val="008E402E"/>
    <w:rsid w:val="008E4BC7"/>
    <w:rsid w:val="008E4D36"/>
    <w:rsid w:val="008E50D4"/>
    <w:rsid w:val="008E556D"/>
    <w:rsid w:val="008E696E"/>
    <w:rsid w:val="008E6E95"/>
    <w:rsid w:val="008E75D8"/>
    <w:rsid w:val="008E766D"/>
    <w:rsid w:val="008E78B9"/>
    <w:rsid w:val="008E7B62"/>
    <w:rsid w:val="008F228D"/>
    <w:rsid w:val="008F25C5"/>
    <w:rsid w:val="008F2AC4"/>
    <w:rsid w:val="008F2E8D"/>
    <w:rsid w:val="008F2F9B"/>
    <w:rsid w:val="008F4441"/>
    <w:rsid w:val="00900B33"/>
    <w:rsid w:val="00900CA4"/>
    <w:rsid w:val="00901663"/>
    <w:rsid w:val="00901EDA"/>
    <w:rsid w:val="00902C24"/>
    <w:rsid w:val="00902E8A"/>
    <w:rsid w:val="00904484"/>
    <w:rsid w:val="009055CB"/>
    <w:rsid w:val="00905AEB"/>
    <w:rsid w:val="00906210"/>
    <w:rsid w:val="0090781C"/>
    <w:rsid w:val="00907E75"/>
    <w:rsid w:val="00910583"/>
    <w:rsid w:val="00910870"/>
    <w:rsid w:val="00913EDB"/>
    <w:rsid w:val="00913F8A"/>
    <w:rsid w:val="00915AD4"/>
    <w:rsid w:val="0091648D"/>
    <w:rsid w:val="00916D58"/>
    <w:rsid w:val="0092047B"/>
    <w:rsid w:val="0092167B"/>
    <w:rsid w:val="00923A5F"/>
    <w:rsid w:val="009253F9"/>
    <w:rsid w:val="009259B3"/>
    <w:rsid w:val="00926756"/>
    <w:rsid w:val="0092793E"/>
    <w:rsid w:val="00930F73"/>
    <w:rsid w:val="00931CA6"/>
    <w:rsid w:val="00932DFA"/>
    <w:rsid w:val="00932E84"/>
    <w:rsid w:val="00934709"/>
    <w:rsid w:val="0093547E"/>
    <w:rsid w:val="0093739D"/>
    <w:rsid w:val="0094231C"/>
    <w:rsid w:val="00943A05"/>
    <w:rsid w:val="00944ED8"/>
    <w:rsid w:val="009450F6"/>
    <w:rsid w:val="0094527B"/>
    <w:rsid w:val="0094573B"/>
    <w:rsid w:val="00945F58"/>
    <w:rsid w:val="00946BB2"/>
    <w:rsid w:val="00947447"/>
    <w:rsid w:val="0095107B"/>
    <w:rsid w:val="0095206C"/>
    <w:rsid w:val="00953BD9"/>
    <w:rsid w:val="00953D4F"/>
    <w:rsid w:val="009559E8"/>
    <w:rsid w:val="00955A49"/>
    <w:rsid w:val="00955B53"/>
    <w:rsid w:val="00956D43"/>
    <w:rsid w:val="00957059"/>
    <w:rsid w:val="009572A2"/>
    <w:rsid w:val="00957A1E"/>
    <w:rsid w:val="0096153E"/>
    <w:rsid w:val="009622A8"/>
    <w:rsid w:val="009673BB"/>
    <w:rsid w:val="009704AE"/>
    <w:rsid w:val="0097154D"/>
    <w:rsid w:val="00971627"/>
    <w:rsid w:val="009721F9"/>
    <w:rsid w:val="00972DEF"/>
    <w:rsid w:val="009743C5"/>
    <w:rsid w:val="00974FB7"/>
    <w:rsid w:val="00975220"/>
    <w:rsid w:val="0097678A"/>
    <w:rsid w:val="00976FEE"/>
    <w:rsid w:val="00977034"/>
    <w:rsid w:val="00977FDE"/>
    <w:rsid w:val="009813FA"/>
    <w:rsid w:val="00981F16"/>
    <w:rsid w:val="00983CF5"/>
    <w:rsid w:val="00983F96"/>
    <w:rsid w:val="00985277"/>
    <w:rsid w:val="00985407"/>
    <w:rsid w:val="009854E8"/>
    <w:rsid w:val="0098565D"/>
    <w:rsid w:val="00985817"/>
    <w:rsid w:val="00985DE2"/>
    <w:rsid w:val="00986717"/>
    <w:rsid w:val="00986AAA"/>
    <w:rsid w:val="009901D4"/>
    <w:rsid w:val="009902D7"/>
    <w:rsid w:val="0099169E"/>
    <w:rsid w:val="00991856"/>
    <w:rsid w:val="00992111"/>
    <w:rsid w:val="009926F2"/>
    <w:rsid w:val="00992F93"/>
    <w:rsid w:val="009933F0"/>
    <w:rsid w:val="009942F1"/>
    <w:rsid w:val="009955F5"/>
    <w:rsid w:val="009971A3"/>
    <w:rsid w:val="009A1445"/>
    <w:rsid w:val="009A1588"/>
    <w:rsid w:val="009A23E7"/>
    <w:rsid w:val="009A275B"/>
    <w:rsid w:val="009A2D3C"/>
    <w:rsid w:val="009A3A64"/>
    <w:rsid w:val="009A41BA"/>
    <w:rsid w:val="009A45AD"/>
    <w:rsid w:val="009A48D5"/>
    <w:rsid w:val="009A71AB"/>
    <w:rsid w:val="009A71BC"/>
    <w:rsid w:val="009A7BEE"/>
    <w:rsid w:val="009B0209"/>
    <w:rsid w:val="009B1429"/>
    <w:rsid w:val="009B1BC1"/>
    <w:rsid w:val="009B3062"/>
    <w:rsid w:val="009B3C0F"/>
    <w:rsid w:val="009B3E03"/>
    <w:rsid w:val="009B4439"/>
    <w:rsid w:val="009B4AA0"/>
    <w:rsid w:val="009B6981"/>
    <w:rsid w:val="009C0C82"/>
    <w:rsid w:val="009C1939"/>
    <w:rsid w:val="009C4E13"/>
    <w:rsid w:val="009C4EAA"/>
    <w:rsid w:val="009C68CB"/>
    <w:rsid w:val="009C6B2C"/>
    <w:rsid w:val="009D21E4"/>
    <w:rsid w:val="009D2645"/>
    <w:rsid w:val="009D294F"/>
    <w:rsid w:val="009D2C2C"/>
    <w:rsid w:val="009D2C7C"/>
    <w:rsid w:val="009D47A8"/>
    <w:rsid w:val="009D51B2"/>
    <w:rsid w:val="009D5E7E"/>
    <w:rsid w:val="009D6E7F"/>
    <w:rsid w:val="009D75D0"/>
    <w:rsid w:val="009D76EF"/>
    <w:rsid w:val="009E1790"/>
    <w:rsid w:val="009E2099"/>
    <w:rsid w:val="009E3A0D"/>
    <w:rsid w:val="009E4871"/>
    <w:rsid w:val="009E4B22"/>
    <w:rsid w:val="009E5E02"/>
    <w:rsid w:val="009E631C"/>
    <w:rsid w:val="009E7102"/>
    <w:rsid w:val="009F0B8B"/>
    <w:rsid w:val="009F0B98"/>
    <w:rsid w:val="009F1B50"/>
    <w:rsid w:val="009F22FB"/>
    <w:rsid w:val="009F24BA"/>
    <w:rsid w:val="009F2B81"/>
    <w:rsid w:val="009F418D"/>
    <w:rsid w:val="009F4AD0"/>
    <w:rsid w:val="009F53B8"/>
    <w:rsid w:val="009F7C5F"/>
    <w:rsid w:val="00A01353"/>
    <w:rsid w:val="00A02695"/>
    <w:rsid w:val="00A05FB7"/>
    <w:rsid w:val="00A10455"/>
    <w:rsid w:val="00A10C57"/>
    <w:rsid w:val="00A113A8"/>
    <w:rsid w:val="00A1201A"/>
    <w:rsid w:val="00A1346B"/>
    <w:rsid w:val="00A1379C"/>
    <w:rsid w:val="00A13FC9"/>
    <w:rsid w:val="00A14032"/>
    <w:rsid w:val="00A160CB"/>
    <w:rsid w:val="00A165BF"/>
    <w:rsid w:val="00A17697"/>
    <w:rsid w:val="00A203A1"/>
    <w:rsid w:val="00A20454"/>
    <w:rsid w:val="00A21B94"/>
    <w:rsid w:val="00A21E6D"/>
    <w:rsid w:val="00A2240F"/>
    <w:rsid w:val="00A257E4"/>
    <w:rsid w:val="00A25F91"/>
    <w:rsid w:val="00A26B90"/>
    <w:rsid w:val="00A2748B"/>
    <w:rsid w:val="00A318DF"/>
    <w:rsid w:val="00A324BA"/>
    <w:rsid w:val="00A33DC6"/>
    <w:rsid w:val="00A34DE3"/>
    <w:rsid w:val="00A35DDF"/>
    <w:rsid w:val="00A3648B"/>
    <w:rsid w:val="00A365A1"/>
    <w:rsid w:val="00A37553"/>
    <w:rsid w:val="00A37A22"/>
    <w:rsid w:val="00A40C98"/>
    <w:rsid w:val="00A40F80"/>
    <w:rsid w:val="00A426AF"/>
    <w:rsid w:val="00A42F11"/>
    <w:rsid w:val="00A43960"/>
    <w:rsid w:val="00A4439E"/>
    <w:rsid w:val="00A4616C"/>
    <w:rsid w:val="00A46F5F"/>
    <w:rsid w:val="00A50E9E"/>
    <w:rsid w:val="00A539ED"/>
    <w:rsid w:val="00A54323"/>
    <w:rsid w:val="00A565EB"/>
    <w:rsid w:val="00A5757E"/>
    <w:rsid w:val="00A6099B"/>
    <w:rsid w:val="00A609FB"/>
    <w:rsid w:val="00A6200C"/>
    <w:rsid w:val="00A62F9F"/>
    <w:rsid w:val="00A65384"/>
    <w:rsid w:val="00A65CA1"/>
    <w:rsid w:val="00A65CDF"/>
    <w:rsid w:val="00A668C0"/>
    <w:rsid w:val="00A66D84"/>
    <w:rsid w:val="00A707DC"/>
    <w:rsid w:val="00A72024"/>
    <w:rsid w:val="00A726CC"/>
    <w:rsid w:val="00A72D05"/>
    <w:rsid w:val="00A736A8"/>
    <w:rsid w:val="00A753EB"/>
    <w:rsid w:val="00A75F84"/>
    <w:rsid w:val="00A77717"/>
    <w:rsid w:val="00A779A2"/>
    <w:rsid w:val="00A8069C"/>
    <w:rsid w:val="00A80F16"/>
    <w:rsid w:val="00A818BC"/>
    <w:rsid w:val="00A818C7"/>
    <w:rsid w:val="00A82C8B"/>
    <w:rsid w:val="00A834FD"/>
    <w:rsid w:val="00A84082"/>
    <w:rsid w:val="00A84A30"/>
    <w:rsid w:val="00A850EF"/>
    <w:rsid w:val="00A85CCB"/>
    <w:rsid w:val="00A87642"/>
    <w:rsid w:val="00A90D95"/>
    <w:rsid w:val="00A90E1C"/>
    <w:rsid w:val="00A92A25"/>
    <w:rsid w:val="00A934E0"/>
    <w:rsid w:val="00A9540A"/>
    <w:rsid w:val="00A954B6"/>
    <w:rsid w:val="00A959DF"/>
    <w:rsid w:val="00A963DF"/>
    <w:rsid w:val="00A96A4A"/>
    <w:rsid w:val="00A96F1F"/>
    <w:rsid w:val="00AA0FEF"/>
    <w:rsid w:val="00AA22EF"/>
    <w:rsid w:val="00AA3874"/>
    <w:rsid w:val="00AA56AA"/>
    <w:rsid w:val="00AA5E12"/>
    <w:rsid w:val="00AA5ECE"/>
    <w:rsid w:val="00AA5FCE"/>
    <w:rsid w:val="00AA7F8E"/>
    <w:rsid w:val="00AB0B57"/>
    <w:rsid w:val="00AB21EE"/>
    <w:rsid w:val="00AB2871"/>
    <w:rsid w:val="00AB2A94"/>
    <w:rsid w:val="00AB2F27"/>
    <w:rsid w:val="00AB3E9C"/>
    <w:rsid w:val="00AB4552"/>
    <w:rsid w:val="00AB466D"/>
    <w:rsid w:val="00AB4B34"/>
    <w:rsid w:val="00AB4CD3"/>
    <w:rsid w:val="00AB53EE"/>
    <w:rsid w:val="00AB546F"/>
    <w:rsid w:val="00AB5AB4"/>
    <w:rsid w:val="00AC0905"/>
    <w:rsid w:val="00AC0910"/>
    <w:rsid w:val="00AC1D1F"/>
    <w:rsid w:val="00AC33DF"/>
    <w:rsid w:val="00AC4434"/>
    <w:rsid w:val="00AC448C"/>
    <w:rsid w:val="00AC513E"/>
    <w:rsid w:val="00AC6724"/>
    <w:rsid w:val="00AC6B44"/>
    <w:rsid w:val="00AC6FA8"/>
    <w:rsid w:val="00AC7AAA"/>
    <w:rsid w:val="00AD0BB8"/>
    <w:rsid w:val="00AD1D63"/>
    <w:rsid w:val="00AD653A"/>
    <w:rsid w:val="00AD7A30"/>
    <w:rsid w:val="00AE00DD"/>
    <w:rsid w:val="00AE31CC"/>
    <w:rsid w:val="00AE3644"/>
    <w:rsid w:val="00AE434B"/>
    <w:rsid w:val="00AE4DB7"/>
    <w:rsid w:val="00AE6467"/>
    <w:rsid w:val="00AE6833"/>
    <w:rsid w:val="00AE73C5"/>
    <w:rsid w:val="00AF0404"/>
    <w:rsid w:val="00AF0877"/>
    <w:rsid w:val="00AF0D76"/>
    <w:rsid w:val="00AF0FB8"/>
    <w:rsid w:val="00AF1614"/>
    <w:rsid w:val="00AF1D25"/>
    <w:rsid w:val="00AF2AE4"/>
    <w:rsid w:val="00AF39E7"/>
    <w:rsid w:val="00AF39F0"/>
    <w:rsid w:val="00AF3DA4"/>
    <w:rsid w:val="00AF4460"/>
    <w:rsid w:val="00AF63D0"/>
    <w:rsid w:val="00B0124B"/>
    <w:rsid w:val="00B01414"/>
    <w:rsid w:val="00B016AC"/>
    <w:rsid w:val="00B02772"/>
    <w:rsid w:val="00B027F4"/>
    <w:rsid w:val="00B046FB"/>
    <w:rsid w:val="00B04708"/>
    <w:rsid w:val="00B05574"/>
    <w:rsid w:val="00B0572F"/>
    <w:rsid w:val="00B062EC"/>
    <w:rsid w:val="00B065B0"/>
    <w:rsid w:val="00B072B7"/>
    <w:rsid w:val="00B0775A"/>
    <w:rsid w:val="00B11A1F"/>
    <w:rsid w:val="00B11A2C"/>
    <w:rsid w:val="00B1242E"/>
    <w:rsid w:val="00B12635"/>
    <w:rsid w:val="00B15A2D"/>
    <w:rsid w:val="00B1733B"/>
    <w:rsid w:val="00B17729"/>
    <w:rsid w:val="00B17FE6"/>
    <w:rsid w:val="00B20FE1"/>
    <w:rsid w:val="00B216C1"/>
    <w:rsid w:val="00B22600"/>
    <w:rsid w:val="00B22BB7"/>
    <w:rsid w:val="00B23F07"/>
    <w:rsid w:val="00B24E98"/>
    <w:rsid w:val="00B25875"/>
    <w:rsid w:val="00B2733B"/>
    <w:rsid w:val="00B27D1D"/>
    <w:rsid w:val="00B3035E"/>
    <w:rsid w:val="00B3175A"/>
    <w:rsid w:val="00B333B7"/>
    <w:rsid w:val="00B33817"/>
    <w:rsid w:val="00B34752"/>
    <w:rsid w:val="00B34C49"/>
    <w:rsid w:val="00B351B8"/>
    <w:rsid w:val="00B35F0D"/>
    <w:rsid w:val="00B3645B"/>
    <w:rsid w:val="00B371D2"/>
    <w:rsid w:val="00B40165"/>
    <w:rsid w:val="00B40546"/>
    <w:rsid w:val="00B42744"/>
    <w:rsid w:val="00B42EC3"/>
    <w:rsid w:val="00B43061"/>
    <w:rsid w:val="00B458FB"/>
    <w:rsid w:val="00B45969"/>
    <w:rsid w:val="00B45A22"/>
    <w:rsid w:val="00B511E7"/>
    <w:rsid w:val="00B51CB3"/>
    <w:rsid w:val="00B54182"/>
    <w:rsid w:val="00B543E8"/>
    <w:rsid w:val="00B55F21"/>
    <w:rsid w:val="00B566C6"/>
    <w:rsid w:val="00B56752"/>
    <w:rsid w:val="00B56DE1"/>
    <w:rsid w:val="00B57A47"/>
    <w:rsid w:val="00B6005C"/>
    <w:rsid w:val="00B6065C"/>
    <w:rsid w:val="00B63808"/>
    <w:rsid w:val="00B65413"/>
    <w:rsid w:val="00B70FA9"/>
    <w:rsid w:val="00B7145E"/>
    <w:rsid w:val="00B71834"/>
    <w:rsid w:val="00B71CAA"/>
    <w:rsid w:val="00B74565"/>
    <w:rsid w:val="00B758AA"/>
    <w:rsid w:val="00B7594B"/>
    <w:rsid w:val="00B75A46"/>
    <w:rsid w:val="00B76C89"/>
    <w:rsid w:val="00B76FCB"/>
    <w:rsid w:val="00B8190C"/>
    <w:rsid w:val="00B81C3E"/>
    <w:rsid w:val="00B820F5"/>
    <w:rsid w:val="00B823F2"/>
    <w:rsid w:val="00B82EFB"/>
    <w:rsid w:val="00B83040"/>
    <w:rsid w:val="00B83935"/>
    <w:rsid w:val="00B83E23"/>
    <w:rsid w:val="00B840E1"/>
    <w:rsid w:val="00B85717"/>
    <w:rsid w:val="00B86D24"/>
    <w:rsid w:val="00B86E6E"/>
    <w:rsid w:val="00B87B74"/>
    <w:rsid w:val="00B910D3"/>
    <w:rsid w:val="00B9132B"/>
    <w:rsid w:val="00B91F61"/>
    <w:rsid w:val="00B92CA2"/>
    <w:rsid w:val="00B93FC0"/>
    <w:rsid w:val="00B944AE"/>
    <w:rsid w:val="00B95E74"/>
    <w:rsid w:val="00B95FE7"/>
    <w:rsid w:val="00B9616A"/>
    <w:rsid w:val="00B964E8"/>
    <w:rsid w:val="00BA0494"/>
    <w:rsid w:val="00BA0A8C"/>
    <w:rsid w:val="00BA0A94"/>
    <w:rsid w:val="00BA13A1"/>
    <w:rsid w:val="00BA234F"/>
    <w:rsid w:val="00BA2970"/>
    <w:rsid w:val="00BA3960"/>
    <w:rsid w:val="00BA425E"/>
    <w:rsid w:val="00BA4EDA"/>
    <w:rsid w:val="00BA5132"/>
    <w:rsid w:val="00BA6340"/>
    <w:rsid w:val="00BA6705"/>
    <w:rsid w:val="00BA751C"/>
    <w:rsid w:val="00BB127E"/>
    <w:rsid w:val="00BB1F82"/>
    <w:rsid w:val="00BB22CD"/>
    <w:rsid w:val="00BB25A1"/>
    <w:rsid w:val="00BB3299"/>
    <w:rsid w:val="00BB32A6"/>
    <w:rsid w:val="00BB4369"/>
    <w:rsid w:val="00BB4503"/>
    <w:rsid w:val="00BB4559"/>
    <w:rsid w:val="00BB5AEF"/>
    <w:rsid w:val="00BB6149"/>
    <w:rsid w:val="00BB6B98"/>
    <w:rsid w:val="00BB6FE5"/>
    <w:rsid w:val="00BC04D3"/>
    <w:rsid w:val="00BC08D2"/>
    <w:rsid w:val="00BC140B"/>
    <w:rsid w:val="00BC1721"/>
    <w:rsid w:val="00BC1D56"/>
    <w:rsid w:val="00BC23C8"/>
    <w:rsid w:val="00BC3B20"/>
    <w:rsid w:val="00BC3B28"/>
    <w:rsid w:val="00BC5112"/>
    <w:rsid w:val="00BC580F"/>
    <w:rsid w:val="00BC61BD"/>
    <w:rsid w:val="00BC7291"/>
    <w:rsid w:val="00BC7B93"/>
    <w:rsid w:val="00BD0D8B"/>
    <w:rsid w:val="00BD1896"/>
    <w:rsid w:val="00BD2281"/>
    <w:rsid w:val="00BD267E"/>
    <w:rsid w:val="00BD294E"/>
    <w:rsid w:val="00BD3333"/>
    <w:rsid w:val="00BD42F2"/>
    <w:rsid w:val="00BD599B"/>
    <w:rsid w:val="00BD5AF8"/>
    <w:rsid w:val="00BD651A"/>
    <w:rsid w:val="00BD65BE"/>
    <w:rsid w:val="00BD6EDE"/>
    <w:rsid w:val="00BD6F5E"/>
    <w:rsid w:val="00BD7C4E"/>
    <w:rsid w:val="00BE1D00"/>
    <w:rsid w:val="00BE2065"/>
    <w:rsid w:val="00BE2319"/>
    <w:rsid w:val="00BE49E1"/>
    <w:rsid w:val="00BE5219"/>
    <w:rsid w:val="00BE71DC"/>
    <w:rsid w:val="00BE734F"/>
    <w:rsid w:val="00BF069C"/>
    <w:rsid w:val="00BF189E"/>
    <w:rsid w:val="00BF18F4"/>
    <w:rsid w:val="00BF6F40"/>
    <w:rsid w:val="00BF734B"/>
    <w:rsid w:val="00C009B9"/>
    <w:rsid w:val="00C00E0A"/>
    <w:rsid w:val="00C019B7"/>
    <w:rsid w:val="00C044AC"/>
    <w:rsid w:val="00C0525A"/>
    <w:rsid w:val="00C057BC"/>
    <w:rsid w:val="00C06097"/>
    <w:rsid w:val="00C07931"/>
    <w:rsid w:val="00C10448"/>
    <w:rsid w:val="00C1246F"/>
    <w:rsid w:val="00C12C2A"/>
    <w:rsid w:val="00C13611"/>
    <w:rsid w:val="00C1523E"/>
    <w:rsid w:val="00C159CF"/>
    <w:rsid w:val="00C16A38"/>
    <w:rsid w:val="00C1738D"/>
    <w:rsid w:val="00C174AE"/>
    <w:rsid w:val="00C17933"/>
    <w:rsid w:val="00C17CA2"/>
    <w:rsid w:val="00C217D3"/>
    <w:rsid w:val="00C21F92"/>
    <w:rsid w:val="00C23DD0"/>
    <w:rsid w:val="00C240A7"/>
    <w:rsid w:val="00C278D1"/>
    <w:rsid w:val="00C322EF"/>
    <w:rsid w:val="00C32CEA"/>
    <w:rsid w:val="00C3389F"/>
    <w:rsid w:val="00C34C9D"/>
    <w:rsid w:val="00C35C82"/>
    <w:rsid w:val="00C35CCD"/>
    <w:rsid w:val="00C361DF"/>
    <w:rsid w:val="00C36D5D"/>
    <w:rsid w:val="00C37846"/>
    <w:rsid w:val="00C41041"/>
    <w:rsid w:val="00C43FE6"/>
    <w:rsid w:val="00C44C1E"/>
    <w:rsid w:val="00C44C79"/>
    <w:rsid w:val="00C45252"/>
    <w:rsid w:val="00C45646"/>
    <w:rsid w:val="00C47F43"/>
    <w:rsid w:val="00C50317"/>
    <w:rsid w:val="00C50992"/>
    <w:rsid w:val="00C533F9"/>
    <w:rsid w:val="00C5475D"/>
    <w:rsid w:val="00C55DD2"/>
    <w:rsid w:val="00C56259"/>
    <w:rsid w:val="00C566C8"/>
    <w:rsid w:val="00C5778D"/>
    <w:rsid w:val="00C57CF8"/>
    <w:rsid w:val="00C60005"/>
    <w:rsid w:val="00C618D1"/>
    <w:rsid w:val="00C621FB"/>
    <w:rsid w:val="00C62363"/>
    <w:rsid w:val="00C6270C"/>
    <w:rsid w:val="00C63172"/>
    <w:rsid w:val="00C640D4"/>
    <w:rsid w:val="00C6606D"/>
    <w:rsid w:val="00C6649E"/>
    <w:rsid w:val="00C666F7"/>
    <w:rsid w:val="00C668E8"/>
    <w:rsid w:val="00C67DE9"/>
    <w:rsid w:val="00C67EC2"/>
    <w:rsid w:val="00C7165C"/>
    <w:rsid w:val="00C719E2"/>
    <w:rsid w:val="00C71EE2"/>
    <w:rsid w:val="00C722B8"/>
    <w:rsid w:val="00C7327F"/>
    <w:rsid w:val="00C73634"/>
    <w:rsid w:val="00C73F1A"/>
    <w:rsid w:val="00C751CD"/>
    <w:rsid w:val="00C76903"/>
    <w:rsid w:val="00C77511"/>
    <w:rsid w:val="00C778EC"/>
    <w:rsid w:val="00C77A6F"/>
    <w:rsid w:val="00C816F0"/>
    <w:rsid w:val="00C81C59"/>
    <w:rsid w:val="00C81ECE"/>
    <w:rsid w:val="00C8305B"/>
    <w:rsid w:val="00C831F1"/>
    <w:rsid w:val="00C839EE"/>
    <w:rsid w:val="00C84421"/>
    <w:rsid w:val="00C84685"/>
    <w:rsid w:val="00C84804"/>
    <w:rsid w:val="00C870A2"/>
    <w:rsid w:val="00C87A32"/>
    <w:rsid w:val="00C87E54"/>
    <w:rsid w:val="00C90187"/>
    <w:rsid w:val="00C90B6C"/>
    <w:rsid w:val="00C91433"/>
    <w:rsid w:val="00C93321"/>
    <w:rsid w:val="00C94885"/>
    <w:rsid w:val="00C94894"/>
    <w:rsid w:val="00C950E3"/>
    <w:rsid w:val="00C9591D"/>
    <w:rsid w:val="00C95B1E"/>
    <w:rsid w:val="00C95F0F"/>
    <w:rsid w:val="00C963F0"/>
    <w:rsid w:val="00C96496"/>
    <w:rsid w:val="00C97AAA"/>
    <w:rsid w:val="00C97B6C"/>
    <w:rsid w:val="00C97E8B"/>
    <w:rsid w:val="00CA0176"/>
    <w:rsid w:val="00CA0848"/>
    <w:rsid w:val="00CA16D0"/>
    <w:rsid w:val="00CA1CEB"/>
    <w:rsid w:val="00CA2E20"/>
    <w:rsid w:val="00CA3F4B"/>
    <w:rsid w:val="00CA462A"/>
    <w:rsid w:val="00CA5A00"/>
    <w:rsid w:val="00CA5BDD"/>
    <w:rsid w:val="00CA5DC1"/>
    <w:rsid w:val="00CA6181"/>
    <w:rsid w:val="00CA6C66"/>
    <w:rsid w:val="00CA7628"/>
    <w:rsid w:val="00CA7A60"/>
    <w:rsid w:val="00CB0C79"/>
    <w:rsid w:val="00CB1C2A"/>
    <w:rsid w:val="00CB2044"/>
    <w:rsid w:val="00CB41C1"/>
    <w:rsid w:val="00CB545E"/>
    <w:rsid w:val="00CB5793"/>
    <w:rsid w:val="00CC0E79"/>
    <w:rsid w:val="00CC1937"/>
    <w:rsid w:val="00CC2183"/>
    <w:rsid w:val="00CC218A"/>
    <w:rsid w:val="00CC2A7D"/>
    <w:rsid w:val="00CC4507"/>
    <w:rsid w:val="00CC5773"/>
    <w:rsid w:val="00CC6744"/>
    <w:rsid w:val="00CC6BDA"/>
    <w:rsid w:val="00CC6CB6"/>
    <w:rsid w:val="00CC6D2B"/>
    <w:rsid w:val="00CD0EB1"/>
    <w:rsid w:val="00CD0ED5"/>
    <w:rsid w:val="00CD2390"/>
    <w:rsid w:val="00CD2DEB"/>
    <w:rsid w:val="00CD395F"/>
    <w:rsid w:val="00CD425C"/>
    <w:rsid w:val="00CD450C"/>
    <w:rsid w:val="00CD6FE2"/>
    <w:rsid w:val="00CD722B"/>
    <w:rsid w:val="00CE02AC"/>
    <w:rsid w:val="00CE041B"/>
    <w:rsid w:val="00CE0733"/>
    <w:rsid w:val="00CE08B4"/>
    <w:rsid w:val="00CE3C7B"/>
    <w:rsid w:val="00CE3DC4"/>
    <w:rsid w:val="00CE588C"/>
    <w:rsid w:val="00CE71A2"/>
    <w:rsid w:val="00CF1009"/>
    <w:rsid w:val="00CF14B9"/>
    <w:rsid w:val="00CF18B0"/>
    <w:rsid w:val="00CF324A"/>
    <w:rsid w:val="00CF4520"/>
    <w:rsid w:val="00CF50F0"/>
    <w:rsid w:val="00CF6F3E"/>
    <w:rsid w:val="00CF780C"/>
    <w:rsid w:val="00D00E2F"/>
    <w:rsid w:val="00D02160"/>
    <w:rsid w:val="00D02902"/>
    <w:rsid w:val="00D041FC"/>
    <w:rsid w:val="00D04FE7"/>
    <w:rsid w:val="00D07554"/>
    <w:rsid w:val="00D07A64"/>
    <w:rsid w:val="00D1037B"/>
    <w:rsid w:val="00D116C0"/>
    <w:rsid w:val="00D11ADC"/>
    <w:rsid w:val="00D11EEB"/>
    <w:rsid w:val="00D146A3"/>
    <w:rsid w:val="00D14840"/>
    <w:rsid w:val="00D14990"/>
    <w:rsid w:val="00D14E77"/>
    <w:rsid w:val="00D16005"/>
    <w:rsid w:val="00D16D40"/>
    <w:rsid w:val="00D1734F"/>
    <w:rsid w:val="00D17DBB"/>
    <w:rsid w:val="00D206E1"/>
    <w:rsid w:val="00D20F53"/>
    <w:rsid w:val="00D21ADD"/>
    <w:rsid w:val="00D22244"/>
    <w:rsid w:val="00D225EB"/>
    <w:rsid w:val="00D22E1C"/>
    <w:rsid w:val="00D23EE9"/>
    <w:rsid w:val="00D2504B"/>
    <w:rsid w:val="00D250B0"/>
    <w:rsid w:val="00D25FC6"/>
    <w:rsid w:val="00D265DD"/>
    <w:rsid w:val="00D2752A"/>
    <w:rsid w:val="00D27D30"/>
    <w:rsid w:val="00D300D5"/>
    <w:rsid w:val="00D305E5"/>
    <w:rsid w:val="00D30910"/>
    <w:rsid w:val="00D317FA"/>
    <w:rsid w:val="00D323FA"/>
    <w:rsid w:val="00D32F3B"/>
    <w:rsid w:val="00D343C7"/>
    <w:rsid w:val="00D349CC"/>
    <w:rsid w:val="00D34CE4"/>
    <w:rsid w:val="00D35874"/>
    <w:rsid w:val="00D35F33"/>
    <w:rsid w:val="00D36B60"/>
    <w:rsid w:val="00D37A65"/>
    <w:rsid w:val="00D37E84"/>
    <w:rsid w:val="00D42F56"/>
    <w:rsid w:val="00D441A2"/>
    <w:rsid w:val="00D44442"/>
    <w:rsid w:val="00D44A75"/>
    <w:rsid w:val="00D44EB9"/>
    <w:rsid w:val="00D456F6"/>
    <w:rsid w:val="00D4728E"/>
    <w:rsid w:val="00D4757D"/>
    <w:rsid w:val="00D505A4"/>
    <w:rsid w:val="00D50D1B"/>
    <w:rsid w:val="00D50E51"/>
    <w:rsid w:val="00D516F7"/>
    <w:rsid w:val="00D51DE7"/>
    <w:rsid w:val="00D5287D"/>
    <w:rsid w:val="00D52AB6"/>
    <w:rsid w:val="00D52C4A"/>
    <w:rsid w:val="00D54862"/>
    <w:rsid w:val="00D54B8F"/>
    <w:rsid w:val="00D54EE2"/>
    <w:rsid w:val="00D60965"/>
    <w:rsid w:val="00D612CD"/>
    <w:rsid w:val="00D61C29"/>
    <w:rsid w:val="00D629FE"/>
    <w:rsid w:val="00D63337"/>
    <w:rsid w:val="00D641FA"/>
    <w:rsid w:val="00D64829"/>
    <w:rsid w:val="00D666F9"/>
    <w:rsid w:val="00D672EB"/>
    <w:rsid w:val="00D701BA"/>
    <w:rsid w:val="00D738A0"/>
    <w:rsid w:val="00D74EEB"/>
    <w:rsid w:val="00D7593E"/>
    <w:rsid w:val="00D80044"/>
    <w:rsid w:val="00D80137"/>
    <w:rsid w:val="00D810A9"/>
    <w:rsid w:val="00D8110F"/>
    <w:rsid w:val="00D81867"/>
    <w:rsid w:val="00D8212E"/>
    <w:rsid w:val="00D821F4"/>
    <w:rsid w:val="00D82ACE"/>
    <w:rsid w:val="00D83D56"/>
    <w:rsid w:val="00D84AA7"/>
    <w:rsid w:val="00D856B8"/>
    <w:rsid w:val="00D86D58"/>
    <w:rsid w:val="00D86DEA"/>
    <w:rsid w:val="00D87C3E"/>
    <w:rsid w:val="00D90C0C"/>
    <w:rsid w:val="00D91989"/>
    <w:rsid w:val="00D9326F"/>
    <w:rsid w:val="00D9465E"/>
    <w:rsid w:val="00D95286"/>
    <w:rsid w:val="00D968E6"/>
    <w:rsid w:val="00DA3C59"/>
    <w:rsid w:val="00DA4076"/>
    <w:rsid w:val="00DA46ED"/>
    <w:rsid w:val="00DA5359"/>
    <w:rsid w:val="00DA78BD"/>
    <w:rsid w:val="00DA7A25"/>
    <w:rsid w:val="00DB2DB4"/>
    <w:rsid w:val="00DB30B3"/>
    <w:rsid w:val="00DB363B"/>
    <w:rsid w:val="00DB3A4A"/>
    <w:rsid w:val="00DB3F3A"/>
    <w:rsid w:val="00DB434F"/>
    <w:rsid w:val="00DB441C"/>
    <w:rsid w:val="00DB5669"/>
    <w:rsid w:val="00DB678B"/>
    <w:rsid w:val="00DC062C"/>
    <w:rsid w:val="00DC283E"/>
    <w:rsid w:val="00DC28CD"/>
    <w:rsid w:val="00DC2D82"/>
    <w:rsid w:val="00DC34EE"/>
    <w:rsid w:val="00DC37A3"/>
    <w:rsid w:val="00DC3BBA"/>
    <w:rsid w:val="00DC3C0C"/>
    <w:rsid w:val="00DC40B9"/>
    <w:rsid w:val="00DC47D3"/>
    <w:rsid w:val="00DC48BB"/>
    <w:rsid w:val="00DC5094"/>
    <w:rsid w:val="00DC5E3C"/>
    <w:rsid w:val="00DC6C72"/>
    <w:rsid w:val="00DD0556"/>
    <w:rsid w:val="00DD088A"/>
    <w:rsid w:val="00DD163C"/>
    <w:rsid w:val="00DD1855"/>
    <w:rsid w:val="00DD2975"/>
    <w:rsid w:val="00DD53F8"/>
    <w:rsid w:val="00DD57A3"/>
    <w:rsid w:val="00DD59C2"/>
    <w:rsid w:val="00DD5F23"/>
    <w:rsid w:val="00DD7042"/>
    <w:rsid w:val="00DE0088"/>
    <w:rsid w:val="00DE008A"/>
    <w:rsid w:val="00DE0464"/>
    <w:rsid w:val="00DE0B04"/>
    <w:rsid w:val="00DE0BB4"/>
    <w:rsid w:val="00DE2126"/>
    <w:rsid w:val="00DE39C0"/>
    <w:rsid w:val="00DE4537"/>
    <w:rsid w:val="00DE4C44"/>
    <w:rsid w:val="00DE5119"/>
    <w:rsid w:val="00DE521C"/>
    <w:rsid w:val="00DE59A9"/>
    <w:rsid w:val="00DE5AED"/>
    <w:rsid w:val="00DE6B0F"/>
    <w:rsid w:val="00DE6D21"/>
    <w:rsid w:val="00DE7698"/>
    <w:rsid w:val="00DE7CB0"/>
    <w:rsid w:val="00DE7DF3"/>
    <w:rsid w:val="00DF0D1E"/>
    <w:rsid w:val="00DF16CB"/>
    <w:rsid w:val="00DF1B64"/>
    <w:rsid w:val="00DF1D30"/>
    <w:rsid w:val="00DF1DF4"/>
    <w:rsid w:val="00DF29FA"/>
    <w:rsid w:val="00DF2A8C"/>
    <w:rsid w:val="00DF2CC3"/>
    <w:rsid w:val="00DF3514"/>
    <w:rsid w:val="00DF41A2"/>
    <w:rsid w:val="00DF42AA"/>
    <w:rsid w:val="00DF6608"/>
    <w:rsid w:val="00DF676A"/>
    <w:rsid w:val="00DF69F6"/>
    <w:rsid w:val="00DF73BE"/>
    <w:rsid w:val="00E00033"/>
    <w:rsid w:val="00E00D4E"/>
    <w:rsid w:val="00E019EC"/>
    <w:rsid w:val="00E0225A"/>
    <w:rsid w:val="00E0289B"/>
    <w:rsid w:val="00E031A2"/>
    <w:rsid w:val="00E0399F"/>
    <w:rsid w:val="00E046DE"/>
    <w:rsid w:val="00E04934"/>
    <w:rsid w:val="00E04BF4"/>
    <w:rsid w:val="00E12586"/>
    <w:rsid w:val="00E1281C"/>
    <w:rsid w:val="00E13227"/>
    <w:rsid w:val="00E13469"/>
    <w:rsid w:val="00E13CEA"/>
    <w:rsid w:val="00E14B37"/>
    <w:rsid w:val="00E15081"/>
    <w:rsid w:val="00E150BD"/>
    <w:rsid w:val="00E1694F"/>
    <w:rsid w:val="00E169E7"/>
    <w:rsid w:val="00E20963"/>
    <w:rsid w:val="00E20F94"/>
    <w:rsid w:val="00E21D29"/>
    <w:rsid w:val="00E22065"/>
    <w:rsid w:val="00E2294D"/>
    <w:rsid w:val="00E254B8"/>
    <w:rsid w:val="00E2648C"/>
    <w:rsid w:val="00E26C13"/>
    <w:rsid w:val="00E270A0"/>
    <w:rsid w:val="00E272BA"/>
    <w:rsid w:val="00E275FE"/>
    <w:rsid w:val="00E27E98"/>
    <w:rsid w:val="00E27F7B"/>
    <w:rsid w:val="00E305D2"/>
    <w:rsid w:val="00E3090A"/>
    <w:rsid w:val="00E30BF6"/>
    <w:rsid w:val="00E31149"/>
    <w:rsid w:val="00E319F0"/>
    <w:rsid w:val="00E40213"/>
    <w:rsid w:val="00E40F74"/>
    <w:rsid w:val="00E442F4"/>
    <w:rsid w:val="00E44557"/>
    <w:rsid w:val="00E453B5"/>
    <w:rsid w:val="00E46F7D"/>
    <w:rsid w:val="00E50A46"/>
    <w:rsid w:val="00E51F60"/>
    <w:rsid w:val="00E52065"/>
    <w:rsid w:val="00E52AA2"/>
    <w:rsid w:val="00E5312C"/>
    <w:rsid w:val="00E53302"/>
    <w:rsid w:val="00E549C8"/>
    <w:rsid w:val="00E54EC7"/>
    <w:rsid w:val="00E55B52"/>
    <w:rsid w:val="00E57D13"/>
    <w:rsid w:val="00E61F8F"/>
    <w:rsid w:val="00E62DE5"/>
    <w:rsid w:val="00E63E38"/>
    <w:rsid w:val="00E64F39"/>
    <w:rsid w:val="00E65825"/>
    <w:rsid w:val="00E6740E"/>
    <w:rsid w:val="00E704DE"/>
    <w:rsid w:val="00E70823"/>
    <w:rsid w:val="00E708CD"/>
    <w:rsid w:val="00E70993"/>
    <w:rsid w:val="00E71A09"/>
    <w:rsid w:val="00E7207F"/>
    <w:rsid w:val="00E727D2"/>
    <w:rsid w:val="00E7289A"/>
    <w:rsid w:val="00E72FB8"/>
    <w:rsid w:val="00E73253"/>
    <w:rsid w:val="00E73A81"/>
    <w:rsid w:val="00E73B77"/>
    <w:rsid w:val="00E73E17"/>
    <w:rsid w:val="00E75EC8"/>
    <w:rsid w:val="00E7641C"/>
    <w:rsid w:val="00E769A5"/>
    <w:rsid w:val="00E76C78"/>
    <w:rsid w:val="00E7712D"/>
    <w:rsid w:val="00E777C4"/>
    <w:rsid w:val="00E80157"/>
    <w:rsid w:val="00E80BCD"/>
    <w:rsid w:val="00E80C06"/>
    <w:rsid w:val="00E81E34"/>
    <w:rsid w:val="00E821B0"/>
    <w:rsid w:val="00E829BC"/>
    <w:rsid w:val="00E840BC"/>
    <w:rsid w:val="00E8536A"/>
    <w:rsid w:val="00E86455"/>
    <w:rsid w:val="00E903BC"/>
    <w:rsid w:val="00E90D02"/>
    <w:rsid w:val="00E922CA"/>
    <w:rsid w:val="00E929DE"/>
    <w:rsid w:val="00E95179"/>
    <w:rsid w:val="00E962D1"/>
    <w:rsid w:val="00EA04B8"/>
    <w:rsid w:val="00EA05DC"/>
    <w:rsid w:val="00EA099D"/>
    <w:rsid w:val="00EA0EDC"/>
    <w:rsid w:val="00EA1845"/>
    <w:rsid w:val="00EA1FF4"/>
    <w:rsid w:val="00EA204C"/>
    <w:rsid w:val="00EA2681"/>
    <w:rsid w:val="00EA2911"/>
    <w:rsid w:val="00EA3033"/>
    <w:rsid w:val="00EA3231"/>
    <w:rsid w:val="00EA366E"/>
    <w:rsid w:val="00EA3700"/>
    <w:rsid w:val="00EA39D1"/>
    <w:rsid w:val="00EA3B42"/>
    <w:rsid w:val="00EA3E30"/>
    <w:rsid w:val="00EA7230"/>
    <w:rsid w:val="00EA72C4"/>
    <w:rsid w:val="00EB00D9"/>
    <w:rsid w:val="00EB0191"/>
    <w:rsid w:val="00EB1A82"/>
    <w:rsid w:val="00EB2369"/>
    <w:rsid w:val="00EB356F"/>
    <w:rsid w:val="00EB39C1"/>
    <w:rsid w:val="00EB3F61"/>
    <w:rsid w:val="00EB4140"/>
    <w:rsid w:val="00EB4376"/>
    <w:rsid w:val="00EB48CA"/>
    <w:rsid w:val="00EB4D98"/>
    <w:rsid w:val="00EB5186"/>
    <w:rsid w:val="00EB578C"/>
    <w:rsid w:val="00EB6736"/>
    <w:rsid w:val="00EB7ED6"/>
    <w:rsid w:val="00EC1748"/>
    <w:rsid w:val="00EC18B4"/>
    <w:rsid w:val="00EC214B"/>
    <w:rsid w:val="00EC21A8"/>
    <w:rsid w:val="00EC3352"/>
    <w:rsid w:val="00EC44F4"/>
    <w:rsid w:val="00EC4E2C"/>
    <w:rsid w:val="00EC6258"/>
    <w:rsid w:val="00EC73D1"/>
    <w:rsid w:val="00EC7FC5"/>
    <w:rsid w:val="00ED01D9"/>
    <w:rsid w:val="00ED0990"/>
    <w:rsid w:val="00ED2EF6"/>
    <w:rsid w:val="00ED3C16"/>
    <w:rsid w:val="00ED4AB9"/>
    <w:rsid w:val="00ED75E6"/>
    <w:rsid w:val="00EE2640"/>
    <w:rsid w:val="00EE3987"/>
    <w:rsid w:val="00EE39CB"/>
    <w:rsid w:val="00EE40C4"/>
    <w:rsid w:val="00EE482A"/>
    <w:rsid w:val="00EE5002"/>
    <w:rsid w:val="00EE50EE"/>
    <w:rsid w:val="00EE5316"/>
    <w:rsid w:val="00EE57D6"/>
    <w:rsid w:val="00EE5803"/>
    <w:rsid w:val="00EE5C86"/>
    <w:rsid w:val="00EF10D5"/>
    <w:rsid w:val="00EF2F61"/>
    <w:rsid w:val="00EF43B1"/>
    <w:rsid w:val="00EF56EC"/>
    <w:rsid w:val="00EF579A"/>
    <w:rsid w:val="00EF6887"/>
    <w:rsid w:val="00EF6CD8"/>
    <w:rsid w:val="00F02A05"/>
    <w:rsid w:val="00F02D91"/>
    <w:rsid w:val="00F0336F"/>
    <w:rsid w:val="00F04959"/>
    <w:rsid w:val="00F0543C"/>
    <w:rsid w:val="00F05774"/>
    <w:rsid w:val="00F05BBF"/>
    <w:rsid w:val="00F077CB"/>
    <w:rsid w:val="00F13056"/>
    <w:rsid w:val="00F13C41"/>
    <w:rsid w:val="00F14D34"/>
    <w:rsid w:val="00F16BBB"/>
    <w:rsid w:val="00F16E29"/>
    <w:rsid w:val="00F16F32"/>
    <w:rsid w:val="00F20EAE"/>
    <w:rsid w:val="00F212A2"/>
    <w:rsid w:val="00F21786"/>
    <w:rsid w:val="00F217F5"/>
    <w:rsid w:val="00F21DFA"/>
    <w:rsid w:val="00F220DE"/>
    <w:rsid w:val="00F22C71"/>
    <w:rsid w:val="00F235C3"/>
    <w:rsid w:val="00F23645"/>
    <w:rsid w:val="00F23EE2"/>
    <w:rsid w:val="00F2484F"/>
    <w:rsid w:val="00F24B5D"/>
    <w:rsid w:val="00F25BD3"/>
    <w:rsid w:val="00F3023E"/>
    <w:rsid w:val="00F30D8D"/>
    <w:rsid w:val="00F31231"/>
    <w:rsid w:val="00F31437"/>
    <w:rsid w:val="00F31B74"/>
    <w:rsid w:val="00F32463"/>
    <w:rsid w:val="00F344AA"/>
    <w:rsid w:val="00F34AF4"/>
    <w:rsid w:val="00F34DA9"/>
    <w:rsid w:val="00F34F02"/>
    <w:rsid w:val="00F352FE"/>
    <w:rsid w:val="00F35BE5"/>
    <w:rsid w:val="00F365B6"/>
    <w:rsid w:val="00F42619"/>
    <w:rsid w:val="00F429D1"/>
    <w:rsid w:val="00F42AB1"/>
    <w:rsid w:val="00F43018"/>
    <w:rsid w:val="00F431BE"/>
    <w:rsid w:val="00F438C4"/>
    <w:rsid w:val="00F43D9A"/>
    <w:rsid w:val="00F446D8"/>
    <w:rsid w:val="00F448E7"/>
    <w:rsid w:val="00F45522"/>
    <w:rsid w:val="00F52A52"/>
    <w:rsid w:val="00F52E54"/>
    <w:rsid w:val="00F535D8"/>
    <w:rsid w:val="00F54F16"/>
    <w:rsid w:val="00F54F37"/>
    <w:rsid w:val="00F55220"/>
    <w:rsid w:val="00F574C1"/>
    <w:rsid w:val="00F611EC"/>
    <w:rsid w:val="00F6243C"/>
    <w:rsid w:val="00F6308E"/>
    <w:rsid w:val="00F6319C"/>
    <w:rsid w:val="00F6320A"/>
    <w:rsid w:val="00F63439"/>
    <w:rsid w:val="00F63E8B"/>
    <w:rsid w:val="00F64FA1"/>
    <w:rsid w:val="00F66B81"/>
    <w:rsid w:val="00F67B03"/>
    <w:rsid w:val="00F7023D"/>
    <w:rsid w:val="00F705A7"/>
    <w:rsid w:val="00F7286B"/>
    <w:rsid w:val="00F73109"/>
    <w:rsid w:val="00F736C8"/>
    <w:rsid w:val="00F73E95"/>
    <w:rsid w:val="00F748C9"/>
    <w:rsid w:val="00F75195"/>
    <w:rsid w:val="00F76502"/>
    <w:rsid w:val="00F816E7"/>
    <w:rsid w:val="00F819F3"/>
    <w:rsid w:val="00F81B3E"/>
    <w:rsid w:val="00F820FE"/>
    <w:rsid w:val="00F823D6"/>
    <w:rsid w:val="00F83514"/>
    <w:rsid w:val="00F84214"/>
    <w:rsid w:val="00F8442A"/>
    <w:rsid w:val="00F84BA7"/>
    <w:rsid w:val="00F860BF"/>
    <w:rsid w:val="00F86D45"/>
    <w:rsid w:val="00F8733D"/>
    <w:rsid w:val="00F87933"/>
    <w:rsid w:val="00F90B98"/>
    <w:rsid w:val="00F90C18"/>
    <w:rsid w:val="00F91E11"/>
    <w:rsid w:val="00F91F55"/>
    <w:rsid w:val="00F97375"/>
    <w:rsid w:val="00F9748C"/>
    <w:rsid w:val="00F97935"/>
    <w:rsid w:val="00FA1E58"/>
    <w:rsid w:val="00FA23B4"/>
    <w:rsid w:val="00FA2424"/>
    <w:rsid w:val="00FA5530"/>
    <w:rsid w:val="00FA66B6"/>
    <w:rsid w:val="00FA7664"/>
    <w:rsid w:val="00FB02C7"/>
    <w:rsid w:val="00FB0DC0"/>
    <w:rsid w:val="00FB1045"/>
    <w:rsid w:val="00FB1179"/>
    <w:rsid w:val="00FB17A6"/>
    <w:rsid w:val="00FB224C"/>
    <w:rsid w:val="00FB2375"/>
    <w:rsid w:val="00FB320E"/>
    <w:rsid w:val="00FB37C8"/>
    <w:rsid w:val="00FB39D9"/>
    <w:rsid w:val="00FB39F3"/>
    <w:rsid w:val="00FB432B"/>
    <w:rsid w:val="00FB4D21"/>
    <w:rsid w:val="00FB4DEE"/>
    <w:rsid w:val="00FB6C01"/>
    <w:rsid w:val="00FB6EE8"/>
    <w:rsid w:val="00FB7A70"/>
    <w:rsid w:val="00FC15CD"/>
    <w:rsid w:val="00FC16D4"/>
    <w:rsid w:val="00FC41C9"/>
    <w:rsid w:val="00FC5FAF"/>
    <w:rsid w:val="00FC7E54"/>
    <w:rsid w:val="00FD0CA4"/>
    <w:rsid w:val="00FD398C"/>
    <w:rsid w:val="00FD3B17"/>
    <w:rsid w:val="00FD3C81"/>
    <w:rsid w:val="00FD3ED8"/>
    <w:rsid w:val="00FD40C5"/>
    <w:rsid w:val="00FD4C0D"/>
    <w:rsid w:val="00FD4DFF"/>
    <w:rsid w:val="00FD4F13"/>
    <w:rsid w:val="00FD7120"/>
    <w:rsid w:val="00FE0449"/>
    <w:rsid w:val="00FE0F9D"/>
    <w:rsid w:val="00FE1AB4"/>
    <w:rsid w:val="00FE3B18"/>
    <w:rsid w:val="00FE3EE8"/>
    <w:rsid w:val="00FE41B7"/>
    <w:rsid w:val="00FE5760"/>
    <w:rsid w:val="00FE5E19"/>
    <w:rsid w:val="00FF33CE"/>
    <w:rsid w:val="00FF383C"/>
    <w:rsid w:val="00FF555B"/>
    <w:rsid w:val="00FF6456"/>
    <w:rsid w:val="00FF68DA"/>
    <w:rsid w:val="010DDED2"/>
    <w:rsid w:val="77D55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D81112"/>
  <w15:docId w15:val="{02274E4A-B7E9-4705-814A-98FF98AC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5A74D9"/>
    <w:pPr>
      <w:tabs>
        <w:tab w:val="left" w:pos="540"/>
        <w:tab w:val="right" w:leader="dot" w:pos="9800"/>
      </w:tabs>
      <w:spacing w:before="120" w:after="120"/>
    </w:pPr>
    <w:rPr>
      <w:rFonts w:asciiTheme="minorHAnsi" w:hAnsiTheme="minorHAnsi" w:cstheme="minorHAnsi"/>
      <w:b/>
      <w:bCs/>
      <w:caps/>
      <w:sz w:val="20"/>
      <w:szCs w:val="20"/>
    </w:rPr>
  </w:style>
  <w:style w:type="paragraph" w:styleId="TOC2">
    <w:name w:val="toc 2"/>
    <w:basedOn w:val="Normal"/>
    <w:autoRedefine/>
    <w:uiPriority w:val="39"/>
    <w:rsid w:val="008C4239"/>
    <w:pPr>
      <w:numPr>
        <w:numId w:val="70"/>
      </w:numPr>
      <w:tabs>
        <w:tab w:val="left" w:pos="720"/>
        <w:tab w:val="right" w:leader="dot" w:pos="9800"/>
      </w:tabs>
    </w:pPr>
    <w:rPr>
      <w:rFonts w:asciiTheme="minorHAnsi" w:hAnsiTheme="minorHAnsi" w:cstheme="minorHAnsi"/>
      <w:smallCaps/>
      <w:noProof/>
      <w:sz w:val="20"/>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6"/>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UnresolvedMention">
    <w:name w:val="Unresolved Mention"/>
    <w:basedOn w:val="DefaultParagraphFont"/>
    <w:uiPriority w:val="99"/>
    <w:semiHidden/>
    <w:unhideWhenUsed/>
    <w:rsid w:val="003A253D"/>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191F5C"/>
    <w:rPr>
      <w:sz w:val="24"/>
      <w:szCs w:val="24"/>
    </w:rPr>
  </w:style>
  <w:style w:type="paragraph" w:styleId="TOCHeading">
    <w:name w:val="TOC Heading"/>
    <w:basedOn w:val="Heading1"/>
    <w:next w:val="Normal"/>
    <w:uiPriority w:val="39"/>
    <w:unhideWhenUsed/>
    <w:qFormat/>
    <w:rsid w:val="00722FF6"/>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9F53B8"/>
    <w:pPr>
      <w:ind w:left="480"/>
    </w:pPr>
    <w:rPr>
      <w:rFonts w:asciiTheme="minorHAnsi" w:hAnsiTheme="minorHAnsi" w:cstheme="minorHAnsi"/>
      <w:i/>
      <w:iCs/>
      <w:sz w:val="20"/>
      <w:szCs w:val="20"/>
    </w:rPr>
  </w:style>
  <w:style w:type="paragraph" w:styleId="TOC4">
    <w:name w:val="toc 4"/>
    <w:basedOn w:val="Normal"/>
    <w:next w:val="Normal"/>
    <w:autoRedefine/>
    <w:unhideWhenUsed/>
    <w:rsid w:val="00FB02C7"/>
    <w:pPr>
      <w:ind w:left="720"/>
    </w:pPr>
    <w:rPr>
      <w:rFonts w:asciiTheme="minorHAnsi" w:hAnsiTheme="minorHAnsi" w:cstheme="minorHAnsi"/>
      <w:sz w:val="18"/>
      <w:szCs w:val="18"/>
    </w:rPr>
  </w:style>
  <w:style w:type="paragraph" w:styleId="TOC6">
    <w:name w:val="toc 6"/>
    <w:basedOn w:val="Normal"/>
    <w:next w:val="Normal"/>
    <w:autoRedefine/>
    <w:unhideWhenUsed/>
    <w:rsid w:val="00FB02C7"/>
    <w:pPr>
      <w:ind w:left="1200"/>
    </w:pPr>
    <w:rPr>
      <w:rFonts w:asciiTheme="minorHAnsi" w:hAnsiTheme="minorHAnsi" w:cstheme="minorHAnsi"/>
      <w:sz w:val="18"/>
      <w:szCs w:val="18"/>
    </w:rPr>
  </w:style>
  <w:style w:type="paragraph" w:styleId="TOC7">
    <w:name w:val="toc 7"/>
    <w:basedOn w:val="Normal"/>
    <w:next w:val="Normal"/>
    <w:autoRedefine/>
    <w:unhideWhenUsed/>
    <w:rsid w:val="00FB02C7"/>
    <w:pPr>
      <w:ind w:left="1440"/>
    </w:pPr>
    <w:rPr>
      <w:rFonts w:asciiTheme="minorHAnsi" w:hAnsiTheme="minorHAnsi" w:cstheme="minorHAnsi"/>
      <w:sz w:val="18"/>
      <w:szCs w:val="18"/>
    </w:rPr>
  </w:style>
  <w:style w:type="paragraph" w:styleId="TOC8">
    <w:name w:val="toc 8"/>
    <w:basedOn w:val="Normal"/>
    <w:next w:val="Normal"/>
    <w:autoRedefine/>
    <w:unhideWhenUsed/>
    <w:rsid w:val="00FB02C7"/>
    <w:pPr>
      <w:ind w:left="1680"/>
    </w:pPr>
    <w:rPr>
      <w:rFonts w:asciiTheme="minorHAnsi" w:hAnsiTheme="minorHAnsi" w:cstheme="minorHAnsi"/>
      <w:sz w:val="18"/>
      <w:szCs w:val="18"/>
    </w:rPr>
  </w:style>
  <w:style w:type="paragraph" w:styleId="TOC9">
    <w:name w:val="toc 9"/>
    <w:basedOn w:val="Normal"/>
    <w:next w:val="Normal"/>
    <w:autoRedefine/>
    <w:unhideWhenUsed/>
    <w:rsid w:val="00FB02C7"/>
    <w:pPr>
      <w:ind w:left="1920"/>
    </w:pPr>
    <w:rPr>
      <w:rFonts w:asciiTheme="minorHAnsi" w:hAnsiTheme="minorHAnsi" w:cstheme="minorHAnsi"/>
      <w:sz w:val="18"/>
      <w:szCs w:val="18"/>
    </w:rPr>
  </w:style>
  <w:style w:type="paragraph" w:styleId="BodyText">
    <w:name w:val="Body Text"/>
    <w:basedOn w:val="Normal"/>
    <w:link w:val="BodyTextChar0"/>
    <w:semiHidden/>
    <w:unhideWhenUsed/>
    <w:rsid w:val="0037634D"/>
    <w:pPr>
      <w:spacing w:after="120"/>
    </w:pPr>
  </w:style>
  <w:style w:type="character" w:customStyle="1" w:styleId="BodyTextChar0">
    <w:name w:val="Body Text Char"/>
    <w:basedOn w:val="DefaultParagraphFont"/>
    <w:link w:val="BodyText"/>
    <w:semiHidden/>
    <w:rsid w:val="0037634D"/>
    <w:rPr>
      <w:sz w:val="24"/>
      <w:szCs w:val="24"/>
    </w:rPr>
  </w:style>
  <w:style w:type="paragraph" w:customStyle="1" w:styleId="Normal0">
    <w:name w:val="Normal_0"/>
    <w:basedOn w:val="Normal"/>
    <w:rsid w:val="00E51F60"/>
    <w:rPr>
      <w:rFonts w:ascii="Helvetica" w:eastAsia="Helvetica" w:hAnsi="Helvetica" w:cs="Helvetica"/>
      <w:color w:val="000000"/>
      <w:sz w:val="20"/>
      <w:szCs w:val="20"/>
    </w:rPr>
  </w:style>
  <w:style w:type="paragraph" w:styleId="EndnoteText">
    <w:name w:val="endnote text"/>
    <w:basedOn w:val="Normal"/>
    <w:link w:val="EndnoteTextChar"/>
    <w:semiHidden/>
    <w:rsid w:val="00943A05"/>
    <w:pPr>
      <w:widowControl w:val="0"/>
      <w:autoSpaceDE w:val="0"/>
      <w:autoSpaceDN w:val="0"/>
      <w:adjustRightInd w:val="0"/>
    </w:pPr>
    <w:rPr>
      <w:sz w:val="20"/>
      <w:szCs w:val="20"/>
    </w:rPr>
  </w:style>
  <w:style w:type="character" w:customStyle="1" w:styleId="EndnoteTextChar">
    <w:name w:val="Endnote Text Char"/>
    <w:basedOn w:val="DefaultParagraphFont"/>
    <w:link w:val="EndnoteText"/>
    <w:semiHidden/>
    <w:rsid w:val="00943A05"/>
  </w:style>
  <w:style w:type="character" w:styleId="EndnoteReference">
    <w:name w:val="endnote reference"/>
    <w:semiHidden/>
    <w:rsid w:val="00943A05"/>
    <w:rPr>
      <w:vertAlign w:val="superscript"/>
    </w:rPr>
  </w:style>
  <w:style w:type="character" w:styleId="Mention">
    <w:name w:val="Mention"/>
    <w:basedOn w:val="DefaultParagraphFont"/>
    <w:uiPriority w:val="99"/>
    <w:unhideWhenUsed/>
    <w:rsid w:val="0046792F"/>
    <w:rPr>
      <w:color w:val="2B579A"/>
      <w:shd w:val="clear" w:color="auto" w:fill="E1DFDD"/>
    </w:rPr>
  </w:style>
  <w:style w:type="paragraph" w:customStyle="1" w:styleId="pf0">
    <w:name w:val="pf0"/>
    <w:basedOn w:val="Normal"/>
    <w:rsid w:val="00AB4B34"/>
    <w:pPr>
      <w:spacing w:before="100" w:beforeAutospacing="1" w:after="100" w:afterAutospacing="1"/>
    </w:pPr>
  </w:style>
  <w:style w:type="character" w:customStyle="1" w:styleId="cf01">
    <w:name w:val="cf01"/>
    <w:basedOn w:val="DefaultParagraphFont"/>
    <w:rsid w:val="00AB4B34"/>
    <w:rPr>
      <w:rFonts w:ascii="Segoe UI" w:hAnsi="Segoe UI" w:cs="Segoe UI" w:hint="default"/>
      <w:sz w:val="18"/>
      <w:szCs w:val="18"/>
    </w:rPr>
  </w:style>
  <w:style w:type="character" w:customStyle="1" w:styleId="cf11">
    <w:name w:val="cf11"/>
    <w:basedOn w:val="DefaultParagraphFont"/>
    <w:rsid w:val="009813FA"/>
    <w:rPr>
      <w:rFonts w:ascii="Segoe UI" w:hAnsi="Segoe UI" w:cs="Segoe UI" w:hint="default"/>
      <w:sz w:val="18"/>
      <w:szCs w:val="18"/>
    </w:rPr>
  </w:style>
  <w:style w:type="character" w:customStyle="1" w:styleId="cf21">
    <w:name w:val="cf21"/>
    <w:basedOn w:val="DefaultParagraphFont"/>
    <w:rsid w:val="009813F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ailto:yzv4@cdc.gov" TargetMode="External" /><Relationship Id="rId13" Type="http://schemas.openxmlformats.org/officeDocument/2006/relationships/hyperlink" Target="https://www.bls.gov/oes/current/999001.htm" TargetMode="External" /><Relationship Id="rId14" Type="http://schemas.openxmlformats.org/officeDocument/2006/relationships/hyperlink" Target="http://dx.doi.org/10.15585/mmwr.mm7129e2"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vaccines/programs/iis/technical-guidance/deduplic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8a15d-a9de-4a09-b4c8-bd11423896de">
      <Terms xmlns="http://schemas.microsoft.com/office/infopath/2007/PartnerControls"/>
    </lcf76f155ced4ddcb4097134ff3c332f>
    <TaxCatchAll xmlns="2fb1b662-f59d-4b16-9d61-2106d813860a" xsi:nil="true"/>
    <SharedWithUsers xmlns="2fb1b662-f59d-4b16-9d61-2106d813860a">
      <UserInfo>
        <DisplayName>Konefal, Sarah Charlotte (CDC/DDNID/NCIPC/DOP)</DisplayName>
        <AccountId>3652</AccountId>
        <AccountType/>
      </UserInfo>
      <UserInfo>
        <DisplayName>Lee, Seung Hee (CDC/DDNID/NCIPC/DOP)</DisplayName>
        <AccountId>4093</AccountId>
        <AccountType/>
      </UserInfo>
      <UserInfo>
        <DisplayName>Patel, Nita (CDC/DDID/NCEZID/OD)</DisplayName>
        <AccountId>1117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17" ma:contentTypeDescription="Create a new document." ma:contentTypeScope="" ma:versionID="1fd3ac2cf4a1be385f4e2a6141d57dd2">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01d2f79b416b860b84587a7786da7f93"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a539eb-778c-4452-9627-56035a4e8670}"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6C75A-4CA3-482F-8EB2-99264083311E}">
  <ds:schemaRefs>
    <ds:schemaRef ds:uri="http://schemas.microsoft.com/sharepoint/events"/>
  </ds:schemaRefs>
</ds:datastoreItem>
</file>

<file path=customXml/itemProps2.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42a8a15d-a9de-4a09-b4c8-bd11423896de"/>
    <ds:schemaRef ds:uri="2fb1b662-f59d-4b16-9d61-2106d813860a"/>
  </ds:schemaRefs>
</ds:datastoreItem>
</file>

<file path=customXml/itemProps3.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4.xml><?xml version="1.0" encoding="utf-8"?>
<ds:datastoreItem xmlns:ds="http://schemas.openxmlformats.org/officeDocument/2006/customXml" ds:itemID="{79B4A342-2D6D-4DBD-8C3D-247BCE356196}">
  <ds:schemaRefs>
    <ds:schemaRef ds:uri="http://schemas.openxmlformats.org/officeDocument/2006/bibliography"/>
  </ds:schemaRefs>
</ds:datastoreItem>
</file>

<file path=customXml/itemProps5.xml><?xml version="1.0" encoding="utf-8"?>
<ds:datastoreItem xmlns:ds="http://schemas.openxmlformats.org/officeDocument/2006/customXml" ds:itemID="{878886F2-BC08-4C58-8175-7F72F65E9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4224</Words>
  <Characters>26245</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Joyce, Kevin J. (CDC/IOD/OS)</cp:lastModifiedBy>
  <cp:revision>5</cp:revision>
  <cp:lastPrinted>2014-10-08T18:28:00Z</cp:lastPrinted>
  <dcterms:created xsi:type="dcterms:W3CDTF">2024-06-07T11:28:00Z</dcterms:created>
  <dcterms:modified xsi:type="dcterms:W3CDTF">2024-06-21T17:22:00Z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0x010100400564D6DC0DFD44A1BDAB7ADC95F264</vt:lpwstr>
  </property>
  <property fmtid="{D5CDD505-2E9C-101B-9397-08002B2CF9AE}" pid="3" name="MediaServiceImageTags">
    <vt:lpwstr/>
  </property>
  <property fmtid="{D5CDD505-2E9C-101B-9397-08002B2CF9AE}" pid="4" name="MSIP_Label_7b94a7b8-f06c-4dfe-bdcc-9b548fd58c31_ActionId">
    <vt:lpwstr>d7f62f59-48fa-4d1d-be7f-d66db071cb17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2022-01-06T18:38:08Z</vt:lpwstr>
  </property>
  <property fmtid="{D5CDD505-2E9C-101B-9397-08002B2CF9AE}" pid="10" name="MSIP_Label_7b94a7b8-f06c-4dfe-bdcc-9b548fd58c31_SiteId">
    <vt:lpwstr>9ce70869-60db-44fd-abe8-d2767077fc8f</vt:lpwstr>
  </property>
  <property fmtid="{D5CDD505-2E9C-101B-9397-08002B2CF9AE}" pid="11" name="Order0">
    <vt:r8>9</vt:r8>
  </property>
  <property fmtid="{D5CDD505-2E9C-101B-9397-08002B2CF9AE}" pid="12" name="URL">
    <vt:lpwstr/>
  </property>
  <property fmtid="{D5CDD505-2E9C-101B-9397-08002B2CF9AE}" pid="13" name="_dlc_DocIdItemGuid">
    <vt:lpwstr>a8fcc1f3-ba25-4397-8fcb-9452be1e473e</vt:lpwstr>
  </property>
</Properties>
</file>