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780D" w:rsidP="003B780D" w14:paraId="5C518E37" w14:textId="77777777">
      <w:pPr>
        <w:spacing w:after="0" w:line="240" w:lineRule="auto"/>
        <w:ind w:hanging="480"/>
        <w:rPr>
          <w:rFonts w:ascii="Arial" w:eastAsia="Times New Roman" w:hAnsi="Arial" w:cs="Arial"/>
          <w:b/>
          <w:bCs/>
          <w:color w:val="333333"/>
          <w:sz w:val="24"/>
          <w:szCs w:val="24"/>
        </w:rPr>
      </w:pPr>
    </w:p>
    <w:p w:rsidR="00651825" w:rsidP="003B780D" w14:paraId="3FC9BF34" w14:textId="77777777">
      <w:pPr>
        <w:spacing w:after="0" w:line="240" w:lineRule="auto"/>
        <w:ind w:hanging="480"/>
        <w:rPr>
          <w:rFonts w:ascii="Arial" w:eastAsia="Times New Roman" w:hAnsi="Arial" w:cs="Arial"/>
          <w:b/>
          <w:bCs/>
          <w:color w:val="333333"/>
          <w:sz w:val="24"/>
          <w:szCs w:val="24"/>
        </w:rPr>
      </w:pPr>
    </w:p>
    <w:p w:rsidR="00651825" w:rsidP="00651825" w14:paraId="39B904F5" w14:textId="317A6ABC">
      <w:pPr>
        <w:jc w:val="center"/>
        <w:rPr>
          <w:b/>
          <w:bCs/>
          <w:sz w:val="32"/>
          <w:szCs w:val="32"/>
        </w:rPr>
      </w:pPr>
      <w:r>
        <w:rPr>
          <w:b/>
          <w:bCs/>
          <w:sz w:val="32"/>
          <w:szCs w:val="32"/>
        </w:rPr>
        <w:t>Attachment A</w:t>
      </w:r>
    </w:p>
    <w:p w:rsidR="00651825" w:rsidP="00651825" w14:paraId="0A000765" w14:textId="77777777">
      <w:pPr>
        <w:jc w:val="center"/>
        <w:rPr>
          <w:b/>
          <w:bCs/>
          <w:sz w:val="32"/>
          <w:szCs w:val="32"/>
        </w:rPr>
      </w:pPr>
      <w:r>
        <w:rPr>
          <w:b/>
          <w:bCs/>
          <w:sz w:val="32"/>
          <w:szCs w:val="32"/>
        </w:rPr>
        <w:t>Authorizing Legislation</w:t>
      </w:r>
    </w:p>
    <w:p w:rsidR="00651825" w:rsidRPr="00F5669C" w:rsidP="00A26C62" w14:paraId="3E285FBE" w14:textId="77777777">
      <w:pPr>
        <w:jc w:val="center"/>
        <w:rPr>
          <w:bCs/>
          <w:sz w:val="28"/>
          <w:szCs w:val="28"/>
        </w:rPr>
      </w:pPr>
      <w:r>
        <w:rPr>
          <w:sz w:val="28"/>
          <w:szCs w:val="28"/>
        </w:rPr>
        <w:t xml:space="preserve"> </w:t>
      </w:r>
      <w:r w:rsidRPr="00E830B3" w:rsidR="00E830B3">
        <w:rPr>
          <w:rFonts w:ascii="Arial" w:eastAsia="Times New Roman" w:hAnsi="Arial" w:cs="Arial"/>
          <w:color w:val="3366CC"/>
          <w:u w:val="single"/>
        </w:rPr>
        <w:t>TITLE VII—PUBLIC HEALTH PROVISIONS</w:t>
      </w:r>
      <w:r w:rsidR="00A26C62">
        <w:rPr>
          <w:rFonts w:ascii="Arial" w:eastAsia="Times New Roman" w:hAnsi="Arial" w:cs="Arial"/>
          <w:color w:val="3366CC"/>
          <w:u w:val="single"/>
        </w:rPr>
        <w:t xml:space="preserve">: </w:t>
      </w:r>
      <w:r>
        <w:rPr>
          <w:sz w:val="28"/>
          <w:szCs w:val="28"/>
        </w:rPr>
        <w:t xml:space="preserve">Subtitle Q of the </w:t>
      </w:r>
      <w:r w:rsidRPr="00F5669C">
        <w:rPr>
          <w:sz w:val="28"/>
          <w:szCs w:val="28"/>
        </w:rPr>
        <w:t>Substance Use-Disorder Prevention that Promotes Opioid Recovery and Treatment for Patients and Communities Act</w:t>
      </w:r>
    </w:p>
    <w:p w:rsidR="00651825" w:rsidRPr="00C62E9C" w:rsidP="00651825" w14:paraId="2DEDE2C0" w14:textId="77777777">
      <w:pPr>
        <w:autoSpaceDE w:val="0"/>
        <w:autoSpaceDN w:val="0"/>
        <w:adjustRightInd w:val="0"/>
        <w:spacing w:after="0" w:line="240" w:lineRule="auto"/>
        <w:rPr>
          <w:rFonts w:cstheme="minorHAnsi"/>
          <w:b/>
          <w:bCs/>
          <w:sz w:val="28"/>
          <w:szCs w:val="28"/>
        </w:rPr>
      </w:pPr>
      <w:r w:rsidRPr="00C62E9C">
        <w:rPr>
          <w:rFonts w:cstheme="minorHAnsi"/>
          <w:b/>
          <w:bCs/>
          <w:sz w:val="28"/>
          <w:szCs w:val="28"/>
        </w:rPr>
        <w:t>Subtitle Q—Creating Opportunities That Necessitate New and Enhanced Connections That Improve Opioid Navigation Strategies</w:t>
      </w:r>
    </w:p>
    <w:p w:rsidR="00651825" w:rsidP="00A26C62" w14:paraId="1A20BAB7" w14:textId="77777777">
      <w:pPr>
        <w:spacing w:after="0" w:line="240" w:lineRule="auto"/>
        <w:ind w:hanging="480"/>
        <w:rPr>
          <w:rFonts w:ascii="Arial" w:eastAsia="Times New Roman" w:hAnsi="Arial" w:cs="Arial"/>
          <w:b/>
          <w:bCs/>
          <w:color w:val="333333"/>
          <w:sz w:val="24"/>
          <w:szCs w:val="24"/>
        </w:rPr>
      </w:pPr>
    </w:p>
    <w:p w:rsidR="00651825" w:rsidRPr="00651825" w:rsidP="00A26C62" w14:paraId="74A7C596" w14:textId="77777777">
      <w:pPr>
        <w:spacing w:after="0" w:line="240" w:lineRule="auto"/>
        <w:ind w:hanging="480"/>
        <w:rPr>
          <w:rFonts w:eastAsia="Times New Roman" w:cstheme="minorHAnsi"/>
          <w:color w:val="333333"/>
          <w:sz w:val="20"/>
          <w:szCs w:val="20"/>
        </w:rPr>
      </w:pPr>
      <w:r w:rsidRPr="00651825">
        <w:rPr>
          <w:rFonts w:eastAsia="Times New Roman" w:cstheme="minorHAnsi"/>
          <w:b/>
          <w:bCs/>
          <w:color w:val="333333"/>
          <w:sz w:val="20"/>
          <w:szCs w:val="20"/>
        </w:rPr>
        <w:t xml:space="preserve">SEC. 7161. </w:t>
      </w:r>
      <w:r w:rsidRPr="00651825">
        <w:rPr>
          <w:rFonts w:eastAsia="Times New Roman" w:cstheme="minorHAnsi"/>
          <w:b/>
          <w:bCs/>
          <w:caps/>
          <w:color w:val="333333"/>
          <w:sz w:val="20"/>
          <w:szCs w:val="20"/>
        </w:rPr>
        <w:t>Preventing overdoses of controlled substances</w:t>
      </w:r>
      <w:r w:rsidRPr="00651825">
        <w:rPr>
          <w:rFonts w:eastAsia="Times New Roman" w:cstheme="minorHAnsi"/>
          <w:b/>
          <w:bCs/>
          <w:color w:val="333333"/>
          <w:sz w:val="20"/>
          <w:szCs w:val="20"/>
        </w:rPr>
        <w:t>.</w:t>
      </w:r>
      <w:r w:rsidRPr="00651825">
        <w:rPr>
          <w:rFonts w:eastAsia="Times New Roman" w:cstheme="minorHAnsi"/>
          <w:color w:val="333333"/>
          <w:sz w:val="20"/>
          <w:szCs w:val="20"/>
        </w:rPr>
        <w:t xml:space="preserve"> </w:t>
      </w:r>
    </w:p>
    <w:p w:rsidR="00651825" w:rsidRPr="00651825" w:rsidP="00A26C62" w14:paraId="6353F3CA"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In general</w:t>
      </w:r>
      <w:r w:rsidRPr="00651825">
        <w:rPr>
          <w:rFonts w:eastAsia="Times New Roman" w:cstheme="minorHAnsi"/>
          <w:color w:val="333333"/>
          <w:sz w:val="20"/>
          <w:szCs w:val="20"/>
        </w:rPr>
        <w:t>.—Part J of title III of the Public Health Service Act (</w:t>
      </w:r>
      <w:hyperlink r:id="rId9" w:history="1">
        <w:r w:rsidRPr="00651825">
          <w:rPr>
            <w:rFonts w:eastAsia="Times New Roman" w:cstheme="minorHAnsi"/>
            <w:color w:val="3366CC"/>
            <w:sz w:val="20"/>
            <w:szCs w:val="20"/>
            <w:u w:val="single"/>
          </w:rPr>
          <w:t>42 U.S.C. 280b</w:t>
        </w:r>
      </w:hyperlink>
      <w:r w:rsidRPr="00651825">
        <w:rPr>
          <w:rFonts w:eastAsia="Times New Roman" w:cstheme="minorHAnsi"/>
          <w:color w:val="333333"/>
          <w:sz w:val="20"/>
          <w:szCs w:val="20"/>
        </w:rPr>
        <w:t xml:space="preserve"> et seq.) is amended by inserting after section 392 (</w:t>
      </w:r>
      <w:hyperlink r:id="rId10" w:history="1">
        <w:r w:rsidRPr="00651825">
          <w:rPr>
            <w:rFonts w:eastAsia="Times New Roman" w:cstheme="minorHAnsi"/>
            <w:color w:val="3366CC"/>
            <w:sz w:val="20"/>
            <w:szCs w:val="20"/>
            <w:u w:val="single"/>
          </w:rPr>
          <w:t>42 U.S.C. 280b–1</w:t>
        </w:r>
      </w:hyperlink>
      <w:r w:rsidRPr="00651825">
        <w:rPr>
          <w:rFonts w:eastAsia="Times New Roman" w:cstheme="minorHAnsi"/>
          <w:color w:val="333333"/>
          <w:sz w:val="20"/>
          <w:szCs w:val="20"/>
        </w:rPr>
        <w:t>) the following:</w:t>
      </w:r>
    </w:p>
    <w:p w:rsidR="00651825" w:rsidRPr="00651825" w:rsidP="00A26C62" w14:paraId="26BC8698" w14:textId="77777777">
      <w:pPr>
        <w:spacing w:before="100" w:beforeAutospacing="1" w:after="100" w:afterAutospacing="1" w:line="240" w:lineRule="auto"/>
        <w:ind w:left="480" w:hanging="480"/>
        <w:rPr>
          <w:rFonts w:eastAsia="Times New Roman" w:cstheme="minorHAnsi"/>
          <w:color w:val="333333"/>
          <w:sz w:val="20"/>
          <w:szCs w:val="20"/>
        </w:rPr>
      </w:pPr>
      <w:r w:rsidRPr="00651825">
        <w:rPr>
          <w:rFonts w:eastAsia="Times New Roman" w:cstheme="minorHAnsi"/>
          <w:b/>
          <w:bCs/>
          <w:color w:val="333333"/>
          <w:sz w:val="20"/>
          <w:szCs w:val="20"/>
        </w:rPr>
        <w:t xml:space="preserve">“SEC. 392A. </w:t>
      </w:r>
      <w:r w:rsidRPr="00651825">
        <w:rPr>
          <w:rFonts w:eastAsia="Times New Roman" w:cstheme="minorHAnsi"/>
          <w:b/>
          <w:bCs/>
          <w:caps/>
          <w:color w:val="333333"/>
          <w:sz w:val="20"/>
          <w:szCs w:val="20"/>
        </w:rPr>
        <w:t>Preventing overdoses of controlled substances</w:t>
      </w:r>
      <w:r w:rsidRPr="00651825">
        <w:rPr>
          <w:rFonts w:eastAsia="Times New Roman" w:cstheme="minorHAnsi"/>
          <w:b/>
          <w:bCs/>
          <w:color w:val="333333"/>
          <w:sz w:val="20"/>
          <w:szCs w:val="20"/>
        </w:rPr>
        <w:t>.</w:t>
      </w:r>
    </w:p>
    <w:p w:rsidR="00651825" w:rsidRPr="00651825" w:rsidP="000D3704" w14:paraId="29843283"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 xml:space="preserve">Evidence-Based prevention </w:t>
      </w:r>
      <w:r w:rsidRPr="00651825">
        <w:rPr>
          <w:rFonts w:eastAsia="Times New Roman" w:cstheme="minorHAnsi"/>
          <w:smallCaps/>
          <w:color w:val="333333"/>
          <w:spacing w:val="20"/>
          <w:sz w:val="20"/>
          <w:szCs w:val="20"/>
        </w:rPr>
        <w:t>grants</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 </w:t>
      </w:r>
    </w:p>
    <w:p w:rsidR="00651825" w:rsidRPr="00651825" w:rsidP="000D3704" w14:paraId="4F92956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w:t>
      </w:r>
      <w:r w:rsidRPr="00651825">
        <w:rPr>
          <w:rFonts w:eastAsia="Times New Roman" w:cstheme="minorHAnsi"/>
          <w:color w:val="333333"/>
          <w:sz w:val="20"/>
          <w:szCs w:val="20"/>
        </w:rPr>
        <w:t>GENERAL.—</w:t>
      </w:r>
      <w:r w:rsidRPr="00651825">
        <w:rPr>
          <w:rFonts w:eastAsia="Times New Roman" w:cstheme="minorHAnsi"/>
          <w:color w:val="333333"/>
          <w:sz w:val="20"/>
          <w:szCs w:val="20"/>
        </w:rPr>
        <w:t xml:space="preserve">The Director of the Centers for Disease Control and Prevention may— </w:t>
      </w:r>
    </w:p>
    <w:p w:rsidR="00651825" w:rsidRPr="00651825" w:rsidP="000D3704" w14:paraId="457A1A4F"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the extent practicable, carry out and expand any evidence-based prevention activities described in paragraph (2</w:t>
      </w:r>
      <w:r w:rsidRPr="00651825">
        <w:rPr>
          <w:rFonts w:eastAsia="Times New Roman" w:cstheme="minorHAnsi"/>
          <w:color w:val="333333"/>
          <w:sz w:val="20"/>
          <w:szCs w:val="20"/>
        </w:rPr>
        <w:t>);</w:t>
      </w:r>
    </w:p>
    <w:p w:rsidR="00651825" w:rsidRPr="00651825" w:rsidP="000D3704" w14:paraId="785021A3"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provide training and technical assistance to States, localities, and Indian tribes for purposes of carrying out such activity; and</w:t>
      </w:r>
    </w:p>
    <w:p w:rsidR="00651825" w:rsidRPr="00651825" w:rsidP="000D3704" w14:paraId="35275B5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award grants to States, localities, and Indian tribes for purposes of carrying out such activity.</w:t>
      </w:r>
    </w:p>
    <w:p w:rsidR="00651825" w:rsidRPr="00651825" w:rsidP="000D3704" w14:paraId="41E896B0"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EVIDENCE-BASED PREVENTION </w:t>
      </w:r>
      <w:r w:rsidRPr="00651825">
        <w:rPr>
          <w:rFonts w:eastAsia="Times New Roman" w:cstheme="minorHAnsi"/>
          <w:color w:val="333333"/>
          <w:sz w:val="20"/>
          <w:szCs w:val="20"/>
        </w:rPr>
        <w:t>ACTIVITIES.—</w:t>
      </w:r>
      <w:r w:rsidRPr="00651825">
        <w:rPr>
          <w:rFonts w:eastAsia="Times New Roman" w:cstheme="minorHAnsi"/>
          <w:color w:val="333333"/>
          <w:sz w:val="20"/>
          <w:szCs w:val="20"/>
        </w:rPr>
        <w:t xml:space="preserve">An evidence-based prevention activity described in this paragraph is any of the following activities: </w:t>
      </w:r>
    </w:p>
    <w:p w:rsidR="00651825" w:rsidRPr="00651825" w:rsidP="000D3704" w14:paraId="12E9B59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“(A) Improving the efficiency and use of a new or currently operating prescription drug monitoring program, including by— </w:t>
      </w:r>
    </w:p>
    <w:p w:rsidR="00651825" w:rsidRPr="00651825" w:rsidP="000D3704" w14:paraId="2AE8C2B8"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w:t>
      </w:r>
      <w:r w:rsidRPr="00651825">
        <w:rPr>
          <w:rFonts w:eastAsia="Times New Roman" w:cstheme="minorHAnsi"/>
          <w:color w:val="333333"/>
          <w:sz w:val="20"/>
          <w:szCs w:val="20"/>
        </w:rPr>
        <w:t>i</w:t>
      </w:r>
      <w:r w:rsidRPr="00651825">
        <w:rPr>
          <w:rFonts w:eastAsia="Times New Roman" w:cstheme="minorHAnsi"/>
          <w:color w:val="333333"/>
          <w:sz w:val="20"/>
          <w:szCs w:val="20"/>
        </w:rPr>
        <w:t xml:space="preserve">) encouraging all authorized users (as specified by the State or other entity) to register with and use the </w:t>
      </w:r>
      <w:r w:rsidRPr="00651825">
        <w:rPr>
          <w:rFonts w:eastAsia="Times New Roman" w:cstheme="minorHAnsi"/>
          <w:color w:val="333333"/>
          <w:sz w:val="20"/>
          <w:szCs w:val="20"/>
        </w:rPr>
        <w:t>program;</w:t>
      </w:r>
    </w:p>
    <w:p w:rsidR="00107EBA" w:rsidP="00107EBA" w14:paraId="3E82C44B"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 enabling such users to access any updates to information collected by the program in as close to real-time as </w:t>
      </w:r>
      <w:r w:rsidRPr="00651825">
        <w:rPr>
          <w:rFonts w:eastAsia="Times New Roman" w:cstheme="minorHAnsi"/>
          <w:color w:val="333333"/>
          <w:sz w:val="20"/>
          <w:szCs w:val="20"/>
        </w:rPr>
        <w:t>possible;</w:t>
      </w:r>
    </w:p>
    <w:p w:rsidR="00107EBA" w:rsidP="00107EBA" w14:paraId="39B1349B"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“(iii) improving the ease of use of such </w:t>
      </w:r>
      <w:r w:rsidRPr="00651825">
        <w:rPr>
          <w:rFonts w:eastAsia="Times New Roman" w:cstheme="minorHAnsi"/>
          <w:color w:val="333333"/>
          <w:sz w:val="20"/>
          <w:szCs w:val="20"/>
        </w:rPr>
        <w:t>program;</w:t>
      </w:r>
    </w:p>
    <w:p w:rsidR="00107EBA" w:rsidP="00107EBA" w14:paraId="5E3C0376"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“(iv) providing for a mechanism for the program to notify authorized users of any potential misuse or abuse of controlled substances and any detection of inappropriate prescribing or dispensing practices relating to such </w:t>
      </w:r>
      <w:r w:rsidRPr="00651825">
        <w:rPr>
          <w:rFonts w:eastAsia="Times New Roman" w:cstheme="minorHAnsi"/>
          <w:color w:val="333333"/>
          <w:sz w:val="20"/>
          <w:szCs w:val="20"/>
        </w:rPr>
        <w:t>substances;</w:t>
      </w:r>
    </w:p>
    <w:p w:rsidR="00766C39" w:rsidP="00766C39" w14:paraId="3F5DA7F3"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 encouraging the analysis of prescription drug monitoring data for purposes of providing de-identified, aggregate reports based on such analysis to State public health agencies, State substance abuse agencies, State licensing boards, and other appropriate State agencies, as permitted under applicable Federal and State law and the policies of the prescription drug monitoring program and not containing any protected health information, to prevent inappropriate prescribing, drug diversion, or abuse and misuse of controlled substances, and to facilitate better coordination among agencies;</w:t>
      </w:r>
    </w:p>
    <w:p w:rsidR="00766C39" w:rsidP="00766C39" w14:paraId="0700E634"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“(vi) enhancing interoperability between the program and any health information technology (including certified health information technology), including by integrating program data into such </w:t>
      </w:r>
      <w:r w:rsidRPr="00651825">
        <w:rPr>
          <w:rFonts w:eastAsia="Times New Roman" w:cstheme="minorHAnsi"/>
          <w:color w:val="333333"/>
          <w:sz w:val="20"/>
          <w:szCs w:val="20"/>
        </w:rPr>
        <w:t>technology;</w:t>
      </w:r>
    </w:p>
    <w:p w:rsidR="00766C39" w:rsidP="00766C39" w14:paraId="488C12F6"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“(vii) updating program capabilities to respond to technological innovation for purposes of appropriately addressing the occurrence and evolution of </w:t>
      </w:r>
      <w:r>
        <w:rPr>
          <w:rFonts w:eastAsia="Times New Roman" w:cstheme="minorHAnsi"/>
          <w:color w:val="333333"/>
          <w:sz w:val="20"/>
          <w:szCs w:val="20"/>
        </w:rPr>
        <w:t xml:space="preserve">controlled substance </w:t>
      </w:r>
      <w:r>
        <w:rPr>
          <w:rFonts w:eastAsia="Times New Roman" w:cstheme="minorHAnsi"/>
          <w:color w:val="333333"/>
          <w:sz w:val="20"/>
          <w:szCs w:val="20"/>
        </w:rPr>
        <w:t>overdoses;</w:t>
      </w:r>
    </w:p>
    <w:p w:rsidR="00766C39" w:rsidP="00766C39" w14:paraId="40C03871"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“(viii) facilitating and encouraging data exchange between the program and the prescription drug monit</w:t>
      </w:r>
      <w:r>
        <w:rPr>
          <w:rFonts w:eastAsia="Times New Roman" w:cstheme="minorHAnsi"/>
          <w:color w:val="333333"/>
          <w:sz w:val="20"/>
          <w:szCs w:val="20"/>
        </w:rPr>
        <w:t xml:space="preserve">oring programs of other </w:t>
      </w:r>
      <w:r>
        <w:rPr>
          <w:rFonts w:eastAsia="Times New Roman" w:cstheme="minorHAnsi"/>
          <w:color w:val="333333"/>
          <w:sz w:val="20"/>
          <w:szCs w:val="20"/>
        </w:rPr>
        <w:t>States;</w:t>
      </w:r>
    </w:p>
    <w:p w:rsidR="00766C39" w:rsidP="00766C39" w14:paraId="29420F0F"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“(ix) enhancing data collection and quality, including improving patient matching and proac</w:t>
      </w:r>
      <w:r>
        <w:rPr>
          <w:rFonts w:eastAsia="Times New Roman" w:cstheme="minorHAnsi"/>
          <w:color w:val="333333"/>
          <w:sz w:val="20"/>
          <w:szCs w:val="20"/>
        </w:rPr>
        <w:t xml:space="preserve">tively monitoring data </w:t>
      </w:r>
      <w:r>
        <w:rPr>
          <w:rFonts w:eastAsia="Times New Roman" w:cstheme="minorHAnsi"/>
          <w:color w:val="333333"/>
          <w:sz w:val="20"/>
          <w:szCs w:val="20"/>
        </w:rPr>
        <w:t>quality;</w:t>
      </w:r>
    </w:p>
    <w:p w:rsidR="00766C39" w:rsidP="00766C39" w14:paraId="66487B47"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“(x) providing prescriber and dispenser practice tools, including prescriber practice insight reports for practitioners to review their prescribing patterns in comparison to such patterns of other prac</w:t>
      </w:r>
      <w:r>
        <w:rPr>
          <w:rFonts w:eastAsia="Times New Roman" w:cstheme="minorHAnsi"/>
          <w:color w:val="333333"/>
          <w:sz w:val="20"/>
          <w:szCs w:val="20"/>
        </w:rPr>
        <w:t>titioners in the specialty; and</w:t>
      </w:r>
    </w:p>
    <w:p w:rsidR="00766C39" w:rsidP="00766C39" w14:paraId="05AE41EA"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“(xi) meeting the purpose of the program established under section 399O, as described in section 399O(a).</w:t>
      </w:r>
    </w:p>
    <w:p w:rsidR="00766C39" w:rsidP="00766C39" w14:paraId="09236FC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Promoting community or health system interventions.</w:t>
      </w:r>
    </w:p>
    <w:p w:rsidR="00766C39" w:rsidP="00766C39" w14:paraId="2F84AB05"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Evaluating interventions to prevent </w:t>
      </w:r>
      <w:r>
        <w:rPr>
          <w:rFonts w:eastAsia="Times New Roman" w:cstheme="minorHAnsi"/>
          <w:color w:val="333333"/>
          <w:sz w:val="20"/>
          <w:szCs w:val="20"/>
        </w:rPr>
        <w:t>controlled substance overdoses.</w:t>
      </w:r>
    </w:p>
    <w:p w:rsidR="00651825" w:rsidP="00766C39" w14:paraId="0FA1A45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Implementing projects to advance an innovative prevention approach with respect to new and emerging public health crises and opportunities to address such crises, such as enhancing public education and awareness on the risks associated with opioids.</w:t>
      </w:r>
    </w:p>
    <w:p w:rsidR="0099323D" w:rsidRPr="00651825" w:rsidP="00766C39" w14:paraId="472AD9C0" w14:textId="77777777">
      <w:pPr>
        <w:spacing w:after="0" w:line="240" w:lineRule="auto"/>
        <w:ind w:left="960" w:firstLine="480"/>
        <w:rPr>
          <w:rFonts w:eastAsia="Times New Roman" w:cstheme="minorHAnsi"/>
          <w:color w:val="333333"/>
          <w:sz w:val="20"/>
          <w:szCs w:val="20"/>
        </w:rPr>
      </w:pPr>
    </w:p>
    <w:p w:rsidR="00651825" w:rsidRPr="00651825" w:rsidP="0099323D" w14:paraId="51F0786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“(3) ADDITIONAL </w:t>
      </w:r>
      <w:r w:rsidRPr="00651825">
        <w:rPr>
          <w:rFonts w:eastAsia="Times New Roman" w:cstheme="minorHAnsi"/>
          <w:color w:val="333333"/>
          <w:sz w:val="20"/>
          <w:szCs w:val="20"/>
        </w:rPr>
        <w:t>GRANTS.—</w:t>
      </w:r>
      <w:r w:rsidRPr="00651825">
        <w:rPr>
          <w:rFonts w:eastAsia="Times New Roman" w:cstheme="minorHAnsi"/>
          <w:color w:val="333333"/>
          <w:sz w:val="20"/>
          <w:szCs w:val="20"/>
        </w:rPr>
        <w:t xml:space="preserve">The Director may award grants to States, localities, and Indian Tribes— </w:t>
      </w:r>
    </w:p>
    <w:p w:rsidR="00766C39" w:rsidP="0099323D" w14:paraId="11482FEF"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carry out innovative projects for grantees to rapidly respond to controlled substance misuse, abuse, and overdoses, including changes in patterns o</w:t>
      </w:r>
      <w:r>
        <w:rPr>
          <w:rFonts w:eastAsia="Times New Roman" w:cstheme="minorHAnsi"/>
          <w:color w:val="333333"/>
          <w:sz w:val="20"/>
          <w:szCs w:val="20"/>
        </w:rPr>
        <w:t>f controlled substance use; and</w:t>
      </w:r>
    </w:p>
    <w:p w:rsidR="00651825" w:rsidP="00766C39" w14:paraId="1963AAD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for any other evidence-based activity for preventing controlled substance misuse, abuse, and overdoses as the Director determines appropriate.</w:t>
      </w:r>
    </w:p>
    <w:p w:rsidR="00651825" w:rsidRPr="00651825" w:rsidP="00A26C62" w14:paraId="1F9E74E5" w14:textId="77777777">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“(4) </w:t>
      </w:r>
      <w:r w:rsidRPr="00651825">
        <w:rPr>
          <w:rFonts w:eastAsia="Times New Roman" w:cstheme="minorHAnsi"/>
          <w:color w:val="333333"/>
          <w:sz w:val="20"/>
          <w:szCs w:val="20"/>
        </w:rPr>
        <w:t>RESEARCH.—</w:t>
      </w:r>
      <w:r w:rsidRPr="00651825">
        <w:rPr>
          <w:rFonts w:eastAsia="Times New Roman" w:cstheme="minorHAnsi"/>
          <w:color w:val="333333"/>
          <w:sz w:val="20"/>
          <w:szCs w:val="20"/>
        </w:rPr>
        <w:t>The Director, in coordination with the Assistant Secretary for Mental Health and Substance Use and the National Mental Health and Substance Use Policy Laboratory established under section 501A, as appropriate and applicable, may conduct studies and evaluations to address substance use disorders, including preventing substance use disorders or other related topics the Director determines appropriate.</w:t>
      </w:r>
    </w:p>
    <w:p w:rsidR="00651825" w:rsidRPr="00651825" w:rsidP="00A26C62" w14:paraId="1CF726CC"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 xml:space="preserve">Enhanced controlled substance overdose data collection, analysis, and dissemination </w:t>
      </w:r>
      <w:r w:rsidRPr="00651825">
        <w:rPr>
          <w:rFonts w:eastAsia="Times New Roman" w:cstheme="minorHAnsi"/>
          <w:smallCaps/>
          <w:color w:val="333333"/>
          <w:spacing w:val="20"/>
          <w:sz w:val="20"/>
          <w:szCs w:val="20"/>
        </w:rPr>
        <w:t>grants</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 </w:t>
      </w:r>
    </w:p>
    <w:p w:rsidR="00651825" w:rsidRPr="00651825" w:rsidP="0099323D" w14:paraId="50981D0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w:t>
      </w:r>
      <w:r w:rsidRPr="00651825">
        <w:rPr>
          <w:rFonts w:eastAsia="Times New Roman" w:cstheme="minorHAnsi"/>
          <w:color w:val="333333"/>
          <w:sz w:val="20"/>
          <w:szCs w:val="20"/>
        </w:rPr>
        <w:t>GENERAL.—</w:t>
      </w:r>
      <w:r w:rsidRPr="00651825">
        <w:rPr>
          <w:rFonts w:eastAsia="Times New Roman" w:cstheme="minorHAnsi"/>
          <w:color w:val="333333"/>
          <w:sz w:val="20"/>
          <w:szCs w:val="20"/>
        </w:rPr>
        <w:t xml:space="preserve">The Director of the Centers for Disease Control and Prevention may— </w:t>
      </w:r>
    </w:p>
    <w:p w:rsidR="00766C39" w:rsidP="0099323D" w14:paraId="769E62DE"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the extent practicable, carry out any controlled substance overdose data collection activit</w:t>
      </w:r>
      <w:r>
        <w:rPr>
          <w:rFonts w:eastAsia="Times New Roman" w:cstheme="minorHAnsi"/>
          <w:color w:val="333333"/>
          <w:sz w:val="20"/>
          <w:szCs w:val="20"/>
        </w:rPr>
        <w:t>ies described in paragraph (2</w:t>
      </w:r>
      <w:r>
        <w:rPr>
          <w:rFonts w:eastAsia="Times New Roman" w:cstheme="minorHAnsi"/>
          <w:color w:val="333333"/>
          <w:sz w:val="20"/>
          <w:szCs w:val="20"/>
        </w:rPr>
        <w:t>);</w:t>
      </w:r>
    </w:p>
    <w:p w:rsidR="00651825" w:rsidRPr="00651825" w:rsidP="00A568B4" w14:paraId="3543C9DF"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“(B) provide training and technical assistance to States, localities, and Indian tribes for purposes of carrying out such </w:t>
      </w:r>
      <w:r w:rsidRPr="00651825">
        <w:rPr>
          <w:rFonts w:eastAsia="Times New Roman" w:cstheme="minorHAnsi"/>
          <w:color w:val="333333"/>
          <w:sz w:val="20"/>
          <w:szCs w:val="20"/>
        </w:rPr>
        <w:t>activity;</w:t>
      </w:r>
    </w:p>
    <w:p w:rsidR="00A568B4" w:rsidP="00A568B4" w14:paraId="04A44728"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award grants to States, localities, and Indian tribes for purposes of </w:t>
      </w:r>
      <w:r>
        <w:rPr>
          <w:rFonts w:eastAsia="Times New Roman" w:cstheme="minorHAnsi"/>
          <w:color w:val="333333"/>
          <w:sz w:val="20"/>
          <w:szCs w:val="20"/>
        </w:rPr>
        <w:t>carrying out such activity; and</w:t>
      </w:r>
    </w:p>
    <w:p w:rsidR="00651825" w:rsidP="00A568B4" w14:paraId="2D4A8686"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“(D) coordinate with the Assistant Secretary for Mental Health and Substance Use to collect data pursuant to section 505(d)(1)(A) (relating to the number of individuals admitted to emergency departments </w:t>
      </w:r>
      <w:r w:rsidRPr="00651825">
        <w:rPr>
          <w:rFonts w:eastAsia="Times New Roman" w:cstheme="minorHAnsi"/>
          <w:color w:val="333333"/>
          <w:sz w:val="20"/>
          <w:szCs w:val="20"/>
        </w:rPr>
        <w:t>as a result of</w:t>
      </w:r>
      <w:r w:rsidRPr="00651825">
        <w:rPr>
          <w:rFonts w:eastAsia="Times New Roman" w:cstheme="minorHAnsi"/>
          <w:color w:val="333333"/>
          <w:sz w:val="20"/>
          <w:szCs w:val="20"/>
        </w:rPr>
        <w:t xml:space="preserve"> the abuse of alcohol or other drugs).</w:t>
      </w:r>
    </w:p>
    <w:p w:rsidR="0099323D" w:rsidRPr="00651825" w:rsidP="00A568B4" w14:paraId="1F1796FA" w14:textId="77777777">
      <w:pPr>
        <w:spacing w:after="0" w:line="240" w:lineRule="auto"/>
        <w:ind w:left="960" w:firstLine="480"/>
        <w:rPr>
          <w:rFonts w:eastAsia="Times New Roman" w:cstheme="minorHAnsi"/>
          <w:color w:val="333333"/>
          <w:sz w:val="20"/>
          <w:szCs w:val="20"/>
        </w:rPr>
      </w:pPr>
    </w:p>
    <w:p w:rsidR="00651825" w:rsidRPr="00651825" w:rsidP="0099323D" w14:paraId="6707B58E"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CONTROLLED SUBSTANCE OVERDOSE DATA COLLECTION AND ANALYSIS </w:t>
      </w:r>
      <w:r w:rsidRPr="00651825">
        <w:rPr>
          <w:rFonts w:eastAsia="Times New Roman" w:cstheme="minorHAnsi"/>
          <w:color w:val="333333"/>
          <w:sz w:val="20"/>
          <w:szCs w:val="20"/>
        </w:rPr>
        <w:t>ACTIVITIES.—</w:t>
      </w:r>
      <w:r w:rsidRPr="00651825">
        <w:rPr>
          <w:rFonts w:eastAsia="Times New Roman" w:cstheme="minorHAnsi"/>
          <w:color w:val="333333"/>
          <w:sz w:val="20"/>
          <w:szCs w:val="20"/>
        </w:rPr>
        <w:t xml:space="preserve">A controlled substance overdose data collection, analysis, and dissemination activity described in this paragraph is any of the following activities: </w:t>
      </w:r>
    </w:p>
    <w:p w:rsidR="00651825" w:rsidRPr="00651825" w:rsidP="0099323D" w14:paraId="2DCD0664"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Improving the timeliness of reporting data to the public, including data on fatal and nonfatal overdoses of controlled substances.</w:t>
      </w:r>
    </w:p>
    <w:p w:rsidR="00651825" w:rsidRPr="00651825" w:rsidP="009E4A38" w14:paraId="2D7B0332"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Enhancing the comprehensiveness of controlled substance overdose data by collecting information on such overdoses from appropriate sources such as toxicology reports, autopsy reports, death scene investigations, and emergency departments.</w:t>
      </w:r>
    </w:p>
    <w:p w:rsidR="00651825" w:rsidRPr="00651825" w:rsidP="009E4A38" w14:paraId="633658F9"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Modernizing the system for coding causes of death related to controlled substance overdoses to use an electronic-based system.</w:t>
      </w:r>
    </w:p>
    <w:p w:rsidR="00651825" w:rsidRPr="00651825" w:rsidP="009E4A38" w14:paraId="3700310F"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Using data to help identify risk factors associated with controlled substance overdoses.</w:t>
      </w:r>
    </w:p>
    <w:p w:rsidR="00651825" w:rsidRPr="00651825" w:rsidP="009E4A38" w14:paraId="1D66D5CE"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Supporting entities involved in providing information on controlled substance overdoses, such as coroners, medical examiners, and public health laboratories to improve accurate testing and standardized reporting of causes and contributing factors to controlled substances overdoses and analysis of various opioid analogues to controlled substance overdoses.</w:t>
      </w:r>
    </w:p>
    <w:p w:rsidR="00651825" w:rsidP="009E4A38" w14:paraId="0D251303"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Working to enable and encourage the access, exchange, and use of information regarding controlled substance overdoses among data sources and entities.</w:t>
      </w:r>
    </w:p>
    <w:p w:rsidR="0099323D" w:rsidP="009E4A38" w14:paraId="6256FF07" w14:textId="77777777">
      <w:pPr>
        <w:spacing w:after="0" w:line="240" w:lineRule="auto"/>
        <w:ind w:left="960" w:firstLine="480"/>
        <w:rPr>
          <w:rFonts w:eastAsia="Times New Roman" w:cstheme="minorHAnsi"/>
          <w:color w:val="333333"/>
          <w:sz w:val="20"/>
          <w:szCs w:val="20"/>
        </w:rPr>
      </w:pPr>
    </w:p>
    <w:p w:rsidR="00651825" w:rsidRPr="00651825" w:rsidP="0099323D" w14:paraId="3E829E70"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“(c) </w:t>
      </w:r>
      <w:r w:rsidRPr="00651825">
        <w:rPr>
          <w:rFonts w:eastAsia="Times New Roman" w:cstheme="minorHAnsi"/>
          <w:smallCaps/>
          <w:color w:val="333333"/>
          <w:spacing w:val="20"/>
          <w:sz w:val="20"/>
          <w:szCs w:val="20"/>
        </w:rPr>
        <w:t>Definitions</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In this section: </w:t>
      </w:r>
    </w:p>
    <w:p w:rsidR="00651825" w:rsidRPr="00651825" w:rsidP="0099323D" w14:paraId="340501E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CONTROLLED </w:t>
      </w:r>
      <w:r w:rsidRPr="00651825">
        <w:rPr>
          <w:rFonts w:eastAsia="Times New Roman" w:cstheme="minorHAnsi"/>
          <w:color w:val="333333"/>
          <w:sz w:val="20"/>
          <w:szCs w:val="20"/>
        </w:rPr>
        <w:t>SUBSTANCE.—</w:t>
      </w:r>
      <w:r w:rsidRPr="00651825">
        <w:rPr>
          <w:rFonts w:eastAsia="Times New Roman" w:cstheme="minorHAnsi"/>
          <w:color w:val="333333"/>
          <w:sz w:val="20"/>
          <w:szCs w:val="20"/>
        </w:rPr>
        <w:t>The term ‘controlled substance’ has the meaning given that term in section 102 of the Controlled Substances Act.</w:t>
      </w:r>
    </w:p>
    <w:p w:rsidR="00651825" w:rsidP="009E4A38" w14:paraId="3F28001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INDIAN </w:t>
      </w:r>
      <w:r w:rsidRPr="00651825">
        <w:rPr>
          <w:rFonts w:eastAsia="Times New Roman" w:cstheme="minorHAnsi"/>
          <w:color w:val="333333"/>
          <w:sz w:val="20"/>
          <w:szCs w:val="20"/>
        </w:rPr>
        <w:t>TRIBE.—</w:t>
      </w:r>
      <w:r w:rsidRPr="00651825">
        <w:rPr>
          <w:rFonts w:eastAsia="Times New Roman" w:cstheme="minorHAnsi"/>
          <w:color w:val="333333"/>
          <w:sz w:val="20"/>
          <w:szCs w:val="20"/>
        </w:rPr>
        <w:t>The term ‘Indian tribe’ has the meaning given that term in section 4 of the Indian Self-Determination and Education Assistance Act.</w:t>
      </w:r>
    </w:p>
    <w:p w:rsidR="00651825" w:rsidRPr="00651825" w:rsidP="00A26C62" w14:paraId="7C98837D"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“(d) </w:t>
      </w:r>
      <w:r w:rsidRPr="00651825">
        <w:rPr>
          <w:rFonts w:eastAsia="Times New Roman" w:cstheme="minorHAnsi"/>
          <w:smallCaps/>
          <w:color w:val="333333"/>
          <w:spacing w:val="20"/>
          <w:sz w:val="20"/>
          <w:szCs w:val="20"/>
        </w:rPr>
        <w:t>Authorization of appropriations</w:t>
      </w:r>
      <w:r w:rsidRPr="00651825">
        <w:rPr>
          <w:rFonts w:eastAsia="Times New Roman" w:cstheme="minorHAnsi"/>
          <w:color w:val="333333"/>
          <w:sz w:val="20"/>
          <w:szCs w:val="20"/>
        </w:rPr>
        <w:t>.—For purposes of carrying out this section, section 399O of this Act, and section 102 of the Comprehensive Addiction and Recovery Act of 2016 (</w:t>
      </w:r>
      <w:hyperlink r:id="rId11" w:history="1">
        <w:r w:rsidRPr="00651825">
          <w:rPr>
            <w:rFonts w:eastAsia="Times New Roman" w:cstheme="minorHAnsi"/>
            <w:color w:val="3366CC"/>
            <w:sz w:val="20"/>
            <w:szCs w:val="20"/>
            <w:u w:val="single"/>
          </w:rPr>
          <w:t>Public Law 114–198</w:t>
        </w:r>
      </w:hyperlink>
      <w:r w:rsidRPr="00651825">
        <w:rPr>
          <w:rFonts w:eastAsia="Times New Roman" w:cstheme="minorHAnsi"/>
          <w:color w:val="333333"/>
          <w:sz w:val="20"/>
          <w:szCs w:val="20"/>
        </w:rPr>
        <w:t>), there is authorized to be appropriated $496,000,000 for each of fiscal years 2019 through 2023.”.</w:t>
      </w:r>
    </w:p>
    <w:p w:rsidR="00651825" w:rsidRPr="00651825" w:rsidP="00A26C62" w14:paraId="01F94C66"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Education and awareness</w:t>
      </w:r>
      <w:r w:rsidRPr="00651825">
        <w:rPr>
          <w:rFonts w:eastAsia="Times New Roman" w:cstheme="minorHAnsi"/>
          <w:color w:val="333333"/>
          <w:sz w:val="20"/>
          <w:szCs w:val="20"/>
        </w:rPr>
        <w:t>.—Section 102 of the Comprehensive Addiction and Recovery Act of 2016 (</w:t>
      </w:r>
      <w:hyperlink r:id="rId11" w:history="1">
        <w:r w:rsidRPr="00651825">
          <w:rPr>
            <w:rFonts w:eastAsia="Times New Roman" w:cstheme="minorHAnsi"/>
            <w:color w:val="3366CC"/>
            <w:sz w:val="20"/>
            <w:szCs w:val="20"/>
            <w:u w:val="single"/>
          </w:rPr>
          <w:t>Public Law 114–198</w:t>
        </w:r>
      </w:hyperlink>
      <w:r w:rsidRPr="00651825">
        <w:rPr>
          <w:rFonts w:eastAsia="Times New Roman" w:cstheme="minorHAnsi"/>
          <w:color w:val="333333"/>
          <w:sz w:val="20"/>
          <w:szCs w:val="20"/>
        </w:rPr>
        <w:t xml:space="preserve">) is amended— </w:t>
      </w:r>
    </w:p>
    <w:p w:rsidR="00651825" w:rsidRPr="00651825" w:rsidP="00A26C62" w14:paraId="53F48D71" w14:textId="77777777">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by amending subsection (a) to read as follows:</w:t>
      </w:r>
    </w:p>
    <w:p w:rsidR="00651825" w:rsidRPr="00651825" w:rsidP="00A26C62" w14:paraId="67E2FE38"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In general</w:t>
      </w:r>
      <w:r w:rsidRPr="00651825">
        <w:rPr>
          <w:rFonts w:eastAsia="Times New Roman" w:cstheme="minorHAnsi"/>
          <w:color w:val="333333"/>
          <w:sz w:val="20"/>
          <w:szCs w:val="20"/>
        </w:rPr>
        <w:t xml:space="preserve">.—The Secretary of Health and Human Services, acting through the Director of the Centers for Disease Control and Prevention and in coordination with the heads of other departments and agencies, shall advance education and awareness regarding the risks related to misuse and abuse of opioids, as appropriate, which may include developing or improving existing programs, conducting activities, and awarding grants that advance the education and awareness of— </w:t>
      </w:r>
    </w:p>
    <w:p w:rsidR="00651825" w:rsidRPr="00651825" w:rsidP="0099323D" w14:paraId="0A3F96D8" w14:textId="77777777">
      <w:pPr>
        <w:spacing w:before="100" w:beforeAutospacing="1"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the public, including patients and consumers— </w:t>
      </w:r>
    </w:p>
    <w:p w:rsidR="00651825" w:rsidRPr="00651825" w:rsidP="0099323D" w14:paraId="448A908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generally; and</w:t>
      </w:r>
    </w:p>
    <w:p w:rsidR="00651825" w:rsidP="0099323D" w14:paraId="12D8078E"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regarding such risks related to unused opioids and the dispensing options under section 309(f) of the Controlled Substances Act, as applicable; and</w:t>
      </w:r>
    </w:p>
    <w:p w:rsidR="0099323D" w:rsidP="0099323D" w14:paraId="04A68B03" w14:textId="77777777">
      <w:pPr>
        <w:spacing w:after="0" w:line="240" w:lineRule="auto"/>
        <w:ind w:left="960" w:firstLine="480"/>
        <w:rPr>
          <w:rFonts w:eastAsia="Times New Roman" w:cstheme="minorHAnsi"/>
          <w:color w:val="333333"/>
          <w:sz w:val="20"/>
          <w:szCs w:val="20"/>
        </w:rPr>
      </w:pPr>
    </w:p>
    <w:p w:rsidR="00651825" w:rsidRPr="00651825" w:rsidP="0099323D" w14:paraId="042F9CF4"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providers, which may include— </w:t>
      </w:r>
    </w:p>
    <w:p w:rsidR="00651825" w:rsidRPr="00651825" w:rsidP="0099323D" w14:paraId="31A4EC39"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“(A) providing for continuing education on appropriate prescribing </w:t>
      </w:r>
      <w:r w:rsidRPr="00651825">
        <w:rPr>
          <w:rFonts w:eastAsia="Times New Roman" w:cstheme="minorHAnsi"/>
          <w:color w:val="333333"/>
          <w:sz w:val="20"/>
          <w:szCs w:val="20"/>
        </w:rPr>
        <w:t>practices;</w:t>
      </w:r>
    </w:p>
    <w:p w:rsidR="00651825" w:rsidRPr="00651825" w:rsidP="009E4A38" w14:paraId="1F07074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“(B) education related to applicable State or local prescriber limit laws, information on the use of non-addictive alternatives for pain management, and the use of overdose reversal drugs, as </w:t>
      </w:r>
      <w:r w:rsidRPr="00651825">
        <w:rPr>
          <w:rFonts w:eastAsia="Times New Roman" w:cstheme="minorHAnsi"/>
          <w:color w:val="333333"/>
          <w:sz w:val="20"/>
          <w:szCs w:val="20"/>
        </w:rPr>
        <w:t>appropriate;</w:t>
      </w:r>
    </w:p>
    <w:p w:rsidR="00651825" w:rsidRPr="00651825" w:rsidP="009E4A38" w14:paraId="6BAFB81D"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disseminating and improving the use of evidence-based opioid prescribing guidelines across relevant health care settings, as appropriate, and updating guidelines as </w:t>
      </w:r>
      <w:r w:rsidRPr="00651825">
        <w:rPr>
          <w:rFonts w:eastAsia="Times New Roman" w:cstheme="minorHAnsi"/>
          <w:color w:val="333333"/>
          <w:sz w:val="20"/>
          <w:szCs w:val="20"/>
        </w:rPr>
        <w:t>necessary;</w:t>
      </w:r>
    </w:p>
    <w:p w:rsidR="00651825" w:rsidRPr="00651825" w:rsidP="009E4A38" w14:paraId="4F3711A4"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“(D) implementing strategies, such as best practices, to encourage and facilitate the use of prescriber guidelines, in accordance with State and local </w:t>
      </w:r>
      <w:r w:rsidRPr="00651825">
        <w:rPr>
          <w:rFonts w:eastAsia="Times New Roman" w:cstheme="minorHAnsi"/>
          <w:color w:val="333333"/>
          <w:sz w:val="20"/>
          <w:szCs w:val="20"/>
        </w:rPr>
        <w:t>law;</w:t>
      </w:r>
    </w:p>
    <w:p w:rsidR="00651825" w:rsidRPr="00651825" w:rsidP="009E4A38" w14:paraId="0EACAA01"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disseminating information to providers about prescribing options for controlled substances, including such options under section 309(f) of the Controlled Substances Act, as applicable; and</w:t>
      </w:r>
    </w:p>
    <w:p w:rsidR="00651825" w:rsidP="009E4A38" w14:paraId="1102B1A5"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disseminating information, as appropriate, on the National Pain Strategy developed by or in consultation with the Assistant Secretary for Health; and</w:t>
      </w:r>
    </w:p>
    <w:p w:rsidR="00651825" w:rsidRPr="00651825" w:rsidP="00A26C62" w14:paraId="2F65D325" w14:textId="77777777">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other appropriate entities.”; and</w:t>
      </w:r>
    </w:p>
    <w:p w:rsidR="00651825" w:rsidRPr="00651825" w:rsidP="0099323D" w14:paraId="706201DD"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in subsection (b)— </w:t>
      </w:r>
    </w:p>
    <w:p w:rsidR="00651825" w:rsidRPr="00651825" w:rsidP="0099323D" w14:paraId="7AEE69CD"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by striking “opioid abuse” each place such term appears and inserting “opioid misuse and abuse”; and</w:t>
      </w:r>
    </w:p>
    <w:p w:rsidR="00651825" w:rsidP="009E4A38" w14:paraId="275DDAAE"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in paragraph (2), by striking “safe disposal of prescription medications and other” and inserting “non-addictive treatment options, safe disposal options for prescription medications, and other applicable”.</w:t>
      </w:r>
    </w:p>
    <w:p w:rsidR="009E4A38" w:rsidRPr="00651825" w:rsidP="009E4A38" w14:paraId="569B0CC4" w14:textId="77777777">
      <w:pPr>
        <w:spacing w:after="0" w:line="240" w:lineRule="auto"/>
        <w:ind w:left="960" w:firstLine="480"/>
        <w:rPr>
          <w:rFonts w:eastAsia="Times New Roman" w:cstheme="minorHAnsi"/>
          <w:color w:val="333333"/>
          <w:sz w:val="20"/>
          <w:szCs w:val="20"/>
        </w:rPr>
      </w:pPr>
    </w:p>
    <w:p w:rsidR="00651825" w:rsidRPr="00651825" w:rsidP="00A26C62" w14:paraId="1545A6F4" w14:textId="77777777">
      <w:pPr>
        <w:spacing w:after="0" w:line="240" w:lineRule="auto"/>
        <w:ind w:hanging="480"/>
        <w:rPr>
          <w:rFonts w:eastAsia="Times New Roman" w:cstheme="minorHAnsi"/>
          <w:color w:val="333333"/>
          <w:sz w:val="20"/>
          <w:szCs w:val="20"/>
        </w:rPr>
      </w:pPr>
      <w:r w:rsidRPr="00651825">
        <w:rPr>
          <w:rFonts w:eastAsia="Times New Roman" w:cstheme="minorHAnsi"/>
          <w:b/>
          <w:bCs/>
          <w:color w:val="333333"/>
          <w:sz w:val="20"/>
          <w:szCs w:val="20"/>
        </w:rPr>
        <w:t xml:space="preserve">SEC. 7162. </w:t>
      </w:r>
      <w:r w:rsidRPr="00651825">
        <w:rPr>
          <w:rFonts w:eastAsia="Times New Roman" w:cstheme="minorHAnsi"/>
          <w:b/>
          <w:bCs/>
          <w:caps/>
          <w:color w:val="333333"/>
          <w:sz w:val="20"/>
          <w:szCs w:val="20"/>
        </w:rPr>
        <w:t>Prescription drug monitoring program</w:t>
      </w:r>
      <w:r w:rsidRPr="00651825">
        <w:rPr>
          <w:rFonts w:eastAsia="Times New Roman" w:cstheme="minorHAnsi"/>
          <w:b/>
          <w:bCs/>
          <w:color w:val="333333"/>
          <w:sz w:val="20"/>
          <w:szCs w:val="20"/>
        </w:rPr>
        <w:t>.</w:t>
      </w:r>
      <w:r w:rsidRPr="00651825">
        <w:rPr>
          <w:rFonts w:eastAsia="Times New Roman" w:cstheme="minorHAnsi"/>
          <w:color w:val="333333"/>
          <w:sz w:val="20"/>
          <w:szCs w:val="20"/>
        </w:rPr>
        <w:t xml:space="preserve"> </w:t>
      </w:r>
    </w:p>
    <w:p w:rsidR="00651825" w:rsidRPr="00651825" w:rsidP="00A26C62" w14:paraId="2C2299C3" w14:textId="77777777">
      <w:pPr>
        <w:spacing w:before="100" w:beforeAutospacing="1" w:after="100" w:afterAutospacing="1" w:line="240" w:lineRule="auto"/>
        <w:rPr>
          <w:rFonts w:eastAsia="Times New Roman" w:cstheme="minorHAnsi"/>
          <w:color w:val="333333"/>
          <w:sz w:val="20"/>
          <w:szCs w:val="20"/>
        </w:rPr>
      </w:pPr>
      <w:r w:rsidRPr="00651825">
        <w:rPr>
          <w:rFonts w:eastAsia="Times New Roman" w:cstheme="minorHAnsi"/>
          <w:color w:val="333333"/>
          <w:sz w:val="20"/>
          <w:szCs w:val="20"/>
        </w:rPr>
        <w:t>Section 399O of the Public Health Service Act (</w:t>
      </w:r>
      <w:hyperlink r:id="rId12" w:history="1">
        <w:r w:rsidRPr="00651825">
          <w:rPr>
            <w:rFonts w:eastAsia="Times New Roman" w:cstheme="minorHAnsi"/>
            <w:color w:val="3366CC"/>
            <w:sz w:val="20"/>
            <w:szCs w:val="20"/>
            <w:u w:val="single"/>
          </w:rPr>
          <w:t>42 U.S.C. 280g–3</w:t>
        </w:r>
      </w:hyperlink>
      <w:r w:rsidRPr="00651825">
        <w:rPr>
          <w:rFonts w:eastAsia="Times New Roman" w:cstheme="minorHAnsi"/>
          <w:color w:val="333333"/>
          <w:sz w:val="20"/>
          <w:szCs w:val="20"/>
        </w:rPr>
        <w:t>) is amended to read as follows:</w:t>
      </w:r>
    </w:p>
    <w:p w:rsidR="00651825" w:rsidRPr="00651825" w:rsidP="00A26C62" w14:paraId="46718D61" w14:textId="77777777">
      <w:pPr>
        <w:spacing w:before="100" w:beforeAutospacing="1" w:after="100" w:afterAutospacing="1" w:line="240" w:lineRule="auto"/>
        <w:ind w:left="480" w:hanging="480"/>
        <w:rPr>
          <w:rFonts w:eastAsia="Times New Roman" w:cstheme="minorHAnsi"/>
          <w:color w:val="333333"/>
          <w:sz w:val="20"/>
          <w:szCs w:val="20"/>
        </w:rPr>
      </w:pPr>
      <w:r w:rsidRPr="00651825">
        <w:rPr>
          <w:rFonts w:eastAsia="Times New Roman" w:cstheme="minorHAnsi"/>
          <w:b/>
          <w:bCs/>
          <w:color w:val="333333"/>
          <w:sz w:val="20"/>
          <w:szCs w:val="20"/>
        </w:rPr>
        <w:t xml:space="preserve">“SEC. 399O. </w:t>
      </w:r>
      <w:r w:rsidRPr="00651825">
        <w:rPr>
          <w:rFonts w:eastAsia="Times New Roman" w:cstheme="minorHAnsi"/>
          <w:b/>
          <w:bCs/>
          <w:caps/>
          <w:color w:val="333333"/>
          <w:sz w:val="20"/>
          <w:szCs w:val="20"/>
        </w:rPr>
        <w:t>Prescription drug monitoring program</w:t>
      </w:r>
      <w:r w:rsidRPr="00651825">
        <w:rPr>
          <w:rFonts w:eastAsia="Times New Roman" w:cstheme="minorHAnsi"/>
          <w:b/>
          <w:bCs/>
          <w:color w:val="333333"/>
          <w:sz w:val="20"/>
          <w:szCs w:val="20"/>
        </w:rPr>
        <w:t>.</w:t>
      </w:r>
    </w:p>
    <w:p w:rsidR="00651825" w:rsidRPr="00651825" w:rsidP="00A26C62" w14:paraId="0D499D48"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Program</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 </w:t>
      </w:r>
    </w:p>
    <w:p w:rsidR="00651825" w:rsidRPr="00651825" w:rsidP="0099323D" w14:paraId="5C237ADE"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w:t>
      </w:r>
      <w:r w:rsidRPr="00651825">
        <w:rPr>
          <w:rFonts w:eastAsia="Times New Roman" w:cstheme="minorHAnsi"/>
          <w:color w:val="333333"/>
          <w:sz w:val="20"/>
          <w:szCs w:val="20"/>
        </w:rPr>
        <w:t>GENERAL.—</w:t>
      </w:r>
      <w:r w:rsidRPr="00651825">
        <w:rPr>
          <w:rFonts w:eastAsia="Times New Roman" w:cstheme="minorHAnsi"/>
          <w:color w:val="333333"/>
          <w:sz w:val="20"/>
          <w:szCs w:val="20"/>
        </w:rPr>
        <w:t xml:space="preserve">Each fiscal year, the Secretary, acting through the Director of the Centers for Disease Control and Prevention, in coordination with the heads of other departments and agencies as appropriate, shall support States or localities for the purpose of improving the efficiency and use of PDMPs, including— </w:t>
      </w:r>
    </w:p>
    <w:p w:rsidR="008B4A67" w:rsidP="0099323D" w14:paraId="582D7AD4"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establishment and implem</w:t>
      </w:r>
      <w:r>
        <w:rPr>
          <w:rFonts w:eastAsia="Times New Roman" w:cstheme="minorHAnsi"/>
          <w:color w:val="333333"/>
          <w:sz w:val="20"/>
          <w:szCs w:val="20"/>
        </w:rPr>
        <w:t xml:space="preserve">entation of a </w:t>
      </w:r>
      <w:r>
        <w:rPr>
          <w:rFonts w:eastAsia="Times New Roman" w:cstheme="minorHAnsi"/>
          <w:color w:val="333333"/>
          <w:sz w:val="20"/>
          <w:szCs w:val="20"/>
        </w:rPr>
        <w:t>PDMP;</w:t>
      </w:r>
    </w:p>
    <w:p w:rsidR="00651825" w:rsidRPr="00651825" w:rsidP="008B4A67" w14:paraId="63CDEB3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“(B) maintenance of a </w:t>
      </w:r>
      <w:r w:rsidRPr="00651825">
        <w:rPr>
          <w:rFonts w:eastAsia="Times New Roman" w:cstheme="minorHAnsi"/>
          <w:color w:val="333333"/>
          <w:sz w:val="20"/>
          <w:szCs w:val="20"/>
        </w:rPr>
        <w:t>PDMP;</w:t>
      </w:r>
    </w:p>
    <w:p w:rsidR="00651825" w:rsidRPr="00651825" w:rsidP="008B4A67" w14:paraId="6DC63CED"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improvements to a PDMP by— </w:t>
      </w:r>
    </w:p>
    <w:p w:rsidR="00651825" w:rsidRPr="00651825" w:rsidP="008B4A67" w14:paraId="691C5205"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w:t>
      </w:r>
      <w:r w:rsidRPr="00651825">
        <w:rPr>
          <w:rFonts w:eastAsia="Times New Roman" w:cstheme="minorHAnsi"/>
          <w:color w:val="333333"/>
          <w:sz w:val="20"/>
          <w:szCs w:val="20"/>
        </w:rPr>
        <w:t>i</w:t>
      </w:r>
      <w:r w:rsidRPr="00651825">
        <w:rPr>
          <w:rFonts w:eastAsia="Times New Roman" w:cstheme="minorHAnsi"/>
          <w:color w:val="333333"/>
          <w:sz w:val="20"/>
          <w:szCs w:val="20"/>
        </w:rPr>
        <w:t xml:space="preserve">) enhancing functional components to work toward— </w:t>
      </w:r>
    </w:p>
    <w:p w:rsidR="008B4A67" w:rsidP="008B4A67" w14:paraId="7E8388D1"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universal use of PDMPs among providers and their delegates, to th</w:t>
      </w:r>
      <w:r>
        <w:rPr>
          <w:rFonts w:eastAsia="Times New Roman" w:cstheme="minorHAnsi"/>
          <w:color w:val="333333"/>
          <w:sz w:val="20"/>
          <w:szCs w:val="20"/>
        </w:rPr>
        <w:t xml:space="preserve">e extent that State laws </w:t>
      </w:r>
      <w:r>
        <w:rPr>
          <w:rFonts w:eastAsia="Times New Roman" w:cstheme="minorHAnsi"/>
          <w:color w:val="333333"/>
          <w:sz w:val="20"/>
          <w:szCs w:val="20"/>
        </w:rPr>
        <w:t>allow;</w:t>
      </w:r>
    </w:p>
    <w:p w:rsidR="00651825" w:rsidRPr="00651825" w:rsidP="008B4A67" w14:paraId="1724B58F"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 xml:space="preserve">“(II) more timely inclusion of data within a </w:t>
      </w:r>
      <w:r w:rsidRPr="00651825">
        <w:rPr>
          <w:rFonts w:eastAsia="Times New Roman" w:cstheme="minorHAnsi"/>
          <w:color w:val="333333"/>
          <w:sz w:val="20"/>
          <w:szCs w:val="20"/>
        </w:rPr>
        <w:t>PDMP;</w:t>
      </w:r>
    </w:p>
    <w:p w:rsidR="00651825" w:rsidRPr="00651825" w:rsidP="008B4A67" w14:paraId="7655FDB2"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“(III) active management of the PDMP, in part by sending proactive or unsolicited reports to providers to inform prescribing; and</w:t>
      </w:r>
    </w:p>
    <w:p w:rsidR="00651825" w:rsidRPr="00651825" w:rsidP="008B4A67" w14:paraId="5BF29232"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 xml:space="preserve">“(IV) ensuring the highest level of ease in use of and access to PDMPs by providers and their delegates, to the extent that State laws </w:t>
      </w:r>
      <w:r w:rsidRPr="00651825">
        <w:rPr>
          <w:rFonts w:eastAsia="Times New Roman" w:cstheme="minorHAnsi"/>
          <w:color w:val="333333"/>
          <w:sz w:val="20"/>
          <w:szCs w:val="20"/>
        </w:rPr>
        <w:t>allow;</w:t>
      </w:r>
    </w:p>
    <w:p w:rsidR="00651825" w:rsidRPr="00651825" w:rsidP="008B4A67" w14:paraId="03DF5DD0"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 in consultation with the Office of the National Coordinator for Health Information Technology, improving the intrastate interoperability of PDMPs by— </w:t>
      </w:r>
    </w:p>
    <w:p w:rsidR="00651825" w:rsidRPr="00651825" w:rsidP="008B4A67" w14:paraId="2B1E9947"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making PDMPs more actionable by integrating PDMPs within electronic health records and health information technology infrastructure; and</w:t>
      </w:r>
    </w:p>
    <w:p w:rsidR="00651825" w:rsidRPr="00651825" w:rsidP="008B4A67" w14:paraId="4FEB12C8"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 xml:space="preserve">“(II) linking PDMP data to other data systems within the State, including— </w:t>
      </w:r>
    </w:p>
    <w:p w:rsidR="00651825" w:rsidRPr="00651825" w:rsidP="008B4A67" w14:paraId="083C6245" w14:textId="7777777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 xml:space="preserve">“(aa) the data of pharmacy benefit managers, medical examiners and coroners, and the State’s Medicaid </w:t>
      </w:r>
      <w:r w:rsidRPr="00651825">
        <w:rPr>
          <w:rFonts w:eastAsia="Times New Roman" w:cstheme="minorHAnsi"/>
          <w:color w:val="333333"/>
          <w:sz w:val="20"/>
          <w:szCs w:val="20"/>
        </w:rPr>
        <w:t>program;</w:t>
      </w:r>
    </w:p>
    <w:p w:rsidR="00651825" w:rsidRPr="00651825" w:rsidP="008B4A67" w14:paraId="0F929BDB" w14:textId="7777777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“(bb) worker’s compensation data; and</w:t>
      </w:r>
    </w:p>
    <w:p w:rsidR="00651825" w:rsidRPr="00651825" w:rsidP="008B4A67" w14:paraId="0671C92C" w14:textId="7777777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 xml:space="preserve">“(cc) prescribing data of providers of the Department of Veterans Affairs and the Indian Health Service within the </w:t>
      </w:r>
      <w:r w:rsidRPr="00651825">
        <w:rPr>
          <w:rFonts w:eastAsia="Times New Roman" w:cstheme="minorHAnsi"/>
          <w:color w:val="333333"/>
          <w:sz w:val="20"/>
          <w:szCs w:val="20"/>
        </w:rPr>
        <w:t>State;</w:t>
      </w:r>
    </w:p>
    <w:p w:rsidR="00651825" w:rsidRPr="00651825" w:rsidP="00300058" w14:paraId="563F61B1"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“(iii) in consultation with the Office of the National Coordinator for Health Information Technology, improving the interstate interoperability of PDMPs through— </w:t>
      </w:r>
    </w:p>
    <w:p w:rsidR="00651825" w:rsidRPr="00651825" w:rsidP="00300058" w14:paraId="5893B2CB"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sharing of dispensing data in near-real time across State lines; and</w:t>
      </w:r>
    </w:p>
    <w:p w:rsidR="00651825" w:rsidRPr="00651825" w:rsidP="00300058" w14:paraId="353EFA60"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 integration of automated queries for multistate PDMP data and analytics into clinical workflow to improve the use of such data and analytics by practitioners and dispensers; or</w:t>
      </w:r>
    </w:p>
    <w:p w:rsidR="00651825" w:rsidRPr="00651825" w:rsidP="00300058" w14:paraId="4C180C8A"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“(iv) improving the ability to include treatment availability resources and referral capabilities within the PDMP.</w:t>
      </w:r>
    </w:p>
    <w:p w:rsidR="00651825" w:rsidRPr="00651825" w:rsidP="00300058" w14:paraId="51A5F7E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w:t>
      </w:r>
      <w:r w:rsidRPr="00651825">
        <w:rPr>
          <w:rFonts w:eastAsia="Times New Roman" w:cstheme="minorHAnsi"/>
          <w:color w:val="333333"/>
          <w:sz w:val="20"/>
          <w:szCs w:val="20"/>
        </w:rPr>
        <w:t>LEGISLATION.—</w:t>
      </w:r>
      <w:r w:rsidRPr="00651825">
        <w:rPr>
          <w:rFonts w:eastAsia="Times New Roman" w:cstheme="minorHAnsi"/>
          <w:color w:val="333333"/>
          <w:sz w:val="20"/>
          <w:szCs w:val="20"/>
        </w:rPr>
        <w:t xml:space="preserve">As a condition on the receipt of support under this section, the Secretary shall require a State or locality to demonstrate that it has enacted legislation or regulations— </w:t>
      </w:r>
    </w:p>
    <w:p w:rsidR="00651825" w:rsidRPr="00651825" w:rsidP="00300058" w14:paraId="672436B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provide for the implementation of the PDMP; and</w:t>
      </w:r>
    </w:p>
    <w:p w:rsidR="00651825" w:rsidP="00300058" w14:paraId="7354674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to permit the imposition of appropriate penalties for the unauthorized use and disclosure of information maintained by the PDMP.</w:t>
      </w:r>
    </w:p>
    <w:p w:rsidR="00651825" w:rsidRPr="00651825" w:rsidP="003271B9" w14:paraId="080B8D67"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 xml:space="preserve">PDMP </w:t>
      </w:r>
      <w:r w:rsidRPr="00651825">
        <w:rPr>
          <w:rFonts w:eastAsia="Times New Roman" w:cstheme="minorHAnsi"/>
          <w:smallCaps/>
          <w:color w:val="333333"/>
          <w:spacing w:val="20"/>
          <w:sz w:val="20"/>
          <w:szCs w:val="20"/>
        </w:rPr>
        <w:t>strategies</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The Secretary shall encourage a State or locality, in establishing, improving, or maintaining a PDMP, to implement strategies that improve— </w:t>
      </w:r>
    </w:p>
    <w:p w:rsidR="00651825" w:rsidRPr="00651825" w:rsidP="003271B9" w14:paraId="3E3C644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the reporting of dispensing in the State or locality of a controlled substance to an ultimate user so the reporting occurs not later than 24 hours after the dispensing </w:t>
      </w:r>
      <w:r w:rsidRPr="00651825">
        <w:rPr>
          <w:rFonts w:eastAsia="Times New Roman" w:cstheme="minorHAnsi"/>
          <w:color w:val="333333"/>
          <w:sz w:val="20"/>
          <w:szCs w:val="20"/>
        </w:rPr>
        <w:t>event;</w:t>
      </w:r>
    </w:p>
    <w:p w:rsidR="00651825" w:rsidRPr="00651825" w:rsidP="003271B9" w14:paraId="2DE02361"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the consultation of the PDMP by each prescribing practitioner, or their designee, in the State or locality before initiating treatment with a controlled substance, or any substance as required by the State to be reported to the PDMP, and over the course of ongoing treatment for each prescribing </w:t>
      </w:r>
      <w:r w:rsidRPr="00651825">
        <w:rPr>
          <w:rFonts w:eastAsia="Times New Roman" w:cstheme="minorHAnsi"/>
          <w:color w:val="333333"/>
          <w:sz w:val="20"/>
          <w:szCs w:val="20"/>
        </w:rPr>
        <w:t>event;</w:t>
      </w:r>
    </w:p>
    <w:p w:rsidR="00651825" w:rsidRPr="00651825" w:rsidP="003271B9" w14:paraId="0ABA186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“(3) the consultation of the PDMP before dispensing a controlled substance, or any substance as required by the State to be reported to the </w:t>
      </w:r>
      <w:r w:rsidRPr="00651825">
        <w:rPr>
          <w:rFonts w:eastAsia="Times New Roman" w:cstheme="minorHAnsi"/>
          <w:color w:val="333333"/>
          <w:sz w:val="20"/>
          <w:szCs w:val="20"/>
        </w:rPr>
        <w:t>PDMP;</w:t>
      </w:r>
    </w:p>
    <w:p w:rsidR="00651825" w:rsidRPr="00651825" w:rsidP="003271B9" w14:paraId="204805C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“(4) the proactive notification to a practitioner when patterns indicative of controlled substance misuse by a patient, including opioid misuse, are </w:t>
      </w:r>
      <w:r w:rsidRPr="00651825">
        <w:rPr>
          <w:rFonts w:eastAsia="Times New Roman" w:cstheme="minorHAnsi"/>
          <w:color w:val="333333"/>
          <w:sz w:val="20"/>
          <w:szCs w:val="20"/>
        </w:rPr>
        <w:t>detected;</w:t>
      </w:r>
    </w:p>
    <w:p w:rsidR="00651825" w:rsidRPr="00651825" w:rsidP="003271B9" w14:paraId="0612B0FC"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“(5) the availability of data in the PDMP to other States, as allowable under State law; and</w:t>
      </w:r>
    </w:p>
    <w:p w:rsidR="00651825" w:rsidP="003271B9" w14:paraId="161C7988"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“(6) the availability of nonidentifiable information to the Centers for Disease Control and Prevention for surveillance, epidemiology, statistical research, or educational purposes.</w:t>
      </w:r>
    </w:p>
    <w:p w:rsidR="003271B9" w:rsidP="003271B9" w14:paraId="5D6F22E8" w14:textId="77777777">
      <w:pPr>
        <w:spacing w:after="0" w:line="240" w:lineRule="auto"/>
        <w:ind w:left="480" w:firstLine="480"/>
        <w:rPr>
          <w:rFonts w:eastAsia="Times New Roman" w:cstheme="minorHAnsi"/>
          <w:color w:val="333333"/>
          <w:sz w:val="20"/>
          <w:szCs w:val="20"/>
        </w:rPr>
      </w:pPr>
    </w:p>
    <w:p w:rsidR="00651825" w:rsidRPr="00651825" w:rsidP="003271B9" w14:paraId="0B9B0995"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“(c) </w:t>
      </w:r>
      <w:r w:rsidRPr="00651825">
        <w:rPr>
          <w:rFonts w:eastAsia="Times New Roman" w:cstheme="minorHAnsi"/>
          <w:smallCaps/>
          <w:color w:val="333333"/>
          <w:spacing w:val="20"/>
          <w:sz w:val="20"/>
          <w:szCs w:val="20"/>
        </w:rPr>
        <w:t xml:space="preserve">Drug misuse and </w:t>
      </w:r>
      <w:r w:rsidRPr="00651825">
        <w:rPr>
          <w:rFonts w:eastAsia="Times New Roman" w:cstheme="minorHAnsi"/>
          <w:smallCaps/>
          <w:color w:val="333333"/>
          <w:spacing w:val="20"/>
          <w:sz w:val="20"/>
          <w:szCs w:val="20"/>
        </w:rPr>
        <w:t>abuse</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In consultation with practitioners, dispensers, and other relevant and interested stakeholders, a State receiving support under this section— </w:t>
      </w:r>
    </w:p>
    <w:p w:rsidR="00651825" w:rsidRPr="00651825" w:rsidP="003271B9" w14:paraId="55CB50CD"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shall establish a program to notify practitioners and dispensers of information that will help to identify and prevent the unlawful diversion or misuse of controlled </w:t>
      </w:r>
      <w:r w:rsidRPr="00651825">
        <w:rPr>
          <w:rFonts w:eastAsia="Times New Roman" w:cstheme="minorHAnsi"/>
          <w:color w:val="333333"/>
          <w:sz w:val="20"/>
          <w:szCs w:val="20"/>
        </w:rPr>
        <w:t>substances;</w:t>
      </w:r>
      <w:r w:rsidRPr="00651825">
        <w:rPr>
          <w:rFonts w:eastAsia="Times New Roman" w:cstheme="minorHAnsi"/>
          <w:color w:val="333333"/>
          <w:sz w:val="20"/>
          <w:szCs w:val="20"/>
        </w:rPr>
        <w:t xml:space="preserve"> </w:t>
      </w:r>
    </w:p>
    <w:p w:rsidR="00651825" w:rsidRPr="00651825" w:rsidP="003271B9" w14:paraId="73E7A0BC"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may, to the extent permitted under State law, notify the appropriate authorities responsible for carrying out drug diversion investigations if the State determines that information in the PDMP maintained by the State indicates an unlawful diversion or abuse of a controlled </w:t>
      </w:r>
      <w:r w:rsidRPr="00651825">
        <w:rPr>
          <w:rFonts w:eastAsia="Times New Roman" w:cstheme="minorHAnsi"/>
          <w:color w:val="333333"/>
          <w:sz w:val="20"/>
          <w:szCs w:val="20"/>
        </w:rPr>
        <w:t>substance;</w:t>
      </w:r>
      <w:r w:rsidRPr="00651825">
        <w:rPr>
          <w:rFonts w:eastAsia="Times New Roman" w:cstheme="minorHAnsi"/>
          <w:color w:val="333333"/>
          <w:sz w:val="20"/>
          <w:szCs w:val="20"/>
        </w:rPr>
        <w:t xml:space="preserve"> </w:t>
      </w:r>
    </w:p>
    <w:p w:rsidR="00651825" w:rsidRPr="00651825" w:rsidP="003271B9" w14:paraId="180E4B74"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may conduct analyses of controlled substance program data for purposes of providing appropriate State agencies with aggregate reports based on such analyses in as close to real-time as practicable, regarding prescription patterns flagged as potentially presenting a risk of misuse, abuse, addiction, overdose, and other aggregate information, as appropriate and in compliance with applicable Federal and State laws and provided that such reports shall not include protected health information; and</w:t>
      </w:r>
    </w:p>
    <w:p w:rsidR="00651825" w:rsidP="003271B9" w14:paraId="77715E0E"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may access information about prescriptions, such as claims data, to ensure that such prescribing and dispensing history is updated in as close to real-time as practicable, in compliance with applicable Federal and State laws and provided that such information shall not include protected health information.</w:t>
      </w:r>
    </w:p>
    <w:p w:rsidR="00651825" w:rsidRPr="00651825" w:rsidP="00A26C62" w14:paraId="533232C6"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“(d) </w:t>
      </w:r>
      <w:r w:rsidRPr="00651825">
        <w:rPr>
          <w:rFonts w:eastAsia="Times New Roman" w:cstheme="minorHAnsi"/>
          <w:smallCaps/>
          <w:color w:val="333333"/>
          <w:spacing w:val="20"/>
          <w:sz w:val="20"/>
          <w:szCs w:val="20"/>
        </w:rPr>
        <w:t>Evaluation and reporting</w:t>
      </w:r>
      <w:r w:rsidRPr="00651825">
        <w:rPr>
          <w:rFonts w:eastAsia="Times New Roman" w:cstheme="minorHAnsi"/>
          <w:color w:val="333333"/>
          <w:sz w:val="20"/>
          <w:szCs w:val="20"/>
        </w:rPr>
        <w:t>.—As a condition on receipt of support under this section, the State shall report on interoperability with PDMPs of other States and Federal agencies, where appropriate, intrastate interoperability with health information technology systems such as electronic health records, health information exchanges, and e-prescribing, where appropriate, and whether or not the State provides automatic, up-to-date, or daily information about a patient when a practitioner (or the designee of a practitioner, where permitted) requests information about such patient.</w:t>
      </w:r>
    </w:p>
    <w:p w:rsidR="00651825" w:rsidRPr="00651825" w:rsidP="003271B9" w14:paraId="47D2C127"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“(e) </w:t>
      </w:r>
      <w:r w:rsidRPr="00651825">
        <w:rPr>
          <w:rFonts w:eastAsia="Times New Roman" w:cstheme="minorHAnsi"/>
          <w:smallCaps/>
          <w:color w:val="333333"/>
          <w:spacing w:val="20"/>
          <w:sz w:val="20"/>
          <w:szCs w:val="20"/>
        </w:rPr>
        <w:t xml:space="preserve">Evaluation and </w:t>
      </w:r>
      <w:r w:rsidRPr="00651825">
        <w:rPr>
          <w:rFonts w:eastAsia="Times New Roman" w:cstheme="minorHAnsi"/>
          <w:smallCaps/>
          <w:color w:val="333333"/>
          <w:spacing w:val="20"/>
          <w:sz w:val="20"/>
          <w:szCs w:val="20"/>
        </w:rPr>
        <w:t>reporting</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A State receiving support under this section shall provide the Secretary with aggregate nonidentifiable information, as permitted by State law, to enable the Secretary— </w:t>
      </w:r>
    </w:p>
    <w:p w:rsidR="00651825" w:rsidRPr="00651825" w:rsidP="003271B9" w14:paraId="7B48CC3B"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to evaluate the success of the State’s program in achieving the purpose described in subsection (a); or</w:t>
      </w:r>
    </w:p>
    <w:p w:rsidR="00651825" w:rsidP="003271B9" w14:paraId="32CFF62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to prepare and submit to the Congress the report required by subsection (</w:t>
      </w:r>
      <w:r w:rsidRPr="00651825">
        <w:rPr>
          <w:rFonts w:eastAsia="Times New Roman" w:cstheme="minorHAnsi"/>
          <w:color w:val="333333"/>
          <w:sz w:val="20"/>
          <w:szCs w:val="20"/>
        </w:rPr>
        <w:t>i</w:t>
      </w:r>
      <w:r w:rsidRPr="00651825">
        <w:rPr>
          <w:rFonts w:eastAsia="Times New Roman" w:cstheme="minorHAnsi"/>
          <w:color w:val="333333"/>
          <w:sz w:val="20"/>
          <w:szCs w:val="20"/>
        </w:rPr>
        <w:t>)(2).</w:t>
      </w:r>
    </w:p>
    <w:p w:rsidR="003271B9" w:rsidRPr="00651825" w:rsidP="003271B9" w14:paraId="6F244190" w14:textId="77777777">
      <w:pPr>
        <w:spacing w:after="0" w:line="240" w:lineRule="auto"/>
        <w:ind w:left="480" w:firstLine="480"/>
        <w:rPr>
          <w:rFonts w:eastAsia="Times New Roman" w:cstheme="minorHAnsi"/>
          <w:color w:val="333333"/>
          <w:sz w:val="20"/>
          <w:szCs w:val="20"/>
        </w:rPr>
      </w:pPr>
    </w:p>
    <w:p w:rsidR="00651825" w:rsidRPr="00651825" w:rsidP="003271B9" w14:paraId="5CF41F02"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“(f) </w:t>
      </w:r>
      <w:r w:rsidRPr="00651825">
        <w:rPr>
          <w:rFonts w:eastAsia="Times New Roman" w:cstheme="minorHAnsi"/>
          <w:smallCaps/>
          <w:color w:val="333333"/>
          <w:spacing w:val="20"/>
          <w:sz w:val="20"/>
          <w:szCs w:val="20"/>
        </w:rPr>
        <w:t xml:space="preserve">Education and access to the monitoring </w:t>
      </w:r>
      <w:r w:rsidRPr="00651825">
        <w:rPr>
          <w:rFonts w:eastAsia="Times New Roman" w:cstheme="minorHAnsi"/>
          <w:smallCaps/>
          <w:color w:val="333333"/>
          <w:spacing w:val="20"/>
          <w:sz w:val="20"/>
          <w:szCs w:val="20"/>
        </w:rPr>
        <w:t>system</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A State receiving support under this section shall take steps to— </w:t>
      </w:r>
    </w:p>
    <w:p w:rsidR="00651825" w:rsidRPr="00651825" w:rsidP="003271B9" w14:paraId="1C566692"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facilitate prescribers and dispensers, and their delegates, as permitted by State law, to use the PDMP, to the extent practicable; and</w:t>
      </w:r>
    </w:p>
    <w:p w:rsidR="00651825" w:rsidRPr="00651825" w:rsidP="003271B9" w14:paraId="39A9B68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educate prescribers and dispensers, and their delegates on the benefits of the use of PDMPs.</w:t>
      </w:r>
    </w:p>
    <w:p w:rsidR="00651825" w:rsidRPr="00651825" w:rsidP="00A26C62" w14:paraId="3ECBF118"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“(g) </w:t>
      </w:r>
      <w:r w:rsidRPr="00651825">
        <w:rPr>
          <w:rFonts w:eastAsia="Times New Roman" w:cstheme="minorHAnsi"/>
          <w:smallCaps/>
          <w:color w:val="333333"/>
          <w:spacing w:val="20"/>
          <w:sz w:val="20"/>
          <w:szCs w:val="20"/>
        </w:rPr>
        <w:t xml:space="preserve">Electronic </w:t>
      </w:r>
      <w:r w:rsidRPr="00651825">
        <w:rPr>
          <w:rFonts w:eastAsia="Times New Roman" w:cstheme="minorHAnsi"/>
          <w:smallCaps/>
          <w:color w:val="333333"/>
          <w:spacing w:val="20"/>
          <w:sz w:val="20"/>
          <w:szCs w:val="20"/>
        </w:rPr>
        <w:t>format</w:t>
      </w:r>
      <w:r w:rsidRPr="00651825">
        <w:rPr>
          <w:rFonts w:eastAsia="Times New Roman" w:cstheme="minorHAnsi"/>
          <w:color w:val="333333"/>
          <w:sz w:val="20"/>
          <w:szCs w:val="20"/>
        </w:rPr>
        <w:t>.—</w:t>
      </w:r>
      <w:r w:rsidRPr="00651825">
        <w:rPr>
          <w:rFonts w:eastAsia="Times New Roman" w:cstheme="minorHAnsi"/>
          <w:color w:val="333333"/>
          <w:sz w:val="20"/>
          <w:szCs w:val="20"/>
        </w:rPr>
        <w:t>The Secretary may issue guidelines specifying a uniform electronic format for the reporting, sharing, and disclosure of information pursuant to PDMPs. To the extent possible, such guidelines shall be consistent with standards recognized by the Office of the National Coordinator for Health Information Technology.</w:t>
      </w:r>
    </w:p>
    <w:p w:rsidR="00651825" w:rsidRPr="00651825" w:rsidP="00A26C62" w14:paraId="30ED0B53"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“(h) </w:t>
      </w:r>
      <w:r w:rsidRPr="00651825">
        <w:rPr>
          <w:rFonts w:eastAsia="Times New Roman" w:cstheme="minorHAnsi"/>
          <w:smallCaps/>
          <w:color w:val="333333"/>
          <w:spacing w:val="20"/>
          <w:sz w:val="20"/>
          <w:szCs w:val="20"/>
        </w:rPr>
        <w:t xml:space="preserve">Rules of </w:t>
      </w:r>
      <w:r w:rsidRPr="00651825">
        <w:rPr>
          <w:rFonts w:eastAsia="Times New Roman" w:cstheme="minorHAnsi"/>
          <w:smallCaps/>
          <w:color w:val="333333"/>
          <w:spacing w:val="20"/>
          <w:sz w:val="20"/>
          <w:szCs w:val="20"/>
        </w:rPr>
        <w:t>construction</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 </w:t>
      </w:r>
    </w:p>
    <w:p w:rsidR="00651825" w:rsidRPr="00651825" w:rsidP="00E14278" w14:paraId="10D82E52"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FUNCTIONS OTHERWISE AUTHORIZED BY </w:t>
      </w:r>
      <w:r w:rsidRPr="00651825">
        <w:rPr>
          <w:rFonts w:eastAsia="Times New Roman" w:cstheme="minorHAnsi"/>
          <w:color w:val="333333"/>
          <w:sz w:val="20"/>
          <w:szCs w:val="20"/>
        </w:rPr>
        <w:t>LAW.—</w:t>
      </w:r>
      <w:r w:rsidRPr="00651825">
        <w:rPr>
          <w:rFonts w:eastAsia="Times New Roman" w:cstheme="minorHAnsi"/>
          <w:color w:val="333333"/>
          <w:sz w:val="20"/>
          <w:szCs w:val="20"/>
        </w:rPr>
        <w:t>Nothing in this section shall be construed to restrict the ability of any authority, including any local, State, or Federal law enforcement, narcotics control, licensure, disciplinary, or program authority, to perform functions otherwise authorized by law.</w:t>
      </w:r>
    </w:p>
    <w:p w:rsidR="00651825" w:rsidRPr="00651825" w:rsidP="00E14278" w14:paraId="5075B7FC"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ADDITIONAL PRIVACY </w:t>
      </w:r>
      <w:r w:rsidRPr="00651825">
        <w:rPr>
          <w:rFonts w:eastAsia="Times New Roman" w:cstheme="minorHAnsi"/>
          <w:color w:val="333333"/>
          <w:sz w:val="20"/>
          <w:szCs w:val="20"/>
        </w:rPr>
        <w:t>PROTECTIONS.—</w:t>
      </w:r>
      <w:r w:rsidRPr="00651825">
        <w:rPr>
          <w:rFonts w:eastAsia="Times New Roman" w:cstheme="minorHAnsi"/>
          <w:color w:val="333333"/>
          <w:sz w:val="20"/>
          <w:szCs w:val="20"/>
        </w:rPr>
        <w:t>Nothing in this section shall be construed as preempting any State from imposing any additional privacy protections.</w:t>
      </w:r>
    </w:p>
    <w:p w:rsidR="00651825" w:rsidRPr="00651825" w:rsidP="00E14278" w14:paraId="4F20213A"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FEDERAL PRIVACY REQUIREMENTS.—Nothing in this section shall be construed to supersede any Federal privacy or confidentiality requirement, including the regulations promulgated under section 264(c) of the Health Insurance Portability and Accountability Act of 1996 (</w:t>
      </w:r>
      <w:hyperlink r:id="rId13" w:history="1">
        <w:r w:rsidRPr="00651825">
          <w:rPr>
            <w:rFonts w:eastAsia="Times New Roman" w:cstheme="minorHAnsi"/>
            <w:color w:val="3366CC"/>
            <w:sz w:val="20"/>
            <w:szCs w:val="20"/>
            <w:u w:val="single"/>
          </w:rPr>
          <w:t>Public Law 104–191</w:t>
        </w:r>
      </w:hyperlink>
      <w:r w:rsidRPr="00651825">
        <w:rPr>
          <w:rFonts w:eastAsia="Times New Roman" w:cstheme="minorHAnsi"/>
          <w:color w:val="333333"/>
          <w:sz w:val="20"/>
          <w:szCs w:val="20"/>
        </w:rPr>
        <w:t>; 110 Stat. 2033) and section 543 of this Act.</w:t>
      </w:r>
    </w:p>
    <w:p w:rsidR="00651825" w:rsidP="00E14278" w14:paraId="1EA79061"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“(4) NO FEDERAL PRIVATE CAUSE OF </w:t>
      </w:r>
      <w:r w:rsidRPr="00651825">
        <w:rPr>
          <w:rFonts w:eastAsia="Times New Roman" w:cstheme="minorHAnsi"/>
          <w:color w:val="333333"/>
          <w:sz w:val="20"/>
          <w:szCs w:val="20"/>
        </w:rPr>
        <w:t>ACTION.—</w:t>
      </w:r>
      <w:r w:rsidRPr="00651825">
        <w:rPr>
          <w:rFonts w:eastAsia="Times New Roman" w:cstheme="minorHAnsi"/>
          <w:color w:val="333333"/>
          <w:sz w:val="20"/>
          <w:szCs w:val="20"/>
        </w:rPr>
        <w:t>Nothing in this section shall be construed to create a Federal private cause of action.</w:t>
      </w:r>
    </w:p>
    <w:p w:rsidR="00651825" w:rsidRPr="00651825" w:rsidP="00A26C62" w14:paraId="1D5A98B4"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w:t>
      </w:r>
      <w:r w:rsidRPr="00651825">
        <w:rPr>
          <w:rFonts w:eastAsia="Times New Roman" w:cstheme="minorHAnsi"/>
          <w:color w:val="333333"/>
          <w:sz w:val="20"/>
          <w:szCs w:val="20"/>
        </w:rPr>
        <w:t>i</w:t>
      </w:r>
      <w:r w:rsidRPr="00651825">
        <w:rPr>
          <w:rFonts w:eastAsia="Times New Roman" w:cstheme="minorHAnsi"/>
          <w:color w:val="333333"/>
          <w:sz w:val="20"/>
          <w:szCs w:val="20"/>
        </w:rPr>
        <w:t xml:space="preserve">) </w:t>
      </w:r>
      <w:r w:rsidRPr="00651825">
        <w:rPr>
          <w:rFonts w:eastAsia="Times New Roman" w:cstheme="minorHAnsi"/>
          <w:smallCaps/>
          <w:color w:val="333333"/>
          <w:spacing w:val="20"/>
          <w:sz w:val="20"/>
          <w:szCs w:val="20"/>
        </w:rPr>
        <w:t xml:space="preserve">Progress </w:t>
      </w:r>
      <w:r w:rsidRPr="00651825">
        <w:rPr>
          <w:rFonts w:eastAsia="Times New Roman" w:cstheme="minorHAnsi"/>
          <w:smallCaps/>
          <w:color w:val="333333"/>
          <w:spacing w:val="20"/>
          <w:sz w:val="20"/>
          <w:szCs w:val="20"/>
        </w:rPr>
        <w:t>report</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Not later than 3 years after the date of enactment of this section, the Secretary shall— </w:t>
      </w:r>
    </w:p>
    <w:p w:rsidR="00651825" w:rsidRPr="00651825" w:rsidP="00E14278" w14:paraId="37A10576"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complete a study that— </w:t>
      </w:r>
    </w:p>
    <w:p w:rsidR="00651825" w:rsidRPr="00651825" w:rsidP="00E14278" w14:paraId="375B5210"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“(A) determines the progress of grantees in establishing and implementing PDMPs consistent with this </w:t>
      </w:r>
      <w:r w:rsidRPr="00651825">
        <w:rPr>
          <w:rFonts w:eastAsia="Times New Roman" w:cstheme="minorHAnsi"/>
          <w:color w:val="333333"/>
          <w:sz w:val="20"/>
          <w:szCs w:val="20"/>
        </w:rPr>
        <w:t>section;</w:t>
      </w:r>
    </w:p>
    <w:p w:rsidR="00651825" w:rsidRPr="00651825" w:rsidP="00E14278" w14:paraId="4568139E"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“(B) provides an analysis of the extent to which the operation of PDMPs has— </w:t>
      </w:r>
    </w:p>
    <w:p w:rsidR="00651825" w:rsidRPr="00651825" w:rsidP="00E14278" w14:paraId="44C56C24"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w:t>
      </w:r>
      <w:r w:rsidRPr="00651825">
        <w:rPr>
          <w:rFonts w:eastAsia="Times New Roman" w:cstheme="minorHAnsi"/>
          <w:color w:val="333333"/>
          <w:sz w:val="20"/>
          <w:szCs w:val="20"/>
        </w:rPr>
        <w:t>i</w:t>
      </w:r>
      <w:r w:rsidRPr="00651825">
        <w:rPr>
          <w:rFonts w:eastAsia="Times New Roman" w:cstheme="minorHAnsi"/>
          <w:color w:val="333333"/>
          <w:sz w:val="20"/>
          <w:szCs w:val="20"/>
        </w:rPr>
        <w:t xml:space="preserve">) reduced inappropriate use, abuse, diversion of, and overdose with, controlled </w:t>
      </w:r>
      <w:r w:rsidRPr="00651825">
        <w:rPr>
          <w:rFonts w:eastAsia="Times New Roman" w:cstheme="minorHAnsi"/>
          <w:color w:val="333333"/>
          <w:sz w:val="20"/>
          <w:szCs w:val="20"/>
        </w:rPr>
        <w:t>substances;</w:t>
      </w:r>
    </w:p>
    <w:p w:rsidR="00651825" w:rsidRPr="00651825" w:rsidP="00E14278" w14:paraId="64D26F74"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 established or strengthened initiatives to ensure linkages to substance use disorder treatment services; or</w:t>
      </w:r>
    </w:p>
    <w:p w:rsidR="00651825" w:rsidRPr="00651825" w:rsidP="00E14278" w14:paraId="780A8ED4"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“(iii) affected patient access to appropriate care in States operating </w:t>
      </w:r>
      <w:r w:rsidRPr="00651825">
        <w:rPr>
          <w:rFonts w:eastAsia="Times New Roman" w:cstheme="minorHAnsi"/>
          <w:color w:val="333333"/>
          <w:sz w:val="20"/>
          <w:szCs w:val="20"/>
        </w:rPr>
        <w:t>PDMPs;</w:t>
      </w:r>
    </w:p>
    <w:p w:rsidR="00651825" w:rsidRPr="00651825" w:rsidP="00E14278" w14:paraId="4816451D"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determine the progress of grantees in achieving interstate interoperability and intrastate interoperability of PDMPs, including an assessment of technical, legal, and financial barriers to such progress and recommendations for addressing these </w:t>
      </w:r>
      <w:r w:rsidRPr="00651825">
        <w:rPr>
          <w:rFonts w:eastAsia="Times New Roman" w:cstheme="minorHAnsi"/>
          <w:color w:val="333333"/>
          <w:sz w:val="20"/>
          <w:szCs w:val="20"/>
        </w:rPr>
        <w:t>barriers;</w:t>
      </w:r>
    </w:p>
    <w:p w:rsidR="00651825" w:rsidRPr="00651825" w:rsidP="00E14278" w14:paraId="19664B2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“(D) determines the progress of grantees in implementing near real-time electronic </w:t>
      </w:r>
      <w:r w:rsidRPr="00651825">
        <w:rPr>
          <w:rFonts w:eastAsia="Times New Roman" w:cstheme="minorHAnsi"/>
          <w:color w:val="333333"/>
          <w:sz w:val="20"/>
          <w:szCs w:val="20"/>
        </w:rPr>
        <w:t>PDMPs;</w:t>
      </w:r>
    </w:p>
    <w:p w:rsidR="00651825" w:rsidRPr="00651825" w:rsidP="00E14278" w14:paraId="045E7E1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“(E) provides an analysis of the privacy protections in place for the information reported to the PDMP in each State or locality receiving support under this section and any recommendations of the Secretary for additional Federal or State requirements for protection of this </w:t>
      </w:r>
      <w:r w:rsidRPr="00651825">
        <w:rPr>
          <w:rFonts w:eastAsia="Times New Roman" w:cstheme="minorHAnsi"/>
          <w:color w:val="333333"/>
          <w:sz w:val="20"/>
          <w:szCs w:val="20"/>
        </w:rPr>
        <w:t>information;</w:t>
      </w:r>
    </w:p>
    <w:p w:rsidR="00651825" w:rsidRPr="00651825" w:rsidP="00E14278" w14:paraId="381857E1"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determines the progress of States or localities in implementing technological alternatives to centralized data storage, such as peer-to-peer file sharing or data pointer systems, in PDMPs and the potential for such alternatives to enhance the privacy and security of individually identifiable data; and</w:t>
      </w:r>
    </w:p>
    <w:p w:rsidR="00651825" w:rsidRPr="00651825" w:rsidP="00E14278" w14:paraId="18F02191"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“(G) evaluates the penalties that States or localities have enacted for the unauthorized use and disclosure of information maintained in PDMPs, and the criteria used by the Secretary to determine whether such penalties qualify as appropriate for purposes of subsection (a)(2); and</w:t>
      </w:r>
    </w:p>
    <w:p w:rsidR="00651825" w:rsidP="00E14278" w14:paraId="4F446E73"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submit a report to the Congress on the results of the study.</w:t>
      </w:r>
    </w:p>
    <w:p w:rsidR="00C92EF1" w:rsidP="00E14278" w14:paraId="0F4E0327" w14:textId="77777777">
      <w:pPr>
        <w:spacing w:after="0" w:line="240" w:lineRule="auto"/>
        <w:ind w:left="480" w:firstLine="480"/>
        <w:rPr>
          <w:rFonts w:eastAsia="Times New Roman" w:cstheme="minorHAnsi"/>
          <w:color w:val="333333"/>
          <w:sz w:val="20"/>
          <w:szCs w:val="20"/>
        </w:rPr>
      </w:pPr>
    </w:p>
    <w:p w:rsidR="00651825" w:rsidRPr="00651825" w:rsidP="00C92EF1" w14:paraId="3EDBACAF"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“(j) </w:t>
      </w:r>
      <w:r w:rsidRPr="00651825">
        <w:rPr>
          <w:rFonts w:eastAsia="Times New Roman" w:cstheme="minorHAnsi"/>
          <w:smallCaps/>
          <w:color w:val="333333"/>
          <w:spacing w:val="20"/>
          <w:sz w:val="20"/>
          <w:szCs w:val="20"/>
        </w:rPr>
        <w:t xml:space="preserve">Advisory </w:t>
      </w:r>
      <w:r w:rsidRPr="00651825">
        <w:rPr>
          <w:rFonts w:eastAsia="Times New Roman" w:cstheme="minorHAnsi"/>
          <w:smallCaps/>
          <w:color w:val="333333"/>
          <w:spacing w:val="20"/>
          <w:sz w:val="20"/>
          <w:szCs w:val="20"/>
        </w:rPr>
        <w:t>council</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 </w:t>
      </w:r>
    </w:p>
    <w:p w:rsidR="00651825" w:rsidRPr="00651825" w:rsidP="00C92EF1" w14:paraId="0C7C944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w:t>
      </w:r>
      <w:r w:rsidRPr="00651825">
        <w:rPr>
          <w:rFonts w:eastAsia="Times New Roman" w:cstheme="minorHAnsi"/>
          <w:color w:val="333333"/>
          <w:sz w:val="20"/>
          <w:szCs w:val="20"/>
        </w:rPr>
        <w:t>ESTABLISHMENT.—</w:t>
      </w:r>
      <w:r w:rsidRPr="00651825">
        <w:rPr>
          <w:rFonts w:eastAsia="Times New Roman" w:cstheme="minorHAnsi"/>
          <w:color w:val="333333"/>
          <w:sz w:val="20"/>
          <w:szCs w:val="20"/>
        </w:rPr>
        <w:t>A State or locality may establish an advisory council to assist in the establishment, improvement, or maintenance of a PDMP consistent with this section.</w:t>
      </w:r>
    </w:p>
    <w:p w:rsidR="00651825" w:rsidRPr="00651825" w:rsidP="00C92EF1" w14:paraId="22517EC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w:t>
      </w:r>
      <w:r w:rsidRPr="00651825">
        <w:rPr>
          <w:rFonts w:eastAsia="Times New Roman" w:cstheme="minorHAnsi"/>
          <w:color w:val="333333"/>
          <w:sz w:val="20"/>
          <w:szCs w:val="20"/>
        </w:rPr>
        <w:t>LIMITATION.—</w:t>
      </w:r>
      <w:r w:rsidRPr="00651825">
        <w:rPr>
          <w:rFonts w:eastAsia="Times New Roman" w:cstheme="minorHAnsi"/>
          <w:color w:val="333333"/>
          <w:sz w:val="20"/>
          <w:szCs w:val="20"/>
        </w:rPr>
        <w:t>A State or locality may not use Federal funds for the operations of an advisory council to assist in the establishment, improvement, or maintenance of a PDMP.</w:t>
      </w:r>
    </w:p>
    <w:p w:rsidR="00651825" w:rsidP="00C92EF1" w14:paraId="2B794BF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“(3) SENSE OF </w:t>
      </w:r>
      <w:r w:rsidRPr="00651825">
        <w:rPr>
          <w:rFonts w:eastAsia="Times New Roman" w:cstheme="minorHAnsi"/>
          <w:color w:val="333333"/>
          <w:sz w:val="20"/>
          <w:szCs w:val="20"/>
        </w:rPr>
        <w:t>CONGRESS.—</w:t>
      </w:r>
      <w:r w:rsidRPr="00651825">
        <w:rPr>
          <w:rFonts w:eastAsia="Times New Roman" w:cstheme="minorHAnsi"/>
          <w:color w:val="333333"/>
          <w:sz w:val="20"/>
          <w:szCs w:val="20"/>
        </w:rPr>
        <w:t>It is the sense of the Congress that, in establishing an advisory council to assist in the establishment, improvement, or maintenance of a PDMP, a State or locality should consult with appropriate professional boards and other interested parties.</w:t>
      </w:r>
    </w:p>
    <w:p w:rsidR="00857C19" w:rsidP="00C92EF1" w14:paraId="676535D9" w14:textId="77777777">
      <w:pPr>
        <w:spacing w:after="0" w:line="240" w:lineRule="auto"/>
        <w:ind w:left="480" w:firstLine="480"/>
        <w:rPr>
          <w:rFonts w:eastAsia="Times New Roman" w:cstheme="minorHAnsi"/>
          <w:color w:val="333333"/>
          <w:sz w:val="20"/>
          <w:szCs w:val="20"/>
        </w:rPr>
      </w:pPr>
    </w:p>
    <w:p w:rsidR="00651825" w:rsidRPr="00651825" w:rsidP="00C92EF1" w14:paraId="30CFB939"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“(k) </w:t>
      </w:r>
      <w:r w:rsidRPr="00651825">
        <w:rPr>
          <w:rFonts w:eastAsia="Times New Roman" w:cstheme="minorHAnsi"/>
          <w:smallCaps/>
          <w:color w:val="333333"/>
          <w:spacing w:val="20"/>
          <w:sz w:val="20"/>
          <w:szCs w:val="20"/>
        </w:rPr>
        <w:t>Definitions</w:t>
      </w:r>
      <w:r w:rsidRPr="00651825">
        <w:rPr>
          <w:rFonts w:eastAsia="Times New Roman" w:cstheme="minorHAnsi"/>
          <w:color w:val="333333"/>
          <w:sz w:val="20"/>
          <w:szCs w:val="20"/>
        </w:rPr>
        <w:t>.—</w:t>
      </w:r>
      <w:r w:rsidRPr="00651825">
        <w:rPr>
          <w:rFonts w:eastAsia="Times New Roman" w:cstheme="minorHAnsi"/>
          <w:color w:val="333333"/>
          <w:sz w:val="20"/>
          <w:szCs w:val="20"/>
        </w:rPr>
        <w:t xml:space="preserve">For purposes of this section: </w:t>
      </w:r>
    </w:p>
    <w:p w:rsidR="00651825" w:rsidRPr="00651825" w:rsidP="00C92EF1" w14:paraId="2C018F0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The term ‘controlled substance’ means a controlled substance (as defined in section 102 of the Controlled Substances Act) in schedule II, III, or IV of section 202 of such Act.</w:t>
      </w:r>
    </w:p>
    <w:p w:rsidR="00651825" w:rsidRPr="00651825" w:rsidP="00C92EF1" w14:paraId="52D9F3A3"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The term ‘dispense’ means to deliver a controlled substance to an ultimate user by, or pursuant to the lawful order of, a practitioner, irrespective of whether the dispenser uses the Internet or other means to </w:t>
      </w:r>
      <w:r w:rsidRPr="00651825">
        <w:rPr>
          <w:rFonts w:eastAsia="Times New Roman" w:cstheme="minorHAnsi"/>
          <w:color w:val="333333"/>
          <w:sz w:val="20"/>
          <w:szCs w:val="20"/>
        </w:rPr>
        <w:t>effect</w:t>
      </w:r>
      <w:r w:rsidRPr="00651825">
        <w:rPr>
          <w:rFonts w:eastAsia="Times New Roman" w:cstheme="minorHAnsi"/>
          <w:color w:val="333333"/>
          <w:sz w:val="20"/>
          <w:szCs w:val="20"/>
        </w:rPr>
        <w:t xml:space="preserve"> such delivery.</w:t>
      </w:r>
    </w:p>
    <w:p w:rsidR="00651825" w:rsidRPr="00651825" w:rsidP="00C92EF1" w14:paraId="0E648F1B"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The term ‘dispenser’ means a physician, pharmacist, or other person that dispenses a controlled substance to an ultimate user.</w:t>
      </w:r>
    </w:p>
    <w:p w:rsidR="00651825" w:rsidRPr="00651825" w:rsidP="00C92EF1" w14:paraId="42D2BEF3"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“(4) The term ‘interstate interoperability’ with respect to a PDMP means the ability of the PDMP to electronically share reported information with another State if the information concerns either the dispensing of a controlled substance to an ultimate user who resides in such other State, or the dispensing of a controlled substance prescribed by a practitioner whose principal place of business </w:t>
      </w:r>
      <w:r w:rsidRPr="00651825">
        <w:rPr>
          <w:rFonts w:eastAsia="Times New Roman" w:cstheme="minorHAnsi"/>
          <w:color w:val="333333"/>
          <w:sz w:val="20"/>
          <w:szCs w:val="20"/>
        </w:rPr>
        <w:t>is located in</w:t>
      </w:r>
      <w:r w:rsidRPr="00651825">
        <w:rPr>
          <w:rFonts w:eastAsia="Times New Roman" w:cstheme="minorHAnsi"/>
          <w:color w:val="333333"/>
          <w:sz w:val="20"/>
          <w:szCs w:val="20"/>
        </w:rPr>
        <w:t xml:space="preserve"> such other State.</w:t>
      </w:r>
    </w:p>
    <w:p w:rsidR="00651825" w:rsidRPr="00651825" w:rsidP="00C92EF1" w14:paraId="29F43656"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“(5) The term ‘intrastate interoperability’ with respect to a PDMP means the integration of PDMP data within electronic health records and health information technology infrastructure or linking of a PDMP to other data systems within the State, including the State’s Medicaid program, workers’ compensation programs, and medical examiners or coroners.</w:t>
      </w:r>
    </w:p>
    <w:p w:rsidR="00651825" w:rsidRPr="00651825" w:rsidP="00C92EF1" w14:paraId="18D554B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“(6) The term ‘nonidentifiable information’ means information that does not identify a practitioner, dispenser, or an ultimate user and with respect to which there is no reasonable basis to believe that the information can be used to identify a practitioner, dispenser, or an ultimate user.</w:t>
      </w:r>
    </w:p>
    <w:p w:rsidR="00651825" w:rsidRPr="00651825" w:rsidP="00C92EF1" w14:paraId="4B1FB14B"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“(7) The term ‘PDMP’ means a prescription drug monitoring program that is </w:t>
      </w:r>
      <w:r w:rsidRPr="00651825">
        <w:rPr>
          <w:rFonts w:eastAsia="Times New Roman" w:cstheme="minorHAnsi"/>
          <w:color w:val="333333"/>
          <w:sz w:val="20"/>
          <w:szCs w:val="20"/>
        </w:rPr>
        <w:t>State-controlled</w:t>
      </w:r>
      <w:r w:rsidRPr="00651825">
        <w:rPr>
          <w:rFonts w:eastAsia="Times New Roman" w:cstheme="minorHAnsi"/>
          <w:color w:val="333333"/>
          <w:sz w:val="20"/>
          <w:szCs w:val="20"/>
        </w:rPr>
        <w:t>.</w:t>
      </w:r>
    </w:p>
    <w:p w:rsidR="00651825" w:rsidRPr="00651825" w:rsidP="00C92EF1" w14:paraId="19E168A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“(8) The term ‘practitioner’ means a physician, dentist, veterinarian, scientific investigator, pharmacy, hospital, or other person licensed, registered, or otherwise permitted, by the United States or the jurisdiction in which the individual practices or does research, to distribute, dispense, conduct research with respect to, administer, or use in teaching or chemical analysis, a controlled substance in the course of professional practice or research.</w:t>
      </w:r>
    </w:p>
    <w:p w:rsidR="00857C19" w:rsidP="00857C19" w14:paraId="7778C9C6"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“(9) The term ‘State’ means each of the 50 States, the District of Columbia, and any commonwealth or territory of the United States.</w:t>
      </w:r>
    </w:p>
    <w:p w:rsidR="00857C19" w:rsidP="00857C19" w14:paraId="6FE19B7A"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“(10) The term ‘ultimate user’ means a person who has obtained from a dispenser, and who possesses, a controlled substance for the person’s own use, for the use of a member of the person’s household, or for the use of an animal owned by the person or by a me</w:t>
      </w:r>
      <w:r>
        <w:rPr>
          <w:rFonts w:eastAsia="Times New Roman" w:cstheme="minorHAnsi"/>
          <w:color w:val="333333"/>
          <w:sz w:val="20"/>
          <w:szCs w:val="20"/>
        </w:rPr>
        <w:t>mber of the person’s household.</w:t>
      </w:r>
    </w:p>
    <w:p w:rsidR="00651825" w:rsidRPr="00651825" w:rsidP="00857C19" w14:paraId="3D167C8D"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“(11) The term ‘clinical workflow’ means the integration of automated queries for prescription drug monitoring programs data and analytics into health information technologies such as electronic health record systems, health information exchanges, and/or pharmacy dispensing software systems, thus streamlining provider access through automated queries.”.</w:t>
      </w: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4125523"/>
      <w:docPartObj>
        <w:docPartGallery w:val="Page Numbers (Bottom of Page)"/>
        <w:docPartUnique/>
      </w:docPartObj>
    </w:sdtPr>
    <w:sdtEndPr>
      <w:rPr>
        <w:noProof/>
      </w:rPr>
    </w:sdtEndPr>
    <w:sdtContent>
      <w:p w:rsidR="00C92EF1" w14:paraId="14A53BC2" w14:textId="77777777">
        <w:pPr>
          <w:pStyle w:val="Footer"/>
          <w:jc w:val="right"/>
        </w:pPr>
        <w:r>
          <w:fldChar w:fldCharType="begin"/>
        </w:r>
        <w:r>
          <w:instrText xml:space="preserve"> PAGE   \* MERGEFORMAT </w:instrText>
        </w:r>
        <w:r>
          <w:fldChar w:fldCharType="separate"/>
        </w:r>
        <w:r w:rsidR="007C64D1">
          <w:rPr>
            <w:noProof/>
          </w:rPr>
          <w:t>1</w:t>
        </w:r>
        <w:r>
          <w:rPr>
            <w:noProof/>
          </w:rPr>
          <w:fldChar w:fldCharType="end"/>
        </w:r>
      </w:p>
    </w:sdtContent>
  </w:sdt>
  <w:p w:rsidR="00C92EF1" w14:paraId="21F2451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0D"/>
    <w:rsid w:val="000D3704"/>
    <w:rsid w:val="00107EBA"/>
    <w:rsid w:val="00210565"/>
    <w:rsid w:val="00230F2A"/>
    <w:rsid w:val="00300058"/>
    <w:rsid w:val="003271B9"/>
    <w:rsid w:val="003B780D"/>
    <w:rsid w:val="005731DC"/>
    <w:rsid w:val="0060390B"/>
    <w:rsid w:val="00651825"/>
    <w:rsid w:val="00706CAE"/>
    <w:rsid w:val="00766C39"/>
    <w:rsid w:val="007C64D1"/>
    <w:rsid w:val="007E1185"/>
    <w:rsid w:val="00857C19"/>
    <w:rsid w:val="008B4A67"/>
    <w:rsid w:val="0099323D"/>
    <w:rsid w:val="009E4A38"/>
    <w:rsid w:val="00A26C62"/>
    <w:rsid w:val="00A568B4"/>
    <w:rsid w:val="00AD25C4"/>
    <w:rsid w:val="00C232E5"/>
    <w:rsid w:val="00C257F4"/>
    <w:rsid w:val="00C62E9C"/>
    <w:rsid w:val="00C92EF1"/>
    <w:rsid w:val="00E004D9"/>
    <w:rsid w:val="00E14278"/>
    <w:rsid w:val="00E35E9E"/>
    <w:rsid w:val="00E830B3"/>
    <w:rsid w:val="00F56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F4963C"/>
  <w15:chartTrackingRefBased/>
  <w15:docId w15:val="{0A1C1322-66D3-4894-AE34-55524B3E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80D"/>
    <w:rPr>
      <w:color w:val="3366CC"/>
      <w:u w:val="single"/>
      <w:shd w:val="clear" w:color="auto" w:fill="auto"/>
    </w:rPr>
  </w:style>
  <w:style w:type="paragraph" w:customStyle="1" w:styleId="lbexhangwithmargin">
    <w:name w:val="lbexhangwithmargin"/>
    <w:basedOn w:val="Normal"/>
    <w:rsid w:val="003B780D"/>
    <w:pPr>
      <w:spacing w:before="100" w:beforeAutospacing="1" w:after="100" w:afterAutospacing="1" w:line="240" w:lineRule="auto"/>
      <w:ind w:left="480" w:hanging="480"/>
    </w:pPr>
    <w:rPr>
      <w:rFonts w:ascii="Times New Roman" w:eastAsia="Times New Roman" w:hAnsi="Times New Roman" w:cs="Times New Roman"/>
      <w:sz w:val="24"/>
      <w:szCs w:val="24"/>
    </w:rPr>
  </w:style>
  <w:style w:type="paragraph" w:customStyle="1" w:styleId="lbexindent">
    <w:name w:val="lbexindent"/>
    <w:basedOn w:val="Normal"/>
    <w:rsid w:val="003B780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lbexindentparagraph">
    <w:name w:val="lbexindentparagraph"/>
    <w:basedOn w:val="Normal"/>
    <w:rsid w:val="003B780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lbexindentsubpar">
    <w:name w:val="lbexindentsubpar"/>
    <w:basedOn w:val="Normal"/>
    <w:rsid w:val="003B780D"/>
    <w:pPr>
      <w:spacing w:before="100" w:beforeAutospacing="1" w:after="100" w:afterAutospacing="1" w:line="240" w:lineRule="auto"/>
      <w:ind w:left="960" w:firstLine="480"/>
    </w:pPr>
    <w:rPr>
      <w:rFonts w:ascii="Times New Roman" w:eastAsia="Times New Roman" w:hAnsi="Times New Roman" w:cs="Times New Roman"/>
      <w:sz w:val="24"/>
      <w:szCs w:val="24"/>
    </w:rPr>
  </w:style>
  <w:style w:type="paragraph" w:customStyle="1" w:styleId="lbexindentclause">
    <w:name w:val="lbexindentclause"/>
    <w:basedOn w:val="Normal"/>
    <w:rsid w:val="003B780D"/>
    <w:pPr>
      <w:spacing w:before="100" w:beforeAutospacing="1" w:after="100" w:afterAutospacing="1" w:line="240" w:lineRule="auto"/>
      <w:ind w:left="1440" w:firstLine="480"/>
    </w:pPr>
    <w:rPr>
      <w:rFonts w:ascii="Times New Roman" w:eastAsia="Times New Roman" w:hAnsi="Times New Roman" w:cs="Times New Roman"/>
      <w:sz w:val="24"/>
      <w:szCs w:val="24"/>
    </w:rPr>
  </w:style>
  <w:style w:type="character" w:customStyle="1" w:styleId="lbexsectionlevelolc1">
    <w:name w:val="lbexsectionlevelolc1"/>
    <w:basedOn w:val="DefaultParagraphFont"/>
    <w:rsid w:val="003B780D"/>
    <w:rPr>
      <w:b/>
      <w:bCs/>
      <w:sz w:val="24"/>
      <w:szCs w:val="24"/>
    </w:rPr>
  </w:style>
  <w:style w:type="character" w:customStyle="1" w:styleId="lbexallcap1">
    <w:name w:val="lbexallcap1"/>
    <w:basedOn w:val="DefaultParagraphFont"/>
    <w:rsid w:val="003B780D"/>
    <w:rPr>
      <w:caps/>
    </w:rPr>
  </w:style>
  <w:style w:type="character" w:customStyle="1" w:styleId="lbexsectionlevelolcnuclear1">
    <w:name w:val="lbexsectionlevelolcnuclear1"/>
    <w:basedOn w:val="DefaultParagraphFont"/>
    <w:rsid w:val="003B780D"/>
    <w:rPr>
      <w:smallCaps/>
      <w:spacing w:val="20"/>
    </w:rPr>
  </w:style>
  <w:style w:type="paragraph" w:styleId="NormalWeb">
    <w:name w:val="Normal (Web)"/>
    <w:basedOn w:val="Normal"/>
    <w:uiPriority w:val="99"/>
    <w:semiHidden/>
    <w:unhideWhenUsed/>
    <w:rsid w:val="00651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clause">
    <w:name w:val="lbexindentsubclause"/>
    <w:basedOn w:val="Normal"/>
    <w:rsid w:val="00651825"/>
    <w:pPr>
      <w:spacing w:before="100" w:beforeAutospacing="1" w:after="100" w:afterAutospacing="1" w:line="240" w:lineRule="auto"/>
      <w:ind w:left="1920" w:firstLine="480"/>
    </w:pPr>
    <w:rPr>
      <w:rFonts w:ascii="Times New Roman" w:eastAsia="Times New Roman" w:hAnsi="Times New Roman" w:cs="Times New Roman"/>
      <w:sz w:val="24"/>
      <w:szCs w:val="24"/>
    </w:rPr>
  </w:style>
  <w:style w:type="paragraph" w:customStyle="1" w:styleId="lbexindentitem">
    <w:name w:val="lbexindentitem"/>
    <w:basedOn w:val="Normal"/>
    <w:rsid w:val="00651825"/>
    <w:pPr>
      <w:spacing w:before="100" w:beforeAutospacing="1" w:after="100" w:afterAutospacing="1" w:line="240" w:lineRule="auto"/>
      <w:ind w:left="2400" w:firstLine="480"/>
    </w:pPr>
    <w:rPr>
      <w:rFonts w:ascii="Times New Roman" w:eastAsia="Times New Roman" w:hAnsi="Times New Roman" w:cs="Times New Roman"/>
      <w:sz w:val="24"/>
      <w:szCs w:val="24"/>
    </w:rPr>
  </w:style>
  <w:style w:type="character" w:customStyle="1" w:styleId="lbexindent1">
    <w:name w:val="lbexindent1"/>
    <w:basedOn w:val="DefaultParagraphFont"/>
    <w:rsid w:val="00651825"/>
  </w:style>
  <w:style w:type="character" w:customStyle="1" w:styleId="lbexsubtitlelevelolc1">
    <w:name w:val="lbexsubtitlelevelolc1"/>
    <w:basedOn w:val="DefaultParagraphFont"/>
    <w:rsid w:val="00651825"/>
    <w:rPr>
      <w:b/>
      <w:bCs/>
      <w:smallCaps w:val="0"/>
      <w:spacing w:val="20"/>
      <w:sz w:val="36"/>
      <w:szCs w:val="36"/>
    </w:rPr>
  </w:style>
  <w:style w:type="character" w:customStyle="1" w:styleId="lbexallcapnormal1">
    <w:name w:val="lbexallcapnormal1"/>
    <w:basedOn w:val="DefaultParagraphFont"/>
    <w:rsid w:val="00651825"/>
    <w:rPr>
      <w:caps/>
      <w:sz w:val="24"/>
      <w:szCs w:val="24"/>
    </w:rPr>
  </w:style>
  <w:style w:type="paragraph" w:styleId="Header">
    <w:name w:val="header"/>
    <w:basedOn w:val="Normal"/>
    <w:link w:val="HeaderChar"/>
    <w:uiPriority w:val="99"/>
    <w:unhideWhenUsed/>
    <w:rsid w:val="0065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5"/>
  </w:style>
  <w:style w:type="paragraph" w:styleId="Footer">
    <w:name w:val="footer"/>
    <w:basedOn w:val="Normal"/>
    <w:link w:val="FooterChar"/>
    <w:uiPriority w:val="99"/>
    <w:unhideWhenUsed/>
    <w:rsid w:val="0065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5"/>
  </w:style>
  <w:style w:type="paragraph" w:styleId="FootnoteText">
    <w:name w:val="footnote text"/>
    <w:basedOn w:val="Normal"/>
    <w:link w:val="FootnoteTextChar"/>
    <w:uiPriority w:val="99"/>
    <w:semiHidden/>
    <w:unhideWhenUsed/>
    <w:rsid w:val="00706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CAE"/>
    <w:rPr>
      <w:sz w:val="20"/>
      <w:szCs w:val="20"/>
    </w:rPr>
  </w:style>
  <w:style w:type="character" w:styleId="FootnoteReference">
    <w:name w:val="footnote reference"/>
    <w:basedOn w:val="DefaultParagraphFont"/>
    <w:uiPriority w:val="99"/>
    <w:semiHidden/>
    <w:unhideWhenUsed/>
    <w:rsid w:val="00706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quicksearch/get.plx?title=42&amp;section=280b-1" TargetMode="External" /><Relationship Id="rId11" Type="http://schemas.openxmlformats.org/officeDocument/2006/relationships/hyperlink" Target="https://www.gpo.gov/fdsys/pkg/PLAW-114publ198/pdf/PLAW-114publ198.pdf" TargetMode="External" /><Relationship Id="rId12" Type="http://schemas.openxmlformats.org/officeDocument/2006/relationships/hyperlink" Target="http://uscode.house.gov/quicksearch/get.plx?title=42&amp;section=280g-3" TargetMode="External" /><Relationship Id="rId13" Type="http://schemas.openxmlformats.org/officeDocument/2006/relationships/hyperlink" Target="https://www.gpo.gov/fdsys/pkg/PLAW-104publ191/pdf/PLAW-104publ191.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quicksearch/get.plx?title=42&amp;section=280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17" ma:contentTypeDescription="Create a new document." ma:contentTypeScope="" ma:versionID="1fd3ac2cf4a1be385f4e2a6141d57dd2">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01d2f79b416b860b84587a7786da7f93"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a539eb-778c-4452-9627-56035a4e8670}"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fb1b662-f59d-4b16-9d61-2106d813860a">VUADPPQRPPK6-1564171637-3078</_dlc_DocId>
    <_dlc_DocIdUrl xmlns="2fb1b662-f59d-4b16-9d61-2106d813860a">
      <Url>https://esp.cdc.gov/sites/ncipc/DUIP/hstsb/_layouts/15/DocIdRedir.aspx?ID=VUADPPQRPPK6-1564171637-3078</Url>
      <Description>VUADPPQRPPK6-1564171637-3078</Description>
    </_dlc_DocIdUrl>
    <lcf76f155ced4ddcb4097134ff3c332f xmlns="42a8a15d-a9de-4a09-b4c8-bd11423896de">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6660A95B-2D2F-459F-8109-7C790C14CC9A}">
  <ds:schemaRefs>
    <ds:schemaRef ds:uri="http://schemas.microsoft.com/sharepoint/v3/contenttype/forms"/>
  </ds:schemaRefs>
</ds:datastoreItem>
</file>

<file path=customXml/itemProps2.xml><?xml version="1.0" encoding="utf-8"?>
<ds:datastoreItem xmlns:ds="http://schemas.openxmlformats.org/officeDocument/2006/customXml" ds:itemID="{9F25EBFB-63C4-4482-BB30-ECD048CD531E}">
  <ds:schemaRefs/>
</ds:datastoreItem>
</file>

<file path=customXml/itemProps3.xml><?xml version="1.0" encoding="utf-8"?>
<ds:datastoreItem xmlns:ds="http://schemas.openxmlformats.org/officeDocument/2006/customXml" ds:itemID="{FBF85C8B-87D3-4034-A822-87A793AA48A0}">
  <ds:schemaRefs>
    <ds:schemaRef ds:uri="http://schemas.microsoft.com/sharepoint/events"/>
  </ds:schemaRefs>
</ds:datastoreItem>
</file>

<file path=customXml/itemProps4.xml><?xml version="1.0" encoding="utf-8"?>
<ds:datastoreItem xmlns:ds="http://schemas.openxmlformats.org/officeDocument/2006/customXml" ds:itemID="{1884B99A-1280-4331-B978-149CE9ACF5B0}">
  <ds:schemaRefs>
    <ds:schemaRef ds:uri="http://schemas.openxmlformats.org/officeDocument/2006/bibliography"/>
  </ds:schemaRefs>
</ds:datastoreItem>
</file>

<file path=customXml/itemProps5.xml><?xml version="1.0" encoding="utf-8"?>
<ds:datastoreItem xmlns:ds="http://schemas.openxmlformats.org/officeDocument/2006/customXml" ds:itemID="{EFEA636D-E4BB-4086-92A8-EFB914790E8A}">
  <ds:schemaRefs>
    <ds:schemaRef ds:uri="http://schemas.microsoft.com/office/2006/metadata/properties"/>
    <ds:schemaRef ds:uri="http://schemas.microsoft.com/office/infopath/2007/PartnerControls"/>
    <ds:schemaRef ds:uri="2fb1b662-f59d-4b16-9d61-2106d813860a"/>
    <ds:schemaRef ds:uri="42a8a15d-a9de-4a09-b4c8-bd11423896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Gladden, Robert Matthew (CDC/DDNID/NCIPC/DUIP)</dc:creator>
  <cp:lastModifiedBy>Konefal, Sarah Charlotte (CDC/NCIPC/DOP)</cp:lastModifiedBy>
  <cp:revision>2</cp:revision>
  <dcterms:created xsi:type="dcterms:W3CDTF">2023-10-23T14:43:00Z</dcterms:created>
  <dcterms:modified xsi:type="dcterms:W3CDTF">2023-10-23T14:43:00Z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0x010100400564D6DC0DFD44A1BDAB7ADC95F264</vt:lpwstr>
  </property>
  <property fmtid="{D5CDD505-2E9C-101B-9397-08002B2CF9AE}" pid="3" name="MediaServiceImageTags">
    <vt:lpwstr/>
  </property>
  <property fmtid="{D5CDD505-2E9C-101B-9397-08002B2CF9AE}" pid="4" name="MSIP_Label_7b94a7b8-f06c-4dfe-bdcc-9b548fd58c31_ActionId">
    <vt:lpwstr>638dc7ac-fefa-4632-8aeb-4a8784098ce5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2023-10-10T19:28:50Z</vt:lpwstr>
  </property>
  <property fmtid="{D5CDD505-2E9C-101B-9397-08002B2CF9AE}" pid="10" name="MSIP_Label_7b94a7b8-f06c-4dfe-bdcc-9b548fd58c31_SiteId">
    <vt:lpwstr>9ce70869-60db-44fd-abe8-d2767077fc8f</vt:lpwstr>
  </property>
  <property fmtid="{D5CDD505-2E9C-101B-9397-08002B2CF9AE}" pid="11" name="_dlc_DocIdItemGuid">
    <vt:lpwstr>ad7adf8b-68ca-4a0d-9431-ccc4bd8af501</vt:lpwstr>
  </property>
</Properties>
</file>