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33E" w:rsidRPr="00FC633E" w:rsidP="005453AD" w14:paraId="10CCE9E5" w14:textId="77777777">
      <w:pPr>
        <w:jc w:val="center"/>
        <w:rPr>
          <w:sz w:val="28"/>
          <w:szCs w:val="28"/>
        </w:rPr>
      </w:pPr>
    </w:p>
    <w:p w:rsidR="00FC633E" w:rsidP="005453AD" w14:paraId="2035B189" w14:textId="77777777">
      <w:pPr>
        <w:jc w:val="center"/>
        <w:rPr>
          <w:b/>
          <w:sz w:val="28"/>
          <w:szCs w:val="28"/>
        </w:rPr>
      </w:pPr>
    </w:p>
    <w:p w:rsidR="005453AD" w:rsidP="005453AD" w14:paraId="46E8A937" w14:textId="77777777">
      <w:pPr>
        <w:jc w:val="center"/>
        <w:rPr>
          <w:b/>
          <w:sz w:val="28"/>
          <w:szCs w:val="28"/>
        </w:rPr>
      </w:pPr>
      <w:r w:rsidRPr="00456179">
        <w:rPr>
          <w:b/>
          <w:sz w:val="28"/>
          <w:szCs w:val="28"/>
        </w:rPr>
        <w:t>SUPPORTING STATEMENT</w:t>
      </w:r>
    </w:p>
    <w:p w:rsidR="00FC633E" w:rsidP="005453AD" w14:paraId="66B071A7" w14:textId="77777777">
      <w:pPr>
        <w:jc w:val="center"/>
        <w:rPr>
          <w:b/>
          <w:sz w:val="28"/>
          <w:szCs w:val="28"/>
        </w:rPr>
      </w:pPr>
    </w:p>
    <w:p w:rsidR="005453AD" w:rsidP="005453AD" w14:paraId="1A05093C" w14:textId="77777777">
      <w:pPr>
        <w:jc w:val="center"/>
        <w:rPr>
          <w:sz w:val="28"/>
          <w:szCs w:val="28"/>
        </w:rPr>
      </w:pPr>
      <w:r>
        <w:rPr>
          <w:b/>
          <w:sz w:val="28"/>
          <w:szCs w:val="28"/>
        </w:rPr>
        <w:t>Part B</w:t>
      </w:r>
    </w:p>
    <w:p w:rsidR="005453AD" w:rsidP="005453AD" w14:paraId="4E3FF60C" w14:textId="77777777">
      <w:pPr>
        <w:jc w:val="center"/>
        <w:rPr>
          <w:sz w:val="28"/>
          <w:szCs w:val="28"/>
        </w:rPr>
      </w:pPr>
    </w:p>
    <w:p w:rsidR="005453AD" w:rsidP="005453AD" w14:paraId="06CF0D7E" w14:textId="77777777">
      <w:pPr>
        <w:jc w:val="center"/>
        <w:rPr>
          <w:sz w:val="28"/>
          <w:szCs w:val="28"/>
        </w:rPr>
      </w:pPr>
    </w:p>
    <w:p w:rsidR="005453AD" w:rsidP="005453AD" w14:paraId="50455A29" w14:textId="77777777">
      <w:pPr>
        <w:jc w:val="center"/>
        <w:rPr>
          <w:sz w:val="28"/>
          <w:szCs w:val="28"/>
        </w:rPr>
      </w:pPr>
    </w:p>
    <w:p w:rsidR="005453AD" w:rsidP="005453AD" w14:paraId="0FA0CA5D" w14:textId="77777777">
      <w:pPr>
        <w:jc w:val="center"/>
        <w:rPr>
          <w:sz w:val="28"/>
          <w:szCs w:val="28"/>
        </w:rPr>
      </w:pPr>
    </w:p>
    <w:p w:rsidR="005453AD" w:rsidP="005453AD" w14:paraId="268001BE" w14:textId="77777777">
      <w:pPr>
        <w:jc w:val="center"/>
        <w:rPr>
          <w:sz w:val="28"/>
          <w:szCs w:val="28"/>
        </w:rPr>
      </w:pPr>
    </w:p>
    <w:p w:rsidR="005453AD" w:rsidP="005453AD" w14:paraId="17CF9318" w14:textId="77777777">
      <w:pPr>
        <w:jc w:val="center"/>
        <w:rPr>
          <w:sz w:val="28"/>
          <w:szCs w:val="28"/>
        </w:rPr>
      </w:pPr>
    </w:p>
    <w:p w:rsidR="007A5974" w:rsidP="007A5974" w14:paraId="79FFF460" w14:textId="03D6054A">
      <w:pPr>
        <w:jc w:val="center"/>
        <w:rPr>
          <w:sz w:val="28"/>
          <w:szCs w:val="28"/>
        </w:rPr>
      </w:pPr>
      <w:r w:rsidRPr="6BCD0AE9">
        <w:rPr>
          <w:sz w:val="28"/>
          <w:szCs w:val="28"/>
        </w:rPr>
        <w:t xml:space="preserve">Implementation and Testing of Diagnostic Safety Resources </w:t>
      </w:r>
    </w:p>
    <w:p w:rsidR="007A5974" w:rsidP="007A5974" w14:paraId="6B4F050D" w14:textId="77777777">
      <w:pPr>
        <w:jc w:val="center"/>
        <w:rPr>
          <w:sz w:val="28"/>
          <w:szCs w:val="28"/>
        </w:rPr>
      </w:pPr>
    </w:p>
    <w:p w:rsidR="007A5974" w:rsidP="007A5974" w14:paraId="5181BF6E" w14:textId="77777777">
      <w:pPr>
        <w:jc w:val="center"/>
        <w:rPr>
          <w:sz w:val="28"/>
          <w:szCs w:val="28"/>
        </w:rPr>
      </w:pPr>
    </w:p>
    <w:p w:rsidR="007A5974" w:rsidRPr="00C4006D" w:rsidP="007A5974" w14:paraId="7999B49A" w14:textId="09EE675F">
      <w:pPr>
        <w:jc w:val="center"/>
        <w:rPr>
          <w:i/>
          <w:sz w:val="28"/>
          <w:szCs w:val="28"/>
        </w:rPr>
      </w:pPr>
      <w:r>
        <w:rPr>
          <w:b/>
          <w:sz w:val="28"/>
          <w:szCs w:val="28"/>
        </w:rPr>
        <w:t xml:space="preserve">Version: </w:t>
      </w:r>
      <w:r w:rsidR="002F52CE">
        <w:rPr>
          <w:sz w:val="28"/>
          <w:szCs w:val="28"/>
        </w:rPr>
        <w:t>January 1</w:t>
      </w:r>
      <w:r w:rsidRPr="005F5137">
        <w:rPr>
          <w:sz w:val="28"/>
          <w:szCs w:val="28"/>
        </w:rPr>
        <w:t>, 202</w:t>
      </w:r>
      <w:r w:rsidR="002F52CE">
        <w:rPr>
          <w:sz w:val="28"/>
          <w:szCs w:val="28"/>
        </w:rPr>
        <w:t>4</w:t>
      </w:r>
      <w:r>
        <w:rPr>
          <w:i/>
          <w:sz w:val="28"/>
          <w:szCs w:val="28"/>
        </w:rPr>
        <w:t xml:space="preserve"> </w:t>
      </w:r>
    </w:p>
    <w:p w:rsidR="005453AD" w:rsidP="005453AD" w14:paraId="18B26964" w14:textId="77777777">
      <w:pPr>
        <w:jc w:val="center"/>
        <w:rPr>
          <w:sz w:val="28"/>
          <w:szCs w:val="28"/>
        </w:rPr>
      </w:pPr>
    </w:p>
    <w:p w:rsidR="005453AD" w:rsidP="005453AD" w14:paraId="0F81D51B" w14:textId="77777777">
      <w:pPr>
        <w:jc w:val="center"/>
        <w:rPr>
          <w:sz w:val="28"/>
          <w:szCs w:val="28"/>
        </w:rPr>
      </w:pPr>
    </w:p>
    <w:p w:rsidR="005453AD" w:rsidP="005453AD" w14:paraId="02D933FF" w14:textId="77777777">
      <w:pPr>
        <w:jc w:val="center"/>
        <w:rPr>
          <w:sz w:val="28"/>
          <w:szCs w:val="28"/>
        </w:rPr>
      </w:pPr>
    </w:p>
    <w:p w:rsidR="005453AD" w:rsidP="005453AD" w14:paraId="61AC602D" w14:textId="77777777">
      <w:pPr>
        <w:jc w:val="center"/>
        <w:rPr>
          <w:sz w:val="28"/>
          <w:szCs w:val="28"/>
        </w:rPr>
      </w:pPr>
    </w:p>
    <w:p w:rsidR="005453AD" w:rsidP="005453AD" w14:paraId="2CF29470" w14:textId="77777777">
      <w:pPr>
        <w:jc w:val="center"/>
        <w:rPr>
          <w:sz w:val="28"/>
          <w:szCs w:val="28"/>
        </w:rPr>
      </w:pPr>
    </w:p>
    <w:p w:rsidR="005453AD" w:rsidP="005453AD" w14:paraId="7135615B" w14:textId="77777777">
      <w:pPr>
        <w:jc w:val="center"/>
        <w:rPr>
          <w:sz w:val="28"/>
          <w:szCs w:val="28"/>
        </w:rPr>
      </w:pPr>
    </w:p>
    <w:p w:rsidR="005453AD" w:rsidP="005453AD" w14:paraId="27E4C3A4" w14:textId="77777777">
      <w:pPr>
        <w:jc w:val="center"/>
        <w:rPr>
          <w:sz w:val="28"/>
          <w:szCs w:val="28"/>
        </w:rPr>
      </w:pPr>
    </w:p>
    <w:p w:rsidR="005453AD" w:rsidP="005453AD" w14:paraId="0E322D7E" w14:textId="77777777">
      <w:pPr>
        <w:jc w:val="center"/>
        <w:rPr>
          <w:sz w:val="28"/>
          <w:szCs w:val="28"/>
        </w:rPr>
      </w:pPr>
    </w:p>
    <w:p w:rsidR="005453AD" w:rsidP="005453AD" w14:paraId="3607F61E" w14:textId="77777777">
      <w:pPr>
        <w:jc w:val="center"/>
        <w:rPr>
          <w:sz w:val="28"/>
          <w:szCs w:val="28"/>
        </w:rPr>
      </w:pPr>
      <w:r w:rsidRPr="00677A0B">
        <w:rPr>
          <w:sz w:val="28"/>
          <w:szCs w:val="28"/>
        </w:rPr>
        <w:t xml:space="preserve">Agency </w:t>
      </w:r>
      <w:r w:rsidR="005977F5">
        <w:rPr>
          <w:sz w:val="28"/>
          <w:szCs w:val="28"/>
        </w:rPr>
        <w:t>for</w:t>
      </w:r>
      <w:r w:rsidRPr="00677A0B">
        <w:rPr>
          <w:sz w:val="28"/>
          <w:szCs w:val="28"/>
        </w:rPr>
        <w:t xml:space="preserve"> Healthcare Research and Quality (AHRQ)</w:t>
      </w:r>
    </w:p>
    <w:p w:rsidR="005453AD" w:rsidP="005453AD" w14:paraId="6A79B157" w14:textId="77777777">
      <w:pPr>
        <w:rPr>
          <w:sz w:val="28"/>
          <w:szCs w:val="28"/>
        </w:rPr>
      </w:pPr>
    </w:p>
    <w:p w:rsidR="005453AD" w:rsidP="005453AD" w14:paraId="59954BA4" w14:textId="77777777">
      <w:pPr>
        <w:rPr>
          <w:sz w:val="28"/>
          <w:szCs w:val="28"/>
        </w:rPr>
      </w:pPr>
    </w:p>
    <w:p w:rsidR="005453AD" w:rsidP="005453AD" w14:paraId="4F83C824" w14:textId="77777777">
      <w:pPr>
        <w:jc w:val="center"/>
        <w:rPr>
          <w:b/>
        </w:rPr>
      </w:pPr>
      <w:r>
        <w:br w:type="page"/>
      </w:r>
      <w:r w:rsidRPr="001D0454">
        <w:rPr>
          <w:b/>
        </w:rPr>
        <w:t>Table of contents</w:t>
      </w:r>
    </w:p>
    <w:p w:rsidR="005453AD" w:rsidP="00FC633E" w14:paraId="0DA1E6B2" w14:textId="77777777"/>
    <w:p w:rsidR="00FC633E" w:rsidP="00FC633E" w14:paraId="171BF76F" w14:textId="77777777">
      <w:pPr>
        <w:tabs>
          <w:tab w:val="left" w:leader="dot" w:pos="8460"/>
        </w:tabs>
      </w:pPr>
      <w:r w:rsidRPr="00FC633E">
        <w:t>B. Collections of Information Employing Statistical Methods</w:t>
      </w:r>
      <w:r>
        <w:tab/>
        <w:t>3</w:t>
      </w:r>
    </w:p>
    <w:p w:rsidR="00FC633E" w:rsidP="00FC633E" w14:paraId="26F01CB7" w14:textId="372C8B39">
      <w:pPr>
        <w:tabs>
          <w:tab w:val="left" w:pos="360"/>
          <w:tab w:val="left" w:leader="dot" w:pos="8460"/>
        </w:tabs>
      </w:pPr>
      <w:r>
        <w:tab/>
        <w:t xml:space="preserve">1. </w:t>
      </w:r>
      <w:r w:rsidRPr="00FC633E">
        <w:t xml:space="preserve">Respondent </w:t>
      </w:r>
      <w:r w:rsidR="005448A7">
        <w:t>U</w:t>
      </w:r>
      <w:r w:rsidRPr="00FC633E">
        <w:t xml:space="preserve">niverse and </w:t>
      </w:r>
      <w:r w:rsidR="005448A7">
        <w:t>S</w:t>
      </w:r>
      <w:r w:rsidRPr="00FC633E">
        <w:t xml:space="preserve">ampling </w:t>
      </w:r>
      <w:r w:rsidR="005448A7">
        <w:t>M</w:t>
      </w:r>
      <w:r w:rsidRPr="00FC633E">
        <w:t>ethods</w:t>
      </w:r>
      <w:r>
        <w:tab/>
      </w:r>
      <w:r w:rsidR="005448A7">
        <w:t>5</w:t>
      </w:r>
    </w:p>
    <w:p w:rsidR="00FC633E" w:rsidP="00FC633E" w14:paraId="648A6594" w14:textId="15C88DCA">
      <w:pPr>
        <w:tabs>
          <w:tab w:val="left" w:pos="360"/>
          <w:tab w:val="left" w:leader="dot" w:pos="8460"/>
        </w:tabs>
      </w:pPr>
      <w:r>
        <w:tab/>
        <w:t xml:space="preserve">2. </w:t>
      </w:r>
      <w:r w:rsidRPr="00FC633E">
        <w:t>Information Collection Procedures</w:t>
      </w:r>
      <w:r>
        <w:tab/>
      </w:r>
      <w:r w:rsidR="007B43EA">
        <w:t>7</w:t>
      </w:r>
    </w:p>
    <w:p w:rsidR="00FC633E" w:rsidP="00FC633E" w14:paraId="2C67DB73" w14:textId="49F4293E">
      <w:pPr>
        <w:tabs>
          <w:tab w:val="left" w:pos="360"/>
          <w:tab w:val="left" w:leader="dot" w:pos="8460"/>
        </w:tabs>
      </w:pPr>
      <w:r>
        <w:tab/>
        <w:t xml:space="preserve">3. </w:t>
      </w:r>
      <w:r w:rsidRPr="00FC633E">
        <w:t>Methods to Maximize Response Rates</w:t>
      </w:r>
      <w:r>
        <w:tab/>
      </w:r>
      <w:r w:rsidR="007B43EA">
        <w:t>9</w:t>
      </w:r>
    </w:p>
    <w:p w:rsidR="00FC633E" w:rsidP="00FC633E" w14:paraId="275A87D9" w14:textId="68C72F20">
      <w:pPr>
        <w:tabs>
          <w:tab w:val="left" w:pos="360"/>
          <w:tab w:val="left" w:leader="dot" w:pos="8460"/>
        </w:tabs>
      </w:pPr>
      <w:r>
        <w:tab/>
        <w:t xml:space="preserve">4. </w:t>
      </w:r>
      <w:r w:rsidRPr="00FC633E">
        <w:t>Tests of Procedures</w:t>
      </w:r>
      <w:r w:rsidR="00736878">
        <w:t>………………………………………………………………..</w:t>
      </w:r>
      <w:r w:rsidR="007B43EA">
        <w:t>1</w:t>
      </w:r>
      <w:r w:rsidR="00736878">
        <w:t>1</w:t>
      </w:r>
    </w:p>
    <w:p w:rsidR="00FC633E" w:rsidRPr="00FC633E" w:rsidP="00FC633E" w14:paraId="571A44BB" w14:textId="004997C8">
      <w:pPr>
        <w:tabs>
          <w:tab w:val="left" w:pos="360"/>
          <w:tab w:val="left" w:leader="dot" w:pos="8460"/>
        </w:tabs>
      </w:pPr>
      <w:r>
        <w:tab/>
        <w:t xml:space="preserve">5. </w:t>
      </w:r>
      <w:r w:rsidRPr="00FC633E">
        <w:t>Statistical Consultants</w:t>
      </w:r>
      <w:r w:rsidR="00376E0B">
        <w:t>……………………………………………………………..11</w:t>
      </w:r>
    </w:p>
    <w:p w:rsidR="00874B68" w:rsidP="00874B68" w14:paraId="25CB9CEA" w14:textId="77777777">
      <w:bookmarkStart w:id="0" w:name="_Toc151782198"/>
      <w:bookmarkStart w:id="1" w:name="_Toc158526234"/>
    </w:p>
    <w:p w:rsidR="00874B68" w:rsidP="00874B68" w14:paraId="0F4F94D4" w14:textId="77777777"/>
    <w:p w:rsidR="00874B68" w:rsidP="00874B68" w14:paraId="7B0D37FE" w14:textId="77777777"/>
    <w:p w:rsidR="00874B68" w:rsidP="00874B68" w14:paraId="452A0734" w14:textId="77777777"/>
    <w:p w:rsidR="00874B68" w:rsidP="00874B68" w14:paraId="78634083" w14:textId="77777777"/>
    <w:p w:rsidR="00874B68" w:rsidP="00874B68" w14:paraId="12AECDA4" w14:textId="77777777"/>
    <w:p w:rsidR="00874B68" w:rsidP="00874B68" w14:paraId="5713BD5B" w14:textId="77777777"/>
    <w:p w:rsidR="00874B68" w:rsidP="00874B68" w14:paraId="2B542F6A" w14:textId="77777777"/>
    <w:p w:rsidR="00874B68" w:rsidP="00874B68" w14:paraId="57ABC9CD" w14:textId="77777777"/>
    <w:p w:rsidR="00874B68" w:rsidP="00874B68" w14:paraId="7469A492" w14:textId="77777777"/>
    <w:p w:rsidR="00874B68" w:rsidP="00874B68" w14:paraId="13DB72D9" w14:textId="77777777"/>
    <w:p w:rsidR="00874B68" w:rsidP="00874B68" w14:paraId="64D1A168" w14:textId="77777777"/>
    <w:p w:rsidR="00874B68" w:rsidP="00874B68" w14:paraId="592A03EC" w14:textId="77777777"/>
    <w:p w:rsidR="00874B68" w:rsidP="00874B68" w14:paraId="3BE55937" w14:textId="77777777"/>
    <w:p w:rsidR="00874B68" w:rsidP="00874B68" w14:paraId="689C5CB5" w14:textId="77777777"/>
    <w:p w:rsidR="00874B68" w:rsidP="00874B68" w14:paraId="519D81C4" w14:textId="77777777"/>
    <w:p w:rsidR="00874B68" w:rsidP="00874B68" w14:paraId="22881944" w14:textId="77777777"/>
    <w:p w:rsidR="00874B68" w:rsidP="00874B68" w14:paraId="5A3E101B" w14:textId="77777777"/>
    <w:p w:rsidR="00874B68" w:rsidP="00874B68" w14:paraId="19FCC3D0" w14:textId="77777777"/>
    <w:p w:rsidR="00874B68" w:rsidP="00874B68" w14:paraId="10F0BA8A" w14:textId="77777777"/>
    <w:p w:rsidR="00874B68" w:rsidP="00874B68" w14:paraId="7E30E78B" w14:textId="77777777"/>
    <w:p w:rsidR="00874B68" w:rsidP="00874B68" w14:paraId="352FAE2B" w14:textId="77777777"/>
    <w:p w:rsidR="00874B68" w:rsidP="00874B68" w14:paraId="0139660A" w14:textId="77777777"/>
    <w:p w:rsidR="002837E3" w:rsidP="005453AD" w14:paraId="120C4CE0" w14:textId="77777777">
      <w:pPr>
        <w:pStyle w:val="Heading1"/>
        <w:rPr>
          <w:sz w:val="24"/>
          <w:szCs w:val="24"/>
        </w:rPr>
      </w:pPr>
    </w:p>
    <w:p w:rsidR="005453AD" w:rsidRPr="00FC633E" w:rsidP="005453AD" w14:paraId="7CEDEC8A" w14:textId="77777777">
      <w:pPr>
        <w:pStyle w:val="Heading1"/>
        <w:rPr>
          <w:sz w:val="24"/>
          <w:szCs w:val="24"/>
        </w:rPr>
      </w:pPr>
      <w:r>
        <w:rPr>
          <w:sz w:val="24"/>
          <w:szCs w:val="24"/>
        </w:rPr>
        <w:br w:type="page"/>
      </w:r>
      <w:r w:rsidRPr="00FC633E">
        <w:rPr>
          <w:sz w:val="24"/>
          <w:szCs w:val="24"/>
        </w:rPr>
        <w:t>B. Collections of Information Employing Statistical Methods</w:t>
      </w:r>
      <w:bookmarkEnd w:id="0"/>
      <w:bookmarkEnd w:id="1"/>
    </w:p>
    <w:p w:rsidR="00874B68" w:rsidP="00874B68" w14:paraId="4E985431" w14:textId="77777777"/>
    <w:p w:rsidR="00AC2005" w:rsidP="00AC2005" w14:paraId="47A9204F" w14:textId="7C0EAB10">
      <w:pPr>
        <w:pStyle w:val="paragraph"/>
        <w:spacing w:before="0" w:beforeAutospacing="0" w:after="0" w:afterAutospacing="0"/>
        <w:ind w:firstLine="360"/>
        <w:textAlignment w:val="baseline"/>
        <w:rPr>
          <w:rFonts w:ascii="Segoe UI" w:hAnsi="Segoe UI" w:cs="Segoe UI"/>
          <w:sz w:val="18"/>
          <w:szCs w:val="18"/>
        </w:rPr>
      </w:pPr>
      <w:r>
        <w:rPr>
          <w:rStyle w:val="normaltextrun"/>
        </w:rPr>
        <w:t>The goal of testing in this project will be to understand and establish optimal implementation strategies for the</w:t>
      </w:r>
      <w:r w:rsidR="00063DFB">
        <w:rPr>
          <w:rStyle w:val="normaltextrun"/>
        </w:rPr>
        <w:t xml:space="preserve"> </w:t>
      </w:r>
      <w:r w:rsidRPr="00063DFB" w:rsidR="00063DFB">
        <w:rPr>
          <w:rStyle w:val="normaltextrun"/>
        </w:rPr>
        <w:t>Calibrate Dx</w:t>
      </w:r>
      <w:r w:rsidR="00063DFB">
        <w:rPr>
          <w:rStyle w:val="normaltextrun"/>
        </w:rPr>
        <w:t xml:space="preserve">, </w:t>
      </w:r>
      <w:r w:rsidRPr="00063DFB" w:rsidR="00063DFB">
        <w:rPr>
          <w:rStyle w:val="normaltextrun"/>
        </w:rPr>
        <w:t xml:space="preserve">Measure Dx and </w:t>
      </w:r>
      <w:r w:rsidR="00C6678A">
        <w:rPr>
          <w:rStyle w:val="normaltextrun"/>
        </w:rPr>
        <w:t xml:space="preserve">Patient </w:t>
      </w:r>
      <w:r w:rsidRPr="00063DFB" w:rsidR="00063DFB">
        <w:rPr>
          <w:rStyle w:val="normaltextrun"/>
        </w:rPr>
        <w:t xml:space="preserve">Toolkit </w:t>
      </w:r>
      <w:r>
        <w:rPr>
          <w:rStyle w:val="normaltextrun"/>
        </w:rPr>
        <w:t>resources, including for training, technical assistance</w:t>
      </w:r>
      <w:r w:rsidR="002F1200">
        <w:rPr>
          <w:rStyle w:val="normaltextrun"/>
        </w:rPr>
        <w:t xml:space="preserve"> (TA)</w:t>
      </w:r>
      <w:r>
        <w:rPr>
          <w:rStyle w:val="normaltextrun"/>
        </w:rPr>
        <w:t>, and sustainment, and to assess the impact of each resource within the broader context of (1) reducing errors; (2) improving diagnostic processes to address harm from missed, delayed, or incorrect diagnoses, overdiagnosis, and over-testing; and (3) communicating diagnosis-related explanations to patients effectively. </w:t>
      </w:r>
      <w:r>
        <w:rPr>
          <w:rStyle w:val="eop"/>
        </w:rPr>
        <w:t> </w:t>
      </w:r>
    </w:p>
    <w:p w:rsidR="00AC2005" w:rsidP="007C6DAA" w14:paraId="3E494779" w14:textId="5052261E">
      <w:pPr>
        <w:pStyle w:val="paragraph"/>
        <w:spacing w:before="0" w:beforeAutospacing="0" w:after="0" w:afterAutospacing="0"/>
        <w:ind w:firstLine="360"/>
        <w:textAlignment w:val="baseline"/>
        <w:rPr>
          <w:rStyle w:val="eop"/>
        </w:rPr>
      </w:pPr>
      <w:r>
        <w:rPr>
          <w:rStyle w:val="normaltextrun"/>
        </w:rPr>
        <w:t>The research is</w:t>
      </w:r>
      <w:r>
        <w:rPr>
          <w:rStyle w:val="normaltextrun"/>
        </w:rPr>
        <w:t xml:space="preserve"> guided by the RE-AIM Framework in </w:t>
      </w:r>
      <w:r>
        <w:rPr>
          <w:rStyle w:val="normaltextrun"/>
        </w:rPr>
        <w:t xml:space="preserve">the </w:t>
      </w:r>
      <w:r>
        <w:rPr>
          <w:rStyle w:val="normaltextrun"/>
        </w:rPr>
        <w:t xml:space="preserve">selection of process and outcome measures to evaluate the impact of each resource: </w:t>
      </w:r>
      <w:r>
        <w:rPr>
          <w:rStyle w:val="normaltextrun"/>
          <w:b/>
          <w:bCs/>
          <w:u w:val="single"/>
        </w:rPr>
        <w:t>R</w:t>
      </w:r>
      <w:r>
        <w:rPr>
          <w:rStyle w:val="normaltextrun"/>
        </w:rPr>
        <w:t xml:space="preserve">each, </w:t>
      </w:r>
      <w:r>
        <w:rPr>
          <w:rStyle w:val="normaltextrun"/>
          <w:b/>
          <w:bCs/>
          <w:u w:val="single"/>
        </w:rPr>
        <w:t>E</w:t>
      </w:r>
      <w:r>
        <w:rPr>
          <w:rStyle w:val="normaltextrun"/>
        </w:rPr>
        <w:t xml:space="preserve">ffectiveness, </w:t>
      </w:r>
      <w:r>
        <w:rPr>
          <w:rStyle w:val="normaltextrun"/>
          <w:b/>
          <w:bCs/>
          <w:u w:val="single"/>
        </w:rPr>
        <w:t>A</w:t>
      </w:r>
      <w:r>
        <w:rPr>
          <w:rStyle w:val="normaltextrun"/>
        </w:rPr>
        <w:t xml:space="preserve">doption, </w:t>
      </w:r>
      <w:r>
        <w:rPr>
          <w:rStyle w:val="normaltextrun"/>
          <w:b/>
          <w:bCs/>
          <w:u w:val="single"/>
        </w:rPr>
        <w:t>I</w:t>
      </w:r>
      <w:r>
        <w:rPr>
          <w:rStyle w:val="normaltextrun"/>
        </w:rPr>
        <w:t xml:space="preserve">mplementation, and </w:t>
      </w:r>
      <w:r>
        <w:rPr>
          <w:rStyle w:val="normaltextrun"/>
          <w:b/>
          <w:bCs/>
          <w:u w:val="single"/>
        </w:rPr>
        <w:t>M</w:t>
      </w:r>
      <w:r>
        <w:rPr>
          <w:rStyle w:val="normaltextrun"/>
        </w:rPr>
        <w:t>aintenance of the resource (</w:t>
      </w:r>
      <w:r>
        <w:rPr>
          <w:rStyle w:val="normaltextrun"/>
          <w:b/>
          <w:bCs/>
        </w:rPr>
        <w:t>Table 1</w:t>
      </w:r>
      <w:r>
        <w:rPr>
          <w:rStyle w:val="normaltextrun"/>
        </w:rPr>
        <w:t xml:space="preserve">). </w:t>
      </w:r>
      <w:r>
        <w:rPr>
          <w:rStyle w:val="normaltextrun"/>
        </w:rPr>
        <w:t xml:space="preserve">The evaluation </w:t>
      </w:r>
      <w:r>
        <w:rPr>
          <w:rStyle w:val="normaltextrun"/>
        </w:rPr>
        <w:t>will further draw on the recent extension</w:t>
      </w:r>
      <w:r>
        <w:rPr>
          <w:rStyle w:val="normaltextrun"/>
        </w:rPr>
        <w:t xml:space="preserve"> (Shelton, et al., 2020)</w:t>
      </w:r>
      <w:r>
        <w:rPr>
          <w:rStyle w:val="normaltextrun"/>
        </w:rPr>
        <w:t xml:space="preserve"> of the RE-AIM framework to include Sustainability beyond Maintenance, including consideration of adaptation and de-implementation over time and explicit consideration of equity across RE-AIM dimensions. </w:t>
      </w:r>
      <w:r>
        <w:rPr>
          <w:rStyle w:val="normaltextrun"/>
        </w:rPr>
        <w:t xml:space="preserve">The </w:t>
      </w:r>
      <w:r>
        <w:rPr>
          <w:rStyle w:val="normaltextrun"/>
        </w:rPr>
        <w:t>testing approach is intentionally designed to be minimally burdensome to sites and participating clinicians/staff, while being maximally informative of the impact of each resource on diagnostic excellence. </w:t>
      </w:r>
      <w:r>
        <w:rPr>
          <w:rStyle w:val="eop"/>
        </w:rPr>
        <w:t> </w:t>
      </w:r>
    </w:p>
    <w:p w:rsidR="00875CB0" w:rsidRPr="00794092" w:rsidP="007C6DAA" w14:paraId="10DF7AB9" w14:textId="77777777">
      <w:pPr>
        <w:pStyle w:val="paragraph"/>
        <w:spacing w:before="0" w:beforeAutospacing="0" w:after="0" w:afterAutospacing="0"/>
        <w:ind w:firstLine="360"/>
        <w:textAlignment w:val="baseline"/>
      </w:pPr>
    </w:p>
    <w:p w:rsidR="00AC2005" w:rsidP="00AC2005" w14:paraId="1C47BF75" w14:textId="77777777">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sz w:val="20"/>
          <w:szCs w:val="20"/>
        </w:rPr>
        <w:t>Table 1. RE-AIM Framework Overview</w:t>
      </w:r>
      <w:r>
        <w:rPr>
          <w:rStyle w:val="eop"/>
          <w:rFonts w:ascii="Arial" w:hAnsi="Arial" w:cs="Arial"/>
          <w:b/>
          <w:bCs/>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86"/>
        <w:gridCol w:w="3813"/>
        <w:gridCol w:w="3225"/>
      </w:tblGrid>
      <w:tr w14:paraId="6DD73D15" w14:textId="77777777" w:rsidTr="00AC2005">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620" w:type="dxa"/>
            <w:tcBorders>
              <w:top w:val="dotted" w:sz="6" w:space="0" w:color="7C58A4"/>
              <w:left w:val="dotted" w:sz="6" w:space="0" w:color="7C58A4"/>
              <w:bottom w:val="dotted" w:sz="6" w:space="0" w:color="7C58A4"/>
              <w:right w:val="dotted" w:sz="6" w:space="0" w:color="7C58A4"/>
            </w:tcBorders>
            <w:shd w:val="clear" w:color="auto" w:fill="7C58A4"/>
            <w:hideMark/>
          </w:tcPr>
          <w:p w:rsidR="00AC2005" w:rsidP="00AC2005" w14:paraId="07889E75" w14:textId="77777777">
            <w:pPr>
              <w:pStyle w:val="paragraph"/>
              <w:spacing w:before="0" w:beforeAutospacing="0" w:after="0" w:afterAutospacing="0"/>
              <w:textAlignment w:val="baseline"/>
            </w:pPr>
            <w:r>
              <w:rPr>
                <w:rStyle w:val="normaltextrun"/>
                <w:rFonts w:ascii="Arial" w:hAnsi="Arial" w:cs="Arial"/>
                <w:b/>
                <w:bCs/>
                <w:color w:val="FFFFFF"/>
                <w:sz w:val="18"/>
                <w:szCs w:val="18"/>
              </w:rPr>
              <w:t>Dimension</w:t>
            </w:r>
            <w:r>
              <w:rPr>
                <w:rStyle w:val="eop"/>
                <w:rFonts w:ascii="Arial" w:hAnsi="Arial" w:cs="Arial"/>
                <w:color w:val="FFFFFF"/>
                <w:sz w:val="18"/>
                <w:szCs w:val="18"/>
              </w:rPr>
              <w:t> </w:t>
            </w:r>
          </w:p>
        </w:tc>
        <w:tc>
          <w:tcPr>
            <w:tcW w:w="4140" w:type="dxa"/>
            <w:tcBorders>
              <w:top w:val="dotted" w:sz="6" w:space="0" w:color="7C58A4"/>
              <w:left w:val="dotted" w:sz="6" w:space="0" w:color="7C58A4"/>
              <w:bottom w:val="dotted" w:sz="6" w:space="0" w:color="7C58A4"/>
              <w:right w:val="dotted" w:sz="6" w:space="0" w:color="7C58A4"/>
            </w:tcBorders>
            <w:shd w:val="clear" w:color="auto" w:fill="7C58A4"/>
            <w:hideMark/>
          </w:tcPr>
          <w:p w:rsidR="00AC2005" w:rsidP="00AC2005" w14:paraId="1F33B5C3" w14:textId="77777777">
            <w:pPr>
              <w:pStyle w:val="paragraph"/>
              <w:spacing w:before="0" w:beforeAutospacing="0" w:after="0" w:afterAutospacing="0"/>
              <w:textAlignment w:val="baseline"/>
            </w:pPr>
            <w:r>
              <w:rPr>
                <w:rStyle w:val="normaltextrun"/>
                <w:rFonts w:ascii="Arial" w:hAnsi="Arial" w:cs="Arial"/>
                <w:b/>
                <w:bCs/>
                <w:color w:val="FFFFFF"/>
                <w:sz w:val="18"/>
                <w:szCs w:val="18"/>
              </w:rPr>
              <w:t>Example metrics</w:t>
            </w:r>
            <w:r>
              <w:rPr>
                <w:rStyle w:val="eop"/>
                <w:rFonts w:ascii="Arial" w:hAnsi="Arial" w:cs="Arial"/>
                <w:color w:val="FFFFFF"/>
                <w:sz w:val="18"/>
                <w:szCs w:val="18"/>
              </w:rPr>
              <w:t> </w:t>
            </w:r>
          </w:p>
        </w:tc>
        <w:tc>
          <w:tcPr>
            <w:tcW w:w="3555" w:type="dxa"/>
            <w:tcBorders>
              <w:top w:val="dotted" w:sz="6" w:space="0" w:color="7C58A4"/>
              <w:left w:val="dotted" w:sz="6" w:space="0" w:color="7C58A4"/>
              <w:bottom w:val="dotted" w:sz="6" w:space="0" w:color="7C58A4"/>
              <w:right w:val="dotted" w:sz="6" w:space="0" w:color="7C58A4"/>
            </w:tcBorders>
            <w:shd w:val="clear" w:color="auto" w:fill="7C58A4"/>
            <w:hideMark/>
          </w:tcPr>
          <w:p w:rsidR="00AC2005" w:rsidP="00AC2005" w14:paraId="1DD0C9B7" w14:textId="77777777">
            <w:pPr>
              <w:pStyle w:val="paragraph"/>
              <w:spacing w:before="0" w:beforeAutospacing="0" w:after="0" w:afterAutospacing="0"/>
              <w:textAlignment w:val="baseline"/>
            </w:pPr>
            <w:r>
              <w:rPr>
                <w:rStyle w:val="normaltextrun"/>
                <w:rFonts w:ascii="Arial" w:hAnsi="Arial" w:cs="Arial"/>
                <w:b/>
                <w:bCs/>
                <w:color w:val="FFFFFF"/>
                <w:sz w:val="18"/>
                <w:szCs w:val="18"/>
              </w:rPr>
              <w:t>Equity Considerations</w:t>
            </w:r>
            <w:r>
              <w:rPr>
                <w:rStyle w:val="eop"/>
                <w:rFonts w:ascii="Arial" w:hAnsi="Arial" w:cs="Arial"/>
                <w:color w:val="FFFFFF"/>
                <w:sz w:val="18"/>
                <w:szCs w:val="18"/>
              </w:rPr>
              <w:t> </w:t>
            </w:r>
          </w:p>
        </w:tc>
      </w:tr>
      <w:tr w14:paraId="4449D27B" w14:textId="77777777" w:rsidTr="00AC2005">
        <w:tblPrEx>
          <w:tblW w:w="0" w:type="dxa"/>
          <w:tblCellMar>
            <w:left w:w="0" w:type="dxa"/>
            <w:right w:w="0" w:type="dxa"/>
          </w:tblCellMar>
          <w:tblLook w:val="04A0"/>
        </w:tblPrEx>
        <w:trPr>
          <w:trHeight w:val="300"/>
        </w:trPr>
        <w:tc>
          <w:tcPr>
            <w:tcW w:w="1620" w:type="dxa"/>
            <w:tcBorders>
              <w:top w:val="dotted" w:sz="6" w:space="0" w:color="7C58A4"/>
              <w:left w:val="dotted" w:sz="6" w:space="0" w:color="7C58A4"/>
              <w:bottom w:val="dotted" w:sz="6" w:space="0" w:color="7C58A4"/>
              <w:right w:val="dotted" w:sz="6" w:space="0" w:color="7C58A4"/>
            </w:tcBorders>
            <w:shd w:val="clear" w:color="auto" w:fill="auto"/>
            <w:hideMark/>
          </w:tcPr>
          <w:p w:rsidR="00AC2005" w:rsidP="00AC2005" w14:paraId="754F3308" w14:textId="77777777">
            <w:pPr>
              <w:pStyle w:val="paragraph"/>
              <w:spacing w:before="0" w:beforeAutospacing="0" w:after="0" w:afterAutospacing="0"/>
              <w:textAlignment w:val="baseline"/>
            </w:pPr>
            <w:r>
              <w:rPr>
                <w:rStyle w:val="normaltextrun"/>
                <w:rFonts w:ascii="Arial" w:hAnsi="Arial" w:cs="Arial"/>
                <w:b/>
                <w:bCs/>
                <w:sz w:val="18"/>
                <w:szCs w:val="18"/>
                <w:u w:val="single"/>
              </w:rPr>
              <w:t>R</w:t>
            </w:r>
            <w:r>
              <w:rPr>
                <w:rStyle w:val="normaltextrun"/>
                <w:rFonts w:ascii="Arial" w:hAnsi="Arial" w:cs="Arial"/>
                <w:b/>
                <w:bCs/>
                <w:sz w:val="18"/>
                <w:szCs w:val="18"/>
              </w:rPr>
              <w:t>each</w:t>
            </w:r>
            <w:r>
              <w:rPr>
                <w:rStyle w:val="eop"/>
                <w:rFonts w:ascii="Arial" w:hAnsi="Arial" w:cs="Arial"/>
                <w:sz w:val="18"/>
                <w:szCs w:val="18"/>
              </w:rPr>
              <w:t> </w:t>
            </w:r>
          </w:p>
        </w:tc>
        <w:tc>
          <w:tcPr>
            <w:tcW w:w="4140" w:type="dxa"/>
            <w:tcBorders>
              <w:top w:val="dotted" w:sz="6" w:space="0" w:color="7C58A4"/>
              <w:left w:val="dotted" w:sz="6" w:space="0" w:color="7C58A4"/>
              <w:bottom w:val="dotted" w:sz="6" w:space="0" w:color="7C58A4"/>
              <w:right w:val="dotted" w:sz="6" w:space="0" w:color="7C58A4"/>
            </w:tcBorders>
            <w:shd w:val="clear" w:color="auto" w:fill="auto"/>
            <w:hideMark/>
          </w:tcPr>
          <w:p w:rsidR="00AC2005" w:rsidP="00AC2005" w14:paraId="7A65A307" w14:textId="77777777">
            <w:pPr>
              <w:pStyle w:val="paragraph"/>
              <w:spacing w:before="0" w:beforeAutospacing="0" w:after="0" w:afterAutospacing="0"/>
              <w:textAlignment w:val="baseline"/>
            </w:pPr>
            <w:r>
              <w:rPr>
                <w:rStyle w:val="normaltextrun"/>
                <w:rFonts w:ascii="Arial" w:hAnsi="Arial" w:cs="Arial"/>
                <w:sz w:val="18"/>
                <w:szCs w:val="18"/>
              </w:rPr>
              <w:t>Target audience; number and type of individuals/organizations receiving resource </w:t>
            </w:r>
            <w:r>
              <w:rPr>
                <w:rStyle w:val="eop"/>
                <w:rFonts w:ascii="Arial" w:hAnsi="Arial" w:cs="Arial"/>
                <w:sz w:val="18"/>
                <w:szCs w:val="18"/>
              </w:rPr>
              <w:t> </w:t>
            </w:r>
          </w:p>
        </w:tc>
        <w:tc>
          <w:tcPr>
            <w:tcW w:w="3555" w:type="dxa"/>
            <w:tcBorders>
              <w:top w:val="dotted" w:sz="6" w:space="0" w:color="7C58A4"/>
              <w:left w:val="dotted" w:sz="6" w:space="0" w:color="7C58A4"/>
              <w:bottom w:val="dotted" w:sz="6" w:space="0" w:color="7C58A4"/>
              <w:right w:val="dotted" w:sz="6" w:space="0" w:color="7C58A4"/>
            </w:tcBorders>
            <w:shd w:val="clear" w:color="auto" w:fill="auto"/>
            <w:hideMark/>
          </w:tcPr>
          <w:p w:rsidR="00AC2005" w:rsidP="00AC2005" w14:paraId="282C3DC1" w14:textId="77777777">
            <w:pPr>
              <w:pStyle w:val="paragraph"/>
              <w:spacing w:before="0" w:beforeAutospacing="0" w:after="0" w:afterAutospacing="0"/>
              <w:textAlignment w:val="baseline"/>
            </w:pPr>
            <w:r>
              <w:rPr>
                <w:rStyle w:val="normaltextrun"/>
                <w:rFonts w:ascii="Arial" w:hAnsi="Arial" w:cs="Arial"/>
                <w:sz w:val="18"/>
                <w:szCs w:val="18"/>
              </w:rPr>
              <w:t>Inclusivity of outreach approaches, diversity of the recruitment sample, reasons for site dropout</w:t>
            </w:r>
            <w:r>
              <w:rPr>
                <w:rStyle w:val="eop"/>
                <w:rFonts w:ascii="Arial" w:hAnsi="Arial" w:cs="Arial"/>
                <w:sz w:val="18"/>
                <w:szCs w:val="18"/>
              </w:rPr>
              <w:t> </w:t>
            </w:r>
          </w:p>
        </w:tc>
      </w:tr>
      <w:tr w14:paraId="0194DFB0" w14:textId="77777777" w:rsidTr="00AC2005">
        <w:tblPrEx>
          <w:tblW w:w="0" w:type="dxa"/>
          <w:tblCellMar>
            <w:left w:w="0" w:type="dxa"/>
            <w:right w:w="0" w:type="dxa"/>
          </w:tblCellMar>
          <w:tblLook w:val="04A0"/>
        </w:tblPrEx>
        <w:trPr>
          <w:trHeight w:val="300"/>
        </w:trPr>
        <w:tc>
          <w:tcPr>
            <w:tcW w:w="1620" w:type="dxa"/>
            <w:tcBorders>
              <w:top w:val="dotted" w:sz="6" w:space="0" w:color="7C58A4"/>
              <w:left w:val="dotted" w:sz="6" w:space="0" w:color="7C58A4"/>
              <w:bottom w:val="dotted" w:sz="6" w:space="0" w:color="7C58A4"/>
              <w:right w:val="dotted" w:sz="6" w:space="0" w:color="7C58A4"/>
            </w:tcBorders>
            <w:shd w:val="clear" w:color="auto" w:fill="auto"/>
            <w:hideMark/>
          </w:tcPr>
          <w:p w:rsidR="00AC2005" w:rsidP="00AC2005" w14:paraId="5F1C8974" w14:textId="77777777">
            <w:pPr>
              <w:pStyle w:val="paragraph"/>
              <w:spacing w:before="0" w:beforeAutospacing="0" w:after="0" w:afterAutospacing="0"/>
              <w:textAlignment w:val="baseline"/>
            </w:pPr>
            <w:r>
              <w:rPr>
                <w:rStyle w:val="normaltextrun"/>
                <w:rFonts w:ascii="Arial" w:hAnsi="Arial" w:cs="Arial"/>
                <w:b/>
                <w:bCs/>
                <w:sz w:val="18"/>
                <w:szCs w:val="18"/>
                <w:u w:val="single"/>
              </w:rPr>
              <w:t>E</w:t>
            </w:r>
            <w:r>
              <w:rPr>
                <w:rStyle w:val="normaltextrun"/>
                <w:rFonts w:ascii="Arial" w:hAnsi="Arial" w:cs="Arial"/>
                <w:b/>
                <w:bCs/>
                <w:sz w:val="18"/>
                <w:szCs w:val="18"/>
              </w:rPr>
              <w:t>ffectiveness</w:t>
            </w:r>
            <w:r>
              <w:rPr>
                <w:rStyle w:val="eop"/>
                <w:rFonts w:ascii="Arial" w:hAnsi="Arial" w:cs="Arial"/>
                <w:sz w:val="18"/>
                <w:szCs w:val="18"/>
              </w:rPr>
              <w:t> </w:t>
            </w:r>
          </w:p>
        </w:tc>
        <w:tc>
          <w:tcPr>
            <w:tcW w:w="4140" w:type="dxa"/>
            <w:tcBorders>
              <w:top w:val="dotted" w:sz="6" w:space="0" w:color="7C58A4"/>
              <w:left w:val="dotted" w:sz="6" w:space="0" w:color="7C58A4"/>
              <w:bottom w:val="dotted" w:sz="6" w:space="0" w:color="7C58A4"/>
              <w:right w:val="dotted" w:sz="6" w:space="0" w:color="7C58A4"/>
            </w:tcBorders>
            <w:shd w:val="clear" w:color="auto" w:fill="auto"/>
            <w:hideMark/>
          </w:tcPr>
          <w:p w:rsidR="00AC2005" w:rsidP="00AC2005" w14:paraId="64D21FFF" w14:textId="77777777">
            <w:pPr>
              <w:pStyle w:val="paragraph"/>
              <w:spacing w:before="0" w:beforeAutospacing="0" w:after="0" w:afterAutospacing="0"/>
              <w:textAlignment w:val="baseline"/>
            </w:pPr>
            <w:r>
              <w:rPr>
                <w:rStyle w:val="normaltextrun"/>
                <w:rFonts w:ascii="Arial" w:hAnsi="Arial" w:cs="Arial"/>
                <w:sz w:val="18"/>
                <w:szCs w:val="18"/>
              </w:rPr>
              <w:t>Impact of the resource; meaningful change in outcomes; comparisons across groups, unintended consequences </w:t>
            </w:r>
            <w:r>
              <w:rPr>
                <w:rStyle w:val="eop"/>
                <w:rFonts w:ascii="Arial" w:hAnsi="Arial" w:cs="Arial"/>
                <w:sz w:val="18"/>
                <w:szCs w:val="18"/>
              </w:rPr>
              <w:t> </w:t>
            </w:r>
          </w:p>
        </w:tc>
        <w:tc>
          <w:tcPr>
            <w:tcW w:w="3555" w:type="dxa"/>
            <w:tcBorders>
              <w:top w:val="dotted" w:sz="6" w:space="0" w:color="7C58A4"/>
              <w:left w:val="dotted" w:sz="6" w:space="0" w:color="7C58A4"/>
              <w:bottom w:val="dotted" w:sz="6" w:space="0" w:color="7C58A4"/>
              <w:right w:val="dotted" w:sz="6" w:space="0" w:color="7C58A4"/>
            </w:tcBorders>
            <w:shd w:val="clear" w:color="auto" w:fill="auto"/>
            <w:hideMark/>
          </w:tcPr>
          <w:p w:rsidR="00AC2005" w:rsidP="00AC2005" w14:paraId="6C227950" w14:textId="77777777">
            <w:pPr>
              <w:pStyle w:val="paragraph"/>
              <w:spacing w:before="0" w:beforeAutospacing="0" w:after="0" w:afterAutospacing="0"/>
              <w:textAlignment w:val="baseline"/>
            </w:pPr>
            <w:r>
              <w:rPr>
                <w:rStyle w:val="normaltextrun"/>
                <w:rFonts w:ascii="Arial" w:hAnsi="Arial" w:cs="Arial"/>
                <w:sz w:val="18"/>
                <w:szCs w:val="18"/>
              </w:rPr>
              <w:t>Variation in impact by type of visit, patient, condition, setting, or geographic location</w:t>
            </w:r>
            <w:r>
              <w:rPr>
                <w:rStyle w:val="eop"/>
                <w:rFonts w:ascii="Arial" w:hAnsi="Arial" w:cs="Arial"/>
                <w:sz w:val="18"/>
                <w:szCs w:val="18"/>
              </w:rPr>
              <w:t> </w:t>
            </w:r>
          </w:p>
        </w:tc>
      </w:tr>
      <w:tr w14:paraId="3C1AED1E" w14:textId="77777777" w:rsidTr="00AC2005">
        <w:tblPrEx>
          <w:tblW w:w="0" w:type="dxa"/>
          <w:tblCellMar>
            <w:left w:w="0" w:type="dxa"/>
            <w:right w:w="0" w:type="dxa"/>
          </w:tblCellMar>
          <w:tblLook w:val="04A0"/>
        </w:tblPrEx>
        <w:trPr>
          <w:trHeight w:val="300"/>
        </w:trPr>
        <w:tc>
          <w:tcPr>
            <w:tcW w:w="1620" w:type="dxa"/>
            <w:tcBorders>
              <w:top w:val="dotted" w:sz="6" w:space="0" w:color="7C58A4"/>
              <w:left w:val="dotted" w:sz="6" w:space="0" w:color="7C58A4"/>
              <w:bottom w:val="dotted" w:sz="6" w:space="0" w:color="7C58A4"/>
              <w:right w:val="dotted" w:sz="6" w:space="0" w:color="7C58A4"/>
            </w:tcBorders>
            <w:shd w:val="clear" w:color="auto" w:fill="auto"/>
            <w:hideMark/>
          </w:tcPr>
          <w:p w:rsidR="00AC2005" w:rsidP="00AC2005" w14:paraId="47560C86" w14:textId="77777777">
            <w:pPr>
              <w:pStyle w:val="paragraph"/>
              <w:spacing w:before="0" w:beforeAutospacing="0" w:after="0" w:afterAutospacing="0"/>
              <w:textAlignment w:val="baseline"/>
            </w:pPr>
            <w:r>
              <w:rPr>
                <w:rStyle w:val="normaltextrun"/>
                <w:rFonts w:ascii="Arial" w:hAnsi="Arial" w:cs="Arial"/>
                <w:b/>
                <w:bCs/>
                <w:sz w:val="18"/>
                <w:szCs w:val="18"/>
                <w:u w:val="single"/>
              </w:rPr>
              <w:t>A</w:t>
            </w:r>
            <w:r>
              <w:rPr>
                <w:rStyle w:val="normaltextrun"/>
                <w:rFonts w:ascii="Arial" w:hAnsi="Arial" w:cs="Arial"/>
                <w:b/>
                <w:bCs/>
                <w:sz w:val="18"/>
                <w:szCs w:val="18"/>
              </w:rPr>
              <w:t>doption</w:t>
            </w:r>
            <w:r>
              <w:rPr>
                <w:rStyle w:val="eop"/>
                <w:rFonts w:ascii="Arial" w:hAnsi="Arial" w:cs="Arial"/>
                <w:sz w:val="18"/>
                <w:szCs w:val="18"/>
              </w:rPr>
              <w:t> </w:t>
            </w:r>
          </w:p>
        </w:tc>
        <w:tc>
          <w:tcPr>
            <w:tcW w:w="4140" w:type="dxa"/>
            <w:tcBorders>
              <w:top w:val="dotted" w:sz="6" w:space="0" w:color="7C58A4"/>
              <w:left w:val="dotted" w:sz="6" w:space="0" w:color="7C58A4"/>
              <w:bottom w:val="dotted" w:sz="6" w:space="0" w:color="7C58A4"/>
              <w:right w:val="dotted" w:sz="6" w:space="0" w:color="7C58A4"/>
            </w:tcBorders>
            <w:shd w:val="clear" w:color="auto" w:fill="auto"/>
            <w:hideMark/>
          </w:tcPr>
          <w:p w:rsidR="00AC2005" w:rsidP="00AC2005" w14:paraId="4B2B4340" w14:textId="77777777">
            <w:pPr>
              <w:pStyle w:val="paragraph"/>
              <w:spacing w:before="0" w:beforeAutospacing="0" w:after="0" w:afterAutospacing="0"/>
              <w:textAlignment w:val="baseline"/>
            </w:pPr>
            <w:r>
              <w:rPr>
                <w:rStyle w:val="normaltextrun"/>
                <w:rFonts w:ascii="Arial" w:hAnsi="Arial" w:cs="Arial"/>
                <w:sz w:val="18"/>
                <w:szCs w:val="18"/>
              </w:rPr>
              <w:t>Number and type of completers, reasons for attrition, participant characteristics and representativeness</w:t>
            </w:r>
            <w:r>
              <w:rPr>
                <w:rStyle w:val="eop"/>
                <w:rFonts w:ascii="Arial" w:hAnsi="Arial" w:cs="Arial"/>
                <w:sz w:val="18"/>
                <w:szCs w:val="18"/>
              </w:rPr>
              <w:t> </w:t>
            </w:r>
          </w:p>
        </w:tc>
        <w:tc>
          <w:tcPr>
            <w:tcW w:w="3555" w:type="dxa"/>
            <w:tcBorders>
              <w:top w:val="dotted" w:sz="6" w:space="0" w:color="7C58A4"/>
              <w:left w:val="dotted" w:sz="6" w:space="0" w:color="7C58A4"/>
              <w:bottom w:val="dotted" w:sz="6" w:space="0" w:color="7C58A4"/>
              <w:right w:val="dotted" w:sz="6" w:space="0" w:color="7C58A4"/>
            </w:tcBorders>
            <w:shd w:val="clear" w:color="auto" w:fill="auto"/>
            <w:hideMark/>
          </w:tcPr>
          <w:p w:rsidR="00AC2005" w:rsidP="00AC2005" w14:paraId="55BFD9FF" w14:textId="77777777">
            <w:pPr>
              <w:pStyle w:val="paragraph"/>
              <w:spacing w:before="0" w:beforeAutospacing="0" w:after="0" w:afterAutospacing="0"/>
              <w:textAlignment w:val="baseline"/>
            </w:pPr>
            <w:r>
              <w:rPr>
                <w:rStyle w:val="normaltextrun"/>
                <w:rFonts w:ascii="Arial" w:hAnsi="Arial" w:cs="Arial"/>
                <w:sz w:val="18"/>
                <w:szCs w:val="18"/>
              </w:rPr>
              <w:t>Differences in type of staff/sites participating in trainings and adopting the resource</w:t>
            </w:r>
            <w:r>
              <w:rPr>
                <w:rStyle w:val="eop"/>
                <w:rFonts w:ascii="Arial" w:hAnsi="Arial" w:cs="Arial"/>
                <w:sz w:val="18"/>
                <w:szCs w:val="18"/>
              </w:rPr>
              <w:t> </w:t>
            </w:r>
          </w:p>
        </w:tc>
      </w:tr>
      <w:tr w14:paraId="04F66CD0" w14:textId="77777777" w:rsidTr="00AC2005">
        <w:tblPrEx>
          <w:tblW w:w="0" w:type="dxa"/>
          <w:tblCellMar>
            <w:left w:w="0" w:type="dxa"/>
            <w:right w:w="0" w:type="dxa"/>
          </w:tblCellMar>
          <w:tblLook w:val="04A0"/>
        </w:tblPrEx>
        <w:trPr>
          <w:trHeight w:val="300"/>
        </w:trPr>
        <w:tc>
          <w:tcPr>
            <w:tcW w:w="1620" w:type="dxa"/>
            <w:tcBorders>
              <w:top w:val="dotted" w:sz="6" w:space="0" w:color="7C58A4"/>
              <w:left w:val="dotted" w:sz="6" w:space="0" w:color="7C58A4"/>
              <w:bottom w:val="dotted" w:sz="6" w:space="0" w:color="7C58A4"/>
              <w:right w:val="dotted" w:sz="6" w:space="0" w:color="7C58A4"/>
            </w:tcBorders>
            <w:shd w:val="clear" w:color="auto" w:fill="auto"/>
            <w:hideMark/>
          </w:tcPr>
          <w:p w:rsidR="00AC2005" w:rsidP="00AC2005" w14:paraId="70077DCC" w14:textId="77777777">
            <w:pPr>
              <w:pStyle w:val="paragraph"/>
              <w:spacing w:before="0" w:beforeAutospacing="0" w:after="0" w:afterAutospacing="0"/>
              <w:textAlignment w:val="baseline"/>
            </w:pPr>
            <w:r>
              <w:rPr>
                <w:rStyle w:val="normaltextrun"/>
                <w:rFonts w:ascii="Arial" w:hAnsi="Arial" w:cs="Arial"/>
                <w:b/>
                <w:bCs/>
                <w:sz w:val="18"/>
                <w:szCs w:val="18"/>
                <w:u w:val="single"/>
              </w:rPr>
              <w:t>I</w:t>
            </w:r>
            <w:r>
              <w:rPr>
                <w:rStyle w:val="normaltextrun"/>
                <w:rFonts w:ascii="Arial" w:hAnsi="Arial" w:cs="Arial"/>
                <w:b/>
                <w:bCs/>
                <w:sz w:val="18"/>
                <w:szCs w:val="18"/>
              </w:rPr>
              <w:t>mplementation</w:t>
            </w:r>
            <w:r>
              <w:rPr>
                <w:rStyle w:val="eop"/>
                <w:rFonts w:ascii="Arial" w:hAnsi="Arial" w:cs="Arial"/>
                <w:sz w:val="18"/>
                <w:szCs w:val="18"/>
              </w:rPr>
              <w:t> </w:t>
            </w:r>
          </w:p>
        </w:tc>
        <w:tc>
          <w:tcPr>
            <w:tcW w:w="4140" w:type="dxa"/>
            <w:tcBorders>
              <w:top w:val="dotted" w:sz="6" w:space="0" w:color="7C58A4"/>
              <w:left w:val="dotted" w:sz="6" w:space="0" w:color="7C58A4"/>
              <w:bottom w:val="dotted" w:sz="6" w:space="0" w:color="7C58A4"/>
              <w:right w:val="dotted" w:sz="6" w:space="0" w:color="7C58A4"/>
            </w:tcBorders>
            <w:shd w:val="clear" w:color="auto" w:fill="auto"/>
            <w:hideMark/>
          </w:tcPr>
          <w:p w:rsidR="00AC2005" w:rsidP="00AC2005" w14:paraId="6A71FC82" w14:textId="77777777">
            <w:pPr>
              <w:pStyle w:val="paragraph"/>
              <w:spacing w:before="0" w:beforeAutospacing="0" w:after="0" w:afterAutospacing="0"/>
              <w:textAlignment w:val="baseline"/>
            </w:pPr>
            <w:r>
              <w:rPr>
                <w:rStyle w:val="normaltextrun"/>
                <w:rFonts w:ascii="Arial" w:hAnsi="Arial" w:cs="Arial"/>
                <w:sz w:val="18"/>
                <w:szCs w:val="18"/>
              </w:rPr>
              <w:t>Feasibility, usefulness, utility, acceptability of the resource to stakeholders; adaptations to context and user needs; fidelity and consistency of resource delivery; standardization of implementation</w:t>
            </w:r>
            <w:r>
              <w:rPr>
                <w:rStyle w:val="eop"/>
                <w:rFonts w:ascii="Arial" w:hAnsi="Arial" w:cs="Arial"/>
                <w:sz w:val="18"/>
                <w:szCs w:val="18"/>
              </w:rPr>
              <w:t> </w:t>
            </w:r>
          </w:p>
        </w:tc>
        <w:tc>
          <w:tcPr>
            <w:tcW w:w="3555" w:type="dxa"/>
            <w:tcBorders>
              <w:top w:val="dotted" w:sz="6" w:space="0" w:color="7C58A4"/>
              <w:left w:val="dotted" w:sz="6" w:space="0" w:color="7C58A4"/>
              <w:bottom w:val="dotted" w:sz="6" w:space="0" w:color="7C58A4"/>
              <w:right w:val="dotted" w:sz="6" w:space="0" w:color="7C58A4"/>
            </w:tcBorders>
            <w:shd w:val="clear" w:color="auto" w:fill="auto"/>
            <w:hideMark/>
          </w:tcPr>
          <w:p w:rsidR="00AC2005" w:rsidP="00AC2005" w14:paraId="31F0FBBE" w14:textId="77777777">
            <w:pPr>
              <w:pStyle w:val="paragraph"/>
              <w:spacing w:before="0" w:beforeAutospacing="0" w:after="0" w:afterAutospacing="0"/>
              <w:textAlignment w:val="baseline"/>
            </w:pPr>
            <w:r>
              <w:rPr>
                <w:rStyle w:val="normaltextrun"/>
                <w:rFonts w:ascii="Arial" w:hAnsi="Arial" w:cs="Arial"/>
                <w:sz w:val="18"/>
                <w:szCs w:val="18"/>
              </w:rPr>
              <w:t>Equitable engagement of clinicians and staff; appropriate engagement of diverse patient groups; differences in support and resources provided for implementation</w:t>
            </w:r>
            <w:r>
              <w:rPr>
                <w:rStyle w:val="eop"/>
                <w:rFonts w:ascii="Arial" w:hAnsi="Arial" w:cs="Arial"/>
                <w:sz w:val="18"/>
                <w:szCs w:val="18"/>
              </w:rPr>
              <w:t> </w:t>
            </w:r>
          </w:p>
        </w:tc>
      </w:tr>
      <w:tr w14:paraId="7767D86F" w14:textId="77777777" w:rsidTr="00AC2005">
        <w:tblPrEx>
          <w:tblW w:w="0" w:type="dxa"/>
          <w:tblCellMar>
            <w:left w:w="0" w:type="dxa"/>
            <w:right w:w="0" w:type="dxa"/>
          </w:tblCellMar>
          <w:tblLook w:val="04A0"/>
        </w:tblPrEx>
        <w:trPr>
          <w:trHeight w:val="300"/>
        </w:trPr>
        <w:tc>
          <w:tcPr>
            <w:tcW w:w="1620" w:type="dxa"/>
            <w:tcBorders>
              <w:top w:val="dotted" w:sz="6" w:space="0" w:color="7C58A4"/>
              <w:left w:val="dotted" w:sz="6" w:space="0" w:color="7C58A4"/>
              <w:bottom w:val="dotted" w:sz="6" w:space="0" w:color="7C58A4"/>
              <w:right w:val="dotted" w:sz="6" w:space="0" w:color="7C58A4"/>
            </w:tcBorders>
            <w:shd w:val="clear" w:color="auto" w:fill="auto"/>
            <w:hideMark/>
          </w:tcPr>
          <w:p w:rsidR="00AC2005" w:rsidP="00AC2005" w14:paraId="7CB9114B" w14:textId="77777777">
            <w:pPr>
              <w:pStyle w:val="paragraph"/>
              <w:spacing w:before="0" w:beforeAutospacing="0" w:after="0" w:afterAutospacing="0"/>
              <w:textAlignment w:val="baseline"/>
            </w:pPr>
            <w:r>
              <w:rPr>
                <w:rStyle w:val="normaltextrun"/>
                <w:rFonts w:ascii="Arial" w:hAnsi="Arial" w:cs="Arial"/>
                <w:b/>
                <w:bCs/>
                <w:sz w:val="18"/>
                <w:szCs w:val="18"/>
                <w:u w:val="single"/>
              </w:rPr>
              <w:t>M</w:t>
            </w:r>
            <w:r>
              <w:rPr>
                <w:rStyle w:val="normaltextrun"/>
                <w:rFonts w:ascii="Arial" w:hAnsi="Arial" w:cs="Arial"/>
                <w:b/>
                <w:bCs/>
                <w:sz w:val="18"/>
                <w:szCs w:val="18"/>
              </w:rPr>
              <w:t>aintenance</w:t>
            </w:r>
            <w:r>
              <w:rPr>
                <w:rStyle w:val="eop"/>
                <w:rFonts w:ascii="Arial" w:hAnsi="Arial" w:cs="Arial"/>
                <w:sz w:val="18"/>
                <w:szCs w:val="18"/>
              </w:rPr>
              <w:t> </w:t>
            </w:r>
          </w:p>
        </w:tc>
        <w:tc>
          <w:tcPr>
            <w:tcW w:w="4140" w:type="dxa"/>
            <w:tcBorders>
              <w:top w:val="dotted" w:sz="6" w:space="0" w:color="7C58A4"/>
              <w:left w:val="dotted" w:sz="6" w:space="0" w:color="7C58A4"/>
              <w:bottom w:val="dotted" w:sz="6" w:space="0" w:color="7C58A4"/>
              <w:right w:val="dotted" w:sz="6" w:space="0" w:color="7C58A4"/>
            </w:tcBorders>
            <w:shd w:val="clear" w:color="auto" w:fill="auto"/>
            <w:hideMark/>
          </w:tcPr>
          <w:p w:rsidR="00AC2005" w:rsidP="00AC2005" w14:paraId="62D9711D" w14:textId="77777777">
            <w:pPr>
              <w:pStyle w:val="paragraph"/>
              <w:spacing w:before="0" w:beforeAutospacing="0" w:after="0" w:afterAutospacing="0"/>
              <w:textAlignment w:val="baseline"/>
            </w:pPr>
            <w:r>
              <w:rPr>
                <w:rStyle w:val="normaltextrun"/>
                <w:rFonts w:ascii="Arial" w:hAnsi="Arial" w:cs="Arial"/>
                <w:sz w:val="18"/>
                <w:szCs w:val="18"/>
              </w:rPr>
              <w:t>Spread and adoption of the resource over time; organization-wide interest; extent of de-implementation </w:t>
            </w:r>
            <w:r>
              <w:rPr>
                <w:rStyle w:val="eop"/>
                <w:rFonts w:ascii="Arial" w:hAnsi="Arial" w:cs="Arial"/>
                <w:sz w:val="18"/>
                <w:szCs w:val="18"/>
              </w:rPr>
              <w:t> </w:t>
            </w:r>
          </w:p>
        </w:tc>
        <w:tc>
          <w:tcPr>
            <w:tcW w:w="3555" w:type="dxa"/>
            <w:tcBorders>
              <w:top w:val="dotted" w:sz="6" w:space="0" w:color="7C58A4"/>
              <w:left w:val="dotted" w:sz="6" w:space="0" w:color="7C58A4"/>
              <w:bottom w:val="dotted" w:sz="6" w:space="0" w:color="7C58A4"/>
              <w:right w:val="dotted" w:sz="6" w:space="0" w:color="7C58A4"/>
            </w:tcBorders>
            <w:shd w:val="clear" w:color="auto" w:fill="auto"/>
            <w:hideMark/>
          </w:tcPr>
          <w:p w:rsidR="00AC2005" w:rsidP="00AC2005" w14:paraId="4AD563F0" w14:textId="77777777">
            <w:pPr>
              <w:pStyle w:val="paragraph"/>
              <w:spacing w:before="0" w:beforeAutospacing="0" w:after="0" w:afterAutospacing="0"/>
              <w:textAlignment w:val="baseline"/>
            </w:pPr>
            <w:r>
              <w:rPr>
                <w:rStyle w:val="normaltextrun"/>
                <w:rFonts w:ascii="Arial" w:hAnsi="Arial" w:cs="Arial"/>
                <w:sz w:val="18"/>
                <w:szCs w:val="18"/>
              </w:rPr>
              <w:t>Equitable sustainment approach; variation in resources for sustainment; reasons for de-implementation by setting/site type</w:t>
            </w:r>
            <w:r>
              <w:rPr>
                <w:rStyle w:val="eop"/>
                <w:rFonts w:ascii="Arial" w:hAnsi="Arial" w:cs="Arial"/>
                <w:sz w:val="18"/>
                <w:szCs w:val="18"/>
              </w:rPr>
              <w:t> </w:t>
            </w:r>
          </w:p>
        </w:tc>
      </w:tr>
    </w:tbl>
    <w:p w:rsidR="00AC2005" w:rsidP="00AC2005" w14:paraId="65E709E4" w14:textId="77777777">
      <w:pPr>
        <w:pStyle w:val="paragraph"/>
        <w:spacing w:before="0" w:beforeAutospacing="0" w:after="0" w:afterAutospacing="0"/>
        <w:ind w:firstLine="360"/>
        <w:textAlignment w:val="baseline"/>
        <w:rPr>
          <w:rFonts w:ascii="Segoe UI" w:hAnsi="Segoe UI" w:cs="Segoe UI"/>
          <w:sz w:val="18"/>
          <w:szCs w:val="18"/>
        </w:rPr>
      </w:pPr>
      <w:r>
        <w:rPr>
          <w:rStyle w:val="eop"/>
        </w:rPr>
        <w:t> </w:t>
      </w:r>
    </w:p>
    <w:p w:rsidR="00AC2005" w:rsidP="00AC2005" w14:paraId="6B735B7F" w14:textId="7A8D2F20">
      <w:pPr>
        <w:pStyle w:val="paragraph"/>
        <w:spacing w:before="0" w:beforeAutospacing="0" w:after="0" w:afterAutospacing="0"/>
        <w:ind w:firstLine="360"/>
        <w:jc w:val="both"/>
        <w:textAlignment w:val="baseline"/>
        <w:rPr>
          <w:rFonts w:ascii="Segoe UI" w:hAnsi="Segoe UI" w:cs="Segoe UI"/>
          <w:sz w:val="18"/>
          <w:szCs w:val="18"/>
        </w:rPr>
      </w:pPr>
      <w:r>
        <w:rPr>
          <w:rStyle w:val="normaltextrun"/>
        </w:rPr>
        <w:t xml:space="preserve">As an implementation evaluation aimed at increasing optimal and widespread use of these diagnostic safety resources, and not a hypothesis-driven outcomes study, </w:t>
      </w:r>
      <w:r w:rsidR="007C6DAA">
        <w:rPr>
          <w:rStyle w:val="normaltextrun"/>
        </w:rPr>
        <w:t xml:space="preserve">the </w:t>
      </w:r>
      <w:r>
        <w:rPr>
          <w:rStyle w:val="normaltextrun"/>
        </w:rPr>
        <w:t>analytic goal is to robustly describe implementation, use, and sustainment of these resources in practice, to understand factors associated with successful implementation, and establish guiding principles for implementation beyond this effort. </w:t>
      </w:r>
      <w:r>
        <w:rPr>
          <w:rStyle w:val="eop"/>
        </w:rPr>
        <w:t> </w:t>
      </w:r>
    </w:p>
    <w:p w:rsidR="00AC2005" w:rsidP="00AC2005" w14:paraId="438A1803" w14:textId="1A0E150F">
      <w:pPr>
        <w:pStyle w:val="paragraph"/>
        <w:spacing w:before="0" w:beforeAutospacing="0" w:after="0" w:afterAutospacing="0"/>
        <w:ind w:firstLine="360"/>
        <w:jc w:val="both"/>
        <w:textAlignment w:val="baseline"/>
        <w:rPr>
          <w:rFonts w:ascii="Segoe UI" w:hAnsi="Segoe UI" w:cs="Segoe UI"/>
          <w:sz w:val="18"/>
          <w:szCs w:val="18"/>
        </w:rPr>
      </w:pPr>
      <w:r>
        <w:rPr>
          <w:rStyle w:val="normaltextrun"/>
        </w:rPr>
        <w:t xml:space="preserve">For </w:t>
      </w:r>
      <w:r>
        <w:rPr>
          <w:rStyle w:val="normaltextrun"/>
          <w:b/>
          <w:bCs/>
        </w:rPr>
        <w:t>primary outcomes</w:t>
      </w:r>
      <w:r>
        <w:rPr>
          <w:rStyle w:val="normaltextrun"/>
        </w:rPr>
        <w:t>, each resource will evaluate pre-post changes in the measures most relevant to its diagnostic safety objective at different levels of evaluation (</w:t>
      </w:r>
      <w:r>
        <w:rPr>
          <w:rStyle w:val="normaltextrun"/>
          <w:b/>
          <w:bCs/>
        </w:rPr>
        <w:t xml:space="preserve">Figure </w:t>
      </w:r>
      <w:r w:rsidR="00982635">
        <w:rPr>
          <w:rStyle w:val="normaltextrun"/>
          <w:b/>
          <w:bCs/>
        </w:rPr>
        <w:t>1</w:t>
      </w:r>
      <w:r>
        <w:rPr>
          <w:rStyle w:val="normaltextrun"/>
        </w:rPr>
        <w:t>). </w:t>
      </w:r>
      <w:r>
        <w:rPr>
          <w:rStyle w:val="eop"/>
        </w:rPr>
        <w:t> </w:t>
      </w:r>
    </w:p>
    <w:p w:rsidR="00AC2005" w:rsidP="00AC2005" w14:paraId="23C8151E" w14:textId="0BD6D5F8">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sz w:val="20"/>
          <w:szCs w:val="20"/>
        </w:rPr>
        <w:br w:type="page"/>
      </w:r>
      <w:r>
        <w:rPr>
          <w:rStyle w:val="normaltextrun"/>
          <w:rFonts w:ascii="Arial" w:hAnsi="Arial" w:cs="Arial"/>
          <w:b/>
          <w:bCs/>
          <w:sz w:val="20"/>
          <w:szCs w:val="20"/>
        </w:rPr>
        <w:t xml:space="preserve">Figure </w:t>
      </w:r>
      <w:r w:rsidR="00FF5ECA">
        <w:rPr>
          <w:rStyle w:val="normaltextrun"/>
          <w:rFonts w:ascii="Arial" w:hAnsi="Arial" w:cs="Arial"/>
          <w:b/>
          <w:bCs/>
          <w:sz w:val="20"/>
          <w:szCs w:val="20"/>
        </w:rPr>
        <w:t>1</w:t>
      </w:r>
      <w:r>
        <w:rPr>
          <w:rStyle w:val="normaltextrun"/>
          <w:rFonts w:ascii="Arial" w:hAnsi="Arial" w:cs="Arial"/>
          <w:b/>
          <w:bCs/>
          <w:sz w:val="20"/>
          <w:szCs w:val="20"/>
        </w:rPr>
        <w:t>. Evaluation Levels and Primary Outcomes for Each Resource</w:t>
      </w:r>
      <w:r>
        <w:rPr>
          <w:rStyle w:val="eop"/>
          <w:rFonts w:ascii="Arial" w:hAnsi="Arial" w:cs="Arial"/>
          <w:b/>
          <w:bCs/>
          <w:sz w:val="20"/>
          <w:szCs w:val="20"/>
        </w:rPr>
        <w:t> </w:t>
      </w:r>
    </w:p>
    <w:p w:rsidR="00AC2005" w:rsidP="000D3637" w14:paraId="4DDED433" w14:textId="77777777">
      <w:pPr>
        <w:pStyle w:val="paragraph"/>
        <w:spacing w:before="0" w:beforeAutospacing="0" w:after="0" w:afterAutospacing="0"/>
        <w:ind w:firstLine="36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extent cx="3969385" cy="1288415"/>
            <wp:effectExtent l="0" t="0" r="0" b="0"/>
            <wp:docPr id="1" name="Picture 1" descr="A picture containing text, electronics, hard disc, screensho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electronics, hard disc, screenshot&#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3969385" cy="1288415"/>
                    </a:xfrm>
                    <a:prstGeom prst="rect">
                      <a:avLst/>
                    </a:prstGeom>
                    <a:noFill/>
                    <a:ln>
                      <a:noFill/>
                    </a:ln>
                  </pic:spPr>
                </pic:pic>
              </a:graphicData>
            </a:graphic>
          </wp:inline>
        </w:drawing>
      </w:r>
    </w:p>
    <w:p w:rsidR="00AC2005" w:rsidP="00AC2005" w14:paraId="787F7A1F" w14:textId="77777777">
      <w:pPr>
        <w:pStyle w:val="paragraph"/>
        <w:spacing w:before="0" w:beforeAutospacing="0" w:after="0" w:afterAutospacing="0"/>
        <w:ind w:firstLine="360"/>
        <w:textAlignment w:val="baseline"/>
        <w:rPr>
          <w:rStyle w:val="normaltextrun"/>
        </w:rPr>
      </w:pPr>
    </w:p>
    <w:p w:rsidR="00AC2005" w:rsidP="00AC2005" w14:paraId="4D7CF00C" w14:textId="136DA17C">
      <w:pPr>
        <w:pStyle w:val="paragraph"/>
        <w:spacing w:before="0" w:beforeAutospacing="0" w:after="0" w:afterAutospacing="0"/>
        <w:ind w:firstLine="360"/>
        <w:textAlignment w:val="baseline"/>
        <w:rPr>
          <w:rFonts w:ascii="Segoe UI" w:hAnsi="Segoe UI" w:cs="Segoe UI"/>
          <w:sz w:val="18"/>
          <w:szCs w:val="18"/>
        </w:rPr>
      </w:pPr>
      <w:r>
        <w:rPr>
          <w:rStyle w:val="normaltextrun"/>
        </w:rPr>
        <w:t>In addition, data on resource-specific implementation and impact using targeted metrics</w:t>
      </w:r>
      <w:r w:rsidR="007C6DAA">
        <w:rPr>
          <w:rStyle w:val="normaltextrun"/>
        </w:rPr>
        <w:t xml:space="preserve"> will be collected</w:t>
      </w:r>
      <w:r>
        <w:rPr>
          <w:rStyle w:val="normaltextrun"/>
        </w:rPr>
        <w:t xml:space="preserve">. For example, to measure </w:t>
      </w:r>
      <w:r>
        <w:rPr>
          <w:rStyle w:val="normaltextrun"/>
          <w:b/>
          <w:bCs/>
          <w:u w:val="single"/>
        </w:rPr>
        <w:t>R</w:t>
      </w:r>
      <w:r>
        <w:rPr>
          <w:rStyle w:val="normaltextrun"/>
          <w:b/>
          <w:bCs/>
        </w:rPr>
        <w:t>each</w:t>
      </w:r>
      <w:r>
        <w:rPr>
          <w:rStyle w:val="normaltextrun"/>
        </w:rPr>
        <w:t xml:space="preserve"> of Calibrate Dx, number and </w:t>
      </w:r>
      <w:r w:rsidRPr="007C6DAA">
        <w:rPr>
          <w:rStyle w:val="normaltextrun"/>
        </w:rPr>
        <w:t>type of scenarios and patient populations targeted for evaluation</w:t>
      </w:r>
      <w:r w:rsidRPr="007C6DAA" w:rsidR="007C6DAA">
        <w:rPr>
          <w:rStyle w:val="normaltextrun"/>
        </w:rPr>
        <w:t xml:space="preserve"> will be collected</w:t>
      </w:r>
      <w:r w:rsidRPr="007C6DAA">
        <w:rPr>
          <w:rStyle w:val="normaltextrun"/>
        </w:rPr>
        <w:t>, based on clinician documentation in</w:t>
      </w:r>
      <w:r w:rsidRPr="007C6DAA" w:rsidR="007C6DAA">
        <w:rPr>
          <w:rStyle w:val="normaltextrun"/>
        </w:rPr>
        <w:t xml:space="preserve"> the </w:t>
      </w:r>
      <w:r w:rsidRPr="007C6DAA" w:rsidR="007C6DAA">
        <w:rPr>
          <w:color w:val="000000"/>
        </w:rPr>
        <w:t>Calibrate Dx Survey</w:t>
      </w:r>
      <w:r w:rsidRPr="007C6DAA">
        <w:rPr>
          <w:rStyle w:val="normaltextrun"/>
        </w:rPr>
        <w:t xml:space="preserve"> </w:t>
      </w:r>
      <w:r w:rsidRPr="007C6DAA" w:rsidR="0090017A">
        <w:rPr>
          <w:rStyle w:val="normaltextrun"/>
        </w:rPr>
        <w:t>(</w:t>
      </w:r>
      <w:r w:rsidRPr="007C6DAA" w:rsidR="007C6DAA">
        <w:t>Attachment P</w:t>
      </w:r>
      <w:r w:rsidRPr="007C6DAA" w:rsidR="0090017A">
        <w:rPr>
          <w:rStyle w:val="normaltextrun"/>
        </w:rPr>
        <w:t>)</w:t>
      </w:r>
      <w:r w:rsidRPr="00794092">
        <w:rPr>
          <w:rStyle w:val="normaltextrun"/>
        </w:rPr>
        <w:t>.</w:t>
      </w:r>
      <w:r w:rsidRPr="007C6DAA">
        <w:rPr>
          <w:rStyle w:val="normaltextrun"/>
        </w:rPr>
        <w:t xml:space="preserve"> To measure </w:t>
      </w:r>
      <w:r w:rsidRPr="007C6DAA">
        <w:rPr>
          <w:rStyle w:val="normaltextrun"/>
          <w:b/>
          <w:bCs/>
          <w:u w:val="single"/>
        </w:rPr>
        <w:t>E</w:t>
      </w:r>
      <w:r w:rsidRPr="007C6DAA">
        <w:rPr>
          <w:rStyle w:val="normaltextrun"/>
          <w:b/>
          <w:bCs/>
        </w:rPr>
        <w:t>ffectiveness</w:t>
      </w:r>
      <w:r w:rsidRPr="007C6DAA">
        <w:rPr>
          <w:rStyle w:val="normaltextrun"/>
        </w:rPr>
        <w:t xml:space="preserve"> of the Patient Toolkit, we will </w:t>
      </w:r>
      <w:r w:rsidRPr="00794092" w:rsidR="0090017A">
        <w:rPr>
          <w:rStyle w:val="normaltextrun"/>
        </w:rPr>
        <w:t xml:space="preserve">use the </w:t>
      </w:r>
      <w:r w:rsidRPr="007C6DAA" w:rsidR="007C6DAA">
        <w:rPr>
          <w:color w:val="000000"/>
        </w:rPr>
        <w:t>Patient Toolkit Survey-Provider</w:t>
      </w:r>
      <w:r w:rsidRPr="00794092" w:rsidR="007C6DAA">
        <w:rPr>
          <w:rStyle w:val="normaltextrun"/>
        </w:rPr>
        <w:t xml:space="preserve"> </w:t>
      </w:r>
      <w:r w:rsidRPr="00794092" w:rsidR="007C6DAA">
        <w:rPr>
          <w:rStyle w:val="normaltextrun"/>
        </w:rPr>
        <w:t>(</w:t>
      </w:r>
      <w:r w:rsidRPr="007C6DAA" w:rsidR="007C6DAA">
        <w:t>Attachment S</w:t>
      </w:r>
      <w:r w:rsidRPr="00794092" w:rsidR="007C6DAA">
        <w:rPr>
          <w:rStyle w:val="normaltextrun"/>
        </w:rPr>
        <w:t xml:space="preserve">) </w:t>
      </w:r>
      <w:r w:rsidRPr="007C6DAA" w:rsidR="00E43729">
        <w:rPr>
          <w:rStyle w:val="normaltextrun"/>
        </w:rPr>
        <w:t xml:space="preserve">to </w:t>
      </w:r>
      <w:r w:rsidRPr="007C6DAA">
        <w:rPr>
          <w:rStyle w:val="normaltextrun"/>
        </w:rPr>
        <w:t>assess number and type of providers who used the 60 Seconds to Improve Diagnostic Safety</w:t>
      </w:r>
      <w:r w:rsidRPr="007C6DAA" w:rsidR="0090017A">
        <w:rPr>
          <w:rStyle w:val="normaltextrun"/>
        </w:rPr>
        <w:t xml:space="preserve"> </w:t>
      </w:r>
      <w:r w:rsidRPr="007C6DAA">
        <w:rPr>
          <w:rStyle w:val="normaltextrun"/>
        </w:rPr>
        <w:t xml:space="preserve">component with improvements in communication effectiveness. For Measure Dx </w:t>
      </w:r>
      <w:r w:rsidRPr="007C6DAA">
        <w:rPr>
          <w:rStyle w:val="normaltextrun"/>
          <w:b/>
          <w:bCs/>
          <w:u w:val="single"/>
        </w:rPr>
        <w:t>E</w:t>
      </w:r>
      <w:r w:rsidRPr="007C6DAA">
        <w:rPr>
          <w:rStyle w:val="normaltextrun"/>
          <w:b/>
          <w:bCs/>
        </w:rPr>
        <w:t>ffectiveness</w:t>
      </w:r>
      <w:r w:rsidRPr="007C6DAA">
        <w:rPr>
          <w:rStyle w:val="normaltextrun"/>
        </w:rPr>
        <w:t>, we will use various composite measures</w:t>
      </w:r>
      <w:r>
        <w:rPr>
          <w:rStyle w:val="normaltextrun"/>
        </w:rPr>
        <w:t xml:space="preserve"> from the SOPS surveys </w:t>
      </w:r>
      <w:r w:rsidR="000D3637">
        <w:rPr>
          <w:rStyle w:val="normaltextrun"/>
        </w:rPr>
        <w:t>(</w:t>
      </w:r>
      <w:r w:rsidRPr="00794092" w:rsidR="000D3637">
        <w:t>Attachment E</w:t>
      </w:r>
      <w:r w:rsidRPr="00794092" w:rsidR="000D3637">
        <w:rPr>
          <w:rStyle w:val="normaltextrun"/>
        </w:rPr>
        <w:t xml:space="preserve"> </w:t>
      </w:r>
      <w:r w:rsidRPr="007C6DAA" w:rsidR="000D3637">
        <w:rPr>
          <w:rStyle w:val="normaltextrun"/>
        </w:rPr>
        <w:t>and</w:t>
      </w:r>
      <w:r w:rsidRPr="00794092" w:rsidR="000D3637">
        <w:rPr>
          <w:rStyle w:val="normaltextrun"/>
        </w:rPr>
        <w:t xml:space="preserve"> </w:t>
      </w:r>
      <w:r w:rsidRPr="00794092" w:rsidR="000D3637">
        <w:t>Attachment F</w:t>
      </w:r>
      <w:r w:rsidR="000D3637">
        <w:rPr>
          <w:rStyle w:val="normaltextrun"/>
        </w:rPr>
        <w:t xml:space="preserve">) </w:t>
      </w:r>
      <w:r>
        <w:rPr>
          <w:rStyle w:val="normaltextrun"/>
        </w:rPr>
        <w:t xml:space="preserve">such as the Leadership Support for Patient Safety measure and Time Availability and Testing and Referrals measures. To measure </w:t>
      </w:r>
      <w:r>
        <w:rPr>
          <w:rStyle w:val="normaltextrun"/>
          <w:b/>
          <w:bCs/>
          <w:u w:val="single"/>
        </w:rPr>
        <w:t>A</w:t>
      </w:r>
      <w:r>
        <w:rPr>
          <w:rStyle w:val="normaltextrun"/>
          <w:b/>
          <w:bCs/>
        </w:rPr>
        <w:t>doption</w:t>
      </w:r>
      <w:r>
        <w:rPr>
          <w:rStyle w:val="normaltextrun"/>
        </w:rPr>
        <w:t xml:space="preserve"> of Calibrate Dx, we will capture the number of Calibrate Dx users and number of cases reviewed</w:t>
      </w:r>
      <w:r w:rsidR="00611BF0">
        <w:rPr>
          <w:rStyle w:val="normaltextrun"/>
        </w:rPr>
        <w:t xml:space="preserve"> (</w:t>
      </w:r>
      <w:r w:rsidRPr="007C6DAA" w:rsidR="00875CB0">
        <w:rPr>
          <w:color w:val="000000"/>
        </w:rPr>
        <w:t>Calibrate Dx Survey</w:t>
      </w:r>
      <w:r w:rsidRPr="007C6DAA" w:rsidR="00875CB0">
        <w:rPr>
          <w:rStyle w:val="normaltextrun"/>
        </w:rPr>
        <w:t xml:space="preserve"> (</w:t>
      </w:r>
      <w:r w:rsidRPr="007C6DAA" w:rsidR="00875CB0">
        <w:t>Attachment P</w:t>
      </w:r>
      <w:r w:rsidRPr="007C6DAA" w:rsidR="00875CB0">
        <w:rPr>
          <w:rStyle w:val="normaltextrun"/>
        </w:rPr>
        <w:t>)</w:t>
      </w:r>
      <w:r w:rsidR="00611BF0">
        <w:rPr>
          <w:rStyle w:val="normaltextrun"/>
        </w:rPr>
        <w:t>)</w:t>
      </w:r>
      <w:r>
        <w:rPr>
          <w:rStyle w:val="normaltextrun"/>
        </w:rPr>
        <w:t>. </w:t>
      </w:r>
      <w:r>
        <w:rPr>
          <w:rStyle w:val="eop"/>
        </w:rPr>
        <w:t> </w:t>
      </w:r>
    </w:p>
    <w:p w:rsidR="00AC2005" w:rsidP="00AC2005" w14:paraId="4D11CEB5" w14:textId="77777777">
      <w:pPr>
        <w:pStyle w:val="paragraph"/>
        <w:spacing w:before="0" w:beforeAutospacing="0" w:after="0" w:afterAutospacing="0"/>
        <w:ind w:left="360" w:hanging="360"/>
        <w:textAlignment w:val="baseline"/>
        <w:rPr>
          <w:rStyle w:val="normaltextrun"/>
          <w:rFonts w:ascii="Arial" w:hAnsi="Arial" w:cs="Arial"/>
          <w:i/>
          <w:iCs/>
        </w:rPr>
      </w:pPr>
    </w:p>
    <w:p w:rsidR="00AC2005" w:rsidP="00AC2005" w14:paraId="3F33C122" w14:textId="77777777">
      <w:pPr>
        <w:pStyle w:val="paragraph"/>
        <w:spacing w:before="0" w:beforeAutospacing="0" w:after="0" w:afterAutospacing="0"/>
        <w:ind w:left="360" w:hanging="360"/>
        <w:textAlignment w:val="baseline"/>
        <w:rPr>
          <w:rFonts w:ascii="Segoe UI" w:hAnsi="Segoe UI" w:cs="Segoe UI"/>
          <w:i/>
          <w:iCs/>
          <w:sz w:val="18"/>
          <w:szCs w:val="18"/>
        </w:rPr>
      </w:pPr>
      <w:r>
        <w:rPr>
          <w:rStyle w:val="normaltextrun"/>
          <w:rFonts w:ascii="Arial" w:hAnsi="Arial" w:cs="Arial"/>
          <w:i/>
          <w:iCs/>
        </w:rPr>
        <w:t>Quantitative Data Analysis</w:t>
      </w:r>
      <w:r>
        <w:rPr>
          <w:rStyle w:val="eop"/>
          <w:rFonts w:ascii="Arial" w:hAnsi="Arial" w:cs="Arial"/>
          <w:i/>
          <w:iCs/>
        </w:rPr>
        <w:t> </w:t>
      </w:r>
    </w:p>
    <w:p w:rsidR="00AC2005" w:rsidP="00AC2005" w14:paraId="3F8504DA" w14:textId="5C91C114">
      <w:pPr>
        <w:pStyle w:val="paragraph"/>
        <w:spacing w:before="0" w:beforeAutospacing="0" w:after="0" w:afterAutospacing="0"/>
        <w:ind w:firstLine="360"/>
        <w:textAlignment w:val="baseline"/>
        <w:rPr>
          <w:rFonts w:ascii="Segoe UI" w:hAnsi="Segoe UI" w:cs="Segoe UI"/>
          <w:sz w:val="18"/>
          <w:szCs w:val="18"/>
        </w:rPr>
      </w:pPr>
      <w:r>
        <w:rPr>
          <w:rStyle w:val="normaltextrun"/>
        </w:rPr>
        <w:t>C</w:t>
      </w:r>
      <w:r>
        <w:rPr>
          <w:rStyle w:val="normaltextrun"/>
        </w:rPr>
        <w:t xml:space="preserve">hanges over time in </w:t>
      </w:r>
      <w:r>
        <w:rPr>
          <w:rStyle w:val="normaltextrun"/>
        </w:rPr>
        <w:t xml:space="preserve">the </w:t>
      </w:r>
      <w:r>
        <w:rPr>
          <w:rStyle w:val="normaltextrun"/>
        </w:rPr>
        <w:t xml:space="preserve">outcomes of interest </w:t>
      </w:r>
      <w:r>
        <w:rPr>
          <w:rStyle w:val="normaltextrun"/>
        </w:rPr>
        <w:t xml:space="preserve">will be assessed </w:t>
      </w:r>
      <w:r>
        <w:rPr>
          <w:rStyle w:val="normaltextrun"/>
        </w:rPr>
        <w:t>and how these effects might vary by relevant individual clinician, patient, or site characteristics</w:t>
      </w:r>
      <w:r>
        <w:rPr>
          <w:rStyle w:val="normaltextrun"/>
        </w:rPr>
        <w:t xml:space="preserve"> will be evaluated</w:t>
      </w:r>
      <w:r>
        <w:rPr>
          <w:rStyle w:val="normaltextrun"/>
        </w:rPr>
        <w:t xml:space="preserve">. </w:t>
      </w:r>
      <w:r>
        <w:rPr>
          <w:rStyle w:val="normaltextrun"/>
        </w:rPr>
        <w:t xml:space="preserve">The </w:t>
      </w:r>
      <w:r>
        <w:rPr>
          <w:rStyle w:val="normaltextrun"/>
        </w:rPr>
        <w:t xml:space="preserve">analytic team, led by a PhD-level statistician, will employ various methods to achieve this. For example, for appropriate outcomes, generalized linear models with post-implementation indicators and site-specific fixed effects </w:t>
      </w:r>
      <w:r>
        <w:rPr>
          <w:rStyle w:val="normaltextrun"/>
        </w:rPr>
        <w:t xml:space="preserve">will be used </w:t>
      </w:r>
      <w:r>
        <w:rPr>
          <w:rStyle w:val="normaltextrun"/>
        </w:rPr>
        <w:t xml:space="preserve">to obtain estimates of average individual-level post-implementation changes, by site, post-treatment </w:t>
      </w:r>
      <w:r>
        <w:rPr>
          <w:rStyle w:val="advancedproofingissue"/>
        </w:rPr>
        <w:t>time period</w:t>
      </w:r>
      <w:r>
        <w:rPr>
          <w:rStyle w:val="normaltextrun"/>
        </w:rPr>
        <w:t>, and averaged across sites and time (noting that some versions of these models produce coefficient estimates corresponding to paired t-tests). When appropriate, the Wilcoxon signed rank test to test for these same changes</w:t>
      </w:r>
      <w:r>
        <w:rPr>
          <w:rStyle w:val="normaltextrun"/>
        </w:rPr>
        <w:t xml:space="preserve"> will be used</w:t>
      </w:r>
      <w:r>
        <w:rPr>
          <w:rStyle w:val="normaltextrun"/>
        </w:rPr>
        <w:t xml:space="preserve">. To understand how participant-level effects vary at the individual-level by site characteristic (e.g., urban versus rural, academic versus non-academic), where </w:t>
      </w:r>
      <w:r>
        <w:rPr>
          <w:rStyle w:val="normaltextrun"/>
        </w:rPr>
        <w:t>there is</w:t>
      </w:r>
      <w:r>
        <w:rPr>
          <w:rStyle w:val="normaltextrun"/>
        </w:rPr>
        <w:t xml:space="preserve"> sufficient data, covariates and relevant interactions in the models</w:t>
      </w:r>
      <w:r>
        <w:rPr>
          <w:rStyle w:val="normaltextrun"/>
        </w:rPr>
        <w:t xml:space="preserve"> will be included</w:t>
      </w:r>
      <w:r>
        <w:rPr>
          <w:rStyle w:val="normaltextrun"/>
        </w:rPr>
        <w:t xml:space="preserve">. </w:t>
      </w:r>
      <w:r>
        <w:rPr>
          <w:rStyle w:val="normaltextrun"/>
        </w:rPr>
        <w:t>S</w:t>
      </w:r>
      <w:r>
        <w:rPr>
          <w:rStyle w:val="normaltextrun"/>
        </w:rPr>
        <w:t>ite-level effects and effect heterogeneity</w:t>
      </w:r>
      <w:r>
        <w:rPr>
          <w:rStyle w:val="normaltextrun"/>
        </w:rPr>
        <w:t xml:space="preserve"> will also be explored</w:t>
      </w:r>
      <w:r>
        <w:rPr>
          <w:rStyle w:val="normaltextrun"/>
        </w:rPr>
        <w:t xml:space="preserve">, including improvements in RE-AIM metrics, utilizing meta-analytic methods. For example, average changes in the outcome at the site-level </w:t>
      </w:r>
      <w:r>
        <w:rPr>
          <w:rStyle w:val="normaltextrun"/>
        </w:rPr>
        <w:t xml:space="preserve">will be modeled </w:t>
      </w:r>
      <w:r>
        <w:rPr>
          <w:rStyle w:val="normaltextrun"/>
        </w:rPr>
        <w:t xml:space="preserve">as a function of covariates using random effects models and the Hartung-Knapp adjustment as needed for sub-analyses with smaller numbers of sites (e.g., rural sites). Throughout, </w:t>
      </w:r>
      <w:r>
        <w:rPr>
          <w:rStyle w:val="normaltextrun"/>
        </w:rPr>
        <w:t xml:space="preserve">there will be </w:t>
      </w:r>
      <w:r>
        <w:rPr>
          <w:rStyle w:val="normaltextrun"/>
        </w:rPr>
        <w:t>account</w:t>
      </w:r>
      <w:r>
        <w:rPr>
          <w:rStyle w:val="normaltextrun"/>
        </w:rPr>
        <w:t>ing</w:t>
      </w:r>
      <w:r>
        <w:rPr>
          <w:rStyle w:val="normaltextrun"/>
        </w:rPr>
        <w:t xml:space="preserve"> for missing covariate data using multiple imputation and missing outcome information by using attrition weighting.</w:t>
      </w:r>
      <w:r>
        <w:rPr>
          <w:rStyle w:val="eop"/>
        </w:rPr>
        <w:t> </w:t>
      </w:r>
    </w:p>
    <w:p w:rsidR="00AC2005" w:rsidP="00AC2005" w14:paraId="6D17EE51" w14:textId="77777777">
      <w:pPr>
        <w:pStyle w:val="paragraph"/>
        <w:spacing w:before="0" w:beforeAutospacing="0" w:after="0" w:afterAutospacing="0"/>
        <w:ind w:left="270" w:hanging="360"/>
        <w:textAlignment w:val="baseline"/>
        <w:rPr>
          <w:rStyle w:val="normaltextrun"/>
          <w:rFonts w:ascii="Arial" w:hAnsi="Arial" w:cs="Arial"/>
          <w:i/>
          <w:iCs/>
        </w:rPr>
      </w:pPr>
    </w:p>
    <w:p w:rsidR="00AC2005" w:rsidP="00AC2005" w14:paraId="4A1E926F" w14:textId="77777777">
      <w:pPr>
        <w:pStyle w:val="paragraph"/>
        <w:spacing w:before="0" w:beforeAutospacing="0" w:after="0" w:afterAutospacing="0"/>
        <w:ind w:left="270" w:hanging="360"/>
        <w:textAlignment w:val="baseline"/>
        <w:rPr>
          <w:rFonts w:ascii="Segoe UI" w:hAnsi="Segoe UI" w:cs="Segoe UI"/>
          <w:i/>
          <w:iCs/>
          <w:sz w:val="18"/>
          <w:szCs w:val="18"/>
        </w:rPr>
      </w:pPr>
      <w:r>
        <w:rPr>
          <w:rStyle w:val="normaltextrun"/>
          <w:rFonts w:ascii="Arial" w:hAnsi="Arial" w:cs="Arial"/>
          <w:i/>
          <w:iCs/>
        </w:rPr>
        <w:t>Qualitative Data Analysis</w:t>
      </w:r>
      <w:r>
        <w:rPr>
          <w:rStyle w:val="eop"/>
          <w:rFonts w:ascii="Arial" w:hAnsi="Arial" w:cs="Arial"/>
          <w:i/>
          <w:iCs/>
        </w:rPr>
        <w:t> </w:t>
      </w:r>
    </w:p>
    <w:p w:rsidR="00AC2005" w:rsidP="00AC2005" w14:paraId="11E493A7" w14:textId="38EBA691">
      <w:pPr>
        <w:pStyle w:val="paragraph"/>
        <w:spacing w:before="0" w:beforeAutospacing="0" w:after="0" w:afterAutospacing="0"/>
        <w:ind w:firstLine="360"/>
        <w:textAlignment w:val="baseline"/>
        <w:rPr>
          <w:rFonts w:ascii="Segoe UI" w:hAnsi="Segoe UI" w:cs="Segoe UI"/>
          <w:sz w:val="18"/>
          <w:szCs w:val="18"/>
        </w:rPr>
      </w:pPr>
      <w:r>
        <w:rPr>
          <w:rStyle w:val="normaltextrun"/>
          <w:color w:val="000000"/>
        </w:rPr>
        <w:t xml:space="preserve">Interviews will be conducted virtually by researchers trained in qualitative data collection in healthcare settings, audio-recorded and transcribed, following verbal consent from participants. Semi-structured interview protocols to guide the discussion </w:t>
      </w:r>
      <w:r>
        <w:rPr>
          <w:rStyle w:val="normaltextrun"/>
          <w:color w:val="000000"/>
        </w:rPr>
        <w:t xml:space="preserve">will be deductively developed based on the objectives of the data collection. </w:t>
      </w:r>
      <w:r w:rsidRPr="00794092">
        <w:rPr>
          <w:rStyle w:val="spellingerror"/>
          <w:color w:val="000000"/>
        </w:rPr>
        <w:t>Dedoose</w:t>
      </w:r>
      <w:r w:rsidRPr="007C6DAA">
        <w:rPr>
          <w:rStyle w:val="normaltextrun"/>
          <w:color w:val="000000"/>
        </w:rPr>
        <w:t xml:space="preserve"> s</w:t>
      </w:r>
      <w:r>
        <w:rPr>
          <w:rStyle w:val="normaltextrun"/>
          <w:color w:val="000000"/>
        </w:rPr>
        <w:t xml:space="preserve">oftware </w:t>
      </w:r>
      <w:r w:rsidR="007C6DAA">
        <w:rPr>
          <w:rStyle w:val="normaltextrun"/>
          <w:color w:val="000000"/>
        </w:rPr>
        <w:t xml:space="preserve">will be used </w:t>
      </w:r>
      <w:r>
        <w:rPr>
          <w:rStyle w:val="normaltextrun"/>
          <w:color w:val="000000"/>
        </w:rPr>
        <w:t xml:space="preserve">for all qualitative data coding and analysis. Codebooks will be developed iteratively and used to code data using a thematic analysis. </w:t>
      </w:r>
      <w:r w:rsidR="007C6DAA">
        <w:rPr>
          <w:rStyle w:val="normaltextrun"/>
          <w:color w:val="000000"/>
        </w:rPr>
        <w:t>A</w:t>
      </w:r>
      <w:r>
        <w:rPr>
          <w:rStyle w:val="normaltextrun"/>
          <w:color w:val="000000"/>
        </w:rPr>
        <w:t xml:space="preserve"> joint coding approach in which each coder will independently code each unique transcript once reliability is established</w:t>
      </w:r>
      <w:r w:rsidR="007C6DAA">
        <w:rPr>
          <w:rStyle w:val="normaltextrun"/>
          <w:color w:val="000000"/>
        </w:rPr>
        <w:t xml:space="preserve"> will be used</w:t>
      </w:r>
      <w:r>
        <w:rPr>
          <w:rStyle w:val="normaltextrun"/>
          <w:color w:val="000000"/>
        </w:rPr>
        <w:t xml:space="preserve">. </w:t>
      </w:r>
      <w:r w:rsidR="007C6DAA">
        <w:rPr>
          <w:rStyle w:val="normaltextrun"/>
          <w:color w:val="000000"/>
        </w:rPr>
        <w:t>I</w:t>
      </w:r>
      <w:r>
        <w:rPr>
          <w:rStyle w:val="normaltextrun"/>
          <w:color w:val="000000"/>
        </w:rPr>
        <w:t xml:space="preserve">nter-rater reliability (IRR) </w:t>
      </w:r>
      <w:r w:rsidR="007C6DAA">
        <w:rPr>
          <w:rStyle w:val="normaltextrun"/>
          <w:color w:val="000000"/>
        </w:rPr>
        <w:t xml:space="preserve">will be established </w:t>
      </w:r>
      <w:r>
        <w:rPr>
          <w:rStyle w:val="normaltextrun"/>
          <w:color w:val="000000"/>
        </w:rPr>
        <w:t>by independently coding a set of transcripts and a kappa score</w:t>
      </w:r>
      <w:r w:rsidR="007C6DAA">
        <w:rPr>
          <w:rStyle w:val="normaltextrun"/>
          <w:color w:val="000000"/>
        </w:rPr>
        <w:t xml:space="preserve"> will be calculated</w:t>
      </w:r>
      <w:r>
        <w:rPr>
          <w:rStyle w:val="normaltextrun"/>
          <w:color w:val="000000"/>
        </w:rPr>
        <w:t xml:space="preserve">. Themes will be compared across sites and across cohorts to identify common and differing factors affecting implementation. Observations of selected TA and/or training sessions will use </w:t>
      </w:r>
      <w:r w:rsidR="007C6DAA">
        <w:rPr>
          <w:rStyle w:val="normaltextrun"/>
          <w:color w:val="000000"/>
        </w:rPr>
        <w:t xml:space="preserve">a </w:t>
      </w:r>
      <w:r>
        <w:rPr>
          <w:rStyle w:val="normaltextrun"/>
          <w:color w:val="000000"/>
        </w:rPr>
        <w:t>guide to capture field notes on participant engagement and adoption, participant needs related to training and implementation, barriers and facilitators to implementation, and key success factors or implementation success stories. </w:t>
      </w:r>
      <w:r>
        <w:rPr>
          <w:rStyle w:val="eop"/>
          <w:color w:val="000000"/>
        </w:rPr>
        <w:t> </w:t>
      </w:r>
    </w:p>
    <w:p w:rsidR="00AC2005" w:rsidRPr="00874B68" w:rsidP="00874B68" w14:paraId="090133A8" w14:textId="77777777"/>
    <w:p w:rsidR="005453AD" w:rsidRPr="001D0454" w:rsidP="005453AD" w14:paraId="0E275A2C" w14:textId="739F91B1">
      <w:pPr>
        <w:pStyle w:val="Heading2"/>
        <w:spacing w:before="0" w:after="0"/>
        <w:rPr>
          <w:sz w:val="24"/>
        </w:rPr>
      </w:pPr>
      <w:bookmarkStart w:id="2" w:name="_Toc151782199"/>
      <w:bookmarkStart w:id="3" w:name="_Toc158526235"/>
      <w:r w:rsidRPr="001D0454">
        <w:rPr>
          <w:sz w:val="24"/>
        </w:rPr>
        <w:t xml:space="preserve">1. Respondent </w:t>
      </w:r>
      <w:r w:rsidR="00362897">
        <w:rPr>
          <w:sz w:val="24"/>
        </w:rPr>
        <w:t>U</w:t>
      </w:r>
      <w:r w:rsidRPr="001D0454">
        <w:rPr>
          <w:sz w:val="24"/>
        </w:rPr>
        <w:t xml:space="preserve">niverse and </w:t>
      </w:r>
      <w:r w:rsidR="00362897">
        <w:rPr>
          <w:sz w:val="24"/>
        </w:rPr>
        <w:t>S</w:t>
      </w:r>
      <w:r w:rsidRPr="001D0454">
        <w:rPr>
          <w:sz w:val="24"/>
        </w:rPr>
        <w:t xml:space="preserve">ampling </w:t>
      </w:r>
      <w:r w:rsidR="00362897">
        <w:rPr>
          <w:sz w:val="24"/>
        </w:rPr>
        <w:t>M</w:t>
      </w:r>
      <w:r w:rsidRPr="001D0454">
        <w:rPr>
          <w:sz w:val="24"/>
        </w:rPr>
        <w:t>ethods</w:t>
      </w:r>
      <w:bookmarkEnd w:id="2"/>
      <w:bookmarkEnd w:id="3"/>
    </w:p>
    <w:p w:rsidR="00950E30" w:rsidRPr="00950E30" w:rsidP="00556E69" w14:paraId="02E60D0D" w14:textId="1F4EF8E5">
      <w:pPr>
        <w:spacing w:before="200"/>
        <w:rPr>
          <w:color w:val="000000"/>
          <w:szCs w:val="22"/>
        </w:rPr>
      </w:pPr>
      <w:r w:rsidRPr="00E47B4D">
        <w:rPr>
          <w:color w:val="000000"/>
          <w:szCs w:val="22"/>
        </w:rPr>
        <w:t>Implementing sites may be</w:t>
      </w:r>
      <w:r w:rsidRPr="00E47B4D" w:rsidR="00C06678">
        <w:rPr>
          <w:color w:val="000000"/>
          <w:szCs w:val="22"/>
        </w:rPr>
        <w:t xml:space="preserve"> an adult or pediatric inpatient hospital</w:t>
      </w:r>
      <w:r w:rsidRPr="00E47B4D" w:rsidR="00A32D98">
        <w:rPr>
          <w:color w:val="000000"/>
          <w:szCs w:val="22"/>
        </w:rPr>
        <w:t xml:space="preserve"> (either </w:t>
      </w:r>
      <w:r w:rsidRPr="00E47B4D" w:rsidR="00E47B4D">
        <w:rPr>
          <w:color w:val="000000"/>
          <w:szCs w:val="22"/>
        </w:rPr>
        <w:t xml:space="preserve">a department/ward within the hospital, </w:t>
      </w:r>
      <w:r w:rsidRPr="00E47B4D" w:rsidR="00A32D98">
        <w:rPr>
          <w:color w:val="000000"/>
          <w:szCs w:val="22"/>
        </w:rPr>
        <w:t>the entire hospital</w:t>
      </w:r>
      <w:r w:rsidRPr="00E47B4D" w:rsidR="00E47B4D">
        <w:rPr>
          <w:color w:val="000000"/>
          <w:szCs w:val="22"/>
        </w:rPr>
        <w:t>, or multiple hospitals within a single health system</w:t>
      </w:r>
      <w:r w:rsidRPr="00E47B4D" w:rsidR="00A32D98">
        <w:rPr>
          <w:color w:val="000000"/>
          <w:szCs w:val="22"/>
        </w:rPr>
        <w:t>)</w:t>
      </w:r>
      <w:r w:rsidRPr="00E47B4D" w:rsidR="00C06678">
        <w:rPr>
          <w:color w:val="000000"/>
          <w:szCs w:val="22"/>
        </w:rPr>
        <w:t xml:space="preserve">, </w:t>
      </w:r>
      <w:r w:rsidRPr="00E47B4D" w:rsidR="00E47B4D">
        <w:rPr>
          <w:color w:val="000000"/>
          <w:szCs w:val="22"/>
        </w:rPr>
        <w:t xml:space="preserve">or </w:t>
      </w:r>
      <w:r w:rsidRPr="00E47B4D" w:rsidR="00C06678">
        <w:rPr>
          <w:color w:val="000000"/>
          <w:szCs w:val="22"/>
        </w:rPr>
        <w:t>an ambulatory clinic/medical office</w:t>
      </w:r>
      <w:r w:rsidRPr="00E47B4D" w:rsidR="00A32D98">
        <w:rPr>
          <w:color w:val="000000"/>
          <w:szCs w:val="22"/>
        </w:rPr>
        <w:t xml:space="preserve"> (either primary or specialty care)</w:t>
      </w:r>
      <w:r w:rsidRPr="00E47B4D" w:rsidR="00E47B4D">
        <w:rPr>
          <w:color w:val="000000"/>
          <w:szCs w:val="22"/>
        </w:rPr>
        <w:t xml:space="preserve"> or multi-clinic system. </w:t>
      </w:r>
      <w:r>
        <w:rPr>
          <w:color w:val="000000"/>
          <w:szCs w:val="22"/>
        </w:rPr>
        <w:t>T</w:t>
      </w:r>
      <w:r w:rsidR="009719BC">
        <w:rPr>
          <w:color w:val="000000"/>
          <w:szCs w:val="22"/>
        </w:rPr>
        <w:t xml:space="preserve">o ensure that </w:t>
      </w:r>
      <w:r>
        <w:rPr>
          <w:color w:val="000000"/>
          <w:szCs w:val="22"/>
        </w:rPr>
        <w:t>the</w:t>
      </w:r>
      <w:r w:rsidR="009719BC">
        <w:rPr>
          <w:color w:val="000000"/>
          <w:szCs w:val="22"/>
        </w:rPr>
        <w:t xml:space="preserve"> evaluation captures the range of locations where the resources are likely to be used, </w:t>
      </w:r>
      <w:r>
        <w:rPr>
          <w:color w:val="000000"/>
          <w:szCs w:val="22"/>
        </w:rPr>
        <w:t>the contractor</w:t>
      </w:r>
      <w:r w:rsidR="009719BC">
        <w:rPr>
          <w:color w:val="000000"/>
          <w:szCs w:val="22"/>
        </w:rPr>
        <w:t xml:space="preserve"> will attempt to recruit </w:t>
      </w:r>
      <w:r w:rsidR="009719BC">
        <w:t>a diverse population of sites with respect to geography, size and type, infrastructure, patient population, and patient safety and quality performance.</w:t>
      </w:r>
      <w:r>
        <w:rPr>
          <w:color w:val="000000"/>
          <w:szCs w:val="22"/>
        </w:rPr>
        <w:t xml:space="preserve"> </w:t>
      </w:r>
      <w:r>
        <w:t xml:space="preserve">They will employ a multi-modal approach to reaching and recruiting potential sites, </w:t>
      </w:r>
      <w:r w:rsidRPr="00950E30">
        <w:t>including through online Listening Sessions, webinars, e-mail blasts, and announcements on the contractor’s and partner websites. They will establish a central project website that will serve</w:t>
      </w:r>
      <w:r>
        <w:t xml:space="preserve"> as an information portal for interested sites and an avenue for declaring interest/enrolling. </w:t>
      </w:r>
    </w:p>
    <w:p w:rsidR="00950E30" w:rsidP="009719BC" w14:paraId="4E8F5E26" w14:textId="77777777">
      <w:pPr>
        <w:jc w:val="both"/>
        <w:rPr>
          <w:color w:val="000000"/>
          <w:szCs w:val="22"/>
        </w:rPr>
      </w:pPr>
    </w:p>
    <w:p w:rsidR="009719BC" w:rsidRPr="00950E30" w:rsidP="00950E30" w14:paraId="6D1BBB02" w14:textId="6325437E">
      <w:pPr>
        <w:rPr>
          <w:color w:val="000000"/>
          <w:szCs w:val="22"/>
        </w:rPr>
      </w:pPr>
      <w:r>
        <w:t>The</w:t>
      </w:r>
      <w:r>
        <w:t xml:space="preserve"> contractor will work with </w:t>
      </w:r>
      <w:r w:rsidRPr="0005581E">
        <w:t xml:space="preserve">geographically and demographically diverse organizations </w:t>
      </w:r>
      <w:r w:rsidRPr="00DB7BF8">
        <w:t>interested in improving diagnostic safety and quality</w:t>
      </w:r>
      <w:r>
        <w:t xml:space="preserve"> to identify potential sites. Specifically, they will recruit through </w:t>
      </w:r>
      <w:r w:rsidRPr="0005581E">
        <w:t>IHI</w:t>
      </w:r>
      <w:r>
        <w:t xml:space="preserve">, </w:t>
      </w:r>
      <w:r w:rsidR="00361C2F">
        <w:t>Convergen</w:t>
      </w:r>
      <w:r w:rsidR="002E1AA5">
        <w:t>ce</w:t>
      </w:r>
      <w:r w:rsidRPr="0005581E">
        <w:t>, SIDM, and Medstar’s</w:t>
      </w:r>
      <w:r>
        <w:t xml:space="preserve"> vast national networks of healthcare entities, which together comprise hundreds of diverse health systems and clinics across the country of varying size and patient populations served (Table </w:t>
      </w:r>
      <w:r w:rsidR="00982635">
        <w:t>2</w:t>
      </w:r>
      <w:r>
        <w:t xml:space="preserve">). </w:t>
      </w:r>
    </w:p>
    <w:p w:rsidR="009719BC" w:rsidRPr="00F42C55" w:rsidP="00F42C55" w14:paraId="5BE23F73" w14:textId="019B9044">
      <w:pPr>
        <w:pStyle w:val="Heading9"/>
        <w:jc w:val="center"/>
        <w:rPr>
          <w:rFonts w:ascii="Times New Roman" w:hAnsi="Times New Roman"/>
          <w:b/>
          <w:bCs/>
          <w:sz w:val="24"/>
          <w:szCs w:val="24"/>
        </w:rPr>
      </w:pPr>
      <w:bookmarkStart w:id="4" w:name="_Toc149295541"/>
      <w:r w:rsidRPr="00F42C55">
        <w:rPr>
          <w:rFonts w:ascii="Times New Roman" w:hAnsi="Times New Roman"/>
          <w:b/>
          <w:bCs/>
          <w:sz w:val="24"/>
          <w:szCs w:val="24"/>
        </w:rPr>
        <w:t xml:space="preserve">Table </w:t>
      </w:r>
      <w:r w:rsidR="00691C3C">
        <w:rPr>
          <w:rFonts w:ascii="Times New Roman" w:hAnsi="Times New Roman"/>
          <w:b/>
          <w:bCs/>
          <w:sz w:val="24"/>
          <w:szCs w:val="24"/>
        </w:rPr>
        <w:t>2</w:t>
      </w:r>
      <w:r w:rsidRPr="00F42C55">
        <w:rPr>
          <w:rFonts w:ascii="Times New Roman" w:hAnsi="Times New Roman"/>
          <w:b/>
          <w:bCs/>
          <w:sz w:val="24"/>
          <w:szCs w:val="24"/>
        </w:rPr>
        <w:t>. Recruitment Partners</w:t>
      </w:r>
      <w:bookmarkEnd w:id="4"/>
    </w:p>
    <w:tbl>
      <w:tblPr>
        <w:tblW w:w="5000" w:type="pct"/>
        <w:tblBorders>
          <w:top w:val="dotted" w:sz="6" w:space="0" w:color="7C58A4"/>
          <w:left w:val="dotted" w:sz="6" w:space="0" w:color="7C58A4"/>
          <w:bottom w:val="dotted" w:sz="6" w:space="0" w:color="7C58A4"/>
          <w:right w:val="dotted" w:sz="6" w:space="0" w:color="7C58A4"/>
          <w:insideH w:val="dotted" w:sz="6" w:space="0" w:color="7C58A4"/>
          <w:insideV w:val="dotted" w:sz="6" w:space="0" w:color="7C58A4"/>
        </w:tblBorders>
        <w:tblCellMar>
          <w:top w:w="115" w:type="dxa"/>
          <w:left w:w="0" w:type="dxa"/>
          <w:bottom w:w="115" w:type="dxa"/>
          <w:right w:w="0" w:type="dxa"/>
        </w:tblCellMar>
        <w:tblLook w:val="04A0"/>
      </w:tblPr>
      <w:tblGrid>
        <w:gridCol w:w="2665"/>
        <w:gridCol w:w="5959"/>
      </w:tblGrid>
      <w:tr w14:paraId="6523E48F" w14:textId="77777777">
        <w:tblPrEx>
          <w:tblW w:w="5000" w:type="pct"/>
          <w:tblBorders>
            <w:top w:val="dotted" w:sz="6" w:space="0" w:color="7C58A4"/>
            <w:left w:val="dotted" w:sz="6" w:space="0" w:color="7C58A4"/>
            <w:bottom w:val="dotted" w:sz="6" w:space="0" w:color="7C58A4"/>
            <w:right w:val="dotted" w:sz="6" w:space="0" w:color="7C58A4"/>
            <w:insideH w:val="dotted" w:sz="6" w:space="0" w:color="7C58A4"/>
            <w:insideV w:val="dotted" w:sz="6" w:space="0" w:color="7C58A4"/>
          </w:tblBorders>
          <w:tblCellMar>
            <w:top w:w="115" w:type="dxa"/>
            <w:left w:w="0" w:type="dxa"/>
            <w:bottom w:w="115" w:type="dxa"/>
            <w:right w:w="0" w:type="dxa"/>
          </w:tblCellMar>
          <w:tblLook w:val="04A0"/>
        </w:tblPrEx>
        <w:trPr>
          <w:tblHeader/>
        </w:trPr>
        <w:tc>
          <w:tcPr>
            <w:tcW w:w="1247" w:type="pct"/>
            <w:tcBorders>
              <w:top w:val="single" w:sz="8" w:space="0" w:color="auto"/>
              <w:bottom w:val="single" w:sz="8" w:space="0" w:color="auto"/>
            </w:tcBorders>
            <w:shd w:val="clear" w:color="auto" w:fill="7C58A4"/>
            <w:tcMar>
              <w:top w:w="58" w:type="dxa"/>
              <w:bottom w:w="58" w:type="dxa"/>
              <w:right w:w="115" w:type="dxa"/>
            </w:tcMar>
          </w:tcPr>
          <w:p w:rsidR="009719BC" w14:paraId="11A90535" w14:textId="77777777">
            <w:pPr>
              <w:pStyle w:val="TableColHeading"/>
              <w:spacing w:line="264" w:lineRule="auto"/>
              <w:rPr>
                <w:color w:val="FFFFFF"/>
              </w:rPr>
            </w:pPr>
            <w:r>
              <w:rPr>
                <w:color w:val="FFFFFF"/>
              </w:rPr>
              <w:t>Recruitment Partner</w:t>
            </w:r>
          </w:p>
        </w:tc>
        <w:tc>
          <w:tcPr>
            <w:tcW w:w="3753" w:type="pct"/>
            <w:tcBorders>
              <w:top w:val="single" w:sz="8" w:space="0" w:color="auto"/>
              <w:bottom w:val="single" w:sz="8" w:space="0" w:color="auto"/>
            </w:tcBorders>
            <w:shd w:val="clear" w:color="auto" w:fill="7C58A4"/>
            <w:tcMar>
              <w:top w:w="58" w:type="dxa"/>
              <w:bottom w:w="58" w:type="dxa"/>
              <w:right w:w="115" w:type="dxa"/>
            </w:tcMar>
          </w:tcPr>
          <w:p w:rsidR="009719BC" w14:paraId="1C398159" w14:textId="77777777">
            <w:pPr>
              <w:pStyle w:val="TableColHeading"/>
              <w:spacing w:line="264" w:lineRule="auto"/>
              <w:rPr>
                <w:color w:val="FFFFFF"/>
              </w:rPr>
            </w:pPr>
            <w:r>
              <w:rPr>
                <w:color w:val="FFFFFF"/>
              </w:rPr>
              <w:t>Partner Activities</w:t>
            </w:r>
          </w:p>
        </w:tc>
      </w:tr>
      <w:tr w14:paraId="0707C9A1" w14:textId="77777777">
        <w:tblPrEx>
          <w:tblW w:w="5000" w:type="pct"/>
          <w:tblCellMar>
            <w:top w:w="115" w:type="dxa"/>
            <w:left w:w="0" w:type="dxa"/>
            <w:bottom w:w="115" w:type="dxa"/>
            <w:right w:w="0" w:type="dxa"/>
          </w:tblCellMar>
          <w:tblLook w:val="04A0"/>
        </w:tblPrEx>
        <w:tc>
          <w:tcPr>
            <w:tcW w:w="1247" w:type="pct"/>
            <w:shd w:val="clear" w:color="auto" w:fill="auto"/>
            <w:tcMar>
              <w:top w:w="58" w:type="dxa"/>
              <w:bottom w:w="58" w:type="dxa"/>
              <w:right w:w="115" w:type="dxa"/>
            </w:tcMar>
            <w:vAlign w:val="center"/>
          </w:tcPr>
          <w:p w:rsidR="009719BC" w14:paraId="2D0428C1" w14:textId="77777777">
            <w:pPr>
              <w:pStyle w:val="TableBody"/>
              <w:spacing w:line="264" w:lineRule="auto"/>
              <w:jc w:val="center"/>
            </w:pPr>
          </w:p>
          <w:p w:rsidR="009719BC" w:rsidRPr="00E5718E" w14:paraId="139C2FAF" w14:textId="77777777">
            <w:pPr>
              <w:pStyle w:val="TableBody"/>
              <w:spacing w:line="264" w:lineRule="auto"/>
              <w:jc w:val="center"/>
            </w:pPr>
            <w:r w:rsidRPr="00C63EAA">
              <w:rPr>
                <w:noProof/>
              </w:rPr>
              <w:drawing>
                <wp:inline distT="0" distB="0" distL="0" distR="0">
                  <wp:extent cx="1049655" cy="342900"/>
                  <wp:effectExtent l="0" t="0" r="0" b="0"/>
                  <wp:docPr id="2" name="Picture 2" descr="Institute for Healthcare Improvement"/>
                  <wp:cNvGraphicFramePr/>
                  <a:graphic xmlns:a="http://schemas.openxmlformats.org/drawingml/2006/main">
                    <a:graphicData uri="http://schemas.openxmlformats.org/drawingml/2006/picture">
                      <pic:pic xmlns:pic="http://schemas.openxmlformats.org/drawingml/2006/picture">
                        <pic:nvPicPr>
                          <pic:cNvPr id="2" name="Picture 13" descr="Institute for Healthcare Improvemen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9655" cy="342900"/>
                          </a:xfrm>
                          <a:prstGeom prst="rect">
                            <a:avLst/>
                          </a:prstGeom>
                          <a:noFill/>
                          <a:ln>
                            <a:noFill/>
                          </a:ln>
                        </pic:spPr>
                      </pic:pic>
                    </a:graphicData>
                  </a:graphic>
                </wp:inline>
              </w:drawing>
            </w:r>
          </w:p>
        </w:tc>
        <w:tc>
          <w:tcPr>
            <w:tcW w:w="3753" w:type="pct"/>
            <w:shd w:val="clear" w:color="auto" w:fill="auto"/>
            <w:tcMar>
              <w:top w:w="58" w:type="dxa"/>
              <w:bottom w:w="58" w:type="dxa"/>
              <w:right w:w="115" w:type="dxa"/>
            </w:tcMar>
          </w:tcPr>
          <w:p w:rsidR="009719BC" w:rsidRPr="00E5718E" w14:paraId="69DE0F8F" w14:textId="77777777">
            <w:pPr>
              <w:pStyle w:val="TableBody"/>
              <w:spacing w:line="264" w:lineRule="auto"/>
            </w:pPr>
            <w:r>
              <w:t xml:space="preserve">IHI conducts </w:t>
            </w:r>
            <w:r w:rsidRPr="00AB1D96">
              <w:t>99+</w:t>
            </w:r>
            <w:r>
              <w:t xml:space="preserve"> million</w:t>
            </w:r>
            <w:r w:rsidRPr="00AB1D96">
              <w:t xml:space="preserve"> engagements per year, </w:t>
            </w:r>
            <w:r>
              <w:t xml:space="preserve">trains </w:t>
            </w:r>
            <w:r w:rsidRPr="00AB1D96">
              <w:t xml:space="preserve">1.5 million people in QI per year, </w:t>
            </w:r>
            <w:r>
              <w:t xml:space="preserve">and has an engaged network of </w:t>
            </w:r>
            <w:r w:rsidRPr="00AB1D96">
              <w:t>600+ faculty</w:t>
            </w:r>
            <w:r>
              <w:t>.</w:t>
            </w:r>
            <w:r w:rsidRPr="00AB1D96">
              <w:t xml:space="preserve"> IHI has different membership programs and national initiatives that </w:t>
            </w:r>
            <w:r>
              <w:t>can</w:t>
            </w:r>
            <w:r w:rsidRPr="00AB1D96">
              <w:t xml:space="preserve"> be leveraged for recruitment</w:t>
            </w:r>
            <w:r>
              <w:t xml:space="preserve">, e.g., IHI Leadership Alliance, </w:t>
            </w:r>
            <w:r w:rsidRPr="004969CC">
              <w:t>National Steering Committee for Patient Safety</w:t>
            </w:r>
            <w:r>
              <w:t xml:space="preserve">, </w:t>
            </w:r>
            <w:r w:rsidRPr="004969CC">
              <w:t>IHI Strategic Partners</w:t>
            </w:r>
            <w:r>
              <w:t xml:space="preserve">, </w:t>
            </w:r>
            <w:r w:rsidRPr="0002179F">
              <w:t>Age-Friendly Health Systems</w:t>
            </w:r>
            <w:r>
              <w:t xml:space="preserve"> in partnership with AHA.</w:t>
            </w:r>
          </w:p>
        </w:tc>
      </w:tr>
      <w:tr w14:paraId="7CC5B9B1" w14:textId="77777777">
        <w:tblPrEx>
          <w:tblW w:w="5000" w:type="pct"/>
          <w:tblCellMar>
            <w:top w:w="115" w:type="dxa"/>
            <w:left w:w="0" w:type="dxa"/>
            <w:bottom w:w="115" w:type="dxa"/>
            <w:right w:w="0" w:type="dxa"/>
          </w:tblCellMar>
          <w:tblLook w:val="04A0"/>
        </w:tblPrEx>
        <w:tc>
          <w:tcPr>
            <w:tcW w:w="1247" w:type="pct"/>
            <w:shd w:val="clear" w:color="auto" w:fill="auto"/>
            <w:tcMar>
              <w:top w:w="58" w:type="dxa"/>
              <w:bottom w:w="58" w:type="dxa"/>
              <w:right w:w="115" w:type="dxa"/>
            </w:tcMar>
            <w:vAlign w:val="center"/>
          </w:tcPr>
          <w:p w:rsidR="009719BC" w:rsidRPr="00E5718E" w14:paraId="50CECF73" w14:textId="5861D8AC">
            <w:pPr>
              <w:pStyle w:val="TableBody"/>
              <w:spacing w:line="264" w:lineRule="auto"/>
              <w:jc w:val="center"/>
            </w:pPr>
            <w:r>
              <w:rPr>
                <w:noProof/>
              </w:rPr>
              <w:drawing>
                <wp:inline distT="0" distB="0" distL="0" distR="0">
                  <wp:extent cx="1609725" cy="400050"/>
                  <wp:effectExtent l="0" t="0" r="9525" b="0"/>
                  <wp:docPr id="1661267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67611" name="Picture 3"/>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9725" cy="400050"/>
                          </a:xfrm>
                          <a:prstGeom prst="rect">
                            <a:avLst/>
                          </a:prstGeom>
                          <a:noFill/>
                          <a:ln>
                            <a:noFill/>
                          </a:ln>
                        </pic:spPr>
                      </pic:pic>
                    </a:graphicData>
                  </a:graphic>
                </wp:inline>
              </w:drawing>
            </w:r>
          </w:p>
        </w:tc>
        <w:tc>
          <w:tcPr>
            <w:tcW w:w="3753" w:type="pct"/>
            <w:shd w:val="clear" w:color="auto" w:fill="auto"/>
            <w:tcMar>
              <w:top w:w="58" w:type="dxa"/>
              <w:bottom w:w="58" w:type="dxa"/>
              <w:right w:w="115" w:type="dxa"/>
            </w:tcMar>
          </w:tcPr>
          <w:p w:rsidR="009719BC" w:rsidRPr="00E5718E" w14:paraId="28F93DD4" w14:textId="044DF564">
            <w:pPr>
              <w:pStyle w:val="TableBody"/>
              <w:spacing w:line="264" w:lineRule="auto"/>
            </w:pPr>
            <w:r>
              <w:t>Convergen</w:t>
            </w:r>
            <w:r w:rsidR="002E1AA5">
              <w:t>ce</w:t>
            </w:r>
            <w:r>
              <w:t xml:space="preserve"> </w:t>
            </w:r>
            <w:r>
              <w:t>has a</w:t>
            </w:r>
            <w:r w:rsidRPr="00C25BDB">
              <w:t>pproximately 500 tier 1 (strong relationships), 1</w:t>
            </w:r>
            <w:r>
              <w:t>,</w:t>
            </w:r>
            <w:r w:rsidRPr="00C25BDB">
              <w:t>000 tier 2 (good relationships and branding), and 1,000 Tier 3 (partner support and branding)</w:t>
            </w:r>
            <w:r>
              <w:t xml:space="preserve"> site relationships</w:t>
            </w:r>
            <w:r w:rsidRPr="00C25BDB">
              <w:t>.</w:t>
            </w:r>
            <w:r>
              <w:t xml:space="preserve"> </w:t>
            </w:r>
            <w:r>
              <w:t>Convergen</w:t>
            </w:r>
            <w:r w:rsidR="002E1AA5">
              <w:t>ce</w:t>
            </w:r>
            <w:r w:rsidRPr="00A372C5">
              <w:t xml:space="preserve"> </w:t>
            </w:r>
            <w:r w:rsidRPr="00A372C5">
              <w:t xml:space="preserve">will </w:t>
            </w:r>
            <w:r>
              <w:t>also</w:t>
            </w:r>
            <w:r w:rsidRPr="00A372C5">
              <w:t xml:space="preserve"> </w:t>
            </w:r>
            <w:r>
              <w:t xml:space="preserve">recruit via </w:t>
            </w:r>
            <w:r w:rsidRPr="0077316C">
              <w:t>state associations and community organizations</w:t>
            </w:r>
            <w:r>
              <w:t>, with particular outreach to rural and vulnerable populations.</w:t>
            </w:r>
          </w:p>
        </w:tc>
      </w:tr>
      <w:tr w14:paraId="5859E46D" w14:textId="77777777">
        <w:tblPrEx>
          <w:tblW w:w="5000" w:type="pct"/>
          <w:tblCellMar>
            <w:top w:w="115" w:type="dxa"/>
            <w:left w:w="0" w:type="dxa"/>
            <w:bottom w:w="115" w:type="dxa"/>
            <w:right w:w="0" w:type="dxa"/>
          </w:tblCellMar>
          <w:tblLook w:val="04A0"/>
        </w:tblPrEx>
        <w:tc>
          <w:tcPr>
            <w:tcW w:w="1247" w:type="pct"/>
            <w:shd w:val="clear" w:color="auto" w:fill="auto"/>
            <w:tcMar>
              <w:top w:w="58" w:type="dxa"/>
              <w:bottom w:w="58" w:type="dxa"/>
              <w:right w:w="115" w:type="dxa"/>
            </w:tcMar>
            <w:vAlign w:val="center"/>
          </w:tcPr>
          <w:p w:rsidR="009719BC" w:rsidRPr="00E5718E" w14:paraId="4871A6AC" w14:textId="77777777">
            <w:pPr>
              <w:pStyle w:val="TableBody"/>
              <w:spacing w:line="264" w:lineRule="auto"/>
              <w:jc w:val="center"/>
            </w:pPr>
            <w:r w:rsidRPr="00D45AB1">
              <w:rPr>
                <w:noProof/>
              </w:rPr>
              <w:drawing>
                <wp:inline distT="0" distB="0" distL="0" distR="0">
                  <wp:extent cx="955675" cy="478155"/>
                  <wp:effectExtent l="0" t="0" r="0" b="0"/>
                  <wp:docPr id="4" name="Picture 4" descr="society-to-improve-diagnosis-in-medicine - Aquifer"/>
                  <wp:cNvGraphicFramePr/>
                  <a:graphic xmlns:a="http://schemas.openxmlformats.org/drawingml/2006/main">
                    <a:graphicData uri="http://schemas.openxmlformats.org/drawingml/2006/picture">
                      <pic:pic xmlns:pic="http://schemas.openxmlformats.org/drawingml/2006/picture">
                        <pic:nvPicPr>
                          <pic:cNvPr id="4" name="Picture 19" descr="society-to-improve-diagnosis-in-medicine - Aquife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5675" cy="478155"/>
                          </a:xfrm>
                          <a:prstGeom prst="rect">
                            <a:avLst/>
                          </a:prstGeom>
                          <a:noFill/>
                          <a:ln>
                            <a:noFill/>
                          </a:ln>
                        </pic:spPr>
                      </pic:pic>
                    </a:graphicData>
                  </a:graphic>
                </wp:inline>
              </w:drawing>
            </w:r>
          </w:p>
        </w:tc>
        <w:tc>
          <w:tcPr>
            <w:tcW w:w="3753" w:type="pct"/>
            <w:shd w:val="clear" w:color="auto" w:fill="auto"/>
            <w:tcMar>
              <w:top w:w="58" w:type="dxa"/>
              <w:bottom w:w="58" w:type="dxa"/>
              <w:right w:w="115" w:type="dxa"/>
            </w:tcMar>
          </w:tcPr>
          <w:p w:rsidR="009719BC" w:rsidRPr="00E5718E" w14:paraId="4B13F990" w14:textId="77777777">
            <w:pPr>
              <w:pStyle w:val="TableBody"/>
              <w:spacing w:line="264" w:lineRule="auto"/>
            </w:pPr>
            <w:r w:rsidRPr="005A1CE1">
              <w:t xml:space="preserve">SIDM will </w:t>
            </w:r>
            <w:r>
              <w:t xml:space="preserve">recruit through their networks, including the Coalition to Improve Diagnosis, </w:t>
            </w:r>
            <w:r w:rsidRPr="00C570C3">
              <w:t>a collaboration of 60</w:t>
            </w:r>
            <w:r>
              <w:t>+</w:t>
            </w:r>
            <w:r w:rsidRPr="00C570C3">
              <w:t xml:space="preserve"> leading healthcare organizations</w:t>
            </w:r>
            <w:r>
              <w:t xml:space="preserve"> and networks.</w:t>
            </w:r>
          </w:p>
        </w:tc>
      </w:tr>
      <w:tr w14:paraId="0E9B76D0" w14:textId="77777777">
        <w:tblPrEx>
          <w:tblW w:w="5000" w:type="pct"/>
          <w:tblCellMar>
            <w:top w:w="115" w:type="dxa"/>
            <w:left w:w="0" w:type="dxa"/>
            <w:bottom w:w="115" w:type="dxa"/>
            <w:right w:w="0" w:type="dxa"/>
          </w:tblCellMar>
          <w:tblLook w:val="04A0"/>
        </w:tblPrEx>
        <w:tc>
          <w:tcPr>
            <w:tcW w:w="1247" w:type="pct"/>
            <w:shd w:val="clear" w:color="auto" w:fill="auto"/>
            <w:tcMar>
              <w:top w:w="58" w:type="dxa"/>
              <w:bottom w:w="58" w:type="dxa"/>
              <w:right w:w="115" w:type="dxa"/>
            </w:tcMar>
            <w:vAlign w:val="center"/>
          </w:tcPr>
          <w:p w:rsidR="009719BC" w14:paraId="0B9CFEA5" w14:textId="77777777">
            <w:pPr>
              <w:pStyle w:val="TableBody"/>
              <w:spacing w:line="264" w:lineRule="auto"/>
              <w:jc w:val="center"/>
            </w:pPr>
            <w:r w:rsidRPr="002B3492">
              <w:rPr>
                <w:noProof/>
              </w:rPr>
              <w:drawing>
                <wp:inline distT="0" distB="0" distL="0" distR="0">
                  <wp:extent cx="1132840" cy="311785"/>
                  <wp:effectExtent l="0" t="0" r="0" b="0"/>
                  <wp:docPr id="5" name="Picture 5"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2102940202" descr="A picture containing shape&#10;&#10;Description automatically generated"/>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2840" cy="311785"/>
                          </a:xfrm>
                          <a:prstGeom prst="rect">
                            <a:avLst/>
                          </a:prstGeom>
                          <a:noFill/>
                          <a:ln>
                            <a:noFill/>
                          </a:ln>
                        </pic:spPr>
                      </pic:pic>
                    </a:graphicData>
                  </a:graphic>
                </wp:inline>
              </w:drawing>
            </w:r>
          </w:p>
        </w:tc>
        <w:tc>
          <w:tcPr>
            <w:tcW w:w="3753" w:type="pct"/>
            <w:shd w:val="clear" w:color="auto" w:fill="auto"/>
            <w:tcMar>
              <w:top w:w="58" w:type="dxa"/>
              <w:bottom w:w="58" w:type="dxa"/>
              <w:right w:w="115" w:type="dxa"/>
            </w:tcMar>
          </w:tcPr>
          <w:p w:rsidR="009719BC" w:rsidRPr="00670DF0" w14:paraId="20E1B9A3" w14:textId="77777777">
            <w:pPr>
              <w:pStyle w:val="TableBody"/>
              <w:spacing w:line="264" w:lineRule="auto"/>
            </w:pPr>
            <w:r w:rsidRPr="00736389">
              <w:t>MedStar will provide</w:t>
            </w:r>
            <w:r>
              <w:t xml:space="preserve"> access to their 10 hospitals and </w:t>
            </w:r>
            <w:r w:rsidRPr="00AA1620">
              <w:t>300</w:t>
            </w:r>
            <w:r>
              <w:t>+</w:t>
            </w:r>
            <w:r w:rsidRPr="00AA1620">
              <w:t xml:space="preserve"> outpatient service locations</w:t>
            </w:r>
            <w:r>
              <w:t xml:space="preserve"> and connect RAND to their ACTION IV healthcare organization partners.</w:t>
            </w:r>
          </w:p>
        </w:tc>
      </w:tr>
    </w:tbl>
    <w:p w:rsidR="009719BC" w:rsidP="00950E30" w14:paraId="7D29BFCF" w14:textId="77777777">
      <w:pPr>
        <w:spacing w:before="160"/>
      </w:pPr>
      <w:r>
        <w:t xml:space="preserve">In addition, the contractor will work closely with AHRQ to consider the optimal role for </w:t>
      </w:r>
      <w:r w:rsidRPr="0005581E">
        <w:t>additional PSOs and/or PBRNs</w:t>
      </w:r>
      <w:r>
        <w:t xml:space="preserve"> in the recruitment plan. The contractor can also recruit through their own networks and partnerships, and through </w:t>
      </w:r>
      <w:r w:rsidRPr="0005581E">
        <w:t>outreach to stakeholder organizations</w:t>
      </w:r>
      <w:r>
        <w:t xml:space="preserve"> </w:t>
      </w:r>
      <w:r w:rsidRPr="00265ED1">
        <w:t>such as America’s Essential Hospitals, the American Hospital Association, the American Association of Family Practice, and the American Academy of Pediatric</w:t>
      </w:r>
      <w:r>
        <w:t>s.</w:t>
      </w:r>
    </w:p>
    <w:p w:rsidR="00755A21" w:rsidP="00950E30" w14:paraId="45B05585" w14:textId="77777777">
      <w:pPr>
        <w:rPr>
          <w:rStyle w:val="eop"/>
          <w:color w:val="000000"/>
          <w:shd w:val="clear" w:color="auto" w:fill="FFFFFF"/>
        </w:rPr>
      </w:pPr>
    </w:p>
    <w:p w:rsidR="00755A21" w:rsidP="00755A21" w14:paraId="18CDA9C2" w14:textId="77777777">
      <w:r>
        <w:t xml:space="preserve">The use of a convenience sample and self-selection by sites into cohorts based on preferences and capabilities could lead to selection bias. To mitigate this, recruitment targets for geographic and patient diversity, as well as for </w:t>
      </w:r>
      <w:r w:rsidRPr="00803FD4">
        <w:t>existing engagement with patient safety efforts</w:t>
      </w:r>
      <w:r>
        <w:t xml:space="preserve"> (e.g., membership in a PSO) will be closely monitored. </w:t>
      </w:r>
    </w:p>
    <w:p w:rsidR="00755A21" w:rsidP="00950E30" w14:paraId="24F6342C" w14:textId="77777777">
      <w:pPr>
        <w:rPr>
          <w:rStyle w:val="eop"/>
          <w:color w:val="000000"/>
          <w:shd w:val="clear" w:color="auto" w:fill="FFFFFF"/>
        </w:rPr>
      </w:pPr>
    </w:p>
    <w:p w:rsidR="00755A21" w:rsidP="00755A21" w14:paraId="143C3469" w14:textId="7141A530">
      <w:pPr>
        <w:rPr>
          <w:rStyle w:val="eop"/>
          <w:color w:val="000000"/>
          <w:shd w:val="clear" w:color="auto" w:fill="FFFFFF"/>
        </w:rPr>
      </w:pPr>
      <w:r>
        <w:rPr>
          <w:rStyle w:val="normaltextrun"/>
          <w:color w:val="000000"/>
          <w:shd w:val="clear" w:color="auto" w:fill="FFFFFF"/>
        </w:rPr>
        <w:t>During the recruitment and onboarding phase, descriptive data from all participating sites will be collected. These data include: 1) site characteristics</w:t>
      </w:r>
      <w:r w:rsidR="00725610">
        <w:rPr>
          <w:rStyle w:val="normaltextrun"/>
          <w:color w:val="000000"/>
          <w:shd w:val="clear" w:color="auto" w:fill="FFFFFF"/>
        </w:rPr>
        <w:t>,</w:t>
      </w:r>
      <w:r>
        <w:rPr>
          <w:rStyle w:val="normaltextrun"/>
          <w:color w:val="000000"/>
          <w:shd w:val="clear" w:color="auto" w:fill="FFFFFF"/>
        </w:rPr>
        <w:t xml:space="preserve"> including type (e.g., inpatient hospital, ambulatory clinic, pediatric hospital), size, number of beds if applicable, patient case-mix, geographic region and urban/rural status, public/private status, and teaching status; and 2) an assessment of existing diagnostic safety practices using the Safer Dx Checklist (</w:t>
      </w:r>
      <w:r w:rsidRPr="002750D2">
        <w:rPr>
          <w:rStyle w:val="normaltextrun"/>
          <w:color w:val="000000"/>
          <w:shd w:val="clear" w:color="auto" w:fill="FFFFFF"/>
        </w:rPr>
        <w:t>Attachment C</w:t>
      </w:r>
      <w:r>
        <w:rPr>
          <w:rStyle w:val="normaltextrun"/>
          <w:color w:val="000000"/>
          <w:shd w:val="clear" w:color="auto" w:fill="FFFFFF"/>
        </w:rPr>
        <w:t xml:space="preserve">). These data will allow for description and comparison of the sample </w:t>
      </w:r>
      <w:r>
        <w:rPr>
          <w:rStyle w:val="advancedproofingissue"/>
          <w:color w:val="000000"/>
          <w:shd w:val="clear" w:color="auto" w:fill="FFFFFF"/>
        </w:rPr>
        <w:t>with regard to</w:t>
      </w:r>
      <w:r>
        <w:rPr>
          <w:rStyle w:val="normaltextrun"/>
          <w:color w:val="000000"/>
          <w:shd w:val="clear" w:color="auto" w:fill="FFFFFF"/>
        </w:rPr>
        <w:t xml:space="preserve"> basic demographics and maturity in diagnostic excellence. </w:t>
      </w:r>
      <w:r>
        <w:rPr>
          <w:rStyle w:val="eop"/>
          <w:color w:val="000000"/>
          <w:shd w:val="clear" w:color="auto" w:fill="FFFFFF"/>
        </w:rPr>
        <w:t> </w:t>
      </w:r>
    </w:p>
    <w:p w:rsidR="00755A21" w:rsidP="00950E30" w14:paraId="64B34B00" w14:textId="77777777">
      <w:pPr>
        <w:rPr>
          <w:rStyle w:val="eop"/>
          <w:color w:val="000000"/>
          <w:shd w:val="clear" w:color="auto" w:fill="FFFFFF"/>
        </w:rPr>
      </w:pPr>
    </w:p>
    <w:p w:rsidR="00755A21" w:rsidRPr="00755A21" w:rsidP="00755A21" w14:paraId="4D513B4E" w14:textId="77777777">
      <w:pPr>
        <w:rPr>
          <w:color w:val="000000"/>
          <w:szCs w:val="22"/>
        </w:rPr>
      </w:pPr>
      <w:r w:rsidRPr="000D3637">
        <w:rPr>
          <w:color w:val="000000"/>
          <w:szCs w:val="22"/>
        </w:rPr>
        <w:t xml:space="preserve">Based on prior experience recruiting large numbers of sites for a similar project, </w:t>
      </w:r>
      <w:r>
        <w:rPr>
          <w:color w:val="000000"/>
          <w:szCs w:val="22"/>
        </w:rPr>
        <w:t>an</w:t>
      </w:r>
      <w:r w:rsidRPr="000D3637">
        <w:rPr>
          <w:color w:val="000000"/>
          <w:szCs w:val="22"/>
        </w:rPr>
        <w:t xml:space="preserve"> estimate</w:t>
      </w:r>
      <w:r>
        <w:rPr>
          <w:color w:val="000000"/>
          <w:szCs w:val="22"/>
        </w:rPr>
        <w:t>d</w:t>
      </w:r>
      <w:r w:rsidRPr="000D3637">
        <w:rPr>
          <w:color w:val="000000"/>
          <w:szCs w:val="22"/>
        </w:rPr>
        <w:t xml:space="preserve"> 265 sites total </w:t>
      </w:r>
      <w:r>
        <w:rPr>
          <w:color w:val="000000"/>
          <w:szCs w:val="22"/>
        </w:rPr>
        <w:t>will be recruited (</w:t>
      </w:r>
      <w:r w:rsidRPr="000D3637">
        <w:rPr>
          <w:color w:val="000000"/>
          <w:szCs w:val="22"/>
        </w:rPr>
        <w:t>or ~88 sites for each tool</w:t>
      </w:r>
      <w:r>
        <w:rPr>
          <w:color w:val="000000"/>
          <w:szCs w:val="22"/>
        </w:rPr>
        <w:t>)</w:t>
      </w:r>
      <w:r w:rsidRPr="000D3637">
        <w:rPr>
          <w:color w:val="000000"/>
          <w:szCs w:val="22"/>
        </w:rPr>
        <w:t xml:space="preserve">, assuming 18% attrition between recruitment and implementation start, and another 31% attrition during </w:t>
      </w:r>
      <w:r w:rsidRPr="00755A21">
        <w:rPr>
          <w:color w:val="000000"/>
          <w:szCs w:val="22"/>
        </w:rPr>
        <w:t>implementation, to ensure that 50 sites per tool or a total of 150 sites complete implementation.</w:t>
      </w:r>
    </w:p>
    <w:p w:rsidR="00950E30" w:rsidRPr="00755A21" w:rsidP="00950E30" w14:paraId="405D064A" w14:textId="77777777">
      <w:pPr>
        <w:rPr>
          <w:rStyle w:val="eop"/>
          <w:color w:val="000000"/>
          <w:shd w:val="clear" w:color="auto" w:fill="FFFFFF"/>
        </w:rPr>
      </w:pPr>
    </w:p>
    <w:p w:rsidR="000D3637" w:rsidRPr="00755A21" w:rsidP="00D34FF5" w14:paraId="4BC70E63" w14:textId="79182901">
      <w:pPr>
        <w:rPr>
          <w:color w:val="000000"/>
        </w:rPr>
      </w:pPr>
      <w:r w:rsidRPr="00755A21">
        <w:rPr>
          <w:color w:val="000000"/>
        </w:rPr>
        <w:t>S</w:t>
      </w:r>
      <w:r w:rsidRPr="00755A21" w:rsidR="00950E30">
        <w:rPr>
          <w:color w:val="000000"/>
        </w:rPr>
        <w:t>ite leads</w:t>
      </w:r>
      <w:r w:rsidRPr="00755A21">
        <w:rPr>
          <w:color w:val="000000"/>
        </w:rPr>
        <w:t>,</w:t>
      </w:r>
      <w:r w:rsidRPr="00755A21" w:rsidR="00950E30">
        <w:rPr>
          <w:color w:val="000000"/>
        </w:rPr>
        <w:t xml:space="preserve"> in </w:t>
      </w:r>
      <w:r w:rsidRPr="00755A21">
        <w:rPr>
          <w:color w:val="000000"/>
        </w:rPr>
        <w:t>consultation</w:t>
      </w:r>
      <w:r w:rsidRPr="00755A21" w:rsidR="00950E30">
        <w:rPr>
          <w:color w:val="000000"/>
        </w:rPr>
        <w:t xml:space="preserve"> with the site QI team and clinical leadership</w:t>
      </w:r>
      <w:r w:rsidRPr="00755A21">
        <w:rPr>
          <w:color w:val="000000"/>
        </w:rPr>
        <w:t>,</w:t>
      </w:r>
      <w:r w:rsidRPr="00755A21" w:rsidR="00950E30">
        <w:rPr>
          <w:color w:val="000000"/>
        </w:rPr>
        <w:t xml:space="preserve"> will identify </w:t>
      </w:r>
      <w:r w:rsidRPr="00755A21">
        <w:rPr>
          <w:color w:val="000000"/>
        </w:rPr>
        <w:t xml:space="preserve">which of the </w:t>
      </w:r>
      <w:r w:rsidRPr="00755A21" w:rsidR="00950E30">
        <w:rPr>
          <w:color w:val="000000"/>
        </w:rPr>
        <w:t>t</w:t>
      </w:r>
      <w:r w:rsidRPr="00755A21">
        <w:rPr>
          <w:color w:val="000000"/>
        </w:rPr>
        <w:t>hree</w:t>
      </w:r>
      <w:r w:rsidRPr="00755A21" w:rsidR="00950E30">
        <w:rPr>
          <w:color w:val="000000"/>
        </w:rPr>
        <w:t xml:space="preserve"> resour</w:t>
      </w:r>
      <w:r w:rsidRPr="00755A21">
        <w:rPr>
          <w:color w:val="000000"/>
        </w:rPr>
        <w:t>c</w:t>
      </w:r>
      <w:r w:rsidRPr="00755A21" w:rsidR="00950E30">
        <w:rPr>
          <w:color w:val="000000"/>
        </w:rPr>
        <w:t>e</w:t>
      </w:r>
      <w:r w:rsidRPr="00755A21">
        <w:rPr>
          <w:color w:val="000000"/>
        </w:rPr>
        <w:t>s</w:t>
      </w:r>
      <w:r w:rsidRPr="00755A21" w:rsidR="00950E30">
        <w:rPr>
          <w:color w:val="000000"/>
        </w:rPr>
        <w:t xml:space="preserve"> </w:t>
      </w:r>
      <w:r w:rsidRPr="00755A21">
        <w:rPr>
          <w:color w:val="000000"/>
        </w:rPr>
        <w:t xml:space="preserve">will be implemented and the specific clinic, department, or practice (sites) </w:t>
      </w:r>
      <w:r w:rsidRPr="00755A21" w:rsidR="00611BF0">
        <w:rPr>
          <w:color w:val="000000"/>
        </w:rPr>
        <w:t xml:space="preserve">within the organization </w:t>
      </w:r>
      <w:r w:rsidRPr="00755A21">
        <w:rPr>
          <w:color w:val="000000"/>
        </w:rPr>
        <w:t>that will implement the resource. At large organizations, multiple sites may implement different resources.</w:t>
      </w:r>
      <w:r w:rsidRPr="00755A21" w:rsidR="00611BF0">
        <w:rPr>
          <w:color w:val="000000"/>
        </w:rPr>
        <w:t xml:space="preserve"> The site lead will identify clinicians (</w:t>
      </w:r>
      <w:r w:rsidRPr="00755A21" w:rsidR="005448A7">
        <w:rPr>
          <w:color w:val="000000"/>
        </w:rPr>
        <w:t>e.g.,</w:t>
      </w:r>
      <w:r w:rsidRPr="00755A21" w:rsidR="00755A21">
        <w:rPr>
          <w:color w:val="000000"/>
        </w:rPr>
        <w:t xml:space="preserve"> </w:t>
      </w:r>
      <w:r w:rsidRPr="00755A21" w:rsidR="00611BF0">
        <w:rPr>
          <w:color w:val="000000"/>
        </w:rPr>
        <w:t>ph</w:t>
      </w:r>
      <w:r w:rsidRPr="00755A21" w:rsidR="00755A21">
        <w:rPr>
          <w:color w:val="000000"/>
        </w:rPr>
        <w:t>ysicians</w:t>
      </w:r>
      <w:r w:rsidR="00755A21">
        <w:rPr>
          <w:color w:val="000000"/>
        </w:rPr>
        <w:t xml:space="preserve">, </w:t>
      </w:r>
      <w:r w:rsidRPr="00755A21" w:rsidR="00611BF0">
        <w:rPr>
          <w:color w:val="000000"/>
        </w:rPr>
        <w:t>n</w:t>
      </w:r>
      <w:r w:rsidRPr="00755A21" w:rsidR="00755A21">
        <w:rPr>
          <w:color w:val="000000"/>
        </w:rPr>
        <w:t xml:space="preserve">urse </w:t>
      </w:r>
      <w:r w:rsidRPr="00755A21" w:rsidR="00611BF0">
        <w:rPr>
          <w:color w:val="000000"/>
        </w:rPr>
        <w:t>p</w:t>
      </w:r>
      <w:r w:rsidRPr="00755A21" w:rsidR="00755A21">
        <w:rPr>
          <w:color w:val="000000"/>
        </w:rPr>
        <w:t>ractitioners</w:t>
      </w:r>
      <w:r w:rsidRPr="00755A21" w:rsidR="00611BF0">
        <w:rPr>
          <w:color w:val="000000"/>
        </w:rPr>
        <w:t xml:space="preserve">, </w:t>
      </w:r>
      <w:r w:rsidRPr="00755A21" w:rsidR="00755A21">
        <w:rPr>
          <w:color w:val="000000"/>
        </w:rPr>
        <w:t>physician assistants</w:t>
      </w:r>
      <w:r w:rsidRPr="00755A21" w:rsidR="00611BF0">
        <w:rPr>
          <w:color w:val="000000"/>
        </w:rPr>
        <w:t>) to invite to participate in the implementation.</w:t>
      </w:r>
    </w:p>
    <w:p w:rsidR="00E64F95" w:rsidRPr="00755A21" w:rsidP="00D34FF5" w14:paraId="2E7FCD13" w14:textId="77777777">
      <w:pPr>
        <w:rPr>
          <w:color w:val="000000"/>
          <w:szCs w:val="22"/>
        </w:rPr>
      </w:pPr>
    </w:p>
    <w:p w:rsidR="00E64F95" w:rsidP="00D34FF5" w14:paraId="77EB14F6" w14:textId="77777777">
      <w:pPr>
        <w:rPr>
          <w:color w:val="000000"/>
          <w:shd w:val="clear" w:color="auto" w:fill="FFFFFF"/>
        </w:rPr>
      </w:pPr>
      <w:r w:rsidRPr="00755A21">
        <w:rPr>
          <w:color w:val="000000"/>
          <w:shd w:val="clear" w:color="auto" w:fill="FFFFFF"/>
        </w:rPr>
        <w:t xml:space="preserve">As part of the evaluation of the Patient Toolkit resource, patients will be recruited to complete a </w:t>
      </w:r>
      <w:r w:rsidRPr="00755A21">
        <w:rPr>
          <w:color w:val="000000"/>
        </w:rPr>
        <w:t>survey to assesses patient-perceived experience and quality of communication</w:t>
      </w:r>
      <w:r w:rsidRPr="00755A21">
        <w:rPr>
          <w:b/>
          <w:color w:val="000000"/>
        </w:rPr>
        <w:t xml:space="preserve"> </w:t>
      </w:r>
      <w:r w:rsidRPr="00755A21" w:rsidR="009C60FD">
        <w:rPr>
          <w:color w:val="000000"/>
        </w:rPr>
        <w:t xml:space="preserve">(Attachment U). This will be administered to site patients over a 1-week period at five timepoints (Baseline, 3-, 6-, 9-, and 12-months). The survey will be provided to patients upon check-out from </w:t>
      </w:r>
      <w:r w:rsidRPr="00755A21">
        <w:rPr>
          <w:color w:val="000000"/>
        </w:rPr>
        <w:t xml:space="preserve">their visit with a participating provider. </w:t>
      </w:r>
      <w:r w:rsidRPr="00755A21" w:rsidR="009C60FD">
        <w:rPr>
          <w:color w:val="000000"/>
        </w:rPr>
        <w:t>A total of 12,500 surveys will be completed during each 1-week period.</w:t>
      </w:r>
    </w:p>
    <w:p w:rsidR="00AC2005" w:rsidP="005453AD" w14:paraId="10901103" w14:textId="77777777">
      <w:pPr>
        <w:jc w:val="both"/>
        <w:rPr>
          <w:b/>
          <w:bCs/>
          <w:szCs w:val="22"/>
        </w:rPr>
      </w:pPr>
    </w:p>
    <w:p w:rsidR="005453AD" w:rsidRPr="001D0454" w:rsidP="005453AD" w14:paraId="01E96C72" w14:textId="77777777">
      <w:pPr>
        <w:pStyle w:val="Heading2"/>
        <w:spacing w:before="0" w:after="0"/>
        <w:rPr>
          <w:sz w:val="24"/>
        </w:rPr>
      </w:pPr>
      <w:bookmarkStart w:id="5" w:name="_Toc151782200"/>
      <w:bookmarkStart w:id="6" w:name="_Toc158526236"/>
      <w:r w:rsidRPr="001D0454">
        <w:rPr>
          <w:sz w:val="24"/>
        </w:rPr>
        <w:t>2. Information Collection Procedures</w:t>
      </w:r>
      <w:bookmarkEnd w:id="5"/>
      <w:bookmarkEnd w:id="6"/>
    </w:p>
    <w:p w:rsidR="00B43483" w:rsidP="00556E69" w14:paraId="05223C8C" w14:textId="2655BAC3">
      <w:pPr>
        <w:spacing w:before="200"/>
        <w:rPr>
          <w:color w:val="000000" w:themeColor="text1"/>
          <w:szCs w:val="22"/>
        </w:rPr>
      </w:pPr>
      <w:r w:rsidRPr="00361396">
        <w:rPr>
          <w:b/>
          <w:bCs/>
        </w:rPr>
        <w:t>Recruitment of Sites</w:t>
      </w:r>
      <w:r>
        <w:t xml:space="preserve">.  </w:t>
      </w:r>
      <w:r w:rsidRPr="0081687E">
        <w:rPr>
          <w:color w:val="000000" w:themeColor="text1"/>
          <w:szCs w:val="22"/>
        </w:rPr>
        <w:t xml:space="preserve">Based on prior experience recruiting large numbers of sites for </w:t>
      </w:r>
      <w:r>
        <w:rPr>
          <w:color w:val="000000" w:themeColor="text1"/>
          <w:szCs w:val="22"/>
        </w:rPr>
        <w:t xml:space="preserve">a </w:t>
      </w:r>
      <w:r w:rsidRPr="0081687E">
        <w:rPr>
          <w:color w:val="000000" w:themeColor="text1"/>
          <w:szCs w:val="22"/>
        </w:rPr>
        <w:t xml:space="preserve">similar project, </w:t>
      </w:r>
      <w:r>
        <w:rPr>
          <w:color w:val="000000" w:themeColor="text1"/>
          <w:szCs w:val="22"/>
        </w:rPr>
        <w:t>an</w:t>
      </w:r>
      <w:r w:rsidRPr="0081687E">
        <w:rPr>
          <w:color w:val="000000" w:themeColor="text1"/>
          <w:szCs w:val="22"/>
        </w:rPr>
        <w:t xml:space="preserve"> estimate</w:t>
      </w:r>
      <w:r>
        <w:rPr>
          <w:color w:val="000000" w:themeColor="text1"/>
          <w:szCs w:val="22"/>
        </w:rPr>
        <w:t>d</w:t>
      </w:r>
      <w:r w:rsidRPr="0081687E">
        <w:rPr>
          <w:color w:val="000000" w:themeColor="text1"/>
          <w:szCs w:val="22"/>
        </w:rPr>
        <w:t xml:space="preserve"> </w:t>
      </w:r>
      <w:r w:rsidRPr="0005581E">
        <w:rPr>
          <w:color w:val="000000" w:themeColor="text1"/>
          <w:szCs w:val="22"/>
        </w:rPr>
        <w:t>265 sites total</w:t>
      </w:r>
      <w:r>
        <w:rPr>
          <w:color w:val="000000" w:themeColor="text1"/>
          <w:szCs w:val="22"/>
        </w:rPr>
        <w:t xml:space="preserve"> </w:t>
      </w:r>
      <w:r w:rsidR="00055847">
        <w:rPr>
          <w:color w:val="000000" w:themeColor="text1"/>
          <w:szCs w:val="22"/>
        </w:rPr>
        <w:t>are</w:t>
      </w:r>
      <w:r>
        <w:rPr>
          <w:color w:val="000000" w:themeColor="text1"/>
          <w:szCs w:val="22"/>
        </w:rPr>
        <w:t xml:space="preserve"> needed</w:t>
      </w:r>
      <w:r w:rsidRPr="0005581E">
        <w:rPr>
          <w:color w:val="000000" w:themeColor="text1"/>
          <w:szCs w:val="22"/>
        </w:rPr>
        <w:t xml:space="preserve"> or ~88 sites </w:t>
      </w:r>
      <w:r>
        <w:rPr>
          <w:color w:val="000000" w:themeColor="text1"/>
          <w:szCs w:val="22"/>
        </w:rPr>
        <w:t>for each tool</w:t>
      </w:r>
      <w:r w:rsidRPr="0005581E">
        <w:rPr>
          <w:color w:val="000000" w:themeColor="text1"/>
          <w:szCs w:val="22"/>
        </w:rPr>
        <w:t>,</w:t>
      </w:r>
      <w:r w:rsidRPr="0081687E">
        <w:rPr>
          <w:color w:val="000000" w:themeColor="text1"/>
          <w:szCs w:val="22"/>
        </w:rPr>
        <w:t xml:space="preserve"> assuming 1</w:t>
      </w:r>
      <w:r>
        <w:rPr>
          <w:color w:val="000000" w:themeColor="text1"/>
          <w:szCs w:val="22"/>
        </w:rPr>
        <w:t>8</w:t>
      </w:r>
      <w:r w:rsidRPr="0081687E">
        <w:rPr>
          <w:color w:val="000000" w:themeColor="text1"/>
          <w:szCs w:val="22"/>
        </w:rPr>
        <w:t xml:space="preserve">% attrition between recruitment and </w:t>
      </w:r>
      <w:r w:rsidRPr="00B80EAC">
        <w:rPr>
          <w:color w:val="000000" w:themeColor="text1"/>
          <w:szCs w:val="22"/>
        </w:rPr>
        <w:t xml:space="preserve">implementation start, and another </w:t>
      </w:r>
      <w:r>
        <w:rPr>
          <w:color w:val="000000" w:themeColor="text1"/>
          <w:szCs w:val="22"/>
        </w:rPr>
        <w:t>31</w:t>
      </w:r>
      <w:r w:rsidRPr="00B80EAC">
        <w:rPr>
          <w:color w:val="000000" w:themeColor="text1"/>
          <w:szCs w:val="22"/>
        </w:rPr>
        <w:t xml:space="preserve">% attrition during implementation, to ensure that </w:t>
      </w:r>
      <w:r>
        <w:rPr>
          <w:color w:val="000000" w:themeColor="text1"/>
          <w:szCs w:val="22"/>
        </w:rPr>
        <w:t>5</w:t>
      </w:r>
      <w:r w:rsidRPr="00B80EAC">
        <w:rPr>
          <w:color w:val="000000" w:themeColor="text1"/>
          <w:szCs w:val="22"/>
        </w:rPr>
        <w:t xml:space="preserve">0 sites per </w:t>
      </w:r>
      <w:r>
        <w:rPr>
          <w:color w:val="000000" w:themeColor="text1"/>
          <w:szCs w:val="22"/>
        </w:rPr>
        <w:t>tool</w:t>
      </w:r>
      <w:r w:rsidRPr="00B80EAC">
        <w:rPr>
          <w:color w:val="000000" w:themeColor="text1"/>
          <w:szCs w:val="22"/>
        </w:rPr>
        <w:t xml:space="preserve"> or </w:t>
      </w:r>
      <w:r>
        <w:rPr>
          <w:color w:val="000000" w:themeColor="text1"/>
          <w:szCs w:val="22"/>
        </w:rPr>
        <w:t xml:space="preserve">a total of </w:t>
      </w:r>
      <w:r w:rsidRPr="00B80EAC">
        <w:rPr>
          <w:color w:val="000000" w:themeColor="text1"/>
          <w:szCs w:val="22"/>
        </w:rPr>
        <w:t>1</w:t>
      </w:r>
      <w:r>
        <w:rPr>
          <w:color w:val="000000" w:themeColor="text1"/>
          <w:szCs w:val="22"/>
        </w:rPr>
        <w:t>5</w:t>
      </w:r>
      <w:r w:rsidRPr="00B80EAC">
        <w:rPr>
          <w:color w:val="000000" w:themeColor="text1"/>
          <w:szCs w:val="22"/>
        </w:rPr>
        <w:t xml:space="preserve">0 </w:t>
      </w:r>
      <w:r w:rsidRPr="00C31112">
        <w:rPr>
          <w:color w:val="000000" w:themeColor="text1"/>
          <w:szCs w:val="22"/>
        </w:rPr>
        <w:t xml:space="preserve">sites </w:t>
      </w:r>
      <w:r w:rsidRPr="00B80EAC">
        <w:rPr>
          <w:color w:val="000000" w:themeColor="text1"/>
          <w:szCs w:val="22"/>
        </w:rPr>
        <w:t xml:space="preserve">complete implementation. </w:t>
      </w:r>
    </w:p>
    <w:p w:rsidR="00B43483" w:rsidP="00B43483" w14:paraId="0D796B81" w14:textId="77777777"/>
    <w:p w:rsidR="00B43483" w:rsidRPr="002A1B33" w:rsidP="00B43483" w14:paraId="061DE086" w14:textId="665916E2">
      <w:r>
        <w:t xml:space="preserve">The contractor will reach out via posted announcements, e-mail blasts, e-newsletters, online listening sessions and through existing networks to advertise the project. Links to the web-based </w:t>
      </w:r>
      <w:r w:rsidRPr="00C40DFC">
        <w:rPr>
          <w:b/>
          <w:bCs/>
        </w:rPr>
        <w:t xml:space="preserve">Site </w:t>
      </w:r>
      <w:r>
        <w:rPr>
          <w:b/>
          <w:bCs/>
        </w:rPr>
        <w:t>Interest</w:t>
      </w:r>
      <w:r w:rsidRPr="00C40DFC">
        <w:rPr>
          <w:b/>
          <w:bCs/>
        </w:rPr>
        <w:t xml:space="preserve"> Form</w:t>
      </w:r>
      <w:r>
        <w:rPr>
          <w:b/>
          <w:bCs/>
        </w:rPr>
        <w:t xml:space="preserve"> </w:t>
      </w:r>
      <w:r w:rsidRPr="00231250">
        <w:t>(</w:t>
      </w:r>
      <w:r>
        <w:t>Attachment A</w:t>
      </w:r>
      <w:r w:rsidRPr="00231250">
        <w:t>)</w:t>
      </w:r>
      <w:r>
        <w:t xml:space="preserve"> will be posted or sent by email; a version will also be available to send by email that can be returned by fax, mail, or email. An anticipated 1060 interested sites will </w:t>
      </w:r>
      <w:r w:rsidRPr="002A1B33">
        <w:t>complete this form.</w:t>
      </w:r>
    </w:p>
    <w:p w:rsidR="00B43483" w:rsidP="00B43483" w14:paraId="433B320C" w14:textId="77777777"/>
    <w:p w:rsidR="00B43483" w:rsidP="00B43483" w14:paraId="50FBC722" w14:textId="2BDF106D">
      <w:r>
        <w:t xml:space="preserve">After initial screening, eligible sites will receive a </w:t>
      </w:r>
      <w:r w:rsidRPr="002750D2">
        <w:t>project recruitment packet</w:t>
      </w:r>
      <w:r>
        <w:t xml:space="preserve"> via email that will include project information, and</w:t>
      </w:r>
      <w:r w:rsidRPr="004B57A8">
        <w:t xml:space="preserve"> </w:t>
      </w:r>
      <w:r>
        <w:t xml:space="preserve">a fillable forms version of the </w:t>
      </w:r>
      <w:r w:rsidRPr="00BF0451">
        <w:rPr>
          <w:b/>
          <w:bCs/>
        </w:rPr>
        <w:t xml:space="preserve">Site Information Form </w:t>
      </w:r>
      <w:r w:rsidRPr="00231250">
        <w:t>(</w:t>
      </w:r>
      <w:r>
        <w:t>Attachment B</w:t>
      </w:r>
      <w:r w:rsidRPr="00231250">
        <w:t>)</w:t>
      </w:r>
      <w:r>
        <w:t xml:space="preserve">. </w:t>
      </w:r>
      <w:r w:rsidRPr="008C1C2D">
        <w:t>Th</w:t>
      </w:r>
      <w:r>
        <w:t>is</w:t>
      </w:r>
      <w:r w:rsidRPr="008C1C2D">
        <w:t xml:space="preserve"> form collects additional contact information, data on patient mix, and information on the organization’s diagnostic safety </w:t>
      </w:r>
      <w:r>
        <w:t xml:space="preserve">efforts. Of the 1060 sites </w:t>
      </w:r>
      <w:r w:rsidR="00FB2686">
        <w:t>that</w:t>
      </w:r>
      <w:r>
        <w:t xml:space="preserve"> indicate interest, 265 (20%) will complete the Site Information Form and begin enrollment activities. Contractor staff will follow up by email and/or phone to answer questions, encourage response, and assist in completing the enrollment materials. </w:t>
      </w:r>
    </w:p>
    <w:p w:rsidR="00B43483" w:rsidP="00B43483" w14:paraId="661335D8" w14:textId="77777777"/>
    <w:p w:rsidR="00B43483" w:rsidP="00B43483" w14:paraId="0A059F26" w14:textId="77410867">
      <w:r>
        <w:t xml:space="preserve">An anticipated 219 sites (82% of those beginning enrollment activities) </w:t>
      </w:r>
      <w:r w:rsidRPr="002750D2">
        <w:rPr>
          <w:color w:val="000000" w:themeColor="text1"/>
        </w:rPr>
        <w:t>will</w:t>
      </w:r>
      <w:r>
        <w:rPr>
          <w:color w:val="000000" w:themeColor="text1"/>
        </w:rPr>
        <w:t xml:space="preserve"> </w:t>
      </w:r>
      <w:r w:rsidRPr="002750D2">
        <w:rPr>
          <w:color w:val="000000" w:themeColor="text1"/>
        </w:rPr>
        <w:t>complete the full enrollment process</w:t>
      </w:r>
      <w:r>
        <w:rPr>
          <w:color w:val="000000" w:themeColor="text1"/>
        </w:rPr>
        <w:t xml:space="preserve"> </w:t>
      </w:r>
      <w:r w:rsidRPr="002750D2">
        <w:rPr>
          <w:color w:val="000000" w:themeColor="text1"/>
        </w:rPr>
        <w:t>and begin participation in the project. These 2</w:t>
      </w:r>
      <w:r>
        <w:rPr>
          <w:color w:val="000000" w:themeColor="text1"/>
        </w:rPr>
        <w:t>19</w:t>
      </w:r>
      <w:r w:rsidRPr="002750D2">
        <w:rPr>
          <w:color w:val="000000" w:themeColor="text1"/>
        </w:rPr>
        <w:t xml:space="preserve"> sites will complete the </w:t>
      </w:r>
      <w:r w:rsidRPr="002750D2">
        <w:rPr>
          <w:b/>
          <w:bCs/>
          <w:color w:val="000000" w:themeColor="text1"/>
        </w:rPr>
        <w:t>Safer Dx Checklist</w:t>
      </w:r>
      <w:r w:rsidRPr="002750D2">
        <w:rPr>
          <w:color w:val="000000" w:themeColor="text1"/>
        </w:rPr>
        <w:t xml:space="preserve"> (</w:t>
      </w:r>
      <w:r>
        <w:rPr>
          <w:color w:val="000000" w:themeColor="text1"/>
        </w:rPr>
        <w:t>Attachment</w:t>
      </w:r>
      <w:r w:rsidRPr="002750D2">
        <w:rPr>
          <w:color w:val="000000" w:themeColor="text1"/>
        </w:rPr>
        <w:t xml:space="preserve"> C) prior to their implementation of </w:t>
      </w:r>
      <w:r>
        <w:rPr>
          <w:color w:val="000000" w:themeColor="text1"/>
        </w:rPr>
        <w:t xml:space="preserve">one of the three measures. This </w:t>
      </w:r>
      <w:r>
        <w:t xml:space="preserve">fillable </w:t>
      </w:r>
      <w:r>
        <w:rPr>
          <w:color w:val="000000" w:themeColor="text1"/>
        </w:rPr>
        <w:t xml:space="preserve">form will be sent by email to site leads and </w:t>
      </w:r>
      <w:r>
        <w:t>returned by fax, mail</w:t>
      </w:r>
      <w:r w:rsidR="001448DD">
        <w:t>,</w:t>
      </w:r>
      <w:r>
        <w:t xml:space="preserve"> or email.  </w:t>
      </w:r>
    </w:p>
    <w:p w:rsidR="00B43483" w:rsidP="00B43483" w14:paraId="14B73C11" w14:textId="77777777"/>
    <w:p w:rsidR="00B43483" w:rsidP="00E50BEE" w14:paraId="548801AF" w14:textId="70EE3BBF">
      <w:r>
        <w:t>As noted above, o</w:t>
      </w:r>
      <w:r>
        <w:rPr>
          <w:color w:val="000000" w:themeColor="text1"/>
          <w:szCs w:val="22"/>
        </w:rPr>
        <w:t xml:space="preserve">f the 219 sites that begin participating, </w:t>
      </w:r>
      <w:r w:rsidRPr="00B80EAC">
        <w:rPr>
          <w:color w:val="000000" w:themeColor="text1"/>
          <w:szCs w:val="22"/>
        </w:rPr>
        <w:t>1</w:t>
      </w:r>
      <w:r>
        <w:rPr>
          <w:color w:val="000000" w:themeColor="text1"/>
          <w:szCs w:val="22"/>
        </w:rPr>
        <w:t>5</w:t>
      </w:r>
      <w:r w:rsidRPr="00B80EAC">
        <w:rPr>
          <w:color w:val="000000" w:themeColor="text1"/>
          <w:szCs w:val="22"/>
        </w:rPr>
        <w:t xml:space="preserve">0 </w:t>
      </w:r>
      <w:r w:rsidRPr="00C31112">
        <w:rPr>
          <w:color w:val="000000" w:themeColor="text1"/>
          <w:szCs w:val="22"/>
        </w:rPr>
        <w:t xml:space="preserve">sites </w:t>
      </w:r>
      <w:r>
        <w:rPr>
          <w:color w:val="000000" w:themeColor="text1"/>
          <w:szCs w:val="22"/>
        </w:rPr>
        <w:t xml:space="preserve">will </w:t>
      </w:r>
      <w:r w:rsidRPr="00B80EAC">
        <w:rPr>
          <w:color w:val="000000" w:themeColor="text1"/>
          <w:szCs w:val="22"/>
        </w:rPr>
        <w:t>complete implementation</w:t>
      </w:r>
      <w:r>
        <w:rPr>
          <w:color w:val="000000" w:themeColor="text1"/>
          <w:szCs w:val="22"/>
        </w:rPr>
        <w:t xml:space="preserve">. The 69 sites that attrit from the implementation will complete a one-time telephone interview based on the </w:t>
      </w:r>
      <w:r w:rsidRPr="002750D2">
        <w:rPr>
          <w:b/>
          <w:bCs/>
          <w:color w:val="000000" w:themeColor="text1"/>
          <w:szCs w:val="22"/>
        </w:rPr>
        <w:t>Exit Interview</w:t>
      </w:r>
      <w:r>
        <w:rPr>
          <w:b/>
          <w:bCs/>
          <w:color w:val="000000" w:themeColor="text1"/>
          <w:szCs w:val="22"/>
        </w:rPr>
        <w:t xml:space="preserve"> Protocol </w:t>
      </w:r>
      <w:r w:rsidRPr="00361396">
        <w:rPr>
          <w:color w:val="000000" w:themeColor="text1"/>
        </w:rPr>
        <w:t>(</w:t>
      </w:r>
      <w:r>
        <w:rPr>
          <w:color w:val="000000" w:themeColor="text1"/>
        </w:rPr>
        <w:t>Attachment</w:t>
      </w:r>
      <w:r w:rsidRPr="00361396">
        <w:rPr>
          <w:color w:val="000000" w:themeColor="text1"/>
        </w:rPr>
        <w:t xml:space="preserve"> </w:t>
      </w:r>
      <w:r>
        <w:rPr>
          <w:color w:val="000000" w:themeColor="text1"/>
        </w:rPr>
        <w:t>D</w:t>
      </w:r>
      <w:r w:rsidRPr="00361396">
        <w:rPr>
          <w:color w:val="000000" w:themeColor="text1"/>
        </w:rPr>
        <w:t>)</w:t>
      </w:r>
      <w:r>
        <w:rPr>
          <w:color w:val="000000" w:themeColor="text1"/>
          <w:szCs w:val="22"/>
        </w:rPr>
        <w:t xml:space="preserve">. The telephone interview will take 10 minutes and will collect information on why the site </w:t>
      </w:r>
      <w:r>
        <w:t xml:space="preserve">could not sustain </w:t>
      </w:r>
      <w:r w:rsidR="0039621E">
        <w:t>its</w:t>
      </w:r>
      <w:r>
        <w:t xml:space="preserve"> efforts or participation. Contractor staff will contact sites that wish to stop participating by email and/or phone to confirm a time to complete the interview. </w:t>
      </w:r>
    </w:p>
    <w:p w:rsidR="00B43483" w:rsidP="00B43483" w14:paraId="00B5888B" w14:textId="77777777"/>
    <w:p w:rsidR="00B43483" w:rsidRPr="00A558CA" w:rsidP="00B43483" w14:paraId="4F43FA89" w14:textId="09290ABD">
      <w:r>
        <w:rPr>
          <w:b/>
          <w:bCs/>
        </w:rPr>
        <w:t xml:space="preserve">Data Collection Activities. </w:t>
      </w:r>
      <w:r w:rsidR="006607BC">
        <w:t xml:space="preserve">The </w:t>
      </w:r>
      <w:r w:rsidRPr="002C7528" w:rsidR="006607BC">
        <w:rPr>
          <w:b/>
        </w:rPr>
        <w:t xml:space="preserve">Testing </w:t>
      </w:r>
      <w:r w:rsidR="006607BC">
        <w:rPr>
          <w:b/>
          <w:bCs/>
        </w:rPr>
        <w:t>P</w:t>
      </w:r>
      <w:r w:rsidRPr="002C7528" w:rsidR="006607BC">
        <w:rPr>
          <w:b/>
        </w:rPr>
        <w:t>eriod</w:t>
      </w:r>
      <w:r w:rsidR="006607BC">
        <w:t xml:space="preserve"> will last 12 months for each resource, </w:t>
      </w:r>
      <w:r w:rsidR="0097643B">
        <w:t xml:space="preserve">followed </w:t>
      </w:r>
      <w:r w:rsidR="0098742B">
        <w:t>immediately by</w:t>
      </w:r>
      <w:r w:rsidR="0097643B">
        <w:t xml:space="preserve"> a sustainability period lasting 14 months.</w:t>
      </w:r>
      <w:r w:rsidR="006607BC">
        <w:t xml:space="preserve"> </w:t>
      </w:r>
      <w:r w:rsidR="0097643B">
        <w:t>During the testing period, i</w:t>
      </w:r>
      <w:r w:rsidR="006607BC">
        <w:t>mplementation and effectiveness data will be collected at multiple timepoints</w:t>
      </w:r>
      <w:r w:rsidR="00587495">
        <w:t xml:space="preserve"> (e.g.</w:t>
      </w:r>
      <w:r w:rsidR="00831514">
        <w:t>,</w:t>
      </w:r>
      <w:r w:rsidR="00587495">
        <w:t xml:space="preserve"> at baseline, 3 months, 6 months, 12 months, and 24 months)</w:t>
      </w:r>
      <w:r w:rsidR="006607BC">
        <w:t>, depending on the specific data collection and analysis plan for each resource</w:t>
      </w:r>
      <w:r w:rsidR="00392A16">
        <w:t>.</w:t>
      </w:r>
    </w:p>
    <w:p w:rsidR="00B43483" w:rsidP="00B43483" w14:paraId="7DEF42E4" w14:textId="77777777"/>
    <w:p w:rsidR="00B43483" w:rsidP="00B43483" w14:paraId="5EE62A6C" w14:textId="498509E4">
      <w:r>
        <w:t xml:space="preserve">A baseline assessment of patient safety culture will be completed once by the site lead for each of the 219 participating sites using the </w:t>
      </w:r>
      <w:r w:rsidRPr="00361396">
        <w:rPr>
          <w:b/>
          <w:bCs/>
        </w:rPr>
        <w:t>SOPS Survey with the Dx Safety Supplemental Set</w:t>
      </w:r>
      <w:r>
        <w:rPr>
          <w:b/>
          <w:bCs/>
        </w:rPr>
        <w:t xml:space="preserve"> </w:t>
      </w:r>
      <w:r w:rsidRPr="00361396">
        <w:rPr>
          <w:color w:val="000000" w:themeColor="text1"/>
        </w:rPr>
        <w:t>(</w:t>
      </w:r>
      <w:r>
        <w:rPr>
          <w:color w:val="000000" w:themeColor="text1"/>
        </w:rPr>
        <w:t>Attachment</w:t>
      </w:r>
      <w:r w:rsidRPr="00361396">
        <w:rPr>
          <w:color w:val="000000" w:themeColor="text1"/>
        </w:rPr>
        <w:t xml:space="preserve"> </w:t>
      </w:r>
      <w:r>
        <w:rPr>
          <w:color w:val="000000" w:themeColor="text1"/>
        </w:rPr>
        <w:t>E or F</w:t>
      </w:r>
      <w:r w:rsidRPr="00361396">
        <w:rPr>
          <w:color w:val="000000" w:themeColor="text1"/>
        </w:rPr>
        <w:t>)</w:t>
      </w:r>
      <w:r>
        <w:rPr>
          <w:color w:val="000000" w:themeColor="text1"/>
        </w:rPr>
        <w:t xml:space="preserve">, the </w:t>
      </w:r>
      <w:r w:rsidRPr="000464AE">
        <w:t>Medical Office or Hospital versions</w:t>
      </w:r>
      <w:r w:rsidR="00756259">
        <w:t>,</w:t>
      </w:r>
      <w:r w:rsidRPr="000464AE">
        <w:t xml:space="preserve"> depending on the setting</w:t>
      </w:r>
      <w:r w:rsidRPr="00774240">
        <w:t xml:space="preserve">. </w:t>
      </w:r>
      <w:r>
        <w:t xml:space="preserve">This survey will be conducted via web; an email link will be sent to the site lead with a request for completion. The contractor will send additional </w:t>
      </w:r>
      <w:r>
        <w:t xml:space="preserve">prompts and follow-up by phone as needed to encourage response. As this is a core component of the evaluation, it is anticipated that all 219 sites will complete this survey. </w:t>
      </w:r>
    </w:p>
    <w:p w:rsidR="00B43483" w:rsidP="00B43483" w14:paraId="3EF66C58" w14:textId="77777777"/>
    <w:p w:rsidR="00B43483" w:rsidRPr="00F43DDD" w:rsidP="00B43483" w14:paraId="0EA73028" w14:textId="6C35ADA9">
      <w:r>
        <w:t>Training on the tools for site participants will be resource-specific and continue up to eight</w:t>
      </w:r>
      <w:r w:rsidRPr="00CD32FB">
        <w:t xml:space="preserve"> weeks</w:t>
      </w:r>
      <w:r>
        <w:t xml:space="preserve"> into the implementation period</w:t>
      </w:r>
      <w:r w:rsidR="00F70FFC">
        <w:t>, as needed</w:t>
      </w:r>
      <w:r>
        <w:t xml:space="preserve">. Training will entail a </w:t>
      </w:r>
      <w:r w:rsidRPr="009C019E">
        <w:t>blend of online training materials with live virtual training sessions</w:t>
      </w:r>
      <w:r>
        <w:rPr>
          <w:rFonts w:eastAsia="Perpetua"/>
        </w:rPr>
        <w:t>.</w:t>
      </w:r>
      <w:r>
        <w:t xml:space="preserve"> In addition, t</w:t>
      </w:r>
      <w:r w:rsidRPr="009C019E">
        <w:rPr>
          <w:rFonts w:eastAsia="Perpetua"/>
        </w:rPr>
        <w:t xml:space="preserve">wo </w:t>
      </w:r>
      <w:r w:rsidRPr="0061465C">
        <w:rPr>
          <w:rFonts w:eastAsia="Perpetua"/>
        </w:rPr>
        <w:t xml:space="preserve">Learning Collaborative (LC) virtual meetings will be conducted each </w:t>
      </w:r>
      <w:r w:rsidRPr="009C019E">
        <w:rPr>
          <w:rFonts w:eastAsia="Perpetua"/>
        </w:rPr>
        <w:t>month during implementation to discuss challenges, identify and share solutions, and facilitate</w:t>
      </w:r>
      <w:r w:rsidRPr="001A5868">
        <w:rPr>
          <w:rFonts w:eastAsia="Perpetua"/>
        </w:rPr>
        <w:t xml:space="preserve"> support between </w:t>
      </w:r>
      <w:r>
        <w:rPr>
          <w:rFonts w:eastAsia="Perpetua"/>
        </w:rPr>
        <w:t xml:space="preserve">project </w:t>
      </w:r>
      <w:r w:rsidRPr="001A5868">
        <w:rPr>
          <w:rFonts w:eastAsia="Perpetua"/>
        </w:rPr>
        <w:t>participants</w:t>
      </w:r>
      <w:r>
        <w:rPr>
          <w:rFonts w:eastAsia="Perpetua"/>
        </w:rPr>
        <w:t xml:space="preserve">. </w:t>
      </w:r>
      <w:r>
        <w:t xml:space="preserve">To </w:t>
      </w:r>
      <w:r w:rsidRPr="00D972C9">
        <w:t>track the perceived value of the training</w:t>
      </w:r>
      <w:r>
        <w:t xml:space="preserve"> and LC meetings, a </w:t>
      </w:r>
      <w:r w:rsidRPr="002750D2">
        <w:rPr>
          <w:b/>
          <w:bCs/>
        </w:rPr>
        <w:t>Training</w:t>
      </w:r>
      <w:r>
        <w:rPr>
          <w:b/>
          <w:bCs/>
        </w:rPr>
        <w:t xml:space="preserve"> </w:t>
      </w:r>
      <w:r w:rsidRPr="002750D2">
        <w:rPr>
          <w:b/>
          <w:bCs/>
        </w:rPr>
        <w:t>Post-evaluation Form</w:t>
      </w:r>
      <w:r>
        <w:t xml:space="preserve"> (Attachment G) </w:t>
      </w:r>
      <w:r w:rsidRPr="00257C5A">
        <w:t xml:space="preserve">will be administered to </w:t>
      </w:r>
      <w:r>
        <w:t>1,500</w:t>
      </w:r>
      <w:r w:rsidRPr="00257C5A">
        <w:t xml:space="preserve"> individuals participating in the project’s training sessions</w:t>
      </w:r>
      <w:r>
        <w:t xml:space="preserve"> and the </w:t>
      </w:r>
      <w:r>
        <w:rPr>
          <w:b/>
          <w:bCs/>
        </w:rPr>
        <w:t xml:space="preserve">LC </w:t>
      </w:r>
      <w:r w:rsidRPr="0061465C">
        <w:rPr>
          <w:b/>
          <w:bCs/>
        </w:rPr>
        <w:t>Post-evaluation Form</w:t>
      </w:r>
      <w:r>
        <w:t xml:space="preserve"> (Attachment H) </w:t>
      </w:r>
      <w:r w:rsidRPr="00257C5A">
        <w:t xml:space="preserve">will be administered to </w:t>
      </w:r>
      <w:r>
        <w:t>4,500</w:t>
      </w:r>
      <w:r w:rsidRPr="00257C5A">
        <w:t xml:space="preserve"> individuals participating in the project’s </w:t>
      </w:r>
      <w:r>
        <w:t>LC</w:t>
      </w:r>
      <w:r w:rsidRPr="00257C5A">
        <w:t xml:space="preserve"> sessions. </w:t>
      </w:r>
      <w:r>
        <w:t>Both evaluations</w:t>
      </w:r>
      <w:r w:rsidRPr="00257C5A">
        <w:t xml:space="preserve"> will be administered immediately after each session</w:t>
      </w:r>
      <w:r>
        <w:t xml:space="preserve">; an email with a </w:t>
      </w:r>
      <w:r w:rsidRPr="00F43DDD">
        <w:t>link to the survey will be sent to each attendee</w:t>
      </w:r>
      <w:r w:rsidR="00DF21F7">
        <w:t xml:space="preserve"> and</w:t>
      </w:r>
      <w:r>
        <w:t xml:space="preserve"> email prompting will also be done</w:t>
      </w:r>
      <w:r w:rsidRPr="00F43DDD">
        <w:t xml:space="preserve">. </w:t>
      </w:r>
      <w:r>
        <w:rPr>
          <w:rFonts w:asciiTheme="majorBidi" w:hAnsiTheme="majorBidi" w:cstheme="majorBidi"/>
          <w:color w:val="000000" w:themeColor="text1"/>
        </w:rPr>
        <w:t>An</w:t>
      </w:r>
      <w:r w:rsidRPr="00F43DDD">
        <w:rPr>
          <w:rFonts w:asciiTheme="majorBidi" w:hAnsiTheme="majorBidi" w:cstheme="majorBidi"/>
          <w:color w:val="000000" w:themeColor="text1"/>
        </w:rPr>
        <w:t xml:space="preserve"> estimated 90% response rate to these collections </w:t>
      </w:r>
      <w:r>
        <w:rPr>
          <w:rFonts w:asciiTheme="majorBidi" w:hAnsiTheme="majorBidi" w:cstheme="majorBidi"/>
          <w:color w:val="000000" w:themeColor="text1"/>
        </w:rPr>
        <w:t xml:space="preserve">is anticipated </w:t>
      </w:r>
      <w:r w:rsidRPr="00F43DDD">
        <w:rPr>
          <w:rFonts w:asciiTheme="majorBidi" w:hAnsiTheme="majorBidi" w:cstheme="majorBidi"/>
          <w:color w:val="000000" w:themeColor="text1"/>
        </w:rPr>
        <w:t xml:space="preserve">with </w:t>
      </w:r>
      <w:r w:rsidRPr="00F43DDD">
        <w:t xml:space="preserve">a total of 1,350 Training Post-evaluation Forms completed and 4,050 LC Post-evaluation Forms completed. </w:t>
      </w:r>
    </w:p>
    <w:p w:rsidR="00B43483" w:rsidRPr="00D972C9" w:rsidP="00B43483" w14:paraId="3EEF2D3F" w14:textId="77777777"/>
    <w:p w:rsidR="00B43483" w:rsidP="00B43483" w14:paraId="78A7A4FF" w14:textId="2C9546C5">
      <w:r>
        <w:rPr>
          <w:color w:val="000000"/>
        </w:rPr>
        <w:t xml:space="preserve">Each of 219 participating site leads will complete a web-based </w:t>
      </w:r>
      <w:r w:rsidRPr="002750D2">
        <w:rPr>
          <w:b/>
          <w:bCs/>
          <w:color w:val="000000"/>
        </w:rPr>
        <w:t>Clinical Sustainability Assessment Tool (CSAT)</w:t>
      </w:r>
      <w:r>
        <w:rPr>
          <w:color w:val="000000"/>
        </w:rPr>
        <w:t xml:space="preserve"> </w:t>
      </w:r>
      <w:r w:rsidRPr="00361396">
        <w:rPr>
          <w:color w:val="000000" w:themeColor="text1"/>
        </w:rPr>
        <w:t>(</w:t>
      </w:r>
      <w:r>
        <w:rPr>
          <w:color w:val="000000" w:themeColor="text1"/>
        </w:rPr>
        <w:t>Attachment</w:t>
      </w:r>
      <w:r w:rsidRPr="00361396">
        <w:rPr>
          <w:color w:val="000000" w:themeColor="text1"/>
        </w:rPr>
        <w:t xml:space="preserve"> </w:t>
      </w:r>
      <w:r>
        <w:rPr>
          <w:color w:val="000000" w:themeColor="text1"/>
        </w:rPr>
        <w:t>I</w:t>
      </w:r>
      <w:r w:rsidRPr="00361396">
        <w:rPr>
          <w:color w:val="000000" w:themeColor="text1"/>
        </w:rPr>
        <w:t xml:space="preserve">) </w:t>
      </w:r>
      <w:r>
        <w:t>one-time between months 9 to 12 in advance of the sustainment period</w:t>
      </w:r>
      <w:r>
        <w:rPr>
          <w:color w:val="000000"/>
        </w:rPr>
        <w:t xml:space="preserve">. </w:t>
      </w:r>
      <w:r>
        <w:t>This survey will be conducted via web</w:t>
      </w:r>
      <w:r w:rsidR="00BC698A">
        <w:t>;</w:t>
      </w:r>
      <w:r>
        <w:t xml:space="preserve"> an email link will be sent to the site lead with a request for completion. The contractor will send additional prompts and </w:t>
      </w:r>
      <w:r w:rsidR="00697841">
        <w:t>will</w:t>
      </w:r>
      <w:r>
        <w:t xml:space="preserve"> follow-up by phone as needed to encourage response. As this is a core component of the evaluation, it is anticipated that all sites will complete this survey.</w:t>
      </w:r>
    </w:p>
    <w:p w:rsidR="00B43483" w:rsidP="00B43483" w14:paraId="5271C60B" w14:textId="77777777"/>
    <w:p w:rsidR="00B43483" w:rsidRPr="002750D2" w:rsidP="00B43483" w14:paraId="71C77420" w14:textId="75C8D0D9">
      <w:pPr>
        <w:rPr>
          <w:rFonts w:asciiTheme="majorBidi" w:hAnsiTheme="majorBidi" w:cstheme="majorBidi"/>
        </w:rPr>
      </w:pPr>
      <w:r>
        <w:rPr>
          <w:rFonts w:asciiTheme="majorBidi" w:hAnsiTheme="majorBidi" w:cstheme="majorBidi"/>
        </w:rPr>
        <w:t>Q</w:t>
      </w:r>
      <w:r w:rsidRPr="002750D2">
        <w:rPr>
          <w:rFonts w:asciiTheme="majorBidi" w:hAnsiTheme="majorBidi" w:cstheme="majorBidi"/>
        </w:rPr>
        <w:t>ualitative, semi-structured</w:t>
      </w:r>
      <w:r w:rsidRPr="002750D2">
        <w:rPr>
          <w:rFonts w:asciiTheme="majorBidi" w:hAnsiTheme="majorBidi" w:cstheme="majorBidi"/>
          <w:b/>
        </w:rPr>
        <w:t xml:space="preserve"> </w:t>
      </w:r>
      <w:r w:rsidRPr="002750D2">
        <w:rPr>
          <w:rFonts w:asciiTheme="majorBidi" w:hAnsiTheme="majorBidi" w:cstheme="majorBidi"/>
          <w:bCs/>
          <w:color w:val="000000"/>
        </w:rPr>
        <w:t>interviews</w:t>
      </w:r>
      <w:r>
        <w:rPr>
          <w:rFonts w:asciiTheme="majorBidi" w:hAnsiTheme="majorBidi" w:cstheme="majorBidi"/>
          <w:b/>
          <w:color w:val="000000"/>
        </w:rPr>
        <w:t xml:space="preserve"> </w:t>
      </w:r>
      <w:r w:rsidRPr="00361396">
        <w:rPr>
          <w:rFonts w:asciiTheme="majorBidi" w:hAnsiTheme="majorBidi" w:cstheme="majorBidi"/>
          <w:bCs/>
          <w:color w:val="000000"/>
        </w:rPr>
        <w:t>will be conducted with site leads and frontline staff</w:t>
      </w:r>
      <w:r>
        <w:rPr>
          <w:rFonts w:asciiTheme="majorBidi" w:hAnsiTheme="majorBidi" w:cstheme="majorBidi"/>
          <w:bCs/>
          <w:color w:val="000000"/>
        </w:rPr>
        <w:t xml:space="preserve"> using the</w:t>
      </w:r>
      <w:r w:rsidRPr="00553AE1">
        <w:rPr>
          <w:rFonts w:asciiTheme="majorBidi" w:hAnsiTheme="majorBidi" w:cstheme="majorBidi"/>
          <w:b/>
          <w:color w:val="000000"/>
        </w:rPr>
        <w:t xml:space="preserve"> </w:t>
      </w:r>
      <w:r w:rsidRPr="002750D2">
        <w:rPr>
          <w:rFonts w:asciiTheme="majorBidi" w:hAnsiTheme="majorBidi" w:cstheme="majorBidi"/>
          <w:b/>
          <w:color w:val="000000"/>
        </w:rPr>
        <w:t>Implementation Interview</w:t>
      </w:r>
      <w:r>
        <w:rPr>
          <w:rFonts w:asciiTheme="majorBidi" w:hAnsiTheme="majorBidi" w:cstheme="majorBidi"/>
          <w:b/>
          <w:color w:val="000000"/>
        </w:rPr>
        <w:t xml:space="preserve"> Protocol</w:t>
      </w:r>
      <w:r w:rsidRPr="002750D2">
        <w:rPr>
          <w:rFonts w:asciiTheme="majorBidi" w:hAnsiTheme="majorBidi" w:cstheme="majorBidi"/>
          <w:b/>
          <w:color w:val="000000"/>
        </w:rPr>
        <w:t xml:space="preserve"> </w:t>
      </w:r>
      <w:r w:rsidRPr="002750D2">
        <w:rPr>
          <w:rFonts w:asciiTheme="majorBidi" w:hAnsiTheme="majorBidi" w:cstheme="majorBidi"/>
          <w:color w:val="000000" w:themeColor="text1"/>
        </w:rPr>
        <w:t>(</w:t>
      </w:r>
      <w:r>
        <w:rPr>
          <w:rFonts w:asciiTheme="majorBidi" w:hAnsiTheme="majorBidi" w:cstheme="majorBidi"/>
          <w:color w:val="000000" w:themeColor="text1"/>
        </w:rPr>
        <w:t>Attachment</w:t>
      </w:r>
      <w:r w:rsidRPr="002750D2">
        <w:rPr>
          <w:rFonts w:asciiTheme="majorBidi" w:hAnsiTheme="majorBidi" w:cstheme="majorBidi"/>
          <w:color w:val="000000" w:themeColor="text1"/>
        </w:rPr>
        <w:t xml:space="preserve"> </w:t>
      </w:r>
      <w:r>
        <w:rPr>
          <w:rFonts w:asciiTheme="majorBidi" w:hAnsiTheme="majorBidi" w:cstheme="majorBidi"/>
          <w:color w:val="000000" w:themeColor="text1"/>
        </w:rPr>
        <w:t>J</w:t>
      </w:r>
      <w:r w:rsidRPr="002750D2">
        <w:rPr>
          <w:rFonts w:asciiTheme="majorBidi" w:hAnsiTheme="majorBidi" w:cstheme="majorBidi"/>
          <w:color w:val="000000" w:themeColor="text1"/>
        </w:rPr>
        <w:t>)</w:t>
      </w:r>
      <w:r w:rsidRPr="002750D2">
        <w:rPr>
          <w:rFonts w:asciiTheme="majorBidi" w:hAnsiTheme="majorBidi" w:cstheme="majorBidi"/>
          <w:bCs/>
        </w:rPr>
        <w:t>.</w:t>
      </w:r>
      <w:r w:rsidRPr="002750D2">
        <w:rPr>
          <w:rFonts w:asciiTheme="majorBidi" w:hAnsiTheme="majorBidi" w:cstheme="majorBidi"/>
        </w:rPr>
        <w:t xml:space="preserve"> </w:t>
      </w:r>
      <w:r>
        <w:rPr>
          <w:rFonts w:asciiTheme="majorBidi" w:hAnsiTheme="majorBidi" w:cstheme="majorBidi"/>
        </w:rPr>
        <w:t xml:space="preserve">Individuals </w:t>
      </w:r>
      <w:r>
        <w:rPr>
          <w:rFonts w:asciiTheme="majorBidi" w:hAnsiTheme="majorBidi" w:cstheme="majorBidi"/>
          <w:bCs/>
          <w:color w:val="000000"/>
        </w:rPr>
        <w:t xml:space="preserve">will be selected randomly from a list of site participants and </w:t>
      </w:r>
      <w:r>
        <w:rPr>
          <w:rFonts w:asciiTheme="majorBidi" w:hAnsiTheme="majorBidi" w:cstheme="majorBidi"/>
        </w:rPr>
        <w:t xml:space="preserve">will be invited to attend by email. </w:t>
      </w:r>
      <w:r w:rsidRPr="002750D2">
        <w:rPr>
          <w:rFonts w:asciiTheme="majorBidi" w:hAnsiTheme="majorBidi" w:cstheme="majorBidi"/>
        </w:rPr>
        <w:t>Interviews will be conducted virtually and last up to 60 minutes.</w:t>
      </w:r>
      <w:r>
        <w:rPr>
          <w:rFonts w:asciiTheme="majorBidi" w:hAnsiTheme="majorBidi" w:cstheme="majorBidi"/>
        </w:rPr>
        <w:t xml:space="preserve"> </w:t>
      </w:r>
      <w:r>
        <w:rPr>
          <w:rFonts w:asciiTheme="majorBidi" w:hAnsiTheme="majorBidi" w:cstheme="majorBidi"/>
          <w:bCs/>
          <w:color w:val="000000"/>
        </w:rPr>
        <w:t>Interviews with up to 2 individuals from each site will be conducted.</w:t>
      </w:r>
    </w:p>
    <w:p w:rsidR="00B43483" w:rsidP="00B43483" w14:paraId="0BBEF18E" w14:textId="77777777">
      <w:pPr>
        <w:rPr>
          <w:rFonts w:asciiTheme="majorBidi" w:hAnsiTheme="majorBidi" w:cstheme="majorBidi"/>
          <w:b/>
          <w:bCs/>
        </w:rPr>
      </w:pPr>
    </w:p>
    <w:p w:rsidR="00B43483" w:rsidRPr="0093385F" w:rsidP="00B43483" w14:paraId="374586DD" w14:textId="19770DED">
      <w:pPr>
        <w:rPr>
          <w:color w:val="000000" w:themeColor="text1"/>
        </w:rPr>
      </w:pPr>
      <w:r w:rsidRPr="002750D2">
        <w:rPr>
          <w:rFonts w:asciiTheme="majorBidi" w:hAnsiTheme="majorBidi" w:cstheme="majorBidi"/>
          <w:b/>
          <w:bCs/>
        </w:rPr>
        <w:t xml:space="preserve">Data Collections Specific to the Measure Dx Tool. </w:t>
      </w:r>
      <w:r w:rsidRPr="002750D2">
        <w:rPr>
          <w:rFonts w:asciiTheme="majorBidi" w:hAnsiTheme="majorBidi" w:cstheme="majorBidi"/>
        </w:rPr>
        <w:t>In addition to those noted above, the Measure Dx testing will include four additional data collections</w:t>
      </w:r>
      <w:r>
        <w:rPr>
          <w:rFonts w:asciiTheme="majorBidi" w:hAnsiTheme="majorBidi" w:cstheme="majorBidi"/>
        </w:rPr>
        <w:t xml:space="preserve"> that will be completed by the clinical and/or other site staff</w:t>
      </w:r>
      <w:r w:rsidRPr="002750D2">
        <w:rPr>
          <w:rFonts w:asciiTheme="majorBidi" w:hAnsiTheme="majorBidi" w:cstheme="majorBidi"/>
        </w:rPr>
        <w:t xml:space="preserve">. </w:t>
      </w:r>
      <w:r w:rsidRPr="000F28AF">
        <w:rPr>
          <w:rFonts w:asciiTheme="majorBidi" w:hAnsiTheme="majorBidi" w:cstheme="majorBidi"/>
        </w:rPr>
        <w:t xml:space="preserve">All sites that begin testing the Measure Dx Tool will complete </w:t>
      </w:r>
      <w:r>
        <w:rPr>
          <w:rFonts w:asciiTheme="majorBidi" w:hAnsiTheme="majorBidi" w:cstheme="majorBidi"/>
        </w:rPr>
        <w:t>several additional</w:t>
      </w:r>
      <w:r w:rsidRPr="000F28AF">
        <w:rPr>
          <w:rFonts w:asciiTheme="majorBidi" w:hAnsiTheme="majorBidi" w:cstheme="majorBidi"/>
        </w:rPr>
        <w:t xml:space="preserve"> fillable forms</w:t>
      </w:r>
      <w:r>
        <w:rPr>
          <w:rFonts w:asciiTheme="majorBidi" w:hAnsiTheme="majorBidi" w:cstheme="majorBidi"/>
        </w:rPr>
        <w:t xml:space="preserve">. These will be sent </w:t>
      </w:r>
      <w:r>
        <w:rPr>
          <w:color w:val="000000" w:themeColor="text1"/>
        </w:rPr>
        <w:t xml:space="preserve">by email and can be </w:t>
      </w:r>
      <w:r>
        <w:t>returned by fax, mail</w:t>
      </w:r>
      <w:r w:rsidR="00AC0CBF">
        <w:t>,</w:t>
      </w:r>
      <w:r>
        <w:t xml:space="preserve"> or email; the contractor will send additional prompts and follow-up by phone as needed to encourage response. Th</w:t>
      </w:r>
      <w:r>
        <w:rPr>
          <w:rFonts w:asciiTheme="majorBidi" w:hAnsiTheme="majorBidi" w:cstheme="majorBidi"/>
        </w:rPr>
        <w:t xml:space="preserve">e </w:t>
      </w:r>
      <w:r w:rsidRPr="002A1B33">
        <w:rPr>
          <w:rFonts w:asciiTheme="majorBidi" w:hAnsiTheme="majorBidi" w:cstheme="majorBidi"/>
          <w:b/>
          <w:bCs/>
          <w:color w:val="000000" w:themeColor="text1"/>
        </w:rPr>
        <w:t>Measure Dx Organizational Self-Assessment</w:t>
      </w:r>
      <w:r w:rsidRPr="00EF516C">
        <w:rPr>
          <w:rFonts w:asciiTheme="majorBidi" w:hAnsiTheme="majorBidi" w:cstheme="majorBidi"/>
          <w:color w:val="000000" w:themeColor="text1"/>
        </w:rPr>
        <w:t xml:space="preserve"> </w:t>
      </w:r>
      <w:r w:rsidRPr="000F28AF">
        <w:rPr>
          <w:rFonts w:asciiTheme="majorBidi" w:hAnsiTheme="majorBidi" w:cstheme="majorBidi"/>
          <w:color w:val="000000" w:themeColor="text1"/>
        </w:rPr>
        <w:t>(Attachment K)</w:t>
      </w:r>
      <w:r>
        <w:rPr>
          <w:rFonts w:asciiTheme="majorBidi" w:hAnsiTheme="majorBidi" w:cstheme="majorBidi"/>
          <w:color w:val="000000" w:themeColor="text1"/>
        </w:rPr>
        <w:t xml:space="preserve"> and</w:t>
      </w:r>
      <w:r>
        <w:rPr>
          <w:rFonts w:asciiTheme="majorBidi" w:hAnsiTheme="majorBidi" w:cstheme="majorBidi"/>
        </w:rPr>
        <w:t xml:space="preserve"> the </w:t>
      </w:r>
      <w:r w:rsidRPr="002A1B33">
        <w:rPr>
          <w:rFonts w:asciiTheme="majorBidi" w:hAnsiTheme="majorBidi" w:cstheme="majorBidi"/>
          <w:b/>
          <w:bCs/>
          <w:color w:val="000000" w:themeColor="text1"/>
        </w:rPr>
        <w:t>Measure Dx Declaration of Measurement Strategy</w:t>
      </w:r>
      <w:r w:rsidRPr="000F28AF">
        <w:rPr>
          <w:color w:val="000000" w:themeColor="text1"/>
        </w:rPr>
        <w:t xml:space="preserve"> (Attachment L)</w:t>
      </w:r>
      <w:r>
        <w:rPr>
          <w:color w:val="000000" w:themeColor="text1"/>
        </w:rPr>
        <w:t xml:space="preserve"> will be completed once. Again, as these are core forms that must completed in order to begin participation in the evaluation, all 73 sites are expected to complete these forms. Site leads will also be asked to complete </w:t>
      </w:r>
      <w:r w:rsidRPr="000F28AF">
        <w:rPr>
          <w:rFonts w:asciiTheme="majorBidi" w:hAnsiTheme="majorBidi" w:cstheme="majorBidi"/>
        </w:rPr>
        <w:t>fillable forms</w:t>
      </w:r>
      <w:r>
        <w:rPr>
          <w:rFonts w:asciiTheme="majorBidi" w:hAnsiTheme="majorBidi" w:cstheme="majorBidi"/>
        </w:rPr>
        <w:t xml:space="preserve"> versions of</w:t>
      </w:r>
      <w:r>
        <w:rPr>
          <w:color w:val="000000" w:themeColor="text1"/>
        </w:rPr>
        <w:t xml:space="preserve"> </w:t>
      </w:r>
      <w:r w:rsidRPr="002750D2">
        <w:rPr>
          <w:b/>
          <w:bCs/>
        </w:rPr>
        <w:t>Diagnostic Safety Event Report</w:t>
      </w:r>
      <w:r>
        <w:rPr>
          <w:b/>
          <w:bCs/>
        </w:rPr>
        <w:t xml:space="preserve">s </w:t>
      </w:r>
      <w:r w:rsidRPr="00361396">
        <w:rPr>
          <w:color w:val="000000" w:themeColor="text1"/>
        </w:rPr>
        <w:t>(</w:t>
      </w:r>
      <w:r>
        <w:rPr>
          <w:color w:val="000000" w:themeColor="text1"/>
        </w:rPr>
        <w:t>Attachment</w:t>
      </w:r>
      <w:r w:rsidRPr="00361396">
        <w:rPr>
          <w:color w:val="000000" w:themeColor="text1"/>
        </w:rPr>
        <w:t xml:space="preserve"> </w:t>
      </w:r>
      <w:r>
        <w:rPr>
          <w:color w:val="000000" w:themeColor="text1"/>
        </w:rPr>
        <w:t>M)</w:t>
      </w:r>
      <w:r>
        <w:rPr>
          <w:rStyle w:val="CommentReference"/>
        </w:rPr>
        <w:t xml:space="preserve">. </w:t>
      </w:r>
      <w:r>
        <w:t xml:space="preserve">The form will be completed by each participating 3 times </w:t>
      </w:r>
      <w:r w:rsidR="000601EF">
        <w:t>over</w:t>
      </w:r>
      <w:r>
        <w:t xml:space="preserve"> the course of the evaluation </w:t>
      </w:r>
      <w:r w:rsidRPr="002750D2">
        <w:rPr>
          <w:rFonts w:asciiTheme="majorBidi" w:hAnsiTheme="majorBidi" w:cstheme="majorBidi"/>
        </w:rPr>
        <w:t>(</w:t>
      </w:r>
      <w:r>
        <w:rPr>
          <w:rFonts w:asciiTheme="majorBidi" w:hAnsiTheme="majorBidi" w:cstheme="majorBidi"/>
        </w:rPr>
        <w:t>at 3</w:t>
      </w:r>
      <w:r w:rsidRPr="002750D2">
        <w:rPr>
          <w:rFonts w:asciiTheme="majorBidi" w:hAnsiTheme="majorBidi" w:cstheme="majorBidi"/>
        </w:rPr>
        <w:t>-, 12-, and 24- months)</w:t>
      </w:r>
      <w:r>
        <w:rPr>
          <w:rFonts w:asciiTheme="majorBidi" w:hAnsiTheme="majorBidi" w:cstheme="majorBidi"/>
        </w:rPr>
        <w:t>; it is anticipated that</w:t>
      </w:r>
      <w:r w:rsidRPr="002750D2">
        <w:rPr>
          <w:rFonts w:asciiTheme="majorBidi" w:hAnsiTheme="majorBidi" w:cstheme="majorBidi"/>
        </w:rPr>
        <w:t xml:space="preserve"> total of </w:t>
      </w:r>
      <w:r>
        <w:rPr>
          <w:rFonts w:asciiTheme="majorBidi" w:hAnsiTheme="majorBidi" w:cstheme="majorBidi"/>
        </w:rPr>
        <w:t>219</w:t>
      </w:r>
      <w:r w:rsidRPr="002750D2">
        <w:rPr>
          <w:rFonts w:asciiTheme="majorBidi" w:hAnsiTheme="majorBidi" w:cstheme="majorBidi"/>
        </w:rPr>
        <w:t xml:space="preserve"> reports will be completed.  </w:t>
      </w:r>
    </w:p>
    <w:p w:rsidR="00B43483" w:rsidP="00B43483" w14:paraId="0153A18F" w14:textId="77777777">
      <w:pPr>
        <w:rPr>
          <w:rFonts w:asciiTheme="majorBidi" w:hAnsiTheme="majorBidi" w:cstheme="majorBidi"/>
        </w:rPr>
      </w:pPr>
    </w:p>
    <w:p w:rsidR="00B43483" w:rsidP="00B43483" w14:paraId="00699331" w14:textId="6F99961B">
      <w:pPr>
        <w:rPr>
          <w:color w:val="000000" w:themeColor="text1"/>
        </w:rPr>
      </w:pPr>
      <w:r w:rsidRPr="00EF516C">
        <w:rPr>
          <w:color w:val="000000" w:themeColor="text1"/>
        </w:rPr>
        <w:t>Five members of the Measure Dx team at each site will be surveyed</w:t>
      </w:r>
      <w:r>
        <w:rPr>
          <w:color w:val="000000" w:themeColor="text1"/>
        </w:rPr>
        <w:t xml:space="preserve"> using the </w:t>
      </w:r>
      <w:r w:rsidRPr="0093385F">
        <w:rPr>
          <w:b/>
          <w:bCs/>
          <w:color w:val="000000" w:themeColor="text1"/>
        </w:rPr>
        <w:t>Omnibus Safety and Culture Survey</w:t>
      </w:r>
      <w:r>
        <w:rPr>
          <w:b/>
          <w:bCs/>
        </w:rPr>
        <w:t xml:space="preserve"> </w:t>
      </w:r>
      <w:r w:rsidRPr="00361396">
        <w:rPr>
          <w:color w:val="000000" w:themeColor="text1"/>
        </w:rPr>
        <w:t>(</w:t>
      </w:r>
      <w:r>
        <w:rPr>
          <w:color w:val="000000" w:themeColor="text1"/>
        </w:rPr>
        <w:t>Attachment</w:t>
      </w:r>
      <w:r w:rsidRPr="00361396">
        <w:rPr>
          <w:color w:val="000000" w:themeColor="text1"/>
        </w:rPr>
        <w:t xml:space="preserve"> </w:t>
      </w:r>
      <w:r>
        <w:rPr>
          <w:color w:val="000000" w:themeColor="text1"/>
        </w:rPr>
        <w:t>N or O</w:t>
      </w:r>
      <w:r w:rsidRPr="00361396">
        <w:rPr>
          <w:color w:val="000000" w:themeColor="text1"/>
        </w:rPr>
        <w:t>)</w:t>
      </w:r>
      <w:r>
        <w:rPr>
          <w:color w:val="000000" w:themeColor="text1"/>
        </w:rPr>
        <w:t xml:space="preserve">, the </w:t>
      </w:r>
      <w:r w:rsidRPr="000464AE">
        <w:t>Medical Office or Hospital versions depending on the setting</w:t>
      </w:r>
      <w:r>
        <w:rPr>
          <w:color w:val="000000" w:themeColor="text1"/>
        </w:rPr>
        <w:t>. This survey will be conducted by web, with email prompting to non-responders</w:t>
      </w:r>
      <w:r w:rsidR="0018082B">
        <w:rPr>
          <w:color w:val="000000" w:themeColor="text1"/>
        </w:rPr>
        <w:t>. T</w:t>
      </w:r>
      <w:r w:rsidRPr="00EF516C">
        <w:rPr>
          <w:color w:val="000000" w:themeColor="text1"/>
        </w:rPr>
        <w:t>he expected response rate is 85% at each of the three administration periods.</w:t>
      </w:r>
    </w:p>
    <w:p w:rsidR="00B43483" w:rsidP="00B43483" w14:paraId="6D4060AB" w14:textId="77777777">
      <w:pPr>
        <w:rPr>
          <w:color w:val="000000" w:themeColor="text1"/>
        </w:rPr>
      </w:pPr>
    </w:p>
    <w:p w:rsidR="00B43483" w:rsidP="00B43483" w14:paraId="59C9695B" w14:textId="6740A4D8">
      <w:pPr>
        <w:rPr>
          <w:rFonts w:asciiTheme="majorBidi" w:hAnsiTheme="majorBidi" w:cstheme="majorBidi"/>
          <w:color w:val="000000" w:themeColor="text1"/>
        </w:rPr>
      </w:pPr>
      <w:r w:rsidRPr="00361396">
        <w:rPr>
          <w:rFonts w:asciiTheme="majorBidi" w:hAnsiTheme="majorBidi" w:cstheme="majorBidi"/>
          <w:b/>
          <w:bCs/>
        </w:rPr>
        <w:t xml:space="preserve">Data Collections Specific to the Calibrate Dx Tool. </w:t>
      </w:r>
      <w:r w:rsidRPr="00361396">
        <w:rPr>
          <w:rFonts w:asciiTheme="majorBidi" w:hAnsiTheme="majorBidi" w:cstheme="majorBidi"/>
        </w:rPr>
        <w:t>In addition to the data collections for all sites noted above, the Calibrate</w:t>
      </w:r>
      <w:r w:rsidRPr="00361396">
        <w:rPr>
          <w:rFonts w:asciiTheme="majorBidi" w:hAnsiTheme="majorBidi" w:cstheme="majorBidi"/>
          <w:b/>
          <w:bCs/>
        </w:rPr>
        <w:t xml:space="preserve"> </w:t>
      </w:r>
      <w:r w:rsidRPr="00361396">
        <w:rPr>
          <w:rFonts w:asciiTheme="majorBidi" w:hAnsiTheme="majorBidi" w:cstheme="majorBidi"/>
        </w:rPr>
        <w:t xml:space="preserve">Dx testing will include two additional data collections. </w:t>
      </w:r>
      <w:r>
        <w:t xml:space="preserve">Clinicians at participating Calibrate Dx sites will complete the </w:t>
      </w:r>
      <w:r w:rsidRPr="003D10F5">
        <w:rPr>
          <w:b/>
          <w:bCs/>
        </w:rPr>
        <w:t xml:space="preserve">Calibrate Dx </w:t>
      </w:r>
      <w:r>
        <w:rPr>
          <w:b/>
          <w:bCs/>
        </w:rPr>
        <w:t xml:space="preserve">Survey </w:t>
      </w:r>
      <w:r w:rsidRPr="003D10F5">
        <w:rPr>
          <w:rFonts w:asciiTheme="majorBidi" w:hAnsiTheme="majorBidi" w:cstheme="majorBidi"/>
          <w:color w:val="000000" w:themeColor="text1"/>
        </w:rPr>
        <w:t xml:space="preserve">(Attachment </w:t>
      </w:r>
      <w:r>
        <w:rPr>
          <w:rFonts w:asciiTheme="majorBidi" w:hAnsiTheme="majorBidi" w:cstheme="majorBidi"/>
          <w:color w:val="000000" w:themeColor="text1"/>
        </w:rPr>
        <w:t>P</w:t>
      </w:r>
      <w:r w:rsidRPr="003D10F5">
        <w:rPr>
          <w:rFonts w:asciiTheme="majorBidi" w:hAnsiTheme="majorBidi" w:cstheme="majorBidi"/>
          <w:color w:val="000000" w:themeColor="text1"/>
        </w:rPr>
        <w:t>)</w:t>
      </w:r>
      <w:r>
        <w:t xml:space="preserve">.  This </w:t>
      </w:r>
      <w:r w:rsidRPr="00EF516C">
        <w:t xml:space="preserve">fillable form </w:t>
      </w:r>
      <w:r>
        <w:t xml:space="preserve">will be administered 4 times during implementation/sustainment to </w:t>
      </w:r>
      <w:r w:rsidRPr="00EF516C">
        <w:rPr>
          <w:color w:val="000000" w:themeColor="text1"/>
        </w:rPr>
        <w:t>up to 5 clinicians per site</w:t>
      </w:r>
      <w:r>
        <w:t>; with email prompting</w:t>
      </w:r>
      <w:r w:rsidR="007B0DB7">
        <w:t>,</w:t>
      </w:r>
      <w:r>
        <w:t xml:space="preserve"> an </w:t>
      </w:r>
      <w:r w:rsidRPr="003D10F5">
        <w:rPr>
          <w:rFonts w:asciiTheme="majorBidi" w:hAnsiTheme="majorBidi" w:cstheme="majorBidi"/>
          <w:color w:val="000000" w:themeColor="text1"/>
        </w:rPr>
        <w:t>estimated 90% response rate to this collection</w:t>
      </w:r>
      <w:r>
        <w:rPr>
          <w:rFonts w:asciiTheme="majorBidi" w:hAnsiTheme="majorBidi" w:cstheme="majorBidi"/>
          <w:color w:val="000000" w:themeColor="text1"/>
        </w:rPr>
        <w:t xml:space="preserve"> is anticipated</w:t>
      </w:r>
      <w:r>
        <w:t xml:space="preserve">.  Up to 5 clinicians per site participating in Calibrate Dx will also be asked to complete a </w:t>
      </w:r>
      <w:r w:rsidRPr="002A1B33">
        <w:rPr>
          <w:b/>
          <w:bCs/>
        </w:rPr>
        <w:t>Clinician Self</w:t>
      </w:r>
      <w:r w:rsidRPr="002750D2">
        <w:rPr>
          <w:b/>
          <w:bCs/>
        </w:rPr>
        <w:t>-efficacy Survey</w:t>
      </w:r>
      <w:r>
        <w:t xml:space="preserve"> (</w:t>
      </w:r>
      <w:r>
        <w:rPr>
          <w:rFonts w:asciiTheme="majorBidi" w:hAnsiTheme="majorBidi" w:cstheme="majorBidi"/>
          <w:color w:val="000000" w:themeColor="text1"/>
        </w:rPr>
        <w:t>Attachment</w:t>
      </w:r>
      <w:r w:rsidRPr="00361396">
        <w:rPr>
          <w:rFonts w:asciiTheme="majorBidi" w:hAnsiTheme="majorBidi" w:cstheme="majorBidi"/>
          <w:color w:val="000000" w:themeColor="text1"/>
        </w:rPr>
        <w:t xml:space="preserve"> </w:t>
      </w:r>
      <w:r>
        <w:rPr>
          <w:rFonts w:asciiTheme="majorBidi" w:hAnsiTheme="majorBidi" w:cstheme="majorBidi"/>
          <w:color w:val="000000" w:themeColor="text1"/>
        </w:rPr>
        <w:t>Q</w:t>
      </w:r>
      <w:r w:rsidRPr="00361396">
        <w:rPr>
          <w:rFonts w:asciiTheme="majorBidi" w:hAnsiTheme="majorBidi" w:cstheme="majorBidi"/>
          <w:color w:val="000000" w:themeColor="text1"/>
        </w:rPr>
        <w:t>)</w:t>
      </w:r>
      <w:r>
        <w:rPr>
          <w:rFonts w:asciiTheme="majorBidi" w:hAnsiTheme="majorBidi" w:cstheme="majorBidi"/>
          <w:color w:val="000000" w:themeColor="text1"/>
        </w:rPr>
        <w:t>; an estimated 90% response rate to this collection is anticipated.</w:t>
      </w:r>
    </w:p>
    <w:p w:rsidR="00B43483" w:rsidRPr="002750D2" w:rsidP="00B43483" w14:paraId="1EDBA559" w14:textId="77777777"/>
    <w:p w:rsidR="00B43483" w:rsidRPr="00EF516C" w:rsidP="00B43483" w14:paraId="6B630046" w14:textId="716B13B6">
      <w:pPr>
        <w:rPr>
          <w:color w:val="000000" w:themeColor="text1"/>
        </w:rPr>
      </w:pPr>
      <w:r w:rsidRPr="00361396">
        <w:rPr>
          <w:rFonts w:asciiTheme="majorBidi" w:hAnsiTheme="majorBidi" w:cstheme="majorBidi"/>
          <w:b/>
          <w:bCs/>
        </w:rPr>
        <w:t xml:space="preserve">Data Collections Specific to the </w:t>
      </w:r>
      <w:r>
        <w:rPr>
          <w:rFonts w:asciiTheme="majorBidi" w:hAnsiTheme="majorBidi" w:cstheme="majorBidi"/>
          <w:b/>
          <w:bCs/>
        </w:rPr>
        <w:t xml:space="preserve">Patient </w:t>
      </w:r>
      <w:r w:rsidRPr="00361396">
        <w:rPr>
          <w:b/>
          <w:bCs/>
        </w:rPr>
        <w:t>Toolkit</w:t>
      </w:r>
      <w:r w:rsidRPr="00361396">
        <w:rPr>
          <w:rFonts w:asciiTheme="majorBidi" w:hAnsiTheme="majorBidi" w:cstheme="majorBidi"/>
          <w:b/>
          <w:bCs/>
        </w:rPr>
        <w:t xml:space="preserve">. </w:t>
      </w:r>
      <w:r w:rsidRPr="00361396">
        <w:rPr>
          <w:rFonts w:asciiTheme="majorBidi" w:hAnsiTheme="majorBidi" w:cstheme="majorBidi"/>
        </w:rPr>
        <w:t xml:space="preserve">In addition to </w:t>
      </w:r>
      <w:r>
        <w:rPr>
          <w:rFonts w:asciiTheme="majorBidi" w:hAnsiTheme="majorBidi" w:cstheme="majorBidi"/>
        </w:rPr>
        <w:t>the data collections for all sites</w:t>
      </w:r>
      <w:r w:rsidRPr="00361396">
        <w:rPr>
          <w:rFonts w:asciiTheme="majorBidi" w:hAnsiTheme="majorBidi" w:cstheme="majorBidi"/>
        </w:rPr>
        <w:t xml:space="preserve"> noted above, the </w:t>
      </w:r>
      <w:r>
        <w:rPr>
          <w:rFonts w:asciiTheme="majorBidi" w:hAnsiTheme="majorBidi" w:cstheme="majorBidi"/>
        </w:rPr>
        <w:t xml:space="preserve">testing for the Patient </w:t>
      </w:r>
      <w:r w:rsidRPr="00361396">
        <w:t xml:space="preserve">Toolkit </w:t>
      </w:r>
      <w:r w:rsidRPr="00361396">
        <w:rPr>
          <w:rFonts w:asciiTheme="majorBidi" w:hAnsiTheme="majorBidi" w:cstheme="majorBidi"/>
        </w:rPr>
        <w:t xml:space="preserve">will include </w:t>
      </w:r>
      <w:r>
        <w:rPr>
          <w:rFonts w:asciiTheme="majorBidi" w:hAnsiTheme="majorBidi" w:cstheme="majorBidi"/>
        </w:rPr>
        <w:t>five</w:t>
      </w:r>
      <w:r w:rsidRPr="00361396">
        <w:rPr>
          <w:rFonts w:asciiTheme="majorBidi" w:hAnsiTheme="majorBidi" w:cstheme="majorBidi"/>
        </w:rPr>
        <w:t xml:space="preserve"> additional data collectio</w:t>
      </w:r>
      <w:r>
        <w:rPr>
          <w:rFonts w:asciiTheme="majorBidi" w:hAnsiTheme="majorBidi" w:cstheme="majorBidi"/>
        </w:rPr>
        <w:t>ns</w:t>
      </w:r>
      <w:r w:rsidRPr="00361396">
        <w:rPr>
          <w:rFonts w:asciiTheme="majorBidi" w:hAnsiTheme="majorBidi" w:cstheme="majorBidi"/>
        </w:rPr>
        <w:t xml:space="preserve">. </w:t>
      </w:r>
      <w:r>
        <w:t xml:space="preserve">At the beginning of the implementation, all participating providers at each site will complete the </w:t>
      </w:r>
      <w:r w:rsidRPr="002750D2">
        <w:rPr>
          <w:b/>
          <w:bCs/>
        </w:rPr>
        <w:t xml:space="preserve">Provider </w:t>
      </w:r>
      <w:r w:rsidRPr="00EF516C">
        <w:rPr>
          <w:color w:val="000000" w:themeColor="text1"/>
        </w:rPr>
        <w:t xml:space="preserve">Characteristics </w:t>
      </w:r>
      <w:r w:rsidRPr="002750D2">
        <w:rPr>
          <w:b/>
          <w:bCs/>
        </w:rPr>
        <w:t>Form</w:t>
      </w:r>
      <w:r>
        <w:rPr>
          <w:b/>
          <w:bCs/>
        </w:rPr>
        <w:t xml:space="preserve"> </w:t>
      </w:r>
      <w:r>
        <w:t>(</w:t>
      </w:r>
      <w:r>
        <w:rPr>
          <w:rFonts w:asciiTheme="majorBidi" w:hAnsiTheme="majorBidi" w:cstheme="majorBidi"/>
          <w:color w:val="000000" w:themeColor="text1"/>
        </w:rPr>
        <w:t>Attachment</w:t>
      </w:r>
      <w:r w:rsidRPr="00361396">
        <w:rPr>
          <w:rFonts w:asciiTheme="majorBidi" w:hAnsiTheme="majorBidi" w:cstheme="majorBidi"/>
          <w:color w:val="000000" w:themeColor="text1"/>
        </w:rPr>
        <w:t xml:space="preserve"> </w:t>
      </w:r>
      <w:r>
        <w:rPr>
          <w:rFonts w:asciiTheme="majorBidi" w:hAnsiTheme="majorBidi" w:cstheme="majorBidi"/>
          <w:color w:val="000000" w:themeColor="text1"/>
        </w:rPr>
        <w:t>R</w:t>
      </w:r>
      <w:r w:rsidRPr="00361396">
        <w:rPr>
          <w:rFonts w:asciiTheme="majorBidi" w:hAnsiTheme="majorBidi" w:cstheme="majorBidi"/>
          <w:color w:val="000000" w:themeColor="text1"/>
        </w:rPr>
        <w:t>)</w:t>
      </w:r>
      <w:r w:rsidR="00DC37C6">
        <w:t>.</w:t>
      </w:r>
      <w:r>
        <w:t xml:space="preserve"> </w:t>
      </w:r>
      <w:r w:rsidR="00DC37C6">
        <w:t xml:space="preserve">A </w:t>
      </w:r>
      <w:r>
        <w:t>total of 73 sites will begin the testing, with 15 providers per site being asked to complete this form</w:t>
      </w:r>
      <w:r w:rsidR="00582D20">
        <w:t>. W</w:t>
      </w:r>
      <w:r>
        <w:t>ith email prompting</w:t>
      </w:r>
      <w:r w:rsidR="00582D20">
        <w:t>,</w:t>
      </w:r>
      <w:r>
        <w:t xml:space="preserve"> </w:t>
      </w:r>
      <w:r>
        <w:rPr>
          <w:rFonts w:asciiTheme="majorBidi" w:hAnsiTheme="majorBidi" w:cstheme="majorBidi"/>
          <w:color w:val="000000" w:themeColor="text1"/>
        </w:rPr>
        <w:t>an</w:t>
      </w:r>
      <w:r w:rsidRPr="003D10F5">
        <w:rPr>
          <w:rFonts w:asciiTheme="majorBidi" w:hAnsiTheme="majorBidi" w:cstheme="majorBidi"/>
          <w:color w:val="000000" w:themeColor="text1"/>
        </w:rPr>
        <w:t xml:space="preserve"> estimated 90% response rate to this collection</w:t>
      </w:r>
      <w:r>
        <w:rPr>
          <w:rFonts w:asciiTheme="majorBidi" w:hAnsiTheme="majorBidi" w:cstheme="majorBidi"/>
          <w:color w:val="000000" w:themeColor="text1"/>
        </w:rPr>
        <w:t xml:space="preserve"> is anticipated</w:t>
      </w:r>
      <w:r>
        <w:t xml:space="preserve">. </w:t>
      </w:r>
      <w:r>
        <w:rPr>
          <w:rFonts w:asciiTheme="majorBidi" w:hAnsiTheme="majorBidi" w:cstheme="majorBidi"/>
          <w:color w:val="000000" w:themeColor="text1"/>
        </w:rPr>
        <w:t xml:space="preserve">The </w:t>
      </w:r>
      <w:r w:rsidRPr="00CA09DA">
        <w:rPr>
          <w:b/>
          <w:bCs/>
          <w:color w:val="000000" w:themeColor="text1"/>
        </w:rPr>
        <w:t>Patient Toolkit Survey-Provider</w:t>
      </w:r>
      <w:r w:rsidRPr="00EF516C">
        <w:rPr>
          <w:color w:val="000000" w:themeColor="text1"/>
        </w:rPr>
        <w:t xml:space="preserve"> </w:t>
      </w:r>
      <w:r>
        <w:t>(</w:t>
      </w:r>
      <w:r>
        <w:rPr>
          <w:rFonts w:asciiTheme="majorBidi" w:hAnsiTheme="majorBidi" w:cstheme="majorBidi"/>
          <w:color w:val="000000" w:themeColor="text1"/>
        </w:rPr>
        <w:t>Attachment</w:t>
      </w:r>
      <w:r w:rsidRPr="00361396">
        <w:rPr>
          <w:rFonts w:asciiTheme="majorBidi" w:hAnsiTheme="majorBidi" w:cstheme="majorBidi"/>
          <w:color w:val="000000" w:themeColor="text1"/>
        </w:rPr>
        <w:t xml:space="preserve"> </w:t>
      </w:r>
      <w:r>
        <w:rPr>
          <w:rFonts w:asciiTheme="majorBidi" w:hAnsiTheme="majorBidi" w:cstheme="majorBidi"/>
          <w:color w:val="000000" w:themeColor="text1"/>
        </w:rPr>
        <w:t>S</w:t>
      </w:r>
      <w:r w:rsidRPr="00361396">
        <w:rPr>
          <w:rFonts w:asciiTheme="majorBidi" w:hAnsiTheme="majorBidi" w:cstheme="majorBidi"/>
          <w:color w:val="000000" w:themeColor="text1"/>
        </w:rPr>
        <w:t>)</w:t>
      </w:r>
      <w:r w:rsidRPr="00EF516C">
        <w:rPr>
          <w:color w:val="000000" w:themeColor="text1"/>
        </w:rPr>
        <w:t xml:space="preserve"> will </w:t>
      </w:r>
      <w:r>
        <w:rPr>
          <w:color w:val="000000" w:themeColor="text1"/>
        </w:rPr>
        <w:t xml:space="preserve">also </w:t>
      </w:r>
      <w:r w:rsidRPr="00EF516C">
        <w:rPr>
          <w:color w:val="000000" w:themeColor="text1"/>
        </w:rPr>
        <w:t xml:space="preserve">be administered </w:t>
      </w:r>
      <w:r>
        <w:rPr>
          <w:color w:val="000000" w:themeColor="text1"/>
        </w:rPr>
        <w:t>to up to 15</w:t>
      </w:r>
      <w:r w:rsidRPr="00EF516C">
        <w:rPr>
          <w:color w:val="000000" w:themeColor="text1"/>
        </w:rPr>
        <w:t xml:space="preserve"> providers </w:t>
      </w:r>
      <w:r>
        <w:rPr>
          <w:color w:val="000000" w:themeColor="text1"/>
        </w:rPr>
        <w:t xml:space="preserve">at each site </w:t>
      </w:r>
      <w:r w:rsidRPr="00EF516C">
        <w:rPr>
          <w:color w:val="000000" w:themeColor="text1"/>
        </w:rPr>
        <w:t>at five timepoints (Baseline, 3-, 6-, 9-, and 12-months); with a</w:t>
      </w:r>
      <w:r>
        <w:rPr>
          <w:color w:val="000000" w:themeColor="text1"/>
        </w:rPr>
        <w:t>n</w:t>
      </w:r>
      <w:r w:rsidRPr="00EF516C">
        <w:rPr>
          <w:color w:val="000000" w:themeColor="text1"/>
        </w:rPr>
        <w:t xml:space="preserve"> </w:t>
      </w:r>
      <w:r>
        <w:rPr>
          <w:color w:val="000000" w:themeColor="text1"/>
        </w:rPr>
        <w:t xml:space="preserve">estimated </w:t>
      </w:r>
      <w:r w:rsidRPr="00EF516C">
        <w:rPr>
          <w:color w:val="000000" w:themeColor="text1"/>
        </w:rPr>
        <w:t>90% response rate.</w:t>
      </w:r>
      <w:r>
        <w:rPr>
          <w:color w:val="000000" w:themeColor="text1"/>
        </w:rPr>
        <w:t xml:space="preserve">  </w:t>
      </w:r>
      <w:r w:rsidRPr="00EF516C">
        <w:rPr>
          <w:color w:val="000000" w:themeColor="text1"/>
        </w:rPr>
        <w:t>A total of 50 qualitative, semi-structured</w:t>
      </w:r>
      <w:r w:rsidRPr="00EF516C">
        <w:rPr>
          <w:b/>
          <w:color w:val="000000" w:themeColor="text1"/>
        </w:rPr>
        <w:t xml:space="preserve"> </w:t>
      </w:r>
      <w:r w:rsidRPr="00EF516C">
        <w:rPr>
          <w:bCs/>
          <w:color w:val="000000" w:themeColor="text1"/>
        </w:rPr>
        <w:t>interviews</w:t>
      </w:r>
      <w:r w:rsidRPr="00EF516C">
        <w:rPr>
          <w:b/>
          <w:color w:val="000000" w:themeColor="text1"/>
        </w:rPr>
        <w:t xml:space="preserve"> </w:t>
      </w:r>
      <w:r w:rsidRPr="00EF516C">
        <w:rPr>
          <w:bCs/>
          <w:color w:val="000000" w:themeColor="text1"/>
        </w:rPr>
        <w:t>with site clinicians</w:t>
      </w:r>
      <w:r w:rsidRPr="00EF516C">
        <w:rPr>
          <w:color w:val="000000" w:themeColor="text1"/>
        </w:rPr>
        <w:t xml:space="preserve"> will be conducted during implementation</w:t>
      </w:r>
      <w:r>
        <w:rPr>
          <w:color w:val="000000" w:themeColor="text1"/>
        </w:rPr>
        <w:t xml:space="preserve"> </w:t>
      </w:r>
      <w:r w:rsidR="001F651A">
        <w:rPr>
          <w:color w:val="000000" w:themeColor="text1"/>
        </w:rPr>
        <w:t xml:space="preserve">using the </w:t>
      </w:r>
      <w:r w:rsidRPr="00EF516C">
        <w:rPr>
          <w:b/>
          <w:color w:val="000000" w:themeColor="text1"/>
        </w:rPr>
        <w:t xml:space="preserve">Provider Interview Protocol </w:t>
      </w:r>
      <w:r w:rsidRPr="00EF516C">
        <w:rPr>
          <w:color w:val="000000" w:themeColor="text1"/>
        </w:rPr>
        <w:t xml:space="preserve">(Attachment T). </w:t>
      </w:r>
      <w:r>
        <w:rPr>
          <w:rFonts w:asciiTheme="majorBidi" w:hAnsiTheme="majorBidi" w:cstheme="majorBidi"/>
        </w:rPr>
        <w:t xml:space="preserve">Individuals </w:t>
      </w:r>
      <w:r>
        <w:rPr>
          <w:rFonts w:asciiTheme="majorBidi" w:hAnsiTheme="majorBidi" w:cstheme="majorBidi"/>
          <w:bCs/>
          <w:color w:val="000000"/>
        </w:rPr>
        <w:t xml:space="preserve">will be selected randomly from a list of site participants, and </w:t>
      </w:r>
      <w:r>
        <w:rPr>
          <w:rFonts w:asciiTheme="majorBidi" w:hAnsiTheme="majorBidi" w:cstheme="majorBidi"/>
        </w:rPr>
        <w:t>will be invited to attend by email</w:t>
      </w:r>
      <w:r w:rsidRPr="00EF516C">
        <w:rPr>
          <w:color w:val="000000" w:themeColor="text1"/>
        </w:rPr>
        <w:t>.</w:t>
      </w:r>
    </w:p>
    <w:p w:rsidR="00B43483" w:rsidRPr="005C1895" w:rsidP="00B43483" w14:paraId="500E7F6E" w14:textId="77777777"/>
    <w:p w:rsidR="00B43483" w:rsidRPr="00D90B2C" w:rsidP="00B43483" w14:paraId="573B7E7E" w14:textId="77777777">
      <w:r>
        <w:t>As</w:t>
      </w:r>
      <w:r>
        <w:rPr>
          <w:rFonts w:asciiTheme="majorBidi" w:hAnsiTheme="majorBidi" w:cstheme="majorBidi"/>
          <w:color w:val="000000" w:themeColor="text1"/>
        </w:rPr>
        <w:t xml:space="preserve"> part of the Patient </w:t>
      </w:r>
      <w:r w:rsidRPr="002750D2">
        <w:t>Toolkit</w:t>
      </w:r>
      <w:r w:rsidRPr="00234C55">
        <w:rPr>
          <w:rFonts w:asciiTheme="majorBidi" w:hAnsiTheme="majorBidi" w:cstheme="majorBidi"/>
          <w:color w:val="000000" w:themeColor="text1"/>
        </w:rPr>
        <w:t xml:space="preserve">, </w:t>
      </w:r>
      <w:r>
        <w:rPr>
          <w:rFonts w:asciiTheme="majorBidi" w:hAnsiTheme="majorBidi" w:cstheme="majorBidi"/>
          <w:color w:val="000000" w:themeColor="text1"/>
        </w:rPr>
        <w:t xml:space="preserve">the </w:t>
      </w:r>
      <w:r w:rsidRPr="00CA09DA">
        <w:rPr>
          <w:b/>
          <w:bCs/>
          <w:color w:val="000000" w:themeColor="text1"/>
        </w:rPr>
        <w:t xml:space="preserve">Patient Toolkit Survey - Patient </w:t>
      </w:r>
      <w:r>
        <w:t>(</w:t>
      </w:r>
      <w:r>
        <w:rPr>
          <w:rFonts w:asciiTheme="majorBidi" w:hAnsiTheme="majorBidi" w:cstheme="majorBidi"/>
          <w:color w:val="000000" w:themeColor="text1"/>
        </w:rPr>
        <w:t>Attachment</w:t>
      </w:r>
      <w:r w:rsidRPr="00361396">
        <w:rPr>
          <w:rFonts w:asciiTheme="majorBidi" w:hAnsiTheme="majorBidi" w:cstheme="majorBidi"/>
          <w:color w:val="000000" w:themeColor="text1"/>
        </w:rPr>
        <w:t xml:space="preserve"> </w:t>
      </w:r>
      <w:r>
        <w:rPr>
          <w:rFonts w:asciiTheme="majorBidi" w:hAnsiTheme="majorBidi" w:cstheme="majorBidi"/>
          <w:color w:val="000000" w:themeColor="text1"/>
        </w:rPr>
        <w:t>U</w:t>
      </w:r>
      <w:r w:rsidRPr="00361396">
        <w:rPr>
          <w:rFonts w:asciiTheme="majorBidi" w:hAnsiTheme="majorBidi" w:cstheme="majorBidi"/>
          <w:color w:val="000000" w:themeColor="text1"/>
        </w:rPr>
        <w:t>)</w:t>
      </w:r>
      <w:r>
        <w:rPr>
          <w:rFonts w:asciiTheme="majorBidi" w:hAnsiTheme="majorBidi" w:cstheme="majorBidi"/>
          <w:color w:val="000000" w:themeColor="text1"/>
        </w:rPr>
        <w:t xml:space="preserve"> will be administered to patients over a 1-week period at five timepoints (Baseline, 3-, 6-, 9-, and 12-months)</w:t>
      </w:r>
      <w:r>
        <w:t xml:space="preserve">. The survey will be a paper instrument provided to patients upon check-out from a healthcare visit. A total of 12,500 surveys will be completed during each 1-week period; 62,500 patient surveys will be completed during the implementation.  The survey includes a question for patients to indicate their interest in participating in an interview </w:t>
      </w:r>
      <w:r>
        <w:rPr>
          <w:rFonts w:asciiTheme="majorBidi" w:hAnsiTheme="majorBidi" w:cstheme="majorBidi"/>
          <w:bCs/>
          <w:color w:val="000000"/>
        </w:rPr>
        <w:t>(</w:t>
      </w:r>
      <w:r>
        <w:rPr>
          <w:rFonts w:asciiTheme="majorBidi" w:hAnsiTheme="majorBidi" w:cstheme="majorBidi"/>
          <w:b/>
          <w:color w:val="000000"/>
        </w:rPr>
        <w:t>Patient</w:t>
      </w:r>
      <w:r w:rsidRPr="00D90B2C">
        <w:rPr>
          <w:rFonts w:asciiTheme="majorBidi" w:hAnsiTheme="majorBidi" w:cstheme="majorBidi"/>
          <w:b/>
          <w:color w:val="000000"/>
        </w:rPr>
        <w:t xml:space="preserve"> Interview</w:t>
      </w:r>
      <w:r>
        <w:rPr>
          <w:rFonts w:asciiTheme="majorBidi" w:hAnsiTheme="majorBidi" w:cstheme="majorBidi"/>
          <w:b/>
          <w:color w:val="000000"/>
        </w:rPr>
        <w:t xml:space="preserve"> Protocol</w:t>
      </w:r>
      <w:r w:rsidRPr="00D90B2C">
        <w:rPr>
          <w:rFonts w:asciiTheme="majorBidi" w:hAnsiTheme="majorBidi" w:cstheme="majorBidi"/>
          <w:b/>
          <w:color w:val="000000"/>
        </w:rPr>
        <w:t xml:space="preserve"> </w:t>
      </w:r>
      <w:r w:rsidRPr="00D90B2C">
        <w:rPr>
          <w:rFonts w:asciiTheme="majorBidi" w:hAnsiTheme="majorBidi" w:cstheme="majorBidi"/>
          <w:color w:val="000000" w:themeColor="text1"/>
        </w:rPr>
        <w:t>(</w:t>
      </w:r>
      <w:r>
        <w:rPr>
          <w:rFonts w:asciiTheme="majorBidi" w:hAnsiTheme="majorBidi" w:cstheme="majorBidi"/>
          <w:color w:val="000000" w:themeColor="text1"/>
        </w:rPr>
        <w:t>Attachment</w:t>
      </w:r>
      <w:r w:rsidRPr="00D90B2C">
        <w:rPr>
          <w:rFonts w:asciiTheme="majorBidi" w:hAnsiTheme="majorBidi" w:cstheme="majorBidi"/>
          <w:color w:val="000000" w:themeColor="text1"/>
        </w:rPr>
        <w:t xml:space="preserve"> </w:t>
      </w:r>
      <w:r>
        <w:rPr>
          <w:rFonts w:asciiTheme="majorBidi" w:hAnsiTheme="majorBidi" w:cstheme="majorBidi"/>
          <w:color w:val="000000" w:themeColor="text1"/>
        </w:rPr>
        <w:t>V</w:t>
      </w:r>
      <w:r w:rsidRPr="00D90B2C">
        <w:rPr>
          <w:rFonts w:asciiTheme="majorBidi" w:hAnsiTheme="majorBidi" w:cstheme="majorBidi"/>
          <w:color w:val="000000" w:themeColor="text1"/>
        </w:rPr>
        <w:t>)</w:t>
      </w:r>
      <w:r>
        <w:rPr>
          <w:rFonts w:asciiTheme="majorBidi" w:hAnsiTheme="majorBidi" w:cstheme="majorBidi"/>
          <w:color w:val="000000" w:themeColor="text1"/>
        </w:rPr>
        <w:t>) about their experiences</w:t>
      </w:r>
      <w:r w:rsidRPr="00D90B2C">
        <w:rPr>
          <w:rFonts w:asciiTheme="majorBidi" w:hAnsiTheme="majorBidi" w:cstheme="majorBidi"/>
          <w:bCs/>
        </w:rPr>
        <w:t>.</w:t>
      </w:r>
      <w:r w:rsidRPr="00D90B2C">
        <w:rPr>
          <w:rFonts w:asciiTheme="majorBidi" w:hAnsiTheme="majorBidi" w:cstheme="majorBidi"/>
        </w:rPr>
        <w:t xml:space="preserve"> </w:t>
      </w:r>
      <w:r>
        <w:rPr>
          <w:rFonts w:asciiTheme="majorBidi" w:hAnsiTheme="majorBidi" w:cstheme="majorBidi"/>
        </w:rPr>
        <w:t xml:space="preserve">Patients </w:t>
      </w:r>
      <w:r>
        <w:rPr>
          <w:rFonts w:asciiTheme="majorBidi" w:hAnsiTheme="majorBidi" w:cstheme="majorBidi"/>
          <w:bCs/>
          <w:color w:val="000000"/>
        </w:rPr>
        <w:t xml:space="preserve">will be selected randomly from those that indicated willingness and contacted by email or phone. </w:t>
      </w:r>
      <w:r>
        <w:rPr>
          <w:rFonts w:asciiTheme="majorBidi" w:hAnsiTheme="majorBidi" w:cstheme="majorBidi"/>
        </w:rPr>
        <w:t xml:space="preserve">A total of 50 interviews will be completed. </w:t>
      </w:r>
      <w:r w:rsidRPr="00D90B2C">
        <w:rPr>
          <w:rFonts w:asciiTheme="majorBidi" w:hAnsiTheme="majorBidi" w:cstheme="majorBidi"/>
        </w:rPr>
        <w:t xml:space="preserve">Interviews will be conducted virtually and last up to </w:t>
      </w:r>
      <w:r>
        <w:rPr>
          <w:rFonts w:asciiTheme="majorBidi" w:hAnsiTheme="majorBidi" w:cstheme="majorBidi"/>
        </w:rPr>
        <w:t>45</w:t>
      </w:r>
      <w:r w:rsidRPr="00D90B2C">
        <w:rPr>
          <w:rFonts w:asciiTheme="majorBidi" w:hAnsiTheme="majorBidi" w:cstheme="majorBidi"/>
        </w:rPr>
        <w:t xml:space="preserve"> minutes. </w:t>
      </w:r>
    </w:p>
    <w:p w:rsidR="00B43483" w:rsidRPr="007A5974" w:rsidP="00B43483" w14:paraId="12AD48C9" w14:textId="77777777">
      <w:pPr>
        <w:spacing w:before="100" w:beforeAutospacing="1" w:after="100" w:afterAutospacing="1"/>
        <w:rPr>
          <w:i/>
          <w:highlight w:val="yellow"/>
        </w:rPr>
      </w:pPr>
    </w:p>
    <w:p w:rsidR="005453AD" w:rsidRPr="001D0454" w:rsidP="005453AD" w14:paraId="15F1AC1B" w14:textId="77777777">
      <w:pPr>
        <w:pStyle w:val="Heading2"/>
        <w:spacing w:before="0" w:after="0"/>
        <w:rPr>
          <w:sz w:val="24"/>
        </w:rPr>
      </w:pPr>
      <w:bookmarkStart w:id="7" w:name="_Toc151782201"/>
      <w:bookmarkStart w:id="8" w:name="_Toc158526237"/>
      <w:r w:rsidRPr="001D0454">
        <w:rPr>
          <w:sz w:val="24"/>
        </w:rPr>
        <w:t>3. Methods to Maximize Response Rates</w:t>
      </w:r>
      <w:bookmarkEnd w:id="7"/>
      <w:bookmarkEnd w:id="8"/>
    </w:p>
    <w:p w:rsidR="00BD4F00" w:rsidP="00556E69" w14:paraId="46F7ED22" w14:textId="268720D6">
      <w:pPr>
        <w:spacing w:before="200"/>
      </w:pPr>
      <w:r>
        <w:t>The</w:t>
      </w:r>
      <w:r w:rsidRPr="00BD4F00" w:rsidR="00905773">
        <w:t xml:space="preserve"> data collection strategy is intended to prevent attrition of sites and </w:t>
      </w:r>
      <w:r>
        <w:t>site staff</w:t>
      </w:r>
      <w:r w:rsidRPr="00BD4F00" w:rsidR="00905773">
        <w:t xml:space="preserve"> and to maximize response rates for each data collection instrument.</w:t>
      </w:r>
      <w:r w:rsidRPr="00BD4F00">
        <w:t xml:space="preserve"> </w:t>
      </w:r>
      <w:r>
        <w:t xml:space="preserve">Specifically, </w:t>
      </w:r>
      <w:r>
        <w:t>the contractor</w:t>
      </w:r>
      <w:r>
        <w:t xml:space="preserve"> will 1) minimize burden</w:t>
      </w:r>
      <w:r w:rsidR="00F22C04">
        <w:t xml:space="preserve"> as much as possible</w:t>
      </w:r>
      <w:r>
        <w:t xml:space="preserve">, 2) </w:t>
      </w:r>
      <w:r w:rsidR="002F4048">
        <w:t xml:space="preserve">emphasize the importance </w:t>
      </w:r>
      <w:r w:rsidR="00E953A7">
        <w:t xml:space="preserve">and benefits </w:t>
      </w:r>
      <w:r w:rsidR="002F4048">
        <w:t>of the evaluation</w:t>
      </w:r>
      <w:r w:rsidR="00F22C04">
        <w:t xml:space="preserve"> and</w:t>
      </w:r>
      <w:r w:rsidR="002F4048">
        <w:t xml:space="preserve"> provide </w:t>
      </w:r>
      <w:r w:rsidR="00E64F95">
        <w:t xml:space="preserve">assurance of confidentiality, </w:t>
      </w:r>
      <w:r>
        <w:t>3</w:t>
      </w:r>
      <w:r>
        <w:t xml:space="preserve">) provide ongoing support to </w:t>
      </w:r>
      <w:r>
        <w:t xml:space="preserve">participant sites and staff to encourage continuation </w:t>
      </w:r>
      <w:r w:rsidR="00E64F95">
        <w:t xml:space="preserve">and </w:t>
      </w:r>
      <w:r>
        <w:t>address concerns</w:t>
      </w:r>
      <w:r w:rsidR="00E64F95">
        <w:t>,</w:t>
      </w:r>
      <w:r>
        <w:t xml:space="preserve"> </w:t>
      </w:r>
      <w:r w:rsidR="00611BF0">
        <w:t xml:space="preserve">4) enlist </w:t>
      </w:r>
      <w:r w:rsidR="007C04AE">
        <w:t>the help of a</w:t>
      </w:r>
      <w:r w:rsidR="00611BF0">
        <w:t xml:space="preserve"> </w:t>
      </w:r>
      <w:r w:rsidR="007C04AE">
        <w:t>champion at each site</w:t>
      </w:r>
      <w:r w:rsidR="00611BF0">
        <w:t>, 5</w:t>
      </w:r>
      <w:r>
        <w:t>) conduct rigorous follow-up</w:t>
      </w:r>
      <w:r w:rsidR="00E64F95">
        <w:t xml:space="preserve"> when data collection</w:t>
      </w:r>
      <w:r>
        <w:t xml:space="preserve"> instrument</w:t>
      </w:r>
      <w:r w:rsidR="00E64F95">
        <w:t>s are not completed,</w:t>
      </w:r>
      <w:r>
        <w:t xml:space="preserve"> </w:t>
      </w:r>
      <w:r w:rsidR="00816656">
        <w:t>6</w:t>
      </w:r>
      <w:r w:rsidR="00F22C04">
        <w:t xml:space="preserve">) </w:t>
      </w:r>
      <w:r w:rsidR="00F570E5">
        <w:t>and</w:t>
      </w:r>
      <w:r w:rsidR="00FC4DD0">
        <w:t xml:space="preserve"> offer</w:t>
      </w:r>
      <w:r w:rsidR="00F570E5">
        <w:t xml:space="preserve"> </w:t>
      </w:r>
      <w:r w:rsidR="00816656">
        <w:t>a variety of</w:t>
      </w:r>
      <w:r w:rsidR="00BE433D">
        <w:t xml:space="preserve"> </w:t>
      </w:r>
      <w:r>
        <w:t>incentives</w:t>
      </w:r>
      <w:r w:rsidR="00816656">
        <w:t xml:space="preserve"> for participation</w:t>
      </w:r>
      <w:r w:rsidR="00BE433D">
        <w:t>.</w:t>
      </w:r>
    </w:p>
    <w:p w:rsidR="00BD4F00" w:rsidP="00BD4F00" w14:paraId="3051008D" w14:textId="77777777"/>
    <w:p w:rsidR="00F22C04" w:rsidRPr="00F910D6" w:rsidP="000C4B57" w14:paraId="2E8EFAD7" w14:textId="6D82D4C8">
      <w:pPr>
        <w:numPr>
          <w:ilvl w:val="0"/>
          <w:numId w:val="7"/>
        </w:numPr>
        <w:ind w:left="360"/>
      </w:pPr>
      <w:r w:rsidRPr="00BD4F00">
        <w:t>Experience has shown that limiting respondent burden reduces non-response, therefore only items that are critical to the analysis and readily available to respondent</w:t>
      </w:r>
      <w:r w:rsidR="00BD4F00">
        <w:t>s</w:t>
      </w:r>
      <w:r w:rsidRPr="00BD4F00" w:rsidR="00BD4F00">
        <w:t xml:space="preserve"> will be requested as part of the data collection</w:t>
      </w:r>
      <w:r w:rsidRPr="00BD4F00">
        <w:t>.</w:t>
      </w:r>
      <w:r w:rsidR="00BD4F00">
        <w:t xml:space="preserve"> Data collection instruments are designed to be </w:t>
      </w:r>
      <w:r w:rsidR="00E64F95">
        <w:t>easy to interpret and can be completed</w:t>
      </w:r>
      <w:r w:rsidR="00D73C73">
        <w:t xml:space="preserve"> quickly</w:t>
      </w:r>
      <w:r w:rsidR="00E64F95">
        <w:t>, further reducing burden.</w:t>
      </w:r>
      <w:r w:rsidR="009920BF">
        <w:t xml:space="preserve"> In addition, most instruments will be offered in both paper and </w:t>
      </w:r>
      <w:r w:rsidRPr="00F910D6" w:rsidR="009920BF">
        <w:t>electronic form, allowing respondents to choose a mode of response that they find to be least burdensome.</w:t>
      </w:r>
    </w:p>
    <w:p w:rsidR="00F22C04" w:rsidRPr="00F910D6" w:rsidP="000C4B57" w14:paraId="3E39C6DF" w14:textId="0253699F">
      <w:pPr>
        <w:numPr>
          <w:ilvl w:val="0"/>
          <w:numId w:val="7"/>
        </w:numPr>
        <w:ind w:left="360"/>
      </w:pPr>
      <w:r w:rsidRPr="00F910D6">
        <w:t xml:space="preserve">Recruitment materials and discussions will reinforce </w:t>
      </w:r>
      <w:r w:rsidRPr="00F910D6" w:rsidR="007C030A">
        <w:t>the importance of the evaluation of the</w:t>
      </w:r>
      <w:r w:rsidRPr="00F910D6" w:rsidR="008D7ACF">
        <w:t xml:space="preserve"> resources for </w:t>
      </w:r>
      <w:r w:rsidRPr="00F910D6" w:rsidR="00D62762">
        <w:t>advancing diagnostic safety</w:t>
      </w:r>
      <w:r w:rsidRPr="00F910D6" w:rsidR="000C6674">
        <w:t xml:space="preserve"> and</w:t>
      </w:r>
      <w:r w:rsidRPr="00F910D6" w:rsidR="00D62762">
        <w:t xml:space="preserve"> </w:t>
      </w:r>
      <w:r w:rsidRPr="00F910D6">
        <w:t xml:space="preserve">key benefits of participation, including (1) guided implementation of an already pilot-tested resource, (2) “off the shelf” training materials; (3) multiple opportunities for training with CEU credit; (4) intensive implementation support; (5) synthesized site-specific information regarding patient safety performance and (6) a plan for sustainability. </w:t>
      </w:r>
      <w:r w:rsidRPr="00F910D6">
        <w:t>Confidentiality will be promised to participants, providing assurance that the information they provide will not</w:t>
      </w:r>
      <w:r w:rsidRPr="00F910D6">
        <w:t xml:space="preserve"> </w:t>
      </w:r>
      <w:r w:rsidRPr="00F910D6" w:rsidR="0002799B">
        <w:t>be shared in an identifiable way</w:t>
      </w:r>
      <w:r w:rsidRPr="00F910D6">
        <w:t>.</w:t>
      </w:r>
    </w:p>
    <w:p w:rsidR="009920BF" w:rsidRPr="00F910D6" w:rsidP="000C4B57" w14:paraId="498F3EC4" w14:textId="6DF9A0E0">
      <w:pPr>
        <w:numPr>
          <w:ilvl w:val="0"/>
          <w:numId w:val="7"/>
        </w:numPr>
        <w:ind w:left="360"/>
        <w:rPr>
          <w:rFonts w:eastAsia="Perpetua" w:cs="Perpetua"/>
          <w:szCs w:val="22"/>
        </w:rPr>
      </w:pPr>
      <w:r w:rsidRPr="00F910D6">
        <w:t xml:space="preserve">Many sites might be under-resourced or overcommitted to engage in this multi-year effort. To mitigate this, necessary support to interested sites to facilitate enrollment will be provided, such as support for IRB and DUA processes. </w:t>
      </w:r>
      <w:r w:rsidRPr="00F910D6" w:rsidR="00F22C04">
        <w:rPr>
          <w:rFonts w:eastAsia="Perpetua" w:cs="Perpetua"/>
          <w:szCs w:val="22"/>
        </w:rPr>
        <w:t xml:space="preserve">The contractor will </w:t>
      </w:r>
      <w:r w:rsidRPr="00F910D6">
        <w:rPr>
          <w:rFonts w:eastAsia="Perpetua" w:cs="Perpetua"/>
          <w:szCs w:val="22"/>
        </w:rPr>
        <w:t xml:space="preserve">also </w:t>
      </w:r>
      <w:r w:rsidRPr="00F910D6" w:rsidR="00F22C04">
        <w:rPr>
          <w:rFonts w:eastAsia="Perpetua" w:cs="Perpetua"/>
          <w:szCs w:val="22"/>
        </w:rPr>
        <w:t xml:space="preserve">provide ongoing </w:t>
      </w:r>
      <w:r w:rsidR="002F1200">
        <w:rPr>
          <w:rFonts w:eastAsia="Perpetua" w:cs="Perpetua"/>
          <w:szCs w:val="22"/>
        </w:rPr>
        <w:t xml:space="preserve">technical assistance </w:t>
      </w:r>
      <w:r w:rsidRPr="00F910D6" w:rsidR="00F22C04">
        <w:rPr>
          <w:rFonts w:eastAsia="Perpetua" w:cs="Perpetua"/>
          <w:szCs w:val="22"/>
        </w:rPr>
        <w:t xml:space="preserve">to participating sites through bi-monthly </w:t>
      </w:r>
      <w:r w:rsidRPr="00F910D6" w:rsidR="00F22C04">
        <w:rPr>
          <w:rFonts w:eastAsia="Perpetua"/>
        </w:rPr>
        <w:t>Learning Collaborative virtual meetings to discuss implementation challenges, identify and share solutions, and facilitate support between participants</w:t>
      </w:r>
      <w:r w:rsidR="00AC6A8C">
        <w:rPr>
          <w:rFonts w:eastAsia="Perpetua"/>
        </w:rPr>
        <w:t>;</w:t>
      </w:r>
      <w:r w:rsidRPr="00F910D6" w:rsidR="00F22C04">
        <w:rPr>
          <w:rFonts w:eastAsia="Perpetua"/>
        </w:rPr>
        <w:t xml:space="preserve"> </w:t>
      </w:r>
      <w:r w:rsidRPr="00F910D6" w:rsidR="00072B4E">
        <w:rPr>
          <w:rFonts w:eastAsia="Perpetua"/>
        </w:rPr>
        <w:t>a</w:t>
      </w:r>
      <w:r w:rsidRPr="00F910D6" w:rsidR="00F22C04">
        <w:rPr>
          <w:rFonts w:eastAsia="Perpetua"/>
        </w:rPr>
        <w:t xml:space="preserve"> TA Help Line where participants can call in with questions or to request information</w:t>
      </w:r>
      <w:r w:rsidR="00AC6A8C">
        <w:rPr>
          <w:rFonts w:eastAsia="Perpetua"/>
        </w:rPr>
        <w:t>;</w:t>
      </w:r>
      <w:r w:rsidRPr="00F910D6" w:rsidR="00F22C04">
        <w:rPr>
          <w:rFonts w:eastAsia="Perpetua"/>
        </w:rPr>
        <w:t xml:space="preserve"> and </w:t>
      </w:r>
      <w:r w:rsidRPr="00F910D6" w:rsidR="00C1582A">
        <w:rPr>
          <w:rFonts w:eastAsia="Perpetua"/>
        </w:rPr>
        <w:t>a</w:t>
      </w:r>
      <w:r w:rsidRPr="00F910D6" w:rsidR="00F22C04">
        <w:rPr>
          <w:rFonts w:eastAsia="Perpetua"/>
        </w:rPr>
        <w:t xml:space="preserve"> TA Web Page that contains downloadable resources. </w:t>
      </w:r>
      <w:r w:rsidRPr="00F910D6" w:rsidR="00F22C04">
        <w:rPr>
          <w:rFonts w:eastAsia="Perpetua" w:cs="Perpetua"/>
          <w:szCs w:val="22"/>
        </w:rPr>
        <w:t xml:space="preserve">The contractor’s TA response team will pay particular attention to addressing implementation issues such as leadership support, data issues, and equity among patients, providers, and sites. Guidance will be systematic as well as targeted. </w:t>
      </w:r>
    </w:p>
    <w:p w:rsidR="0086668E" w:rsidRPr="00F910D6" w:rsidP="000C4B57" w14:paraId="557DBA4F" w14:textId="7063F04B">
      <w:pPr>
        <w:pStyle w:val="ListParagraph"/>
        <w:numPr>
          <w:ilvl w:val="0"/>
          <w:numId w:val="7"/>
        </w:numPr>
        <w:ind w:left="360"/>
      </w:pPr>
      <w:r w:rsidRPr="00F910D6">
        <w:t>During recruitment, sites will identify a champion to</w:t>
      </w:r>
      <w:r w:rsidRPr="00F910D6">
        <w:rPr>
          <w:szCs w:val="22"/>
        </w:rPr>
        <w:t xml:space="preserve"> serve as the project coordinator at the site and engage with others working at the practice site.</w:t>
      </w:r>
      <w:r w:rsidRPr="00F910D6">
        <w:t xml:space="preserve"> Site champions will also serve as “connectors,” by helping to disseminate and reinforce training to interested clinicians and leaders at their site during implementation and sustainability.</w:t>
      </w:r>
    </w:p>
    <w:p w:rsidR="00783C31" w:rsidRPr="00F910D6" w:rsidP="000C4B57" w14:paraId="5BAE2D26" w14:textId="16E7D867">
      <w:pPr>
        <w:pStyle w:val="ListParagraph"/>
        <w:numPr>
          <w:ilvl w:val="0"/>
          <w:numId w:val="7"/>
        </w:numPr>
        <w:ind w:left="360"/>
      </w:pPr>
      <w:r w:rsidRPr="00F910D6">
        <w:t>A</w:t>
      </w:r>
      <w:r w:rsidRPr="00F910D6">
        <w:t>n honorarium commensurate with anticipated complexity of resource implementation, based on prior experience engaging sites in the resource development process</w:t>
      </w:r>
      <w:r w:rsidRPr="00F910D6" w:rsidR="008E1E39">
        <w:t>, will be</w:t>
      </w:r>
      <w:r w:rsidRPr="00F910D6" w:rsidR="00A753BA">
        <w:t xml:space="preserve"> provided</w:t>
      </w:r>
      <w:r w:rsidRPr="00F910D6">
        <w:t>. As described above, we will socialize the project early in Year 1 to capture interest and attention and will engage in retention activities after enrollment such as project newsletters, site leader check-in calls, and regular project updates. In addition to overall</w:t>
      </w:r>
      <w:r w:rsidRPr="00F910D6">
        <w:t xml:space="preserve"> </w:t>
      </w:r>
      <w:r w:rsidRPr="00F910D6">
        <w:t>challenges, each resource might raise potential concerns for sites</w:t>
      </w:r>
      <w:r w:rsidR="00B73112">
        <w:t>.</w:t>
      </w:r>
      <w:r w:rsidRPr="00F910D6">
        <w:t xml:space="preserve"> </w:t>
      </w:r>
    </w:p>
    <w:p w:rsidR="00783C31" w:rsidRPr="00F910D6" w:rsidP="000C4B57" w14:paraId="371BE9FC" w14:textId="06A026CA">
      <w:pPr>
        <w:pStyle w:val="ListParagraph"/>
        <w:numPr>
          <w:ilvl w:val="0"/>
          <w:numId w:val="7"/>
        </w:numPr>
        <w:ind w:left="360"/>
        <w:rPr>
          <w:rFonts w:eastAsia="Perpetua" w:asciiTheme="majorBidi" w:hAnsiTheme="majorBidi" w:cstheme="majorBidi"/>
        </w:rPr>
      </w:pPr>
      <w:r w:rsidRPr="00F910D6">
        <w:rPr>
          <w:rFonts w:asciiTheme="majorBidi" w:hAnsiTheme="majorBidi" w:cstheme="majorBidi"/>
        </w:rPr>
        <w:t xml:space="preserve">Follow-up with respondents who do not complete data collection forms will be   timely and consistent. For instance, the contractor will send prompting emails and conduct telephone follow-ups to selected individuals who do not respond to requests.  </w:t>
      </w:r>
    </w:p>
    <w:p w:rsidR="006549D5" w:rsidRPr="00F910D6" w:rsidP="000C4B57" w14:paraId="611B86B2" w14:textId="39C3A0A2">
      <w:pPr>
        <w:numPr>
          <w:ilvl w:val="0"/>
          <w:numId w:val="7"/>
        </w:numPr>
        <w:ind w:left="360"/>
      </w:pPr>
      <w:r w:rsidRPr="00F910D6">
        <w:t>A variety of modest incentives targeting different participant groups will be offer</w:t>
      </w:r>
      <w:r w:rsidRPr="00F910D6" w:rsidR="006B2B3F">
        <w:t>ed</w:t>
      </w:r>
      <w:r w:rsidRPr="00F910D6">
        <w:t xml:space="preserve">. A small honorarium of $1500 will be provided as a token of appreciation to sites </w:t>
      </w:r>
      <w:r w:rsidR="000D0400">
        <w:t>that</w:t>
      </w:r>
      <w:r w:rsidRPr="00F910D6">
        <w:t xml:space="preserve"> </w:t>
      </w:r>
      <w:r w:rsidRPr="00F910D6">
        <w:t xml:space="preserve">complete the project. CE credit will be provided to participating </w:t>
      </w:r>
      <w:r w:rsidR="000F5132">
        <w:t>clinicians</w:t>
      </w:r>
      <w:r w:rsidRPr="00F910D6">
        <w:t xml:space="preserve"> who </w:t>
      </w:r>
      <w:r w:rsidRPr="000C4B57">
        <w:t>complete training modules, participate in live (virtual) training sessions, and complete an end</w:t>
      </w:r>
      <w:r w:rsidR="000D0400">
        <w:t>-</w:t>
      </w:r>
      <w:r w:rsidRPr="000C4B57">
        <w:t>of</w:t>
      </w:r>
      <w:r w:rsidR="000D0400">
        <w:t>-</w:t>
      </w:r>
      <w:r w:rsidRPr="000C4B57">
        <w:t>program evaluation.</w:t>
      </w:r>
      <w:r w:rsidRPr="000C4B57" w:rsidR="00BE433D">
        <w:rPr>
          <w:rFonts w:eastAsia="Perpetua" w:cs="Perpetua"/>
          <w:szCs w:val="22"/>
        </w:rPr>
        <w:t xml:space="preserve"> </w:t>
      </w:r>
      <w:r w:rsidRPr="000C4B57" w:rsidR="00BE433D">
        <w:t>A</w:t>
      </w:r>
      <w:r w:rsidRPr="000C4B57">
        <w:t xml:space="preserve"> token of appreciation of $25 will be provided</w:t>
      </w:r>
      <w:r w:rsidRPr="000C4B57" w:rsidR="00BE433D">
        <w:t xml:space="preserve"> to clinicians and site staff </w:t>
      </w:r>
      <w:r w:rsidRPr="000C4B57" w:rsidR="00FE7699">
        <w:t xml:space="preserve">who </w:t>
      </w:r>
      <w:r w:rsidRPr="000C4B57" w:rsidR="00BE433D">
        <w:t>respon</w:t>
      </w:r>
      <w:r w:rsidRPr="000C4B57" w:rsidR="00FE7699">
        <w:t>d</w:t>
      </w:r>
      <w:r w:rsidRPr="000C4B57" w:rsidR="00BE433D">
        <w:t xml:space="preserve"> to two surveys that are critical to the evaluation </w:t>
      </w:r>
      <w:r w:rsidRPr="000C4B57" w:rsidR="00BE433D">
        <w:rPr>
          <w:color w:val="000000"/>
        </w:rPr>
        <w:t>(</w:t>
      </w:r>
      <w:r w:rsidRPr="000C4B57" w:rsidR="00BE433D">
        <w:t>Attachment N and Attachment O)</w:t>
      </w:r>
      <w:r w:rsidRPr="000C4B57" w:rsidR="00C63318">
        <w:t>.</w:t>
      </w:r>
      <w:r w:rsidRPr="000C4B57">
        <w:t xml:space="preserve"> To encourage participation in interviews that are key to assessing implementation barriers for all resources (Attachments J</w:t>
      </w:r>
      <w:r w:rsidRPr="000C4B57">
        <w:rPr>
          <w:color w:val="000000"/>
        </w:rPr>
        <w:t xml:space="preserve">, </w:t>
      </w:r>
      <w:r w:rsidRPr="000C4B57">
        <w:t>T and V)</w:t>
      </w:r>
      <w:r w:rsidRPr="000C4B57" w:rsidR="00247BF1">
        <w:t>,</w:t>
      </w:r>
      <w:r w:rsidRPr="000C4B57">
        <w:t xml:space="preserve"> clinicians, site staff and patients who participate in these data collections will be provided with a token of appreciation of $40.</w:t>
      </w:r>
      <w:r w:rsidRPr="00F910D6">
        <w:t xml:space="preserve"> </w:t>
      </w:r>
    </w:p>
    <w:p w:rsidR="00905773" w:rsidP="005453AD" w14:paraId="780B4835" w14:textId="77777777">
      <w:pPr>
        <w:jc w:val="both"/>
        <w:rPr>
          <w:highlight w:val="lightGray"/>
        </w:rPr>
      </w:pPr>
    </w:p>
    <w:p w:rsidR="005453AD" w:rsidRPr="00A265FD" w:rsidP="005453AD" w14:paraId="63DE0885" w14:textId="77777777">
      <w:pPr>
        <w:pStyle w:val="Heading2"/>
        <w:spacing w:before="0" w:after="0"/>
        <w:rPr>
          <w:sz w:val="24"/>
        </w:rPr>
      </w:pPr>
      <w:bookmarkStart w:id="9" w:name="_Toc151782202"/>
      <w:bookmarkStart w:id="10" w:name="_Toc158526238"/>
      <w:r w:rsidRPr="001D0454">
        <w:rPr>
          <w:sz w:val="24"/>
        </w:rPr>
        <w:t>4. Tests of Procedures</w:t>
      </w:r>
      <w:bookmarkStart w:id="11" w:name="_Toc151782203"/>
      <w:bookmarkStart w:id="12" w:name="_Toc158526239"/>
      <w:bookmarkEnd w:id="9"/>
      <w:bookmarkEnd w:id="10"/>
    </w:p>
    <w:p w:rsidR="006E3128" w:rsidRPr="00794092" w:rsidP="00556E69" w14:paraId="1D16F5EA" w14:textId="61CEE7C0">
      <w:pPr>
        <w:tabs>
          <w:tab w:val="left" w:pos="540"/>
        </w:tabs>
        <w:spacing w:before="200"/>
      </w:pPr>
      <w:r w:rsidRPr="00794092">
        <w:t>No tests of procedures or methods will be undertaken as part of this data collection.</w:t>
      </w:r>
      <w:r w:rsidRPr="00794092" w:rsidR="00333E00">
        <w:t xml:space="preserve">  </w:t>
      </w:r>
      <w:r w:rsidRPr="00794092" w:rsidR="007A5974">
        <w:t>As noted in Supporting Statement A, AHRQ previously supported a contract to develop the Calibrate</w:t>
      </w:r>
      <w:r w:rsidRPr="00794092">
        <w:t xml:space="preserve"> </w:t>
      </w:r>
      <w:r w:rsidRPr="00794092" w:rsidR="007A5974">
        <w:t>Dx, Measure</w:t>
      </w:r>
      <w:r w:rsidRPr="00794092">
        <w:t xml:space="preserve"> </w:t>
      </w:r>
      <w:r w:rsidRPr="00794092" w:rsidR="007A5974">
        <w:t xml:space="preserve">Dx, and Patient Toolkit resources. After development of </w:t>
      </w:r>
      <w:r w:rsidRPr="00794092">
        <w:t xml:space="preserve">these </w:t>
      </w:r>
      <w:r w:rsidRPr="00794092" w:rsidR="00875CB0">
        <w:t>resources</w:t>
      </w:r>
      <w:r w:rsidRPr="00794092" w:rsidR="007A5974">
        <w:t>, they were pilot tested for feasibility and revised</w:t>
      </w:r>
      <w:r w:rsidRPr="00794092" w:rsidR="00B40615">
        <w:t xml:space="preserve">. </w:t>
      </w:r>
      <w:r w:rsidRPr="00794092">
        <w:t>Five of the</w:t>
      </w:r>
      <w:r w:rsidRPr="00794092" w:rsidR="007A5974">
        <w:t xml:space="preserve"> data collection </w:t>
      </w:r>
      <w:r w:rsidRPr="00794092" w:rsidR="00B40615">
        <w:t xml:space="preserve">instruments </w:t>
      </w:r>
      <w:r w:rsidRPr="00794092">
        <w:t xml:space="preserve">(Attachments K, L, P, S, and U) </w:t>
      </w:r>
      <w:r w:rsidRPr="00794092" w:rsidR="00B40615">
        <w:t xml:space="preserve">that will be </w:t>
      </w:r>
      <w:r w:rsidRPr="00794092" w:rsidR="007A5974">
        <w:t xml:space="preserve">used in this current evaluation are </w:t>
      </w:r>
      <w:r w:rsidRPr="00794092">
        <w:t>part of</w:t>
      </w:r>
      <w:r w:rsidRPr="00794092" w:rsidR="007A5974">
        <w:t xml:space="preserve"> the </w:t>
      </w:r>
      <w:r w:rsidRPr="00794092" w:rsidR="00B40615">
        <w:t>Calibrate</w:t>
      </w:r>
      <w:r w:rsidR="00875CB0">
        <w:t xml:space="preserve"> </w:t>
      </w:r>
      <w:r w:rsidRPr="00794092" w:rsidR="00B40615">
        <w:t>Dx, Measure</w:t>
      </w:r>
      <w:r w:rsidR="00875CB0">
        <w:t xml:space="preserve"> </w:t>
      </w:r>
      <w:r w:rsidRPr="00794092" w:rsidR="00B40615">
        <w:t xml:space="preserve">Dx, and Patient Toolkit </w:t>
      </w:r>
      <w:r w:rsidRPr="00794092" w:rsidR="007A5974">
        <w:t xml:space="preserve">resources </w:t>
      </w:r>
      <w:r w:rsidRPr="00794092" w:rsidR="00B40615">
        <w:t xml:space="preserve">and thus </w:t>
      </w:r>
      <w:r w:rsidRPr="00794092" w:rsidR="007A5974">
        <w:t xml:space="preserve">were previously </w:t>
      </w:r>
      <w:r w:rsidRPr="00794092" w:rsidR="00B40615">
        <w:t xml:space="preserve">tested. </w:t>
      </w:r>
    </w:p>
    <w:p w:rsidR="006E3128" w:rsidRPr="00794092" w:rsidP="00A66419" w14:paraId="34E21E54" w14:textId="77777777">
      <w:pPr>
        <w:tabs>
          <w:tab w:val="left" w:pos="540"/>
        </w:tabs>
      </w:pPr>
    </w:p>
    <w:p w:rsidR="007A5974" w:rsidRPr="00875CB0" w:rsidP="00875CB0" w14:paraId="3F5F995D" w14:textId="5BF81176">
      <w:pPr>
        <w:tabs>
          <w:tab w:val="left" w:pos="540"/>
        </w:tabs>
      </w:pPr>
      <w:r w:rsidRPr="00794092">
        <w:t xml:space="preserve">This evaluation will use four additional previously validated data collection instruments (Attachments C, E, F, and I) and </w:t>
      </w:r>
      <w:r w:rsidRPr="00794092" w:rsidR="004E46F9">
        <w:t>instruments that combine previously deve</w:t>
      </w:r>
      <w:r w:rsidRPr="00794092" w:rsidR="00252A11">
        <w:t>lo</w:t>
      </w:r>
      <w:r w:rsidRPr="00794092" w:rsidR="004E46F9">
        <w:t>ped measures (Attachment N</w:t>
      </w:r>
      <w:r w:rsidRPr="00794092" w:rsidR="00922CD3">
        <w:t xml:space="preserve"> and</w:t>
      </w:r>
      <w:r w:rsidRPr="00794092" w:rsidR="004E46F9">
        <w:t xml:space="preserve"> O)</w:t>
      </w:r>
      <w:r w:rsidRPr="00794092" w:rsidR="00252A11">
        <w:t>. Instruments that have not been tested</w:t>
      </w:r>
      <w:r w:rsidRPr="00794092" w:rsidR="008E0D62">
        <w:t xml:space="preserve"> </w:t>
      </w:r>
      <w:r w:rsidRPr="00794092" w:rsidR="001533BE">
        <w:t>are</w:t>
      </w:r>
      <w:r w:rsidRPr="00794092" w:rsidR="008E0D62">
        <w:t xml:space="preserve"> based </w:t>
      </w:r>
      <w:r w:rsidRPr="00794092" w:rsidR="001533BE">
        <w:t>on</w:t>
      </w:r>
      <w:r w:rsidRPr="00794092" w:rsidR="008E0D62">
        <w:t xml:space="preserve"> materials </w:t>
      </w:r>
      <w:r w:rsidRPr="00794092" w:rsidR="00A80316">
        <w:t xml:space="preserve">previously </w:t>
      </w:r>
      <w:r w:rsidRPr="00794092" w:rsidR="008E0D62">
        <w:t xml:space="preserve">used by the contractor for </w:t>
      </w:r>
      <w:r w:rsidRPr="00794092" w:rsidR="00A80316">
        <w:t xml:space="preserve">similar </w:t>
      </w:r>
      <w:r w:rsidRPr="00794092" w:rsidR="00014E1F">
        <w:t>projects. They</w:t>
      </w:r>
      <w:r w:rsidRPr="00794092" w:rsidR="00252A11">
        <w:t xml:space="preserve"> include </w:t>
      </w:r>
      <w:r w:rsidRPr="00794092" w:rsidR="00256C91">
        <w:t>those used for recruitment and/or those that collect basic dem</w:t>
      </w:r>
      <w:r w:rsidRPr="00794092" w:rsidR="008E0D62">
        <w:t>o</w:t>
      </w:r>
      <w:r w:rsidRPr="00794092" w:rsidR="00256C91">
        <w:t xml:space="preserve">graphic information (Attachments A, B, </w:t>
      </w:r>
      <w:r w:rsidRPr="00794092" w:rsidR="00726393">
        <w:t xml:space="preserve">and </w:t>
      </w:r>
      <w:r w:rsidRPr="00794092" w:rsidR="00256C91">
        <w:t xml:space="preserve">R), </w:t>
      </w:r>
      <w:r w:rsidRPr="00794092" w:rsidR="00A66419">
        <w:t>gather data on</w:t>
      </w:r>
      <w:r w:rsidRPr="00794092" w:rsidR="00AB376C">
        <w:t xml:space="preserve"> </w:t>
      </w:r>
      <w:r w:rsidRPr="00794092" w:rsidR="00C506DC">
        <w:t xml:space="preserve">safety events, (Attachment </w:t>
      </w:r>
      <w:r w:rsidRPr="00794092" w:rsidR="00A66419">
        <w:t>M</w:t>
      </w:r>
      <w:r w:rsidRPr="00794092" w:rsidR="00C506DC">
        <w:t xml:space="preserve">), </w:t>
      </w:r>
      <w:r w:rsidRPr="00794092" w:rsidR="006C147B">
        <w:t>short</w:t>
      </w:r>
      <w:r w:rsidRPr="00794092" w:rsidR="000C545B">
        <w:t xml:space="preserve"> surveys</w:t>
      </w:r>
      <w:r w:rsidRPr="00794092" w:rsidR="00726393">
        <w:t xml:space="preserve"> (Attachments </w:t>
      </w:r>
      <w:r w:rsidRPr="00794092" w:rsidR="008E0D62">
        <w:t>G</w:t>
      </w:r>
      <w:r w:rsidRPr="00794092" w:rsidR="000C545B">
        <w:t xml:space="preserve">, </w:t>
      </w:r>
      <w:r w:rsidRPr="00794092" w:rsidR="008E0D62">
        <w:t>H</w:t>
      </w:r>
      <w:r w:rsidRPr="00794092" w:rsidR="000C545B">
        <w:t xml:space="preserve"> and Q</w:t>
      </w:r>
      <w:r w:rsidRPr="00794092" w:rsidR="008E0D62">
        <w:t xml:space="preserve">), and interview protocols (Attachments D, J, T, and V).  </w:t>
      </w:r>
    </w:p>
    <w:p w:rsidR="005453AD" w:rsidP="00F34C93" w14:paraId="518B5E8C" w14:textId="77777777">
      <w:pPr>
        <w:pStyle w:val="Heading2"/>
        <w:rPr>
          <w:sz w:val="24"/>
        </w:rPr>
      </w:pPr>
      <w:r w:rsidRPr="001D0454">
        <w:rPr>
          <w:sz w:val="24"/>
        </w:rPr>
        <w:t xml:space="preserve"> </w:t>
      </w:r>
      <w:r w:rsidRPr="001D0454">
        <w:rPr>
          <w:sz w:val="24"/>
        </w:rPr>
        <w:t>5. Statistical Consultants</w:t>
      </w:r>
      <w:bookmarkEnd w:id="11"/>
      <w:bookmarkEnd w:id="12"/>
    </w:p>
    <w:p w:rsidR="00570B91" w:rsidP="00556E69" w14:paraId="4A66C486" w14:textId="77777777">
      <w:pPr>
        <w:tabs>
          <w:tab w:val="left" w:pos="540"/>
        </w:tabs>
        <w:spacing w:before="200"/>
      </w:pPr>
      <w:r>
        <w:t>The survey, sampling approach, and data collection procedures were designed by the RAND Corporation under the leadership of:</w:t>
      </w:r>
    </w:p>
    <w:p w:rsidR="00570B91" w:rsidP="00570B91" w14:paraId="638E17F4" w14:textId="77777777">
      <w:pPr>
        <w:tabs>
          <w:tab w:val="left" w:pos="540"/>
        </w:tabs>
      </w:pPr>
    </w:p>
    <w:p w:rsidR="00905773" w:rsidP="00570B91" w14:paraId="5D39CC39" w14:textId="77777777">
      <w:pPr>
        <w:tabs>
          <w:tab w:val="left" w:pos="540"/>
        </w:tabs>
      </w:pPr>
      <w:r>
        <w:t>Courtney</w:t>
      </w:r>
      <w:r>
        <w:t xml:space="preserve"> Gidengil, MD, MPH</w:t>
      </w:r>
    </w:p>
    <w:p w:rsidR="00570B91" w:rsidP="00570B91" w14:paraId="0D5C85B8" w14:textId="77777777">
      <w:pPr>
        <w:tabs>
          <w:tab w:val="left" w:pos="540"/>
        </w:tabs>
      </w:pPr>
      <w:r>
        <w:t>Project Director</w:t>
      </w:r>
    </w:p>
    <w:p w:rsidR="00570B91" w:rsidP="00570B91" w14:paraId="3182A39C" w14:textId="77777777">
      <w:pPr>
        <w:tabs>
          <w:tab w:val="left" w:pos="540"/>
        </w:tabs>
      </w:pPr>
      <w:r>
        <w:t>RAND Corporation</w:t>
      </w:r>
    </w:p>
    <w:p w:rsidR="00570B91" w:rsidP="00570B91" w14:paraId="7BCB6140" w14:textId="77777777">
      <w:pPr>
        <w:tabs>
          <w:tab w:val="left" w:pos="540"/>
        </w:tabs>
      </w:pPr>
      <w:r>
        <w:t>1776 Main Street</w:t>
      </w:r>
    </w:p>
    <w:p w:rsidR="00570B91" w:rsidP="00570B91" w14:paraId="445EBC53" w14:textId="77777777">
      <w:pPr>
        <w:tabs>
          <w:tab w:val="left" w:pos="540"/>
        </w:tabs>
      </w:pPr>
      <w:r>
        <w:t>Santa Monica, CA 90407</w:t>
      </w:r>
    </w:p>
    <w:p w:rsidR="00905773" w:rsidRPr="00905773" w:rsidP="00905773" w14:paraId="016BA189" w14:textId="77777777">
      <w:pPr>
        <w:tabs>
          <w:tab w:val="left" w:pos="-1440"/>
        </w:tabs>
        <w:spacing w:line="276" w:lineRule="auto"/>
        <w:contextualSpacing/>
        <w:jc w:val="both"/>
      </w:pPr>
      <w:r w:rsidRPr="00905773">
        <w:t xml:space="preserve">Tel: (310)-393-0411 ext. </w:t>
      </w:r>
      <w:r>
        <w:t>8637</w:t>
      </w:r>
    </w:p>
    <w:p w:rsidR="00570B91" w:rsidP="00570B91" w14:paraId="1920AF08" w14:textId="77777777">
      <w:pPr>
        <w:tabs>
          <w:tab w:val="left" w:pos="540"/>
        </w:tabs>
      </w:pPr>
    </w:p>
    <w:p w:rsidR="00905773" w:rsidP="00570B91" w14:paraId="15E78A78" w14:textId="77777777">
      <w:pPr>
        <w:tabs>
          <w:tab w:val="left" w:pos="540"/>
        </w:tabs>
      </w:pPr>
      <w:r>
        <w:t>Sangeeta C. Ahluwalia, PhD</w:t>
      </w:r>
    </w:p>
    <w:p w:rsidR="00570B91" w:rsidP="00570B91" w14:paraId="6EB7E449" w14:textId="77777777">
      <w:pPr>
        <w:tabs>
          <w:tab w:val="left" w:pos="540"/>
        </w:tabs>
      </w:pPr>
      <w:r>
        <w:t>Co-Project Director</w:t>
      </w:r>
    </w:p>
    <w:p w:rsidR="00570B91" w:rsidP="00570B91" w14:paraId="1FBDC00B" w14:textId="77777777">
      <w:pPr>
        <w:tabs>
          <w:tab w:val="left" w:pos="540"/>
        </w:tabs>
      </w:pPr>
      <w:r>
        <w:t>RAND Corporation</w:t>
      </w:r>
    </w:p>
    <w:p w:rsidR="00570B91" w:rsidP="00570B91" w14:paraId="4D7D1713" w14:textId="77777777">
      <w:pPr>
        <w:tabs>
          <w:tab w:val="left" w:pos="540"/>
        </w:tabs>
      </w:pPr>
      <w:r>
        <w:t>1776 Main Street</w:t>
      </w:r>
    </w:p>
    <w:p w:rsidR="00570B91" w:rsidP="00570B91" w14:paraId="52EB0CC4" w14:textId="77777777">
      <w:pPr>
        <w:tabs>
          <w:tab w:val="left" w:pos="540"/>
        </w:tabs>
      </w:pPr>
      <w:r>
        <w:t>Santa Monica, CA 90407</w:t>
      </w:r>
    </w:p>
    <w:p w:rsidR="00570B91" w:rsidP="00570B91" w14:paraId="1E55A561" w14:textId="77777777">
      <w:pPr>
        <w:tabs>
          <w:tab w:val="left" w:pos="-1440"/>
        </w:tabs>
        <w:spacing w:line="276" w:lineRule="auto"/>
        <w:contextualSpacing/>
        <w:jc w:val="both"/>
      </w:pPr>
      <w:r>
        <w:t>Tel: (310)-393-0411 ext. 7546</w:t>
      </w:r>
    </w:p>
    <w:p w:rsidR="00570B91" w:rsidP="00570B91" w14:paraId="56B63C79" w14:textId="77777777"/>
    <w:p w:rsidR="00570B91" w:rsidRPr="00374323" w:rsidP="00905773" w14:paraId="283ADDAD" w14:textId="77777777">
      <w:pPr>
        <w:tabs>
          <w:tab w:val="left" w:pos="-1440"/>
        </w:tabs>
        <w:spacing w:line="276" w:lineRule="auto"/>
        <w:contextualSpacing/>
      </w:pPr>
      <w:r w:rsidRPr="00374323">
        <w:t>The following individual was consulted on</w:t>
      </w:r>
      <w:r w:rsidRPr="00374323">
        <w:t xml:space="preserve"> the statistical aspects of the sample and analysis of collected data:</w:t>
      </w:r>
    </w:p>
    <w:p w:rsidR="00905773" w:rsidRPr="00374323" w:rsidP="00570B91" w14:paraId="75570904" w14:textId="77777777">
      <w:pPr>
        <w:tabs>
          <w:tab w:val="left" w:pos="-1440"/>
        </w:tabs>
        <w:spacing w:line="276" w:lineRule="auto"/>
        <w:ind w:left="1440" w:hanging="720"/>
        <w:contextualSpacing/>
        <w:jc w:val="both"/>
      </w:pPr>
    </w:p>
    <w:p w:rsidR="00570B91" w:rsidRPr="00374323" w:rsidP="00905773" w14:paraId="2701D01F" w14:textId="77777777">
      <w:pPr>
        <w:tabs>
          <w:tab w:val="left" w:pos="-1440"/>
        </w:tabs>
        <w:spacing w:line="276" w:lineRule="auto"/>
        <w:contextualSpacing/>
        <w:jc w:val="both"/>
      </w:pPr>
      <w:r w:rsidRPr="00374323">
        <w:t>Max R</w:t>
      </w:r>
      <w:r w:rsidRPr="00374323" w:rsidR="00374323">
        <w:t>ubenstein</w:t>
      </w:r>
    </w:p>
    <w:p w:rsidR="00570B91" w:rsidRPr="00374323" w:rsidP="00905773" w14:paraId="0B99FDDF" w14:textId="77777777">
      <w:pPr>
        <w:tabs>
          <w:tab w:val="left" w:pos="-1440"/>
        </w:tabs>
        <w:spacing w:line="276" w:lineRule="auto"/>
        <w:contextualSpacing/>
        <w:jc w:val="both"/>
      </w:pPr>
      <w:r w:rsidRPr="00374323">
        <w:t>Associate</w:t>
      </w:r>
      <w:r w:rsidRPr="00374323">
        <w:t xml:space="preserve"> Statistician</w:t>
      </w:r>
    </w:p>
    <w:p w:rsidR="00905773" w:rsidRPr="00374323" w:rsidP="00905773" w14:paraId="2DAD07DD" w14:textId="77777777">
      <w:pPr>
        <w:tabs>
          <w:tab w:val="left" w:pos="540"/>
        </w:tabs>
      </w:pPr>
      <w:r w:rsidRPr="00374323">
        <w:t>RAND Corporation</w:t>
      </w:r>
    </w:p>
    <w:p w:rsidR="00905773" w:rsidRPr="00374323" w:rsidP="00905773" w14:paraId="6213776F" w14:textId="77777777">
      <w:pPr>
        <w:tabs>
          <w:tab w:val="left" w:pos="540"/>
        </w:tabs>
      </w:pPr>
      <w:r w:rsidRPr="00374323">
        <w:t>1776 Main Street</w:t>
      </w:r>
    </w:p>
    <w:p w:rsidR="00905773" w:rsidRPr="00374323" w:rsidP="00905773" w14:paraId="1FD9C879" w14:textId="77777777">
      <w:pPr>
        <w:tabs>
          <w:tab w:val="left" w:pos="540"/>
        </w:tabs>
      </w:pPr>
      <w:r w:rsidRPr="00374323">
        <w:t>Santa Monica, CA 90407</w:t>
      </w:r>
    </w:p>
    <w:p w:rsidR="00905773" w:rsidRPr="00374323" w:rsidP="00905773" w14:paraId="00EC9A0F" w14:textId="77777777">
      <w:pPr>
        <w:tabs>
          <w:tab w:val="left" w:pos="-1440"/>
        </w:tabs>
        <w:spacing w:line="276" w:lineRule="auto"/>
        <w:contextualSpacing/>
        <w:jc w:val="both"/>
      </w:pPr>
      <w:r w:rsidRPr="00374323">
        <w:t xml:space="preserve">Tel: (310)-393-0411 ext. </w:t>
      </w:r>
      <w:r w:rsidR="00374323">
        <w:t>4137</w:t>
      </w:r>
    </w:p>
    <w:p w:rsidR="00570B91" w:rsidRPr="00374323" w:rsidP="00570B91" w14:paraId="0FDEEB99" w14:textId="77777777">
      <w:pPr>
        <w:tabs>
          <w:tab w:val="left" w:pos="-1440"/>
        </w:tabs>
        <w:spacing w:line="276" w:lineRule="auto"/>
        <w:ind w:left="720"/>
        <w:contextualSpacing/>
        <w:jc w:val="both"/>
      </w:pPr>
    </w:p>
    <w:p w:rsidR="002F4048" w:rsidRPr="00374323" w:rsidP="00570B91" w14:paraId="7600FE42" w14:textId="77777777">
      <w:pPr>
        <w:tabs>
          <w:tab w:val="left" w:pos="-1440"/>
        </w:tabs>
        <w:spacing w:line="276" w:lineRule="auto"/>
        <w:ind w:left="720"/>
        <w:contextualSpacing/>
        <w:jc w:val="both"/>
      </w:pPr>
    </w:p>
    <w:p w:rsidR="002F4048" w:rsidRPr="00374323" w:rsidP="002F4048" w14:paraId="1F271FBB" w14:textId="77777777">
      <w:r w:rsidRPr="00374323">
        <w:rPr>
          <w:b/>
        </w:rPr>
        <w:t>References</w:t>
      </w:r>
    </w:p>
    <w:p w:rsidR="002F4048" w:rsidRPr="00374323" w:rsidP="00570B91" w14:paraId="3AF8FA76" w14:textId="77777777">
      <w:pPr>
        <w:tabs>
          <w:tab w:val="left" w:pos="-1440"/>
        </w:tabs>
        <w:spacing w:line="276" w:lineRule="auto"/>
        <w:ind w:left="720"/>
        <w:contextualSpacing/>
        <w:jc w:val="both"/>
      </w:pPr>
    </w:p>
    <w:p w:rsidR="007C6DAA" w:rsidRPr="002F4048" w:rsidP="002F4048" w14:paraId="7CAD5D2D" w14:textId="77777777">
      <w:pPr>
        <w:pStyle w:val="EndNoteBibliography"/>
        <w:ind w:firstLine="0"/>
        <w:rPr>
          <w:rFonts w:ascii="Times New Roman" w:hAnsi="Times New Roman"/>
          <w:sz w:val="24"/>
        </w:rPr>
      </w:pPr>
      <w:r w:rsidRPr="00374323">
        <w:rPr>
          <w:rFonts w:ascii="Times New Roman" w:hAnsi="Times New Roman"/>
          <w:sz w:val="24"/>
        </w:rPr>
        <w:t xml:space="preserve">Shelton RC, Chambers DA, Glasgow RE. An Extension of RE-AIM to Enhance Sustainability: Addressing Dynamic Context and Promoting Health Equity Over Time. </w:t>
      </w:r>
      <w:r w:rsidRPr="00374323">
        <w:rPr>
          <w:rFonts w:ascii="Times New Roman" w:hAnsi="Times New Roman"/>
          <w:i/>
          <w:sz w:val="24"/>
        </w:rPr>
        <w:t>Frontiers in Public Health</w:t>
      </w:r>
      <w:r w:rsidRPr="00374323">
        <w:rPr>
          <w:rFonts w:ascii="Times New Roman" w:hAnsi="Times New Roman"/>
          <w:sz w:val="24"/>
        </w:rPr>
        <w:t>. 2020-May-12 2020;8.</w:t>
      </w:r>
    </w:p>
    <w:p w:rsidR="007C6DAA" w:rsidRPr="002F4048" w:rsidP="00570B91" w14:paraId="21DC7F29" w14:textId="30762B00">
      <w:pPr>
        <w:tabs>
          <w:tab w:val="left" w:pos="-1440"/>
        </w:tabs>
        <w:spacing w:line="276" w:lineRule="auto"/>
        <w:ind w:left="720"/>
        <w:contextualSpacing/>
        <w:jc w:val="both"/>
      </w:pPr>
      <w:r>
        <w:t xml:space="preserve"> </w:t>
      </w:r>
    </w:p>
    <w:sectPr w:rsidSect="00874B68">
      <w:footerReference w:type="even" r:id="rId13"/>
      <w:footerReference w:type="default" r:id="rId14"/>
      <w:pgSz w:w="12240" w:h="15840"/>
      <w:pgMar w:top="1440" w:right="1800" w:bottom="1440" w:left="180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C93" w:rsidP="00874B68" w14:paraId="69D7E26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4C93" w14:paraId="1A152A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C93" w:rsidP="00874B68" w14:paraId="358E050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77F5">
      <w:rPr>
        <w:rStyle w:val="PageNumber"/>
        <w:noProof/>
      </w:rPr>
      <w:t>2</w:t>
    </w:r>
    <w:r>
      <w:rPr>
        <w:rStyle w:val="PageNumber"/>
      </w:rPr>
      <w:fldChar w:fldCharType="end"/>
    </w:r>
  </w:p>
  <w:p w:rsidR="00F34C93" w14:paraId="2463016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CA65EB"/>
    <w:multiLevelType w:val="hybridMultilevel"/>
    <w:tmpl w:val="E92265F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E96B97"/>
    <w:multiLevelType w:val="hybridMultilevel"/>
    <w:tmpl w:val="AD6CA2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3314800">
    <w:abstractNumId w:val="0"/>
  </w:num>
  <w:num w:numId="2" w16cid:durableId="368378466">
    <w:abstractNumId w:val="1"/>
  </w:num>
  <w:num w:numId="3" w16cid:durableId="205147440">
    <w:abstractNumId w:val="2"/>
  </w:num>
  <w:num w:numId="4" w16cid:durableId="2044361129">
    <w:abstractNumId w:val="5"/>
  </w:num>
  <w:num w:numId="5" w16cid:durableId="150370132">
    <w:abstractNumId w:val="3"/>
  </w:num>
  <w:num w:numId="6" w16cid:durableId="718629117">
    <w:abstractNumId w:val="4"/>
  </w:num>
  <w:num w:numId="7" w16cid:durableId="49962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AD"/>
    <w:rsid w:val="000028E6"/>
    <w:rsid w:val="00003726"/>
    <w:rsid w:val="00007C23"/>
    <w:rsid w:val="0001418A"/>
    <w:rsid w:val="00014E1F"/>
    <w:rsid w:val="0002179F"/>
    <w:rsid w:val="00022B2F"/>
    <w:rsid w:val="00023905"/>
    <w:rsid w:val="0002688B"/>
    <w:rsid w:val="00027931"/>
    <w:rsid w:val="0002799B"/>
    <w:rsid w:val="000375C3"/>
    <w:rsid w:val="00040D98"/>
    <w:rsid w:val="0004144A"/>
    <w:rsid w:val="00042F92"/>
    <w:rsid w:val="000464AE"/>
    <w:rsid w:val="00050229"/>
    <w:rsid w:val="00053B30"/>
    <w:rsid w:val="0005581E"/>
    <w:rsid w:val="00055847"/>
    <w:rsid w:val="0005769D"/>
    <w:rsid w:val="000601EF"/>
    <w:rsid w:val="00063DFB"/>
    <w:rsid w:val="00064C4D"/>
    <w:rsid w:val="000717C5"/>
    <w:rsid w:val="00072B4E"/>
    <w:rsid w:val="000733EB"/>
    <w:rsid w:val="000756CF"/>
    <w:rsid w:val="0008338A"/>
    <w:rsid w:val="00084D1F"/>
    <w:rsid w:val="00095AE4"/>
    <w:rsid w:val="000A3642"/>
    <w:rsid w:val="000B246F"/>
    <w:rsid w:val="000B2925"/>
    <w:rsid w:val="000B51D2"/>
    <w:rsid w:val="000C052D"/>
    <w:rsid w:val="000C26A4"/>
    <w:rsid w:val="000C273C"/>
    <w:rsid w:val="000C411E"/>
    <w:rsid w:val="000C4B57"/>
    <w:rsid w:val="000C545B"/>
    <w:rsid w:val="000C6674"/>
    <w:rsid w:val="000D0400"/>
    <w:rsid w:val="000D3637"/>
    <w:rsid w:val="000D3C74"/>
    <w:rsid w:val="000D68E0"/>
    <w:rsid w:val="000E2138"/>
    <w:rsid w:val="000E5B21"/>
    <w:rsid w:val="000F1C4B"/>
    <w:rsid w:val="000F28AF"/>
    <w:rsid w:val="000F448F"/>
    <w:rsid w:val="000F5132"/>
    <w:rsid w:val="00120110"/>
    <w:rsid w:val="0012722D"/>
    <w:rsid w:val="001277A0"/>
    <w:rsid w:val="00133642"/>
    <w:rsid w:val="0013418E"/>
    <w:rsid w:val="00142607"/>
    <w:rsid w:val="00142CA2"/>
    <w:rsid w:val="00144014"/>
    <w:rsid w:val="001448DD"/>
    <w:rsid w:val="00144E9F"/>
    <w:rsid w:val="001533BE"/>
    <w:rsid w:val="00153A9E"/>
    <w:rsid w:val="00160B30"/>
    <w:rsid w:val="001623B4"/>
    <w:rsid w:val="00172665"/>
    <w:rsid w:val="001807D9"/>
    <w:rsid w:val="0018082B"/>
    <w:rsid w:val="001826BD"/>
    <w:rsid w:val="00184281"/>
    <w:rsid w:val="001914B6"/>
    <w:rsid w:val="00193D98"/>
    <w:rsid w:val="001961A5"/>
    <w:rsid w:val="001A5868"/>
    <w:rsid w:val="001A5FF7"/>
    <w:rsid w:val="001B5D6F"/>
    <w:rsid w:val="001C13EF"/>
    <w:rsid w:val="001C3D9E"/>
    <w:rsid w:val="001C78FD"/>
    <w:rsid w:val="001D0454"/>
    <w:rsid w:val="001F5E2E"/>
    <w:rsid w:val="001F651A"/>
    <w:rsid w:val="00202661"/>
    <w:rsid w:val="0020740B"/>
    <w:rsid w:val="00214751"/>
    <w:rsid w:val="00220C60"/>
    <w:rsid w:val="00222258"/>
    <w:rsid w:val="00224620"/>
    <w:rsid w:val="00231250"/>
    <w:rsid w:val="002343F0"/>
    <w:rsid w:val="00234C55"/>
    <w:rsid w:val="0023595D"/>
    <w:rsid w:val="002359C8"/>
    <w:rsid w:val="00240615"/>
    <w:rsid w:val="00243021"/>
    <w:rsid w:val="00247BF1"/>
    <w:rsid w:val="00250F6D"/>
    <w:rsid w:val="00252A11"/>
    <w:rsid w:val="00256C91"/>
    <w:rsid w:val="00257C5A"/>
    <w:rsid w:val="00260A01"/>
    <w:rsid w:val="00262FCA"/>
    <w:rsid w:val="0026354C"/>
    <w:rsid w:val="002645FE"/>
    <w:rsid w:val="00265C70"/>
    <w:rsid w:val="00265ED1"/>
    <w:rsid w:val="00266D37"/>
    <w:rsid w:val="00274E60"/>
    <w:rsid w:val="002750D2"/>
    <w:rsid w:val="002774FD"/>
    <w:rsid w:val="00277A4D"/>
    <w:rsid w:val="00277CEA"/>
    <w:rsid w:val="002821E5"/>
    <w:rsid w:val="002837E3"/>
    <w:rsid w:val="0028436A"/>
    <w:rsid w:val="002A1B33"/>
    <w:rsid w:val="002A2690"/>
    <w:rsid w:val="002A5262"/>
    <w:rsid w:val="002A7068"/>
    <w:rsid w:val="002B0F78"/>
    <w:rsid w:val="002B51BE"/>
    <w:rsid w:val="002C3ADD"/>
    <w:rsid w:val="002C5EB6"/>
    <w:rsid w:val="002C7471"/>
    <w:rsid w:val="002C7528"/>
    <w:rsid w:val="002C7D52"/>
    <w:rsid w:val="002E08C6"/>
    <w:rsid w:val="002E13FE"/>
    <w:rsid w:val="002E1AA5"/>
    <w:rsid w:val="002F1200"/>
    <w:rsid w:val="002F344F"/>
    <w:rsid w:val="002F4048"/>
    <w:rsid w:val="002F4E5F"/>
    <w:rsid w:val="002F52CE"/>
    <w:rsid w:val="003004BA"/>
    <w:rsid w:val="00307CE1"/>
    <w:rsid w:val="00314B99"/>
    <w:rsid w:val="0031502F"/>
    <w:rsid w:val="003237B9"/>
    <w:rsid w:val="00325BC9"/>
    <w:rsid w:val="003338AE"/>
    <w:rsid w:val="00333E00"/>
    <w:rsid w:val="00347A08"/>
    <w:rsid w:val="00351B7E"/>
    <w:rsid w:val="00353007"/>
    <w:rsid w:val="003608D8"/>
    <w:rsid w:val="00361396"/>
    <w:rsid w:val="00361C2F"/>
    <w:rsid w:val="00362897"/>
    <w:rsid w:val="00365067"/>
    <w:rsid w:val="00367D62"/>
    <w:rsid w:val="00374323"/>
    <w:rsid w:val="00376E0B"/>
    <w:rsid w:val="00381C57"/>
    <w:rsid w:val="00383034"/>
    <w:rsid w:val="00384745"/>
    <w:rsid w:val="00386CAB"/>
    <w:rsid w:val="003878D2"/>
    <w:rsid w:val="00391DCB"/>
    <w:rsid w:val="00392A16"/>
    <w:rsid w:val="00393005"/>
    <w:rsid w:val="0039621E"/>
    <w:rsid w:val="00396552"/>
    <w:rsid w:val="00396B62"/>
    <w:rsid w:val="003B376A"/>
    <w:rsid w:val="003B3C70"/>
    <w:rsid w:val="003B7C56"/>
    <w:rsid w:val="003C1C77"/>
    <w:rsid w:val="003C3103"/>
    <w:rsid w:val="003C312C"/>
    <w:rsid w:val="003C6816"/>
    <w:rsid w:val="003C6E1D"/>
    <w:rsid w:val="003C73E8"/>
    <w:rsid w:val="003D040E"/>
    <w:rsid w:val="003D10F5"/>
    <w:rsid w:val="003D2692"/>
    <w:rsid w:val="003D369A"/>
    <w:rsid w:val="003D3B9C"/>
    <w:rsid w:val="003D6AE8"/>
    <w:rsid w:val="003E5535"/>
    <w:rsid w:val="003F0682"/>
    <w:rsid w:val="003F223C"/>
    <w:rsid w:val="003F4F2F"/>
    <w:rsid w:val="003F7F3F"/>
    <w:rsid w:val="00413710"/>
    <w:rsid w:val="00415138"/>
    <w:rsid w:val="004223B2"/>
    <w:rsid w:val="00422B2A"/>
    <w:rsid w:val="004230CE"/>
    <w:rsid w:val="004236A9"/>
    <w:rsid w:val="00426BAE"/>
    <w:rsid w:val="00431F3A"/>
    <w:rsid w:val="0043295B"/>
    <w:rsid w:val="00451EBF"/>
    <w:rsid w:val="004543F7"/>
    <w:rsid w:val="00456179"/>
    <w:rsid w:val="004606A9"/>
    <w:rsid w:val="00460D1B"/>
    <w:rsid w:val="00461D98"/>
    <w:rsid w:val="004622E5"/>
    <w:rsid w:val="00474DB9"/>
    <w:rsid w:val="00490DB9"/>
    <w:rsid w:val="00495054"/>
    <w:rsid w:val="0049545C"/>
    <w:rsid w:val="004969CC"/>
    <w:rsid w:val="00497C66"/>
    <w:rsid w:val="004A0508"/>
    <w:rsid w:val="004A111A"/>
    <w:rsid w:val="004A58E2"/>
    <w:rsid w:val="004B06E4"/>
    <w:rsid w:val="004B57A8"/>
    <w:rsid w:val="004B5BD6"/>
    <w:rsid w:val="004B64D5"/>
    <w:rsid w:val="004C7F3B"/>
    <w:rsid w:val="004D2AF7"/>
    <w:rsid w:val="004D6C5F"/>
    <w:rsid w:val="004E46F9"/>
    <w:rsid w:val="004F153D"/>
    <w:rsid w:val="004F2138"/>
    <w:rsid w:val="004F7C29"/>
    <w:rsid w:val="0050069A"/>
    <w:rsid w:val="0050472C"/>
    <w:rsid w:val="00506B7C"/>
    <w:rsid w:val="00520D8D"/>
    <w:rsid w:val="00536106"/>
    <w:rsid w:val="00543AF4"/>
    <w:rsid w:val="005448A7"/>
    <w:rsid w:val="005453AD"/>
    <w:rsid w:val="00550B62"/>
    <w:rsid w:val="00552C85"/>
    <w:rsid w:val="00553AE1"/>
    <w:rsid w:val="00555B00"/>
    <w:rsid w:val="00555B8A"/>
    <w:rsid w:val="00556E69"/>
    <w:rsid w:val="00564433"/>
    <w:rsid w:val="00564B41"/>
    <w:rsid w:val="00570B91"/>
    <w:rsid w:val="005772BD"/>
    <w:rsid w:val="00582D20"/>
    <w:rsid w:val="00587495"/>
    <w:rsid w:val="005977F5"/>
    <w:rsid w:val="005A1CE1"/>
    <w:rsid w:val="005B127F"/>
    <w:rsid w:val="005B4BD4"/>
    <w:rsid w:val="005B5B01"/>
    <w:rsid w:val="005B7E1A"/>
    <w:rsid w:val="005C1895"/>
    <w:rsid w:val="005C2FA8"/>
    <w:rsid w:val="005C5779"/>
    <w:rsid w:val="005D5E82"/>
    <w:rsid w:val="005E3686"/>
    <w:rsid w:val="005E5170"/>
    <w:rsid w:val="005F08FA"/>
    <w:rsid w:val="005F5137"/>
    <w:rsid w:val="005F6627"/>
    <w:rsid w:val="006051E2"/>
    <w:rsid w:val="00607E4C"/>
    <w:rsid w:val="006106C1"/>
    <w:rsid w:val="00611BF0"/>
    <w:rsid w:val="0061356F"/>
    <w:rsid w:val="0061465C"/>
    <w:rsid w:val="00620144"/>
    <w:rsid w:val="00620AC7"/>
    <w:rsid w:val="00622BA1"/>
    <w:rsid w:val="00631667"/>
    <w:rsid w:val="00635512"/>
    <w:rsid w:val="0063714F"/>
    <w:rsid w:val="00644227"/>
    <w:rsid w:val="00653AD1"/>
    <w:rsid w:val="006549D5"/>
    <w:rsid w:val="00656C4F"/>
    <w:rsid w:val="0065798D"/>
    <w:rsid w:val="0066058A"/>
    <w:rsid w:val="006607BC"/>
    <w:rsid w:val="006653E4"/>
    <w:rsid w:val="00666C20"/>
    <w:rsid w:val="00670DF0"/>
    <w:rsid w:val="006751F3"/>
    <w:rsid w:val="00677A0B"/>
    <w:rsid w:val="006804F1"/>
    <w:rsid w:val="0069068A"/>
    <w:rsid w:val="00691C3C"/>
    <w:rsid w:val="006937F3"/>
    <w:rsid w:val="00694254"/>
    <w:rsid w:val="00697067"/>
    <w:rsid w:val="00697841"/>
    <w:rsid w:val="006A09B7"/>
    <w:rsid w:val="006A23A7"/>
    <w:rsid w:val="006B2B3F"/>
    <w:rsid w:val="006B417B"/>
    <w:rsid w:val="006B65D6"/>
    <w:rsid w:val="006C0C47"/>
    <w:rsid w:val="006C147B"/>
    <w:rsid w:val="006D2949"/>
    <w:rsid w:val="006D2A3E"/>
    <w:rsid w:val="006D548C"/>
    <w:rsid w:val="006E3128"/>
    <w:rsid w:val="006F486C"/>
    <w:rsid w:val="007017C8"/>
    <w:rsid w:val="00701B9B"/>
    <w:rsid w:val="007033D7"/>
    <w:rsid w:val="00714C76"/>
    <w:rsid w:val="00725610"/>
    <w:rsid w:val="007257EA"/>
    <w:rsid w:val="00726393"/>
    <w:rsid w:val="00726E4F"/>
    <w:rsid w:val="0072702F"/>
    <w:rsid w:val="00732175"/>
    <w:rsid w:val="00736389"/>
    <w:rsid w:val="00736878"/>
    <w:rsid w:val="0074301E"/>
    <w:rsid w:val="007519A8"/>
    <w:rsid w:val="00752720"/>
    <w:rsid w:val="00755A21"/>
    <w:rsid w:val="00756259"/>
    <w:rsid w:val="0075715E"/>
    <w:rsid w:val="00757513"/>
    <w:rsid w:val="00766ABD"/>
    <w:rsid w:val="00772E70"/>
    <w:rsid w:val="0077316C"/>
    <w:rsid w:val="00774240"/>
    <w:rsid w:val="00775880"/>
    <w:rsid w:val="00777546"/>
    <w:rsid w:val="00783C31"/>
    <w:rsid w:val="007855F5"/>
    <w:rsid w:val="00786387"/>
    <w:rsid w:val="00790A3B"/>
    <w:rsid w:val="00792830"/>
    <w:rsid w:val="00792CEB"/>
    <w:rsid w:val="00793E46"/>
    <w:rsid w:val="00794092"/>
    <w:rsid w:val="007A011B"/>
    <w:rsid w:val="007A17F0"/>
    <w:rsid w:val="007A5974"/>
    <w:rsid w:val="007B0DB7"/>
    <w:rsid w:val="007B43EA"/>
    <w:rsid w:val="007B59E0"/>
    <w:rsid w:val="007B7870"/>
    <w:rsid w:val="007C030A"/>
    <w:rsid w:val="007C04AE"/>
    <w:rsid w:val="007C0D40"/>
    <w:rsid w:val="007C39E4"/>
    <w:rsid w:val="007C49D3"/>
    <w:rsid w:val="007C5905"/>
    <w:rsid w:val="007C6DAA"/>
    <w:rsid w:val="007D53AA"/>
    <w:rsid w:val="007D578D"/>
    <w:rsid w:val="007E1CB9"/>
    <w:rsid w:val="007E5AD0"/>
    <w:rsid w:val="007E5E57"/>
    <w:rsid w:val="007F2387"/>
    <w:rsid w:val="007F2F72"/>
    <w:rsid w:val="00803FD4"/>
    <w:rsid w:val="00805AE7"/>
    <w:rsid w:val="00812673"/>
    <w:rsid w:val="00816656"/>
    <w:rsid w:val="0081687E"/>
    <w:rsid w:val="0082264A"/>
    <w:rsid w:val="00826B80"/>
    <w:rsid w:val="00831514"/>
    <w:rsid w:val="00834A30"/>
    <w:rsid w:val="008452A3"/>
    <w:rsid w:val="008528C2"/>
    <w:rsid w:val="00852C36"/>
    <w:rsid w:val="00854B3A"/>
    <w:rsid w:val="00855218"/>
    <w:rsid w:val="008565C3"/>
    <w:rsid w:val="00864C0A"/>
    <w:rsid w:val="0086668E"/>
    <w:rsid w:val="00871DAE"/>
    <w:rsid w:val="00873091"/>
    <w:rsid w:val="008741AB"/>
    <w:rsid w:val="00874B68"/>
    <w:rsid w:val="00875CB0"/>
    <w:rsid w:val="00877046"/>
    <w:rsid w:val="00890667"/>
    <w:rsid w:val="0089215C"/>
    <w:rsid w:val="00892197"/>
    <w:rsid w:val="008933F8"/>
    <w:rsid w:val="00893F8E"/>
    <w:rsid w:val="00894559"/>
    <w:rsid w:val="00894CB3"/>
    <w:rsid w:val="00895461"/>
    <w:rsid w:val="008A13A4"/>
    <w:rsid w:val="008A1887"/>
    <w:rsid w:val="008A5586"/>
    <w:rsid w:val="008B07A1"/>
    <w:rsid w:val="008B461B"/>
    <w:rsid w:val="008B59A2"/>
    <w:rsid w:val="008B5CFB"/>
    <w:rsid w:val="008C0F67"/>
    <w:rsid w:val="008C1C2D"/>
    <w:rsid w:val="008C5771"/>
    <w:rsid w:val="008D4EF6"/>
    <w:rsid w:val="008D5BD6"/>
    <w:rsid w:val="008D7ACF"/>
    <w:rsid w:val="008E06B8"/>
    <w:rsid w:val="008E0D62"/>
    <w:rsid w:val="008E0DFC"/>
    <w:rsid w:val="008E1E39"/>
    <w:rsid w:val="008E5F75"/>
    <w:rsid w:val="008E7ACC"/>
    <w:rsid w:val="008F18CD"/>
    <w:rsid w:val="008F197F"/>
    <w:rsid w:val="008F23F5"/>
    <w:rsid w:val="008F6C41"/>
    <w:rsid w:val="008F74FC"/>
    <w:rsid w:val="0090017A"/>
    <w:rsid w:val="0090111B"/>
    <w:rsid w:val="00905773"/>
    <w:rsid w:val="009119F7"/>
    <w:rsid w:val="00915652"/>
    <w:rsid w:val="00916AA3"/>
    <w:rsid w:val="00922CD3"/>
    <w:rsid w:val="0093202A"/>
    <w:rsid w:val="0093385F"/>
    <w:rsid w:val="00940ADF"/>
    <w:rsid w:val="00944F8E"/>
    <w:rsid w:val="009473C1"/>
    <w:rsid w:val="00950E30"/>
    <w:rsid w:val="009607AD"/>
    <w:rsid w:val="00962495"/>
    <w:rsid w:val="009631D2"/>
    <w:rsid w:val="00963A45"/>
    <w:rsid w:val="0096478C"/>
    <w:rsid w:val="009659F5"/>
    <w:rsid w:val="009719BC"/>
    <w:rsid w:val="00973300"/>
    <w:rsid w:val="0097643B"/>
    <w:rsid w:val="00982635"/>
    <w:rsid w:val="00983E2C"/>
    <w:rsid w:val="00986127"/>
    <w:rsid w:val="00986FB6"/>
    <w:rsid w:val="0098742B"/>
    <w:rsid w:val="009920BF"/>
    <w:rsid w:val="00994760"/>
    <w:rsid w:val="009A12A8"/>
    <w:rsid w:val="009A13F5"/>
    <w:rsid w:val="009A1506"/>
    <w:rsid w:val="009A6A63"/>
    <w:rsid w:val="009B7B44"/>
    <w:rsid w:val="009C00DB"/>
    <w:rsid w:val="009C019E"/>
    <w:rsid w:val="009C2A50"/>
    <w:rsid w:val="009C60FD"/>
    <w:rsid w:val="009D0136"/>
    <w:rsid w:val="009D325C"/>
    <w:rsid w:val="009D5632"/>
    <w:rsid w:val="009D5E90"/>
    <w:rsid w:val="009E070F"/>
    <w:rsid w:val="009E226C"/>
    <w:rsid w:val="009E749B"/>
    <w:rsid w:val="009F0517"/>
    <w:rsid w:val="009F21A7"/>
    <w:rsid w:val="009F2903"/>
    <w:rsid w:val="009F5807"/>
    <w:rsid w:val="00A00D79"/>
    <w:rsid w:val="00A04FB9"/>
    <w:rsid w:val="00A15102"/>
    <w:rsid w:val="00A15B3E"/>
    <w:rsid w:val="00A15E19"/>
    <w:rsid w:val="00A175C7"/>
    <w:rsid w:val="00A21C00"/>
    <w:rsid w:val="00A265FD"/>
    <w:rsid w:val="00A26D3D"/>
    <w:rsid w:val="00A27425"/>
    <w:rsid w:val="00A32D98"/>
    <w:rsid w:val="00A35E11"/>
    <w:rsid w:val="00A372C5"/>
    <w:rsid w:val="00A400AF"/>
    <w:rsid w:val="00A41443"/>
    <w:rsid w:val="00A433E3"/>
    <w:rsid w:val="00A4499C"/>
    <w:rsid w:val="00A44EE4"/>
    <w:rsid w:val="00A51A46"/>
    <w:rsid w:val="00A5267B"/>
    <w:rsid w:val="00A558CA"/>
    <w:rsid w:val="00A66419"/>
    <w:rsid w:val="00A753BA"/>
    <w:rsid w:val="00A772DA"/>
    <w:rsid w:val="00A80316"/>
    <w:rsid w:val="00A841E4"/>
    <w:rsid w:val="00A93D7C"/>
    <w:rsid w:val="00A976A2"/>
    <w:rsid w:val="00AA1620"/>
    <w:rsid w:val="00AB0020"/>
    <w:rsid w:val="00AB1D96"/>
    <w:rsid w:val="00AB376C"/>
    <w:rsid w:val="00AB5F7C"/>
    <w:rsid w:val="00AB72C0"/>
    <w:rsid w:val="00AC0CBF"/>
    <w:rsid w:val="00AC2005"/>
    <w:rsid w:val="00AC48D7"/>
    <w:rsid w:val="00AC4BD9"/>
    <w:rsid w:val="00AC6A8C"/>
    <w:rsid w:val="00AC6AA6"/>
    <w:rsid w:val="00AC7A69"/>
    <w:rsid w:val="00AD7038"/>
    <w:rsid w:val="00AE5089"/>
    <w:rsid w:val="00AF135C"/>
    <w:rsid w:val="00AF38B4"/>
    <w:rsid w:val="00AF4804"/>
    <w:rsid w:val="00AF7FEE"/>
    <w:rsid w:val="00B01DB3"/>
    <w:rsid w:val="00B03A17"/>
    <w:rsid w:val="00B0771A"/>
    <w:rsid w:val="00B21264"/>
    <w:rsid w:val="00B40615"/>
    <w:rsid w:val="00B43483"/>
    <w:rsid w:val="00B4384C"/>
    <w:rsid w:val="00B47BB0"/>
    <w:rsid w:val="00B50549"/>
    <w:rsid w:val="00B51988"/>
    <w:rsid w:val="00B51FC6"/>
    <w:rsid w:val="00B618C3"/>
    <w:rsid w:val="00B6413F"/>
    <w:rsid w:val="00B654CA"/>
    <w:rsid w:val="00B73112"/>
    <w:rsid w:val="00B73EBB"/>
    <w:rsid w:val="00B75953"/>
    <w:rsid w:val="00B767FC"/>
    <w:rsid w:val="00B80EAC"/>
    <w:rsid w:val="00B81108"/>
    <w:rsid w:val="00B81128"/>
    <w:rsid w:val="00B83341"/>
    <w:rsid w:val="00B91F14"/>
    <w:rsid w:val="00B9477A"/>
    <w:rsid w:val="00B948EF"/>
    <w:rsid w:val="00BA2394"/>
    <w:rsid w:val="00BA3FA4"/>
    <w:rsid w:val="00BA7EB1"/>
    <w:rsid w:val="00BB0474"/>
    <w:rsid w:val="00BB24C6"/>
    <w:rsid w:val="00BB46DF"/>
    <w:rsid w:val="00BC4C68"/>
    <w:rsid w:val="00BC698A"/>
    <w:rsid w:val="00BC6C0D"/>
    <w:rsid w:val="00BD4F00"/>
    <w:rsid w:val="00BD6155"/>
    <w:rsid w:val="00BD7176"/>
    <w:rsid w:val="00BE433D"/>
    <w:rsid w:val="00BE4587"/>
    <w:rsid w:val="00BE46D9"/>
    <w:rsid w:val="00BF0451"/>
    <w:rsid w:val="00BF1A41"/>
    <w:rsid w:val="00BF21CE"/>
    <w:rsid w:val="00C06678"/>
    <w:rsid w:val="00C11AAC"/>
    <w:rsid w:val="00C13F66"/>
    <w:rsid w:val="00C15541"/>
    <w:rsid w:val="00C1582A"/>
    <w:rsid w:val="00C21143"/>
    <w:rsid w:val="00C25BDB"/>
    <w:rsid w:val="00C31112"/>
    <w:rsid w:val="00C4006D"/>
    <w:rsid w:val="00C40DFC"/>
    <w:rsid w:val="00C418BD"/>
    <w:rsid w:val="00C506DC"/>
    <w:rsid w:val="00C50B3F"/>
    <w:rsid w:val="00C570C3"/>
    <w:rsid w:val="00C63318"/>
    <w:rsid w:val="00C65127"/>
    <w:rsid w:val="00C652AB"/>
    <w:rsid w:val="00C6678A"/>
    <w:rsid w:val="00C67B2A"/>
    <w:rsid w:val="00C76DEC"/>
    <w:rsid w:val="00C819BF"/>
    <w:rsid w:val="00C821BC"/>
    <w:rsid w:val="00C828BE"/>
    <w:rsid w:val="00C84426"/>
    <w:rsid w:val="00C85D72"/>
    <w:rsid w:val="00C94DE8"/>
    <w:rsid w:val="00CA09DA"/>
    <w:rsid w:val="00CA149B"/>
    <w:rsid w:val="00CA2FB9"/>
    <w:rsid w:val="00CA6A4B"/>
    <w:rsid w:val="00CB2F8B"/>
    <w:rsid w:val="00CB660A"/>
    <w:rsid w:val="00CB7615"/>
    <w:rsid w:val="00CC3A9B"/>
    <w:rsid w:val="00CC42B4"/>
    <w:rsid w:val="00CC72ED"/>
    <w:rsid w:val="00CD03FF"/>
    <w:rsid w:val="00CD269E"/>
    <w:rsid w:val="00CD32FB"/>
    <w:rsid w:val="00CE49C8"/>
    <w:rsid w:val="00CE74B4"/>
    <w:rsid w:val="00D05802"/>
    <w:rsid w:val="00D10174"/>
    <w:rsid w:val="00D1193F"/>
    <w:rsid w:val="00D171C2"/>
    <w:rsid w:val="00D224DD"/>
    <w:rsid w:val="00D2506E"/>
    <w:rsid w:val="00D254A2"/>
    <w:rsid w:val="00D3003B"/>
    <w:rsid w:val="00D34FF5"/>
    <w:rsid w:val="00D360FA"/>
    <w:rsid w:val="00D3751D"/>
    <w:rsid w:val="00D43EDA"/>
    <w:rsid w:val="00D459FF"/>
    <w:rsid w:val="00D45ABC"/>
    <w:rsid w:val="00D4655B"/>
    <w:rsid w:val="00D47F26"/>
    <w:rsid w:val="00D5720E"/>
    <w:rsid w:val="00D62762"/>
    <w:rsid w:val="00D67DD8"/>
    <w:rsid w:val="00D73C73"/>
    <w:rsid w:val="00D74A40"/>
    <w:rsid w:val="00D76853"/>
    <w:rsid w:val="00D77619"/>
    <w:rsid w:val="00D83209"/>
    <w:rsid w:val="00D841F5"/>
    <w:rsid w:val="00D90B2C"/>
    <w:rsid w:val="00D972C9"/>
    <w:rsid w:val="00DB042D"/>
    <w:rsid w:val="00DB1A88"/>
    <w:rsid w:val="00DB4DF8"/>
    <w:rsid w:val="00DB7BF8"/>
    <w:rsid w:val="00DC2273"/>
    <w:rsid w:val="00DC3784"/>
    <w:rsid w:val="00DC37C6"/>
    <w:rsid w:val="00DD4E2E"/>
    <w:rsid w:val="00DD691C"/>
    <w:rsid w:val="00DE0C8F"/>
    <w:rsid w:val="00DE0C9B"/>
    <w:rsid w:val="00DE587D"/>
    <w:rsid w:val="00DE5C7A"/>
    <w:rsid w:val="00DF21F7"/>
    <w:rsid w:val="00DF2AE2"/>
    <w:rsid w:val="00E00AFB"/>
    <w:rsid w:val="00E03E29"/>
    <w:rsid w:val="00E059FC"/>
    <w:rsid w:val="00E1093E"/>
    <w:rsid w:val="00E11A8D"/>
    <w:rsid w:val="00E15B7A"/>
    <w:rsid w:val="00E24AFA"/>
    <w:rsid w:val="00E2602E"/>
    <w:rsid w:val="00E33E06"/>
    <w:rsid w:val="00E35BA9"/>
    <w:rsid w:val="00E4142F"/>
    <w:rsid w:val="00E43729"/>
    <w:rsid w:val="00E466CE"/>
    <w:rsid w:val="00E47B4D"/>
    <w:rsid w:val="00E50BEE"/>
    <w:rsid w:val="00E524A1"/>
    <w:rsid w:val="00E54BE4"/>
    <w:rsid w:val="00E5718E"/>
    <w:rsid w:val="00E5761E"/>
    <w:rsid w:val="00E61391"/>
    <w:rsid w:val="00E61623"/>
    <w:rsid w:val="00E64F95"/>
    <w:rsid w:val="00E734A9"/>
    <w:rsid w:val="00E75ADF"/>
    <w:rsid w:val="00E8231E"/>
    <w:rsid w:val="00E87504"/>
    <w:rsid w:val="00E8787A"/>
    <w:rsid w:val="00E92A8D"/>
    <w:rsid w:val="00E953A7"/>
    <w:rsid w:val="00E95E30"/>
    <w:rsid w:val="00EA20B6"/>
    <w:rsid w:val="00EA5256"/>
    <w:rsid w:val="00EA73B4"/>
    <w:rsid w:val="00EB1431"/>
    <w:rsid w:val="00EB2F7F"/>
    <w:rsid w:val="00EB65BC"/>
    <w:rsid w:val="00ED03F4"/>
    <w:rsid w:val="00ED13F6"/>
    <w:rsid w:val="00EE1A8B"/>
    <w:rsid w:val="00EF15A6"/>
    <w:rsid w:val="00EF516C"/>
    <w:rsid w:val="00F01D8D"/>
    <w:rsid w:val="00F102B7"/>
    <w:rsid w:val="00F15DE4"/>
    <w:rsid w:val="00F2102D"/>
    <w:rsid w:val="00F2241C"/>
    <w:rsid w:val="00F22C04"/>
    <w:rsid w:val="00F253F0"/>
    <w:rsid w:val="00F332EC"/>
    <w:rsid w:val="00F34C93"/>
    <w:rsid w:val="00F404F9"/>
    <w:rsid w:val="00F429B2"/>
    <w:rsid w:val="00F42C55"/>
    <w:rsid w:val="00F43735"/>
    <w:rsid w:val="00F43DDD"/>
    <w:rsid w:val="00F47BB1"/>
    <w:rsid w:val="00F56D20"/>
    <w:rsid w:val="00F570E5"/>
    <w:rsid w:val="00F61E26"/>
    <w:rsid w:val="00F70FFC"/>
    <w:rsid w:val="00F72A6E"/>
    <w:rsid w:val="00F760C2"/>
    <w:rsid w:val="00F82E6F"/>
    <w:rsid w:val="00F85540"/>
    <w:rsid w:val="00F877D8"/>
    <w:rsid w:val="00F910D6"/>
    <w:rsid w:val="00F91489"/>
    <w:rsid w:val="00F95BCC"/>
    <w:rsid w:val="00F963FE"/>
    <w:rsid w:val="00FB13AD"/>
    <w:rsid w:val="00FB23F7"/>
    <w:rsid w:val="00FB2686"/>
    <w:rsid w:val="00FB4DDF"/>
    <w:rsid w:val="00FB7518"/>
    <w:rsid w:val="00FC12A3"/>
    <w:rsid w:val="00FC224E"/>
    <w:rsid w:val="00FC4DD0"/>
    <w:rsid w:val="00FC633E"/>
    <w:rsid w:val="00FD3D7E"/>
    <w:rsid w:val="00FD5A20"/>
    <w:rsid w:val="00FE299D"/>
    <w:rsid w:val="00FE2ABC"/>
    <w:rsid w:val="00FE2F78"/>
    <w:rsid w:val="00FE3549"/>
    <w:rsid w:val="00FE5BCD"/>
    <w:rsid w:val="00FE7224"/>
    <w:rsid w:val="00FE7699"/>
    <w:rsid w:val="00FF425E"/>
    <w:rsid w:val="00FF5ECA"/>
    <w:rsid w:val="6BCD0AE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DA9F87D"/>
  <w15:chartTrackingRefBased/>
  <w15:docId w15:val="{37FB49C4-82CB-4D76-BD41-6FDEDC0B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53AD"/>
    <w:rPr>
      <w:sz w:val="24"/>
      <w:szCs w:val="24"/>
      <w:lang w:eastAsia="en-US"/>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paragraph" w:styleId="Heading9">
    <w:name w:val="heading 9"/>
    <w:basedOn w:val="Normal"/>
    <w:next w:val="Normal"/>
    <w:link w:val="Heading9Char"/>
    <w:semiHidden/>
    <w:unhideWhenUsed/>
    <w:qFormat/>
    <w:rsid w:val="009719BC"/>
    <w:pPr>
      <w:spacing w:before="240" w:after="60"/>
      <w:outlineLvl w:val="8"/>
    </w:pPr>
    <w:rPr>
      <w:rFonts w:ascii="Calibri Light" w:eastAsia="DengXian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character" w:styleId="CommentReference">
    <w:name w:val="annotation reference"/>
    <w:uiPriority w:val="99"/>
    <w:rsid w:val="007A5974"/>
    <w:rPr>
      <w:sz w:val="16"/>
      <w:szCs w:val="16"/>
    </w:rPr>
  </w:style>
  <w:style w:type="paragraph" w:styleId="CommentText">
    <w:name w:val="annotation text"/>
    <w:basedOn w:val="Normal"/>
    <w:link w:val="CommentTextChar"/>
    <w:uiPriority w:val="99"/>
    <w:rsid w:val="007A5974"/>
    <w:rPr>
      <w:sz w:val="20"/>
      <w:szCs w:val="20"/>
    </w:rPr>
  </w:style>
  <w:style w:type="character" w:customStyle="1" w:styleId="CommentTextChar">
    <w:name w:val="Comment Text Char"/>
    <w:link w:val="CommentText"/>
    <w:uiPriority w:val="99"/>
    <w:rsid w:val="007A5974"/>
    <w:rPr>
      <w:lang w:eastAsia="en-US"/>
    </w:rPr>
  </w:style>
  <w:style w:type="character" w:styleId="Mention">
    <w:name w:val="Mention"/>
    <w:uiPriority w:val="99"/>
    <w:unhideWhenUsed/>
    <w:rsid w:val="007A5974"/>
    <w:rPr>
      <w:color w:val="2B579A"/>
      <w:shd w:val="clear" w:color="auto" w:fill="E1DFDD"/>
    </w:rPr>
  </w:style>
  <w:style w:type="character" w:customStyle="1" w:styleId="normaltextrun">
    <w:name w:val="normaltextrun"/>
    <w:basedOn w:val="DefaultParagraphFont"/>
    <w:rsid w:val="007A5974"/>
  </w:style>
  <w:style w:type="paragraph" w:styleId="ListParagraph">
    <w:name w:val="List Paragraph"/>
    <w:basedOn w:val="Normal"/>
    <w:uiPriority w:val="34"/>
    <w:qFormat/>
    <w:rsid w:val="007A5974"/>
    <w:pPr>
      <w:ind w:left="720"/>
      <w:contextualSpacing/>
    </w:pPr>
  </w:style>
  <w:style w:type="paragraph" w:customStyle="1" w:styleId="paragraph">
    <w:name w:val="paragraph"/>
    <w:basedOn w:val="Normal"/>
    <w:rsid w:val="000C411E"/>
    <w:pPr>
      <w:spacing w:before="100" w:beforeAutospacing="1" w:after="100" w:afterAutospacing="1"/>
    </w:pPr>
    <w:rPr>
      <w:lang w:eastAsia="zh-CN"/>
    </w:rPr>
  </w:style>
  <w:style w:type="character" w:customStyle="1" w:styleId="eop">
    <w:name w:val="eop"/>
    <w:basedOn w:val="DefaultParagraphFont"/>
    <w:rsid w:val="000C411E"/>
  </w:style>
  <w:style w:type="character" w:customStyle="1" w:styleId="advancedproofingissue">
    <w:name w:val="advancedproofingissue"/>
    <w:basedOn w:val="DefaultParagraphFont"/>
    <w:rsid w:val="000C411E"/>
  </w:style>
  <w:style w:type="character" w:customStyle="1" w:styleId="spellingerror">
    <w:name w:val="spellingerror"/>
    <w:basedOn w:val="DefaultParagraphFont"/>
    <w:rsid w:val="000C411E"/>
  </w:style>
  <w:style w:type="character" w:customStyle="1" w:styleId="wacimagecontainer">
    <w:name w:val="wacimagecontainer"/>
    <w:basedOn w:val="DefaultParagraphFont"/>
    <w:rsid w:val="00AC2005"/>
  </w:style>
  <w:style w:type="character" w:customStyle="1" w:styleId="superscript">
    <w:name w:val="superscript"/>
    <w:basedOn w:val="DefaultParagraphFont"/>
    <w:rsid w:val="00AC2005"/>
  </w:style>
  <w:style w:type="character" w:styleId="UnresolvedMention">
    <w:name w:val="Unresolved Mention"/>
    <w:uiPriority w:val="99"/>
    <w:semiHidden/>
    <w:unhideWhenUsed/>
    <w:rsid w:val="00570B91"/>
    <w:rPr>
      <w:color w:val="605E5C"/>
      <w:shd w:val="clear" w:color="auto" w:fill="E1DFDD"/>
    </w:rPr>
  </w:style>
  <w:style w:type="paragraph" w:styleId="Revision">
    <w:name w:val="Revision"/>
    <w:hidden/>
    <w:uiPriority w:val="99"/>
    <w:semiHidden/>
    <w:rsid w:val="007C6DAA"/>
    <w:rPr>
      <w:sz w:val="24"/>
      <w:szCs w:val="24"/>
      <w:lang w:eastAsia="en-US"/>
    </w:rPr>
  </w:style>
  <w:style w:type="paragraph" w:customStyle="1" w:styleId="EndNoteBibliography">
    <w:name w:val="EndNote Bibliography"/>
    <w:basedOn w:val="Normal"/>
    <w:link w:val="EndNoteBibliographyChar"/>
    <w:rsid w:val="007C6DAA"/>
    <w:pPr>
      <w:widowControl w:val="0"/>
      <w:ind w:firstLine="288"/>
    </w:pPr>
    <w:rPr>
      <w:rFonts w:ascii="Perpetua" w:hAnsi="Perpetua"/>
      <w:noProof/>
      <w:sz w:val="22"/>
    </w:rPr>
  </w:style>
  <w:style w:type="character" w:customStyle="1" w:styleId="EndNoteBibliographyChar">
    <w:name w:val="EndNote Bibliography Char"/>
    <w:link w:val="EndNoteBibliography"/>
    <w:rsid w:val="007C6DAA"/>
    <w:rPr>
      <w:rFonts w:ascii="Perpetua" w:hAnsi="Perpetua"/>
      <w:noProof/>
      <w:sz w:val="22"/>
      <w:szCs w:val="24"/>
      <w:lang w:eastAsia="en-US"/>
    </w:rPr>
  </w:style>
  <w:style w:type="paragraph" w:styleId="CommentSubject">
    <w:name w:val="annotation subject"/>
    <w:basedOn w:val="CommentText"/>
    <w:next w:val="CommentText"/>
    <w:link w:val="CommentSubjectChar"/>
    <w:rsid w:val="007C6DAA"/>
    <w:rPr>
      <w:b/>
      <w:bCs/>
    </w:rPr>
  </w:style>
  <w:style w:type="character" w:customStyle="1" w:styleId="CommentSubjectChar">
    <w:name w:val="Comment Subject Char"/>
    <w:link w:val="CommentSubject"/>
    <w:rsid w:val="007C6DAA"/>
    <w:rPr>
      <w:b/>
      <w:bCs/>
      <w:lang w:eastAsia="en-US"/>
    </w:rPr>
  </w:style>
  <w:style w:type="character" w:customStyle="1" w:styleId="Heading9Char">
    <w:name w:val="Heading 9 Char"/>
    <w:link w:val="Heading9"/>
    <w:semiHidden/>
    <w:rsid w:val="009719BC"/>
    <w:rPr>
      <w:rFonts w:ascii="Calibri Light" w:eastAsia="DengXian Light" w:hAnsi="Calibri Light" w:cs="Times New Roman"/>
      <w:sz w:val="22"/>
      <w:szCs w:val="22"/>
      <w:lang w:eastAsia="en-US"/>
    </w:rPr>
  </w:style>
  <w:style w:type="paragraph" w:customStyle="1" w:styleId="TableBody">
    <w:name w:val="Table Body"/>
    <w:basedOn w:val="Normal"/>
    <w:qFormat/>
    <w:rsid w:val="009719BC"/>
    <w:rPr>
      <w:rFonts w:ascii="Arial" w:hAnsi="Arial"/>
      <w:sz w:val="18"/>
      <w:szCs w:val="20"/>
    </w:rPr>
  </w:style>
  <w:style w:type="paragraph" w:customStyle="1" w:styleId="TableColHeading">
    <w:name w:val="Table Col Heading"/>
    <w:basedOn w:val="TableBody"/>
    <w:qFormat/>
    <w:rsid w:val="009719BC"/>
    <w:pPr>
      <w:jc w:val="center"/>
    </w:pPr>
    <w:rPr>
      <w:b/>
    </w:rPr>
  </w:style>
  <w:style w:type="table" w:styleId="TableGrid">
    <w:name w:val="Table Grid"/>
    <w:basedOn w:val="TableNormal"/>
    <w:uiPriority w:val="59"/>
    <w:rsid w:val="009719BC"/>
    <w:pPr>
      <w:spacing w:line="264" w:lineRule="auto"/>
    </w:pPr>
    <w:rPr>
      <w:rFonts w:ascii="Arial" w:hAnsi="Arial"/>
      <w:sz w:val="24"/>
      <w:szCs w:val="24"/>
      <w:lang w:eastAsia="en-US"/>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Header">
    <w:name w:val="header"/>
    <w:basedOn w:val="Normal"/>
    <w:link w:val="HeaderChar"/>
    <w:rsid w:val="009D325C"/>
    <w:pPr>
      <w:tabs>
        <w:tab w:val="center" w:pos="4680"/>
        <w:tab w:val="right" w:pos="9360"/>
      </w:tabs>
    </w:pPr>
  </w:style>
  <w:style w:type="character" w:customStyle="1" w:styleId="HeaderChar">
    <w:name w:val="Header Char"/>
    <w:basedOn w:val="DefaultParagraphFont"/>
    <w:link w:val="Header"/>
    <w:rsid w:val="009D325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cid:image001.png@01DA4933.0C681B40" TargetMode="External" /><Relationship Id="rId11" Type="http://schemas.openxmlformats.org/officeDocument/2006/relationships/image" Target="media/image4.jpeg" /><Relationship Id="rId12" Type="http://schemas.openxmlformats.org/officeDocument/2006/relationships/image" Target="media/image5.png"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7a1e3a-ea7b-4ad1-97a5-e70ff0c4f03c">
      <Terms xmlns="http://schemas.microsoft.com/office/infopath/2007/PartnerControls"/>
    </lcf76f155ced4ddcb4097134ff3c332f>
    <TaxCatchAll xmlns="bd62d0d2-7797-47eb-84fd-edc0ed69e7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38016B931C4640A07C230F8F5D546B" ma:contentTypeVersion="13" ma:contentTypeDescription="Create a new document." ma:contentTypeScope="" ma:versionID="db1481e1d98c12fd719d89454f6ed481">
  <xsd:schema xmlns:xsd="http://www.w3.org/2001/XMLSchema" xmlns:xs="http://www.w3.org/2001/XMLSchema" xmlns:p="http://schemas.microsoft.com/office/2006/metadata/properties" xmlns:ns2="bd62d0d2-7797-47eb-84fd-edc0ed69e7d7" xmlns:ns3="177a1e3a-ea7b-4ad1-97a5-e70ff0c4f03c" targetNamespace="http://schemas.microsoft.com/office/2006/metadata/properties" ma:root="true" ma:fieldsID="e74d881c2d09365aeb43654d01ca5400" ns2:_="" ns3:_="">
    <xsd:import namespace="bd62d0d2-7797-47eb-84fd-edc0ed69e7d7"/>
    <xsd:import namespace="177a1e3a-ea7b-4ad1-97a5-e70ff0c4f0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2d0d2-7797-47eb-84fd-edc0ed69e7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d43a072-ced0-4b96-bfdb-eab37482146d}" ma:internalName="TaxCatchAll" ma:showField="CatchAllData" ma:web="bd62d0d2-7797-47eb-84fd-edc0ed69e7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7a1e3a-ea7b-4ad1-97a5-e70ff0c4f0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7B38A-74E0-41DE-AE22-0099A873E7C0}">
  <ds:schemaRefs>
    <ds:schemaRef ds:uri="http://schemas.microsoft.com/office/2006/metadata/properties"/>
    <ds:schemaRef ds:uri="http://schemas.microsoft.com/office/infopath/2007/PartnerControls"/>
    <ds:schemaRef ds:uri="177a1e3a-ea7b-4ad1-97a5-e70ff0c4f03c"/>
    <ds:schemaRef ds:uri="bd62d0d2-7797-47eb-84fd-edc0ed69e7d7"/>
  </ds:schemaRefs>
</ds:datastoreItem>
</file>

<file path=customXml/itemProps2.xml><?xml version="1.0" encoding="utf-8"?>
<ds:datastoreItem xmlns:ds="http://schemas.openxmlformats.org/officeDocument/2006/customXml" ds:itemID="{BA6C907A-E7EB-4E69-9739-1F8E4B292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2d0d2-7797-47eb-84fd-edc0ed69e7d7"/>
    <ds:schemaRef ds:uri="177a1e3a-ea7b-4ad1-97a5-e70ff0c4f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AB219-4F46-4CB7-8C52-46D241A7D186}">
  <ds:schemaRefs>
    <ds:schemaRef ds:uri="http://schemas.microsoft.com/sharepoint/v3/contenttype/forms"/>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49</TotalTime>
  <Pages>12</Pages>
  <Words>4214</Words>
  <Characters>24745</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Roberts, Michelle (AHRQ/CFACT)</cp:lastModifiedBy>
  <cp:revision>3</cp:revision>
  <cp:lastPrinted>2007-07-09T22:45:00Z</cp:lastPrinted>
  <dcterms:created xsi:type="dcterms:W3CDTF">2024-01-24T14:40:00Z</dcterms:created>
  <dcterms:modified xsi:type="dcterms:W3CDTF">2024-06-12T22:23:00Z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0x010100EB38016B931C4640A07C230F8F5D546B</vt:lpwstr>
  </property>
  <property fmtid="{D5CDD505-2E9C-101B-9397-08002B2CF9AE}" pid="3" name="MediaServiceImageTags">
    <vt:lpwstr/>
  </property>
</Properties>
</file>