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684D" w:rsidRPr="000D684D" w:rsidP="000D684D" w14:paraId="25133B2A" w14:textId="0EFB72F6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D684D">
        <w:rPr>
          <w:rFonts w:asciiTheme="majorHAnsi" w:hAnsiTheme="majorHAnsi" w:cstheme="majorHAnsi"/>
          <w:b/>
          <w:bCs/>
          <w:sz w:val="24"/>
          <w:szCs w:val="24"/>
        </w:rPr>
        <w:t xml:space="preserve">Attachment S - </w:t>
      </w:r>
      <w:r w:rsidRPr="000D68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Patient Toolkit Survey-Provider</w:t>
      </w:r>
    </w:p>
    <w:p w:rsidR="000D684D" w14:paraId="70F4E3D0" w14:textId="7777777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0D684D" w14:paraId="5A67C925" w14:textId="5844277A">
      <w:pPr>
        <w:rPr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4329953</wp:posOffset>
                </wp:positionH>
                <wp:positionV relativeFrom="paragraph">
                  <wp:posOffset>120015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E4489" w:rsidP="00FE6CD0" w14:textId="055E4BC7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0E4489" w:rsidR="00E21BC1">
                              <w:rPr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0E4489" w:rsidR="00E21BC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E4489">
                              <w:rPr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0E4489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0E4489">
                              <w:rPr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0E4489">
                              <w:rPr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9.45pt;margin-left:340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FE6CD0" w:rsidRPr="000E4489" w:rsidP="00FE6CD0" w14:paraId="4C911F56" w14:textId="055E4BC7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0E4489" w:rsidR="00E21BC1">
                        <w:rPr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0E4489" w:rsidR="00E21BC1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E4489">
                        <w:rPr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0E4489">
                        <w:rPr>
                          <w:sz w:val="20"/>
                          <w:szCs w:val="20"/>
                          <w:lang w:val="fr-FR"/>
                        </w:rPr>
                        <w:br/>
                      </w:r>
                      <w:r w:rsidRPr="000E4489">
                        <w:rPr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0E4489">
                        <w:rPr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C1A33" w:rsidP="000D684D" w14:paraId="21D42D91" w14:textId="77777777">
      <w:pPr>
        <w:rPr>
          <w:sz w:val="26"/>
          <w:szCs w:val="26"/>
        </w:rPr>
      </w:pPr>
    </w:p>
    <w:p w:rsidR="000C1A33" w:rsidP="000D684D" w14:paraId="5FA11C53" w14:textId="77777777">
      <w:pPr>
        <w:rPr>
          <w:sz w:val="26"/>
          <w:szCs w:val="26"/>
        </w:rPr>
      </w:pPr>
    </w:p>
    <w:p w:rsidR="000C1A33" w:rsidP="000D684D" w14:paraId="1FA57FF9" w14:textId="77777777">
      <w:pPr>
        <w:rPr>
          <w:sz w:val="26"/>
          <w:szCs w:val="26"/>
        </w:rPr>
      </w:pPr>
    </w:p>
    <w:p w:rsidR="000D684D" w:rsidP="000D684D" w14:paraId="497C36BB" w14:textId="347B2E3A">
      <w:pPr>
        <w:rPr>
          <w:b/>
        </w:rPr>
      </w:pPr>
      <w:r>
        <w:rPr>
          <w:sz w:val="26"/>
          <w:szCs w:val="26"/>
        </w:rPr>
        <w:t>Toolkit for Engaging Patients</w:t>
      </w:r>
      <w:r w:rsidR="000C1A33">
        <w:rPr>
          <w:sz w:val="26"/>
          <w:szCs w:val="26"/>
        </w:rPr>
        <w:t xml:space="preserve"> </w:t>
      </w:r>
      <w:r>
        <w:rPr>
          <w:sz w:val="26"/>
          <w:szCs w:val="26"/>
        </w:rPr>
        <w:t>Provider Feedback Survey</w:t>
      </w:r>
    </w:p>
    <w:p w:rsidR="000D684D" w:rsidP="3198B725" w14:paraId="304BE87D" w14:textId="4C00A784">
      <w:pPr>
        <w:rPr>
          <w:b/>
          <w:bCs/>
        </w:rPr>
      </w:pPr>
    </w:p>
    <w:p w:rsidR="000C1A33" w:rsidP="000C1A33" w14:paraId="0A220E4E" w14:textId="190172EC">
      <w:r>
        <w:t xml:space="preserve">Please complete the following survey, it should take no longer than 2 minutes to complete. It will help us measure important outcomes before and after toolkit implementation. </w:t>
      </w:r>
    </w:p>
    <w:p w:rsidR="000C1A33" w14:paraId="7DFFEEB4" w14:textId="77777777">
      <w:pPr>
        <w:rPr>
          <w:b/>
        </w:rPr>
      </w:pPr>
    </w:p>
    <w:p w:rsidR="00324846" w14:paraId="749B553E" w14:textId="363988DC">
      <w:pPr>
        <w:rPr>
          <w:b/>
        </w:rPr>
      </w:pPr>
      <w:r>
        <w:rPr>
          <w:b/>
        </w:rPr>
        <w:t xml:space="preserve">Provider Self-Assessment of Communication Effectiveness </w:t>
      </w:r>
    </w:p>
    <w:p w:rsidR="000C1A33" w:rsidP="3198B725" w14:paraId="35E9A0AD" w14:textId="0EDE6200"/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15"/>
        <w:gridCol w:w="1335"/>
        <w:gridCol w:w="1470"/>
        <w:gridCol w:w="1470"/>
        <w:gridCol w:w="1110"/>
      </w:tblGrid>
      <w:tr w14:paraId="684B0CBB" w14:textId="77777777">
        <w:tblPrEx>
          <w:tblW w:w="9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420"/>
        </w:trPr>
        <w:tc>
          <w:tcPr>
            <w:tcW w:w="3915" w:type="dxa"/>
            <w:vMerge w:val="restart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352B78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3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5FC0E6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Never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0668E6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Sometimes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0156D7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Almost Always</w:t>
            </w:r>
          </w:p>
        </w:tc>
        <w:tc>
          <w:tcPr>
            <w:tcW w:w="111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BA0F1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Always</w:t>
            </w:r>
          </w:p>
        </w:tc>
      </w:tr>
      <w:tr w14:paraId="5BB91BC8" w14:textId="77777777">
        <w:tblPrEx>
          <w:tblW w:w="9300" w:type="dxa"/>
          <w:tblLayout w:type="fixed"/>
          <w:tblLook w:val="0600"/>
        </w:tblPrEx>
        <w:trPr>
          <w:trHeight w:val="420"/>
        </w:trPr>
        <w:tc>
          <w:tcPr>
            <w:tcW w:w="3915" w:type="dxa"/>
            <w:vMerge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223445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4A4A5C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21CDF3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50DEF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111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32AE1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</w:tr>
      <w:tr w14:paraId="77CDEC76" w14:textId="77777777">
        <w:tblPrEx>
          <w:tblW w:w="9300" w:type="dxa"/>
          <w:tblLayout w:type="fixed"/>
          <w:tblLook w:val="0600"/>
        </w:tblPrEx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676BB1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listen to my patients carefully during the visit.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29895B01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 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5750B16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636F6AD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5A220B7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1750B2EC" w14:textId="77777777">
        <w:tblPrEx>
          <w:tblW w:w="9300" w:type="dxa"/>
          <w:tblLayout w:type="fixed"/>
          <w:tblLook w:val="0600"/>
        </w:tblPrEx>
        <w:tc>
          <w:tcPr>
            <w:tcW w:w="391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31F55E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allow my patients to talk without interrupting them.</w:t>
            </w:r>
          </w:p>
        </w:tc>
        <w:tc>
          <w:tcPr>
            <w:tcW w:w="133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2D44D84B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52A7BD4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9DD51E8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11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A9BD540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15A4FC3E" w14:textId="77777777">
        <w:tblPrEx>
          <w:tblW w:w="9300" w:type="dxa"/>
          <w:tblLayout w:type="fixed"/>
          <w:tblLook w:val="0600"/>
        </w:tblPrEx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0DECC3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encourage my patients to express themselves/talk.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F21696A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FD5F9B3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5ED91AF9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9EC9F38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3349DB96" w14:textId="77777777">
        <w:tblPrEx>
          <w:tblW w:w="9300" w:type="dxa"/>
          <w:tblLayout w:type="fixed"/>
          <w:tblLook w:val="0600"/>
        </w:tblPrEx>
        <w:tc>
          <w:tcPr>
            <w:tcW w:w="391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56D82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examine my patients thoroughly. </w:t>
            </w:r>
          </w:p>
        </w:tc>
        <w:tc>
          <w:tcPr>
            <w:tcW w:w="133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52BE0FF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7F634C35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F6F8897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11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4D7BBBC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</w:tbl>
    <w:p w:rsidR="00875387" w:rsidP="6C9D3D94" w14:paraId="77D56BD4" w14:textId="77777777">
      <w:pPr>
        <w:rPr>
          <w:b/>
          <w:bCs/>
        </w:rPr>
      </w:pPr>
    </w:p>
    <w:p w:rsidR="00FE6CD0" w14:paraId="6236DBAC" w14:textId="55B7B84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-481693</wp:posOffset>
                </wp:positionH>
                <wp:positionV relativeFrom="paragraph">
                  <wp:posOffset>313055</wp:posOffset>
                </wp:positionV>
                <wp:extent cx="6809014" cy="2506436"/>
                <wp:effectExtent l="0" t="0" r="11430" b="825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809014" cy="2506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7D9" w:rsidRPr="00F719B8" w:rsidP="00EF57D9" w14:textId="0C19004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2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F57D9" w:rsidP="00EF57D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36.15pt;height:197.35pt;margin-top:24.65pt;margin-left:-37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EF57D9" w:rsidRPr="00F719B8" w:rsidP="00EF57D9" w14:paraId="4781311A" w14:textId="0C19004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2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EF57D9" w:rsidP="00EF57D9" w14:paraId="424596C6" w14:textId="77777777"/>
                  </w:txbxContent>
                </v:textbox>
              </v:shape>
            </w:pict>
          </mc:Fallback>
        </mc:AlternateContent>
      </w:r>
      <w:r w:rsidR="00FE6CD0">
        <w:rPr>
          <w:b/>
          <w:bCs/>
        </w:rPr>
        <w:br w:type="page"/>
      </w:r>
    </w:p>
    <w:p w:rsidR="00324846" w:rsidP="6C9D3D94" w14:paraId="69548823" w14:textId="435958FD">
      <w:pPr>
        <w:rPr>
          <w:b/>
          <w:bCs/>
        </w:rPr>
      </w:pPr>
      <w:r w:rsidRPr="6C9D3D94">
        <w:rPr>
          <w:b/>
          <w:bCs/>
        </w:rPr>
        <w:t>Provider Assessment of Toolkit Effectiveness</w:t>
      </w:r>
    </w:p>
    <w:p w:rsidR="00324846" w14:paraId="396C7B50" w14:textId="75AAC402"/>
    <w:tbl>
      <w:tblPr>
        <w:tblStyle w:val="a0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40"/>
        <w:gridCol w:w="1320"/>
        <w:gridCol w:w="1545"/>
        <w:gridCol w:w="1470"/>
        <w:gridCol w:w="1425"/>
      </w:tblGrid>
      <w:tr w14:paraId="40A45C21" w14:textId="77777777">
        <w:tblPrEx>
          <w:tblW w:w="9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420"/>
        </w:trPr>
        <w:tc>
          <w:tcPr>
            <w:tcW w:w="3540" w:type="dxa"/>
            <w:vMerge w:val="restart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11C37412" w14:textId="77777777">
            <w:pPr>
              <w:widowControl w:val="0"/>
              <w:spacing w:line="240" w:lineRule="auto"/>
              <w:jc w:val="center"/>
            </w:pPr>
          </w:p>
        </w:tc>
        <w:tc>
          <w:tcPr>
            <w:tcW w:w="132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12489F5F" w14:textId="77777777">
            <w:pPr>
              <w:widowControl w:val="0"/>
              <w:spacing w:line="240" w:lineRule="auto"/>
              <w:jc w:val="center"/>
            </w:pPr>
            <w:r>
              <w:t>Never</w:t>
            </w:r>
          </w:p>
        </w:tc>
        <w:tc>
          <w:tcPr>
            <w:tcW w:w="154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0716C845" w14:textId="594C00DE">
            <w:pPr>
              <w:widowControl w:val="0"/>
              <w:spacing w:line="240" w:lineRule="auto"/>
              <w:jc w:val="center"/>
            </w:pPr>
            <w:r>
              <w:t>Sometimes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100DC0DB" w14:textId="77777777">
            <w:pPr>
              <w:widowControl w:val="0"/>
              <w:spacing w:line="240" w:lineRule="auto"/>
              <w:jc w:val="center"/>
            </w:pPr>
            <w:r>
              <w:t>Almost Always</w:t>
            </w:r>
          </w:p>
        </w:tc>
        <w:tc>
          <w:tcPr>
            <w:tcW w:w="142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AAC5777" w14:textId="77777777">
            <w:pPr>
              <w:widowControl w:val="0"/>
              <w:spacing w:line="240" w:lineRule="auto"/>
              <w:jc w:val="center"/>
            </w:pPr>
            <w:r>
              <w:t>Always</w:t>
            </w:r>
          </w:p>
        </w:tc>
      </w:tr>
      <w:tr w14:paraId="308E2960" w14:textId="77777777">
        <w:tblPrEx>
          <w:tblW w:w="9300" w:type="dxa"/>
          <w:tblLayout w:type="fixed"/>
          <w:tblLook w:val="0600"/>
        </w:tblPrEx>
        <w:trPr>
          <w:trHeight w:val="420"/>
        </w:trPr>
        <w:tc>
          <w:tcPr>
            <w:tcW w:w="3540" w:type="dxa"/>
            <w:vMerge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C6F270A" w14:textId="77777777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4F39AEA8" w14:textId="77777777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72EE3EF7" w14:textId="77777777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38F28510" w14:textId="77777777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42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4AE7900D" w14:textId="77777777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</w:tr>
      <w:tr w14:paraId="2E952CB9" w14:textId="77777777">
        <w:tblPrEx>
          <w:tblW w:w="9300" w:type="dxa"/>
          <w:tblLayout w:type="fixed"/>
          <w:tblLook w:val="0600"/>
        </w:tblPrEx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58D61BDE" w14:textId="77777777">
            <w:pPr>
              <w:widowControl w:val="0"/>
              <w:spacing w:line="240" w:lineRule="auto"/>
            </w:pPr>
            <w:r>
              <w:t xml:space="preserve">The Be The Expert On You note sheet helps my patients to organize important information.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28F8053E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 ⃞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DEDDD16" w14:textId="14C7EB55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39476C5C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414D753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688E910D" w14:textId="77777777">
        <w:tblPrEx>
          <w:tblW w:w="9300" w:type="dxa"/>
          <w:tblLayout w:type="fixed"/>
          <w:tblLook w:val="0600"/>
        </w:tblPrEx>
        <w:tc>
          <w:tcPr>
            <w:tcW w:w="354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2BE17712" w14:textId="77777777">
            <w:pPr>
              <w:widowControl w:val="0"/>
              <w:spacing w:line="240" w:lineRule="auto"/>
            </w:pPr>
            <w:r>
              <w:t xml:space="preserve">The Be The Expert On You note sheet helps me in the diagnostic process. </w:t>
            </w:r>
          </w:p>
        </w:tc>
        <w:tc>
          <w:tcPr>
            <w:tcW w:w="132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3A1BA6B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54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6E795C48" w14:textId="22F7C032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40D625F3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2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727AB56A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35F0845F" w14:textId="77777777">
        <w:tblPrEx>
          <w:tblW w:w="9300" w:type="dxa"/>
          <w:tblLayout w:type="fixed"/>
          <w:tblLook w:val="0600"/>
        </w:tblPrEx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405F8F24" w14:textId="77777777">
            <w:pPr>
              <w:widowControl w:val="0"/>
              <w:spacing w:line="240" w:lineRule="auto"/>
            </w:pPr>
            <w:r>
              <w:t>Communication with my patients has improved after using the 60 Seconds To Improve Diagnostic Safety strategy.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2D0335BD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6F316F72" w14:textId="5D426919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568D55CF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0721C789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4B179089" w14:textId="77777777">
        <w:tblPrEx>
          <w:tblW w:w="9300" w:type="dxa"/>
          <w:tblLayout w:type="fixed"/>
          <w:tblLook w:val="0600"/>
        </w:tblPrEx>
        <w:tc>
          <w:tcPr>
            <w:tcW w:w="354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14:paraId="671313CA" w14:textId="77777777">
            <w:pPr>
              <w:widowControl w:val="0"/>
              <w:spacing w:line="240" w:lineRule="auto"/>
            </w:pPr>
            <w:r>
              <w:t xml:space="preserve">My patients take less than 60 seconds to share their story. </w:t>
            </w:r>
          </w:p>
        </w:tc>
        <w:tc>
          <w:tcPr>
            <w:tcW w:w="132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61EB2012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54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43A3DC4" w14:textId="322AC85F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70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96038E9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425" w:type="dxa"/>
            <w:shd w:val="clear" w:color="auto" w:fill="D0E6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846" w:rsidRPr="00CA096E" w14:paraId="1B73F8AC" w14:textId="77777777">
            <w:pPr>
              <w:jc w:val="center"/>
              <w:rPr>
                <w:bCs/>
                <w:sz w:val="24"/>
                <w:szCs w:val="24"/>
              </w:rPr>
            </w:pPr>
            <w:r w:rsidRPr="00CA096E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</w:tbl>
    <w:p w:rsidR="00875387" w:rsidP="6C9D3D94" w14:paraId="1B12AAEC" w14:textId="77777777"/>
    <w:p w:rsidR="00121948" w:rsidP="6C9D3D94" w14:paraId="16F8ECD9" w14:textId="77777777"/>
    <w:p w:rsidR="00324846" w:rsidP="6C9D3D94" w14:paraId="3768E91A" w14:textId="092F7A66">
      <w:r>
        <w:t xml:space="preserve">Thank you for completing this survey. </w:t>
      </w:r>
    </w:p>
    <w:p w:rsidR="00324846" w14:paraId="4EC3518D" w14:textId="38C8CBE6"/>
    <w:sectPr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E6F36C" w14:textId="77777777" w:rsidTr="217331D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17331DC" w:rsidP="217331DC" w14:paraId="41BD5261" w14:textId="782E65E4">
          <w:pPr>
            <w:pStyle w:val="Header"/>
            <w:ind w:left="-115"/>
          </w:pPr>
        </w:p>
      </w:tc>
      <w:tc>
        <w:tcPr>
          <w:tcW w:w="3120" w:type="dxa"/>
        </w:tcPr>
        <w:p w:rsidR="217331DC" w:rsidP="217331DC" w14:paraId="33AFF127" w14:textId="08A008C6">
          <w:pPr>
            <w:pStyle w:val="Header"/>
            <w:jc w:val="center"/>
          </w:pPr>
        </w:p>
      </w:tc>
      <w:tc>
        <w:tcPr>
          <w:tcW w:w="3120" w:type="dxa"/>
        </w:tcPr>
        <w:p w:rsidR="217331DC" w:rsidP="217331DC" w14:paraId="4ABEA147" w14:textId="23CAD412">
          <w:pPr>
            <w:pStyle w:val="Header"/>
            <w:ind w:right="-115"/>
            <w:jc w:val="right"/>
          </w:pPr>
        </w:p>
      </w:tc>
    </w:tr>
  </w:tbl>
  <w:p w:rsidR="217331DC" w:rsidP="217331DC" w14:paraId="22C1AA65" w14:textId="65C5A2E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601BD8"/>
    <w:multiLevelType w:val="hybridMultilevel"/>
    <w:tmpl w:val="C79094D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0EE"/>
    <w:multiLevelType w:val="hybridMultilevel"/>
    <w:tmpl w:val="40E61300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08E5"/>
    <w:multiLevelType w:val="hybridMultilevel"/>
    <w:tmpl w:val="D654E98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E4DFF"/>
    <w:multiLevelType w:val="hybridMultilevel"/>
    <w:tmpl w:val="0E74FB78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15954"/>
    <w:multiLevelType w:val="hybridMultilevel"/>
    <w:tmpl w:val="55D2B27C"/>
    <w:lvl w:ilvl="0">
      <w:start w:val="43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color w:val="000000"/>
        <w:sz w:val="2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9822">
    <w:abstractNumId w:val="1"/>
  </w:num>
  <w:num w:numId="2" w16cid:durableId="1720862381">
    <w:abstractNumId w:val="0"/>
  </w:num>
  <w:num w:numId="3" w16cid:durableId="2137604936">
    <w:abstractNumId w:val="4"/>
  </w:num>
  <w:num w:numId="4" w16cid:durableId="295911238">
    <w:abstractNumId w:val="3"/>
  </w:num>
  <w:num w:numId="5" w16cid:durableId="12789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46"/>
    <w:rsid w:val="000C1A33"/>
    <w:rsid w:val="000D684D"/>
    <w:rsid w:val="000E4489"/>
    <w:rsid w:val="00121948"/>
    <w:rsid w:val="002C6B34"/>
    <w:rsid w:val="003004D7"/>
    <w:rsid w:val="00324846"/>
    <w:rsid w:val="006231F0"/>
    <w:rsid w:val="00633B17"/>
    <w:rsid w:val="00674BE2"/>
    <w:rsid w:val="006A1985"/>
    <w:rsid w:val="0070072D"/>
    <w:rsid w:val="00875387"/>
    <w:rsid w:val="008A7D55"/>
    <w:rsid w:val="008B2819"/>
    <w:rsid w:val="00901D6B"/>
    <w:rsid w:val="00917F2A"/>
    <w:rsid w:val="00997810"/>
    <w:rsid w:val="009E20E2"/>
    <w:rsid w:val="00B56653"/>
    <w:rsid w:val="00BF21A1"/>
    <w:rsid w:val="00C20D51"/>
    <w:rsid w:val="00C9797F"/>
    <w:rsid w:val="00CA096E"/>
    <w:rsid w:val="00CD6B03"/>
    <w:rsid w:val="00DB73E4"/>
    <w:rsid w:val="00DC643B"/>
    <w:rsid w:val="00DD19A0"/>
    <w:rsid w:val="00E21BC1"/>
    <w:rsid w:val="00EA608F"/>
    <w:rsid w:val="00EF57D9"/>
    <w:rsid w:val="00EF7B79"/>
    <w:rsid w:val="00F719B8"/>
    <w:rsid w:val="00FE6CD0"/>
    <w:rsid w:val="217331DC"/>
    <w:rsid w:val="3198B725"/>
    <w:rsid w:val="6C9D3D94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5A05A"/>
  <w15:docId w15:val="{EB240FC6-A968-4B87-AE95-5CDA93BF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1219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121948"/>
  </w:style>
  <w:style w:type="paragraph" w:styleId="NormalWeb">
    <w:name w:val="Normal (Web)"/>
    <w:basedOn w:val="Normal"/>
    <w:unhideWhenUsed/>
    <w:rsid w:val="00EF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C1A33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E21BC1"/>
  </w:style>
  <w:style w:type="character" w:styleId="Hyperlink">
    <w:name w:val="Hyperlink"/>
    <w:basedOn w:val="DefaultParagraphFont"/>
    <w:uiPriority w:val="99"/>
    <w:semiHidden/>
    <w:unhideWhenUsed/>
    <w:rsid w:val="00E21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B3F1B-3ED5-42A2-931E-4A477F3D4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75CE9-5B22-4F24-A187-4237E19421BB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3.xml><?xml version="1.0" encoding="utf-8"?>
<ds:datastoreItem xmlns:ds="http://schemas.openxmlformats.org/officeDocument/2006/customXml" ds:itemID="{F2788EB5-42E5-4A95-A1AA-008CDDA21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Schlang</cp:lastModifiedBy>
  <cp:revision>2</cp:revision>
  <dcterms:created xsi:type="dcterms:W3CDTF">2024-05-24T18:43:00Z</dcterms:created>
  <dcterms:modified xsi:type="dcterms:W3CDTF">2024-05-24T18:43:00Z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