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9B633D" w14:paraId="380755AF" w14:textId="77777777">
      <w:pPr>
        <w:jc w:val="center"/>
        <w:rPr>
          <w:b/>
          <w:sz w:val="28"/>
          <w:szCs w:val="28"/>
        </w:rPr>
      </w:pPr>
      <w:bookmarkStart w:id="0" w:name="_Hlk162955719"/>
      <w:r w:rsidRPr="00456179">
        <w:rPr>
          <w:b/>
          <w:sz w:val="28"/>
          <w:szCs w:val="28"/>
        </w:rPr>
        <w:t>SUPPORTING STATEMENT</w:t>
      </w:r>
    </w:p>
    <w:p w:rsidR="00635119" w:rsidP="009B633D" w14:paraId="0C6EFDDC" w14:textId="77777777">
      <w:pPr>
        <w:jc w:val="center"/>
        <w:rPr>
          <w:b/>
          <w:sz w:val="28"/>
          <w:szCs w:val="28"/>
        </w:rPr>
      </w:pPr>
    </w:p>
    <w:p w:rsidR="009B633D" w:rsidP="009B633D" w14:paraId="190D87E3" w14:textId="77777777">
      <w:pPr>
        <w:jc w:val="center"/>
        <w:rPr>
          <w:sz w:val="28"/>
          <w:szCs w:val="28"/>
        </w:rPr>
      </w:pPr>
      <w:r>
        <w:rPr>
          <w:b/>
          <w:sz w:val="28"/>
          <w:szCs w:val="28"/>
        </w:rPr>
        <w:t>Part A</w:t>
      </w:r>
    </w:p>
    <w:p w:rsidR="009B633D" w:rsidP="009B633D" w14:paraId="3722D453" w14:textId="77777777">
      <w:pPr>
        <w:jc w:val="center"/>
        <w:rPr>
          <w:sz w:val="28"/>
          <w:szCs w:val="28"/>
        </w:rPr>
      </w:pPr>
    </w:p>
    <w:p w:rsidR="009B633D" w:rsidP="009B633D" w14:paraId="4E384B38" w14:textId="77777777">
      <w:pPr>
        <w:jc w:val="center"/>
        <w:rPr>
          <w:sz w:val="28"/>
          <w:szCs w:val="28"/>
        </w:rPr>
      </w:pPr>
    </w:p>
    <w:p w:rsidR="009B633D" w:rsidP="009B633D" w14:paraId="60AA7FBB" w14:textId="77777777">
      <w:pPr>
        <w:jc w:val="center"/>
        <w:rPr>
          <w:sz w:val="28"/>
          <w:szCs w:val="28"/>
        </w:rPr>
      </w:pPr>
    </w:p>
    <w:p w:rsidR="009B633D" w:rsidP="009B633D" w14:paraId="07F3015A" w14:textId="77777777">
      <w:pPr>
        <w:jc w:val="center"/>
        <w:rPr>
          <w:sz w:val="28"/>
          <w:szCs w:val="28"/>
        </w:rPr>
      </w:pPr>
    </w:p>
    <w:p w:rsidR="009B633D" w:rsidP="009B633D" w14:paraId="10879A10" w14:textId="77777777">
      <w:pPr>
        <w:jc w:val="center"/>
        <w:rPr>
          <w:sz w:val="28"/>
          <w:szCs w:val="28"/>
        </w:rPr>
      </w:pPr>
    </w:p>
    <w:p w:rsidR="009B633D" w:rsidP="009B633D" w14:paraId="3D2E0C6A" w14:textId="77777777">
      <w:pPr>
        <w:jc w:val="center"/>
        <w:rPr>
          <w:sz w:val="28"/>
          <w:szCs w:val="28"/>
        </w:rPr>
      </w:pPr>
    </w:p>
    <w:p w:rsidR="009B633D" w:rsidRPr="00C4006D" w:rsidP="009B633D" w14:paraId="2A9F059E" w14:textId="77777777">
      <w:pPr>
        <w:jc w:val="center"/>
        <w:rPr>
          <w:i/>
          <w:sz w:val="28"/>
          <w:szCs w:val="28"/>
        </w:rPr>
      </w:pPr>
      <w:bookmarkStart w:id="1" w:name="_Hlk145070896"/>
      <w:r>
        <w:rPr>
          <w:i/>
          <w:sz w:val="28"/>
          <w:szCs w:val="28"/>
        </w:rPr>
        <w:t>Medical Expenditures Panel Survey – Household and Medical Provider Components</w:t>
      </w:r>
    </w:p>
    <w:bookmarkEnd w:id="1"/>
    <w:p w:rsidR="009B633D" w:rsidRPr="00082047" w:rsidP="009B633D" w14:paraId="31A74056" w14:textId="77777777">
      <w:pPr>
        <w:jc w:val="center"/>
        <w:rPr>
          <w:i/>
          <w:sz w:val="28"/>
          <w:szCs w:val="28"/>
        </w:rPr>
      </w:pPr>
    </w:p>
    <w:p w:rsidR="009B633D" w:rsidP="009B633D" w14:paraId="785BF715" w14:textId="62E6C47A">
      <w:pPr>
        <w:jc w:val="center"/>
        <w:rPr>
          <w:sz w:val="28"/>
          <w:szCs w:val="28"/>
        </w:rPr>
      </w:pPr>
      <w:r w:rsidRPr="00374492">
        <w:rPr>
          <w:sz w:val="28"/>
          <w:szCs w:val="28"/>
        </w:rPr>
        <w:t xml:space="preserve">Revision of Previously Approved </w:t>
      </w:r>
      <w:r>
        <w:rPr>
          <w:sz w:val="28"/>
          <w:szCs w:val="28"/>
        </w:rPr>
        <w:t>Information Collection</w:t>
      </w:r>
      <w:r w:rsidR="0019117D">
        <w:rPr>
          <w:sz w:val="28"/>
          <w:szCs w:val="28"/>
        </w:rPr>
        <w:t xml:space="preserve"> – 0935-0118</w:t>
      </w:r>
    </w:p>
    <w:p w:rsidR="009B633D" w:rsidP="009B633D" w14:paraId="7B22EAA5" w14:textId="77777777">
      <w:pPr>
        <w:jc w:val="center"/>
        <w:rPr>
          <w:sz w:val="28"/>
          <w:szCs w:val="28"/>
        </w:rPr>
      </w:pPr>
    </w:p>
    <w:p w:rsidR="009B633D" w:rsidP="009B633D" w14:paraId="0590AC43" w14:textId="77777777">
      <w:pPr>
        <w:jc w:val="center"/>
        <w:rPr>
          <w:sz w:val="28"/>
          <w:szCs w:val="28"/>
        </w:rPr>
      </w:pPr>
    </w:p>
    <w:p w:rsidR="009B633D" w:rsidRPr="00C4006D" w:rsidP="009B633D" w14:paraId="1A2D449C" w14:textId="3B42F07B">
      <w:pPr>
        <w:jc w:val="center"/>
        <w:rPr>
          <w:i/>
          <w:sz w:val="28"/>
          <w:szCs w:val="28"/>
        </w:rPr>
      </w:pPr>
      <w:r>
        <w:rPr>
          <w:b/>
          <w:sz w:val="28"/>
          <w:szCs w:val="28"/>
        </w:rPr>
        <w:t>Version</w:t>
      </w:r>
      <w:r w:rsidR="00FF42BD">
        <w:rPr>
          <w:b/>
          <w:sz w:val="28"/>
          <w:szCs w:val="28"/>
        </w:rPr>
        <w:t>:</w:t>
      </w:r>
      <w:r>
        <w:rPr>
          <w:b/>
          <w:sz w:val="28"/>
          <w:szCs w:val="28"/>
        </w:rPr>
        <w:t xml:space="preserve"> </w:t>
      </w:r>
      <w:r w:rsidR="00A225B7">
        <w:rPr>
          <w:i/>
          <w:sz w:val="28"/>
          <w:szCs w:val="28"/>
        </w:rPr>
        <w:t>6</w:t>
      </w:r>
      <w:r w:rsidR="006472FB">
        <w:rPr>
          <w:i/>
          <w:sz w:val="28"/>
          <w:szCs w:val="28"/>
        </w:rPr>
        <w:t>/</w:t>
      </w:r>
      <w:r w:rsidR="002F4C45">
        <w:rPr>
          <w:i/>
          <w:sz w:val="28"/>
          <w:szCs w:val="28"/>
        </w:rPr>
        <w:t>2</w:t>
      </w:r>
      <w:r w:rsidR="005B0EE6">
        <w:rPr>
          <w:i/>
          <w:sz w:val="28"/>
          <w:szCs w:val="28"/>
        </w:rPr>
        <w:t>7</w:t>
      </w:r>
      <w:r w:rsidR="006472FB">
        <w:rPr>
          <w:i/>
          <w:sz w:val="28"/>
          <w:szCs w:val="28"/>
        </w:rPr>
        <w:t>/202</w:t>
      </w:r>
      <w:r w:rsidR="0019117D">
        <w:rPr>
          <w:i/>
          <w:sz w:val="28"/>
          <w:szCs w:val="28"/>
        </w:rPr>
        <w:t>4</w:t>
      </w:r>
    </w:p>
    <w:p w:rsidR="009B633D" w:rsidP="009B633D" w14:paraId="55ADC5F9" w14:textId="77777777">
      <w:pPr>
        <w:jc w:val="center"/>
        <w:rPr>
          <w:i/>
          <w:sz w:val="28"/>
          <w:szCs w:val="28"/>
        </w:rPr>
      </w:pPr>
    </w:p>
    <w:p w:rsidR="009B633D" w:rsidP="009B633D" w14:paraId="0690CF3B" w14:textId="77777777">
      <w:pPr>
        <w:jc w:val="center"/>
        <w:rPr>
          <w:sz w:val="28"/>
          <w:szCs w:val="28"/>
        </w:rPr>
      </w:pPr>
    </w:p>
    <w:p w:rsidR="009B633D" w:rsidP="009B633D" w14:paraId="7C6AC1E1" w14:textId="77777777">
      <w:pPr>
        <w:jc w:val="center"/>
        <w:rPr>
          <w:sz w:val="28"/>
          <w:szCs w:val="28"/>
        </w:rPr>
      </w:pPr>
    </w:p>
    <w:p w:rsidR="009B633D" w:rsidP="009B633D" w14:paraId="269CBE77" w14:textId="77777777">
      <w:pPr>
        <w:jc w:val="center"/>
        <w:rPr>
          <w:sz w:val="28"/>
          <w:szCs w:val="28"/>
        </w:rPr>
      </w:pPr>
    </w:p>
    <w:p w:rsidR="009B633D" w:rsidP="009B633D" w14:paraId="66439A18" w14:textId="77777777">
      <w:pPr>
        <w:jc w:val="center"/>
        <w:rPr>
          <w:sz w:val="28"/>
          <w:szCs w:val="28"/>
        </w:rPr>
      </w:pPr>
    </w:p>
    <w:p w:rsidR="009B633D" w:rsidP="009B633D" w14:paraId="4A7B73C5" w14:textId="77777777">
      <w:pPr>
        <w:jc w:val="center"/>
        <w:rPr>
          <w:sz w:val="28"/>
          <w:szCs w:val="28"/>
        </w:rPr>
      </w:pPr>
    </w:p>
    <w:p w:rsidR="009B633D" w:rsidP="009B633D" w14:paraId="7D15195D" w14:textId="77777777">
      <w:pPr>
        <w:jc w:val="center"/>
        <w:rPr>
          <w:sz w:val="28"/>
          <w:szCs w:val="28"/>
        </w:rPr>
      </w:pPr>
      <w:r w:rsidRPr="00677A0B">
        <w:rPr>
          <w:sz w:val="28"/>
          <w:szCs w:val="28"/>
        </w:rPr>
        <w:t>Agency of Healthcare Research and Quality (AHRQ)</w:t>
      </w:r>
    </w:p>
    <w:p w:rsidR="009B633D" w14:paraId="2D7B0BF5" w14:textId="77777777">
      <w:pPr>
        <w:rPr>
          <w:sz w:val="28"/>
          <w:szCs w:val="28"/>
        </w:rPr>
      </w:pPr>
    </w:p>
    <w:p w:rsidR="009B633D" w14:paraId="6486838E" w14:textId="77777777">
      <w:pPr>
        <w:rPr>
          <w:sz w:val="28"/>
          <w:szCs w:val="28"/>
        </w:rPr>
      </w:pPr>
    </w:p>
    <w:p w:rsidR="006472FB" w:rsidP="008C580E" w14:paraId="1771B85A" w14:textId="77777777">
      <w:pPr>
        <w:rPr>
          <w:b/>
        </w:rPr>
      </w:pPr>
    </w:p>
    <w:p w:rsidR="006472FB" w:rsidP="008C580E" w14:paraId="00BA1F67" w14:textId="77777777">
      <w:pPr>
        <w:rPr>
          <w:b/>
        </w:rPr>
      </w:pPr>
    </w:p>
    <w:p w:rsidR="006472FB" w:rsidP="008C580E" w14:paraId="7F536990" w14:textId="77777777">
      <w:pPr>
        <w:rPr>
          <w:b/>
        </w:rPr>
      </w:pPr>
    </w:p>
    <w:p w:rsidR="006472FB" w:rsidP="008C580E" w14:paraId="3E05AD87" w14:textId="77777777">
      <w:pPr>
        <w:rPr>
          <w:b/>
        </w:rPr>
      </w:pPr>
    </w:p>
    <w:bookmarkEnd w:id="0"/>
    <w:p w:rsidR="006472FB" w:rsidP="008C580E" w14:paraId="7ADEEEED" w14:textId="77777777">
      <w:pPr>
        <w:rPr>
          <w:b/>
        </w:rPr>
      </w:pPr>
    </w:p>
    <w:p w:rsidR="006472FB" w:rsidP="008C580E" w14:paraId="558106F6" w14:textId="77777777">
      <w:pPr>
        <w:rPr>
          <w:b/>
        </w:rPr>
      </w:pPr>
    </w:p>
    <w:p w:rsidR="006472FB" w:rsidP="008C580E" w14:paraId="51F4F7CA" w14:textId="77777777">
      <w:pPr>
        <w:rPr>
          <w:b/>
        </w:rPr>
      </w:pPr>
    </w:p>
    <w:p w:rsidR="006472FB" w:rsidP="008C580E" w14:paraId="3DD2D3DA" w14:textId="77777777">
      <w:pPr>
        <w:rPr>
          <w:b/>
        </w:rPr>
      </w:pPr>
    </w:p>
    <w:p w:rsidR="006472FB" w:rsidP="008C580E" w14:paraId="5C16395F" w14:textId="77777777">
      <w:pPr>
        <w:rPr>
          <w:b/>
        </w:rPr>
      </w:pPr>
    </w:p>
    <w:p w:rsidR="006472FB" w:rsidP="008C580E" w14:paraId="5BA3CFEC" w14:textId="77777777">
      <w:pPr>
        <w:rPr>
          <w:b/>
        </w:rPr>
      </w:pPr>
    </w:p>
    <w:p w:rsidR="006472FB" w:rsidP="008C580E" w14:paraId="366C657B" w14:textId="77777777">
      <w:pPr>
        <w:rPr>
          <w:b/>
        </w:rPr>
      </w:pPr>
    </w:p>
    <w:p w:rsidR="006472FB" w:rsidP="008C580E" w14:paraId="777DE3DE" w14:textId="77777777">
      <w:pPr>
        <w:rPr>
          <w:b/>
        </w:rPr>
      </w:pPr>
    </w:p>
    <w:p w:rsidR="006472FB" w:rsidP="008C580E" w14:paraId="339BA0BA" w14:textId="77777777">
      <w:pPr>
        <w:rPr>
          <w:b/>
        </w:rPr>
      </w:pPr>
    </w:p>
    <w:p w:rsidR="006472FB" w:rsidP="008C580E" w14:paraId="7471DAC1" w14:textId="77777777">
      <w:pPr>
        <w:rPr>
          <w:b/>
        </w:rPr>
      </w:pPr>
    </w:p>
    <w:p w:rsidR="006472FB" w:rsidP="008C580E" w14:paraId="4EE2207D" w14:textId="77777777">
      <w:pPr>
        <w:rPr>
          <w:b/>
        </w:rPr>
      </w:pPr>
    </w:p>
    <w:p w:rsidR="006472FB" w:rsidP="008C580E" w14:paraId="54053759" w14:textId="77777777">
      <w:pPr>
        <w:rPr>
          <w:b/>
        </w:rPr>
      </w:pPr>
    </w:p>
    <w:p w:rsidR="006472FB" w:rsidP="008C580E" w14:paraId="6729264C" w14:textId="77777777">
      <w:pPr>
        <w:rPr>
          <w:b/>
        </w:rPr>
      </w:pPr>
    </w:p>
    <w:p w:rsidR="006472FB" w:rsidP="008C580E" w14:paraId="30AF3110" w14:textId="77777777">
      <w:pPr>
        <w:rPr>
          <w:b/>
        </w:rPr>
      </w:pPr>
    </w:p>
    <w:p w:rsidR="009B633D" w:rsidP="008C580E" w14:paraId="4BFA0B87" w14:textId="77777777">
      <w:pPr>
        <w:rPr>
          <w:b/>
        </w:rPr>
      </w:pPr>
      <w:bookmarkStart w:id="2" w:name="_Hlk162955854"/>
      <w:r w:rsidRPr="001D0454">
        <w:rPr>
          <w:b/>
        </w:rPr>
        <w:t>Table of contents</w:t>
      </w:r>
    </w:p>
    <w:p w:rsidR="00EB58F3" w:rsidP="009B633D" w14:paraId="52991647" w14:textId="77777777">
      <w:pPr>
        <w:jc w:val="center"/>
        <w:rPr>
          <w:b/>
        </w:rPr>
      </w:pPr>
    </w:p>
    <w:p w:rsidR="00EB58F3" w:rsidP="007B3A8E" w14:paraId="55F892A2" w14:textId="77777777">
      <w:pPr>
        <w:tabs>
          <w:tab w:val="left" w:leader="dot" w:pos="8280"/>
        </w:tabs>
      </w:pPr>
      <w:r w:rsidRPr="008C580E">
        <w:t>A. Justification</w:t>
      </w:r>
      <w:r w:rsidR="007B3A8E">
        <w:tab/>
        <w:t>3</w:t>
      </w:r>
    </w:p>
    <w:p w:rsidR="007B3A8E" w:rsidP="007B3A8E" w14:paraId="3C1E3FD2"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6F833580" w14:textId="64776B9C">
      <w:pPr>
        <w:tabs>
          <w:tab w:val="left" w:pos="360"/>
          <w:tab w:val="left" w:leader="dot" w:pos="8280"/>
        </w:tabs>
      </w:pPr>
      <w:r>
        <w:tab/>
        <w:t xml:space="preserve">2. </w:t>
      </w:r>
      <w:r w:rsidR="006014DB">
        <w:t>Purpose and use of i</w:t>
      </w:r>
      <w:r w:rsidRPr="007B3A8E">
        <w:t>nformation</w:t>
      </w:r>
      <w:r>
        <w:tab/>
      </w:r>
      <w:r w:rsidR="003C7EF9">
        <w:t>9</w:t>
      </w:r>
    </w:p>
    <w:p w:rsidR="007B3A8E" w:rsidP="007B3A8E" w14:paraId="17A86404" w14:textId="1607539A">
      <w:pPr>
        <w:tabs>
          <w:tab w:val="left" w:pos="360"/>
          <w:tab w:val="left" w:leader="dot" w:pos="8280"/>
        </w:tabs>
      </w:pPr>
      <w:r>
        <w:tab/>
        <w:t xml:space="preserve">3. </w:t>
      </w:r>
      <w:r w:rsidRPr="007B3A8E">
        <w:t>Use of Improved Information Technology</w:t>
      </w:r>
      <w:r>
        <w:tab/>
      </w:r>
      <w:r w:rsidR="003C7EF9">
        <w:t>1</w:t>
      </w:r>
      <w:r w:rsidR="005E3497">
        <w:t>1</w:t>
      </w:r>
    </w:p>
    <w:p w:rsidR="007B3A8E" w:rsidP="007B3A8E" w14:paraId="3211B250" w14:textId="074B19A9">
      <w:pPr>
        <w:tabs>
          <w:tab w:val="left" w:pos="360"/>
          <w:tab w:val="left" w:leader="dot" w:pos="8280"/>
        </w:tabs>
      </w:pPr>
      <w:r>
        <w:tab/>
        <w:t xml:space="preserve">4. </w:t>
      </w:r>
      <w:r w:rsidRPr="007B3A8E">
        <w:t>Efforts to Identify Duplication</w:t>
      </w:r>
      <w:r>
        <w:tab/>
      </w:r>
      <w:r w:rsidR="003C7EF9">
        <w:t>1</w:t>
      </w:r>
      <w:r w:rsidR="00E821BC">
        <w:t>1</w:t>
      </w:r>
    </w:p>
    <w:p w:rsidR="007B3A8E" w:rsidP="007B3A8E" w14:paraId="6BF27E20" w14:textId="094AF223">
      <w:pPr>
        <w:tabs>
          <w:tab w:val="left" w:pos="360"/>
          <w:tab w:val="left" w:leader="dot" w:pos="8280"/>
        </w:tabs>
      </w:pPr>
      <w:r>
        <w:tab/>
        <w:t xml:space="preserve">5. </w:t>
      </w:r>
      <w:r w:rsidRPr="00556066" w:rsidR="00556066">
        <w:t>Involvement of Small Entities</w:t>
      </w:r>
      <w:r w:rsidR="00556066">
        <w:tab/>
      </w:r>
      <w:r w:rsidR="003C7EF9">
        <w:t>1</w:t>
      </w:r>
      <w:r w:rsidR="002F4C45">
        <w:t>2</w:t>
      </w:r>
    </w:p>
    <w:p w:rsidR="00556066" w:rsidP="007B3A8E" w14:paraId="50DD9460" w14:textId="6AC6D336">
      <w:pPr>
        <w:tabs>
          <w:tab w:val="left" w:pos="360"/>
          <w:tab w:val="left" w:leader="dot" w:pos="8280"/>
        </w:tabs>
      </w:pPr>
      <w:r>
        <w:tab/>
        <w:t xml:space="preserve">6. </w:t>
      </w:r>
      <w:r w:rsidRPr="00556066">
        <w:t>Consequences if Information Collected Less Frequently</w:t>
      </w:r>
      <w:r>
        <w:tab/>
      </w:r>
      <w:r w:rsidR="003C7EF9">
        <w:t>1</w:t>
      </w:r>
      <w:r w:rsidR="005E3497">
        <w:t>2</w:t>
      </w:r>
    </w:p>
    <w:p w:rsidR="00556066" w:rsidP="007B3A8E" w14:paraId="5F91FF5D" w14:textId="5FF4891D">
      <w:pPr>
        <w:tabs>
          <w:tab w:val="left" w:pos="360"/>
          <w:tab w:val="left" w:leader="dot" w:pos="8280"/>
        </w:tabs>
      </w:pPr>
      <w:r>
        <w:tab/>
        <w:t xml:space="preserve">7. </w:t>
      </w:r>
      <w:r w:rsidRPr="00556066">
        <w:t>Special Circumstances</w:t>
      </w:r>
      <w:r>
        <w:tab/>
      </w:r>
      <w:r w:rsidR="003C7EF9">
        <w:t>12</w:t>
      </w:r>
    </w:p>
    <w:p w:rsidR="00556066" w:rsidP="007B3A8E" w14:paraId="7EFE807A" w14:textId="19297EAA">
      <w:pPr>
        <w:tabs>
          <w:tab w:val="left" w:pos="360"/>
          <w:tab w:val="left" w:leader="dot" w:pos="8280"/>
        </w:tabs>
      </w:pPr>
      <w:r>
        <w:tab/>
        <w:t xml:space="preserve">8. </w:t>
      </w:r>
      <w:r w:rsidRPr="00556066">
        <w:t>Consultation outside the Agency</w:t>
      </w:r>
      <w:r>
        <w:tab/>
      </w:r>
      <w:r w:rsidR="003C7EF9">
        <w:t>12</w:t>
      </w:r>
    </w:p>
    <w:p w:rsidR="00556066" w:rsidP="007B3A8E" w14:paraId="0493C588" w14:textId="0A6F7D20">
      <w:pPr>
        <w:tabs>
          <w:tab w:val="left" w:pos="360"/>
          <w:tab w:val="left" w:leader="dot" w:pos="8280"/>
        </w:tabs>
      </w:pPr>
      <w:r>
        <w:tab/>
        <w:t xml:space="preserve">9. </w:t>
      </w:r>
      <w:r w:rsidRPr="00556066">
        <w:t>Payments/Gifts to Respondents</w:t>
      </w:r>
      <w:r>
        <w:tab/>
      </w:r>
      <w:r w:rsidR="003C7EF9">
        <w:t>13</w:t>
      </w:r>
    </w:p>
    <w:p w:rsidR="00556066" w:rsidP="007B3A8E" w14:paraId="340D939A" w14:textId="4CB64384">
      <w:pPr>
        <w:tabs>
          <w:tab w:val="left" w:pos="360"/>
          <w:tab w:val="left" w:leader="dot" w:pos="8280"/>
        </w:tabs>
      </w:pPr>
      <w:r>
        <w:tab/>
        <w:t xml:space="preserve">10. </w:t>
      </w:r>
      <w:r w:rsidRPr="00556066">
        <w:t>Assurance of Confidentiality</w:t>
      </w:r>
      <w:r>
        <w:tab/>
      </w:r>
      <w:r w:rsidR="003C7EF9">
        <w:t>13</w:t>
      </w:r>
    </w:p>
    <w:p w:rsidR="00556066" w:rsidP="007B3A8E" w14:paraId="07E44055" w14:textId="1C56BBC0">
      <w:pPr>
        <w:tabs>
          <w:tab w:val="left" w:pos="360"/>
          <w:tab w:val="left" w:leader="dot" w:pos="8280"/>
        </w:tabs>
      </w:pPr>
      <w:r>
        <w:tab/>
        <w:t xml:space="preserve">11. </w:t>
      </w:r>
      <w:r w:rsidRPr="00556066">
        <w:t>Questions of a Sensitive Nature</w:t>
      </w:r>
      <w:r>
        <w:tab/>
      </w:r>
      <w:r w:rsidR="003C7EF9">
        <w:t>1</w:t>
      </w:r>
      <w:r w:rsidR="005E3497">
        <w:t>4</w:t>
      </w:r>
    </w:p>
    <w:p w:rsidR="00556066" w:rsidP="007B3A8E" w14:paraId="5A84B7FF" w14:textId="71048B0E">
      <w:pPr>
        <w:tabs>
          <w:tab w:val="left" w:pos="360"/>
          <w:tab w:val="left" w:leader="dot" w:pos="8280"/>
        </w:tabs>
      </w:pPr>
      <w:r>
        <w:tab/>
        <w:t xml:space="preserve">12. </w:t>
      </w:r>
      <w:r w:rsidRPr="00556066">
        <w:t>Estimates of Annualized Burden Hours and Costs</w:t>
      </w:r>
      <w:r>
        <w:tab/>
      </w:r>
      <w:r w:rsidR="003C7EF9">
        <w:t>1</w:t>
      </w:r>
      <w:r w:rsidR="005E3497">
        <w:t>4</w:t>
      </w:r>
    </w:p>
    <w:p w:rsidR="00556066" w:rsidP="007B3A8E" w14:paraId="3093978A" w14:textId="1B37E1F6">
      <w:pPr>
        <w:tabs>
          <w:tab w:val="left" w:pos="360"/>
          <w:tab w:val="left" w:leader="dot" w:pos="8280"/>
        </w:tabs>
      </w:pPr>
      <w:r>
        <w:tab/>
        <w:t xml:space="preserve">13. </w:t>
      </w:r>
      <w:r w:rsidRPr="00556066">
        <w:t>Estimates of Annualized Respondent Capital and Maintenance Costs</w:t>
      </w:r>
      <w:r>
        <w:tab/>
      </w:r>
      <w:r w:rsidR="003C7EF9">
        <w:t>1</w:t>
      </w:r>
      <w:r w:rsidR="002F4C45">
        <w:t>7</w:t>
      </w:r>
    </w:p>
    <w:p w:rsidR="00556066" w:rsidP="007B3A8E" w14:paraId="2929642C" w14:textId="49E46B84">
      <w:pPr>
        <w:tabs>
          <w:tab w:val="left" w:pos="360"/>
          <w:tab w:val="left" w:leader="dot" w:pos="8280"/>
        </w:tabs>
      </w:pPr>
      <w:r>
        <w:tab/>
        <w:t xml:space="preserve">14. </w:t>
      </w:r>
      <w:r w:rsidRPr="00556066">
        <w:t>Estimates of Annualized Cost to the Government</w:t>
      </w:r>
      <w:r>
        <w:tab/>
      </w:r>
      <w:r w:rsidR="003C7EF9">
        <w:t>1</w:t>
      </w:r>
      <w:r w:rsidR="002F4C45">
        <w:t>7</w:t>
      </w:r>
    </w:p>
    <w:p w:rsidR="00556066" w:rsidP="007B3A8E" w14:paraId="33F4BA10" w14:textId="5AFD75ED">
      <w:pPr>
        <w:tabs>
          <w:tab w:val="left" w:pos="360"/>
          <w:tab w:val="left" w:leader="dot" w:pos="8280"/>
        </w:tabs>
      </w:pPr>
      <w:r>
        <w:tab/>
        <w:t xml:space="preserve">15. </w:t>
      </w:r>
      <w:r w:rsidRPr="00556066">
        <w:t>Changes in Hour Burden</w:t>
      </w:r>
      <w:r>
        <w:tab/>
      </w:r>
      <w:r w:rsidR="003C7EF9">
        <w:t>1</w:t>
      </w:r>
      <w:r w:rsidR="002F4C45">
        <w:t>9</w:t>
      </w:r>
    </w:p>
    <w:p w:rsidR="006014DB" w:rsidP="007B3A8E" w14:paraId="4E92B5A1" w14:textId="48A1F02C">
      <w:pPr>
        <w:tabs>
          <w:tab w:val="left" w:pos="360"/>
          <w:tab w:val="left" w:leader="dot" w:pos="8280"/>
        </w:tabs>
      </w:pPr>
      <w:r>
        <w:tab/>
        <w:t xml:space="preserve">16. </w:t>
      </w:r>
      <w:r w:rsidRPr="006014DB">
        <w:t>Time Schedule, Publication and Analysis Plans</w:t>
      </w:r>
      <w:r>
        <w:tab/>
      </w:r>
      <w:r w:rsidR="003C7EF9">
        <w:t>1</w:t>
      </w:r>
      <w:r w:rsidR="002F4C45">
        <w:t>9</w:t>
      </w:r>
    </w:p>
    <w:p w:rsidR="006014DB" w:rsidP="007B3A8E" w14:paraId="6D4EB5B5" w14:textId="0787911E">
      <w:pPr>
        <w:tabs>
          <w:tab w:val="left" w:pos="360"/>
          <w:tab w:val="left" w:leader="dot" w:pos="8280"/>
        </w:tabs>
      </w:pPr>
      <w:r>
        <w:tab/>
        <w:t xml:space="preserve">17. </w:t>
      </w:r>
      <w:r w:rsidRPr="006014DB">
        <w:t>Exemption for Display of Expiration Date</w:t>
      </w:r>
      <w:r>
        <w:tab/>
      </w:r>
      <w:r w:rsidR="003C7EF9">
        <w:t>1</w:t>
      </w:r>
      <w:r w:rsidR="002F4C45">
        <w:t>9</w:t>
      </w:r>
    </w:p>
    <w:p w:rsidR="00556066" w:rsidRPr="00556066" w:rsidP="007B3A8E" w14:paraId="7F9DC0E2" w14:textId="18BFE9EA">
      <w:pPr>
        <w:tabs>
          <w:tab w:val="left" w:pos="360"/>
          <w:tab w:val="left" w:leader="dot" w:pos="8280"/>
        </w:tabs>
      </w:pPr>
      <w:r>
        <w:tab/>
      </w:r>
      <w:r w:rsidR="00904CC3">
        <w:t>List of Attachments</w:t>
      </w:r>
      <w:r w:rsidR="00904CC3">
        <w:tab/>
      </w:r>
      <w:r w:rsidR="00937393">
        <w:t>19</w:t>
      </w:r>
    </w:p>
    <w:p w:rsidR="00556066" w:rsidRPr="00556066" w:rsidP="007B3A8E" w14:paraId="61FDA01A" w14:textId="77777777">
      <w:pPr>
        <w:tabs>
          <w:tab w:val="left" w:pos="360"/>
          <w:tab w:val="left" w:leader="dot" w:pos="8280"/>
        </w:tabs>
      </w:pPr>
      <w:r>
        <w:tab/>
      </w:r>
    </w:p>
    <w:p w:rsidR="009B633D" w:rsidP="009B633D" w14:paraId="59F3E4FA" w14:textId="77777777">
      <w:pPr>
        <w:jc w:val="center"/>
        <w:rPr>
          <w:b/>
        </w:rPr>
      </w:pPr>
    </w:p>
    <w:p w:rsidR="009B633D" w14:paraId="7CA43B5C"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438631E1" w14:textId="77777777">
      <w:pPr>
        <w:jc w:val="center"/>
        <w:rPr>
          <w:b/>
        </w:rPr>
      </w:pPr>
      <w:r>
        <w:rPr>
          <w:b/>
        </w:rPr>
        <w:fldChar w:fldCharType="end"/>
      </w:r>
    </w:p>
    <w:p w:rsidR="009B633D" w:rsidRPr="006014DB" w:rsidP="009B633D" w14:paraId="0E346F84" w14:textId="77777777">
      <w:pPr>
        <w:pStyle w:val="Heading1"/>
        <w:rPr>
          <w:sz w:val="24"/>
          <w:szCs w:val="24"/>
        </w:rPr>
      </w:pPr>
      <w:r>
        <w:br w:type="page"/>
      </w:r>
      <w:bookmarkStart w:id="3" w:name="_Toc151782175"/>
      <w:bookmarkStart w:id="4" w:name="_Toc158526215"/>
      <w:bookmarkStart w:id="5" w:name="_Hlk162955937"/>
      <w:bookmarkEnd w:id="2"/>
      <w:r w:rsidRPr="006014DB">
        <w:rPr>
          <w:sz w:val="24"/>
          <w:szCs w:val="24"/>
        </w:rPr>
        <w:t>A. Justification</w:t>
      </w:r>
      <w:bookmarkEnd w:id="3"/>
      <w:bookmarkEnd w:id="4"/>
    </w:p>
    <w:p w:rsidR="009B633D" w:rsidRPr="006014DB" w:rsidP="009B633D" w14:paraId="0CA6C837" w14:textId="77777777"/>
    <w:p w:rsidR="009B633D" w:rsidP="006014DB" w14:paraId="755B8E5D" w14:textId="77777777">
      <w:pPr>
        <w:pStyle w:val="Heading2"/>
        <w:spacing w:before="0" w:after="0"/>
        <w:rPr>
          <w:sz w:val="24"/>
          <w:szCs w:val="24"/>
        </w:rPr>
      </w:pPr>
      <w:bookmarkStart w:id="6" w:name="_Toc151782176"/>
      <w:bookmarkStart w:id="7" w:name="_Toc158526216"/>
      <w:bookmarkStart w:id="8" w:name="_Hlk135204869"/>
      <w:r w:rsidRPr="006014DB">
        <w:rPr>
          <w:sz w:val="24"/>
          <w:szCs w:val="24"/>
        </w:rPr>
        <w:t xml:space="preserve">1. </w:t>
      </w:r>
      <w:bookmarkEnd w:id="6"/>
      <w:bookmarkEnd w:id="7"/>
      <w:r w:rsidRPr="006014DB" w:rsidR="006014DB">
        <w:rPr>
          <w:sz w:val="24"/>
          <w:szCs w:val="24"/>
        </w:rPr>
        <w:t>Circumstances that make the collection of information necessary</w:t>
      </w:r>
    </w:p>
    <w:p w:rsidR="00CC4892" w:rsidP="006014DB" w14:paraId="071C958B" w14:textId="77777777"/>
    <w:p w:rsidR="005B0EE6" w:rsidRPr="005B0EE6" w:rsidP="006014DB" w14:paraId="08EB9F36" w14:textId="055F7861">
      <w:pPr>
        <w:rPr>
          <w:b/>
          <w:bCs/>
        </w:rPr>
      </w:pPr>
      <w:r w:rsidRPr="005B0EE6">
        <w:rPr>
          <w:b/>
          <w:bCs/>
        </w:rPr>
        <w:t>About AHRQ:</w:t>
      </w:r>
    </w:p>
    <w:p w:rsidR="006014DB" w:rsidP="006014DB" w14:paraId="4031049E" w14:textId="103992B1">
      <w:r>
        <w:t xml:space="preserve">The mission of the Agency for Healthcare Research and Quality (AHRQ) set out in its authorizing legislation, The Healthcare Research and Quality Act of 1999 (see </w:t>
      </w:r>
      <w:r w:rsidRPr="007258BA" w:rsidR="007258BA">
        <w:t>https://www.ahrq.gov/policymakers/hrqa99a.html</w:t>
      </w:r>
      <w:r w:rsidR="007258BA">
        <w:t>)</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bookmarkEnd w:id="8"/>
    </w:p>
    <w:p w:rsidR="00606400" w:rsidP="00606400" w14:paraId="338AFB63" w14:textId="77777777">
      <w:pPr>
        <w:tabs>
          <w:tab w:val="left" w:pos="360"/>
        </w:tabs>
      </w:pPr>
      <w:r>
        <w:tab/>
      </w:r>
    </w:p>
    <w:p w:rsidR="00606400" w:rsidP="00606400" w14:paraId="75DAE492"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697FAC8C" w14:textId="77777777">
      <w:pPr>
        <w:tabs>
          <w:tab w:val="left" w:pos="360"/>
        </w:tabs>
        <w:ind w:left="360"/>
      </w:pPr>
    </w:p>
    <w:p w:rsidR="00325B9C" w:rsidP="00606400" w14:paraId="620B6C45"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6B45851B" w14:textId="77777777">
      <w:pPr>
        <w:tabs>
          <w:tab w:val="left" w:pos="360"/>
        </w:tabs>
        <w:ind w:left="360"/>
      </w:pPr>
    </w:p>
    <w:p w:rsidR="00B645ED" w:rsidP="00606400" w14:paraId="6510482E" w14:textId="77777777">
      <w:pPr>
        <w:tabs>
          <w:tab w:val="left" w:pos="360"/>
        </w:tabs>
        <w:ind w:left="360"/>
      </w:pPr>
      <w:r>
        <w:t>3.</w:t>
      </w:r>
      <w:r>
        <w:tab/>
        <w:t>initiatives to advance private and public efforts to improve health care quality.</w:t>
      </w:r>
    </w:p>
    <w:p w:rsidR="00B645ED" w:rsidP="00B645ED" w14:paraId="3CADF1CA" w14:textId="77777777">
      <w:pPr>
        <w:tabs>
          <w:tab w:val="left" w:pos="360"/>
        </w:tabs>
      </w:pPr>
    </w:p>
    <w:p w:rsidR="008450C0" w:rsidP="00B645ED" w14:paraId="7821AD7E"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bookmarkEnd w:id="5"/>
    <w:p w:rsidR="008450C0" w:rsidP="00B645ED" w14:paraId="3F09B62E" w14:textId="77777777">
      <w:pPr>
        <w:tabs>
          <w:tab w:val="left" w:pos="360"/>
        </w:tabs>
      </w:pPr>
    </w:p>
    <w:p w:rsidR="007258BA" w:rsidRPr="00244D4B" w:rsidP="00B645ED" w14:paraId="054813DE" w14:textId="5CBF87D4">
      <w:pPr>
        <w:tabs>
          <w:tab w:val="left" w:pos="360"/>
        </w:tabs>
        <w:rPr>
          <w:b/>
          <w:bCs/>
        </w:rPr>
      </w:pPr>
      <w:r w:rsidRPr="00244D4B">
        <w:rPr>
          <w:b/>
          <w:bCs/>
        </w:rPr>
        <w:t xml:space="preserve">Summary of </w:t>
      </w:r>
      <w:r w:rsidR="00431813">
        <w:rPr>
          <w:b/>
          <w:bCs/>
        </w:rPr>
        <w:t>R</w:t>
      </w:r>
      <w:r w:rsidRPr="00244D4B">
        <w:rPr>
          <w:b/>
          <w:bCs/>
        </w:rPr>
        <w:t>evision:</w:t>
      </w:r>
    </w:p>
    <w:p w:rsidR="0019117D" w:rsidP="00B645ED" w14:paraId="03D71BBC" w14:textId="3D5F4419">
      <w:pPr>
        <w:tabs>
          <w:tab w:val="left" w:pos="360"/>
        </w:tabs>
      </w:pPr>
      <w:bookmarkStart w:id="9" w:name="_Hlk162955961"/>
      <w:r>
        <w:t xml:space="preserve">This </w:t>
      </w:r>
      <w:r w:rsidR="00C8697E">
        <w:t>Information Collection Request (ICR)</w:t>
      </w:r>
      <w:r>
        <w:t xml:space="preserve"> is for </w:t>
      </w:r>
      <w:r w:rsidR="001707C6">
        <w:t>a revision</w:t>
      </w:r>
      <w:r>
        <w:t xml:space="preserve"> to </w:t>
      </w:r>
      <w:r w:rsidR="00655655">
        <w:t>the Medical Expenditures Panel Survey – Household Component (MEPS-HC).  Th</w:t>
      </w:r>
      <w:r w:rsidR="0031471F">
        <w:t>ese</w:t>
      </w:r>
      <w:r w:rsidR="00655655">
        <w:t xml:space="preserve"> change</w:t>
      </w:r>
      <w:r w:rsidR="0031471F">
        <w:t>s</w:t>
      </w:r>
      <w:r w:rsidR="00655655">
        <w:t xml:space="preserve"> will be fielded in the </w:t>
      </w:r>
      <w:r>
        <w:t>Spring</w:t>
      </w:r>
      <w:r w:rsidR="0031471F">
        <w:t xml:space="preserve"> and Fall</w:t>
      </w:r>
      <w:r w:rsidR="00655655">
        <w:t xml:space="preserve"> of 202</w:t>
      </w:r>
      <w:r>
        <w:t xml:space="preserve">5 and includes the addition of the </w:t>
      </w:r>
      <w:r w:rsidRPr="0019117D">
        <w:t>Burdens and Economic Impacts of Medical Care Self-Administered Questionnaire (</w:t>
      </w:r>
      <w:r w:rsidR="0050353A">
        <w:t>E</w:t>
      </w:r>
      <w:r w:rsidRPr="0019117D">
        <w:t>SAQ)</w:t>
      </w:r>
      <w:r w:rsidR="0050353A">
        <w:t xml:space="preserve">, </w:t>
      </w:r>
      <w:r w:rsidR="0031471F">
        <w:t>minor changes to questions in</w:t>
      </w:r>
      <w:r w:rsidR="0050353A">
        <w:t xml:space="preserve"> both</w:t>
      </w:r>
      <w:r w:rsidR="0031471F">
        <w:t xml:space="preserve"> the Core MEPS Interview</w:t>
      </w:r>
      <w:r w:rsidR="0050353A">
        <w:t xml:space="preserve"> and the Adult </w:t>
      </w:r>
      <w:r w:rsidR="00A632E7">
        <w:t>SAQ and</w:t>
      </w:r>
      <w:r w:rsidR="0050353A">
        <w:t xml:space="preserve"> removing the Cancer SAQ</w:t>
      </w:r>
      <w:r w:rsidR="009B7821">
        <w:t xml:space="preserve"> (CSAQ)</w:t>
      </w:r>
      <w:r>
        <w:t>.  Th</w:t>
      </w:r>
      <w:r w:rsidR="0031471F">
        <w:t>ese changes are</w:t>
      </w:r>
      <w:r>
        <w:t xml:space="preserve"> discussed in detail below </w:t>
      </w:r>
      <w:r w:rsidR="0031471F">
        <w:t xml:space="preserve">starting </w:t>
      </w:r>
      <w:r>
        <w:t xml:space="preserve">on page </w:t>
      </w:r>
      <w:r w:rsidR="007E01BD">
        <w:t>8</w:t>
      </w:r>
      <w:r>
        <w:t xml:space="preserve">.  </w:t>
      </w:r>
    </w:p>
    <w:bookmarkEnd w:id="9"/>
    <w:p w:rsidR="0019117D" w:rsidP="00B645ED" w14:paraId="003BC743" w14:textId="77777777">
      <w:pPr>
        <w:tabs>
          <w:tab w:val="left" w:pos="360"/>
        </w:tabs>
      </w:pPr>
    </w:p>
    <w:p w:rsidR="00244D4B" w:rsidRPr="00244D4B" w:rsidP="00B645ED" w14:paraId="0E577933" w14:textId="30DD63C0">
      <w:pPr>
        <w:tabs>
          <w:tab w:val="left" w:pos="360"/>
        </w:tabs>
        <w:rPr>
          <w:b/>
          <w:bCs/>
        </w:rPr>
      </w:pPr>
      <w:r w:rsidRPr="00244D4B">
        <w:rPr>
          <w:b/>
          <w:bCs/>
        </w:rPr>
        <w:t>Background of the MEPS:</w:t>
      </w:r>
    </w:p>
    <w:p w:rsidR="00D671F1" w:rsidP="00BE372C" w14:paraId="591142E8" w14:textId="1058151B">
      <w:pPr>
        <w:tabs>
          <w:tab w:val="left" w:pos="360"/>
        </w:tabs>
      </w:pPr>
      <w:r>
        <w:t xml:space="preserve">The MEPS consists of </w:t>
      </w:r>
      <w:r w:rsidR="00093C26">
        <w:t xml:space="preserve">three </w:t>
      </w:r>
      <w:r>
        <w:t xml:space="preserve">main </w:t>
      </w:r>
      <w:r w:rsidR="00655655">
        <w:t>components:</w:t>
      </w:r>
      <w:r>
        <w:t xml:space="preserve"> the Household </w:t>
      </w:r>
      <w:r w:rsidR="00655655">
        <w:t>Component, the</w:t>
      </w:r>
      <w:r>
        <w:t xml:space="preserve"> Medical Provider Component</w:t>
      </w:r>
      <w:r w:rsidR="00E2689A">
        <w:t xml:space="preserve"> (MEPS-MPC)</w:t>
      </w:r>
      <w:r w:rsidR="00C8697E">
        <w:t>, and the Insurance Component (MEPS-IC)</w:t>
      </w:r>
      <w:r>
        <w:t xml:space="preserve">.  </w:t>
      </w:r>
      <w:r w:rsidR="00C8697E">
        <w:t>The MEPS</w:t>
      </w:r>
      <w:r w:rsidR="009741C4">
        <w:t>-</w:t>
      </w:r>
      <w:r w:rsidR="00C8697E">
        <w:t xml:space="preserve">HC and MPC are linked and submitted together in the same ICR.  The MEPS-IC is drawn from a different sample frame and submitted as a separate ICR.  </w:t>
      </w:r>
      <w:r w:rsidR="00026A49">
        <w:t>The OMB Control Number for the MEPS</w:t>
      </w:r>
      <w:r w:rsidR="00C8697E">
        <w:t>-HC and MPC</w:t>
      </w:r>
      <w:r w:rsidR="00026A49">
        <w:t xml:space="preserve"> is 0935-0118 and the current expiration date is November 30</w:t>
      </w:r>
      <w:r w:rsidRPr="00D671F1" w:rsidR="00026A49">
        <w:rPr>
          <w:vertAlign w:val="superscript"/>
        </w:rPr>
        <w:t>th</w:t>
      </w:r>
      <w:r w:rsidR="00026A49">
        <w:t xml:space="preserve">, </w:t>
      </w:r>
      <w:r w:rsidR="003E2031">
        <w:t xml:space="preserve">2025.  AHRQ is requesting a new expiration date, </w:t>
      </w:r>
      <w:r w:rsidR="00026A49">
        <w:t>three</w:t>
      </w:r>
      <w:r w:rsidR="003E2031">
        <w:t xml:space="preserve"> years from approval.  </w:t>
      </w:r>
    </w:p>
    <w:p w:rsidR="00BE372C" w:rsidP="00BE372C" w14:paraId="1FBE527B" w14:textId="636F05C8">
      <w:pPr>
        <w:tabs>
          <w:tab w:val="left" w:pos="360"/>
        </w:tabs>
      </w:pPr>
    </w:p>
    <w:p w:rsidR="00BE372C" w:rsidP="00BE372C" w14:paraId="353DC657" w14:textId="28D4C1B2">
      <w:pPr>
        <w:tabs>
          <w:tab w:val="left" w:pos="360"/>
        </w:tabs>
      </w:pPr>
      <w:bookmarkStart w:id="10" w:name="_Hlk144106310"/>
      <w:bookmarkStart w:id="11" w:name="_Hlk145074320"/>
      <w:r w:rsidRPr="00C30608">
        <w:t xml:space="preserve">The MEPS was initiated in 1996. Each year a new panel of sample households is selected. </w:t>
      </w:r>
      <w:r w:rsidR="0079366C">
        <w:t>Recent</w:t>
      </w:r>
      <w:r w:rsidRPr="00C30608">
        <w:t xml:space="preserve"> annual MEPS</w:t>
      </w:r>
      <w:r>
        <w:t>-</w:t>
      </w:r>
      <w:r w:rsidRPr="00C30608">
        <w:t>HC sample size</w:t>
      </w:r>
      <w:r w:rsidR="0079366C">
        <w:t>s</w:t>
      </w:r>
      <w:r w:rsidRPr="00C30608">
        <w:t xml:space="preserve"> </w:t>
      </w:r>
      <w:r w:rsidR="0079366C">
        <w:t>average</w:t>
      </w:r>
      <w:r w:rsidRPr="00C30608">
        <w:t xml:space="preserve"> about </w:t>
      </w:r>
      <w:r w:rsidR="0079366C">
        <w:t>13,500</w:t>
      </w:r>
      <w:r w:rsidR="00CE4F63">
        <w:t xml:space="preserve"> </w:t>
      </w:r>
      <w:r w:rsidRPr="00C30608">
        <w:t xml:space="preserve">households. </w:t>
      </w:r>
      <w:bookmarkEnd w:id="10"/>
      <w:r w:rsidRPr="00C30608">
        <w:t>Data can be analyzed at either the person</w:t>
      </w:r>
      <w:r>
        <w:t xml:space="preserve">, </w:t>
      </w:r>
      <w:r w:rsidR="0047571B">
        <w:t>family,</w:t>
      </w:r>
      <w:r w:rsidRPr="00C30608">
        <w:t xml:space="preserve"> or event level. The panel design of the survey, which includes 5 Rounds of interviews covering 2 full calendar years</w:t>
      </w:r>
      <w:r>
        <w:t xml:space="preserve">, </w:t>
      </w:r>
      <w:r w:rsidRPr="00C30608">
        <w:t xml:space="preserve">provides data for examining person level changes in selected </w:t>
      </w:r>
      <w:r w:rsidRPr="00757329">
        <w:t>variables such as expenditures, health insurance coverage, and health status (see</w:t>
      </w:r>
      <w:r w:rsidR="00244D4B">
        <w:t xml:space="preserve"> </w:t>
      </w:r>
      <w:r w:rsidRPr="00244D4B" w:rsidR="00244D4B">
        <w:t>https://www.ahrq.gov/policymakers/hrqa99a.html</w:t>
      </w:r>
      <w:r w:rsidRPr="00757329">
        <w:t xml:space="preserve"> for</w:t>
      </w:r>
      <w:r>
        <w:t xml:space="preserve"> information on how the Covid-19 pandemic impacted this design)</w:t>
      </w:r>
      <w:r w:rsidRPr="00C30608">
        <w:t xml:space="preserve">. </w:t>
      </w:r>
      <w:bookmarkStart w:id="12" w:name="_Hlk144188601"/>
      <w:r w:rsidRPr="00C30608">
        <w:t xml:space="preserve">Using </w:t>
      </w:r>
      <w:r w:rsidR="00365299">
        <w:t xml:space="preserve">a combination of </w:t>
      </w:r>
      <w:r w:rsidRPr="00C30608">
        <w:t>computer assisted personal interviewing (CAPI)</w:t>
      </w:r>
      <w:r w:rsidR="006312CE">
        <w:t xml:space="preserve">, </w:t>
      </w:r>
      <w:r w:rsidR="00796B2E">
        <w:t>computer assisted video interviewing (CAVI)</w:t>
      </w:r>
      <w:r w:rsidR="006312CE">
        <w:t>,</w:t>
      </w:r>
      <w:r w:rsidRPr="00C30608">
        <w:t xml:space="preserve"> </w:t>
      </w:r>
      <w:r w:rsidR="00B75BB9">
        <w:t xml:space="preserve">and self-administered paper </w:t>
      </w:r>
      <w:r w:rsidR="003D20A1">
        <w:t xml:space="preserve">and web </w:t>
      </w:r>
      <w:r w:rsidR="00B75BB9">
        <w:t>questionnaires</w:t>
      </w:r>
      <w:r w:rsidRPr="00C30608">
        <w:t>, information about each household member is collected, and the survey builds on this information from interview to interview.</w:t>
      </w:r>
      <w:r w:rsidR="00796B2E">
        <w:t xml:space="preserve">  CAVI is a new data collection </w:t>
      </w:r>
      <w:r w:rsidR="00104C8D">
        <w:t xml:space="preserve">technology and </w:t>
      </w:r>
      <w:r w:rsidRPr="00104C8D" w:rsidR="00104C8D">
        <w:t>offers the best of both telephone and in-person interviewing, while offering opportunities for cost savings and more accurate reporting.</w:t>
      </w:r>
      <w:bookmarkEnd w:id="11"/>
      <w:r w:rsidR="00E54DCC">
        <w:t xml:space="preserve">  </w:t>
      </w:r>
    </w:p>
    <w:bookmarkEnd w:id="12"/>
    <w:p w:rsidR="00E773BD" w:rsidP="00B645ED" w14:paraId="3D89BD27" w14:textId="77777777">
      <w:pPr>
        <w:tabs>
          <w:tab w:val="left" w:pos="360"/>
        </w:tabs>
      </w:pPr>
    </w:p>
    <w:p w:rsidR="00527BBD" w:rsidRPr="00E2689A" w:rsidP="006014DB" w14:paraId="1AB18F8D" w14:textId="1DFDF28A">
      <w:pPr>
        <w:rPr>
          <w:b/>
          <w:bCs/>
          <w:i/>
          <w:iCs/>
        </w:rPr>
      </w:pPr>
      <w:r w:rsidRPr="00E2689A">
        <w:rPr>
          <w:b/>
          <w:bCs/>
          <w:i/>
          <w:iCs/>
        </w:rPr>
        <w:t>Th</w:t>
      </w:r>
      <w:r w:rsidR="00A72F96">
        <w:rPr>
          <w:b/>
          <w:bCs/>
          <w:i/>
          <w:iCs/>
        </w:rPr>
        <w:t>e MEPS-HC and MPC</w:t>
      </w:r>
      <w:r w:rsidRPr="00E2689A">
        <w:rPr>
          <w:b/>
          <w:bCs/>
          <w:i/>
          <w:iCs/>
        </w:rPr>
        <w:t xml:space="preserve"> ha</w:t>
      </w:r>
      <w:r w:rsidR="00A72F96">
        <w:rPr>
          <w:b/>
          <w:bCs/>
          <w:i/>
          <w:iCs/>
        </w:rPr>
        <w:t>ve</w:t>
      </w:r>
      <w:r w:rsidRPr="00E2689A">
        <w:rPr>
          <w:b/>
          <w:bCs/>
          <w:i/>
          <w:iCs/>
        </w:rPr>
        <w:t xml:space="preserve"> the following goals:</w:t>
      </w:r>
    </w:p>
    <w:p w:rsidR="00E2689A" w:rsidP="006014DB" w14:paraId="28DCC321" w14:textId="77777777"/>
    <w:p w:rsidR="00527BBD" w:rsidP="00527BBD" w14:paraId="38369797" w14:textId="77777777">
      <w:pPr>
        <w:tabs>
          <w:tab w:val="left" w:pos="360"/>
        </w:tabs>
        <w:ind w:left="360" w:hanging="360"/>
      </w:pPr>
      <w:bookmarkStart w:id="13" w:name="_Hlk145072438"/>
      <w:r>
        <w:t>1)</w:t>
      </w:r>
      <w:r>
        <w:tab/>
      </w:r>
      <w:r w:rsidR="00002B96">
        <w:t xml:space="preserve">To produce </w:t>
      </w:r>
      <w:bookmarkStart w:id="14" w:name="_Hlk135283337"/>
      <w:r w:rsidR="00002B96">
        <w:t xml:space="preserve">nationally representative </w:t>
      </w:r>
      <w:bookmarkEnd w:id="14"/>
      <w:r w:rsidR="00002B96">
        <w:t>estimates of health care use, expenditures, sources of payment, and health insurance coverage for the U.S. civilian noninstitutionalized population.</w:t>
      </w:r>
    </w:p>
    <w:p w:rsidR="00527BBD" w:rsidRPr="00527BBD" w:rsidP="00C30608" w14:paraId="21624417" w14:textId="77777777">
      <w:pPr>
        <w:tabs>
          <w:tab w:val="left" w:pos="360"/>
        </w:tabs>
        <w:ind w:left="360" w:hanging="360"/>
      </w:pPr>
      <w:r>
        <w:t>2)</w:t>
      </w:r>
      <w:r>
        <w:tab/>
      </w:r>
      <w:r w:rsidR="00002B96">
        <w:t xml:space="preserve">To </w:t>
      </w:r>
      <w:r w:rsidRPr="00002B96" w:rsidR="00002B96">
        <w:t>pro</w:t>
      </w:r>
      <w:r w:rsidR="00002B96">
        <w:t>duce</w:t>
      </w:r>
      <w:r w:rsidRPr="00002B96" w:rsidR="00002B96">
        <w:t xml:space="preserve"> </w:t>
      </w:r>
      <w:r w:rsidR="00E2689A">
        <w:t xml:space="preserve">nationally representative </w:t>
      </w:r>
      <w:r w:rsidRPr="00002B96" w:rsidR="00002B96">
        <w:t>estimates of respondents’ health status, demographic and socio-economic characteristics, employment, access to care, and satisfaction with health care</w:t>
      </w:r>
      <w:r w:rsidR="00002B96">
        <w:t>.</w:t>
      </w:r>
    </w:p>
    <w:bookmarkEnd w:id="13"/>
    <w:p w:rsidR="00527BBD" w:rsidP="006014DB" w14:paraId="51DADDBA" w14:textId="77777777"/>
    <w:p w:rsidR="00527BBD" w:rsidRPr="00E2689A" w:rsidP="006014DB" w14:paraId="54790B53" w14:textId="6E283913">
      <w:pPr>
        <w:rPr>
          <w:b/>
          <w:bCs/>
          <w:i/>
          <w:iCs/>
        </w:rPr>
      </w:pPr>
      <w:r w:rsidRPr="00E2689A">
        <w:rPr>
          <w:b/>
          <w:bCs/>
          <w:i/>
          <w:iCs/>
        </w:rPr>
        <w:t>To achieve the</w:t>
      </w:r>
      <w:r w:rsidR="00E773BD">
        <w:rPr>
          <w:b/>
          <w:bCs/>
          <w:i/>
          <w:iCs/>
        </w:rPr>
        <w:t>se</w:t>
      </w:r>
      <w:r w:rsidRPr="00E2689A">
        <w:rPr>
          <w:b/>
          <w:bCs/>
          <w:i/>
          <w:iCs/>
        </w:rPr>
        <w:t xml:space="preserve"> goals the following data collections </w:t>
      </w:r>
      <w:r w:rsidR="0047571B">
        <w:rPr>
          <w:b/>
          <w:bCs/>
          <w:i/>
          <w:iCs/>
        </w:rPr>
        <w:t>are currently</w:t>
      </w:r>
      <w:r w:rsidRPr="00E2689A">
        <w:rPr>
          <w:b/>
          <w:bCs/>
          <w:i/>
          <w:iCs/>
        </w:rPr>
        <w:t xml:space="preserve"> </w:t>
      </w:r>
      <w:r w:rsidR="0047571B">
        <w:rPr>
          <w:b/>
          <w:bCs/>
          <w:i/>
          <w:iCs/>
        </w:rPr>
        <w:t>approved by OMB</w:t>
      </w:r>
      <w:r w:rsidRPr="00E2689A">
        <w:rPr>
          <w:b/>
          <w:bCs/>
          <w:i/>
          <w:iCs/>
        </w:rPr>
        <w:t>:</w:t>
      </w:r>
    </w:p>
    <w:p w:rsidR="00C30608" w:rsidP="006014DB" w14:paraId="42B4586D" w14:textId="77777777"/>
    <w:p w:rsidR="009558A6" w:rsidP="006014DB" w14:paraId="1BB12F4F" w14:textId="12AE3520">
      <w:r w:rsidRPr="00847CFD">
        <w:rPr>
          <w:b/>
          <w:bCs/>
        </w:rPr>
        <w:t>Household Component</w:t>
      </w:r>
      <w:r w:rsidR="00C30608">
        <w:t xml:space="preserve"> – The MEPS-HC consists of a core</w:t>
      </w:r>
      <w:r w:rsidR="00755702">
        <w:t xml:space="preserve"> </w:t>
      </w:r>
      <w:r w:rsidR="00C30608">
        <w:t>interview administered to all sampled households, supplemental interviews administered to selected individuals</w:t>
      </w:r>
      <w:r w:rsidR="00DF29CC">
        <w:t>, permission forms</w:t>
      </w:r>
      <w:r w:rsidR="000F25A6">
        <w:t xml:space="preserve"> and</w:t>
      </w:r>
      <w:r w:rsidR="00E12AB6">
        <w:t xml:space="preserve"> a validation interview</w:t>
      </w:r>
      <w:r w:rsidR="00C30608">
        <w:t>:</w:t>
      </w:r>
    </w:p>
    <w:p w:rsidR="00C30608" w:rsidRPr="00C30608" w:rsidP="006014DB" w14:paraId="777097C7" w14:textId="77777777"/>
    <w:p w:rsidR="00527BBD" w:rsidP="006B2AFD" w14:paraId="357BA255" w14:textId="0C6FC1E2">
      <w:pPr>
        <w:numPr>
          <w:ilvl w:val="0"/>
          <w:numId w:val="5"/>
        </w:numPr>
        <w:tabs>
          <w:tab w:val="left" w:pos="360"/>
        </w:tabs>
      </w:pPr>
      <w:r w:rsidRPr="00847CFD">
        <w:rPr>
          <w:b/>
          <w:bCs/>
        </w:rPr>
        <w:t xml:space="preserve">Core </w:t>
      </w:r>
      <w:r w:rsidRPr="00847CFD" w:rsidR="00F76674">
        <w:rPr>
          <w:b/>
          <w:bCs/>
        </w:rPr>
        <w:t>MEPS</w:t>
      </w:r>
      <w:r w:rsidR="00847CFD">
        <w:rPr>
          <w:b/>
          <w:bCs/>
        </w:rPr>
        <w:t>-HC</w:t>
      </w:r>
      <w:r w:rsidRPr="00847CFD" w:rsidR="00755702">
        <w:rPr>
          <w:b/>
          <w:bCs/>
        </w:rPr>
        <w:t xml:space="preserve"> </w:t>
      </w:r>
      <w:r w:rsidRPr="00847CFD">
        <w:rPr>
          <w:b/>
          <w:bCs/>
        </w:rPr>
        <w:t>Interview</w:t>
      </w:r>
      <w:r>
        <w:t xml:space="preserve"> </w:t>
      </w:r>
      <w:r w:rsidR="003A2B29">
        <w:t>–</w:t>
      </w:r>
      <w:r>
        <w:t xml:space="preserve"> </w:t>
      </w:r>
      <w:r w:rsidR="003A2B29">
        <w:t xml:space="preserve">All sampled households are administered the </w:t>
      </w:r>
      <w:r w:rsidR="00B53D17">
        <w:t>C</w:t>
      </w:r>
      <w:r w:rsidR="00F76674">
        <w:t>ore MEPS</w:t>
      </w:r>
      <w:r w:rsidR="003A2B29">
        <w:t xml:space="preserve"> interview which collects </w:t>
      </w:r>
      <w:r w:rsidR="00032F47">
        <w:t xml:space="preserve">health, health insurance, and employment data on all household members.  </w:t>
      </w:r>
      <w:r w:rsidRPr="00C30608">
        <w:t xml:space="preserve">All data for a sampled household are </w:t>
      </w:r>
      <w:r w:rsidR="00A84DFB">
        <w:t xml:space="preserve">typically </w:t>
      </w:r>
      <w:r w:rsidRPr="00C30608">
        <w:t>reported by a single household respondent.</w:t>
      </w:r>
      <w:r w:rsidR="00A01121">
        <w:t xml:space="preserve">  </w:t>
      </w:r>
      <w:r w:rsidR="00032F47">
        <w:t>During th</w:t>
      </w:r>
      <w:r w:rsidR="00826D22">
        <w:t>e</w:t>
      </w:r>
      <w:r w:rsidR="00032F47">
        <w:t xml:space="preserve"> interview individual household members are identified to complete a self-administered questionnaire.</w:t>
      </w:r>
      <w:r w:rsidR="00DE18A6">
        <w:t xml:space="preserve">  The </w:t>
      </w:r>
      <w:r w:rsidR="00F76674">
        <w:t>interview</w:t>
      </w:r>
      <w:r w:rsidR="00DE18A6">
        <w:t xml:space="preserve"> also determines which permission forms need to be signed.</w:t>
      </w:r>
      <w:r w:rsidR="00032F47">
        <w:t xml:space="preserve">  </w:t>
      </w:r>
      <w:r w:rsidRPr="00244D4B" w:rsidR="00A01121">
        <w:t xml:space="preserve">The MEPS-HC Core Interview questions </w:t>
      </w:r>
      <w:r w:rsidRPr="00244D4B" w:rsidR="00E2689A">
        <w:t xml:space="preserve">are </w:t>
      </w:r>
      <w:r w:rsidRPr="00244D4B" w:rsidR="007258BA">
        <w:t>included in Attachment</w:t>
      </w:r>
      <w:r w:rsidR="00762704">
        <w:t>s</w:t>
      </w:r>
      <w:r w:rsidRPr="00244D4B" w:rsidR="007258BA">
        <w:t xml:space="preserve"> 1</w:t>
      </w:r>
      <w:r w:rsidR="00762704">
        <w:t xml:space="preserve"> to 46</w:t>
      </w:r>
      <w:r w:rsidR="00244D4B">
        <w:t xml:space="preserve"> and i</w:t>
      </w:r>
      <w:r w:rsidR="00015815">
        <w:t xml:space="preserve">nterviewer showcards used during the interview are </w:t>
      </w:r>
      <w:r w:rsidR="00244D4B">
        <w:t xml:space="preserve">in Attachment </w:t>
      </w:r>
      <w:r w:rsidR="00762704">
        <w:t>47</w:t>
      </w:r>
      <w:r w:rsidR="00015815">
        <w:t>.</w:t>
      </w:r>
    </w:p>
    <w:p w:rsidR="00800E7C" w:rsidP="009741C4" w14:paraId="630F663A" w14:textId="77777777">
      <w:pPr>
        <w:pStyle w:val="ListParagraph"/>
        <w:ind w:left="0"/>
      </w:pPr>
    </w:p>
    <w:p w:rsidR="00800E7C" w:rsidP="006B2AFD" w14:paraId="60D1A69F" w14:textId="5E0A8E39">
      <w:pPr>
        <w:numPr>
          <w:ilvl w:val="0"/>
          <w:numId w:val="5"/>
        </w:numPr>
        <w:tabs>
          <w:tab w:val="left" w:pos="360"/>
        </w:tabs>
      </w:pPr>
      <w:bookmarkStart w:id="15" w:name="_Hlk168561838"/>
      <w:r w:rsidRPr="00847CFD">
        <w:rPr>
          <w:b/>
          <w:bCs/>
        </w:rPr>
        <w:t>Adult Self-Administered Questionnaire (</w:t>
      </w:r>
      <w:r w:rsidRPr="00847CFD" w:rsidR="009741C4">
        <w:rPr>
          <w:b/>
          <w:bCs/>
        </w:rPr>
        <w:t xml:space="preserve">Adult </w:t>
      </w:r>
      <w:r w:rsidRPr="00847CFD">
        <w:rPr>
          <w:b/>
          <w:bCs/>
        </w:rPr>
        <w:t>SAQ)</w:t>
      </w:r>
      <w:r w:rsidRPr="00847CFD">
        <w:t> </w:t>
      </w:r>
      <w:bookmarkEnd w:id="15"/>
      <w:r w:rsidR="00904B5D">
        <w:t>–</w:t>
      </w:r>
      <w:r>
        <w:t xml:space="preserve"> </w:t>
      </w:r>
      <w:r w:rsidR="00904B5D">
        <w:t>Completed by all adults 18 and older in the household in rounds 2 and 4</w:t>
      </w:r>
      <w:r w:rsidR="003D20A1">
        <w:t xml:space="preserve"> in </w:t>
      </w:r>
      <w:r w:rsidR="00C649E8">
        <w:t xml:space="preserve">odd </w:t>
      </w:r>
      <w:r w:rsidR="003D20A1">
        <w:t>years</w:t>
      </w:r>
      <w:r w:rsidR="00904B5D">
        <w:t xml:space="preserve">.  </w:t>
      </w:r>
      <w:r>
        <w:t>C</w:t>
      </w:r>
      <w:r w:rsidRPr="003B20AD">
        <w:t>ollects a variety of health status and health care quality measures of adults age 18 and older. The SAQ contains three measures of health status: the Veteran's RAND 12-item (VR-12)</w:t>
      </w:r>
      <w:r w:rsidR="005C3B71">
        <w:t>,</w:t>
      </w:r>
      <w:r w:rsidRPr="003B20AD">
        <w:t xml:space="preserve"> the Kessler Index (K6) of non-specific psychological distress, and the Patient Health Questionnaire (PHQ-2). The health care quality measures in the SAQ were taken from the health plan version of CAHPS®, an AHRQ-sponsored family of survey instruments designed to measure quality of care from the consumer's perspective.</w:t>
      </w:r>
      <w:r>
        <w:t xml:space="preserve">  </w:t>
      </w:r>
      <w:bookmarkStart w:id="16" w:name="_Hlk135218264"/>
      <w:r>
        <w:t xml:space="preserve">The </w:t>
      </w:r>
      <w:r w:rsidR="0037213A">
        <w:t>Adult SAQ</w:t>
      </w:r>
      <w:r>
        <w:t xml:space="preserve"> is </w:t>
      </w:r>
      <w:bookmarkEnd w:id="16"/>
      <w:r w:rsidR="0037213A">
        <w:t xml:space="preserve">in Attachment </w:t>
      </w:r>
      <w:r w:rsidR="007E3A03">
        <w:t>48</w:t>
      </w:r>
      <w:r w:rsidR="009840C4">
        <w:t>.</w:t>
      </w:r>
    </w:p>
    <w:p w:rsidR="00847CFD" w:rsidP="00847CFD" w14:paraId="74690517" w14:textId="73CD99D3">
      <w:pPr>
        <w:numPr>
          <w:ilvl w:val="0"/>
          <w:numId w:val="5"/>
        </w:numPr>
        <w:tabs>
          <w:tab w:val="left" w:pos="360"/>
        </w:tabs>
      </w:pPr>
      <w:bookmarkStart w:id="17" w:name="_Hlk168562242"/>
      <w:r w:rsidRPr="00847CFD">
        <w:rPr>
          <w:b/>
          <w:bCs/>
        </w:rPr>
        <w:t>Preventive Care Self-Administered Questionnaire (PSAQ)</w:t>
      </w:r>
      <w:r>
        <w:rPr>
          <w:i/>
          <w:iCs/>
        </w:rPr>
        <w:t xml:space="preserve"> </w:t>
      </w:r>
      <w:bookmarkEnd w:id="17"/>
      <w:r>
        <w:rPr>
          <w:i/>
          <w:iCs/>
        </w:rPr>
        <w:t xml:space="preserve">- </w:t>
      </w:r>
      <w:r>
        <w:t>D</w:t>
      </w:r>
      <w:r w:rsidRPr="00ED29CD">
        <w:t xml:space="preserve">esigned to collect a variety of person-level preventive health care data for adults. It is distributed to all eligible adults 18 years and older </w:t>
      </w:r>
      <w:r>
        <w:t>in rounds 2 and 4 in even years</w:t>
      </w:r>
      <w:r w:rsidRPr="00ED29CD">
        <w:t xml:space="preserve">. </w:t>
      </w:r>
      <w:r>
        <w:t>In addition to questions about preventive care, t</w:t>
      </w:r>
      <w:r w:rsidRPr="00ED29CD">
        <w:t xml:space="preserve">he PSAQ </w:t>
      </w:r>
      <w:r>
        <w:t xml:space="preserve">also includes </w:t>
      </w:r>
      <w:r w:rsidRPr="00ED29CD">
        <w:t>supplemental items on alcohol use, mental health counseling and treatment</w:t>
      </w:r>
      <w:r>
        <w:t>, exercise and sexual orientation and gender identity</w:t>
      </w:r>
      <w:r w:rsidRPr="00ED29CD">
        <w:t>.</w:t>
      </w:r>
      <w:r>
        <w:t xml:space="preserve">  The PSAQ is </w:t>
      </w:r>
      <w:r w:rsidR="0037213A">
        <w:t xml:space="preserve">in Attachment </w:t>
      </w:r>
      <w:r w:rsidR="007E3A03">
        <w:t>49</w:t>
      </w:r>
      <w:r w:rsidR="0037213A">
        <w:t>.</w:t>
      </w:r>
    </w:p>
    <w:p w:rsidR="003B5DFF" w:rsidP="003B5DFF" w14:paraId="65F1FCA6" w14:textId="77777777">
      <w:pPr>
        <w:pStyle w:val="ListParagraph"/>
      </w:pPr>
    </w:p>
    <w:p w:rsidR="003B5DFF" w:rsidP="006B2AFD" w14:paraId="0F7652CF" w14:textId="31931702">
      <w:pPr>
        <w:numPr>
          <w:ilvl w:val="0"/>
          <w:numId w:val="5"/>
        </w:numPr>
        <w:tabs>
          <w:tab w:val="left" w:pos="360"/>
        </w:tabs>
      </w:pPr>
      <w:r w:rsidRPr="00847CFD">
        <w:rPr>
          <w:b/>
          <w:bCs/>
        </w:rPr>
        <w:t>Diabetes Care Survey (DCS)</w:t>
      </w:r>
      <w:r w:rsidR="00ED29CD">
        <w:rPr>
          <w:i/>
          <w:iCs/>
        </w:rPr>
        <w:t xml:space="preserve"> -</w:t>
      </w:r>
      <w:r w:rsidR="00904B5D">
        <w:t xml:space="preserve"> </w:t>
      </w:r>
      <w:r w:rsidR="00ED29CD">
        <w:t>Respondents</w:t>
      </w:r>
      <w:r w:rsidRPr="003B5DFF">
        <w:t xml:space="preserve"> receive a DCS based on their response to a question in the Priority Condition section of the </w:t>
      </w:r>
      <w:r w:rsidR="00B53D17">
        <w:t>Core</w:t>
      </w:r>
      <w:r w:rsidRPr="003B5DFF">
        <w:t xml:space="preserve"> in</w:t>
      </w:r>
      <w:r w:rsidR="00B53D17">
        <w:t>terview</w:t>
      </w:r>
      <w:r w:rsidRPr="003B5DFF">
        <w:t xml:space="preserve">, which asks </w:t>
      </w:r>
      <w:r w:rsidRPr="003B5DFF" w:rsidR="00A84DFB">
        <w:t>whether</w:t>
      </w:r>
      <w:r w:rsidRPr="003B5DFF">
        <w:t xml:space="preserve"> the respondent was ever told by a doctor or health professional that he/she had diabetes.</w:t>
      </w:r>
      <w:r w:rsidR="008A10D2">
        <w:t xml:space="preserve">  The DCS is administered once a year in rounds 3 and 5.</w:t>
      </w:r>
      <w:r>
        <w:t xml:space="preserve">  </w:t>
      </w:r>
      <w:r w:rsidRPr="008A10D2" w:rsidR="008A10D2">
        <w:t>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the last time the respondent had his or her blood cholesterol checked and whether the diabetes has caused kidney or eye problems.  Respondents are also asked if their diabetes is being treated with diet, oral medications or insulin.</w:t>
      </w:r>
      <w:r w:rsidR="008A10D2">
        <w:t xml:space="preserve">  </w:t>
      </w:r>
      <w:r w:rsidRPr="003B5DFF">
        <w:t xml:space="preserve">The </w:t>
      </w:r>
      <w:r w:rsidR="0037213A">
        <w:t>DCS is in Attachment 5</w:t>
      </w:r>
      <w:r w:rsidR="007E3A03">
        <w:t>0</w:t>
      </w:r>
      <w:r w:rsidR="0037213A">
        <w:t>.</w:t>
      </w:r>
    </w:p>
    <w:p w:rsidR="00D21C51" w:rsidP="00D21C51" w14:paraId="36EA1F32" w14:textId="77777777">
      <w:pPr>
        <w:tabs>
          <w:tab w:val="left" w:pos="360"/>
        </w:tabs>
        <w:ind w:left="720"/>
      </w:pPr>
    </w:p>
    <w:p w:rsidR="00D21C51" w:rsidP="00EB63B6" w14:paraId="649FFD7C" w14:textId="73CBFCF8">
      <w:pPr>
        <w:numPr>
          <w:ilvl w:val="0"/>
          <w:numId w:val="5"/>
        </w:numPr>
        <w:tabs>
          <w:tab w:val="left" w:pos="360"/>
        </w:tabs>
      </w:pPr>
      <w:r w:rsidRPr="00847CFD">
        <w:rPr>
          <w:b/>
          <w:bCs/>
        </w:rPr>
        <w:t>Cancer Self-Administered Questionnaire (CSAQ)</w:t>
      </w:r>
      <w:r>
        <w:t xml:space="preserve"> – </w:t>
      </w:r>
      <w:r w:rsidRPr="0060612C">
        <w:rPr>
          <w:rStyle w:val="Level1"/>
          <w:bCs/>
        </w:rPr>
        <w:t>the National Cancer Institute (NCI) provide</w:t>
      </w:r>
      <w:r>
        <w:rPr>
          <w:rStyle w:val="Level1"/>
          <w:bCs/>
        </w:rPr>
        <w:t>d</w:t>
      </w:r>
      <w:r w:rsidRPr="0060612C">
        <w:rPr>
          <w:rStyle w:val="Level1"/>
          <w:bCs/>
        </w:rPr>
        <w:t xml:space="preserve"> financial support to AHRQ </w:t>
      </w:r>
      <w:r>
        <w:rPr>
          <w:rStyle w:val="Level1"/>
          <w:bCs/>
        </w:rPr>
        <w:t xml:space="preserve">for the </w:t>
      </w:r>
      <w:r>
        <w:t xml:space="preserve">Cancer SAQ in 2024.  The Cancer SAQ will be removed from the MEPS-HC after the Fall 2024 data fielding.  </w:t>
      </w:r>
      <w:r w:rsidRPr="00F01A2C">
        <w:t>The NCI</w:t>
      </w:r>
      <w:r>
        <w:t xml:space="preserve"> has </w:t>
      </w:r>
      <w:r w:rsidRPr="00F01A2C">
        <w:t xml:space="preserve">collaborated </w:t>
      </w:r>
      <w:r>
        <w:t xml:space="preserve">in previous years </w:t>
      </w:r>
      <w:r w:rsidRPr="00F01A2C">
        <w:t xml:space="preserve">with AHRQ to create the MEPS </w:t>
      </w:r>
      <w:r w:rsidRPr="00F01A2C">
        <w:rPr>
          <w:i/>
        </w:rPr>
        <w:t>Experiences with Cancer</w:t>
      </w:r>
      <w:r w:rsidRPr="00F01A2C">
        <w:t xml:space="preserve"> Supplement, which oversampled households with cancer survivors from the prior year National Health Interview Survey</w:t>
      </w:r>
      <w:r>
        <w:t xml:space="preserve"> (NHIS)</w:t>
      </w:r>
      <w:r w:rsidRPr="00F01A2C">
        <w:t xml:space="preserve"> and fielded a special survey about economic burden and access to care in cancer survivors. </w:t>
      </w:r>
      <w:r>
        <w:t>Due to a change in the NHIS</w:t>
      </w:r>
      <w:r w:rsidRPr="00F01A2C">
        <w:t xml:space="preserve"> </w:t>
      </w:r>
      <w:r>
        <w:t xml:space="preserve">sample design, MEPS will not be able to oversample cancer survivors in the 2024 data collection.  </w:t>
      </w:r>
      <w:r w:rsidRPr="00F01A2C">
        <w:t xml:space="preserve">The current effort will field </w:t>
      </w:r>
      <w:r>
        <w:t xml:space="preserve">an </w:t>
      </w:r>
      <w:r w:rsidRPr="00F01A2C">
        <w:t xml:space="preserve">updated version of the MEPS Experiences with </w:t>
      </w:r>
      <w:r w:rsidRPr="000D3E79">
        <w:t>Cancer Survey</w:t>
      </w:r>
      <w:r>
        <w:t xml:space="preserve"> in the Fall 2024 MEPS-HC</w:t>
      </w:r>
      <w:r w:rsidRPr="00F01A2C">
        <w:t>.  The new version of the survey will include most of the same questions as the earlier survey to allow comparisons of trends and will replace some survey items</w:t>
      </w:r>
      <w:r>
        <w:t xml:space="preserve"> that are now less critical or available from other data sources with new questions on employment impacts and workplace accommodations; survivorship care; social determinants of health; and social isolation and support.  </w:t>
      </w:r>
      <w:r w:rsidR="00CE2D6F">
        <w:t>T</w:t>
      </w:r>
      <w:r>
        <w:t>he CSAQ</w:t>
      </w:r>
      <w:r w:rsidR="00CE2D6F">
        <w:t xml:space="preserve"> is</w:t>
      </w:r>
      <w:r w:rsidR="00476169">
        <w:t xml:space="preserve"> included in attachment 51</w:t>
      </w:r>
      <w:r w:rsidR="0037213A">
        <w:t>.</w:t>
      </w:r>
    </w:p>
    <w:p w:rsidR="00F23AEA" w:rsidP="00F23AEA" w14:paraId="73B0A497" w14:textId="77777777">
      <w:pPr>
        <w:tabs>
          <w:tab w:val="left" w:pos="360"/>
        </w:tabs>
        <w:ind w:left="720"/>
      </w:pPr>
    </w:p>
    <w:p w:rsidR="00F23AEA" w:rsidP="006B2AFD" w14:paraId="5AA73B47" w14:textId="105D4E48">
      <w:pPr>
        <w:numPr>
          <w:ilvl w:val="0"/>
          <w:numId w:val="5"/>
        </w:numPr>
        <w:tabs>
          <w:tab w:val="left" w:pos="360"/>
        </w:tabs>
      </w:pPr>
      <w:bookmarkStart w:id="18" w:name="_Hlk170376530"/>
      <w:r w:rsidRPr="00F23AEA">
        <w:rPr>
          <w:b/>
          <w:bCs/>
        </w:rPr>
        <w:t xml:space="preserve">Authorization </w:t>
      </w:r>
      <w:r w:rsidR="00C4484E">
        <w:rPr>
          <w:b/>
          <w:bCs/>
        </w:rPr>
        <w:t>F</w:t>
      </w:r>
      <w:r w:rsidRPr="00F23AEA">
        <w:rPr>
          <w:b/>
          <w:bCs/>
        </w:rPr>
        <w:t>orms for the MEPS-MPC Provider and Pharmacy Survey</w:t>
      </w:r>
      <w:bookmarkEnd w:id="18"/>
      <w:r>
        <w:rPr>
          <w:bCs/>
        </w:rPr>
        <w:t xml:space="preserve"> </w:t>
      </w:r>
      <w:r w:rsidR="00E12AB6">
        <w:rPr>
          <w:bCs/>
        </w:rPr>
        <w:t>-</w:t>
      </w:r>
      <w:r w:rsidRPr="00F23AEA" w:rsidR="00E12AB6">
        <w:t xml:space="preserve"> As</w:t>
      </w:r>
      <w:r w:rsidRPr="00F23AEA">
        <w:t xml:space="preserve"> in previous panels of the MEPS, we will ask respondents for </w:t>
      </w:r>
      <w:r w:rsidRPr="00F23AEA">
        <w:rPr>
          <w:bCs/>
        </w:rPr>
        <w:t>authorization</w:t>
      </w:r>
      <w:r w:rsidRPr="00F23AEA">
        <w:t xml:space="preserve"> to obtain supplemental information from their medical providers (hospitals, physicians, home health agencies and institutions) and pharmacies.</w:t>
      </w:r>
      <w:r w:rsidR="00977DF5">
        <w:t xml:space="preserve">  The forms are</w:t>
      </w:r>
      <w:r w:rsidR="0037213A">
        <w:t xml:space="preserve"> in Attachment</w:t>
      </w:r>
      <w:r w:rsidR="00837EFC">
        <w:t>s 52 and 53</w:t>
      </w:r>
      <w:r w:rsidR="0037213A">
        <w:t>.</w:t>
      </w:r>
    </w:p>
    <w:p w:rsidR="00F23AEA" w:rsidP="00F23AEA" w14:paraId="5C99E789" w14:textId="77777777">
      <w:pPr>
        <w:pStyle w:val="ListParagraph"/>
      </w:pPr>
    </w:p>
    <w:p w:rsidR="00DD65B5" w:rsidRPr="00DD65B5" w:rsidP="00DD65B5" w14:paraId="6356F84C" w14:textId="77777777">
      <w:pPr>
        <w:pStyle w:val="ListParagraph"/>
        <w:numPr>
          <w:ilvl w:val="0"/>
          <w:numId w:val="5"/>
        </w:numPr>
        <w:rPr>
          <w:sz w:val="22"/>
          <w:szCs w:val="22"/>
        </w:rPr>
      </w:pPr>
      <w:bookmarkStart w:id="19" w:name="_Hlk170716922"/>
      <w:r w:rsidRPr="00DD65B5">
        <w:rPr>
          <w:b/>
          <w:bCs/>
        </w:rPr>
        <w:t>MEPS Validation Interview</w:t>
      </w:r>
      <w:r>
        <w:t xml:space="preserve"> - Each interviewer is required to have at least 15 percent of his/her caseload validated to ensure that Core questionnaire content was asked appropriately, and procedures followed, for example the use of show </w:t>
      </w:r>
      <w:r>
        <w:t xml:space="preserve">cards.  </w:t>
      </w:r>
      <w:r>
        <w:t>In excess of</w:t>
      </w:r>
      <w:r>
        <w:t xml:space="preserve"> this requirement, all MEPS completes undergo validation efforts.  Over 40% of cases are validated </w:t>
      </w:r>
      <w:r>
        <w:t>through the use of</w:t>
      </w:r>
      <w:r>
        <w:t xml:space="preserve"> </w:t>
      </w:r>
      <w:r>
        <w:t>Westat’s</w:t>
      </w:r>
      <w:r>
        <w:t xml:space="preserve"> Eagle system which tracks GPS coordinates, matching them to respondent addresses and interview times.  Computer Assisted Recorded Interview (CARI) review accounts for roughly 40% of MEPS case validation where EAGLE is not appropriate (CAVI interviews) or is not valid or available.  The audio and screen capture from numerous questions is evaluated to ensure an interviewer and a respondent, proper question administration and show card usage.  For cases that cannot be validated using CARI or GPS, phone validations are conduced to ensure proper procedures and administration.   Mail validations are used as a final measure when other types of validation have not resulted in a validated case.  </w:t>
      </w:r>
    </w:p>
    <w:p w:rsidR="00DD65B5" w:rsidP="00DD65B5" w14:paraId="1A805B4C" w14:textId="77777777">
      <w:pPr>
        <w:pStyle w:val="ListParagraph"/>
      </w:pPr>
    </w:p>
    <w:p w:rsidR="00ED29CD" w:rsidP="00DD65B5" w14:paraId="1A8CD182" w14:textId="0D51B460">
      <w:pPr>
        <w:pStyle w:val="ListParagraph"/>
      </w:pPr>
      <w:r>
        <w:t xml:space="preserve">Home office and field management may also request that other cases be validated using any of the </w:t>
      </w:r>
      <w:r>
        <w:t>aforementioned methods</w:t>
      </w:r>
      <w:r>
        <w:t xml:space="preserve"> throughout the field period.  When an interviewer fails a validation all their work is subject to 100 percent telephone validation. Additionally, any case completed in less than 30 minutes is telephone validated. </w:t>
      </w:r>
      <w:bookmarkEnd w:id="19"/>
      <w:r>
        <w:t xml:space="preserve"> </w:t>
      </w:r>
      <w:r w:rsidRPr="00DD65B5" w:rsidR="003E28C9">
        <w:rPr>
          <w:bCs/>
        </w:rPr>
        <w:t>See Attachment</w:t>
      </w:r>
      <w:r w:rsidR="00101522">
        <w:rPr>
          <w:bCs/>
        </w:rPr>
        <w:t>s</w:t>
      </w:r>
      <w:r w:rsidRPr="00DD65B5" w:rsidR="003E28C9">
        <w:rPr>
          <w:bCs/>
        </w:rPr>
        <w:t xml:space="preserve"> </w:t>
      </w:r>
      <w:r w:rsidRPr="00DD65B5" w:rsidR="007E3A03">
        <w:rPr>
          <w:bCs/>
        </w:rPr>
        <w:t>5</w:t>
      </w:r>
      <w:r w:rsidRPr="00DD65B5" w:rsidR="00C111B1">
        <w:rPr>
          <w:bCs/>
        </w:rPr>
        <w:t>4</w:t>
      </w:r>
      <w:r w:rsidR="00101522">
        <w:rPr>
          <w:bCs/>
        </w:rPr>
        <w:t>a and 54b</w:t>
      </w:r>
      <w:r w:rsidRPr="00DD65B5" w:rsidR="003E28C9">
        <w:rPr>
          <w:bCs/>
        </w:rPr>
        <w:t>.</w:t>
      </w:r>
    </w:p>
    <w:p w:rsidR="00BE372C" w:rsidP="00ED29CD" w14:paraId="00A9CF1C" w14:textId="77777777">
      <w:pPr>
        <w:tabs>
          <w:tab w:val="left" w:pos="360"/>
        </w:tabs>
      </w:pPr>
    </w:p>
    <w:p w:rsidR="00527BBD" w:rsidP="006014DB" w14:paraId="7ABA77DC" w14:textId="4FA62F1C">
      <w:r w:rsidRPr="00847CFD">
        <w:rPr>
          <w:b/>
          <w:bCs/>
        </w:rPr>
        <w:t>Medical Provider Component</w:t>
      </w:r>
      <w:r w:rsidR="00434196">
        <w:rPr>
          <w:b/>
          <w:bCs/>
          <w:i/>
          <w:iCs/>
        </w:rPr>
        <w:t xml:space="preserve"> -</w:t>
      </w:r>
      <w:r w:rsidR="00434196">
        <w:t xml:space="preserve"> </w:t>
      </w:r>
      <w:r w:rsidRPr="008E4339" w:rsidR="008E4339">
        <w:t xml:space="preserve">Upon completion of the household interview and obtaining permission from the household survey respondents, a sample of medical providers are contacted by telephone to obtain information that household respondents </w:t>
      </w:r>
      <w:r w:rsidRPr="008E4339" w:rsidR="004A51FD">
        <w:t>cannot</w:t>
      </w:r>
      <w:r w:rsidRPr="008E4339" w:rsidR="008E4339">
        <w:t xml:space="preserve"> accurately provide. This part of the MEPS is called the Medical Provider Component (MPC) and information is collected on dates of visits, diagnosis and procedure codes, charges and payments. The MPC is not designed to yield national estimates. It is primarily used as an imputation source to supplement/replace household reported expenditure information.</w:t>
      </w:r>
      <w:r w:rsidR="00AD104E">
        <w:t xml:space="preserve">  </w:t>
      </w:r>
      <w:r w:rsidR="00701253">
        <w:t xml:space="preserve">This ICR does not include any changes to the MPC.  </w:t>
      </w:r>
      <w:r w:rsidR="00AD104E">
        <w:t>The MPC includes data collections</w:t>
      </w:r>
      <w:r w:rsidR="005206F2">
        <w:t xml:space="preserve"> for specific types of health care providers</w:t>
      </w:r>
      <w:r w:rsidR="00AD104E">
        <w:t>, outline</w:t>
      </w:r>
      <w:r w:rsidR="005206F2">
        <w:t>d</w:t>
      </w:r>
      <w:r w:rsidR="00AD104E">
        <w:t xml:space="preserve"> below:</w:t>
      </w:r>
    </w:p>
    <w:p w:rsidR="00AD104E" w:rsidP="006014DB" w14:paraId="5E953957" w14:textId="77777777"/>
    <w:p w:rsidR="0019223E" w:rsidRPr="0019223E" w:rsidP="006B2AFD" w14:paraId="1DC5B9B7" w14:textId="6E012B19">
      <w:pPr>
        <w:numPr>
          <w:ilvl w:val="0"/>
          <w:numId w:val="6"/>
        </w:numPr>
      </w:pPr>
      <w:r w:rsidRPr="00AD104E">
        <w:t> </w:t>
      </w:r>
      <w:r w:rsidRPr="0019223E">
        <w:rPr>
          <w:b/>
          <w:bCs/>
        </w:rPr>
        <w:t xml:space="preserve">MPC Contact Guide/Screening Call.  </w:t>
      </w:r>
      <w:r w:rsidRPr="0019223E">
        <w:t>An initial screening call is placed to determine the type of facility, whether the practice or facility is in scope for the MEPS-MPC, the appropriate MEPS-MPC respondent and some details about the organization and availability of medical records and billing at the practice/facility.  All hospitals, physician offices, home health agencies, institutions and pharmacies are screened by telephone.  A unique screening instrument is used for each of the seven provider types in the MEPS-MPC, except for the two home care provider types which use the same screening form.</w:t>
      </w:r>
      <w:r w:rsidR="00EC5CCF">
        <w:t xml:space="preserve">  The Contact Guide is </w:t>
      </w:r>
      <w:r w:rsidR="003E28C9">
        <w:t xml:space="preserve">in Attachment </w:t>
      </w:r>
      <w:r w:rsidR="00B834F2">
        <w:t>5</w:t>
      </w:r>
      <w:r w:rsidR="00C111B1">
        <w:t>5</w:t>
      </w:r>
      <w:r w:rsidR="00EC5CCF">
        <w:t>.</w:t>
      </w:r>
    </w:p>
    <w:p w:rsidR="0019223E" w:rsidP="0019223E" w14:paraId="457265AA" w14:textId="77777777">
      <w:pPr>
        <w:ind w:left="720"/>
      </w:pPr>
    </w:p>
    <w:p w:rsidR="002648E8" w:rsidRPr="00153FEA" w:rsidP="002648E8" w14:paraId="00BDE70F" w14:textId="07942941">
      <w:pPr>
        <w:numPr>
          <w:ilvl w:val="0"/>
          <w:numId w:val="6"/>
        </w:numPr>
      </w:pPr>
      <w:bookmarkStart w:id="20" w:name="_Hlk170376882"/>
      <w:r w:rsidRPr="00847CFD">
        <w:rPr>
          <w:b/>
          <w:bCs/>
        </w:rPr>
        <w:t>Home Health Care Providers</w:t>
      </w:r>
      <w:r w:rsidRPr="00847CFD" w:rsidR="00F76674">
        <w:rPr>
          <w:b/>
          <w:bCs/>
        </w:rPr>
        <w:t xml:space="preserve"> Event Form</w:t>
      </w:r>
      <w:r w:rsidRPr="0019223E">
        <w:rPr>
          <w:b/>
          <w:bCs/>
          <w:i/>
          <w:iCs/>
        </w:rPr>
        <w:t xml:space="preserve"> </w:t>
      </w:r>
      <w:bookmarkEnd w:id="20"/>
      <w:r>
        <w:t xml:space="preserve">– The MPC collects data from different types of home health care providers. This includes: 1) </w:t>
      </w:r>
      <w:r w:rsidRPr="00153FEA">
        <w:rPr>
          <w:b/>
          <w:bCs/>
        </w:rPr>
        <w:t>home health care agencies</w:t>
      </w:r>
      <w:r>
        <w:t xml:space="preserve"> that provide medical care services to household respondents. Information collected with this type of home health care providers includes types of personnel providing the care, hours or visits provided per month, and the charges and payments for services received.</w:t>
      </w:r>
      <w:r w:rsidR="005F7934">
        <w:t xml:space="preserve">  </w:t>
      </w:r>
      <w:r>
        <w:t xml:space="preserve">2) </w:t>
      </w:r>
      <w:r w:rsidRPr="00153FEA">
        <w:rPr>
          <w:b/>
          <w:bCs/>
        </w:rPr>
        <w:t>home care for non-health care providers</w:t>
      </w:r>
      <w:r>
        <w:t xml:space="preserve"> that focuses on collecting information about services provided in the respondent home by non-health care workers because of a medical condition (e.g., </w:t>
      </w:r>
      <w:r>
        <w:t xml:space="preserve">cleaning or yard work; transportation; shopping; or </w:t>
      </w:r>
      <w:r w:rsidR="00336F9C">
        <w:t>childcare</w:t>
      </w:r>
      <w:r>
        <w:t>).</w:t>
      </w:r>
      <w:r w:rsidR="00EC5CCF">
        <w:t xml:space="preserve">  </w:t>
      </w:r>
      <w:bookmarkStart w:id="21" w:name="_Hlk147296566"/>
      <w:r w:rsidR="00EC5CCF">
        <w:t>The form</w:t>
      </w:r>
      <w:bookmarkEnd w:id="21"/>
      <w:r w:rsidR="003E28C9">
        <w:t>s are included in Attachment</w:t>
      </w:r>
      <w:r w:rsidR="007F5B90">
        <w:t>s</w:t>
      </w:r>
      <w:r w:rsidR="003E28C9">
        <w:t xml:space="preserve"> </w:t>
      </w:r>
      <w:r w:rsidR="007B6A80">
        <w:t>5</w:t>
      </w:r>
      <w:r w:rsidR="00C111B1">
        <w:t>6</w:t>
      </w:r>
      <w:r w:rsidR="007F5B90">
        <w:t xml:space="preserve"> and 57</w:t>
      </w:r>
      <w:r w:rsidR="003E28C9">
        <w:t>.</w:t>
      </w:r>
    </w:p>
    <w:p w:rsidR="00BA4E8C" w:rsidP="00B37251" w14:paraId="00735FDC" w14:textId="77777777"/>
    <w:p w:rsidR="002648E8" w:rsidRPr="00753835" w:rsidP="002648E8" w14:paraId="018B0328" w14:textId="35B8A975">
      <w:pPr>
        <w:numPr>
          <w:ilvl w:val="0"/>
          <w:numId w:val="6"/>
        </w:numPr>
        <w:rPr>
          <w:i/>
          <w:iCs/>
        </w:rPr>
      </w:pPr>
      <w:r w:rsidRPr="00847CFD">
        <w:rPr>
          <w:b/>
          <w:bCs/>
        </w:rPr>
        <w:t>Office</w:t>
      </w:r>
      <w:r w:rsidRPr="00847CFD">
        <w:rPr>
          <w:b/>
          <w:bCs/>
        </w:rPr>
        <w:noBreakHyphen/>
        <w:t>Based Providers</w:t>
      </w:r>
      <w:r w:rsidRPr="00847CFD" w:rsidR="00B20ED3">
        <w:rPr>
          <w:b/>
          <w:bCs/>
        </w:rPr>
        <w:t xml:space="preserve"> Event </w:t>
      </w:r>
      <w:r w:rsidRPr="00847CFD" w:rsidR="00336F9C">
        <w:rPr>
          <w:b/>
          <w:bCs/>
        </w:rPr>
        <w:t>Form</w:t>
      </w:r>
      <w:r w:rsidR="00336F9C">
        <w:rPr>
          <w:b/>
          <w:bCs/>
          <w:i/>
          <w:iCs/>
        </w:rPr>
        <w:t xml:space="preserve"> </w:t>
      </w:r>
      <w:r w:rsidRPr="00F9443E" w:rsidR="00336F9C">
        <w:rPr>
          <w:b/>
          <w:bCs/>
          <w:i/>
          <w:iCs/>
        </w:rPr>
        <w:t>–</w:t>
      </w:r>
      <w:r w:rsidR="00BA4E8C">
        <w:t xml:space="preserve"> </w:t>
      </w:r>
      <w:r>
        <w:t xml:space="preserve">The MPC collects data from office-based physicians, including </w:t>
      </w:r>
      <w:r w:rsidR="00FD20CA">
        <w:t>Doctor of Medicine</w:t>
      </w:r>
      <w:r>
        <w:t xml:space="preserve"> (MDs) and osteopathy (DOs, as well as providers practicing under the care or supervision of an MD or DO (e.g., physician assistants and nurse practitioners working in clinics). Providers of care in private offices as well as staff model HMOs are included. The information collected includes </w:t>
      </w:r>
      <w:r w:rsidRPr="0031248B">
        <w:t>date of the visit, time spent with the provider, types of treatment and services received, types of medicine prescribed, expenditures, and sources of payment associated with the visit. </w:t>
      </w:r>
      <w:r>
        <w:t xml:space="preserve"> </w:t>
      </w:r>
      <w:r w:rsidR="008B3797">
        <w:t>The form is</w:t>
      </w:r>
      <w:r w:rsidR="003E28C9">
        <w:t xml:space="preserve"> in Attachment </w:t>
      </w:r>
      <w:r w:rsidR="007B6A80">
        <w:t>5</w:t>
      </w:r>
      <w:r w:rsidR="007F5B90">
        <w:t>8</w:t>
      </w:r>
      <w:r w:rsidR="003E28C9">
        <w:t>.</w:t>
      </w:r>
    </w:p>
    <w:p w:rsidR="00D87123" w:rsidP="00D87123" w14:paraId="07CBB9C7" w14:textId="77777777">
      <w:pPr>
        <w:ind w:left="360"/>
        <w:rPr>
          <w:b/>
          <w:bCs/>
          <w:i/>
          <w:iCs/>
        </w:rPr>
      </w:pPr>
    </w:p>
    <w:p w:rsidR="002648E8" w:rsidP="002648E8" w14:paraId="588677CD" w14:textId="0F046894">
      <w:pPr>
        <w:numPr>
          <w:ilvl w:val="0"/>
          <w:numId w:val="6"/>
        </w:numPr>
      </w:pPr>
      <w:r w:rsidRPr="00847CFD">
        <w:rPr>
          <w:b/>
          <w:bCs/>
        </w:rPr>
        <w:t>Separately Billing Doctors Event Form</w:t>
      </w:r>
      <w:r w:rsidRPr="00D87123">
        <w:rPr>
          <w:b/>
          <w:bCs/>
          <w:i/>
          <w:iCs/>
        </w:rPr>
        <w:t xml:space="preserve"> </w:t>
      </w:r>
      <w:r w:rsidRPr="00F9443E" w:rsidR="00336F9C">
        <w:rPr>
          <w:b/>
          <w:bCs/>
          <w:i/>
          <w:iCs/>
        </w:rPr>
        <w:t>–</w:t>
      </w:r>
      <w:r w:rsidRPr="00D87123">
        <w:rPr>
          <w:b/>
          <w:bCs/>
          <w:i/>
          <w:iCs/>
        </w:rPr>
        <w:t xml:space="preserve"> </w:t>
      </w:r>
      <w:r>
        <w:t xml:space="preserve">The MPC collects information from physicians identified by hospitals as providing care to household respondents during the course of an inpatient, outpatient, or emergency room care, but who will separately from the hospital itself. The information collected includes dates of visit, services provided, expenditures, and sources of payment. </w:t>
      </w:r>
      <w:r w:rsidR="008B3797">
        <w:t xml:space="preserve">The form is </w:t>
      </w:r>
      <w:r w:rsidR="003E28C9">
        <w:t xml:space="preserve">in Attachment </w:t>
      </w:r>
      <w:r w:rsidR="007B6A80">
        <w:t>5</w:t>
      </w:r>
      <w:r w:rsidR="007F5B90">
        <w:t>9</w:t>
      </w:r>
      <w:r w:rsidR="003E28C9">
        <w:t>.</w:t>
      </w:r>
    </w:p>
    <w:p w:rsidR="00BA4E8C" w:rsidRPr="00D87123" w:rsidP="00D87123" w14:paraId="6531299A" w14:textId="39AED9D3">
      <w:pPr>
        <w:ind w:left="450"/>
        <w:rPr>
          <w:i/>
          <w:iCs/>
        </w:rPr>
      </w:pPr>
    </w:p>
    <w:p w:rsidR="002648E8" w:rsidP="002648E8" w14:paraId="295A4CB3" w14:textId="7795ADAE">
      <w:pPr>
        <w:numPr>
          <w:ilvl w:val="0"/>
          <w:numId w:val="6"/>
        </w:numPr>
      </w:pPr>
      <w:r w:rsidRPr="00847CFD">
        <w:rPr>
          <w:b/>
          <w:bCs/>
        </w:rPr>
        <w:t xml:space="preserve">Hospital </w:t>
      </w:r>
      <w:r w:rsidRPr="00847CFD" w:rsidR="002B6943">
        <w:rPr>
          <w:b/>
          <w:bCs/>
        </w:rPr>
        <w:t>Event Form</w:t>
      </w:r>
      <w:r w:rsidR="00336F9C">
        <w:rPr>
          <w:b/>
          <w:bCs/>
          <w:i/>
          <w:iCs/>
        </w:rPr>
        <w:t xml:space="preserve"> </w:t>
      </w:r>
      <w:r w:rsidRPr="00F9443E" w:rsidR="00336F9C">
        <w:rPr>
          <w:b/>
          <w:bCs/>
          <w:i/>
          <w:iCs/>
        </w:rPr>
        <w:t>–</w:t>
      </w:r>
      <w:r>
        <w:t xml:space="preserve"> The MPC collects information about hospital events, including inpatient stays, outpatient department, and emergency room visits. Hospital data are collected not only from the billing department, but the medical records and administrative departments as well. Medical records are contacted to determine the doctors who treated the patient during a stay or visit. In many cases, the hospital administrative office also have to be contacted to </w:t>
      </w:r>
      <w:r w:rsidR="003264FB">
        <w:t>determine</w:t>
      </w:r>
      <w:r>
        <w:t xml:space="preserve"> whether the doctors identified by the medical records billed separately from the hospital itself. HMO hospitals are included as part of this data collection effort. </w:t>
      </w:r>
      <w:r w:rsidR="008B3797">
        <w:t xml:space="preserve">The form is </w:t>
      </w:r>
      <w:r w:rsidR="001A2BB1">
        <w:t xml:space="preserve">in Attachment </w:t>
      </w:r>
      <w:r w:rsidR="007F5B90">
        <w:t>60</w:t>
      </w:r>
      <w:r w:rsidR="001A2BB1">
        <w:t>.</w:t>
      </w:r>
    </w:p>
    <w:p w:rsidR="00D87123" w:rsidRPr="00D87123" w:rsidP="00D87123" w14:paraId="7C0802EB" w14:textId="77777777">
      <w:pPr>
        <w:pStyle w:val="ListParagraph"/>
        <w:tabs>
          <w:tab w:val="left" w:pos="720"/>
        </w:tabs>
        <w:rPr>
          <w:i/>
          <w:iCs/>
        </w:rPr>
      </w:pPr>
    </w:p>
    <w:p w:rsidR="002648E8" w:rsidP="002648E8" w14:paraId="7A096D56" w14:textId="3B47C84F">
      <w:pPr>
        <w:numPr>
          <w:ilvl w:val="0"/>
          <w:numId w:val="6"/>
        </w:numPr>
      </w:pPr>
      <w:r w:rsidRPr="00847CFD">
        <w:rPr>
          <w:b/>
          <w:bCs/>
        </w:rPr>
        <w:t>Institutions (non-hospital) Event Form</w:t>
      </w:r>
      <w:r>
        <w:rPr>
          <w:b/>
          <w:bCs/>
          <w:i/>
          <w:iCs/>
        </w:rPr>
        <w:t xml:space="preserve"> </w:t>
      </w:r>
      <w:r w:rsidRPr="00F9443E" w:rsidR="00336F9C">
        <w:rPr>
          <w:b/>
          <w:bCs/>
          <w:i/>
          <w:iCs/>
        </w:rPr>
        <w:t>–</w:t>
      </w:r>
      <w:r w:rsidRPr="002648E8">
        <w:t xml:space="preserve"> </w:t>
      </w:r>
      <w:r>
        <w:t xml:space="preserve">The MPC collects information on services and expenditures for household respondents who were admitted to a nursing home, rehabilitation center, or other non-hospital long-term health care facility. </w:t>
      </w:r>
      <w:r w:rsidR="008B3797">
        <w:t xml:space="preserve">The form is </w:t>
      </w:r>
      <w:r w:rsidR="001A2BB1">
        <w:t xml:space="preserve">in Attachment </w:t>
      </w:r>
      <w:r w:rsidR="00C111B1">
        <w:t>6</w:t>
      </w:r>
      <w:r w:rsidR="007F5B90">
        <w:t>1</w:t>
      </w:r>
      <w:r w:rsidR="001A2BB1">
        <w:t>.</w:t>
      </w:r>
    </w:p>
    <w:p w:rsidR="00D87123" w:rsidRPr="00CE4F63" w:rsidP="00CE4F63" w14:paraId="04FC8AF8" w14:textId="56B46C1C">
      <w:pPr>
        <w:tabs>
          <w:tab w:val="left" w:pos="720"/>
        </w:tabs>
        <w:rPr>
          <w:b/>
          <w:bCs/>
          <w:i/>
          <w:iCs/>
        </w:rPr>
      </w:pPr>
    </w:p>
    <w:p w:rsidR="00FD1734" w:rsidP="00FD1734" w14:paraId="5E7D3787" w14:textId="77777777">
      <w:pPr>
        <w:pStyle w:val="ListParagraph"/>
        <w:rPr>
          <w:i/>
          <w:iCs/>
        </w:rPr>
      </w:pPr>
    </w:p>
    <w:p w:rsidR="002648E8" w:rsidP="002648E8" w14:paraId="5142CEA3" w14:textId="601ACDD8">
      <w:pPr>
        <w:numPr>
          <w:ilvl w:val="0"/>
          <w:numId w:val="6"/>
        </w:numPr>
      </w:pPr>
      <w:r w:rsidRPr="00847CFD">
        <w:rPr>
          <w:b/>
          <w:bCs/>
        </w:rPr>
        <w:t>Phar</w:t>
      </w:r>
      <w:r w:rsidRPr="00847CFD" w:rsidR="00D87123">
        <w:rPr>
          <w:b/>
          <w:bCs/>
        </w:rPr>
        <w:t>macies</w:t>
      </w:r>
      <w:r w:rsidRPr="00847CFD">
        <w:rPr>
          <w:b/>
          <w:bCs/>
        </w:rPr>
        <w:t xml:space="preserve"> Event Form</w:t>
      </w:r>
      <w:r w:rsidR="008F23D7">
        <w:t xml:space="preserve"> </w:t>
      </w:r>
      <w:r w:rsidRPr="00F9443E" w:rsidR="00336F9C">
        <w:rPr>
          <w:b/>
          <w:bCs/>
          <w:i/>
          <w:iCs/>
        </w:rPr>
        <w:t>–</w:t>
      </w:r>
      <w:r w:rsidR="008F23D7">
        <w:t xml:space="preserve"> </w:t>
      </w:r>
      <w:r>
        <w:t xml:space="preserve">The MPC collects information from both corporate and non-corporate pharmacies, including drug stores, grocery stores, discount stores, mail order, online, clinics, HMOs, and Hospitals. The information collected includes a patient profile of the household respondent that reflects a listing of prescriptions given to the respondent, and includes dates prescriptions filled, medicine name, other drug characteristics, and sources and amounts of payments made. </w:t>
      </w:r>
      <w:r w:rsidR="008B3797">
        <w:t xml:space="preserve">The form is </w:t>
      </w:r>
      <w:r w:rsidR="001A2BB1">
        <w:t xml:space="preserve">in Attachment </w:t>
      </w:r>
      <w:r w:rsidR="007B6A80">
        <w:t>6</w:t>
      </w:r>
      <w:r w:rsidR="007F5B90">
        <w:t>2</w:t>
      </w:r>
      <w:r w:rsidR="001A2BB1">
        <w:t>.</w:t>
      </w:r>
    </w:p>
    <w:p w:rsidR="00DF29CC" w:rsidP="006014DB" w14:paraId="367ADD82" w14:textId="2B08E463"/>
    <w:p w:rsidR="00B0743C" w:rsidP="006014DB" w14:paraId="3624BC8C" w14:textId="77777777">
      <w:pPr>
        <w:rPr>
          <w:b/>
          <w:bCs/>
        </w:rPr>
      </w:pPr>
      <w:bookmarkStart w:id="22" w:name="_Hlk145074650"/>
    </w:p>
    <w:p w:rsidR="00B0743C" w:rsidP="006014DB" w14:paraId="5E79A822" w14:textId="77777777">
      <w:pPr>
        <w:rPr>
          <w:b/>
          <w:bCs/>
        </w:rPr>
      </w:pPr>
    </w:p>
    <w:p w:rsidR="00EC0D26" w:rsidP="006014DB" w14:paraId="0DE63F27" w14:textId="77777777">
      <w:pPr>
        <w:rPr>
          <w:b/>
          <w:bCs/>
        </w:rPr>
      </w:pPr>
    </w:p>
    <w:p w:rsidR="00313F32" w:rsidP="006014DB" w14:paraId="3232E6EE" w14:textId="77777777">
      <w:pPr>
        <w:rPr>
          <w:b/>
          <w:bCs/>
        </w:rPr>
      </w:pPr>
    </w:p>
    <w:p w:rsidR="007E01BD" w:rsidP="006014DB" w14:paraId="39528742" w14:textId="33392450">
      <w:pPr>
        <w:rPr>
          <w:b/>
          <w:bCs/>
        </w:rPr>
      </w:pPr>
      <w:r w:rsidRPr="00C07220">
        <w:rPr>
          <w:b/>
          <w:bCs/>
        </w:rPr>
        <w:t xml:space="preserve">Proposed </w:t>
      </w:r>
      <w:r w:rsidR="00674B3C">
        <w:rPr>
          <w:b/>
          <w:bCs/>
        </w:rPr>
        <w:t>Revisions</w:t>
      </w:r>
      <w:r w:rsidRPr="00C07220">
        <w:rPr>
          <w:b/>
          <w:bCs/>
        </w:rPr>
        <w:t xml:space="preserve"> for the </w:t>
      </w:r>
      <w:r w:rsidR="006A0ED0">
        <w:rPr>
          <w:b/>
          <w:bCs/>
        </w:rPr>
        <w:t xml:space="preserve">Spring and Fall </w:t>
      </w:r>
      <w:r w:rsidRPr="00C07220">
        <w:rPr>
          <w:b/>
          <w:bCs/>
        </w:rPr>
        <w:t>202</w:t>
      </w:r>
      <w:r>
        <w:rPr>
          <w:b/>
          <w:bCs/>
        </w:rPr>
        <w:t>5</w:t>
      </w:r>
      <w:r w:rsidRPr="00C07220">
        <w:rPr>
          <w:b/>
          <w:bCs/>
        </w:rPr>
        <w:t xml:space="preserve"> MEPS-HC</w:t>
      </w:r>
      <w:r>
        <w:rPr>
          <w:b/>
          <w:bCs/>
        </w:rPr>
        <w:t>:</w:t>
      </w:r>
    </w:p>
    <w:p w:rsidR="009540EA" w:rsidP="006014DB" w14:paraId="3DBC5C0C" w14:textId="7E241664">
      <w:pPr>
        <w:rPr>
          <w:b/>
          <w:bCs/>
        </w:rPr>
      </w:pPr>
    </w:p>
    <w:p w:rsidR="006054A9" w:rsidP="000F0228" w14:paraId="4F4ADAAF" w14:textId="7EA7B804">
      <w:pPr>
        <w:pStyle w:val="ListParagraph"/>
        <w:numPr>
          <w:ilvl w:val="0"/>
          <w:numId w:val="19"/>
        </w:numPr>
      </w:pPr>
      <w:r w:rsidRPr="00847CFD">
        <w:rPr>
          <w:b/>
          <w:bCs/>
        </w:rPr>
        <w:t>MEPS</w:t>
      </w:r>
      <w:r w:rsidR="002548ED">
        <w:rPr>
          <w:b/>
          <w:bCs/>
        </w:rPr>
        <w:t xml:space="preserve"> Core</w:t>
      </w:r>
      <w:r w:rsidRPr="00847CFD">
        <w:rPr>
          <w:b/>
          <w:bCs/>
        </w:rPr>
        <w:t xml:space="preserve"> Interview</w:t>
      </w:r>
      <w:r w:rsidRPr="00847CFD" w:rsidR="00520F14">
        <w:rPr>
          <w:b/>
          <w:bCs/>
        </w:rPr>
        <w:t xml:space="preserve"> and Adult SAQ</w:t>
      </w:r>
      <w:r>
        <w:t xml:space="preserve"> – The Core interview</w:t>
      </w:r>
      <w:r w:rsidR="00520F14">
        <w:t xml:space="preserve"> and the Adult SAQ</w:t>
      </w:r>
      <w:r>
        <w:t xml:space="preserve"> include</w:t>
      </w:r>
      <w:r w:rsidR="00520F14">
        <w:t xml:space="preserve"> four</w:t>
      </w:r>
      <w:r>
        <w:t xml:space="preserve"> </w:t>
      </w:r>
      <w:r w:rsidR="00520F14">
        <w:t xml:space="preserve">questions from the </w:t>
      </w:r>
      <w:r w:rsidRPr="006054A9" w:rsidR="00520F14">
        <w:t>Consumer Assessment of Healthcare Providers and Systems</w:t>
      </w:r>
      <w:r w:rsidR="00520F14">
        <w:t xml:space="preserve"> 5.0 (CAHPS 5.0)</w:t>
      </w:r>
      <w:r>
        <w:t xml:space="preserve">.  </w:t>
      </w:r>
      <w:r w:rsidR="00A019C9">
        <w:t xml:space="preserve">These questions </w:t>
      </w:r>
      <w:r w:rsidR="00520F14">
        <w:t xml:space="preserve">will have </w:t>
      </w:r>
      <w:r w:rsidR="00A019C9">
        <w:t xml:space="preserve">wording changes </w:t>
      </w:r>
      <w:r w:rsidR="00520F14">
        <w:t>to</w:t>
      </w:r>
      <w:r w:rsidR="00A019C9">
        <w:t xml:space="preserve"> update them to CAHPS 5.1.  </w:t>
      </w:r>
      <w:r>
        <w:t xml:space="preserve">These </w:t>
      </w:r>
      <w:r w:rsidR="00A019C9">
        <w:t>wording changes will help identify telehealth utilization and access, as well as maintain consistency between CAHPS and MEPS</w:t>
      </w:r>
      <w:r w:rsidR="00486FE7">
        <w:t>-HC</w:t>
      </w:r>
      <w:r w:rsidR="00A019C9">
        <w:t xml:space="preserve"> questionnaire items. </w:t>
      </w:r>
      <w:r w:rsidR="00520F14">
        <w:t xml:space="preserve"> Below are the four questions, both the current version and the proposed version:</w:t>
      </w:r>
    </w:p>
    <w:p w:rsidR="00A019C9" w:rsidP="00A019C9" w14:paraId="74F1B762" w14:textId="3EE416C8">
      <w:pPr>
        <w:rPr>
          <w:sz w:val="22"/>
          <w:szCs w:val="22"/>
        </w:rPr>
      </w:pPr>
      <w:r>
        <w:t xml:space="preserve"> </w:t>
      </w:r>
    </w:p>
    <w:p w:rsidR="006054A9" w:rsidRPr="006054A9" w:rsidP="000F0228" w14:paraId="3A8420CD" w14:textId="77777777">
      <w:pPr>
        <w:pStyle w:val="ListParagraph"/>
        <w:rPr>
          <w:b/>
          <w:bCs/>
        </w:rPr>
      </w:pPr>
      <w:r w:rsidRPr="006054A9">
        <w:rPr>
          <w:i/>
          <w:iCs/>
          <w:u w:val="single"/>
        </w:rPr>
        <w:t>Current:</w:t>
      </w:r>
      <w:r w:rsidRPr="006054A9">
        <w:t xml:space="preserve">  In the last 12 months, did {you/{PERSON}} have an illness, injury or condition that needed care right away in a clinic, emergency room, or doctor's office?</w:t>
      </w:r>
    </w:p>
    <w:p w:rsidR="00B82531" w:rsidRPr="006054A9" w:rsidP="000F0228" w14:paraId="7C3B9D12" w14:textId="683E565D">
      <w:pPr>
        <w:pStyle w:val="ListParagraph"/>
        <w:rPr>
          <w:b/>
          <w:bCs/>
        </w:rPr>
      </w:pPr>
      <w:r w:rsidRPr="006054A9">
        <w:rPr>
          <w:i/>
          <w:iCs/>
          <w:u w:val="single"/>
        </w:rPr>
        <w:t>Proposed:</w:t>
      </w:r>
      <w:r w:rsidRPr="006054A9">
        <w:t xml:space="preserve">  In the last 12 months, did {you/{PERSON}} have an illness, injury, or condition that needed care right away?</w:t>
      </w:r>
    </w:p>
    <w:p w:rsidR="00B82531" w:rsidP="000F0228" w14:paraId="1605A830" w14:textId="77777777">
      <w:pPr>
        <w:ind w:left="720"/>
      </w:pPr>
    </w:p>
    <w:p w:rsidR="00B82531" w:rsidRPr="006054A9" w:rsidP="000F0228" w14:paraId="644F6551" w14:textId="12B5FDFD">
      <w:pPr>
        <w:ind w:left="720"/>
      </w:pPr>
      <w:r w:rsidRPr="006054A9">
        <w:rPr>
          <w:i/>
          <w:iCs/>
          <w:u w:val="single"/>
        </w:rPr>
        <w:t>Current:</w:t>
      </w:r>
      <w:r>
        <w:t xml:space="preserve">  </w:t>
      </w:r>
      <w:r w:rsidRPr="00EA4512">
        <w:t>In the last 12 months, did you make any appointments for a check-up or routine care for {yourself/{PERSON}} at a doctor's office or clinic?</w:t>
      </w:r>
    </w:p>
    <w:p w:rsidR="00B82531" w:rsidP="000F0228" w14:paraId="693A97D7" w14:textId="73B4B5F6">
      <w:pPr>
        <w:ind w:left="720"/>
      </w:pPr>
      <w:r w:rsidRPr="006054A9">
        <w:rPr>
          <w:i/>
          <w:iCs/>
          <w:u w:val="single"/>
        </w:rPr>
        <w:t>Proposed:</w:t>
      </w:r>
      <w:r>
        <w:t xml:space="preserve">  </w:t>
      </w:r>
      <w:r w:rsidRPr="00EA4512">
        <w:t>In the last 12 months, did you make any in-person, phone, or video appointments for a check-up or routine care for {yourself/{PERSON}}?</w:t>
      </w:r>
    </w:p>
    <w:p w:rsidR="00B82531" w:rsidP="000F0228" w14:paraId="07DFFBB6" w14:textId="77777777">
      <w:pPr>
        <w:ind w:left="720"/>
      </w:pPr>
    </w:p>
    <w:p w:rsidR="00B82531" w:rsidRPr="006054A9" w:rsidP="000F0228" w14:paraId="1BD9A446" w14:textId="66758694">
      <w:pPr>
        <w:ind w:left="720"/>
      </w:pPr>
      <w:r w:rsidRPr="006054A9">
        <w:rPr>
          <w:i/>
          <w:iCs/>
          <w:u w:val="single"/>
        </w:rPr>
        <w:t>Current:</w:t>
      </w:r>
      <w:r>
        <w:t xml:space="preserve">  </w:t>
      </w:r>
      <w:r w:rsidRPr="00EA4512">
        <w:t>Looking at card CS-2, in the last 12 months, how often did you get an appointment for a check-up or routine care for {yourself/{PERSON}} at a doctor's office or clinic as soon as {you/he/she} needed?</w:t>
      </w:r>
    </w:p>
    <w:p w:rsidR="00B82531" w:rsidP="000F0228" w14:paraId="4ED9859D" w14:textId="4C9FFE9E">
      <w:pPr>
        <w:ind w:left="720"/>
      </w:pPr>
      <w:r w:rsidRPr="006054A9">
        <w:rPr>
          <w:i/>
          <w:iCs/>
          <w:u w:val="single"/>
        </w:rPr>
        <w:t>Proposed:</w:t>
      </w:r>
      <w:r>
        <w:t xml:space="preserve">  </w:t>
      </w:r>
      <w:r w:rsidRPr="00EA4512">
        <w:t>Looking at card CS-2,</w:t>
      </w:r>
      <w:r>
        <w:t xml:space="preserve"> i</w:t>
      </w:r>
      <w:r w:rsidRPr="00EA4512">
        <w:t>n the last 12 months, how often did you get an appointment for a check-up or routine care for {yourself/{PERSON}} as soon as {you/he/she} needed?</w:t>
      </w:r>
    </w:p>
    <w:p w:rsidR="00B82531" w:rsidP="000F0228" w14:paraId="09E7AA4F" w14:textId="77777777">
      <w:pPr>
        <w:ind w:left="720"/>
      </w:pPr>
    </w:p>
    <w:p w:rsidR="00B82531" w:rsidRPr="00B82531" w:rsidP="000F0228" w14:paraId="7D98AE4D" w14:textId="38C09194">
      <w:pPr>
        <w:ind w:left="720"/>
        <w:rPr>
          <w:u w:val="single"/>
        </w:rPr>
      </w:pPr>
      <w:r w:rsidRPr="006054A9">
        <w:rPr>
          <w:i/>
          <w:iCs/>
          <w:u w:val="single"/>
        </w:rPr>
        <w:t>Current:</w:t>
      </w:r>
      <w:r>
        <w:t xml:space="preserve">  </w:t>
      </w:r>
      <w:r w:rsidRPr="002138FA">
        <w:t>Looking at card CS-3, in the last 12 months, not counting times {you/{PERSON}} went to an emergency room, how many times did {you/he/she} go to a doctor's office or clinic to get health care?</w:t>
      </w:r>
    </w:p>
    <w:p w:rsidR="00B82531" w:rsidRPr="00B82531" w:rsidP="000F0228" w14:paraId="3E299799" w14:textId="5D35DD1F">
      <w:pPr>
        <w:ind w:left="720"/>
        <w:rPr>
          <w:u w:val="single"/>
        </w:rPr>
      </w:pPr>
      <w:r w:rsidRPr="006054A9">
        <w:rPr>
          <w:i/>
          <w:iCs/>
          <w:u w:val="single"/>
        </w:rPr>
        <w:t>Proposed:</w:t>
      </w:r>
      <w:r>
        <w:t xml:space="preserve">  </w:t>
      </w:r>
      <w:r w:rsidRPr="002138FA">
        <w:t>Looking at card CS-3,</w:t>
      </w:r>
      <w:r>
        <w:t xml:space="preserve"> i</w:t>
      </w:r>
      <w:r w:rsidRPr="002138FA">
        <w:t>n the last 12 months, not counting the times {you/{PERSON}} went to an emergency room, how many times did {you/he/she} get health care in person, by phone, or by video?</w:t>
      </w:r>
    </w:p>
    <w:p w:rsidR="007E01BD" w:rsidP="006014DB" w14:paraId="5C1551BD" w14:textId="38EDA9AF">
      <w:pPr>
        <w:rPr>
          <w:b/>
          <w:bCs/>
        </w:rPr>
      </w:pPr>
    </w:p>
    <w:p w:rsidR="00176100" w:rsidP="000D010F" w14:paraId="678C067E" w14:textId="6658E5E8">
      <w:pPr>
        <w:pStyle w:val="ListParagraph"/>
        <w:numPr>
          <w:ilvl w:val="0"/>
          <w:numId w:val="19"/>
        </w:numPr>
        <w:rPr>
          <w:iCs/>
        </w:rPr>
      </w:pPr>
      <w:r w:rsidRPr="00847CFD">
        <w:rPr>
          <w:b/>
          <w:bCs/>
        </w:rPr>
        <w:t>Burdens and Economic Impacts of Medical Care Self-Administered Questionnaire (</w:t>
      </w:r>
      <w:r w:rsidRPr="00847CFD" w:rsidR="0035550A">
        <w:rPr>
          <w:b/>
          <w:bCs/>
        </w:rPr>
        <w:t>E</w:t>
      </w:r>
      <w:r w:rsidRPr="00847CFD">
        <w:rPr>
          <w:b/>
          <w:bCs/>
        </w:rPr>
        <w:t>SAQ)</w:t>
      </w:r>
      <w:r w:rsidR="00A544AE">
        <w:t xml:space="preserve"> - </w:t>
      </w:r>
      <w:r w:rsidRPr="00A544AE" w:rsidR="00A544AE">
        <w:t>The Office of the</w:t>
      </w:r>
      <w:r>
        <w:t xml:space="preserve"> Secretary – Patient Centered Outcomes Research Trust Fund</w:t>
      </w:r>
      <w:r w:rsidRPr="00A544AE" w:rsidR="00A544AE">
        <w:t xml:space="preserve"> is funding </w:t>
      </w:r>
      <w:r w:rsidR="00D13C71">
        <w:t>this SAQ</w:t>
      </w:r>
      <w:r w:rsidRPr="00A544AE" w:rsidR="00A544AE">
        <w:t xml:space="preserve"> to expand the collection of economic outcomes data for patient-centered outcomes research (PCOR) via the Medical Expenditure Panel Survey (MEPS).</w:t>
      </w:r>
      <w:r w:rsidR="00D13C71">
        <w:t xml:space="preserve">  </w:t>
      </w:r>
      <w:r w:rsidRPr="00153780" w:rsidR="00153780">
        <w:t xml:space="preserve">The </w:t>
      </w:r>
      <w:r w:rsidR="004A7ACC">
        <w:t>E</w:t>
      </w:r>
      <w:r w:rsidRPr="00153780" w:rsidR="00153780">
        <w:t xml:space="preserve">SAQ will be completed during Round 3, Panel 30 and Round 5, Panel 29 (Spring 2025) by adult household members (aged 18 and over). </w:t>
      </w:r>
      <w:r w:rsidR="00A03517">
        <w:rPr>
          <w:iCs/>
        </w:rPr>
        <w:t xml:space="preserve">The </w:t>
      </w:r>
      <w:r w:rsidR="004A7ACC">
        <w:rPr>
          <w:iCs/>
        </w:rPr>
        <w:t>E</w:t>
      </w:r>
      <w:r w:rsidR="00A03517">
        <w:rPr>
          <w:iCs/>
        </w:rPr>
        <w:t xml:space="preserve">SAQ will be administered in a mixed-mode of paper and online.  </w:t>
      </w:r>
      <w:r w:rsidRPr="009510A2" w:rsidR="00A03517">
        <w:rPr>
          <w:iCs/>
        </w:rPr>
        <w:t xml:space="preserve">Respondents will be offered a $20.00 monetary incentive to complete the </w:t>
      </w:r>
      <w:r w:rsidR="004A7ACC">
        <w:rPr>
          <w:iCs/>
        </w:rPr>
        <w:t>E</w:t>
      </w:r>
      <w:r w:rsidRPr="009510A2" w:rsidR="00A03517">
        <w:rPr>
          <w:iCs/>
        </w:rPr>
        <w:t xml:space="preserve">SAQ. </w:t>
      </w:r>
      <w:r w:rsidR="00A03517">
        <w:rPr>
          <w:iCs/>
        </w:rPr>
        <w:t xml:space="preserve"> </w:t>
      </w:r>
      <w:r w:rsidRPr="00153780" w:rsidR="00153780">
        <w:t xml:space="preserve">This is a one-time </w:t>
      </w:r>
      <w:r w:rsidR="004A7ACC">
        <w:t>data collection</w:t>
      </w:r>
      <w:r w:rsidR="009510A2">
        <w:t xml:space="preserve"> and</w:t>
      </w:r>
      <w:r w:rsidR="004A7ACC">
        <w:t xml:space="preserve"> the ESAQ</w:t>
      </w:r>
      <w:r w:rsidR="009510A2">
        <w:t xml:space="preserve"> will be removed from the MEPS after the 2025 fielding</w:t>
      </w:r>
      <w:r w:rsidRPr="00153780" w:rsidR="00153780">
        <w:t>.</w:t>
      </w:r>
      <w:r w:rsidR="00153780">
        <w:t xml:space="preserve"> </w:t>
      </w:r>
      <w:r>
        <w:rPr>
          <w:iCs/>
        </w:rPr>
        <w:t>T</w:t>
      </w:r>
      <w:r w:rsidRPr="00D13C71" w:rsidR="009510A2">
        <w:rPr>
          <w:iCs/>
        </w:rPr>
        <w:t>he goal of th</w:t>
      </w:r>
      <w:r w:rsidR="004A7ACC">
        <w:rPr>
          <w:iCs/>
        </w:rPr>
        <w:t>e</w:t>
      </w:r>
      <w:r w:rsidRPr="00D13C71" w:rsidR="009510A2">
        <w:rPr>
          <w:iCs/>
        </w:rPr>
        <w:t xml:space="preserve"> </w:t>
      </w:r>
      <w:r w:rsidR="004A7ACC">
        <w:rPr>
          <w:iCs/>
        </w:rPr>
        <w:t>E</w:t>
      </w:r>
      <w:r w:rsidRPr="00D13C71" w:rsidR="009510A2">
        <w:rPr>
          <w:iCs/>
        </w:rPr>
        <w:t xml:space="preserve">SAQ is to </w:t>
      </w:r>
      <w:r w:rsidR="008324D7">
        <w:rPr>
          <w:iCs/>
        </w:rPr>
        <w:t xml:space="preserve">enhance the </w:t>
      </w:r>
      <w:r w:rsidRPr="008324D7" w:rsidR="008324D7">
        <w:rPr>
          <w:iCs/>
        </w:rPr>
        <w:t xml:space="preserve">MEPS </w:t>
      </w:r>
      <w:r w:rsidR="00283D80">
        <w:rPr>
          <w:iCs/>
        </w:rPr>
        <w:t xml:space="preserve">data </w:t>
      </w:r>
      <w:r w:rsidRPr="008324D7" w:rsidR="008324D7">
        <w:rPr>
          <w:iCs/>
        </w:rPr>
        <w:t xml:space="preserve">by adding new domains related to </w:t>
      </w:r>
      <w:r w:rsidR="00283D80">
        <w:rPr>
          <w:iCs/>
        </w:rPr>
        <w:t xml:space="preserve">the </w:t>
      </w:r>
      <w:r w:rsidRPr="008324D7" w:rsidR="008324D7">
        <w:rPr>
          <w:iCs/>
        </w:rPr>
        <w:t xml:space="preserve">economic burdens </w:t>
      </w:r>
      <w:r w:rsidRPr="008324D7" w:rsidR="008324D7">
        <w:rPr>
          <w:iCs/>
        </w:rPr>
        <w:t>of seeking and receiving health care</w:t>
      </w:r>
      <w:r>
        <w:rPr>
          <w:iCs/>
        </w:rPr>
        <w:t>,</w:t>
      </w:r>
      <w:r w:rsidRPr="008324D7" w:rsidR="008324D7">
        <w:rPr>
          <w:iCs/>
        </w:rPr>
        <w:t xml:space="preserve"> </w:t>
      </w:r>
      <w:r w:rsidR="0035550A">
        <w:rPr>
          <w:iCs/>
        </w:rPr>
        <w:t>to</w:t>
      </w:r>
      <w:r w:rsidRPr="008324D7" w:rsidR="008324D7">
        <w:rPr>
          <w:iCs/>
        </w:rPr>
        <w:t xml:space="preserve"> study economic outcomes in </w:t>
      </w:r>
      <w:r w:rsidRPr="00D13C71" w:rsidR="009510A2">
        <w:rPr>
          <w:iCs/>
        </w:rPr>
        <w:t>patient-centered outcomes research.</w:t>
      </w:r>
      <w:r w:rsidR="009510A2">
        <w:rPr>
          <w:iCs/>
        </w:rPr>
        <w:t xml:space="preserve">  </w:t>
      </w:r>
      <w:r w:rsidR="003738EB">
        <w:rPr>
          <w:iCs/>
        </w:rPr>
        <w:t>The questionnaire is in Attachment 6</w:t>
      </w:r>
      <w:r w:rsidR="007F5B90">
        <w:rPr>
          <w:iCs/>
        </w:rPr>
        <w:t>3</w:t>
      </w:r>
      <w:r w:rsidR="003738EB">
        <w:rPr>
          <w:iCs/>
        </w:rPr>
        <w:t>.</w:t>
      </w:r>
    </w:p>
    <w:p w:rsidR="00176100" w:rsidRPr="00176100" w:rsidP="000D010F" w14:paraId="39886490" w14:textId="77777777">
      <w:pPr>
        <w:pStyle w:val="ListParagraph"/>
        <w:rPr>
          <w:iCs/>
        </w:rPr>
      </w:pPr>
    </w:p>
    <w:p w:rsidR="00176100" w:rsidP="00176100" w14:paraId="07BE7E74" w14:textId="28FBFECE">
      <w:pPr>
        <w:pStyle w:val="ListParagraph"/>
        <w:rPr>
          <w:iCs/>
        </w:rPr>
      </w:pPr>
      <w:r w:rsidRPr="006F5FEB">
        <w:rPr>
          <w:iCs/>
        </w:rPr>
        <w:t xml:space="preserve">There is no other survey that is now or has been recently conducted that will meet the objectives of the </w:t>
      </w:r>
      <w:r w:rsidR="004A7ACC">
        <w:rPr>
          <w:iCs/>
        </w:rPr>
        <w:t>E</w:t>
      </w:r>
      <w:r w:rsidRPr="006F5FEB">
        <w:rPr>
          <w:iCs/>
        </w:rPr>
        <w:t xml:space="preserve">SAQ. </w:t>
      </w:r>
      <w:r w:rsidRPr="00D13C71" w:rsidR="00D13C71">
        <w:t xml:space="preserve">The </w:t>
      </w:r>
      <w:r w:rsidR="0035550A">
        <w:t>E</w:t>
      </w:r>
      <w:r w:rsidRPr="00D13C71" w:rsidR="00D13C71">
        <w:t xml:space="preserve">SAQ </w:t>
      </w:r>
      <w:r w:rsidR="008324D7">
        <w:t>will supplement MEPS data on direct care expenditures with data on major indirect costs, including time costs of getting care and administrative hassles; lost work productivity due to presenteeism, lost productivity in non-market activities, and time costs of informal care</w:t>
      </w:r>
      <w:r w:rsidRPr="00D13C71" w:rsidR="00D13C71">
        <w:t>.</w:t>
      </w:r>
      <w:r w:rsidR="00D13C71">
        <w:t xml:space="preserve">  </w:t>
      </w:r>
      <w:r w:rsidRPr="00D13C71" w:rsidR="00D13C71">
        <w:rPr>
          <w:iCs/>
        </w:rPr>
        <w:t>With this new data, researchers will be able to better examine health care economic burdens and equity in health care access, utilization, and outcomes</w:t>
      </w:r>
      <w:r w:rsidR="00F453B3">
        <w:rPr>
          <w:iCs/>
        </w:rPr>
        <w:t>, for example to aggregate social costs of health care and poor health, examine indirect costs associated with common conditions, and analyze disparities and equity in indirect costs</w:t>
      </w:r>
      <w:r w:rsidRPr="00D13C71" w:rsidR="00D13C71">
        <w:rPr>
          <w:iCs/>
        </w:rPr>
        <w:t xml:space="preserve">. </w:t>
      </w:r>
    </w:p>
    <w:p w:rsidR="00176100" w:rsidP="00176100" w14:paraId="68CEEB60" w14:textId="77777777">
      <w:pPr>
        <w:pStyle w:val="ListParagraph"/>
        <w:rPr>
          <w:iCs/>
        </w:rPr>
      </w:pPr>
    </w:p>
    <w:p w:rsidR="00DC4817" w:rsidRPr="002555CA" w:rsidP="002555CA" w14:paraId="4104D8D6" w14:textId="1EB680D5">
      <w:pPr>
        <w:pStyle w:val="ListParagraph"/>
        <w:rPr>
          <w:iCs/>
        </w:rPr>
      </w:pPr>
      <w:r w:rsidRPr="00E874DA">
        <w:rPr>
          <w:iCs/>
        </w:rPr>
        <w:t xml:space="preserve">In developing the </w:t>
      </w:r>
      <w:r w:rsidR="0035550A">
        <w:rPr>
          <w:iCs/>
        </w:rPr>
        <w:t>E</w:t>
      </w:r>
      <w:r w:rsidRPr="00E874DA">
        <w:rPr>
          <w:iCs/>
        </w:rPr>
        <w:t xml:space="preserve">SAQ, AHRQ consulted with several experts in the area and used their expertise to identify </w:t>
      </w:r>
      <w:r w:rsidR="00F453B3">
        <w:rPr>
          <w:iCs/>
        </w:rPr>
        <w:t xml:space="preserve">priority topics and </w:t>
      </w:r>
      <w:r w:rsidRPr="00E874DA">
        <w:rPr>
          <w:iCs/>
        </w:rPr>
        <w:t xml:space="preserve">questions that have already been tested and widely accepted. </w:t>
      </w:r>
      <w:r w:rsidR="000D159C">
        <w:rPr>
          <w:iCs/>
        </w:rPr>
        <w:t>Nearly a</w:t>
      </w:r>
      <w:r w:rsidRPr="00E874DA">
        <w:rPr>
          <w:iCs/>
        </w:rPr>
        <w:t xml:space="preserve">ll items are either from Federal surveys, </w:t>
      </w:r>
      <w:r w:rsidR="0035550A">
        <w:rPr>
          <w:iCs/>
        </w:rPr>
        <w:t>federally</w:t>
      </w:r>
      <w:r w:rsidRPr="00E874DA">
        <w:rPr>
          <w:iCs/>
        </w:rPr>
        <w:t xml:space="preserve"> funded surveys, or adapted from instruments that have been carefully validated.</w:t>
      </w:r>
      <w:r w:rsidR="000D159C">
        <w:rPr>
          <w:iCs/>
        </w:rPr>
        <w:t xml:space="preserve"> Two questions related to affordability and access are from Kaiser Family Foundation surveys. </w:t>
      </w:r>
      <w:r w:rsidR="003F36C4">
        <w:rPr>
          <w:iCs/>
        </w:rPr>
        <w:t xml:space="preserve">One question about informal care was cognitively tested in a prior question development project. </w:t>
      </w:r>
      <w:r w:rsidR="000D159C">
        <w:rPr>
          <w:iCs/>
        </w:rPr>
        <w:t xml:space="preserve">One question </w:t>
      </w:r>
      <w:r w:rsidR="00590AF2">
        <w:rPr>
          <w:iCs/>
        </w:rPr>
        <w:t xml:space="preserve">on the high-priority topic of administrative hassles of health insurance </w:t>
      </w:r>
      <w:r w:rsidR="007D399A">
        <w:rPr>
          <w:iCs/>
        </w:rPr>
        <w:t xml:space="preserve">was developed from </w:t>
      </w:r>
      <w:r w:rsidR="00590AF2">
        <w:rPr>
          <w:iCs/>
        </w:rPr>
        <w:t xml:space="preserve">phrases </w:t>
      </w:r>
      <w:r w:rsidR="003F36C4">
        <w:rPr>
          <w:iCs/>
        </w:rPr>
        <w:t xml:space="preserve">from the carefully tested and widely accepted </w:t>
      </w:r>
      <w:r w:rsidR="00590AF2">
        <w:rPr>
          <w:iCs/>
        </w:rPr>
        <w:t>Consumer Assessment of Health Plans and Systems</w:t>
      </w:r>
      <w:r w:rsidR="007D399A">
        <w:rPr>
          <w:iCs/>
        </w:rPr>
        <w:t>.</w:t>
      </w:r>
      <w:r w:rsidR="00590AF2">
        <w:rPr>
          <w:iCs/>
        </w:rPr>
        <w:t xml:space="preserve"> </w:t>
      </w:r>
      <w:r w:rsidR="007D399A">
        <w:rPr>
          <w:iCs/>
        </w:rPr>
        <w:t xml:space="preserve"> </w:t>
      </w:r>
    </w:p>
    <w:p w:rsidR="009540EA" w:rsidP="006014DB" w14:paraId="4951C767" w14:textId="6E2BD655"/>
    <w:p w:rsidR="006A1DDD" w:rsidP="006A1DDD" w14:paraId="487BB38B" w14:textId="4FBDF3A4">
      <w:pPr>
        <w:pStyle w:val="ListParagraph"/>
        <w:numPr>
          <w:ilvl w:val="0"/>
          <w:numId w:val="19"/>
        </w:numPr>
        <w:rPr>
          <w:iCs/>
        </w:rPr>
      </w:pPr>
      <w:r w:rsidRPr="00AE4365">
        <w:rPr>
          <w:b/>
          <w:bCs/>
        </w:rPr>
        <w:t>Cancer Self-Administered Questionnaire (CSAQ)</w:t>
      </w:r>
      <w:r>
        <w:t xml:space="preserve"> – The CSAQ will be removed from the 2025 MEPS-HC.</w:t>
      </w:r>
      <w:r>
        <w:t xml:space="preserve"> </w:t>
      </w:r>
      <w:r>
        <w:rPr>
          <w:iCs/>
        </w:rPr>
        <w:t>The questionnaire is in Attachment 51.</w:t>
      </w:r>
    </w:p>
    <w:p w:rsidR="00DC4817" w:rsidP="006A1DDD" w14:paraId="22CA6C66" w14:textId="4CA3AAD8">
      <w:pPr>
        <w:pStyle w:val="ListParagraph"/>
      </w:pPr>
    </w:p>
    <w:p w:rsidR="00527BBD" w:rsidRPr="00527BBD" w:rsidP="006014DB" w14:paraId="2290A4BC" w14:textId="2E1BBF3A">
      <w:bookmarkStart w:id="23" w:name="_Hlk163029324"/>
      <w:r w:rsidRPr="00527BBD">
        <w:t xml:space="preserve">This study is being conducted by AHRQ through its contractor, </w:t>
      </w:r>
      <w:r w:rsidR="00ED29CD">
        <w:t>Westat</w:t>
      </w:r>
      <w:r w:rsidRPr="00527BBD">
        <w:t xml:space="preserve">, pursuant to AHRQ’s statutory authority to conduct and support research on healthcare and on systems for the delivery of such care, including activities with respect to the quality, effectiveness, efficiency, </w:t>
      </w:r>
      <w:r w:rsidRPr="00527BBD" w:rsidR="004A51FD">
        <w:t>appropriateness,</w:t>
      </w:r>
      <w:r w:rsidRPr="00527BBD">
        <w:t xml:space="preserve"> and value of healthcare services and with respect to quality measurement and improvement.  42 U.S.C. 299a(a)(1) and (2).</w:t>
      </w:r>
    </w:p>
    <w:p w:rsidR="009B633D" w:rsidRPr="00983636" w:rsidP="009B633D" w14:paraId="220C9857" w14:textId="77777777">
      <w:pPr>
        <w:pStyle w:val="Heading2"/>
        <w:rPr>
          <w:sz w:val="24"/>
        </w:rPr>
      </w:pPr>
      <w:bookmarkStart w:id="24" w:name="_Toc151782177"/>
      <w:bookmarkStart w:id="25" w:name="_Toc158526217"/>
      <w:bookmarkEnd w:id="22"/>
      <w:bookmarkEnd w:id="23"/>
      <w:r w:rsidRPr="00983636">
        <w:rPr>
          <w:sz w:val="24"/>
        </w:rPr>
        <w:t>2. Purpose and Use of Information</w:t>
      </w:r>
      <w:bookmarkEnd w:id="24"/>
      <w:bookmarkEnd w:id="25"/>
    </w:p>
    <w:p w:rsidR="009B2EEA" w:rsidRPr="009B2EEA" w:rsidP="009B2EEA" w14:paraId="583D057D" w14:textId="77777777">
      <w:bookmarkStart w:id="26" w:name="_Toc151782178"/>
      <w:bookmarkStart w:id="27" w:name="_Toc158526218"/>
      <w:r w:rsidRPr="009B2EEA">
        <w:t>The MEPS is a multi-purpose survey.  In addition to collecting data to yield annual estimates for a variety of measures related to health care use and expenditures, MEPS also provides estimates of measures related to health status, consumer assessment of health care, health insurance coverage, demographic characteristics, employment and access to health care indicators.   Estimates can be provided for individuals, families and population subgroups of interest.  Data obtained in this study are used to provide, among others, the following national estimates:</w:t>
      </w:r>
    </w:p>
    <w:p w:rsidR="009B2EEA" w:rsidRPr="009B2EEA" w:rsidP="009B2EEA" w14:paraId="38087BFB" w14:textId="77777777"/>
    <w:p w:rsidR="009B2EEA" w:rsidRPr="009B2EEA" w:rsidP="006B2AFD" w14:paraId="3889116B" w14:textId="77777777">
      <w:pPr>
        <w:widowControl w:val="0"/>
        <w:numPr>
          <w:ilvl w:val="0"/>
          <w:numId w:val="8"/>
        </w:numPr>
        <w:tabs>
          <w:tab w:val="left" w:pos="-1440"/>
        </w:tabs>
        <w:autoSpaceDE w:val="0"/>
        <w:autoSpaceDN w:val="0"/>
        <w:adjustRightInd w:val="0"/>
      </w:pPr>
      <w:r w:rsidRPr="009B2EEA">
        <w:t>annual estimates of health care use and expenditures for persons and families</w:t>
      </w:r>
    </w:p>
    <w:p w:rsidR="009B2EEA" w:rsidRPr="009B2EEA" w:rsidP="006B2AFD" w14:paraId="7D6E096A" w14:textId="77777777">
      <w:pPr>
        <w:widowControl w:val="0"/>
        <w:numPr>
          <w:ilvl w:val="0"/>
          <w:numId w:val="8"/>
        </w:numPr>
        <w:tabs>
          <w:tab w:val="left" w:pos="-1440"/>
        </w:tabs>
        <w:autoSpaceDE w:val="0"/>
        <w:autoSpaceDN w:val="0"/>
        <w:adjustRightInd w:val="0"/>
      </w:pPr>
      <w:r w:rsidRPr="009B2EEA">
        <w:t>annual estimates of sources of payment for health care utilizations, including public programs such as Medicare and Medicaid, private insurance, and out of pocket payments</w:t>
      </w:r>
    </w:p>
    <w:p w:rsidR="009B2EEA" w:rsidRPr="009B2EEA" w:rsidP="006B2AFD" w14:paraId="016C15A8" w14:textId="66B39AF7">
      <w:pPr>
        <w:widowControl w:val="0"/>
        <w:numPr>
          <w:ilvl w:val="0"/>
          <w:numId w:val="8"/>
        </w:numPr>
        <w:tabs>
          <w:tab w:val="left" w:pos="-1440"/>
        </w:tabs>
        <w:autoSpaceDE w:val="0"/>
        <w:autoSpaceDN w:val="0"/>
        <w:adjustRightInd w:val="0"/>
      </w:pPr>
      <w:r w:rsidRPr="009B2EEA">
        <w:t xml:space="preserve">annual estimates of health care use, </w:t>
      </w:r>
      <w:r w:rsidRPr="009B2EEA" w:rsidR="004A51FD">
        <w:t>expenditures,</w:t>
      </w:r>
      <w:r w:rsidRPr="009B2EEA">
        <w:t xml:space="preserve"> and sources of payment of persons and families by type of utilization including inpatient stay, ambulatory care, home health, dental care and prescribed medications</w:t>
      </w:r>
    </w:p>
    <w:p w:rsidR="009B2EEA" w:rsidRPr="009B2EEA" w:rsidP="006B2AFD" w14:paraId="2A87821C" w14:textId="77777777">
      <w:pPr>
        <w:widowControl w:val="0"/>
        <w:numPr>
          <w:ilvl w:val="0"/>
          <w:numId w:val="8"/>
        </w:numPr>
        <w:tabs>
          <w:tab w:val="left" w:pos="-1440"/>
        </w:tabs>
        <w:autoSpaceDE w:val="0"/>
        <w:autoSpaceDN w:val="0"/>
        <w:adjustRightInd w:val="0"/>
      </w:pPr>
      <w:r w:rsidRPr="009B2EEA">
        <w:t>the number and characteristics of the population eligible for public programs including the use of services and expenditures of the population(s) eligible for benefits under Medicare and Medicaid</w:t>
      </w:r>
    </w:p>
    <w:p w:rsidR="009B2EEA" w:rsidRPr="009B2EEA" w:rsidP="006B2AFD" w14:paraId="2B9728DE" w14:textId="77777777">
      <w:pPr>
        <w:widowControl w:val="0"/>
        <w:numPr>
          <w:ilvl w:val="0"/>
          <w:numId w:val="8"/>
        </w:numPr>
        <w:tabs>
          <w:tab w:val="left" w:pos="-1440"/>
        </w:tabs>
        <w:autoSpaceDE w:val="0"/>
        <w:autoSpaceDN w:val="0"/>
        <w:adjustRightInd w:val="0"/>
      </w:pPr>
      <w:r w:rsidRPr="009B2EEA">
        <w:t>the number, characteristics, and use of services and expenditures of persons and families with various forms of insurance</w:t>
      </w:r>
    </w:p>
    <w:p w:rsidR="009B2EEA" w:rsidRPr="009B2EEA" w:rsidP="006B2AFD" w14:paraId="61079092" w14:textId="77777777">
      <w:pPr>
        <w:widowControl w:val="0"/>
        <w:numPr>
          <w:ilvl w:val="0"/>
          <w:numId w:val="8"/>
        </w:numPr>
        <w:tabs>
          <w:tab w:val="left" w:pos="-1440"/>
        </w:tabs>
        <w:autoSpaceDE w:val="0"/>
        <w:autoSpaceDN w:val="0"/>
        <w:adjustRightInd w:val="0"/>
      </w:pPr>
      <w:r w:rsidRPr="009B2EEA">
        <w:t>annual estimates of consumer satisfaction with health care, and indicators of health care quality for key conditions</w:t>
      </w:r>
    </w:p>
    <w:p w:rsidR="009B2EEA" w:rsidRPr="009B2EEA" w:rsidP="006B2AFD" w14:paraId="7A4210E8" w14:textId="77777777">
      <w:pPr>
        <w:widowControl w:val="0"/>
        <w:numPr>
          <w:ilvl w:val="0"/>
          <w:numId w:val="8"/>
        </w:numPr>
        <w:tabs>
          <w:tab w:val="left" w:pos="-1440"/>
        </w:tabs>
        <w:autoSpaceDE w:val="0"/>
        <w:autoSpaceDN w:val="0"/>
        <w:adjustRightInd w:val="0"/>
      </w:pPr>
      <w:r w:rsidRPr="009B2EEA">
        <w:t>annual estimates to track disparities in health care use and access</w:t>
      </w:r>
    </w:p>
    <w:p w:rsidR="009B2EEA" w:rsidRPr="009B2EEA" w:rsidP="009B2EEA" w14:paraId="538F90F6" w14:textId="77777777"/>
    <w:p w:rsidR="009B2EEA" w:rsidRPr="009B2EEA" w:rsidP="009B2EEA" w14:paraId="45B910CC" w14:textId="77777777">
      <w:r w:rsidRPr="009B2EEA">
        <w:t>In addition to national estimates, data collected in this ongoing longitudinal study are used to study the determinants of the use of services and expenditures, and changes in the access to and the provision of health care in relation to:</w:t>
      </w:r>
    </w:p>
    <w:p w:rsidR="009B2EEA" w:rsidRPr="009B2EEA" w:rsidP="009B2EEA" w14:paraId="67C63D5F" w14:textId="77777777"/>
    <w:p w:rsidR="009B2EEA" w:rsidRPr="009B2EEA" w:rsidP="006B2AFD" w14:paraId="3B2D487E" w14:textId="77777777">
      <w:pPr>
        <w:widowControl w:val="0"/>
        <w:numPr>
          <w:ilvl w:val="0"/>
          <w:numId w:val="9"/>
        </w:numPr>
        <w:tabs>
          <w:tab w:val="left" w:pos="-1440"/>
        </w:tabs>
        <w:autoSpaceDE w:val="0"/>
        <w:autoSpaceDN w:val="0"/>
        <w:adjustRightInd w:val="0"/>
      </w:pPr>
      <w:r w:rsidRPr="009B2EEA">
        <w:t>socio-economic and demographic factors such as employment or income</w:t>
      </w:r>
    </w:p>
    <w:p w:rsidR="009B2EEA" w:rsidRPr="009B2EEA" w:rsidP="006B2AFD" w14:paraId="5342E197" w14:textId="77777777">
      <w:pPr>
        <w:widowControl w:val="0"/>
        <w:numPr>
          <w:ilvl w:val="0"/>
          <w:numId w:val="9"/>
        </w:numPr>
        <w:tabs>
          <w:tab w:val="left" w:pos="-1440"/>
        </w:tabs>
        <w:autoSpaceDE w:val="0"/>
        <w:autoSpaceDN w:val="0"/>
        <w:adjustRightInd w:val="0"/>
      </w:pPr>
      <w:r w:rsidRPr="009B2EEA">
        <w:t>the health status and satisfaction with health care of individuals and families</w:t>
      </w:r>
    </w:p>
    <w:p w:rsidR="009B2EEA" w:rsidRPr="009B2EEA" w:rsidP="006B2AFD" w14:paraId="47D53333" w14:textId="77777777">
      <w:pPr>
        <w:widowControl w:val="0"/>
        <w:numPr>
          <w:ilvl w:val="0"/>
          <w:numId w:val="9"/>
        </w:numPr>
        <w:tabs>
          <w:tab w:val="left" w:pos="-1440"/>
        </w:tabs>
        <w:autoSpaceDE w:val="0"/>
        <w:autoSpaceDN w:val="0"/>
        <w:adjustRightInd w:val="0"/>
      </w:pPr>
      <w:r w:rsidRPr="009B2EEA">
        <w:t>the health needs and circumstances of specific subpopulation groups such as the elderly and children</w:t>
      </w:r>
    </w:p>
    <w:p w:rsidR="009B2EEA" w:rsidRPr="009B2EEA" w:rsidP="009B2EEA" w14:paraId="591A0118" w14:textId="77777777"/>
    <w:p w:rsidR="009B2EEA" w:rsidRPr="009B2EEA" w:rsidP="009B2EEA" w14:paraId="55A8E031" w14:textId="77777777">
      <w:r w:rsidRPr="009B2EEA">
        <w:t>To meet the need for national data on healthcare use, access, cost and quality, MEPS-HC collects information on:</w:t>
      </w:r>
    </w:p>
    <w:p w:rsidR="009B2EEA" w:rsidRPr="009B2EEA" w:rsidP="009B2EEA" w14:paraId="4AAD95E9" w14:textId="77777777"/>
    <w:p w:rsidR="009B2EEA" w:rsidRPr="009B2EEA" w:rsidP="006B2AFD" w14:paraId="005CEAE2" w14:textId="77777777">
      <w:pPr>
        <w:widowControl w:val="0"/>
        <w:numPr>
          <w:ilvl w:val="0"/>
          <w:numId w:val="10"/>
        </w:numPr>
        <w:tabs>
          <w:tab w:val="left" w:pos="-1440"/>
        </w:tabs>
        <w:autoSpaceDE w:val="0"/>
        <w:autoSpaceDN w:val="0"/>
        <w:adjustRightInd w:val="0"/>
      </w:pPr>
      <w:r w:rsidRPr="009B2EEA">
        <w:t>access to care and barriers to receiving needed care</w:t>
      </w:r>
    </w:p>
    <w:p w:rsidR="009B2EEA" w:rsidRPr="009B2EEA" w:rsidP="006B2AFD" w14:paraId="07AB8E69" w14:textId="77777777">
      <w:pPr>
        <w:widowControl w:val="0"/>
        <w:numPr>
          <w:ilvl w:val="0"/>
          <w:numId w:val="10"/>
        </w:numPr>
        <w:tabs>
          <w:tab w:val="left" w:pos="-1440"/>
        </w:tabs>
        <w:autoSpaceDE w:val="0"/>
        <w:autoSpaceDN w:val="0"/>
        <w:adjustRightInd w:val="0"/>
      </w:pPr>
      <w:r w:rsidRPr="009B2EEA">
        <w:t>satisfaction with usual providers</w:t>
      </w:r>
    </w:p>
    <w:p w:rsidR="009B2EEA" w:rsidRPr="009B2EEA" w:rsidP="006B2AFD" w14:paraId="5B830F5C" w14:textId="77777777">
      <w:pPr>
        <w:widowControl w:val="0"/>
        <w:numPr>
          <w:ilvl w:val="0"/>
          <w:numId w:val="10"/>
        </w:numPr>
        <w:tabs>
          <w:tab w:val="left" w:pos="-1440"/>
        </w:tabs>
        <w:autoSpaceDE w:val="0"/>
        <w:autoSpaceDN w:val="0"/>
        <w:adjustRightInd w:val="0"/>
      </w:pPr>
      <w:r w:rsidRPr="009B2EEA">
        <w:t>health status and limitations in activities</w:t>
      </w:r>
    </w:p>
    <w:p w:rsidR="009B2EEA" w:rsidRPr="009B2EEA" w:rsidP="006B2AFD" w14:paraId="4DF133FF" w14:textId="77777777">
      <w:pPr>
        <w:widowControl w:val="0"/>
        <w:numPr>
          <w:ilvl w:val="0"/>
          <w:numId w:val="10"/>
        </w:numPr>
        <w:tabs>
          <w:tab w:val="left" w:pos="-1440"/>
        </w:tabs>
        <w:autoSpaceDE w:val="0"/>
        <w:autoSpaceDN w:val="0"/>
        <w:adjustRightInd w:val="0"/>
      </w:pPr>
      <w:r w:rsidRPr="009B2EEA">
        <w:t>medical conditions for which health care was used</w:t>
      </w:r>
    </w:p>
    <w:p w:rsidR="009B2EEA" w:rsidRPr="009B2EEA" w:rsidP="006B2AFD" w14:paraId="3964AAA8" w14:textId="77777777">
      <w:pPr>
        <w:widowControl w:val="0"/>
        <w:numPr>
          <w:ilvl w:val="0"/>
          <w:numId w:val="10"/>
        </w:numPr>
        <w:tabs>
          <w:tab w:val="left" w:pos="-1440"/>
        </w:tabs>
        <w:autoSpaceDE w:val="0"/>
        <w:autoSpaceDN w:val="0"/>
        <w:adjustRightInd w:val="0"/>
      </w:pPr>
      <w:r w:rsidRPr="009B2EEA">
        <w:t>use, expense and payment (as well as insurance status of person receiving care) for health services</w:t>
      </w:r>
    </w:p>
    <w:p w:rsidR="009B2EEA" w:rsidRPr="009B2EEA" w:rsidP="009B2EEA" w14:paraId="65F3D3E2" w14:textId="77777777"/>
    <w:p w:rsidR="009B2EEA" w:rsidRPr="009B2EEA" w:rsidP="009B2EEA" w14:paraId="561471AC" w14:textId="77777777">
      <w:r w:rsidRPr="009B2EEA">
        <w:t>Given the twin problems of nonresponse and response error of some household reported data, information is collected directly from medical providers in the MEPS-MPC to improve the accuracy of expenditure estimates derived from the MEPS-HC.  Because of their greater level of precision and detail, we also use MEPS-MPC data as the main source of imputations of missing expenditure data. Thus, the MEPS-MPC is designed to satisfy the following analytical objectives:</w:t>
      </w:r>
    </w:p>
    <w:p w:rsidR="009B2EEA" w:rsidRPr="009B2EEA" w:rsidP="009B2EEA" w14:paraId="6959B4E4" w14:textId="77777777"/>
    <w:p w:rsidR="009B2EEA" w:rsidRPr="009B2EEA" w:rsidP="006B2AFD" w14:paraId="317D6DC3" w14:textId="77777777">
      <w:pPr>
        <w:widowControl w:val="0"/>
        <w:numPr>
          <w:ilvl w:val="0"/>
          <w:numId w:val="7"/>
        </w:numPr>
        <w:autoSpaceDE w:val="0"/>
        <w:autoSpaceDN w:val="0"/>
        <w:adjustRightInd w:val="0"/>
      </w:pPr>
      <w:r w:rsidRPr="009B2EEA">
        <w:t>Serve as source data for household reported events with missing expenditure information</w:t>
      </w:r>
    </w:p>
    <w:p w:rsidR="009B2EEA" w:rsidRPr="009B2EEA" w:rsidP="006B2AFD" w14:paraId="33E8B100" w14:textId="77777777">
      <w:pPr>
        <w:widowControl w:val="0"/>
        <w:numPr>
          <w:ilvl w:val="0"/>
          <w:numId w:val="7"/>
        </w:numPr>
        <w:autoSpaceDE w:val="0"/>
        <w:autoSpaceDN w:val="0"/>
        <w:adjustRightInd w:val="0"/>
      </w:pPr>
      <w:r w:rsidRPr="009B2EEA">
        <w:t>Serve as an imputation source to reduce the level of bias in survey estimates of medical expenditures due to item nonresponse and less complete and less accurate household data</w:t>
      </w:r>
    </w:p>
    <w:p w:rsidR="009B2EEA" w:rsidRPr="009B2EEA" w:rsidP="006B2AFD" w14:paraId="00DB1AB4" w14:textId="77777777">
      <w:pPr>
        <w:widowControl w:val="0"/>
        <w:numPr>
          <w:ilvl w:val="0"/>
          <w:numId w:val="7"/>
        </w:numPr>
        <w:autoSpaceDE w:val="0"/>
        <w:autoSpaceDN w:val="0"/>
        <w:adjustRightInd w:val="0"/>
      </w:pPr>
      <w:r w:rsidRPr="009B2EEA">
        <w:t xml:space="preserve">Serve as the primary data source for expenditure estimates of medical care provided by separately billing doctors in hospitals, emergency rooms, and outpatient departments, Medicaid recipients and expenditure estimates for </w:t>
      </w:r>
      <w:r w:rsidRPr="009B2EEA">
        <w:t>pharmacies</w:t>
      </w:r>
    </w:p>
    <w:p w:rsidR="009B2EEA" w:rsidRPr="009B2EEA" w:rsidP="006B2AFD" w14:paraId="709C2CBA" w14:textId="77777777">
      <w:pPr>
        <w:widowControl w:val="0"/>
        <w:numPr>
          <w:ilvl w:val="0"/>
          <w:numId w:val="7"/>
        </w:numPr>
        <w:autoSpaceDE w:val="0"/>
        <w:autoSpaceDN w:val="0"/>
        <w:adjustRightInd w:val="0"/>
      </w:pPr>
      <w:r w:rsidRPr="009B2EEA">
        <w:t>Allow for an examination of the level of agreement in reported expenditures from household respondents and medical providers</w:t>
      </w:r>
    </w:p>
    <w:p w:rsidR="009B2EEA" w:rsidRPr="009B2EEA" w:rsidP="009B2EEA" w14:paraId="326CC466" w14:textId="77777777"/>
    <w:p w:rsidR="009B2EEA" w:rsidRPr="009B2EEA" w:rsidP="009B2EEA" w14:paraId="11B74091" w14:textId="77777777">
      <w:r w:rsidRPr="009B2EEA">
        <w:t>Data from the MEPS, both the HC and MPC components, are intended for a number of annual reports required to be produced by AHRQ, including the National Health Care Quality Report and the National Health Care Disparities Report.</w:t>
      </w:r>
    </w:p>
    <w:p w:rsidR="009B2EEA" w:rsidRPr="009B2EEA" w:rsidP="009B2EEA" w14:paraId="3E34C767" w14:textId="77777777"/>
    <w:p w:rsidR="009B2EEA" w:rsidRPr="009B2EEA" w:rsidP="009B2EEA" w14:paraId="09D29443" w14:textId="134CDBC9">
      <w:r w:rsidRPr="009B2EEA">
        <w:t xml:space="preserve">For over thirty years, results from the MEPS and its predecessor surveys (the 1977 National Medical Care Expenditure Survey, the 1980 National Medical Care Utilization and Expenditure Survey and the 1987 National Medical Expenditure Survey) have been used by OMB, DHHS, Congress and a wide number of health services researchers to analyze health care use, </w:t>
      </w:r>
      <w:r w:rsidRPr="009B2EEA" w:rsidR="004A51FD">
        <w:t>expenses,</w:t>
      </w:r>
      <w:r w:rsidRPr="009B2EEA">
        <w:t xml:space="preserve"> and health policy.</w:t>
      </w:r>
    </w:p>
    <w:p w:rsidR="009B2EEA" w:rsidRPr="009B2EEA" w:rsidP="009B2EEA" w14:paraId="6E8E79A5" w14:textId="77777777"/>
    <w:p w:rsidR="009B2EEA" w:rsidRPr="009B2EEA" w:rsidP="009B2EEA" w14:paraId="6ADDAEB1" w14:textId="77777777">
      <w:r w:rsidRPr="009B2EEA">
        <w:t>Major changes continue to take place in the health care delivery system.  The MEPS is needed to provide information about the current state of the health care system as well as to track changes over time.  The MEPS permits annual estimates of use of health care and expenditures and sources of payment for that health care.  It also permits tracking individual change in employment, income, health insurance and health status over two years.  The use of the National Health Interview Survey (NHIS) as a sampling frame expands the MEPS analytic capacity by providing another data point for comparisons over time.</w:t>
      </w:r>
    </w:p>
    <w:p w:rsidR="009B633D" w:rsidRPr="00983636" w:rsidP="009B633D" w14:paraId="5583B0F7" w14:textId="77777777">
      <w:pPr>
        <w:pStyle w:val="Heading2"/>
        <w:rPr>
          <w:sz w:val="24"/>
        </w:rPr>
      </w:pPr>
      <w:r w:rsidRPr="00983636">
        <w:rPr>
          <w:sz w:val="24"/>
        </w:rPr>
        <w:t>3. Use of Improved Information Technology</w:t>
      </w:r>
      <w:bookmarkEnd w:id="26"/>
      <w:bookmarkEnd w:id="27"/>
    </w:p>
    <w:p w:rsidR="006312CE" w:rsidP="009B633D" w14:paraId="54B4D78B" w14:textId="47239C91">
      <w:pPr>
        <w:pStyle w:val="Heading2"/>
        <w:rPr>
          <w:rFonts w:ascii="Times New Roman" w:hAnsi="Times New Roman" w:cs="Times New Roman"/>
          <w:b w:val="0"/>
          <w:bCs w:val="0"/>
          <w:i w:val="0"/>
          <w:iCs w:val="0"/>
          <w:sz w:val="24"/>
          <w:szCs w:val="24"/>
        </w:rPr>
      </w:pPr>
      <w:bookmarkStart w:id="28" w:name="_Toc151782179"/>
      <w:bookmarkStart w:id="29" w:name="_Toc158526219"/>
      <w:r w:rsidRPr="006312CE">
        <w:rPr>
          <w:rFonts w:ascii="Times New Roman" w:hAnsi="Times New Roman" w:cs="Times New Roman"/>
          <w:b w:val="0"/>
          <w:bCs w:val="0"/>
          <w:i w:val="0"/>
          <w:iCs w:val="0"/>
          <w:sz w:val="24"/>
          <w:szCs w:val="24"/>
          <w:u w:val="single"/>
        </w:rPr>
        <w:t>MEPS-HC:</w:t>
      </w:r>
      <w:r>
        <w:rPr>
          <w:rFonts w:ascii="Times New Roman" w:hAnsi="Times New Roman" w:cs="Times New Roman"/>
          <w:b w:val="0"/>
          <w:bCs w:val="0"/>
          <w:i w:val="0"/>
          <w:iCs w:val="0"/>
          <w:sz w:val="24"/>
          <w:szCs w:val="24"/>
        </w:rPr>
        <w:br/>
        <w:t>The MEPS-HC u</w:t>
      </w:r>
      <w:r w:rsidRPr="006312CE">
        <w:rPr>
          <w:rFonts w:ascii="Times New Roman" w:hAnsi="Times New Roman" w:cs="Times New Roman"/>
          <w:b w:val="0"/>
          <w:bCs w:val="0"/>
          <w:i w:val="0"/>
          <w:iCs w:val="0"/>
          <w:sz w:val="24"/>
          <w:szCs w:val="24"/>
        </w:rPr>
        <w:t>s</w:t>
      </w:r>
      <w:r>
        <w:rPr>
          <w:rFonts w:ascii="Times New Roman" w:hAnsi="Times New Roman" w:cs="Times New Roman"/>
          <w:b w:val="0"/>
          <w:bCs w:val="0"/>
          <w:i w:val="0"/>
          <w:iCs w:val="0"/>
          <w:sz w:val="24"/>
          <w:szCs w:val="24"/>
        </w:rPr>
        <w:t>es</w:t>
      </w:r>
      <w:r w:rsidRPr="006312CE">
        <w:rPr>
          <w:rFonts w:ascii="Times New Roman" w:hAnsi="Times New Roman" w:cs="Times New Roman"/>
          <w:b w:val="0"/>
          <w:bCs w:val="0"/>
          <w:i w:val="0"/>
          <w:iCs w:val="0"/>
          <w:sz w:val="24"/>
          <w:szCs w:val="24"/>
        </w:rPr>
        <w:t xml:space="preserve"> a combination of computer assisted personal interviewing (CAPI)</w:t>
      </w:r>
      <w:r>
        <w:rPr>
          <w:rFonts w:ascii="Times New Roman" w:hAnsi="Times New Roman" w:cs="Times New Roman"/>
          <w:b w:val="0"/>
          <w:bCs w:val="0"/>
          <w:i w:val="0"/>
          <w:iCs w:val="0"/>
          <w:sz w:val="24"/>
          <w:szCs w:val="24"/>
        </w:rPr>
        <w:t>,</w:t>
      </w:r>
      <w:r w:rsidRPr="006312CE">
        <w:rPr>
          <w:rFonts w:ascii="Times New Roman" w:hAnsi="Times New Roman" w:cs="Times New Roman"/>
          <w:b w:val="0"/>
          <w:bCs w:val="0"/>
          <w:i w:val="0"/>
          <w:iCs w:val="0"/>
          <w:sz w:val="24"/>
          <w:szCs w:val="24"/>
        </w:rPr>
        <w:t xml:space="preserve"> computer assisted video interviewing (CAVI)</w:t>
      </w:r>
      <w:r>
        <w:rPr>
          <w:rFonts w:ascii="Times New Roman" w:hAnsi="Times New Roman" w:cs="Times New Roman"/>
          <w:b w:val="0"/>
          <w:bCs w:val="0"/>
          <w:i w:val="0"/>
          <w:iCs w:val="0"/>
          <w:sz w:val="24"/>
          <w:szCs w:val="24"/>
        </w:rPr>
        <w:t>,</w:t>
      </w:r>
      <w:r w:rsidRPr="006312CE">
        <w:rPr>
          <w:rFonts w:ascii="Times New Roman" w:hAnsi="Times New Roman" w:cs="Times New Roman"/>
          <w:b w:val="0"/>
          <w:bCs w:val="0"/>
          <w:i w:val="0"/>
          <w:iCs w:val="0"/>
          <w:sz w:val="24"/>
          <w:szCs w:val="24"/>
        </w:rPr>
        <w:t xml:space="preserve"> and self-administered paper and web questionnaires.  CAVI is a new data collection technology and offers the best of both telephone and in-person interviewing, while offering opportunities for cost savings and more accurate reporting.</w:t>
      </w:r>
      <w:r>
        <w:rPr>
          <w:rFonts w:ascii="Times New Roman" w:hAnsi="Times New Roman" w:cs="Times New Roman"/>
          <w:b w:val="0"/>
          <w:bCs w:val="0"/>
          <w:i w:val="0"/>
          <w:iCs w:val="0"/>
          <w:sz w:val="24"/>
          <w:szCs w:val="24"/>
        </w:rPr>
        <w:t xml:space="preserve"> </w:t>
      </w:r>
      <w:r w:rsidR="00D47B79">
        <w:rPr>
          <w:rFonts w:ascii="Times New Roman" w:hAnsi="Times New Roman" w:cs="Times New Roman"/>
          <w:b w:val="0"/>
          <w:bCs w:val="0"/>
          <w:i w:val="0"/>
          <w:iCs w:val="0"/>
          <w:sz w:val="24"/>
          <w:szCs w:val="24"/>
        </w:rPr>
        <w:t>In 2022, the MEPS-HC began collecting signatures for authorization forms using one of three modes.  Respondents c</w:t>
      </w:r>
      <w:r w:rsidR="00884360">
        <w:rPr>
          <w:rFonts w:ascii="Times New Roman" w:hAnsi="Times New Roman" w:cs="Times New Roman"/>
          <w:b w:val="0"/>
          <w:bCs w:val="0"/>
          <w:i w:val="0"/>
          <w:iCs w:val="0"/>
          <w:sz w:val="24"/>
          <w:szCs w:val="24"/>
        </w:rPr>
        <w:t>an</w:t>
      </w:r>
      <w:r w:rsidR="00D47B79">
        <w:rPr>
          <w:rFonts w:ascii="Times New Roman" w:hAnsi="Times New Roman" w:cs="Times New Roman"/>
          <w:b w:val="0"/>
          <w:bCs w:val="0"/>
          <w:i w:val="0"/>
          <w:iCs w:val="0"/>
          <w:sz w:val="24"/>
          <w:szCs w:val="24"/>
        </w:rPr>
        <w:t xml:space="preserve"> sign </w:t>
      </w:r>
      <w:r w:rsidR="00F45A36">
        <w:rPr>
          <w:rFonts w:ascii="Times New Roman" w:hAnsi="Times New Roman" w:cs="Times New Roman"/>
          <w:b w:val="0"/>
          <w:bCs w:val="0"/>
          <w:i w:val="0"/>
          <w:iCs w:val="0"/>
          <w:sz w:val="24"/>
          <w:szCs w:val="24"/>
        </w:rPr>
        <w:t xml:space="preserve">the </w:t>
      </w:r>
      <w:r w:rsidR="00D47B79">
        <w:rPr>
          <w:rFonts w:ascii="Times New Roman" w:hAnsi="Times New Roman" w:cs="Times New Roman"/>
          <w:b w:val="0"/>
          <w:bCs w:val="0"/>
          <w:i w:val="0"/>
          <w:iCs w:val="0"/>
          <w:sz w:val="24"/>
          <w:szCs w:val="24"/>
        </w:rPr>
        <w:t xml:space="preserve">form electronically, at the time of the in-person interview; sign electronically via DocuSign when the eligible respondent was not available in person and an email or textable cell phone number was available; or sign on traditional hard copy paper authorization forms. In 2023, the MEPS-HC allowed two modes for completion of the Adult SAQ, web and </w:t>
      </w:r>
      <w:r w:rsidR="00404705">
        <w:rPr>
          <w:rFonts w:ascii="Times New Roman" w:hAnsi="Times New Roman" w:cs="Times New Roman"/>
          <w:b w:val="0"/>
          <w:bCs w:val="0"/>
          <w:i w:val="0"/>
          <w:iCs w:val="0"/>
          <w:sz w:val="24"/>
          <w:szCs w:val="24"/>
        </w:rPr>
        <w:t xml:space="preserve">paper. </w:t>
      </w:r>
      <w:r w:rsidR="00F45A36">
        <w:rPr>
          <w:rFonts w:ascii="Times New Roman" w:hAnsi="Times New Roman" w:cs="Times New Roman"/>
          <w:b w:val="0"/>
          <w:bCs w:val="0"/>
          <w:i w:val="0"/>
          <w:iCs w:val="0"/>
          <w:sz w:val="24"/>
          <w:szCs w:val="24"/>
        </w:rPr>
        <w:t xml:space="preserve">A web survey was requested if an email or textable cell is available for the adult; </w:t>
      </w:r>
      <w:r w:rsidR="006C6DD3">
        <w:rPr>
          <w:rFonts w:ascii="Times New Roman" w:hAnsi="Times New Roman" w:cs="Times New Roman"/>
          <w:b w:val="0"/>
          <w:bCs w:val="0"/>
          <w:i w:val="0"/>
          <w:iCs w:val="0"/>
          <w:sz w:val="24"/>
          <w:szCs w:val="24"/>
        </w:rPr>
        <w:t>otherwise,</w:t>
      </w:r>
      <w:r w:rsidR="00F45A36">
        <w:rPr>
          <w:rFonts w:ascii="Times New Roman" w:hAnsi="Times New Roman" w:cs="Times New Roman"/>
          <w:b w:val="0"/>
          <w:bCs w:val="0"/>
          <w:i w:val="0"/>
          <w:iCs w:val="0"/>
          <w:sz w:val="24"/>
          <w:szCs w:val="24"/>
        </w:rPr>
        <w:t xml:space="preserve"> a paper survey was offered for completion.</w:t>
      </w:r>
      <w:r w:rsidR="00404705">
        <w:rPr>
          <w:rFonts w:ascii="Times New Roman" w:hAnsi="Times New Roman" w:cs="Times New Roman"/>
          <w:b w:val="0"/>
          <w:bCs w:val="0"/>
          <w:i w:val="0"/>
          <w:iCs w:val="0"/>
          <w:sz w:val="24"/>
          <w:szCs w:val="24"/>
        </w:rPr>
        <w:t xml:space="preserve"> </w:t>
      </w:r>
    </w:p>
    <w:p w:rsidR="009F2794" w:rsidP="009B633D" w14:paraId="3828C687" w14:textId="211EF2C4">
      <w:pPr>
        <w:pStyle w:val="Heading2"/>
        <w:rPr>
          <w:rFonts w:ascii="Times New Roman" w:hAnsi="Times New Roman" w:cs="Times New Roman"/>
          <w:b w:val="0"/>
          <w:bCs w:val="0"/>
          <w:i w:val="0"/>
          <w:iCs w:val="0"/>
          <w:sz w:val="24"/>
          <w:szCs w:val="24"/>
        </w:rPr>
      </w:pPr>
      <w:r w:rsidRPr="006312CE">
        <w:rPr>
          <w:rFonts w:ascii="Times New Roman" w:hAnsi="Times New Roman" w:cs="Times New Roman"/>
          <w:b w:val="0"/>
          <w:bCs w:val="0"/>
          <w:i w:val="0"/>
          <w:iCs w:val="0"/>
          <w:sz w:val="24"/>
          <w:szCs w:val="24"/>
          <w:u w:val="single"/>
        </w:rPr>
        <w:t>MEPS-MPC:</w:t>
      </w:r>
      <w:r>
        <w:rPr>
          <w:rFonts w:ascii="Times New Roman" w:hAnsi="Times New Roman" w:cs="Times New Roman"/>
          <w:b w:val="0"/>
          <w:bCs w:val="0"/>
          <w:i w:val="0"/>
          <w:iCs w:val="0"/>
          <w:sz w:val="24"/>
          <w:szCs w:val="24"/>
        </w:rPr>
        <w:br/>
      </w:r>
      <w:r w:rsidRPr="009F2794">
        <w:rPr>
          <w:rFonts w:ascii="Times New Roman" w:hAnsi="Times New Roman" w:cs="Times New Roman"/>
          <w:b w:val="0"/>
          <w:bCs w:val="0"/>
          <w:i w:val="0"/>
          <w:iCs w:val="0"/>
          <w:sz w:val="24"/>
          <w:szCs w:val="24"/>
        </w:rPr>
        <w:t xml:space="preserve">The mode of administration for the MEPS-MPC (including the pharmacy component) varies based on the preferences of the provider and includes phone interviews, mail and electronic submission of information.  </w:t>
      </w:r>
      <w:r w:rsidRPr="009F2794">
        <w:rPr>
          <w:rFonts w:ascii="Times New Roman" w:hAnsi="Times New Roman" w:cs="Times New Roman"/>
          <w:b w:val="0"/>
          <w:bCs w:val="0"/>
          <w:i w:val="0"/>
          <w:iCs w:val="0"/>
          <w:color w:val="FF0000"/>
          <w:sz w:val="24"/>
          <w:szCs w:val="24"/>
        </w:rPr>
        <w:t xml:space="preserve"> </w:t>
      </w:r>
      <w:r w:rsidRPr="009F2794">
        <w:rPr>
          <w:rFonts w:ascii="Times New Roman" w:hAnsi="Times New Roman" w:cs="Times New Roman"/>
          <w:b w:val="0"/>
          <w:bCs w:val="0"/>
          <w:i w:val="0"/>
          <w:iCs w:val="0"/>
          <w:sz w:val="24"/>
          <w:szCs w:val="24"/>
        </w:rPr>
        <w:t xml:space="preserve">Starting with the 2009 MEPS-MPC data collection, a computer-assisted system was developed for both interviewing and record abstraction. This Integrated Data Collection System (IDCS) supported the effort to recruit providers by telephone and to interview medical records and billing staffs of medical facilities. For providers that prefer to send hard copy records, the IDCS is used to abstract </w:t>
      </w:r>
      <w:r w:rsidRPr="009F2794">
        <w:rPr>
          <w:rFonts w:ascii="Times New Roman" w:hAnsi="Times New Roman" w:cs="Times New Roman"/>
          <w:b w:val="0"/>
          <w:bCs w:val="0"/>
          <w:i w:val="0"/>
          <w:iCs w:val="0"/>
          <w:sz w:val="24"/>
          <w:szCs w:val="24"/>
        </w:rPr>
        <w:t>information from medical records and patient accounts.  The IDCS consists of two main systems: 1) a Web component in ASP.Net in which the MEPS-MPC forms (Contact Guides and Event Forms) are programmed for either data entry either during telephone calls or record abstraction and 2) a Case Management System (CMS) that manages the medical providers and associated forms for call scheduling, contact information, appointment times, and event/status information</w:t>
      </w:r>
    </w:p>
    <w:p w:rsidR="009B633D" w:rsidP="009B633D" w14:paraId="0F54F7DF" w14:textId="77777777">
      <w:pPr>
        <w:pStyle w:val="Heading2"/>
        <w:rPr>
          <w:sz w:val="24"/>
        </w:rPr>
      </w:pPr>
      <w:r w:rsidRPr="00983636">
        <w:rPr>
          <w:sz w:val="24"/>
        </w:rPr>
        <w:t>4. Efforts to Identify Duplication</w:t>
      </w:r>
      <w:bookmarkEnd w:id="28"/>
      <w:bookmarkEnd w:id="29"/>
    </w:p>
    <w:p w:rsidR="00E90423" w:rsidRPr="00E90423" w:rsidP="00E90423" w14:paraId="49B5DCC9" w14:textId="77777777">
      <w:pPr>
        <w:spacing w:before="100" w:beforeAutospacing="1" w:after="100" w:afterAutospacing="1"/>
      </w:pPr>
      <w:r w:rsidRPr="00E90423">
        <w:t>There is no other survey that is now or has been recently conducted that will meet all of the objectives of the MEPS.  Some federal surveys do collect health insurance information from households (SIPP, NHIS); however, these surveys do not collect the depth of information on health care use and expenses available in the MEPS.  Moreover, MEPS is the only survey which links information collected from households with information collected from medical providers to inform the estimation of expenditures.</w:t>
      </w:r>
    </w:p>
    <w:p w:rsidR="009B633D" w:rsidRPr="00983636" w:rsidP="009B633D" w14:paraId="60E3DC64" w14:textId="77777777">
      <w:pPr>
        <w:pStyle w:val="Heading2"/>
        <w:rPr>
          <w:sz w:val="24"/>
        </w:rPr>
      </w:pPr>
      <w:bookmarkStart w:id="30" w:name="_Toc151782180"/>
      <w:bookmarkStart w:id="31" w:name="_Toc158526220"/>
      <w:r w:rsidRPr="00983636">
        <w:rPr>
          <w:sz w:val="24"/>
        </w:rPr>
        <w:t>5. Involvement of Small Entities</w:t>
      </w:r>
      <w:bookmarkEnd w:id="30"/>
      <w:bookmarkEnd w:id="31"/>
    </w:p>
    <w:p w:rsidR="00E90423" w:rsidRPr="00E90423" w:rsidP="00E90423" w14:paraId="208ACC36" w14:textId="77777777">
      <w:pPr>
        <w:spacing w:before="100" w:beforeAutospacing="1" w:after="100" w:afterAutospacing="1"/>
        <w:rPr>
          <w:i/>
        </w:rPr>
      </w:pPr>
      <w:bookmarkStart w:id="32" w:name="_Toc151782181"/>
      <w:bookmarkStart w:id="33" w:name="_Toc158526221"/>
      <w:r w:rsidRPr="00E90423">
        <w:t>The MEPS-HC collects information only from households. The MEPS-MPC will survey medical facilities, physicians, and pharmacies. Some of the MPC respondents may be small businesses. The MEPS-MPC instrument and procedures used to collect data are designed to minimize the burden on all respondents.</w:t>
      </w:r>
      <w:r>
        <w:t xml:space="preserve"> </w:t>
      </w:r>
    </w:p>
    <w:p w:rsidR="009B633D" w:rsidRPr="00983636" w:rsidP="009B633D" w14:paraId="07C8EBF8" w14:textId="77777777">
      <w:pPr>
        <w:pStyle w:val="Heading2"/>
        <w:rPr>
          <w:sz w:val="24"/>
        </w:rPr>
      </w:pPr>
      <w:r w:rsidRPr="00983636">
        <w:rPr>
          <w:sz w:val="24"/>
        </w:rPr>
        <w:t>6. Consequences if Information Collected Less Frequently</w:t>
      </w:r>
      <w:bookmarkEnd w:id="32"/>
      <w:bookmarkEnd w:id="33"/>
    </w:p>
    <w:p w:rsidR="007F2F36" w:rsidP="007F2F36" w14:paraId="42112CFC" w14:textId="3771816F">
      <w:bookmarkStart w:id="34" w:name="_Toc151782182"/>
      <w:bookmarkStart w:id="35" w:name="_Toc158526222"/>
      <w:r w:rsidRPr="007F2F36">
        <w:t>The design of the MEPS-HC in which households are contacted 5 times over the course of 2 years enables the gathering of medical use data at the event level and permits the estimation of expenditures and payments for persons by event type</w:t>
      </w:r>
      <w:r>
        <w:t xml:space="preserve"> </w:t>
      </w:r>
      <w:r w:rsidRPr="007F2F36">
        <w:t xml:space="preserve">(see </w:t>
      </w:r>
      <w:r w:rsidRPr="00FF165B" w:rsidR="00FF165B">
        <w:t>https://meps.ahrq.gov/mepsweb/survey_comp/hc_data_collection.jsp</w:t>
      </w:r>
      <w:r w:rsidR="00FF165B">
        <w:t>)</w:t>
      </w:r>
      <w:r w:rsidRPr="00FF165B" w:rsidR="00FF165B">
        <w:t xml:space="preserve"> </w:t>
      </w:r>
      <w:r w:rsidRPr="007F2F36">
        <w:t>for information on how the Covid-19 pandemic impacted this design).  Reducing the number of rounds in which the data are collected would hamper the availability and quality of information due to long recall periods.</w:t>
      </w:r>
      <w:r>
        <w:t xml:space="preserve"> </w:t>
      </w:r>
    </w:p>
    <w:p w:rsidR="007F2F36" w:rsidRPr="007F2F36" w:rsidP="007F2F36" w14:paraId="27F7999D" w14:textId="77777777"/>
    <w:p w:rsidR="007F2F36" w:rsidRPr="007F2F36" w:rsidP="007F2F36" w14:paraId="60CCDC3F" w14:textId="77777777">
      <w:r w:rsidRPr="007F2F36">
        <w:t xml:space="preserve">MEPS-MPC respondents are contacted at least once during the calendar year for the preceding data collection year.  Sometimes a follow up contact is necessary to clarify ambiguous or collect missing information.  Contacts on a less frequent basis than the envisioned timetable jeopardizes the access of the study to information from records that could otherwise be destroyed or archived. </w:t>
      </w:r>
    </w:p>
    <w:p w:rsidR="009B633D" w:rsidP="009B633D" w14:paraId="2E2A5047" w14:textId="77777777">
      <w:pPr>
        <w:pStyle w:val="Heading2"/>
        <w:rPr>
          <w:sz w:val="24"/>
        </w:rPr>
      </w:pPr>
      <w:r w:rsidRPr="00412C6F">
        <w:rPr>
          <w:sz w:val="24"/>
        </w:rPr>
        <w:t>7. Special Circumstances</w:t>
      </w:r>
      <w:bookmarkEnd w:id="34"/>
      <w:bookmarkEnd w:id="35"/>
    </w:p>
    <w:p w:rsidR="009B633D" w:rsidP="009B633D" w14:paraId="28568325" w14:textId="77777777">
      <w:pPr>
        <w:spacing w:before="120"/>
      </w:pPr>
      <w:r w:rsidRPr="004F03D2">
        <w:t>This request is consistent with the general information collection guid</w:t>
      </w:r>
      <w:r>
        <w:t>elines of 5 CFR 1320.5(d)(2).  No special circumstances apply.</w:t>
      </w:r>
    </w:p>
    <w:p w:rsidR="004E3A1B" w:rsidP="004E3A1B" w14:paraId="19F1E3A2" w14:textId="77777777">
      <w:pPr>
        <w:pStyle w:val="Heading2"/>
        <w:rPr>
          <w:sz w:val="24"/>
          <w:szCs w:val="24"/>
        </w:rPr>
      </w:pPr>
      <w:bookmarkStart w:id="36" w:name="_Toc151782183"/>
      <w:bookmarkStart w:id="37" w:name="_Toc158526223"/>
      <w:r w:rsidRPr="00412C6F">
        <w:rPr>
          <w:sz w:val="24"/>
        </w:rPr>
        <w:t>8.</w:t>
      </w:r>
      <w:r w:rsidRPr="004E3A1B">
        <w:rPr>
          <w:sz w:val="24"/>
          <w:szCs w:val="24"/>
        </w:rPr>
        <w:t xml:space="preserve"> </w:t>
      </w:r>
      <w:bookmarkEnd w:id="36"/>
      <w:bookmarkEnd w:id="37"/>
      <w:r w:rsidRPr="004E3A1B">
        <w:rPr>
          <w:sz w:val="24"/>
          <w:szCs w:val="24"/>
        </w:rPr>
        <w:t>Federal Register Notice and Outside Consultations</w:t>
      </w:r>
    </w:p>
    <w:p w:rsidR="004E3A1B" w:rsidP="004E3A1B" w14:paraId="6FB67260" w14:textId="77777777"/>
    <w:p w:rsidR="00313F32" w:rsidP="004E3A1B" w14:paraId="48009B0A" w14:textId="77777777">
      <w:pPr>
        <w:rPr>
          <w:rFonts w:ascii="Arial" w:hAnsi="Arial" w:cs="Arial"/>
          <w:b/>
          <w:i/>
        </w:rPr>
      </w:pPr>
    </w:p>
    <w:p w:rsidR="00313F32" w:rsidP="004E3A1B" w14:paraId="317C6FBB" w14:textId="77777777">
      <w:pPr>
        <w:rPr>
          <w:rFonts w:ascii="Arial" w:hAnsi="Arial" w:cs="Arial"/>
          <w:b/>
          <w:i/>
        </w:rPr>
      </w:pPr>
    </w:p>
    <w:p w:rsidR="00313F32" w:rsidP="004E3A1B" w14:paraId="145EE09F" w14:textId="77777777">
      <w:pPr>
        <w:rPr>
          <w:rFonts w:ascii="Arial" w:hAnsi="Arial" w:cs="Arial"/>
          <w:b/>
          <w:i/>
        </w:rPr>
      </w:pPr>
    </w:p>
    <w:p w:rsidR="00131443" w:rsidP="004E3A1B" w14:paraId="454EB360" w14:textId="0DD736D2">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4E3A1B" w:rsidRPr="004E3A1B" w:rsidP="004E3A1B" w14:paraId="4D2B6797" w14:textId="2E7AE232">
      <w:bookmarkStart w:id="38" w:name="OLE_LINK3"/>
      <w:bookmarkStart w:id="39" w:name="OLE_LINK4"/>
      <w:r>
        <w:t xml:space="preserve">As required by </w:t>
      </w:r>
      <w:r w:rsidR="0037771B">
        <w:t>5 CFR 1320.8(d), n</w:t>
      </w:r>
      <w:r w:rsidRPr="007B4120" w:rsidR="009374DF">
        <w:t xml:space="preserve">otice was published in the Federal Register on </w:t>
      </w:r>
      <w:r w:rsidR="00295F33">
        <w:t>April 19</w:t>
      </w:r>
      <w:r w:rsidRPr="00295F33" w:rsidR="00295F33">
        <w:rPr>
          <w:vertAlign w:val="superscript"/>
        </w:rPr>
        <w:t>th</w:t>
      </w:r>
      <w:r w:rsidR="00295F33">
        <w:t xml:space="preserve">, </w:t>
      </w:r>
      <w:r w:rsidR="00295F33">
        <w:t>2024</w:t>
      </w:r>
      <w:r w:rsidR="002D52A1">
        <w:t xml:space="preserve"> </w:t>
      </w:r>
      <w:r w:rsidR="00962E27">
        <w:t xml:space="preserve">page </w:t>
      </w:r>
      <w:r w:rsidR="00295F33">
        <w:t>28784</w:t>
      </w:r>
      <w:r w:rsidR="00962E27">
        <w:rPr>
          <w:iCs/>
        </w:rPr>
        <w:t>,</w:t>
      </w:r>
      <w:r w:rsidRPr="007B4120" w:rsidR="009374DF">
        <w:t xml:space="preserve"> for 60 days</w:t>
      </w:r>
      <w:r w:rsidR="00016560">
        <w:t xml:space="preserve"> </w:t>
      </w:r>
      <w:r w:rsidR="00620B93">
        <w:t>(see A</w:t>
      </w:r>
      <w:r w:rsidR="00EE4455">
        <w:t xml:space="preserve">ttachment </w:t>
      </w:r>
      <w:r w:rsidR="007B6A80">
        <w:rPr>
          <w:iCs/>
        </w:rPr>
        <w:t>62</w:t>
      </w:r>
      <w:r w:rsidRPr="00962E27" w:rsidR="00016560">
        <w:rPr>
          <w:iCs/>
        </w:rPr>
        <w:t>)</w:t>
      </w:r>
      <w:bookmarkEnd w:id="38"/>
      <w:bookmarkEnd w:id="39"/>
      <w:r w:rsidR="00FF7F59">
        <w:rPr>
          <w:iCs/>
        </w:rPr>
        <w:t xml:space="preserve">, and again on </w:t>
      </w:r>
      <w:r w:rsidR="00295F33">
        <w:rPr>
          <w:iCs/>
        </w:rPr>
        <w:t>J</w:t>
      </w:r>
      <w:r w:rsidR="007C1C84">
        <w:rPr>
          <w:iCs/>
        </w:rPr>
        <w:t>uly</w:t>
      </w:r>
      <w:r w:rsidR="00295F33">
        <w:rPr>
          <w:iCs/>
        </w:rPr>
        <w:t xml:space="preserve"> </w:t>
      </w:r>
      <w:r w:rsidR="00B94094">
        <w:rPr>
          <w:iCs/>
        </w:rPr>
        <w:t>1st</w:t>
      </w:r>
      <w:r w:rsidR="00FF7F59">
        <w:rPr>
          <w:iCs/>
        </w:rPr>
        <w:t xml:space="preserve"> page </w:t>
      </w:r>
      <w:r w:rsidR="007C1C84">
        <w:rPr>
          <w:iCs/>
        </w:rPr>
        <w:t>54466</w:t>
      </w:r>
      <w:r w:rsidR="00FF7F59">
        <w:rPr>
          <w:iCs/>
        </w:rPr>
        <w:t xml:space="preserve">, for 30 days.  </w:t>
      </w:r>
      <w:r w:rsidR="000A5433">
        <w:rPr>
          <w:iCs/>
        </w:rPr>
        <w:t xml:space="preserve">No comments were received.  </w:t>
      </w:r>
      <w:r w:rsidR="00945884">
        <w:rPr>
          <w:iCs/>
        </w:rPr>
        <w:t>The Federal Register Notice is included in Attachment 64.</w:t>
      </w:r>
    </w:p>
    <w:p w:rsidR="009B633D" w:rsidRPr="00412C6F" w:rsidP="009B633D" w14:paraId="1531F834" w14:textId="77777777">
      <w:pPr>
        <w:pStyle w:val="Heading2"/>
        <w:rPr>
          <w:sz w:val="24"/>
        </w:rPr>
      </w:pPr>
      <w:bookmarkStart w:id="40" w:name="_Hlk144128539"/>
      <w:r>
        <w:rPr>
          <w:sz w:val="24"/>
        </w:rPr>
        <w:t xml:space="preserve">8.b.  </w:t>
      </w:r>
      <w:r w:rsidRPr="004E3A1B">
        <w:rPr>
          <w:sz w:val="24"/>
          <w:szCs w:val="24"/>
        </w:rPr>
        <w:t>Outside Consultations</w:t>
      </w:r>
    </w:p>
    <w:p w:rsidR="0006539E" w:rsidRPr="0006539E" w:rsidP="0006539E" w14:paraId="390BAF65" w14:textId="77777777">
      <w:bookmarkStart w:id="41" w:name="_Toc457285506"/>
      <w:bookmarkStart w:id="42" w:name="_Toc58725294"/>
      <w:bookmarkStart w:id="43" w:name="_Toc151782184"/>
      <w:bookmarkStart w:id="44" w:name="_Toc158526224"/>
      <w:r w:rsidRPr="0006539E">
        <w:t>Individuals or groups outside the Agency consulted about the MEPS project over the last several years are listed below:</w:t>
      </w:r>
    </w:p>
    <w:p w:rsidR="0006539E" w:rsidP="0006539E" w14:paraId="10547AA1" w14:textId="77777777"/>
    <w:p w:rsidR="0006539E" w:rsidRPr="0006539E" w:rsidP="0006539E" w14:paraId="13F12A2A" w14:textId="77777777">
      <w:pPr>
        <w:rPr>
          <w:b/>
        </w:rPr>
      </w:pPr>
      <w:r w:rsidRPr="0006539E">
        <w:rPr>
          <w:b/>
        </w:rPr>
        <w:t>Table 1.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5580"/>
      </w:tblGrid>
      <w:tr w14:paraId="36D27CC8" w14:textId="77777777" w:rsidTr="006B2AF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30" w:type="dxa"/>
          </w:tcPr>
          <w:p w:rsidR="0006539E" w:rsidRPr="0006539E" w:rsidP="0006539E" w14:paraId="25EB3F29" w14:textId="77777777">
            <w:pPr>
              <w:rPr>
                <w:b/>
              </w:rPr>
            </w:pPr>
            <w:r w:rsidRPr="0006539E">
              <w:rPr>
                <w:b/>
              </w:rPr>
              <w:t>Name</w:t>
            </w:r>
          </w:p>
        </w:tc>
        <w:tc>
          <w:tcPr>
            <w:tcW w:w="6480" w:type="dxa"/>
          </w:tcPr>
          <w:p w:rsidR="0006539E" w:rsidRPr="0006539E" w:rsidP="0006539E" w14:paraId="4CE2E0AF" w14:textId="77777777">
            <w:pPr>
              <w:rPr>
                <w:b/>
              </w:rPr>
            </w:pPr>
            <w:r w:rsidRPr="0006539E">
              <w:rPr>
                <w:b/>
              </w:rPr>
              <w:t>Affiliation</w:t>
            </w:r>
          </w:p>
        </w:tc>
      </w:tr>
      <w:tr w14:paraId="5D5D575C" w14:textId="77777777" w:rsidTr="006B2AFD">
        <w:tblPrEx>
          <w:tblW w:w="0" w:type="auto"/>
          <w:tblInd w:w="108" w:type="dxa"/>
          <w:tblLook w:val="04A0"/>
        </w:tblPrEx>
        <w:tc>
          <w:tcPr>
            <w:tcW w:w="3330" w:type="dxa"/>
          </w:tcPr>
          <w:p w:rsidR="0006539E" w:rsidRPr="0006539E" w:rsidP="0006539E" w14:paraId="4409CB04" w14:textId="77777777">
            <w:r w:rsidRPr="0006539E">
              <w:t>Jill Jacobsen Ashman, Ph.D.</w:t>
            </w:r>
          </w:p>
        </w:tc>
        <w:tc>
          <w:tcPr>
            <w:tcW w:w="6480" w:type="dxa"/>
          </w:tcPr>
          <w:p w:rsidR="0006539E" w:rsidRPr="0006539E" w:rsidP="0006539E" w14:paraId="46BE216F" w14:textId="77777777">
            <w:r w:rsidRPr="0006539E">
              <w:t xml:space="preserve">Centers for Disease Control and Prevention </w:t>
            </w:r>
          </w:p>
          <w:p w:rsidR="0006539E" w:rsidRPr="0006539E" w:rsidP="0006539E" w14:paraId="07157605" w14:textId="77777777">
            <w:r w:rsidRPr="0006539E">
              <w:t>National Center for Health Statistics</w:t>
            </w:r>
          </w:p>
        </w:tc>
      </w:tr>
      <w:tr w14:paraId="2078CA7E" w14:textId="77777777" w:rsidTr="006B2AFD">
        <w:tblPrEx>
          <w:tblW w:w="0" w:type="auto"/>
          <w:tblInd w:w="108" w:type="dxa"/>
          <w:tblLook w:val="04A0"/>
        </w:tblPrEx>
        <w:tc>
          <w:tcPr>
            <w:tcW w:w="3330" w:type="dxa"/>
          </w:tcPr>
          <w:p w:rsidR="0006539E" w:rsidRPr="0006539E" w:rsidP="0006539E" w14:paraId="60ED5171" w14:textId="77777777">
            <w:r w:rsidRPr="0006539E">
              <w:t>Brenda G. Cox, Ph.D</w:t>
            </w:r>
          </w:p>
        </w:tc>
        <w:tc>
          <w:tcPr>
            <w:tcW w:w="6480" w:type="dxa"/>
          </w:tcPr>
          <w:p w:rsidR="0006539E" w:rsidRPr="0006539E" w:rsidP="0006539E" w14:paraId="0B5A40E8" w14:textId="77777777">
            <w:r w:rsidRPr="0006539E">
              <w:t>Independent Consultant</w:t>
            </w:r>
          </w:p>
        </w:tc>
      </w:tr>
      <w:tr w14:paraId="0D84B516" w14:textId="77777777" w:rsidTr="006B2AFD">
        <w:tblPrEx>
          <w:tblW w:w="0" w:type="auto"/>
          <w:tblInd w:w="108" w:type="dxa"/>
          <w:tblLook w:val="04A0"/>
        </w:tblPrEx>
        <w:tc>
          <w:tcPr>
            <w:tcW w:w="3330" w:type="dxa"/>
          </w:tcPr>
          <w:p w:rsidR="0006539E" w:rsidRPr="0006539E" w:rsidP="0006539E" w14:paraId="54FCFED1" w14:textId="77777777">
            <w:r w:rsidRPr="0006539E">
              <w:t>Judith H. Mopsik, M.H.S.</w:t>
            </w:r>
          </w:p>
        </w:tc>
        <w:tc>
          <w:tcPr>
            <w:tcW w:w="6480" w:type="dxa"/>
          </w:tcPr>
          <w:p w:rsidR="0006539E" w:rsidRPr="0006539E" w:rsidP="0006539E" w14:paraId="08C876DD" w14:textId="77777777">
            <w:r w:rsidRPr="0006539E">
              <w:t>Vice President for Business Development, Abt Associates Inc.</w:t>
            </w:r>
          </w:p>
        </w:tc>
      </w:tr>
      <w:tr w14:paraId="602F4EC2" w14:textId="77777777" w:rsidTr="006B2AFD">
        <w:tblPrEx>
          <w:tblW w:w="0" w:type="auto"/>
          <w:tblInd w:w="108" w:type="dxa"/>
          <w:tblLook w:val="04A0"/>
        </w:tblPrEx>
        <w:tc>
          <w:tcPr>
            <w:tcW w:w="3330" w:type="dxa"/>
          </w:tcPr>
          <w:p w:rsidR="0006539E" w:rsidRPr="0006539E" w:rsidP="0006539E" w14:paraId="3723B455" w14:textId="77777777">
            <w:r w:rsidRPr="0006539E">
              <w:t>Constance F. Citro, Ph.D.</w:t>
            </w:r>
          </w:p>
          <w:p w:rsidR="0006539E" w:rsidRPr="0006539E" w:rsidP="0006539E" w14:paraId="6FC9E237" w14:textId="77777777"/>
        </w:tc>
        <w:tc>
          <w:tcPr>
            <w:tcW w:w="6480" w:type="dxa"/>
          </w:tcPr>
          <w:p w:rsidR="0006539E" w:rsidRPr="0006539E" w:rsidP="0006539E" w14:paraId="2EF840CE" w14:textId="77777777">
            <w:r w:rsidRPr="0006539E">
              <w:t>Committee on National Statistics</w:t>
            </w:r>
          </w:p>
          <w:p w:rsidR="0006539E" w:rsidRPr="0006539E" w:rsidP="0006539E" w14:paraId="04DAFD2D" w14:textId="77777777">
            <w:r w:rsidRPr="0006539E">
              <w:t>Division of Behavioral and Social Sciences and Education</w:t>
            </w:r>
          </w:p>
        </w:tc>
      </w:tr>
      <w:tr w14:paraId="62F96913" w14:textId="77777777" w:rsidTr="006B2AFD">
        <w:tblPrEx>
          <w:tblW w:w="0" w:type="auto"/>
          <w:tblInd w:w="108" w:type="dxa"/>
          <w:tblLook w:val="04A0"/>
        </w:tblPrEx>
        <w:tc>
          <w:tcPr>
            <w:tcW w:w="3330" w:type="dxa"/>
          </w:tcPr>
          <w:p w:rsidR="0006539E" w:rsidRPr="0006539E" w:rsidP="0006539E" w14:paraId="11ED5726" w14:textId="77777777">
            <w:hyperlink r:id="rId9" w:tooltip="mailto:duffys@nida.nih.gov" w:history="1">
              <w:r w:rsidRPr="0006539E" w:rsidR="00026A49">
                <w:rPr>
                  <w:color w:val="000000"/>
                </w:rPr>
                <w:t>Sarah Q. Duffy, Ph.D.</w:t>
              </w:r>
            </w:hyperlink>
          </w:p>
        </w:tc>
        <w:tc>
          <w:tcPr>
            <w:tcW w:w="6480" w:type="dxa"/>
          </w:tcPr>
          <w:p w:rsidR="0006539E" w:rsidRPr="0006539E" w:rsidP="0006539E" w14:paraId="59350B25" w14:textId="77777777">
            <w:r w:rsidRPr="0006539E">
              <w:rPr>
                <w:color w:val="000000"/>
              </w:rPr>
              <w:t>National Institute on Drug Abuse, National Institutes of Health</w:t>
            </w:r>
          </w:p>
        </w:tc>
      </w:tr>
      <w:tr w14:paraId="75D07DFB" w14:textId="77777777" w:rsidTr="006B2AFD">
        <w:tblPrEx>
          <w:tblW w:w="0" w:type="auto"/>
          <w:tblInd w:w="108" w:type="dxa"/>
          <w:tblLook w:val="04A0"/>
        </w:tblPrEx>
        <w:tc>
          <w:tcPr>
            <w:tcW w:w="3330" w:type="dxa"/>
          </w:tcPr>
          <w:p w:rsidR="0006539E" w:rsidRPr="0006539E" w:rsidP="0006539E" w14:paraId="1540E78E" w14:textId="77777777">
            <w:r w:rsidRPr="0006539E">
              <w:rPr>
                <w:rFonts w:cs="Arial"/>
                <w:color w:val="000000"/>
              </w:rPr>
              <w:t xml:space="preserve">Llewellyn Cornelius, </w:t>
            </w:r>
            <w:r w:rsidRPr="0006539E">
              <w:rPr>
                <w:color w:val="000000"/>
              </w:rPr>
              <w:t>Ph.D.</w:t>
            </w:r>
          </w:p>
        </w:tc>
        <w:tc>
          <w:tcPr>
            <w:tcW w:w="6480" w:type="dxa"/>
          </w:tcPr>
          <w:p w:rsidR="0006539E" w:rsidRPr="0006539E" w:rsidP="0006539E" w14:paraId="75FFEA68" w14:textId="77777777">
            <w:r w:rsidRPr="0006539E">
              <w:rPr>
                <w:color w:val="000000"/>
              </w:rPr>
              <w:t>University of Maryland</w:t>
            </w:r>
          </w:p>
        </w:tc>
      </w:tr>
      <w:tr w14:paraId="36433D09" w14:textId="77777777" w:rsidTr="006B2AFD">
        <w:tblPrEx>
          <w:tblW w:w="0" w:type="auto"/>
          <w:tblInd w:w="108" w:type="dxa"/>
          <w:tblLook w:val="04A0"/>
        </w:tblPrEx>
        <w:tc>
          <w:tcPr>
            <w:tcW w:w="3330" w:type="dxa"/>
          </w:tcPr>
          <w:p w:rsidR="0006539E" w:rsidRPr="0006539E" w:rsidP="0006539E" w14:paraId="5A7DFD18" w14:textId="77777777">
            <w:r w:rsidRPr="0006539E">
              <w:rPr>
                <w:color w:val="000000"/>
              </w:rPr>
              <w:t>Michael L. Cohen, Ph.D.</w:t>
            </w:r>
          </w:p>
        </w:tc>
        <w:tc>
          <w:tcPr>
            <w:tcW w:w="6480" w:type="dxa"/>
          </w:tcPr>
          <w:p w:rsidR="0006539E" w:rsidRPr="0006539E" w:rsidP="0006539E" w14:paraId="2E6365C0" w14:textId="77777777">
            <w:r w:rsidRPr="0006539E">
              <w:rPr>
                <w:color w:val="000000"/>
              </w:rPr>
              <w:t>Committee on National Statistics</w:t>
            </w:r>
          </w:p>
        </w:tc>
      </w:tr>
      <w:tr w14:paraId="201B01A1" w14:textId="77777777" w:rsidTr="006B2AFD">
        <w:tblPrEx>
          <w:tblW w:w="0" w:type="auto"/>
          <w:tblInd w:w="108" w:type="dxa"/>
          <w:tblLook w:val="04A0"/>
        </w:tblPrEx>
        <w:tc>
          <w:tcPr>
            <w:tcW w:w="3330" w:type="dxa"/>
          </w:tcPr>
          <w:p w:rsidR="0006539E" w:rsidRPr="0006539E" w:rsidP="0006539E" w14:paraId="4C894448" w14:textId="77777777">
            <w:r w:rsidRPr="0006539E">
              <w:rPr>
                <w:color w:val="000000"/>
              </w:rPr>
              <w:t>Joan S Cwi, Ph.D.</w:t>
            </w:r>
          </w:p>
        </w:tc>
        <w:tc>
          <w:tcPr>
            <w:tcW w:w="6480" w:type="dxa"/>
          </w:tcPr>
          <w:p w:rsidR="0006539E" w:rsidRPr="0006539E" w:rsidP="0006539E" w14:paraId="490D58F8" w14:textId="77777777">
            <w:r w:rsidRPr="0006539E">
              <w:rPr>
                <w:color w:val="000000"/>
              </w:rPr>
              <w:t>Independent Consultant</w:t>
            </w:r>
          </w:p>
        </w:tc>
      </w:tr>
    </w:tbl>
    <w:bookmarkEnd w:id="40"/>
    <w:p w:rsidR="0038217D" w:rsidRPr="0038217D" w:rsidP="0038217D" w14:paraId="471A47AB" w14:textId="77777777">
      <w:pPr>
        <w:pStyle w:val="Heading2"/>
        <w:rPr>
          <w:sz w:val="24"/>
        </w:rPr>
      </w:pPr>
      <w:r w:rsidRPr="00412C6F">
        <w:t>9. Payments/Gifts to Respondents</w:t>
      </w:r>
      <w:bookmarkEnd w:id="41"/>
      <w:bookmarkEnd w:id="42"/>
      <w:bookmarkEnd w:id="43"/>
      <w:bookmarkEnd w:id="44"/>
    </w:p>
    <w:p w:rsidR="0006539E" w:rsidRPr="00FA21F9" w:rsidP="0006539E" w14:paraId="563C3E37" w14:textId="5F29F0FF">
      <w:pPr>
        <w:rPr>
          <w:iCs/>
        </w:rPr>
      </w:pPr>
      <w:r w:rsidRPr="0006539E">
        <w:t xml:space="preserve">MEPS-HC respondents will be offered a monetary gift as a token of appreciation for their participation in the MEPS. A gift has been offered to respondents at the end of each round since the inception of MEPS in 1996; the current amount of $50 per round has been in place since 2011 (OMB approval obtained January 26, 2010 version 1).  For household respondents, participation includes not only time being interviewed, but also keeping track of their medical events and expenditures between interviews.     Household respondents will be informed of the gift at the first in-person contact and all eligible respondents will be given the same amount.  </w:t>
      </w:r>
      <w:r w:rsidR="00FA21F9">
        <w:rPr>
          <w:iCs/>
        </w:rPr>
        <w:t>R</w:t>
      </w:r>
      <w:r w:rsidRPr="00FA21F9" w:rsidR="00FA21F9">
        <w:rPr>
          <w:iCs/>
        </w:rPr>
        <w:t xml:space="preserve">espondents </w:t>
      </w:r>
      <w:r w:rsidR="00FA21F9">
        <w:rPr>
          <w:iCs/>
        </w:rPr>
        <w:t xml:space="preserve">to the </w:t>
      </w:r>
      <w:r w:rsidRPr="00FA21F9" w:rsidR="00FA21F9">
        <w:t>Burdens and Economic Impacts of Medical Care S</w:t>
      </w:r>
      <w:r w:rsidR="00FA21F9">
        <w:t>AQ</w:t>
      </w:r>
      <w:r w:rsidRPr="00FA21F9" w:rsidR="00FA21F9">
        <w:rPr>
          <w:iCs/>
        </w:rPr>
        <w:t xml:space="preserve"> w</w:t>
      </w:r>
      <w:r w:rsidR="00FA21F9">
        <w:rPr>
          <w:iCs/>
        </w:rPr>
        <w:t>ill be offered</w:t>
      </w:r>
      <w:r w:rsidRPr="00FA21F9" w:rsidR="00FA21F9">
        <w:rPr>
          <w:iCs/>
        </w:rPr>
        <w:t xml:space="preserve"> a $20.00 monetary incentive to improve response rates and mitigate perceived additional burden.</w:t>
      </w:r>
      <w:r w:rsidR="00FA21F9">
        <w:rPr>
          <w:iCs/>
        </w:rPr>
        <w:t xml:space="preserve">  </w:t>
      </w:r>
      <w:r w:rsidRPr="0006539E">
        <w:t>Currently no gift is offered to respondents to the Adult SAQ,</w:t>
      </w:r>
      <w:r w:rsidR="00031B83">
        <w:t xml:space="preserve"> </w:t>
      </w:r>
      <w:r w:rsidRPr="0006539E">
        <w:t>Diabetes Care SAQ</w:t>
      </w:r>
      <w:r w:rsidR="00031B83">
        <w:t xml:space="preserve">, </w:t>
      </w:r>
      <w:r w:rsidR="00FA21F9">
        <w:t xml:space="preserve">Cancer SAQ </w:t>
      </w:r>
      <w:r w:rsidR="00031B83">
        <w:t>or PSAQ</w:t>
      </w:r>
      <w:r w:rsidRPr="0006539E">
        <w:t>.</w:t>
      </w:r>
    </w:p>
    <w:p w:rsidR="00B915F1" w:rsidRPr="00825DA9" w:rsidP="009B633D" w14:paraId="602BAEAD" w14:textId="77777777">
      <w:pPr>
        <w:jc w:val="both"/>
        <w:rPr>
          <w:i/>
        </w:rPr>
      </w:pPr>
    </w:p>
    <w:p w:rsidR="009B633D" w:rsidRPr="00412C6F" w:rsidP="009B633D" w14:paraId="06D915DE" w14:textId="77777777">
      <w:pPr>
        <w:pStyle w:val="Heading2"/>
        <w:rPr>
          <w:sz w:val="24"/>
        </w:rPr>
      </w:pPr>
      <w:bookmarkStart w:id="45" w:name="_Toc151782185"/>
      <w:bookmarkStart w:id="46" w:name="_Toc158526225"/>
      <w:bookmarkStart w:id="47" w:name="_Hlk154482741"/>
      <w:r w:rsidRPr="00412C6F">
        <w:rPr>
          <w:sz w:val="24"/>
        </w:rPr>
        <w:t>10. Assurance of Confidentiality</w:t>
      </w:r>
      <w:bookmarkEnd w:id="45"/>
      <w:bookmarkEnd w:id="46"/>
    </w:p>
    <w:p w:rsidR="001B234D" w:rsidP="007208E0" w14:paraId="14FE891F" w14:textId="4D004354">
      <w:pPr>
        <w:spacing w:before="100" w:beforeAutospacing="1" w:after="100" w:afterAutospacing="1"/>
      </w:pPr>
      <w:bookmarkStart w:id="48" w:name="_Hlk150381190"/>
      <w:r>
        <w:t xml:space="preserve">Data will be kept private to the extent allowed by law. </w:t>
      </w:r>
      <w:bookmarkEnd w:id="48"/>
      <w:r w:rsidRPr="0006539E" w:rsidR="0006539E">
        <w:t xml:space="preserve">Confidentiality is protected by Sections 944(c) and 308(d) of the Public Health Service Act (42 U.S.C. 299c-3(c) and 42 U.S.C. 242m(d)).   This research project will be carried out in compliance with these confidentiality statutes.  Respondents will be told the purposes for which the information is being collected, that the confidentiality of their responses will be maintained, and that </w:t>
      </w:r>
      <w:r w:rsidRPr="0006539E" w:rsidR="0006539E">
        <w:t>no information that could identify an individual or establishment will be disclosed unless that individual or establishment has consented to such disclosure.</w:t>
      </w:r>
      <w:r w:rsidRPr="00AE3FCE" w:rsidR="00AE3FCE">
        <w:t xml:space="preserve"> </w:t>
      </w:r>
      <w:bookmarkStart w:id="49" w:name="_Hlk155785853"/>
    </w:p>
    <w:bookmarkEnd w:id="49"/>
    <w:p w:rsidR="007208E0" w:rsidP="007208E0" w14:paraId="51289228" w14:textId="0E340D74">
      <w:pPr>
        <w:spacing w:before="100" w:beforeAutospacing="1" w:after="100" w:afterAutospacing="1"/>
      </w:pPr>
      <w:r>
        <w:t>In accordance with</w:t>
      </w:r>
      <w:r w:rsidR="00026A49">
        <w:t xml:space="preserve"> 5 CFR § 1320.8(b)(3) </w:t>
      </w:r>
      <w:r>
        <w:t>the following</w:t>
      </w:r>
      <w:r w:rsidR="00026A49">
        <w:t xml:space="preserve"> Privacy Act statement </w:t>
      </w:r>
      <w:r>
        <w:t xml:space="preserve">is printed </w:t>
      </w:r>
      <w:r w:rsidR="00026A49">
        <w:t xml:space="preserve">on the MEPS data collection forms.  </w:t>
      </w:r>
      <w:r>
        <w:t>T</w:t>
      </w:r>
      <w:r w:rsidR="00232656">
        <w:t>he “</w:t>
      </w:r>
      <w:r w:rsidRPr="00232656" w:rsidR="00232656">
        <w:rPr>
          <w:highlight w:val="yellow"/>
        </w:rPr>
        <w:t>x</w:t>
      </w:r>
      <w:r w:rsidR="00232656">
        <w:t>” will be replaced with the number of minutes required to complete the form:</w:t>
      </w:r>
    </w:p>
    <w:p w:rsidR="00232656" w:rsidRPr="001B234D" w:rsidP="007208E0" w14:paraId="397F990B" w14:textId="416D0A1B">
      <w:pPr>
        <w:spacing w:before="100" w:beforeAutospacing="1" w:after="100" w:afterAutospacing="1"/>
      </w:pPr>
      <w:r w:rsidRPr="00232656">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Pr="00232656">
        <w:rPr>
          <w:highlight w:val="yellow"/>
        </w:rPr>
        <w:t>x</w:t>
      </w:r>
      <w:r w:rsidRPr="00232656">
        <w:t xml:space="preserve"> minutes per response, the estimated time required to complete the survey. An agency may not conduct or sponsor, and a person is not required to respond to, a collection of information unless it displays a currently valid OMB control number.  The data provide</w:t>
      </w:r>
      <w:r w:rsidR="006E21FA">
        <w:t>d</w:t>
      </w:r>
      <w:r w:rsidRPr="00232656">
        <w:t xml:space="preserv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0935-0118) AHRQ, 5600 Fishers Lane, Room #07W42, Rockville, MD 20857, or by email to</w:t>
      </w:r>
      <w:r w:rsidR="00DE0665">
        <w:t xml:space="preserve"> REPORTSCLEARANCEOFFICER@ahrq.hhs.gov</w:t>
      </w:r>
      <w:r w:rsidRPr="00232656">
        <w:t>.</w:t>
      </w:r>
      <w:bookmarkEnd w:id="47"/>
    </w:p>
    <w:p w:rsidR="009B633D" w:rsidRPr="00412C6F" w:rsidP="009B633D" w14:paraId="1C7BDE54" w14:textId="77777777">
      <w:pPr>
        <w:pStyle w:val="Heading2"/>
        <w:rPr>
          <w:sz w:val="24"/>
        </w:rPr>
      </w:pPr>
      <w:bookmarkStart w:id="50" w:name="_Toc151782186"/>
      <w:bookmarkStart w:id="51" w:name="_Toc158526226"/>
      <w:r w:rsidRPr="00412C6F">
        <w:rPr>
          <w:sz w:val="24"/>
        </w:rPr>
        <w:t>11. Questions of a Sensitive Nature</w:t>
      </w:r>
      <w:bookmarkEnd w:id="50"/>
      <w:bookmarkEnd w:id="51"/>
    </w:p>
    <w:p w:rsidR="00BB7136" w:rsidP="00ED0EBB" w14:paraId="570CEF2B" w14:textId="43321B5C">
      <w:pPr>
        <w:rPr>
          <w:i/>
        </w:rPr>
      </w:pPr>
      <w:r w:rsidRPr="0006539E">
        <w:t>The MEPS questionnaires for the Household Component include questions on income</w:t>
      </w:r>
      <w:r w:rsidR="003C654B">
        <w:t>, sexual orientation</w:t>
      </w:r>
      <w:r w:rsidRPr="0006539E">
        <w:t xml:space="preserve"> and medical conditions that some respondents may perceive as sensitive.</w:t>
      </w:r>
    </w:p>
    <w:p w:rsidR="009B633D" w:rsidRPr="00412C6F" w:rsidP="009B633D" w14:paraId="2640165F" w14:textId="77777777">
      <w:pPr>
        <w:pStyle w:val="Heading2"/>
        <w:rPr>
          <w:sz w:val="24"/>
        </w:rPr>
      </w:pPr>
      <w:bookmarkStart w:id="52" w:name="_Toc151782187"/>
      <w:bookmarkStart w:id="53" w:name="_Toc158526227"/>
      <w:bookmarkStart w:id="54" w:name="_Hlk144128748"/>
      <w:r w:rsidRPr="00412C6F">
        <w:rPr>
          <w:sz w:val="24"/>
        </w:rPr>
        <w:t>12. Estimates of Annualized Burden Hours and Costs</w:t>
      </w:r>
      <w:bookmarkEnd w:id="52"/>
      <w:bookmarkEnd w:id="53"/>
    </w:p>
    <w:p w:rsidR="005F0C5E" w:rsidP="005F0C5E" w14:paraId="794A4582" w14:textId="77777777">
      <w:pPr>
        <w:tabs>
          <w:tab w:val="left" w:pos="0"/>
        </w:tabs>
        <w:rPr>
          <w:bCs/>
        </w:rPr>
      </w:pPr>
      <w:bookmarkStart w:id="55" w:name="_Hlk145074737"/>
      <w:bookmarkEnd w:id="54"/>
      <w:r w:rsidRPr="00442DD5">
        <w:rPr>
          <w:bCs/>
        </w:rPr>
        <w:t>Exhibit 1 shows the estimated annualized burden hours for the respondents' time to participate in the MEPS-HC and the MEPS-MPC</w:t>
      </w:r>
      <w:r>
        <w:rPr>
          <w:bCs/>
        </w:rPr>
        <w:t>.</w:t>
      </w:r>
    </w:p>
    <w:p w:rsidR="005F0C5E" w:rsidP="005F0C5E" w14:paraId="31597907" w14:textId="1223B0A5">
      <w:pPr>
        <w:tabs>
          <w:tab w:val="left" w:pos="0"/>
        </w:tabs>
        <w:rPr>
          <w:bCs/>
        </w:rPr>
      </w:pPr>
    </w:p>
    <w:p w:rsidR="00446831" w:rsidRPr="00446831" w:rsidP="005F0C5E" w14:paraId="7E3C565F" w14:textId="3B6A1116">
      <w:pPr>
        <w:tabs>
          <w:tab w:val="left" w:pos="0"/>
        </w:tabs>
        <w:rPr>
          <w:b/>
        </w:rPr>
      </w:pPr>
      <w:r w:rsidRPr="00446831">
        <w:rPr>
          <w:b/>
          <w:i/>
          <w:iCs/>
        </w:rPr>
        <w:t>MEPS-HC:</w:t>
      </w:r>
    </w:p>
    <w:p w:rsidR="00446831" w:rsidRPr="00446831" w:rsidP="007A4EE6" w14:paraId="47E85C6D" w14:textId="4CA644FD">
      <w:pPr>
        <w:pStyle w:val="ListParagraph"/>
        <w:numPr>
          <w:ilvl w:val="0"/>
          <w:numId w:val="21"/>
        </w:numPr>
        <w:tabs>
          <w:tab w:val="left" w:pos="0"/>
        </w:tabs>
        <w:rPr>
          <w:bCs/>
        </w:rPr>
      </w:pPr>
      <w:r w:rsidRPr="00446831">
        <w:rPr>
          <w:bCs/>
          <w:i/>
          <w:iCs/>
        </w:rPr>
        <w:t>MEPS-HC Core Interview</w:t>
      </w:r>
      <w:r>
        <w:rPr>
          <w:bCs/>
        </w:rPr>
        <w:t xml:space="preserve"> - </w:t>
      </w:r>
      <w:r w:rsidRPr="00446831" w:rsidR="00026A49">
        <w:rPr>
          <w:bCs/>
        </w:rPr>
        <w:t>completed by 1</w:t>
      </w:r>
      <w:r w:rsidRPr="00446831" w:rsidR="00F63E08">
        <w:rPr>
          <w:bCs/>
        </w:rPr>
        <w:t>2,</w:t>
      </w:r>
      <w:r w:rsidR="00F03D1B">
        <w:rPr>
          <w:bCs/>
        </w:rPr>
        <w:t>683</w:t>
      </w:r>
      <w:r w:rsidRPr="00446831" w:rsidR="00026A49">
        <w:rPr>
          <w:bCs/>
        </w:rPr>
        <w:t xml:space="preserve"> "family level" respondents.  Since the MEPS-HC </w:t>
      </w:r>
      <w:r w:rsidRPr="00446831" w:rsidR="0026343D">
        <w:rPr>
          <w:bCs/>
        </w:rPr>
        <w:t xml:space="preserve">typically </w:t>
      </w:r>
      <w:r w:rsidRPr="00446831" w:rsidR="00026A49">
        <w:rPr>
          <w:bCs/>
        </w:rPr>
        <w:t xml:space="preserve">consists of 5 rounds of interviewing covering a full two years of data, the annual average number of responses per respondent is 2.5 responses per year.  The MEPS-HC core requires an average response time of </w:t>
      </w:r>
      <w:r w:rsidRPr="00446831" w:rsidR="0026343D">
        <w:rPr>
          <w:bCs/>
        </w:rPr>
        <w:t>88</w:t>
      </w:r>
      <w:r w:rsidRPr="00446831" w:rsidR="00026A49">
        <w:rPr>
          <w:bCs/>
        </w:rPr>
        <w:t xml:space="preserve"> minutes to administer.</w:t>
      </w:r>
    </w:p>
    <w:p w:rsidR="00446831" w:rsidRPr="00446831" w:rsidP="007A4EE6" w14:paraId="0E517AB2" w14:textId="21B183E4">
      <w:pPr>
        <w:pStyle w:val="ListParagraph"/>
        <w:numPr>
          <w:ilvl w:val="0"/>
          <w:numId w:val="21"/>
        </w:numPr>
        <w:tabs>
          <w:tab w:val="left" w:pos="0"/>
        </w:tabs>
        <w:rPr>
          <w:bCs/>
        </w:rPr>
      </w:pPr>
      <w:r w:rsidRPr="00446831">
        <w:rPr>
          <w:bCs/>
          <w:i/>
          <w:iCs/>
        </w:rPr>
        <w:t>Adult SAQ</w:t>
      </w:r>
      <w:r>
        <w:rPr>
          <w:bCs/>
        </w:rPr>
        <w:t xml:space="preserve"> -</w:t>
      </w:r>
      <w:r w:rsidRPr="00446831">
        <w:rPr>
          <w:bCs/>
        </w:rPr>
        <w:t xml:space="preserve"> completed once </w:t>
      </w:r>
      <w:r w:rsidRPr="00446831" w:rsidR="005479F6">
        <w:rPr>
          <w:bCs/>
        </w:rPr>
        <w:t>during</w:t>
      </w:r>
      <w:r w:rsidRPr="00446831">
        <w:rPr>
          <w:bCs/>
        </w:rPr>
        <w:t xml:space="preserve"> the 2-year panel, in rounds 2 and 4 during </w:t>
      </w:r>
      <w:r w:rsidRPr="00446831" w:rsidR="00C42424">
        <w:rPr>
          <w:bCs/>
        </w:rPr>
        <w:t>odd</w:t>
      </w:r>
      <w:r w:rsidRPr="00446831">
        <w:rPr>
          <w:bCs/>
        </w:rPr>
        <w:t xml:space="preserve"> numbered years, making the annualized average 0.5 times per year.  The Adult SAQ will be completed by </w:t>
      </w:r>
      <w:r w:rsidR="00F03D1B">
        <w:rPr>
          <w:bCs/>
        </w:rPr>
        <w:t>15,600</w:t>
      </w:r>
      <w:r w:rsidRPr="00446831">
        <w:rPr>
          <w:bCs/>
        </w:rPr>
        <w:t xml:space="preserve"> adults and requires an average of 7 minutes to complete.</w:t>
      </w:r>
    </w:p>
    <w:p w:rsidR="00446831" w:rsidRPr="00446831" w:rsidP="007A4EE6" w14:paraId="48B4891B" w14:textId="321D7D79">
      <w:pPr>
        <w:pStyle w:val="ListParagraph"/>
        <w:numPr>
          <w:ilvl w:val="0"/>
          <w:numId w:val="21"/>
        </w:numPr>
        <w:tabs>
          <w:tab w:val="left" w:pos="0"/>
        </w:tabs>
        <w:rPr>
          <w:bCs/>
          <w:i/>
          <w:iCs/>
        </w:rPr>
      </w:pPr>
      <w:r w:rsidRPr="00446831">
        <w:rPr>
          <w:bCs/>
          <w:i/>
          <w:iCs/>
        </w:rPr>
        <w:t>PSAQ</w:t>
      </w:r>
      <w:r>
        <w:rPr>
          <w:bCs/>
        </w:rPr>
        <w:t xml:space="preserve"> - </w:t>
      </w:r>
      <w:r w:rsidRPr="00446831" w:rsidR="00457E41">
        <w:rPr>
          <w:bCs/>
        </w:rPr>
        <w:t xml:space="preserve">completed once </w:t>
      </w:r>
      <w:r w:rsidRPr="00446831" w:rsidR="005479F6">
        <w:rPr>
          <w:bCs/>
        </w:rPr>
        <w:t>during</w:t>
      </w:r>
      <w:r w:rsidRPr="00446831" w:rsidR="00457E41">
        <w:rPr>
          <w:bCs/>
        </w:rPr>
        <w:t xml:space="preserve"> the 2-year panel, in rounds 2 and 4 during </w:t>
      </w:r>
      <w:r w:rsidRPr="00446831" w:rsidR="00C42424">
        <w:rPr>
          <w:bCs/>
        </w:rPr>
        <w:t>even</w:t>
      </w:r>
      <w:r w:rsidRPr="00446831" w:rsidR="00457E41">
        <w:rPr>
          <w:bCs/>
        </w:rPr>
        <w:t xml:space="preserve"> numbered years, making the annualized average 0.5 times per year.  The PSAQ will be completed by </w:t>
      </w:r>
      <w:r w:rsidR="00F03D1B">
        <w:rPr>
          <w:bCs/>
        </w:rPr>
        <w:t>15,600</w:t>
      </w:r>
      <w:r w:rsidRPr="00446831" w:rsidR="00457E41">
        <w:rPr>
          <w:bCs/>
        </w:rPr>
        <w:t xml:space="preserve"> adults and requires an average of 7 minutes to complete.</w:t>
      </w:r>
    </w:p>
    <w:p w:rsidR="00A02E9E" w:rsidRPr="00446831" w:rsidP="007A4EE6" w14:paraId="4A032917" w14:textId="6DBD5332">
      <w:pPr>
        <w:pStyle w:val="ListParagraph"/>
        <w:numPr>
          <w:ilvl w:val="0"/>
          <w:numId w:val="21"/>
        </w:numPr>
        <w:tabs>
          <w:tab w:val="left" w:pos="0"/>
        </w:tabs>
        <w:rPr>
          <w:bCs/>
          <w:i/>
          <w:iCs/>
        </w:rPr>
      </w:pPr>
      <w:r w:rsidRPr="00446831">
        <w:rPr>
          <w:bCs/>
          <w:i/>
          <w:iCs/>
        </w:rPr>
        <w:t>DCS</w:t>
      </w:r>
      <w:r w:rsidR="00446831">
        <w:rPr>
          <w:bCs/>
        </w:rPr>
        <w:t xml:space="preserve"> - </w:t>
      </w:r>
      <w:r w:rsidRPr="00446831">
        <w:rPr>
          <w:bCs/>
        </w:rPr>
        <w:t>completed by 1,</w:t>
      </w:r>
      <w:r w:rsidR="00F03D1B">
        <w:rPr>
          <w:bCs/>
        </w:rPr>
        <w:t>398</w:t>
      </w:r>
      <w:r w:rsidRPr="00446831">
        <w:rPr>
          <w:bCs/>
        </w:rPr>
        <w:t xml:space="preserve"> persons</w:t>
      </w:r>
      <w:r w:rsidR="00F03D1B">
        <w:rPr>
          <w:bCs/>
        </w:rPr>
        <w:t xml:space="preserve"> with diagnosed diabetes</w:t>
      </w:r>
      <w:r w:rsidRPr="00446831">
        <w:rPr>
          <w:bCs/>
        </w:rPr>
        <w:t xml:space="preserve"> each year and requires 3 minutes to complete.  </w:t>
      </w:r>
    </w:p>
    <w:p w:rsidR="00464CA9" w:rsidRPr="00446831" w:rsidP="007A4EE6" w14:paraId="70D0BA33" w14:textId="132D9C3A">
      <w:pPr>
        <w:pStyle w:val="ListParagraph"/>
        <w:numPr>
          <w:ilvl w:val="0"/>
          <w:numId w:val="21"/>
        </w:numPr>
        <w:tabs>
          <w:tab w:val="left" w:pos="0"/>
        </w:tabs>
        <w:rPr>
          <w:bCs/>
          <w:i/>
          <w:iCs/>
        </w:rPr>
      </w:pPr>
      <w:r w:rsidRPr="00446831">
        <w:rPr>
          <w:bCs/>
          <w:i/>
          <w:iCs/>
        </w:rPr>
        <w:t>Burdens and Economic Impacts of Medical Care SAQ</w:t>
      </w:r>
      <w:r w:rsidRPr="00446831">
        <w:rPr>
          <w:bCs/>
        </w:rPr>
        <w:t xml:space="preserve"> </w:t>
      </w:r>
      <w:r w:rsidR="00446831">
        <w:rPr>
          <w:bCs/>
        </w:rPr>
        <w:t>-</w:t>
      </w:r>
      <w:r w:rsidRPr="00446831">
        <w:rPr>
          <w:bCs/>
        </w:rPr>
        <w:t xml:space="preserve"> </w:t>
      </w:r>
      <w:r w:rsidRPr="00446831" w:rsidR="006F75FA">
        <w:rPr>
          <w:bCs/>
        </w:rPr>
        <w:t>completed by</w:t>
      </w:r>
      <w:r w:rsidRPr="00446831">
        <w:rPr>
          <w:bCs/>
        </w:rPr>
        <w:t xml:space="preserve"> </w:t>
      </w:r>
      <w:r w:rsidR="00133327">
        <w:rPr>
          <w:bCs/>
          <w:iCs/>
        </w:rPr>
        <w:t>16,170</w:t>
      </w:r>
      <w:r w:rsidRPr="00446831">
        <w:rPr>
          <w:bCs/>
          <w:iCs/>
        </w:rPr>
        <w:t xml:space="preserve"> </w:t>
      </w:r>
      <w:r w:rsidRPr="00446831" w:rsidR="00103DDE">
        <w:rPr>
          <w:bCs/>
          <w:iCs/>
        </w:rPr>
        <w:t>and is estimated to take 10 minutes to complete.</w:t>
      </w:r>
      <w:r w:rsidRPr="00446831" w:rsidR="006F75FA">
        <w:rPr>
          <w:bCs/>
          <w:iCs/>
        </w:rPr>
        <w:t xml:space="preserve">  This SAQ will be completed only once in 2025 and will be removed in 2026; to annualize the burden hours the number of responses per respondent is 0.5 times per year.</w:t>
      </w:r>
    </w:p>
    <w:p w:rsidR="00446831" w:rsidRPr="00446831" w:rsidP="007A4EE6" w14:paraId="6287269E" w14:textId="6FA51796">
      <w:pPr>
        <w:pStyle w:val="ListParagraph"/>
        <w:numPr>
          <w:ilvl w:val="0"/>
          <w:numId w:val="21"/>
        </w:numPr>
        <w:tabs>
          <w:tab w:val="left" w:pos="0"/>
        </w:tabs>
        <w:rPr>
          <w:bCs/>
          <w:i/>
          <w:iCs/>
        </w:rPr>
      </w:pPr>
      <w:r w:rsidRPr="00446831">
        <w:rPr>
          <w:bCs/>
          <w:i/>
          <w:iCs/>
        </w:rPr>
        <w:t>Authorization forms for the MEPS-MPC and Pharmacy Survey</w:t>
      </w:r>
      <w:r>
        <w:rPr>
          <w:bCs/>
        </w:rPr>
        <w:t xml:space="preserve"> -</w:t>
      </w:r>
      <w:r w:rsidRPr="00446831">
        <w:rPr>
          <w:bCs/>
        </w:rPr>
        <w:t xml:space="preserve"> completed </w:t>
      </w:r>
      <w:r w:rsidRPr="00446831" w:rsidR="00A20AEC">
        <w:rPr>
          <w:bCs/>
        </w:rPr>
        <w:t xml:space="preserve">by </w:t>
      </w:r>
      <w:r w:rsidR="00133327">
        <w:rPr>
          <w:bCs/>
        </w:rPr>
        <w:t>7,386</w:t>
      </w:r>
      <w:r w:rsidRPr="00446831" w:rsidR="00A20AEC">
        <w:rPr>
          <w:bCs/>
        </w:rPr>
        <w:t xml:space="preserve"> respondents.  Each respondent will complete an average of </w:t>
      </w:r>
      <w:r w:rsidR="00D637EB">
        <w:rPr>
          <w:bCs/>
        </w:rPr>
        <w:t>5.2</w:t>
      </w:r>
      <w:r w:rsidRPr="00446831" w:rsidR="00A20AEC">
        <w:rPr>
          <w:bCs/>
        </w:rPr>
        <w:t xml:space="preserve"> forms each year, with each form requiring an average of 3 minutes to complete.</w:t>
      </w:r>
      <w:r w:rsidRPr="00446831" w:rsidR="005479F6">
        <w:rPr>
          <w:bCs/>
        </w:rPr>
        <w:t xml:space="preserve"> </w:t>
      </w:r>
    </w:p>
    <w:p w:rsidR="0082479F" w:rsidRPr="0082479F" w:rsidP="007A4EE6" w14:paraId="1A72CD8D" w14:textId="2B86CFA0">
      <w:pPr>
        <w:pStyle w:val="ListParagraph"/>
        <w:numPr>
          <w:ilvl w:val="0"/>
          <w:numId w:val="21"/>
        </w:numPr>
        <w:tabs>
          <w:tab w:val="left" w:pos="0"/>
        </w:tabs>
        <w:rPr>
          <w:bCs/>
        </w:rPr>
      </w:pPr>
      <w:r w:rsidRPr="0082479F">
        <w:rPr>
          <w:bCs/>
          <w:i/>
          <w:iCs/>
        </w:rPr>
        <w:t>V</w:t>
      </w:r>
      <w:r w:rsidRPr="0082479F" w:rsidR="005479F6">
        <w:rPr>
          <w:bCs/>
          <w:i/>
          <w:iCs/>
        </w:rPr>
        <w:t>alidation interview</w:t>
      </w:r>
      <w:r w:rsidRPr="0082479F">
        <w:rPr>
          <w:bCs/>
        </w:rPr>
        <w:t xml:space="preserve"> -</w:t>
      </w:r>
      <w:r w:rsidRPr="0082479F" w:rsidR="005479F6">
        <w:rPr>
          <w:bCs/>
        </w:rPr>
        <w:t xml:space="preserve"> conducted with </w:t>
      </w:r>
      <w:r w:rsidRPr="0082479F" w:rsidR="00A02E9E">
        <w:rPr>
          <w:bCs/>
        </w:rPr>
        <w:t>approximately 1,</w:t>
      </w:r>
      <w:r w:rsidR="008735B3">
        <w:rPr>
          <w:bCs/>
        </w:rPr>
        <w:t>826</w:t>
      </w:r>
      <w:r w:rsidRPr="0082479F" w:rsidR="005479F6">
        <w:rPr>
          <w:bCs/>
        </w:rPr>
        <w:t xml:space="preserve"> respondents each year and requires 5 minutes to complete.  </w:t>
      </w:r>
      <w:r w:rsidRPr="0082479F">
        <w:rPr>
          <w:bCs/>
          <w:i/>
          <w:iCs/>
        </w:rPr>
        <w:br/>
      </w:r>
    </w:p>
    <w:p w:rsidR="00B93E08" w:rsidRPr="0082479F" w:rsidP="0082479F" w14:paraId="42973703" w14:textId="6DD809F5">
      <w:pPr>
        <w:tabs>
          <w:tab w:val="left" w:pos="0"/>
        </w:tabs>
        <w:rPr>
          <w:rStyle w:val="Strong"/>
          <w:b w:val="0"/>
          <w:i/>
          <w:iCs/>
        </w:rPr>
      </w:pPr>
      <w:r w:rsidRPr="0082479F">
        <w:rPr>
          <w:bCs/>
        </w:rPr>
        <w:t xml:space="preserve">The total </w:t>
      </w:r>
      <w:r w:rsidR="0082479F">
        <w:rPr>
          <w:bCs/>
        </w:rPr>
        <w:t xml:space="preserve">annual </w:t>
      </w:r>
      <w:r w:rsidRPr="0082479F">
        <w:rPr>
          <w:bCs/>
        </w:rPr>
        <w:t xml:space="preserve">burden hours for the </w:t>
      </w:r>
      <w:r w:rsidRPr="0082479F" w:rsidR="00716E58">
        <w:rPr>
          <w:bCs/>
        </w:rPr>
        <w:t>respondent’s</w:t>
      </w:r>
      <w:r w:rsidRPr="0082479F">
        <w:rPr>
          <w:bCs/>
        </w:rPr>
        <w:t xml:space="preserve"> time to participate in the MEPS-HC is estimated to be </w:t>
      </w:r>
      <w:r w:rsidR="008735B3">
        <w:rPr>
          <w:bCs/>
        </w:rPr>
        <w:t>51,814</w:t>
      </w:r>
      <w:r w:rsidRPr="0082479F">
        <w:rPr>
          <w:bCs/>
        </w:rPr>
        <w:t xml:space="preserve"> hours.</w:t>
      </w:r>
    </w:p>
    <w:p w:rsidR="009F4074" w:rsidP="007D4F9F" w14:paraId="0A4A5990" w14:textId="77777777">
      <w:pPr>
        <w:rPr>
          <w:rStyle w:val="Strong"/>
          <w:bCs w:val="0"/>
          <w:iCs/>
        </w:rPr>
      </w:pPr>
    </w:p>
    <w:p w:rsidR="0082479F" w:rsidRPr="00E242C4" w:rsidP="007D4F9F" w14:paraId="19F826E6" w14:textId="1306E34A">
      <w:pPr>
        <w:rPr>
          <w:rStyle w:val="Strong"/>
          <w:b w:val="0"/>
          <w:iCs/>
        </w:rPr>
      </w:pPr>
      <w:r w:rsidRPr="0082479F">
        <w:rPr>
          <w:rStyle w:val="Strong"/>
          <w:bCs w:val="0"/>
          <w:iCs/>
        </w:rPr>
        <w:t>MEPS-MPC:</w:t>
      </w:r>
    </w:p>
    <w:p w:rsidR="00911595" w:rsidRPr="00911595" w:rsidP="0082479F" w14:paraId="1AEDE3C7" w14:textId="77777777">
      <w:pPr>
        <w:pStyle w:val="ListParagraph"/>
        <w:numPr>
          <w:ilvl w:val="0"/>
          <w:numId w:val="20"/>
        </w:numPr>
        <w:rPr>
          <w:rStyle w:val="Strong"/>
          <w:bCs w:val="0"/>
          <w:iCs/>
        </w:rPr>
      </w:pPr>
      <w:r w:rsidRPr="00E242C4">
        <w:rPr>
          <w:rStyle w:val="Strong"/>
          <w:b w:val="0"/>
          <w:i/>
        </w:rPr>
        <w:t>Contact</w:t>
      </w:r>
      <w:r w:rsidRPr="0082479F">
        <w:rPr>
          <w:rStyle w:val="Strong"/>
          <w:b w:val="0"/>
          <w:i/>
        </w:rPr>
        <w:t xml:space="preserve"> Guide/Screening Call</w:t>
      </w:r>
      <w:r w:rsidRPr="0082479F">
        <w:rPr>
          <w:rStyle w:val="Strong"/>
          <w:b w:val="0"/>
          <w:iCs/>
        </w:rPr>
        <w:t xml:space="preserve"> </w:t>
      </w:r>
      <w:r w:rsidR="0082479F">
        <w:rPr>
          <w:rStyle w:val="Strong"/>
          <w:b w:val="0"/>
          <w:iCs/>
        </w:rPr>
        <w:t>-</w:t>
      </w:r>
      <w:r w:rsidRPr="0082479F">
        <w:rPr>
          <w:rStyle w:val="Strong"/>
          <w:b w:val="0"/>
          <w:iCs/>
        </w:rPr>
        <w:t xml:space="preserve"> conducted with </w:t>
      </w:r>
      <w:r w:rsidRPr="0082479F" w:rsidR="00446831">
        <w:rPr>
          <w:rStyle w:val="Strong"/>
          <w:b w:val="0"/>
          <w:iCs/>
        </w:rPr>
        <w:t>38,683</w:t>
      </w:r>
      <w:r w:rsidRPr="0082479F">
        <w:rPr>
          <w:rStyle w:val="Strong"/>
          <w:b w:val="0"/>
          <w:iCs/>
        </w:rPr>
        <w:t xml:space="preserve"> providers and pharmacies each year and requires 5 minutes to complete.  </w:t>
      </w:r>
    </w:p>
    <w:p w:rsidR="00911595" w:rsidRPr="00911595" w:rsidP="0082479F" w14:paraId="08DA2023" w14:textId="004BF926">
      <w:pPr>
        <w:pStyle w:val="ListParagraph"/>
        <w:numPr>
          <w:ilvl w:val="0"/>
          <w:numId w:val="20"/>
        </w:numPr>
        <w:rPr>
          <w:rStyle w:val="Strong"/>
          <w:bCs w:val="0"/>
          <w:iCs/>
        </w:rPr>
      </w:pPr>
      <w:r w:rsidRPr="00911595">
        <w:rPr>
          <w:rStyle w:val="Strong"/>
          <w:b w:val="0"/>
          <w:i/>
        </w:rPr>
        <w:t xml:space="preserve">Home </w:t>
      </w:r>
      <w:r w:rsidR="003E28C9">
        <w:rPr>
          <w:rStyle w:val="Strong"/>
          <w:b w:val="0"/>
          <w:i/>
        </w:rPr>
        <w:t xml:space="preserve">Health </w:t>
      </w:r>
      <w:r w:rsidRPr="00911595">
        <w:rPr>
          <w:rStyle w:val="Strong"/>
          <w:b w:val="0"/>
          <w:i/>
        </w:rPr>
        <w:t>Care Providers Event Form</w:t>
      </w:r>
      <w:r w:rsidRPr="0082479F">
        <w:rPr>
          <w:rStyle w:val="Strong"/>
          <w:b w:val="0"/>
          <w:iCs/>
        </w:rPr>
        <w:t xml:space="preserve"> </w:t>
      </w:r>
      <w:r>
        <w:rPr>
          <w:rStyle w:val="Strong"/>
          <w:b w:val="0"/>
          <w:iCs/>
        </w:rPr>
        <w:t xml:space="preserve">- </w:t>
      </w:r>
      <w:r w:rsidRPr="0082479F">
        <w:rPr>
          <w:rStyle w:val="Strong"/>
          <w:b w:val="0"/>
          <w:iCs/>
        </w:rPr>
        <w:t xml:space="preserve">completed by </w:t>
      </w:r>
      <w:r>
        <w:rPr>
          <w:rStyle w:val="Strong"/>
          <w:b w:val="0"/>
          <w:iCs/>
        </w:rPr>
        <w:t>540</w:t>
      </w:r>
      <w:r w:rsidRPr="0082479F">
        <w:rPr>
          <w:rStyle w:val="Strong"/>
          <w:b w:val="0"/>
          <w:iCs/>
        </w:rPr>
        <w:t xml:space="preserve"> providers, with each provider completing an average of 5 for</w:t>
      </w:r>
      <w:r w:rsidRPr="0082479F" w:rsidR="004A51FD">
        <w:rPr>
          <w:rStyle w:val="Strong"/>
          <w:b w:val="0"/>
          <w:iCs/>
        </w:rPr>
        <w:t>ms</w:t>
      </w:r>
      <w:r w:rsidRPr="0082479F">
        <w:rPr>
          <w:rStyle w:val="Strong"/>
          <w:b w:val="0"/>
          <w:iCs/>
        </w:rPr>
        <w:t xml:space="preserve"> and each form requiring 3 minutes to complete.  </w:t>
      </w:r>
    </w:p>
    <w:p w:rsidR="00911595" w:rsidRPr="00911595" w:rsidP="0082479F" w14:paraId="12D9B705" w14:textId="77777777">
      <w:pPr>
        <w:pStyle w:val="ListParagraph"/>
        <w:numPr>
          <w:ilvl w:val="0"/>
          <w:numId w:val="20"/>
        </w:numPr>
        <w:rPr>
          <w:rStyle w:val="Strong"/>
          <w:bCs w:val="0"/>
          <w:iCs/>
        </w:rPr>
      </w:pPr>
      <w:r w:rsidRPr="00911595">
        <w:rPr>
          <w:rStyle w:val="Strong"/>
          <w:b w:val="0"/>
          <w:i/>
        </w:rPr>
        <w:t>Office-based Providers Event Form</w:t>
      </w:r>
      <w:r w:rsidRPr="0082479F">
        <w:rPr>
          <w:rStyle w:val="Strong"/>
          <w:b w:val="0"/>
          <w:iCs/>
        </w:rPr>
        <w:t xml:space="preserve"> </w:t>
      </w:r>
      <w:r>
        <w:rPr>
          <w:rStyle w:val="Strong"/>
          <w:b w:val="0"/>
          <w:iCs/>
        </w:rPr>
        <w:t xml:space="preserve">- </w:t>
      </w:r>
      <w:r w:rsidRPr="0082479F">
        <w:rPr>
          <w:rStyle w:val="Strong"/>
          <w:b w:val="0"/>
          <w:iCs/>
        </w:rPr>
        <w:t xml:space="preserve">completed by </w:t>
      </w:r>
      <w:r>
        <w:rPr>
          <w:rStyle w:val="Strong"/>
          <w:b w:val="0"/>
          <w:iCs/>
        </w:rPr>
        <w:t>9,300</w:t>
      </w:r>
      <w:r w:rsidRPr="0082479F">
        <w:rPr>
          <w:rStyle w:val="Strong"/>
          <w:b w:val="0"/>
          <w:iCs/>
        </w:rPr>
        <w:t xml:space="preserve"> providers.  Each provider will complete an average of </w:t>
      </w:r>
      <w:r>
        <w:rPr>
          <w:rStyle w:val="Strong"/>
          <w:b w:val="0"/>
          <w:iCs/>
        </w:rPr>
        <w:t>2.8</w:t>
      </w:r>
      <w:r w:rsidRPr="0082479F">
        <w:rPr>
          <w:rStyle w:val="Strong"/>
          <w:b w:val="0"/>
          <w:iCs/>
        </w:rPr>
        <w:t xml:space="preserve"> forms and each form requires 3 minutes to complete.  </w:t>
      </w:r>
    </w:p>
    <w:p w:rsidR="00911595" w:rsidRPr="00911595" w:rsidP="0082479F" w14:paraId="02296D20" w14:textId="15CE54DC">
      <w:pPr>
        <w:pStyle w:val="ListParagraph"/>
        <w:numPr>
          <w:ilvl w:val="0"/>
          <w:numId w:val="20"/>
        </w:numPr>
        <w:rPr>
          <w:rStyle w:val="Strong"/>
          <w:bCs w:val="0"/>
          <w:iCs/>
        </w:rPr>
      </w:pPr>
      <w:r w:rsidRPr="00911595">
        <w:rPr>
          <w:rStyle w:val="Strong"/>
          <w:b w:val="0"/>
          <w:i/>
        </w:rPr>
        <w:t>Separately Billing Doctors Event Form</w:t>
      </w:r>
      <w:r>
        <w:rPr>
          <w:rStyle w:val="Strong"/>
          <w:b w:val="0"/>
          <w:iCs/>
        </w:rPr>
        <w:t xml:space="preserve"> -</w:t>
      </w:r>
      <w:r w:rsidRPr="0082479F">
        <w:rPr>
          <w:rStyle w:val="Strong"/>
          <w:b w:val="0"/>
          <w:iCs/>
        </w:rPr>
        <w:t xml:space="preserve"> will be completed by </w:t>
      </w:r>
      <w:r>
        <w:rPr>
          <w:rStyle w:val="Strong"/>
          <w:b w:val="0"/>
          <w:iCs/>
        </w:rPr>
        <w:t>4,676</w:t>
      </w:r>
      <w:r w:rsidRPr="0082479F">
        <w:rPr>
          <w:rStyle w:val="Strong"/>
          <w:b w:val="0"/>
          <w:iCs/>
        </w:rPr>
        <w:t xml:space="preserve"> providers, with each provider completing </w:t>
      </w:r>
      <w:r w:rsidRPr="0082479F" w:rsidR="00022A50">
        <w:rPr>
          <w:rStyle w:val="Strong"/>
          <w:b w:val="0"/>
          <w:iCs/>
        </w:rPr>
        <w:t>1.</w:t>
      </w:r>
      <w:r>
        <w:rPr>
          <w:rStyle w:val="Strong"/>
          <w:b w:val="0"/>
          <w:iCs/>
        </w:rPr>
        <w:t>2</w:t>
      </w:r>
      <w:r w:rsidRPr="0082479F" w:rsidR="00022A50">
        <w:rPr>
          <w:rStyle w:val="Strong"/>
          <w:b w:val="0"/>
          <w:iCs/>
        </w:rPr>
        <w:t xml:space="preserve"> forms on average, and each form requiring 3 minutes to complete.  </w:t>
      </w:r>
    </w:p>
    <w:p w:rsidR="00911595" w:rsidRPr="00911595" w:rsidP="0082479F" w14:paraId="258D2061" w14:textId="464516DA">
      <w:pPr>
        <w:pStyle w:val="ListParagraph"/>
        <w:numPr>
          <w:ilvl w:val="0"/>
          <w:numId w:val="20"/>
        </w:numPr>
        <w:rPr>
          <w:rStyle w:val="Strong"/>
          <w:bCs w:val="0"/>
          <w:iCs/>
        </w:rPr>
      </w:pPr>
      <w:r w:rsidRPr="00911595">
        <w:rPr>
          <w:rStyle w:val="Strong"/>
          <w:b w:val="0"/>
          <w:i/>
        </w:rPr>
        <w:t>Hospital Event Form</w:t>
      </w:r>
      <w:r>
        <w:rPr>
          <w:rStyle w:val="Strong"/>
          <w:b w:val="0"/>
          <w:iCs/>
        </w:rPr>
        <w:t xml:space="preserve"> -</w:t>
      </w:r>
      <w:r w:rsidRPr="0082479F">
        <w:rPr>
          <w:rStyle w:val="Strong"/>
          <w:b w:val="0"/>
          <w:iCs/>
        </w:rPr>
        <w:t xml:space="preserve"> completed by </w:t>
      </w:r>
      <w:r>
        <w:rPr>
          <w:rStyle w:val="Strong"/>
          <w:b w:val="0"/>
          <w:iCs/>
        </w:rPr>
        <w:t>3,935</w:t>
      </w:r>
      <w:r w:rsidRPr="0082479F">
        <w:rPr>
          <w:rStyle w:val="Strong"/>
          <w:b w:val="0"/>
          <w:iCs/>
        </w:rPr>
        <w:t xml:space="preserve"> hospitals or HMOs.  Each hospital or HMO will complete </w:t>
      </w:r>
      <w:r>
        <w:rPr>
          <w:rStyle w:val="Strong"/>
          <w:b w:val="0"/>
          <w:iCs/>
        </w:rPr>
        <w:t>5.9</w:t>
      </w:r>
      <w:r w:rsidRPr="0082479F">
        <w:rPr>
          <w:rStyle w:val="Strong"/>
          <w:b w:val="0"/>
          <w:iCs/>
        </w:rPr>
        <w:t xml:space="preserve"> forms on average, with each form requiring 3 minutes to complete.  </w:t>
      </w:r>
    </w:p>
    <w:p w:rsidR="00911595" w:rsidRPr="00911595" w:rsidP="0082479F" w14:paraId="0D59D78D" w14:textId="5C43F9C8">
      <w:pPr>
        <w:pStyle w:val="ListParagraph"/>
        <w:numPr>
          <w:ilvl w:val="0"/>
          <w:numId w:val="20"/>
        </w:numPr>
        <w:rPr>
          <w:rStyle w:val="Strong"/>
          <w:bCs w:val="0"/>
          <w:iCs/>
        </w:rPr>
      </w:pPr>
      <w:r w:rsidRPr="00911595">
        <w:rPr>
          <w:rStyle w:val="Strong"/>
          <w:b w:val="0"/>
          <w:i/>
        </w:rPr>
        <w:t>Institutions (non-hospital) Event Form</w:t>
      </w:r>
      <w:r>
        <w:rPr>
          <w:rStyle w:val="Strong"/>
          <w:b w:val="0"/>
          <w:iCs/>
        </w:rPr>
        <w:t xml:space="preserve"> -</w:t>
      </w:r>
      <w:r w:rsidRPr="0082479F">
        <w:rPr>
          <w:rStyle w:val="Strong"/>
          <w:b w:val="0"/>
          <w:iCs/>
        </w:rPr>
        <w:t xml:space="preserve"> completed by </w:t>
      </w:r>
      <w:r>
        <w:rPr>
          <w:rStyle w:val="Strong"/>
          <w:b w:val="0"/>
          <w:iCs/>
        </w:rPr>
        <w:t>86</w:t>
      </w:r>
      <w:r w:rsidRPr="0082479F">
        <w:rPr>
          <w:rStyle w:val="Strong"/>
          <w:b w:val="0"/>
          <w:iCs/>
        </w:rPr>
        <w:t xml:space="preserve"> institutions, with each institution completing 1.3 forms on average, and each form requiring 3 minutes to complete.  </w:t>
      </w:r>
    </w:p>
    <w:p w:rsidR="00911595" w:rsidRPr="00911595" w:rsidP="00911595" w14:paraId="2B786BBE" w14:textId="47E447C5">
      <w:pPr>
        <w:pStyle w:val="ListParagraph"/>
        <w:numPr>
          <w:ilvl w:val="0"/>
          <w:numId w:val="20"/>
        </w:numPr>
        <w:rPr>
          <w:rStyle w:val="Strong"/>
          <w:bCs w:val="0"/>
          <w:iCs/>
        </w:rPr>
      </w:pPr>
      <w:r w:rsidRPr="00865122">
        <w:rPr>
          <w:rStyle w:val="Strong"/>
          <w:b w:val="0"/>
          <w:i/>
        </w:rPr>
        <w:t>Pharmacy Event Form</w:t>
      </w:r>
      <w:r w:rsidRPr="00911595">
        <w:rPr>
          <w:rStyle w:val="Strong"/>
          <w:b w:val="0"/>
          <w:iCs/>
        </w:rPr>
        <w:t xml:space="preserve"> </w:t>
      </w:r>
      <w:r w:rsidR="00865122">
        <w:rPr>
          <w:rStyle w:val="Strong"/>
          <w:b w:val="0"/>
          <w:iCs/>
        </w:rPr>
        <w:t xml:space="preserve">- </w:t>
      </w:r>
      <w:r w:rsidRPr="00911595">
        <w:rPr>
          <w:rStyle w:val="Strong"/>
          <w:b w:val="0"/>
          <w:iCs/>
        </w:rPr>
        <w:t xml:space="preserve">completed by </w:t>
      </w:r>
      <w:r w:rsidR="00865122">
        <w:rPr>
          <w:rStyle w:val="Strong"/>
          <w:b w:val="0"/>
          <w:iCs/>
        </w:rPr>
        <w:t>6,112</w:t>
      </w:r>
      <w:r w:rsidRPr="00911595">
        <w:rPr>
          <w:rStyle w:val="Strong"/>
          <w:b w:val="0"/>
          <w:iCs/>
        </w:rPr>
        <w:t xml:space="preserve"> pharmacies.  Each pharmacy will complete 3</w:t>
      </w:r>
      <w:r w:rsidR="00865122">
        <w:rPr>
          <w:rStyle w:val="Strong"/>
          <w:b w:val="0"/>
          <w:iCs/>
        </w:rPr>
        <w:t>1.3</w:t>
      </w:r>
      <w:r w:rsidRPr="00911595">
        <w:rPr>
          <w:rStyle w:val="Strong"/>
          <w:b w:val="0"/>
          <w:iCs/>
        </w:rPr>
        <w:t xml:space="preserve"> forms on average, with each form requiring 3 minutes to complete.  </w:t>
      </w:r>
    </w:p>
    <w:p w:rsidR="00911595" w:rsidP="00911595" w14:paraId="5E959638" w14:textId="77777777">
      <w:pPr>
        <w:rPr>
          <w:bCs/>
        </w:rPr>
      </w:pPr>
    </w:p>
    <w:p w:rsidR="00552AA3" w:rsidRPr="00911595" w:rsidP="00911595" w14:paraId="3756C98A" w14:textId="1402FE3B">
      <w:pPr>
        <w:rPr>
          <w:b/>
          <w:iCs/>
        </w:rPr>
      </w:pPr>
      <w:r w:rsidRPr="00911595">
        <w:rPr>
          <w:bCs/>
        </w:rPr>
        <w:t xml:space="preserve">The total burden hours for the respondent’s time to participate in the MEPS-MPC is estimated to be </w:t>
      </w:r>
      <w:r w:rsidR="00865122">
        <w:rPr>
          <w:bCs/>
          <w:iCs/>
        </w:rPr>
        <w:t>15,674</w:t>
      </w:r>
      <w:r w:rsidRPr="00911595">
        <w:rPr>
          <w:bCs/>
        </w:rPr>
        <w:t xml:space="preserve"> hours.</w:t>
      </w:r>
      <w:r w:rsidRPr="00911595" w:rsidR="00026A49">
        <w:rPr>
          <w:bCs/>
        </w:rPr>
        <w:t xml:space="preserve">  The total annual burden hours for the MEPS-HC and MPC is estimated to be </w:t>
      </w:r>
      <w:r w:rsidR="00BB0571">
        <w:rPr>
          <w:bCs/>
          <w:iCs/>
        </w:rPr>
        <w:t>67,488</w:t>
      </w:r>
      <w:r w:rsidRPr="00911595" w:rsidR="00026A49">
        <w:rPr>
          <w:bCs/>
        </w:rPr>
        <w:t xml:space="preserve"> hours.</w:t>
      </w:r>
    </w:p>
    <w:p w:rsidR="00716E58" w:rsidP="00716E58" w14:paraId="1EA4737D" w14:textId="177E864E">
      <w:pPr>
        <w:rPr>
          <w:rStyle w:val="Strong"/>
          <w:b w:val="0"/>
          <w:iCs/>
        </w:rPr>
      </w:pPr>
    </w:p>
    <w:p w:rsidR="009F4074" w:rsidP="00716E58" w14:paraId="1140D4A4" w14:textId="77777777">
      <w:pPr>
        <w:rPr>
          <w:rStyle w:val="Strong"/>
          <w:b w:val="0"/>
          <w:iCs/>
        </w:rPr>
      </w:pPr>
    </w:p>
    <w:p w:rsidR="009F4074" w:rsidP="00716E58" w14:paraId="7EDF5491" w14:textId="77777777">
      <w:pPr>
        <w:rPr>
          <w:rStyle w:val="Strong"/>
          <w:b w:val="0"/>
          <w:iCs/>
        </w:rPr>
      </w:pPr>
    </w:p>
    <w:p w:rsidR="009F4074" w:rsidP="00716E58" w14:paraId="74CB68A8" w14:textId="77777777">
      <w:pPr>
        <w:rPr>
          <w:rStyle w:val="Strong"/>
          <w:b w:val="0"/>
          <w:iCs/>
        </w:rPr>
      </w:pPr>
    </w:p>
    <w:p w:rsidR="009F4074" w:rsidP="00716E58" w14:paraId="778238F3" w14:textId="77777777">
      <w:pPr>
        <w:rPr>
          <w:rStyle w:val="Strong"/>
          <w:b w:val="0"/>
          <w:iCs/>
        </w:rPr>
      </w:pPr>
    </w:p>
    <w:p w:rsidR="009F4074" w:rsidP="00716E58" w14:paraId="677FA230" w14:textId="77777777">
      <w:pPr>
        <w:rPr>
          <w:rStyle w:val="Strong"/>
          <w:b w:val="0"/>
          <w:iCs/>
        </w:rPr>
      </w:pPr>
    </w:p>
    <w:p w:rsidR="009F4074" w:rsidP="00716E58" w14:paraId="1C402B93" w14:textId="77777777">
      <w:pPr>
        <w:rPr>
          <w:rStyle w:val="Strong"/>
          <w:b w:val="0"/>
          <w:iCs/>
        </w:rPr>
      </w:pPr>
    </w:p>
    <w:p w:rsidR="00093C26" w:rsidRPr="00093C26" w:rsidP="00093C26" w14:paraId="191578C7" w14:textId="0890413E">
      <w:pPr>
        <w:rPr>
          <w:bCs/>
          <w:iCs/>
        </w:rPr>
      </w:pPr>
      <w:bookmarkStart w:id="56" w:name="_Hlk161994993"/>
      <w:bookmarkStart w:id="57" w:name="_Hlk161144034"/>
      <w:bookmarkStart w:id="58" w:name="_Hlk161995855"/>
      <w:bookmarkStart w:id="59" w:name="_Hlk136423487"/>
      <w:r w:rsidRPr="00093C26">
        <w:rPr>
          <w:b/>
          <w:bCs/>
          <w:iCs/>
        </w:rPr>
        <w:t xml:space="preserve">Exhibit 1.  </w:t>
      </w:r>
      <w:r w:rsidR="00A938BD">
        <w:rPr>
          <w:b/>
          <w:bCs/>
          <w:iCs/>
        </w:rPr>
        <w:t>MEPS-HC and MPC e</w:t>
      </w:r>
      <w:r w:rsidRPr="00093C26">
        <w:rPr>
          <w:b/>
          <w:bCs/>
          <w:iCs/>
        </w:rPr>
        <w:t>stimated annualized</w:t>
      </w:r>
      <w:r w:rsidR="00A938BD">
        <w:rPr>
          <w:b/>
          <w:bCs/>
          <w:iCs/>
        </w:rPr>
        <w:t xml:space="preserve"> respondents and </w:t>
      </w:r>
      <w:r w:rsidRPr="00093C26">
        <w:rPr>
          <w:b/>
          <w:bCs/>
          <w:iCs/>
        </w:rPr>
        <w:t>burden hours</w:t>
      </w:r>
      <w:r w:rsidR="00A938BD">
        <w:rPr>
          <w:b/>
          <w:bCs/>
          <w:iCs/>
        </w:rPr>
        <w:t>, 2025 to 2027</w:t>
      </w:r>
    </w:p>
    <w:tbl>
      <w:tblPr>
        <w:tblW w:w="8928" w:type="dxa"/>
        <w:tblLayout w:type="fixed"/>
        <w:tblCellMar>
          <w:left w:w="0" w:type="dxa"/>
          <w:right w:w="0" w:type="dxa"/>
        </w:tblCellMar>
        <w:tblLook w:val="0000"/>
      </w:tblPr>
      <w:tblGrid>
        <w:gridCol w:w="3888"/>
        <w:gridCol w:w="1530"/>
        <w:gridCol w:w="1530"/>
        <w:gridCol w:w="990"/>
        <w:gridCol w:w="990"/>
      </w:tblGrid>
      <w:tr w14:paraId="36AF9940" w14:textId="77777777" w:rsidTr="00093C26">
        <w:tblPrEx>
          <w:tblW w:w="8928" w:type="dxa"/>
          <w:tblLayout w:type="fixed"/>
          <w:tblCellMar>
            <w:left w:w="0" w:type="dxa"/>
            <w:right w:w="0" w:type="dxa"/>
          </w:tblCellMar>
          <w:tblLook w:val="0000"/>
        </w:tblPrEx>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67C719DF" w14:textId="77777777">
            <w:pPr>
              <w:rPr>
                <w:bCs/>
                <w:iCs/>
              </w:rPr>
            </w:pPr>
            <w:r w:rsidRPr="00093C26">
              <w:rPr>
                <w:bCs/>
                <w:iCs/>
              </w:rPr>
              <w:t>Form Name</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BB1DB7" w:rsidP="00093C26" w14:paraId="5C3866F6" w14:textId="325FA33B">
            <w:pPr>
              <w:jc w:val="center"/>
              <w:rPr>
                <w:bCs/>
                <w:iCs/>
                <w:vertAlign w:val="superscript"/>
              </w:rPr>
            </w:pPr>
            <w:r w:rsidRPr="00093C26">
              <w:rPr>
                <w:bCs/>
                <w:iCs/>
              </w:rPr>
              <w:t xml:space="preserve">Number of </w:t>
            </w:r>
            <w:r w:rsidRPr="00093C26" w:rsidR="00BB1DB7">
              <w:rPr>
                <w:bCs/>
                <w:iCs/>
              </w:rPr>
              <w:t>Respondents</w:t>
            </w:r>
            <w:r w:rsidR="00BB1DB7">
              <w:rPr>
                <w:bCs/>
                <w:iCs/>
                <w:vertAlign w:val="superscript"/>
              </w:rPr>
              <w:t>a</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AD2DB3B" w14:textId="77777777">
            <w:pPr>
              <w:jc w:val="center"/>
              <w:rPr>
                <w:bCs/>
                <w:iCs/>
              </w:rPr>
            </w:pPr>
            <w:r w:rsidRPr="00093C26">
              <w:rPr>
                <w:bCs/>
                <w:iCs/>
              </w:rPr>
              <w:t>Number of responses per respondent</w:t>
            </w:r>
          </w:p>
        </w:tc>
        <w:tc>
          <w:tcPr>
            <w:tcW w:w="990" w:type="dxa"/>
            <w:tcBorders>
              <w:top w:val="single" w:sz="8" w:space="0" w:color="auto"/>
              <w:left w:val="nil"/>
              <w:bottom w:val="single" w:sz="8" w:space="0" w:color="auto"/>
              <w:right w:val="single" w:sz="8" w:space="0" w:color="auto"/>
            </w:tcBorders>
            <w:vAlign w:val="center"/>
          </w:tcPr>
          <w:p w:rsidR="00093C26" w:rsidRPr="00093C26" w:rsidP="00093C26" w14:paraId="06316DE8" w14:textId="77777777">
            <w:pPr>
              <w:jc w:val="center"/>
              <w:rPr>
                <w:bCs/>
                <w:iCs/>
              </w:rPr>
            </w:pPr>
            <w:r w:rsidRPr="00093C26">
              <w:rPr>
                <w:bCs/>
                <w:i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31522058" w14:textId="77777777">
            <w:pPr>
              <w:jc w:val="center"/>
              <w:rPr>
                <w:bCs/>
                <w:iCs/>
              </w:rPr>
            </w:pPr>
            <w:r w:rsidRPr="00093C26">
              <w:rPr>
                <w:bCs/>
                <w:iCs/>
              </w:rPr>
              <w:t>Total Burden hours</w:t>
            </w:r>
          </w:p>
        </w:tc>
      </w:tr>
      <w:tr w14:paraId="7FC64990" w14:textId="77777777" w:rsidTr="00093C26">
        <w:tblPrEx>
          <w:tblW w:w="8928" w:type="dxa"/>
          <w:tblLayout w:type="fixed"/>
          <w:tblCellMar>
            <w:left w:w="0" w:type="dxa"/>
            <w:right w:w="0" w:type="dxa"/>
          </w:tblCellMar>
          <w:tblLook w:val="0000"/>
        </w:tblPrEx>
        <w:tc>
          <w:tcPr>
            <w:tcW w:w="892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093C26" w:rsidRPr="00093C26" w:rsidP="00093C26" w14:paraId="0996F875" w14:textId="77777777">
            <w:pPr>
              <w:rPr>
                <w:bCs/>
                <w:iCs/>
              </w:rPr>
            </w:pPr>
            <w:r w:rsidRPr="00093C26">
              <w:rPr>
                <w:b/>
                <w:bCs/>
                <w:iCs/>
              </w:rPr>
              <w:t>MEPS-HC</w:t>
            </w:r>
          </w:p>
        </w:tc>
      </w:tr>
      <w:tr w14:paraId="2582BD9A"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50107D4" w14:textId="04F7E4F6">
            <w:pPr>
              <w:rPr>
                <w:bCs/>
                <w:iCs/>
              </w:rPr>
            </w:pPr>
            <w:r>
              <w:rPr>
                <w:bCs/>
                <w:iCs/>
              </w:rPr>
              <w:t xml:space="preserve">1. </w:t>
            </w:r>
            <w:bookmarkStart w:id="60" w:name="_Hlk170375754"/>
            <w:r w:rsidRPr="00093C26" w:rsidR="00026A49">
              <w:rPr>
                <w:bCs/>
                <w:iCs/>
              </w:rPr>
              <w:t>MEPS-HC Core Interview</w:t>
            </w:r>
            <w:bookmarkEnd w:id="60"/>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F76F07" w:rsidP="007A2083" w14:paraId="43964D39" w14:textId="530E4680">
            <w:pPr>
              <w:jc w:val="right"/>
              <w:rPr>
                <w:bCs/>
                <w:iCs/>
                <w:vertAlign w:val="superscript"/>
              </w:rPr>
            </w:pPr>
            <w:r>
              <w:rPr>
                <w:bCs/>
                <w:iCs/>
              </w:rPr>
              <w:t>12,683</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81D4B43" w14:textId="77777777">
            <w:pPr>
              <w:jc w:val="center"/>
              <w:rPr>
                <w:bCs/>
                <w:iCs/>
              </w:rPr>
            </w:pPr>
            <w:r w:rsidRPr="00093C26">
              <w:rPr>
                <w:bCs/>
                <w:iCs/>
              </w:rPr>
              <w:t>2.5</w:t>
            </w:r>
          </w:p>
        </w:tc>
        <w:tc>
          <w:tcPr>
            <w:tcW w:w="990" w:type="dxa"/>
            <w:tcBorders>
              <w:top w:val="nil"/>
              <w:left w:val="nil"/>
              <w:bottom w:val="single" w:sz="8" w:space="0" w:color="auto"/>
              <w:right w:val="single" w:sz="8" w:space="0" w:color="auto"/>
            </w:tcBorders>
            <w:vAlign w:val="center"/>
          </w:tcPr>
          <w:p w:rsidR="00093C26" w:rsidRPr="00093C26" w:rsidP="00093C26" w14:paraId="16DD3517" w14:textId="1AEA4F95">
            <w:pPr>
              <w:jc w:val="center"/>
              <w:rPr>
                <w:bCs/>
                <w:iCs/>
              </w:rPr>
            </w:pPr>
            <w:r>
              <w:rPr>
                <w:bCs/>
                <w:iCs/>
              </w:rPr>
              <w:t>88</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135B13" w:rsidP="00093C26" w14:paraId="3F4A6EA0" w14:textId="1B342D3F">
            <w:pPr>
              <w:jc w:val="right"/>
              <w:rPr>
                <w:bCs/>
                <w:iCs/>
              </w:rPr>
            </w:pPr>
            <w:r>
              <w:rPr>
                <w:bCs/>
                <w:iCs/>
              </w:rPr>
              <w:t>46,504</w:t>
            </w:r>
          </w:p>
        </w:tc>
      </w:tr>
      <w:tr w14:paraId="06A497F6"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23B08FBE" w14:textId="0EAD727C">
            <w:pPr>
              <w:rPr>
                <w:bCs/>
                <w:iCs/>
              </w:rPr>
            </w:pPr>
            <w:r>
              <w:rPr>
                <w:bCs/>
                <w:iCs/>
              </w:rPr>
              <w:t xml:space="preserve">2. </w:t>
            </w:r>
            <w:r w:rsidRPr="00093C26" w:rsidR="00026A49">
              <w:rPr>
                <w:bCs/>
                <w:iCs/>
              </w:rPr>
              <w:t>Adult SAQ</w:t>
            </w:r>
            <w:r w:rsidR="0053391B">
              <w:rPr>
                <w:bCs/>
                <w:iCs/>
                <w:vertAlign w:val="superscript"/>
              </w:rPr>
              <w:t>*</w:t>
            </w:r>
            <w:r w:rsidR="00861A0A">
              <w:rPr>
                <w:bCs/>
                <w:iCs/>
              </w:rPr>
              <w:t xml:space="preserve"> </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5259D5" w:rsidP="007A2083" w14:paraId="47873AD9" w14:textId="7894438C">
            <w:pPr>
              <w:jc w:val="right"/>
              <w:rPr>
                <w:bCs/>
                <w:iCs/>
                <w:vertAlign w:val="superscript"/>
              </w:rPr>
            </w:pPr>
            <w:r>
              <w:rPr>
                <w:bCs/>
                <w:iCs/>
              </w:rPr>
              <w:t>15,600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29E973F8" w14:textId="67A60670">
            <w:pPr>
              <w:jc w:val="center"/>
              <w:rPr>
                <w:bCs/>
                <w:iCs/>
              </w:rPr>
            </w:pPr>
            <w:r>
              <w:rPr>
                <w:bCs/>
                <w:iCs/>
              </w:rPr>
              <w:t>0.5</w:t>
            </w:r>
          </w:p>
        </w:tc>
        <w:tc>
          <w:tcPr>
            <w:tcW w:w="990" w:type="dxa"/>
            <w:tcBorders>
              <w:top w:val="nil"/>
              <w:left w:val="nil"/>
              <w:bottom w:val="single" w:sz="8" w:space="0" w:color="auto"/>
              <w:right w:val="single" w:sz="8" w:space="0" w:color="auto"/>
            </w:tcBorders>
            <w:vAlign w:val="center"/>
          </w:tcPr>
          <w:p w:rsidR="00093C26" w:rsidRPr="00093C26" w:rsidP="00093C26" w14:paraId="7C12C276" w14:textId="77777777">
            <w:pPr>
              <w:jc w:val="center"/>
              <w:rPr>
                <w:bCs/>
                <w:iCs/>
              </w:rPr>
            </w:pPr>
            <w:r w:rsidRPr="00093C26">
              <w:rPr>
                <w:bCs/>
                <w:i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6BB331B" w14:textId="295D263D">
            <w:pPr>
              <w:jc w:val="right"/>
              <w:rPr>
                <w:bCs/>
                <w:iCs/>
              </w:rPr>
            </w:pPr>
            <w:r>
              <w:rPr>
                <w:bCs/>
                <w:iCs/>
              </w:rPr>
              <w:t>910</w:t>
            </w:r>
          </w:p>
        </w:tc>
      </w:tr>
      <w:tr w14:paraId="5D2223B5"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73696" w:rsidRPr="003D1A5B" w:rsidP="00093C26" w14:paraId="35C424E1" w14:textId="06EA911F">
            <w:pPr>
              <w:rPr>
                <w:bCs/>
                <w:iCs/>
                <w:vertAlign w:val="superscript"/>
              </w:rPr>
            </w:pPr>
            <w:r>
              <w:rPr>
                <w:bCs/>
                <w:iCs/>
              </w:rPr>
              <w:t xml:space="preserve">3. </w:t>
            </w:r>
            <w:r w:rsidR="00026A49">
              <w:rPr>
                <w:bCs/>
                <w:iCs/>
              </w:rPr>
              <w:t>Preventive Care SAQ (PSAQ)</w:t>
            </w:r>
            <w:r w:rsidR="0053391B">
              <w:rPr>
                <w:bCs/>
                <w:iCs/>
                <w:vertAlign w:val="superscript"/>
              </w:rPr>
              <w:t>**</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73696" w:rsidRPr="005C3AC5" w:rsidP="007A2083" w14:paraId="40C78D73" w14:textId="2145EE3F">
            <w:pPr>
              <w:jc w:val="right"/>
              <w:rPr>
                <w:bCs/>
                <w:iCs/>
                <w:vertAlign w:val="superscript"/>
              </w:rPr>
            </w:pPr>
            <w:r>
              <w:rPr>
                <w:bCs/>
                <w:iCs/>
              </w:rPr>
              <w:t>15,600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73696" w:rsidRPr="00093C26" w:rsidP="00093C26" w14:paraId="428A5A15" w14:textId="4B969BBD">
            <w:pPr>
              <w:jc w:val="center"/>
              <w:rPr>
                <w:bCs/>
                <w:iCs/>
              </w:rPr>
            </w:pPr>
            <w:r>
              <w:rPr>
                <w:bCs/>
                <w:iCs/>
              </w:rPr>
              <w:t>0.5</w:t>
            </w:r>
          </w:p>
        </w:tc>
        <w:tc>
          <w:tcPr>
            <w:tcW w:w="990" w:type="dxa"/>
            <w:tcBorders>
              <w:top w:val="nil"/>
              <w:left w:val="nil"/>
              <w:bottom w:val="single" w:sz="8" w:space="0" w:color="auto"/>
              <w:right w:val="single" w:sz="8" w:space="0" w:color="auto"/>
            </w:tcBorders>
            <w:vAlign w:val="center"/>
          </w:tcPr>
          <w:p w:rsidR="00473696" w:rsidRPr="00093C26" w:rsidP="00093C26" w14:paraId="50AEA148" w14:textId="0102F8CD">
            <w:pPr>
              <w:jc w:val="center"/>
              <w:rPr>
                <w:bCs/>
                <w:iCs/>
              </w:rPr>
            </w:pPr>
            <w:r>
              <w:rPr>
                <w:bCs/>
                <w:i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73696" w:rsidP="00093C26" w14:paraId="566E3633" w14:textId="45565605">
            <w:pPr>
              <w:jc w:val="right"/>
              <w:rPr>
                <w:bCs/>
                <w:iCs/>
              </w:rPr>
            </w:pPr>
            <w:r>
              <w:rPr>
                <w:bCs/>
                <w:iCs/>
              </w:rPr>
              <w:t>910</w:t>
            </w:r>
          </w:p>
        </w:tc>
      </w:tr>
      <w:tr w14:paraId="51A6A0A3"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366634C" w14:textId="09FA1177">
            <w:pPr>
              <w:rPr>
                <w:bCs/>
                <w:iCs/>
              </w:rPr>
            </w:pPr>
            <w:r>
              <w:rPr>
                <w:bCs/>
                <w:iCs/>
              </w:rPr>
              <w:t xml:space="preserve">4. </w:t>
            </w:r>
            <w:r w:rsidRPr="00093C26" w:rsidR="00026A49">
              <w:rPr>
                <w:bCs/>
                <w:iCs/>
              </w:rPr>
              <w:t>Diabetes Care Survey (DCS)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5C3AC5" w:rsidP="007A2083" w14:paraId="39FC5DE2" w14:textId="718DA02F">
            <w:pPr>
              <w:jc w:val="right"/>
              <w:rPr>
                <w:bCs/>
                <w:iCs/>
                <w:vertAlign w:val="superscript"/>
              </w:rPr>
            </w:pPr>
            <w:r>
              <w:rPr>
                <w:bCs/>
                <w:iCs/>
              </w:rPr>
              <w:t>1,398</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21AA89EF" w14:textId="77777777">
            <w:pPr>
              <w:jc w:val="center"/>
              <w:rPr>
                <w:bCs/>
                <w:iCs/>
              </w:rPr>
            </w:pPr>
            <w:r w:rsidRPr="00093C26">
              <w:rPr>
                <w:bCs/>
                <w:iCs/>
              </w:rPr>
              <w:t>1</w:t>
            </w:r>
          </w:p>
        </w:tc>
        <w:tc>
          <w:tcPr>
            <w:tcW w:w="990" w:type="dxa"/>
            <w:tcBorders>
              <w:top w:val="nil"/>
              <w:left w:val="nil"/>
              <w:bottom w:val="single" w:sz="8" w:space="0" w:color="auto"/>
              <w:right w:val="single" w:sz="8" w:space="0" w:color="auto"/>
            </w:tcBorders>
            <w:vAlign w:val="center"/>
          </w:tcPr>
          <w:p w:rsidR="00093C26" w:rsidRPr="00093C26" w:rsidP="00093C26" w14:paraId="267A5FB5" w14:textId="77777777">
            <w:pPr>
              <w:jc w:val="center"/>
              <w:rPr>
                <w:bCs/>
                <w:iCs/>
              </w:rPr>
            </w:pPr>
            <w:r w:rsidRPr="00093C26">
              <w:rPr>
                <w:bCs/>
                <w:i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3FB659FA" w14:textId="4D856088">
            <w:pPr>
              <w:jc w:val="right"/>
              <w:rPr>
                <w:bCs/>
                <w:iCs/>
              </w:rPr>
            </w:pPr>
            <w:r>
              <w:rPr>
                <w:bCs/>
                <w:iCs/>
              </w:rPr>
              <w:t>70</w:t>
            </w:r>
          </w:p>
        </w:tc>
      </w:tr>
      <w:tr w14:paraId="54DB903E"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42C4" w:rsidP="00093C26" w14:paraId="34C67EE4" w14:textId="77777777">
            <w:pPr>
              <w:rPr>
                <w:bCs/>
                <w:iCs/>
              </w:rPr>
            </w:pPr>
            <w:bookmarkStart w:id="61" w:name="_Hlk160005817"/>
            <w:r>
              <w:rPr>
                <w:bCs/>
                <w:iCs/>
              </w:rPr>
              <w:t xml:space="preserve">5. </w:t>
            </w:r>
            <w:r w:rsidRPr="00C1732A" w:rsidR="00C1732A">
              <w:rPr>
                <w:bCs/>
                <w:iCs/>
              </w:rPr>
              <w:t>Burdens and Economic Impacts of</w:t>
            </w:r>
          </w:p>
          <w:p w:rsidR="00C1732A" w:rsidP="00093C26" w14:paraId="1BFB55E9" w14:textId="6F509AB8">
            <w:pPr>
              <w:rPr>
                <w:bCs/>
                <w:iCs/>
              </w:rPr>
            </w:pPr>
            <w:r>
              <w:rPr>
                <w:bCs/>
                <w:iCs/>
              </w:rPr>
              <w:t xml:space="preserve">  </w:t>
            </w:r>
            <w:r w:rsidRPr="00C1732A">
              <w:rPr>
                <w:bCs/>
                <w:iCs/>
              </w:rPr>
              <w:t xml:space="preserve"> </w:t>
            </w:r>
            <w:r>
              <w:rPr>
                <w:bCs/>
                <w:iCs/>
              </w:rPr>
              <w:t xml:space="preserve"> </w:t>
            </w:r>
            <w:r w:rsidRPr="00C1732A">
              <w:rPr>
                <w:bCs/>
                <w:iCs/>
              </w:rPr>
              <w:t>Medical Care</w:t>
            </w:r>
            <w:r w:rsidR="00464CA9">
              <w:rPr>
                <w:bCs/>
                <w:iCs/>
              </w:rPr>
              <w:t xml:space="preserve"> SAQ</w:t>
            </w:r>
            <w:bookmarkEnd w:id="61"/>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1732A" w:rsidRPr="00A01A18" w:rsidP="007A2083" w14:paraId="141B918E" w14:textId="23EC4A41">
            <w:pPr>
              <w:jc w:val="right"/>
              <w:rPr>
                <w:bCs/>
                <w:iCs/>
                <w:vertAlign w:val="superscript"/>
              </w:rPr>
            </w:pPr>
            <w:r>
              <w:rPr>
                <w:bCs/>
                <w:iCs/>
              </w:rPr>
              <w:t>16,170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1732A" w:rsidP="00093C26" w14:paraId="00ABBA20" w14:textId="25B5EC2F">
            <w:pPr>
              <w:jc w:val="center"/>
              <w:rPr>
                <w:bCs/>
                <w:iCs/>
              </w:rPr>
            </w:pPr>
            <w:r>
              <w:rPr>
                <w:bCs/>
                <w:iCs/>
              </w:rPr>
              <w:t>0.5</w:t>
            </w:r>
          </w:p>
        </w:tc>
        <w:tc>
          <w:tcPr>
            <w:tcW w:w="990" w:type="dxa"/>
            <w:tcBorders>
              <w:top w:val="nil"/>
              <w:left w:val="nil"/>
              <w:bottom w:val="single" w:sz="8" w:space="0" w:color="auto"/>
              <w:right w:val="single" w:sz="8" w:space="0" w:color="auto"/>
            </w:tcBorders>
            <w:vAlign w:val="center"/>
          </w:tcPr>
          <w:p w:rsidR="00C1732A" w:rsidP="00093C26" w14:paraId="57100051" w14:textId="532DA14C">
            <w:pPr>
              <w:jc w:val="center"/>
              <w:rPr>
                <w:bCs/>
                <w:iCs/>
              </w:rPr>
            </w:pPr>
            <w:r>
              <w:rPr>
                <w:bCs/>
                <w:iCs/>
              </w:rPr>
              <w:t>10/60</w:t>
            </w:r>
            <w:r w:rsidR="00464CA9">
              <w:rPr>
                <w:bCs/>
                <w:i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1732A" w:rsidP="00093C26" w14:paraId="1BE90117" w14:textId="7E8F180C">
            <w:pPr>
              <w:jc w:val="right"/>
              <w:rPr>
                <w:bCs/>
                <w:iCs/>
              </w:rPr>
            </w:pPr>
            <w:r>
              <w:rPr>
                <w:bCs/>
                <w:iCs/>
              </w:rPr>
              <w:t>1,348</w:t>
            </w:r>
          </w:p>
        </w:tc>
      </w:tr>
      <w:tr w14:paraId="2972E46E"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42C4" w:rsidP="00093C26" w14:paraId="19434CC1" w14:textId="77777777">
            <w:pPr>
              <w:rPr>
                <w:bCs/>
                <w:iCs/>
              </w:rPr>
            </w:pPr>
            <w:r>
              <w:rPr>
                <w:bCs/>
                <w:iCs/>
              </w:rPr>
              <w:t xml:space="preserve">6. </w:t>
            </w:r>
            <w:r w:rsidRPr="00093C26" w:rsidR="00026A49">
              <w:rPr>
                <w:bCs/>
                <w:iCs/>
              </w:rPr>
              <w:t>Authorization forms for the MEPS-</w:t>
            </w:r>
          </w:p>
          <w:p w:rsidR="00093C26" w:rsidRPr="00093C26" w:rsidP="00093C26" w14:paraId="2EA6DC7F" w14:textId="4DE8AD5B">
            <w:pPr>
              <w:rPr>
                <w:bCs/>
                <w:iCs/>
              </w:rPr>
            </w:pPr>
            <w:r>
              <w:rPr>
                <w:bCs/>
                <w:iCs/>
              </w:rPr>
              <w:t xml:space="preserve"> </w:t>
            </w:r>
            <w:r w:rsidRPr="00093C26" w:rsidR="00026A49">
              <w:rPr>
                <w:bCs/>
                <w:iCs/>
              </w:rPr>
              <w:t>MPC Provider and Pharmacy Survey</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755ADD" w:rsidP="007A2083" w14:paraId="5265BFE3" w14:textId="50E9CFE9">
            <w:pPr>
              <w:jc w:val="right"/>
              <w:rPr>
                <w:bCs/>
                <w:iCs/>
                <w:vertAlign w:val="superscript"/>
              </w:rPr>
            </w:pPr>
            <w:r>
              <w:rPr>
                <w:bCs/>
                <w:iCs/>
              </w:rPr>
              <w:t>7,386</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247F59CF" w14:textId="787A1D09">
            <w:pPr>
              <w:jc w:val="center"/>
              <w:rPr>
                <w:bCs/>
                <w:iCs/>
              </w:rPr>
            </w:pPr>
            <w:r>
              <w:rPr>
                <w:bCs/>
                <w:iCs/>
              </w:rPr>
              <w:t>5.</w:t>
            </w:r>
            <w:r w:rsidR="00511D3E">
              <w:rPr>
                <w:bCs/>
                <w:iCs/>
              </w:rPr>
              <w:t>2</w:t>
            </w:r>
          </w:p>
        </w:tc>
        <w:tc>
          <w:tcPr>
            <w:tcW w:w="990" w:type="dxa"/>
            <w:tcBorders>
              <w:top w:val="nil"/>
              <w:left w:val="nil"/>
              <w:bottom w:val="single" w:sz="8" w:space="0" w:color="auto"/>
              <w:right w:val="single" w:sz="8" w:space="0" w:color="auto"/>
            </w:tcBorders>
            <w:vAlign w:val="center"/>
          </w:tcPr>
          <w:p w:rsidR="00093C26" w:rsidRPr="00093C26" w:rsidP="00093C26" w14:paraId="44A514B8" w14:textId="77777777">
            <w:pPr>
              <w:jc w:val="center"/>
              <w:rPr>
                <w:bCs/>
                <w:iCs/>
              </w:rPr>
            </w:pPr>
            <w:r w:rsidRPr="00093C26">
              <w:rPr>
                <w:bCs/>
                <w:i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0C18AB5E" w14:textId="4FCEAC9A">
            <w:pPr>
              <w:jc w:val="right"/>
              <w:rPr>
                <w:bCs/>
                <w:iCs/>
              </w:rPr>
            </w:pPr>
            <w:r>
              <w:rPr>
                <w:bCs/>
                <w:iCs/>
              </w:rPr>
              <w:t>1,920</w:t>
            </w:r>
          </w:p>
        </w:tc>
      </w:tr>
      <w:tr w14:paraId="03A69718"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37B21B0A" w14:textId="64A2FB2B">
            <w:pPr>
              <w:rPr>
                <w:bCs/>
                <w:iCs/>
              </w:rPr>
            </w:pPr>
            <w:r>
              <w:rPr>
                <w:bCs/>
                <w:iCs/>
              </w:rPr>
              <w:t xml:space="preserve">7. </w:t>
            </w:r>
            <w:r w:rsidRPr="00093C26" w:rsidR="00026A49">
              <w:rPr>
                <w:bCs/>
                <w:iCs/>
              </w:rPr>
              <w:t>MEPS Validation Interview</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F25A6" w:rsidP="007A2083" w14:paraId="46C4289F" w14:textId="1EC174BA">
            <w:pPr>
              <w:jc w:val="right"/>
              <w:rPr>
                <w:bCs/>
                <w:iCs/>
                <w:vertAlign w:val="superscript"/>
              </w:rPr>
            </w:pPr>
            <w:r>
              <w:rPr>
                <w:bCs/>
                <w:iCs/>
              </w:rPr>
              <w:t>1,</w:t>
            </w:r>
            <w:r w:rsidR="002548ED">
              <w:rPr>
                <w:bCs/>
                <w:iCs/>
              </w:rPr>
              <w:t>826</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6E573B5E" w14:textId="77777777">
            <w:pPr>
              <w:jc w:val="center"/>
              <w:rPr>
                <w:bCs/>
                <w:iCs/>
              </w:rPr>
            </w:pPr>
            <w:r w:rsidRPr="00093C26">
              <w:rPr>
                <w:bCs/>
                <w:iCs/>
              </w:rPr>
              <w:t>1</w:t>
            </w:r>
          </w:p>
        </w:tc>
        <w:tc>
          <w:tcPr>
            <w:tcW w:w="990" w:type="dxa"/>
            <w:tcBorders>
              <w:top w:val="nil"/>
              <w:left w:val="nil"/>
              <w:bottom w:val="single" w:sz="8" w:space="0" w:color="auto"/>
              <w:right w:val="single" w:sz="8" w:space="0" w:color="auto"/>
            </w:tcBorders>
            <w:vAlign w:val="center"/>
          </w:tcPr>
          <w:p w:rsidR="00093C26" w:rsidRPr="00093C26" w:rsidP="00093C26" w14:paraId="238D7CA9" w14:textId="77777777">
            <w:pPr>
              <w:jc w:val="center"/>
              <w:rPr>
                <w:bCs/>
                <w:iCs/>
              </w:rPr>
            </w:pPr>
            <w:r w:rsidRPr="00093C26">
              <w:rPr>
                <w:bCs/>
                <w:iCs/>
              </w:rPr>
              <w:t>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05F42E73" w14:textId="7C31C1FC">
            <w:pPr>
              <w:jc w:val="right"/>
              <w:rPr>
                <w:bCs/>
                <w:iCs/>
              </w:rPr>
            </w:pPr>
            <w:r>
              <w:rPr>
                <w:bCs/>
                <w:iCs/>
              </w:rPr>
              <w:t>152</w:t>
            </w:r>
          </w:p>
        </w:tc>
      </w:tr>
      <w:tr w14:paraId="35D6DE25"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28FF38BB" w14:textId="77777777">
            <w:pPr>
              <w:rPr>
                <w:bCs/>
                <w:iCs/>
              </w:rPr>
            </w:pPr>
            <w:r w:rsidRPr="00093C26">
              <w:rPr>
                <w:bCs/>
                <w:iCs/>
              </w:rPr>
              <w:t>Subtotal for the MEPS-HC</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474E0E" w14:paraId="62301C92" w14:textId="35E0DA73">
            <w:pPr>
              <w:jc w:val="right"/>
              <w:rPr>
                <w:bCs/>
                <w:iCs/>
              </w:rPr>
            </w:pPr>
            <w:r>
              <w:rPr>
                <w:bCs/>
                <w:iCs/>
              </w:rPr>
              <w:t>70,663</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6AC5078B" w14:textId="6C3DFF00">
            <w:pPr>
              <w:jc w:val="center"/>
              <w:rPr>
                <w:bCs/>
                <w:iCs/>
              </w:rPr>
            </w:pPr>
            <w:r>
              <w:rPr>
                <w:bCs/>
                <w:iCs/>
              </w:rPr>
              <w:t>--</w:t>
            </w:r>
          </w:p>
        </w:tc>
        <w:tc>
          <w:tcPr>
            <w:tcW w:w="990" w:type="dxa"/>
            <w:tcBorders>
              <w:top w:val="nil"/>
              <w:left w:val="nil"/>
              <w:bottom w:val="single" w:sz="8" w:space="0" w:color="auto"/>
              <w:right w:val="single" w:sz="8" w:space="0" w:color="auto"/>
            </w:tcBorders>
            <w:vAlign w:val="center"/>
          </w:tcPr>
          <w:p w:rsidR="00093C26" w:rsidRPr="00093C26" w:rsidP="00093C26" w14:paraId="23BF5F07" w14:textId="1A330409">
            <w:pPr>
              <w:jc w:val="center"/>
              <w:rPr>
                <w:bCs/>
                <w:iCs/>
              </w:rPr>
            </w:pPr>
            <w:r>
              <w:rPr>
                <w:bCs/>
                <w:iCs/>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474E0E" w14:paraId="7FAD4902" w14:textId="72C88164">
            <w:pPr>
              <w:jc w:val="right"/>
              <w:rPr>
                <w:bCs/>
                <w:iCs/>
              </w:rPr>
            </w:pPr>
            <w:r>
              <w:rPr>
                <w:bCs/>
                <w:iCs/>
              </w:rPr>
              <w:t>51,814</w:t>
            </w:r>
          </w:p>
        </w:tc>
      </w:tr>
      <w:tr w14:paraId="31E942A9" w14:textId="77777777" w:rsidTr="00093C26">
        <w:tblPrEx>
          <w:tblW w:w="8928" w:type="dxa"/>
          <w:tblLayout w:type="fixed"/>
          <w:tblCellMar>
            <w:left w:w="0" w:type="dxa"/>
            <w:right w:w="0" w:type="dxa"/>
          </w:tblCellMar>
          <w:tblLook w:val="0000"/>
        </w:tblPrEx>
        <w:tc>
          <w:tcPr>
            <w:tcW w:w="892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093C26" w:rsidRPr="00093C26" w:rsidP="00093C26" w14:paraId="0F14F435" w14:textId="77777777">
            <w:pPr>
              <w:rPr>
                <w:b/>
                <w:bCs/>
                <w:iCs/>
              </w:rPr>
            </w:pPr>
            <w:r w:rsidRPr="00093C26">
              <w:rPr>
                <w:b/>
                <w:bCs/>
                <w:iCs/>
              </w:rPr>
              <w:t>MEPS-MPC</w:t>
            </w:r>
          </w:p>
        </w:tc>
      </w:tr>
      <w:tr w14:paraId="724945FE"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5CAF2A14" w14:textId="1D408144">
            <w:pPr>
              <w:rPr>
                <w:bCs/>
                <w:iCs/>
                <w:vertAlign w:val="superscript"/>
              </w:rPr>
            </w:pPr>
            <w:r>
              <w:rPr>
                <w:bCs/>
              </w:rPr>
              <w:t xml:space="preserve">1. </w:t>
            </w:r>
            <w:r w:rsidRPr="00442DD5" w:rsidR="00026A49">
              <w:rPr>
                <w:bCs/>
              </w:rPr>
              <w:t>Contact Guide/Screening Call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2E45DA" w14:paraId="46EE358E" w14:textId="18B337AE">
            <w:pPr>
              <w:jc w:val="right"/>
              <w:rPr>
                <w:bCs/>
                <w:iCs/>
              </w:rPr>
            </w:pPr>
            <w:r>
              <w:rPr>
                <w:bCs/>
                <w:iCs/>
              </w:rPr>
              <w:t>38,683</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3B895ED4" w14:textId="255FA380">
            <w:pPr>
              <w:jc w:val="center"/>
              <w:rPr>
                <w:bCs/>
                <w:iCs/>
              </w:rPr>
            </w:pPr>
            <w:r>
              <w:rPr>
                <w:bCs/>
                <w:iCs/>
              </w:rPr>
              <w:t>1</w:t>
            </w:r>
          </w:p>
        </w:tc>
        <w:tc>
          <w:tcPr>
            <w:tcW w:w="990" w:type="dxa"/>
            <w:tcBorders>
              <w:top w:val="nil"/>
              <w:left w:val="nil"/>
              <w:bottom w:val="single" w:sz="8" w:space="0" w:color="auto"/>
              <w:right w:val="single" w:sz="8" w:space="0" w:color="auto"/>
            </w:tcBorders>
            <w:vAlign w:val="center"/>
          </w:tcPr>
          <w:p w:rsidR="005D285B" w:rsidRPr="00093C26" w:rsidP="005D285B" w14:paraId="2007C77B" w14:textId="6A7537FA">
            <w:pPr>
              <w:jc w:val="center"/>
              <w:rPr>
                <w:bCs/>
                <w:iCs/>
              </w:rPr>
            </w:pPr>
            <w:r>
              <w:rPr>
                <w:bCs/>
                <w:iCs/>
              </w:rPr>
              <w:t>5</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657C72B4" w14:textId="3F8FD19A">
            <w:pPr>
              <w:jc w:val="right"/>
              <w:rPr>
                <w:bCs/>
                <w:iCs/>
              </w:rPr>
            </w:pPr>
            <w:r>
              <w:rPr>
                <w:bCs/>
                <w:iCs/>
              </w:rPr>
              <w:t>3,224</w:t>
            </w:r>
          </w:p>
        </w:tc>
      </w:tr>
      <w:tr w14:paraId="578CE48C"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000F22FB" w14:textId="4596DB7E">
            <w:pPr>
              <w:rPr>
                <w:bCs/>
                <w:iCs/>
              </w:rPr>
            </w:pPr>
            <w:r>
              <w:rPr>
                <w:bCs/>
              </w:rPr>
              <w:t xml:space="preserve">2. </w:t>
            </w:r>
            <w:r w:rsidRPr="00442DD5">
              <w:rPr>
                <w:bCs/>
              </w:rPr>
              <w:t xml:space="preserve">Home </w:t>
            </w:r>
            <w:r w:rsidR="003E28C9">
              <w:rPr>
                <w:bCs/>
              </w:rPr>
              <w:t xml:space="preserve">Health </w:t>
            </w:r>
            <w:r>
              <w:rPr>
                <w:bCs/>
              </w:rPr>
              <w:t>C</w:t>
            </w:r>
            <w:r w:rsidRPr="00442DD5">
              <w:rPr>
                <w:bCs/>
              </w:rPr>
              <w:t xml:space="preserve">are </w:t>
            </w:r>
            <w:r>
              <w:rPr>
                <w:bCs/>
              </w:rPr>
              <w:t>P</w:t>
            </w:r>
            <w:r w:rsidRPr="00442DD5">
              <w:rPr>
                <w:bCs/>
              </w:rPr>
              <w:t xml:space="preserve">roviders </w:t>
            </w:r>
            <w:r>
              <w:rPr>
                <w:bCs/>
              </w:rPr>
              <w:t>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104D2" w:rsidRPr="00093C26" w:rsidP="00D104D2" w14:paraId="5FBD947B" w14:textId="7FD97C49">
            <w:pPr>
              <w:jc w:val="right"/>
              <w:rPr>
                <w:bCs/>
                <w:iCs/>
              </w:rPr>
            </w:pPr>
            <w:r>
              <w:t>540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06F60D5A" w14:textId="78DB4042">
            <w:pPr>
              <w:jc w:val="center"/>
              <w:rPr>
                <w:bCs/>
                <w:iCs/>
              </w:rPr>
            </w:pPr>
            <w:r>
              <w:rPr>
                <w:bCs/>
                <w:iCs/>
              </w:rPr>
              <w:t>5.</w:t>
            </w:r>
            <w:r w:rsidR="00D97231">
              <w:rPr>
                <w:bCs/>
                <w:iCs/>
              </w:rPr>
              <w:t>0</w:t>
            </w:r>
          </w:p>
        </w:tc>
        <w:tc>
          <w:tcPr>
            <w:tcW w:w="990" w:type="dxa"/>
            <w:tcBorders>
              <w:top w:val="nil"/>
              <w:left w:val="nil"/>
              <w:bottom w:val="single" w:sz="8" w:space="0" w:color="auto"/>
              <w:right w:val="single" w:sz="8" w:space="0" w:color="auto"/>
            </w:tcBorders>
            <w:vAlign w:val="center"/>
          </w:tcPr>
          <w:p w:rsidR="00D104D2" w:rsidRPr="00093C26" w:rsidP="00D104D2" w14:paraId="286AEE91" w14:textId="1E99D0EE">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294F0559" w14:textId="6508AA31">
            <w:pPr>
              <w:jc w:val="right"/>
              <w:rPr>
                <w:bCs/>
                <w:iCs/>
              </w:rPr>
            </w:pPr>
            <w:r>
              <w:rPr>
                <w:bCs/>
                <w:iCs/>
              </w:rPr>
              <w:t>135</w:t>
            </w:r>
          </w:p>
        </w:tc>
      </w:tr>
      <w:tr w14:paraId="4C712A8A"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5328B80F" w14:textId="54FB8291">
            <w:pPr>
              <w:rPr>
                <w:bCs/>
                <w:iCs/>
              </w:rPr>
            </w:pPr>
            <w:r>
              <w:rPr>
                <w:bCs/>
              </w:rPr>
              <w:t xml:space="preserve">3. </w:t>
            </w:r>
            <w:r w:rsidRPr="00442DD5">
              <w:rPr>
                <w:bCs/>
              </w:rPr>
              <w:t>Office</w:t>
            </w:r>
            <w:r w:rsidRPr="00442DD5">
              <w:rPr>
                <w:bCs/>
              </w:rPr>
              <w:noBreakHyphen/>
              <w:t xml:space="preserve">based </w:t>
            </w:r>
            <w:r>
              <w:rPr>
                <w:bCs/>
              </w:rPr>
              <w:t>P</w:t>
            </w:r>
            <w:r w:rsidRPr="00442DD5">
              <w:rPr>
                <w:bCs/>
              </w:rPr>
              <w:t xml:space="preserve">roviders </w:t>
            </w:r>
            <w:r>
              <w:rPr>
                <w:bCs/>
              </w:rPr>
              <w:t>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104D2" w:rsidRPr="00093C26" w:rsidP="00D104D2" w14:paraId="5C29F230" w14:textId="730D6193">
            <w:pPr>
              <w:jc w:val="right"/>
              <w:rPr>
                <w:bCs/>
                <w:iCs/>
              </w:rPr>
            </w:pPr>
            <w:r>
              <w:t>9,300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503CF401" w14:textId="2CA91A21">
            <w:pPr>
              <w:jc w:val="center"/>
              <w:rPr>
                <w:bCs/>
                <w:iCs/>
              </w:rPr>
            </w:pPr>
            <w:r>
              <w:rPr>
                <w:bCs/>
                <w:iCs/>
              </w:rPr>
              <w:t>2.8</w:t>
            </w:r>
          </w:p>
        </w:tc>
        <w:tc>
          <w:tcPr>
            <w:tcW w:w="990" w:type="dxa"/>
            <w:tcBorders>
              <w:top w:val="nil"/>
              <w:left w:val="nil"/>
              <w:bottom w:val="single" w:sz="8" w:space="0" w:color="auto"/>
              <w:right w:val="single" w:sz="8" w:space="0" w:color="auto"/>
            </w:tcBorders>
            <w:vAlign w:val="center"/>
          </w:tcPr>
          <w:p w:rsidR="00D104D2" w:rsidRPr="00093C26" w:rsidP="00D104D2" w14:paraId="4D6998AA" w14:textId="2E609549">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6712847A" w14:textId="25593E99">
            <w:pPr>
              <w:jc w:val="right"/>
              <w:rPr>
                <w:bCs/>
                <w:iCs/>
              </w:rPr>
            </w:pPr>
            <w:r>
              <w:rPr>
                <w:bCs/>
                <w:iCs/>
              </w:rPr>
              <w:t>1,302</w:t>
            </w:r>
          </w:p>
        </w:tc>
      </w:tr>
      <w:tr w14:paraId="7A38AC42"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42C4" w:rsidP="00D104D2" w14:paraId="03B0AF1A" w14:textId="77777777">
            <w:pPr>
              <w:rPr>
                <w:bCs/>
              </w:rPr>
            </w:pPr>
            <w:r>
              <w:rPr>
                <w:bCs/>
              </w:rPr>
              <w:t xml:space="preserve">4. </w:t>
            </w:r>
            <w:r w:rsidRPr="00442DD5" w:rsidR="00D104D2">
              <w:rPr>
                <w:bCs/>
              </w:rPr>
              <w:t xml:space="preserve">Separately </w:t>
            </w:r>
            <w:r w:rsidR="00D104D2">
              <w:rPr>
                <w:bCs/>
              </w:rPr>
              <w:t>Billing Doctors Event</w:t>
            </w:r>
          </w:p>
          <w:p w:rsidR="00D104D2" w:rsidRPr="00093C26" w:rsidP="00D104D2" w14:paraId="2C79D164" w14:textId="65659DA9">
            <w:pPr>
              <w:rPr>
                <w:bCs/>
                <w:iCs/>
              </w:rPr>
            </w:pPr>
            <w:r>
              <w:rPr>
                <w:bCs/>
              </w:rPr>
              <w:t xml:space="preserve">   </w:t>
            </w:r>
            <w:r>
              <w:rPr>
                <w:bCs/>
              </w:rPr>
              <w:t xml:space="preserve">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97231" w:rsidP="00D104D2" w14:paraId="31347A52" w14:textId="77777777">
            <w:pPr>
              <w:jc w:val="right"/>
            </w:pPr>
          </w:p>
          <w:p w:rsidR="00D104D2" w:rsidRPr="002E45DA" w:rsidP="00D104D2" w14:paraId="5862BA53" w14:textId="540A7B99">
            <w:pPr>
              <w:jc w:val="right"/>
              <w:rPr>
                <w:bCs/>
              </w:rPr>
            </w:pPr>
            <w:r>
              <w:t>4,676</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231" w:rsidP="00D104D2" w14:paraId="711A38BD" w14:textId="77777777">
            <w:pPr>
              <w:jc w:val="center"/>
              <w:rPr>
                <w:bCs/>
                <w:iCs/>
              </w:rPr>
            </w:pPr>
          </w:p>
          <w:p w:rsidR="00D104D2" w:rsidRPr="00093C26" w:rsidP="00D104D2" w14:paraId="5E92E98D" w14:textId="77757BC5">
            <w:pPr>
              <w:jc w:val="center"/>
              <w:rPr>
                <w:bCs/>
                <w:iCs/>
              </w:rPr>
            </w:pPr>
            <w:r>
              <w:rPr>
                <w:bCs/>
                <w:iCs/>
              </w:rPr>
              <w:t>1.</w:t>
            </w:r>
            <w:r w:rsidR="00D97231">
              <w:rPr>
                <w:bCs/>
                <w:iCs/>
              </w:rPr>
              <w:t>2</w:t>
            </w:r>
          </w:p>
        </w:tc>
        <w:tc>
          <w:tcPr>
            <w:tcW w:w="990" w:type="dxa"/>
            <w:tcBorders>
              <w:top w:val="nil"/>
              <w:left w:val="nil"/>
              <w:bottom w:val="single" w:sz="8" w:space="0" w:color="auto"/>
              <w:right w:val="single" w:sz="8" w:space="0" w:color="auto"/>
            </w:tcBorders>
            <w:vAlign w:val="center"/>
          </w:tcPr>
          <w:p w:rsidR="00D97231" w:rsidP="00D104D2" w14:paraId="0E889207" w14:textId="77777777">
            <w:pPr>
              <w:jc w:val="center"/>
              <w:rPr>
                <w:bCs/>
                <w:iCs/>
              </w:rPr>
            </w:pPr>
          </w:p>
          <w:p w:rsidR="00D104D2" w:rsidRPr="00093C26" w:rsidP="00D104D2" w14:paraId="4516B98A" w14:textId="12136EA6">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231" w:rsidP="00D104D2" w14:paraId="4DE316A0" w14:textId="77777777">
            <w:pPr>
              <w:jc w:val="right"/>
              <w:rPr>
                <w:bCs/>
                <w:iCs/>
              </w:rPr>
            </w:pPr>
          </w:p>
          <w:p w:rsidR="00D104D2" w:rsidRPr="00093C26" w:rsidP="00D104D2" w14:paraId="13D8AB84" w14:textId="6651096A">
            <w:pPr>
              <w:jc w:val="right"/>
              <w:rPr>
                <w:bCs/>
                <w:iCs/>
              </w:rPr>
            </w:pPr>
            <w:r>
              <w:rPr>
                <w:bCs/>
                <w:iCs/>
              </w:rPr>
              <w:t>281</w:t>
            </w:r>
          </w:p>
        </w:tc>
      </w:tr>
      <w:tr w14:paraId="5AD9BBB6"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42C4" w:rsidP="00D104D2" w14:paraId="028C4D12" w14:textId="77777777">
            <w:pPr>
              <w:rPr>
                <w:bCs/>
              </w:rPr>
            </w:pPr>
            <w:r>
              <w:rPr>
                <w:bCs/>
              </w:rPr>
              <w:t xml:space="preserve">5. </w:t>
            </w:r>
            <w:r w:rsidRPr="00442DD5" w:rsidR="00D104D2">
              <w:rPr>
                <w:bCs/>
              </w:rPr>
              <w:t>Hospitals</w:t>
            </w:r>
            <w:r w:rsidR="00D104D2">
              <w:rPr>
                <w:bCs/>
              </w:rPr>
              <w:t xml:space="preserve"> &amp; HMOs (Hospital </w:t>
            </w:r>
          </w:p>
          <w:p w:rsidR="00D104D2" w:rsidRPr="00093C26" w:rsidP="00D104D2" w14:paraId="6B3560DA" w14:textId="6FFF6942">
            <w:pPr>
              <w:rPr>
                <w:bCs/>
                <w:iCs/>
              </w:rPr>
            </w:pPr>
            <w:r>
              <w:rPr>
                <w:bCs/>
              </w:rPr>
              <w:t xml:space="preserve">    </w:t>
            </w:r>
            <w:r>
              <w:rPr>
                <w:bCs/>
              </w:rPr>
              <w:t>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97231" w:rsidP="00D104D2" w14:paraId="54F85844" w14:textId="77777777">
            <w:pPr>
              <w:jc w:val="right"/>
            </w:pPr>
          </w:p>
          <w:p w:rsidR="00D104D2" w:rsidRPr="00093C26" w:rsidP="00D104D2" w14:paraId="79D17537" w14:textId="307D60D3">
            <w:pPr>
              <w:jc w:val="right"/>
              <w:rPr>
                <w:bCs/>
                <w:iCs/>
              </w:rPr>
            </w:pPr>
            <w:r>
              <w:t>3,935</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231" w:rsidP="00D104D2" w14:paraId="67CAC649" w14:textId="77777777">
            <w:pPr>
              <w:jc w:val="center"/>
              <w:rPr>
                <w:bCs/>
                <w:iCs/>
              </w:rPr>
            </w:pPr>
          </w:p>
          <w:p w:rsidR="00D104D2" w:rsidRPr="00093C26" w:rsidP="00D104D2" w14:paraId="738AC014" w14:textId="6A8ABEE8">
            <w:pPr>
              <w:jc w:val="center"/>
              <w:rPr>
                <w:bCs/>
                <w:iCs/>
              </w:rPr>
            </w:pPr>
            <w:r>
              <w:rPr>
                <w:bCs/>
                <w:iCs/>
              </w:rPr>
              <w:t>5.9</w:t>
            </w:r>
          </w:p>
        </w:tc>
        <w:tc>
          <w:tcPr>
            <w:tcW w:w="990" w:type="dxa"/>
            <w:tcBorders>
              <w:top w:val="nil"/>
              <w:left w:val="nil"/>
              <w:bottom w:val="single" w:sz="8" w:space="0" w:color="auto"/>
              <w:right w:val="single" w:sz="8" w:space="0" w:color="auto"/>
            </w:tcBorders>
            <w:vAlign w:val="center"/>
          </w:tcPr>
          <w:p w:rsidR="00D97231" w:rsidP="00D104D2" w14:paraId="5A64805A" w14:textId="77777777">
            <w:pPr>
              <w:jc w:val="center"/>
              <w:rPr>
                <w:bCs/>
                <w:iCs/>
              </w:rPr>
            </w:pPr>
          </w:p>
          <w:p w:rsidR="00D104D2" w:rsidRPr="00093C26" w:rsidP="00D104D2" w14:paraId="2CF7BE45" w14:textId="5EED8DC4">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97231" w:rsidP="00D104D2" w14:paraId="2C9F2499" w14:textId="77777777">
            <w:pPr>
              <w:jc w:val="right"/>
              <w:rPr>
                <w:bCs/>
                <w:iCs/>
              </w:rPr>
            </w:pPr>
          </w:p>
          <w:p w:rsidR="00D104D2" w:rsidRPr="00093C26" w:rsidP="00D104D2" w14:paraId="374B3269" w14:textId="38F1BAFC">
            <w:pPr>
              <w:jc w:val="right"/>
              <w:rPr>
                <w:bCs/>
                <w:iCs/>
              </w:rPr>
            </w:pPr>
            <w:r>
              <w:rPr>
                <w:bCs/>
                <w:iCs/>
              </w:rPr>
              <w:t>1,161</w:t>
            </w:r>
          </w:p>
        </w:tc>
      </w:tr>
      <w:tr w14:paraId="1D60BF0E"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242C4" w:rsidP="00D104D2" w14:paraId="65CE5EF6" w14:textId="77777777">
            <w:pPr>
              <w:rPr>
                <w:bCs/>
              </w:rPr>
            </w:pPr>
            <w:r>
              <w:rPr>
                <w:bCs/>
              </w:rPr>
              <w:t xml:space="preserve">6. </w:t>
            </w:r>
            <w:r w:rsidRPr="00442DD5" w:rsidR="00D104D2">
              <w:rPr>
                <w:bCs/>
              </w:rPr>
              <w:t xml:space="preserve">Institutions (non-hospital) </w:t>
            </w:r>
            <w:r w:rsidR="00D104D2">
              <w:rPr>
                <w:bCs/>
              </w:rPr>
              <w:t>Event</w:t>
            </w:r>
          </w:p>
          <w:p w:rsidR="00D104D2" w:rsidRPr="00093C26" w:rsidP="00D104D2" w14:paraId="6E031F96" w14:textId="4B63B42A">
            <w:pPr>
              <w:rPr>
                <w:bCs/>
                <w:iCs/>
              </w:rPr>
            </w:pPr>
            <w:r>
              <w:rPr>
                <w:bCs/>
              </w:rPr>
              <w:t xml:space="preserve">   </w:t>
            </w:r>
            <w:r>
              <w:rPr>
                <w:bCs/>
              </w:rPr>
              <w:t xml:space="preserve"> Form</w:t>
            </w:r>
            <w:r w:rsidRPr="00442DD5">
              <w:rPr>
                <w:bCs/>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97231" w:rsidP="00D104D2" w14:paraId="01722AD9" w14:textId="77777777">
            <w:pPr>
              <w:jc w:val="right"/>
            </w:pPr>
          </w:p>
          <w:p w:rsidR="00D104D2" w:rsidRPr="00093C26" w:rsidP="00D104D2" w14:paraId="08DFC1F8" w14:textId="3031CC2A">
            <w:pPr>
              <w:jc w:val="right"/>
              <w:rPr>
                <w:bCs/>
                <w:iCs/>
              </w:rPr>
            </w:pPr>
            <w:r>
              <w:t>86</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97231" w:rsidP="00D104D2" w14:paraId="20A139E3" w14:textId="77777777">
            <w:pPr>
              <w:jc w:val="center"/>
              <w:rPr>
                <w:bCs/>
                <w:iCs/>
              </w:rPr>
            </w:pPr>
          </w:p>
          <w:p w:rsidR="00D104D2" w:rsidRPr="00093C26" w:rsidP="00D104D2" w14:paraId="0B20FFF8" w14:textId="290785B5">
            <w:pPr>
              <w:jc w:val="center"/>
              <w:rPr>
                <w:bCs/>
                <w:iCs/>
              </w:rPr>
            </w:pPr>
            <w:r>
              <w:rPr>
                <w:bCs/>
                <w:iCs/>
              </w:rPr>
              <w:t>1.3</w:t>
            </w:r>
          </w:p>
        </w:tc>
        <w:tc>
          <w:tcPr>
            <w:tcW w:w="990" w:type="dxa"/>
            <w:tcBorders>
              <w:top w:val="nil"/>
              <w:left w:val="nil"/>
              <w:bottom w:val="single" w:sz="8" w:space="0" w:color="auto"/>
              <w:right w:val="single" w:sz="8" w:space="0" w:color="auto"/>
            </w:tcBorders>
            <w:vAlign w:val="center"/>
          </w:tcPr>
          <w:p w:rsidR="00D97231" w:rsidP="00D104D2" w14:paraId="0C90F1A0" w14:textId="77777777">
            <w:pPr>
              <w:jc w:val="center"/>
              <w:rPr>
                <w:bCs/>
                <w:iCs/>
              </w:rPr>
            </w:pPr>
          </w:p>
          <w:p w:rsidR="00D104D2" w:rsidRPr="00093C26" w:rsidP="00D104D2" w14:paraId="0C087B67" w14:textId="747D78D1">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P="00D104D2" w14:paraId="69EDFBB5" w14:textId="77777777">
            <w:pPr>
              <w:jc w:val="right"/>
              <w:rPr>
                <w:bCs/>
                <w:iCs/>
              </w:rPr>
            </w:pPr>
          </w:p>
          <w:p w:rsidR="00D97231" w:rsidRPr="00093C26" w:rsidP="00D104D2" w14:paraId="3C72DBA3" w14:textId="7C78CE2A">
            <w:pPr>
              <w:jc w:val="right"/>
              <w:rPr>
                <w:bCs/>
                <w:iCs/>
              </w:rPr>
            </w:pPr>
            <w:r>
              <w:rPr>
                <w:bCs/>
                <w:iCs/>
              </w:rPr>
              <w:t>6</w:t>
            </w:r>
          </w:p>
        </w:tc>
      </w:tr>
      <w:tr w14:paraId="7B96E031" w14:textId="77777777" w:rsidTr="00D104D2">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238E3076" w14:textId="6B14AB21">
            <w:pPr>
              <w:rPr>
                <w:bCs/>
                <w:iCs/>
              </w:rPr>
            </w:pPr>
            <w:bookmarkStart w:id="62" w:name="_Hlk144961387"/>
            <w:r>
              <w:rPr>
                <w:bCs/>
              </w:rPr>
              <w:t xml:space="preserve">7. </w:t>
            </w:r>
            <w:r w:rsidRPr="00442DD5">
              <w:rPr>
                <w:bCs/>
              </w:rPr>
              <w:t xml:space="preserve">Pharmacies </w:t>
            </w:r>
            <w:r>
              <w:rPr>
                <w:bCs/>
              </w:rPr>
              <w:t>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D104D2" w:rsidRPr="00093C26" w:rsidP="00D104D2" w14:paraId="20E5F76F" w14:textId="6C7BE9BD">
            <w:pPr>
              <w:jc w:val="right"/>
              <w:rPr>
                <w:bCs/>
                <w:iCs/>
              </w:rPr>
            </w:pPr>
            <w:r>
              <w:t>6,112</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31522BA0" w14:textId="17A8D51A">
            <w:pPr>
              <w:jc w:val="center"/>
              <w:rPr>
                <w:bCs/>
                <w:iCs/>
              </w:rPr>
            </w:pPr>
            <w:r>
              <w:rPr>
                <w:bCs/>
                <w:iCs/>
              </w:rPr>
              <w:t>31.3</w:t>
            </w:r>
          </w:p>
        </w:tc>
        <w:tc>
          <w:tcPr>
            <w:tcW w:w="990" w:type="dxa"/>
            <w:tcBorders>
              <w:top w:val="nil"/>
              <w:left w:val="nil"/>
              <w:bottom w:val="single" w:sz="8" w:space="0" w:color="auto"/>
              <w:right w:val="single" w:sz="8" w:space="0" w:color="auto"/>
            </w:tcBorders>
            <w:vAlign w:val="center"/>
          </w:tcPr>
          <w:p w:rsidR="00D104D2" w:rsidRPr="00093C26" w:rsidP="00D104D2" w14:paraId="38606BD9" w14:textId="02D10B37">
            <w:pPr>
              <w:jc w:val="center"/>
              <w:rPr>
                <w:bCs/>
                <w:iCs/>
              </w:rPr>
            </w:pPr>
            <w:r>
              <w:rPr>
                <w:bCs/>
                <w:iCs/>
              </w:rPr>
              <w:t>3</w:t>
            </w:r>
            <w:r w:rsidRPr="00093C26">
              <w:rPr>
                <w:bCs/>
                <w:iCs/>
              </w:rPr>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104D2" w:rsidRPr="00093C26" w:rsidP="00D104D2" w14:paraId="66162BB0" w14:textId="50779284">
            <w:pPr>
              <w:jc w:val="right"/>
              <w:rPr>
                <w:bCs/>
                <w:iCs/>
              </w:rPr>
            </w:pPr>
            <w:r>
              <w:rPr>
                <w:bCs/>
                <w:iCs/>
              </w:rPr>
              <w:t>9,565</w:t>
            </w:r>
          </w:p>
        </w:tc>
      </w:tr>
      <w:bookmarkEnd w:id="62"/>
      <w:tr w14:paraId="242C82A3" w14:textId="77777777" w:rsidTr="00FE4BB4">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6623AF29" w14:textId="4CBD7DF0">
            <w:pPr>
              <w:rPr>
                <w:bCs/>
                <w:iCs/>
              </w:rPr>
            </w:pPr>
            <w:r w:rsidRPr="00442DD5">
              <w:rPr>
                <w:bCs/>
              </w:rPr>
              <w:t>Subtotal for the MEPS-MPC</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5D285B" w:rsidRPr="00093C26" w:rsidP="002E45DA" w14:paraId="02039F60" w14:textId="2728BD33">
            <w:pPr>
              <w:jc w:val="right"/>
              <w:rPr>
                <w:bCs/>
                <w:iCs/>
              </w:rPr>
            </w:pPr>
            <w:r>
              <w:rPr>
                <w:bCs/>
                <w:iCs/>
              </w:rPr>
              <w:t>63,332</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6005D36E" w14:textId="7FA6DBCA">
            <w:pPr>
              <w:jc w:val="center"/>
              <w:rPr>
                <w:bCs/>
                <w:iCs/>
              </w:rPr>
            </w:pPr>
            <w:r>
              <w:rPr>
                <w:bCs/>
                <w:iCs/>
              </w:rPr>
              <w:t>--</w:t>
            </w:r>
          </w:p>
        </w:tc>
        <w:tc>
          <w:tcPr>
            <w:tcW w:w="990" w:type="dxa"/>
            <w:tcBorders>
              <w:top w:val="nil"/>
              <w:left w:val="nil"/>
              <w:bottom w:val="single" w:sz="8" w:space="0" w:color="auto"/>
              <w:right w:val="single" w:sz="8" w:space="0" w:color="auto"/>
            </w:tcBorders>
            <w:vAlign w:val="center"/>
          </w:tcPr>
          <w:p w:rsidR="005D285B" w:rsidRPr="00093C26" w:rsidP="005D285B" w14:paraId="5A8D0D96" w14:textId="299AF446">
            <w:pPr>
              <w:jc w:val="center"/>
              <w:rPr>
                <w:bCs/>
                <w:iCs/>
              </w:rPr>
            </w:pPr>
            <w:r>
              <w:rPr>
                <w:bCs/>
                <w:iCs/>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D285B" w:rsidRPr="00093C26" w:rsidP="005D285B" w14:paraId="704F102D" w14:textId="08690CCF">
            <w:pPr>
              <w:jc w:val="right"/>
              <w:rPr>
                <w:bCs/>
                <w:iCs/>
              </w:rPr>
            </w:pPr>
            <w:bookmarkStart w:id="63" w:name="_Hlk161990515"/>
            <w:r>
              <w:rPr>
                <w:bCs/>
                <w:iCs/>
              </w:rPr>
              <w:t>15,674</w:t>
            </w:r>
            <w:bookmarkEnd w:id="63"/>
          </w:p>
        </w:tc>
      </w:tr>
      <w:tr w14:paraId="53D324E3" w14:textId="77777777" w:rsidTr="00093C26">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4E58FB33" w14:textId="77777777">
            <w:pPr>
              <w:rPr>
                <w:bCs/>
                <w:iCs/>
              </w:rPr>
            </w:pPr>
            <w:bookmarkStart w:id="64" w:name="_Hlk227654978"/>
            <w:r w:rsidRPr="00093C26">
              <w:rPr>
                <w:b/>
                <w:bCs/>
                <w:iCs/>
              </w:rPr>
              <w:t>Grand 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2E45DA" w14:paraId="46A9A93F" w14:textId="51DFEB95">
            <w:pPr>
              <w:jc w:val="right"/>
              <w:rPr>
                <w:bCs/>
                <w:iCs/>
              </w:rPr>
            </w:pPr>
            <w:r>
              <w:rPr>
                <w:bCs/>
                <w:iCs/>
              </w:rPr>
              <w:t>133,995</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75CEA7EE" w14:textId="6DEA4337">
            <w:pPr>
              <w:jc w:val="center"/>
              <w:rPr>
                <w:bCs/>
                <w:iCs/>
              </w:rPr>
            </w:pPr>
            <w:r>
              <w:rPr>
                <w:bCs/>
                <w:iCs/>
              </w:rPr>
              <w:t>--</w:t>
            </w:r>
          </w:p>
        </w:tc>
        <w:tc>
          <w:tcPr>
            <w:tcW w:w="990" w:type="dxa"/>
            <w:tcBorders>
              <w:top w:val="nil"/>
              <w:left w:val="nil"/>
              <w:bottom w:val="single" w:sz="8" w:space="0" w:color="auto"/>
              <w:right w:val="single" w:sz="8" w:space="0" w:color="auto"/>
            </w:tcBorders>
          </w:tcPr>
          <w:p w:rsidR="00093C26" w:rsidRPr="00093C26" w:rsidP="00093C26" w14:paraId="140D51B2" w14:textId="60A2E917">
            <w:pPr>
              <w:jc w:val="center"/>
              <w:rPr>
                <w:bCs/>
                <w:iCs/>
              </w:rPr>
            </w:pPr>
            <w:r>
              <w:rPr>
                <w:bCs/>
                <w:iCs/>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93C26" w:rsidRPr="00093C26" w:rsidP="00093C26" w14:paraId="5E03D36F" w14:textId="165D9E47">
            <w:pPr>
              <w:jc w:val="right"/>
              <w:rPr>
                <w:bCs/>
                <w:iCs/>
              </w:rPr>
            </w:pPr>
            <w:r>
              <w:rPr>
                <w:bCs/>
                <w:iCs/>
              </w:rPr>
              <w:t>67,488</w:t>
            </w:r>
          </w:p>
        </w:tc>
      </w:tr>
    </w:tbl>
    <w:bookmarkEnd w:id="64"/>
    <w:bookmarkEnd w:id="56"/>
    <w:p w:rsidR="00184D48" w:rsidRPr="005C3AC5" w:rsidP="0053391B" w14:paraId="1AE01803" w14:textId="3B1855FE">
      <w:pPr>
        <w:rPr>
          <w:bCs/>
          <w:iCs/>
          <w:sz w:val="22"/>
          <w:szCs w:val="22"/>
        </w:rPr>
      </w:pPr>
      <w:r w:rsidRPr="005C3AC5">
        <w:rPr>
          <w:bCs/>
          <w:iCs/>
          <w:sz w:val="22"/>
          <w:szCs w:val="22"/>
          <w:vertAlign w:val="superscript"/>
        </w:rPr>
        <w:t>*</w:t>
      </w:r>
      <w:r w:rsidRPr="005C3AC5">
        <w:rPr>
          <w:bCs/>
          <w:iCs/>
          <w:sz w:val="22"/>
          <w:szCs w:val="22"/>
        </w:rPr>
        <w:t xml:space="preserve"> The Adult SAQ is completed once every two years, on the </w:t>
      </w:r>
      <w:r w:rsidRPr="005C3AC5" w:rsidR="000C2399">
        <w:rPr>
          <w:bCs/>
          <w:iCs/>
          <w:sz w:val="22"/>
          <w:szCs w:val="22"/>
        </w:rPr>
        <w:t>odd</w:t>
      </w:r>
      <w:r w:rsidRPr="005C3AC5">
        <w:rPr>
          <w:bCs/>
          <w:iCs/>
          <w:sz w:val="22"/>
          <w:szCs w:val="22"/>
        </w:rPr>
        <w:t xml:space="preserve"> numbered years.</w:t>
      </w:r>
    </w:p>
    <w:p w:rsidR="00A01A18" w:rsidP="0053391B" w14:paraId="2B06B7D1" w14:textId="1E2D3A12">
      <w:pPr>
        <w:rPr>
          <w:bCs/>
          <w:iCs/>
          <w:sz w:val="22"/>
          <w:szCs w:val="22"/>
        </w:rPr>
      </w:pPr>
      <w:r w:rsidRPr="005C3AC5">
        <w:rPr>
          <w:bCs/>
          <w:iCs/>
          <w:sz w:val="22"/>
          <w:szCs w:val="22"/>
          <w:vertAlign w:val="superscript"/>
        </w:rPr>
        <w:t>**</w:t>
      </w:r>
      <w:r w:rsidRPr="005C3AC5">
        <w:rPr>
          <w:bCs/>
          <w:iCs/>
          <w:sz w:val="22"/>
          <w:szCs w:val="22"/>
        </w:rPr>
        <w:t xml:space="preserve"> The PSAQ is completed once every two years, on the </w:t>
      </w:r>
      <w:r w:rsidRPr="005C3AC5" w:rsidR="000C2399">
        <w:rPr>
          <w:bCs/>
          <w:iCs/>
          <w:sz w:val="22"/>
          <w:szCs w:val="22"/>
        </w:rPr>
        <w:t>even</w:t>
      </w:r>
      <w:r w:rsidRPr="005C3AC5">
        <w:rPr>
          <w:bCs/>
          <w:iCs/>
          <w:sz w:val="22"/>
          <w:szCs w:val="22"/>
        </w:rPr>
        <w:t xml:space="preserve"> numbered years</w:t>
      </w:r>
      <w:r w:rsidR="005C3AC5">
        <w:rPr>
          <w:bCs/>
          <w:iCs/>
          <w:sz w:val="22"/>
          <w:szCs w:val="22"/>
        </w:rPr>
        <w:t>.</w:t>
      </w:r>
      <w:bookmarkEnd w:id="57"/>
    </w:p>
    <w:p w:rsidR="00BB1DB7" w:rsidRPr="00BB1DB7" w:rsidP="0053391B" w14:paraId="48198DD2" w14:textId="4C6FEFE7">
      <w:pPr>
        <w:rPr>
          <w:bCs/>
          <w:iCs/>
          <w:sz w:val="22"/>
          <w:szCs w:val="22"/>
        </w:rPr>
      </w:pPr>
      <w:r>
        <w:rPr>
          <w:bCs/>
          <w:iCs/>
          <w:sz w:val="22"/>
          <w:szCs w:val="22"/>
          <w:vertAlign w:val="superscript"/>
        </w:rPr>
        <w:t>a</w:t>
      </w:r>
      <w:r>
        <w:rPr>
          <w:bCs/>
          <w:iCs/>
          <w:sz w:val="22"/>
          <w:szCs w:val="22"/>
        </w:rPr>
        <w:t xml:space="preserve"> See the Supporting Statement Part B</w:t>
      </w:r>
      <w:r w:rsidR="00280B67">
        <w:rPr>
          <w:bCs/>
          <w:iCs/>
          <w:sz w:val="22"/>
          <w:szCs w:val="22"/>
        </w:rPr>
        <w:t xml:space="preserve">, Table </w:t>
      </w:r>
      <w:r w:rsidR="007227C9">
        <w:rPr>
          <w:bCs/>
          <w:iCs/>
          <w:sz w:val="22"/>
          <w:szCs w:val="22"/>
        </w:rPr>
        <w:t>1</w:t>
      </w:r>
      <w:r w:rsidR="00280B67">
        <w:rPr>
          <w:bCs/>
          <w:iCs/>
          <w:sz w:val="22"/>
          <w:szCs w:val="22"/>
        </w:rPr>
        <w:t xml:space="preserve"> and Table 3,</w:t>
      </w:r>
      <w:r>
        <w:rPr>
          <w:bCs/>
          <w:iCs/>
          <w:sz w:val="22"/>
          <w:szCs w:val="22"/>
        </w:rPr>
        <w:t xml:space="preserve"> for information on the sample size</w:t>
      </w:r>
      <w:r w:rsidR="00280B67">
        <w:rPr>
          <w:bCs/>
          <w:iCs/>
          <w:sz w:val="22"/>
          <w:szCs w:val="22"/>
        </w:rPr>
        <w:br/>
        <w:t xml:space="preserve"> </w:t>
      </w:r>
      <w:r>
        <w:rPr>
          <w:bCs/>
          <w:iCs/>
          <w:sz w:val="22"/>
          <w:szCs w:val="22"/>
        </w:rPr>
        <w:t xml:space="preserve"> and number of respondents</w:t>
      </w:r>
      <w:r w:rsidR="00280B67">
        <w:rPr>
          <w:bCs/>
          <w:iCs/>
          <w:sz w:val="22"/>
          <w:szCs w:val="22"/>
        </w:rPr>
        <w:t>.</w:t>
      </w:r>
    </w:p>
    <w:bookmarkEnd w:id="58"/>
    <w:p w:rsidR="00F414A2" w:rsidP="00093C26" w14:paraId="3B78039D" w14:textId="5D38A98C">
      <w:pPr>
        <w:rPr>
          <w:bCs/>
          <w:iCs/>
        </w:rPr>
      </w:pPr>
    </w:p>
    <w:p w:rsidR="0091048F" w:rsidP="00093C26" w14:paraId="61CD502D" w14:textId="643A30ED">
      <w:pPr>
        <w:rPr>
          <w:bCs/>
          <w:iCs/>
        </w:rPr>
      </w:pPr>
    </w:p>
    <w:p w:rsidR="007227C9" w:rsidRPr="00716E58" w:rsidP="007227C9" w14:paraId="69EB4F9D" w14:textId="32AA08F4">
      <w:pPr>
        <w:rPr>
          <w:rStyle w:val="Strong"/>
          <w:b w:val="0"/>
          <w:iCs/>
        </w:rPr>
      </w:pPr>
      <w:r w:rsidRPr="00165FC9">
        <w:rPr>
          <w:bCs/>
        </w:rPr>
        <w:t xml:space="preserve">Exhibit 2 shows the estimated annual cost burden associated with the respondents' time to </w:t>
      </w:r>
      <w:r w:rsidRPr="00464CA9">
        <w:rPr>
          <w:bCs/>
        </w:rPr>
        <w:t>participate in this information collection.  The annual cost burden for the MEPS-HC is</w:t>
      </w:r>
      <w:r w:rsidRPr="00165FC9">
        <w:rPr>
          <w:bCs/>
        </w:rPr>
        <w:t xml:space="preserve"> estimated to be </w:t>
      </w:r>
      <w:r w:rsidRPr="00244D4B" w:rsidR="00C623CA">
        <w:rPr>
          <w:bCs/>
          <w:iCs/>
        </w:rPr>
        <w:t>$1,631,105</w:t>
      </w:r>
      <w:r>
        <w:rPr>
          <w:bCs/>
        </w:rPr>
        <w:t xml:space="preserve"> and</w:t>
      </w:r>
      <w:r w:rsidRPr="00442DD5">
        <w:rPr>
          <w:bCs/>
        </w:rPr>
        <w:t xml:space="preserve"> the annual cost burden for the MEPS-MPC is estimated to be </w:t>
      </w:r>
      <w:r w:rsidRPr="00244D4B" w:rsidR="00C623CA">
        <w:rPr>
          <w:color w:val="000000"/>
        </w:rPr>
        <w:t>$326,612</w:t>
      </w:r>
      <w:r>
        <w:rPr>
          <w:bCs/>
        </w:rPr>
        <w:t>.</w:t>
      </w:r>
      <w:r w:rsidRPr="00442DD5">
        <w:rPr>
          <w:bCs/>
        </w:rPr>
        <w:t xml:space="preserve">  The total annual cost burden for the MEPS-HC and MPC is estimated to be </w:t>
      </w:r>
      <w:r w:rsidRPr="00244D4B" w:rsidR="00C623CA">
        <w:rPr>
          <w:bCs/>
          <w:iCs/>
        </w:rPr>
        <w:t>$1,957,716</w:t>
      </w:r>
      <w:r>
        <w:rPr>
          <w:bCs/>
        </w:rPr>
        <w:t>.</w:t>
      </w:r>
    </w:p>
    <w:p w:rsidR="0091048F" w:rsidP="00093C26" w14:paraId="2773D189" w14:textId="2F72CB06">
      <w:pPr>
        <w:rPr>
          <w:bCs/>
          <w:iCs/>
        </w:rPr>
      </w:pPr>
    </w:p>
    <w:p w:rsidR="0091048F" w:rsidP="00093C26" w14:paraId="61E36158" w14:textId="4DED8E7A">
      <w:pPr>
        <w:rPr>
          <w:bCs/>
          <w:iCs/>
        </w:rPr>
      </w:pPr>
    </w:p>
    <w:p w:rsidR="0091048F" w:rsidP="00093C26" w14:paraId="2D7FBE9B" w14:textId="52F9CDD7">
      <w:pPr>
        <w:rPr>
          <w:bCs/>
          <w:iCs/>
        </w:rPr>
      </w:pPr>
    </w:p>
    <w:p w:rsidR="0091048F" w:rsidP="00093C26" w14:paraId="545A80E7" w14:textId="5C030728">
      <w:pPr>
        <w:rPr>
          <w:bCs/>
          <w:iCs/>
        </w:rPr>
      </w:pPr>
    </w:p>
    <w:p w:rsidR="0091048F" w:rsidP="00093C26" w14:paraId="7B3660D2" w14:textId="2709BDA3">
      <w:pPr>
        <w:rPr>
          <w:bCs/>
          <w:iCs/>
        </w:rPr>
      </w:pPr>
    </w:p>
    <w:bookmarkEnd w:id="59"/>
    <w:p w:rsidR="00D65448" w:rsidRPr="00093C26" w:rsidP="00D65448" w14:paraId="7E3AAE55" w14:textId="3661FE83">
      <w:pPr>
        <w:rPr>
          <w:bCs/>
          <w:iCs/>
        </w:rPr>
      </w:pPr>
      <w:r w:rsidRPr="00093C26">
        <w:rPr>
          <w:b/>
          <w:bCs/>
          <w:iCs/>
        </w:rPr>
        <w:t xml:space="preserve">Exhibit </w:t>
      </w:r>
      <w:r w:rsidR="006C05DE">
        <w:rPr>
          <w:b/>
          <w:bCs/>
          <w:iCs/>
        </w:rPr>
        <w:t>2</w:t>
      </w:r>
      <w:r w:rsidRPr="00093C26">
        <w:rPr>
          <w:b/>
          <w:bCs/>
          <w:iCs/>
        </w:rPr>
        <w:t xml:space="preserve">.  </w:t>
      </w:r>
      <w:r w:rsidRPr="005622E0" w:rsidR="006C05DE">
        <w:rPr>
          <w:b/>
          <w:bCs/>
        </w:rPr>
        <w:t>Estimated annualized cost burden</w:t>
      </w:r>
    </w:p>
    <w:tbl>
      <w:tblPr>
        <w:tblW w:w="7730" w:type="dxa"/>
        <w:tblLayout w:type="fixed"/>
        <w:tblCellMar>
          <w:left w:w="0" w:type="dxa"/>
          <w:right w:w="0" w:type="dxa"/>
        </w:tblCellMar>
        <w:tblLook w:val="0000"/>
      </w:tblPr>
      <w:tblGrid>
        <w:gridCol w:w="3888"/>
        <w:gridCol w:w="990"/>
        <w:gridCol w:w="1530"/>
        <w:gridCol w:w="1322"/>
      </w:tblGrid>
      <w:tr w14:paraId="5212CE8E" w14:textId="77777777" w:rsidTr="00B76ECB">
        <w:tblPrEx>
          <w:tblW w:w="7730" w:type="dxa"/>
          <w:tblLayout w:type="fixed"/>
          <w:tblCellMar>
            <w:left w:w="0" w:type="dxa"/>
            <w:right w:w="0" w:type="dxa"/>
          </w:tblCellMar>
          <w:tblLook w:val="0000"/>
        </w:tblPrEx>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76ECB" w:rsidRPr="009A296B" w:rsidP="007326D6" w14:paraId="2C3EF016" w14:textId="77777777">
            <w:pPr>
              <w:rPr>
                <w:bCs/>
                <w:iCs/>
                <w:sz w:val="22"/>
                <w:szCs w:val="22"/>
              </w:rPr>
            </w:pPr>
            <w:r w:rsidRPr="009A296B">
              <w:rPr>
                <w:bCs/>
                <w:iCs/>
                <w:sz w:val="22"/>
                <w:szCs w:val="22"/>
              </w:rPr>
              <w:t>Form Name</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76ECB" w:rsidRPr="009A296B" w:rsidP="007326D6" w14:paraId="17653D9C" w14:textId="396B20D2">
            <w:pPr>
              <w:jc w:val="center"/>
              <w:rPr>
                <w:bCs/>
                <w:iCs/>
                <w:sz w:val="22"/>
                <w:szCs w:val="22"/>
              </w:rPr>
            </w:pPr>
            <w:r w:rsidRPr="009A296B">
              <w:rPr>
                <w:bCs/>
                <w:iCs/>
                <w:sz w:val="22"/>
                <w:szCs w:val="22"/>
              </w:rPr>
              <w:t>Total burden hours</w:t>
            </w:r>
          </w:p>
        </w:tc>
        <w:tc>
          <w:tcPr>
            <w:tcW w:w="1530" w:type="dxa"/>
            <w:tcBorders>
              <w:top w:val="single" w:sz="8" w:space="0" w:color="auto"/>
              <w:left w:val="nil"/>
              <w:bottom w:val="single" w:sz="8" w:space="0" w:color="auto"/>
              <w:right w:val="single" w:sz="8" w:space="0" w:color="auto"/>
            </w:tcBorders>
            <w:vAlign w:val="center"/>
          </w:tcPr>
          <w:p w:rsidR="00B76ECB" w:rsidRPr="009A296B" w:rsidP="007326D6" w14:paraId="21F944CB" w14:textId="261EC677">
            <w:pPr>
              <w:jc w:val="center"/>
              <w:rPr>
                <w:bCs/>
                <w:iCs/>
                <w:sz w:val="22"/>
                <w:szCs w:val="22"/>
              </w:rPr>
            </w:pPr>
            <w:r w:rsidRPr="009A296B">
              <w:rPr>
                <w:bCs/>
                <w:iCs/>
                <w:sz w:val="22"/>
                <w:szCs w:val="22"/>
              </w:rPr>
              <w:t>Average hourly wage rate</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76ECB" w:rsidRPr="009A296B" w:rsidP="007326D6" w14:paraId="72D0DF48" w14:textId="035A2496">
            <w:pPr>
              <w:jc w:val="center"/>
              <w:rPr>
                <w:bCs/>
                <w:iCs/>
                <w:sz w:val="22"/>
                <w:szCs w:val="22"/>
              </w:rPr>
            </w:pPr>
            <w:r w:rsidRPr="009A296B">
              <w:rPr>
                <w:bCs/>
                <w:iCs/>
                <w:sz w:val="22"/>
                <w:szCs w:val="22"/>
              </w:rPr>
              <w:t>Total cost burden</w:t>
            </w:r>
          </w:p>
        </w:tc>
      </w:tr>
      <w:tr w14:paraId="1042343C" w14:textId="77777777" w:rsidTr="00B76ECB">
        <w:tblPrEx>
          <w:tblW w:w="7730" w:type="dxa"/>
          <w:tblLayout w:type="fixed"/>
          <w:tblCellMar>
            <w:left w:w="0" w:type="dxa"/>
            <w:right w:w="0" w:type="dxa"/>
          </w:tblCellMar>
          <w:tblLook w:val="0000"/>
        </w:tblPrEx>
        <w:tc>
          <w:tcPr>
            <w:tcW w:w="7730" w:type="dxa"/>
            <w:gridSpan w:val="4"/>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D65448" w:rsidRPr="00093C26" w:rsidP="007326D6" w14:paraId="368B121A" w14:textId="77777777">
            <w:pPr>
              <w:rPr>
                <w:bCs/>
                <w:iCs/>
              </w:rPr>
            </w:pPr>
            <w:r w:rsidRPr="00093C26">
              <w:rPr>
                <w:b/>
                <w:bCs/>
                <w:iCs/>
              </w:rPr>
              <w:t>MEPS-HC</w:t>
            </w:r>
          </w:p>
        </w:tc>
      </w:tr>
      <w:tr w14:paraId="42FD950C"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56DA8B88" w14:textId="36E8CF50">
            <w:pPr>
              <w:rPr>
                <w:bCs/>
                <w:iCs/>
              </w:rPr>
            </w:pPr>
            <w:r>
              <w:rPr>
                <w:bCs/>
                <w:iCs/>
              </w:rPr>
              <w:t xml:space="preserve">1. </w:t>
            </w:r>
            <w:r w:rsidRPr="00093C26">
              <w:rPr>
                <w:bCs/>
                <w:iCs/>
              </w:rPr>
              <w:t>MEPS-HC Core Interview</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2520A90D" w14:textId="7667FE0E">
            <w:pPr>
              <w:jc w:val="right"/>
              <w:rPr>
                <w:bCs/>
                <w:iCs/>
              </w:rPr>
            </w:pPr>
            <w:r>
              <w:rPr>
                <w:bCs/>
                <w:iCs/>
              </w:rPr>
              <w:t>46,504</w:t>
            </w:r>
          </w:p>
        </w:tc>
        <w:tc>
          <w:tcPr>
            <w:tcW w:w="1530" w:type="dxa"/>
            <w:tcBorders>
              <w:top w:val="nil"/>
              <w:left w:val="nil"/>
              <w:bottom w:val="single" w:sz="8" w:space="0" w:color="auto"/>
              <w:right w:val="single" w:sz="8" w:space="0" w:color="auto"/>
            </w:tcBorders>
            <w:vAlign w:val="center"/>
          </w:tcPr>
          <w:p w:rsidR="00C623CA" w:rsidRPr="00F20D31" w:rsidP="00C623CA" w14:paraId="71021B9B" w14:textId="08C14D56">
            <w:pPr>
              <w:jc w:val="center"/>
              <w:rPr>
                <w:bCs/>
                <w:iCs/>
                <w:vertAlign w:val="superscript"/>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78E9F8E0" w14:textId="7AC09602">
            <w:pPr>
              <w:jc w:val="right"/>
              <w:rPr>
                <w:bCs/>
                <w:iCs/>
              </w:rPr>
            </w:pPr>
            <w:r w:rsidRPr="00F20D31">
              <w:rPr>
                <w:bCs/>
                <w:iCs/>
              </w:rPr>
              <w:t>$1,463,946</w:t>
            </w:r>
          </w:p>
        </w:tc>
      </w:tr>
      <w:tr w14:paraId="667B3006"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154BC7F3" w14:textId="10AAFF33">
            <w:pPr>
              <w:rPr>
                <w:bCs/>
                <w:iCs/>
              </w:rPr>
            </w:pPr>
            <w:r>
              <w:rPr>
                <w:bCs/>
                <w:iCs/>
              </w:rPr>
              <w:t xml:space="preserve">2. </w:t>
            </w:r>
            <w:r w:rsidRPr="00093C26">
              <w:rPr>
                <w:bCs/>
                <w:iCs/>
              </w:rPr>
              <w:t>Adult SAQ</w:t>
            </w:r>
            <w:r>
              <w:rPr>
                <w:bCs/>
                <w:iCs/>
                <w:vertAlign w:val="superscript"/>
              </w:rPr>
              <w:t>*</w:t>
            </w:r>
            <w:r>
              <w:rPr>
                <w:bCs/>
                <w:i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6D31BDD2" w14:textId="74C46094">
            <w:pPr>
              <w:jc w:val="right"/>
              <w:rPr>
                <w:bCs/>
                <w:iCs/>
              </w:rPr>
            </w:pPr>
            <w:r>
              <w:rPr>
                <w:bCs/>
                <w:iCs/>
              </w:rPr>
              <w:t>910</w:t>
            </w:r>
          </w:p>
        </w:tc>
        <w:tc>
          <w:tcPr>
            <w:tcW w:w="1530" w:type="dxa"/>
            <w:tcBorders>
              <w:top w:val="nil"/>
              <w:left w:val="nil"/>
              <w:bottom w:val="single" w:sz="8" w:space="0" w:color="auto"/>
              <w:right w:val="single" w:sz="8" w:space="0" w:color="auto"/>
            </w:tcBorders>
            <w:vAlign w:val="center"/>
          </w:tcPr>
          <w:p w:rsidR="00C623CA" w:rsidRPr="00F20D31" w:rsidP="00C623CA" w14:paraId="284C19A0" w14:textId="6282FB4E">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0A7FDE2E" w14:textId="55EFDAF7">
            <w:pPr>
              <w:jc w:val="right"/>
              <w:rPr>
                <w:bCs/>
                <w:iCs/>
              </w:rPr>
            </w:pPr>
            <w:r w:rsidRPr="00F20D31">
              <w:rPr>
                <w:bCs/>
                <w:iCs/>
              </w:rPr>
              <w:t>$28,647</w:t>
            </w:r>
          </w:p>
        </w:tc>
      </w:tr>
      <w:tr w14:paraId="01013DBF"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1EEE418E" w14:textId="0ADB347D">
            <w:pPr>
              <w:rPr>
                <w:bCs/>
                <w:iCs/>
              </w:rPr>
            </w:pPr>
            <w:r>
              <w:rPr>
                <w:bCs/>
                <w:iCs/>
              </w:rPr>
              <w:t>3. Preventive Care SAQ (PSAQ)</w:t>
            </w:r>
            <w:r>
              <w:rPr>
                <w:bCs/>
                <w:iCs/>
                <w:vertAlign w:val="superscript"/>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3163BC37" w14:textId="02BAA3B6">
            <w:pPr>
              <w:jc w:val="right"/>
              <w:rPr>
                <w:bCs/>
                <w:iCs/>
              </w:rPr>
            </w:pPr>
            <w:r>
              <w:rPr>
                <w:bCs/>
                <w:iCs/>
              </w:rPr>
              <w:t>910</w:t>
            </w:r>
          </w:p>
        </w:tc>
        <w:tc>
          <w:tcPr>
            <w:tcW w:w="1530" w:type="dxa"/>
            <w:tcBorders>
              <w:top w:val="nil"/>
              <w:left w:val="nil"/>
              <w:bottom w:val="single" w:sz="8" w:space="0" w:color="auto"/>
              <w:right w:val="single" w:sz="8" w:space="0" w:color="auto"/>
            </w:tcBorders>
            <w:vAlign w:val="center"/>
          </w:tcPr>
          <w:p w:rsidR="00C623CA" w:rsidRPr="00F20D31" w:rsidP="00C623CA" w14:paraId="5A386325" w14:textId="1A62B6E6">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40406220" w14:textId="580F4CED">
            <w:pPr>
              <w:jc w:val="right"/>
              <w:rPr>
                <w:bCs/>
                <w:iCs/>
              </w:rPr>
            </w:pPr>
            <w:r w:rsidRPr="00F20D31">
              <w:rPr>
                <w:bCs/>
                <w:iCs/>
              </w:rPr>
              <w:t>$27,082</w:t>
            </w:r>
          </w:p>
        </w:tc>
      </w:tr>
      <w:tr w14:paraId="77DDF362"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27AA6CE1" w14:textId="48595588">
            <w:pPr>
              <w:rPr>
                <w:bCs/>
                <w:iCs/>
              </w:rPr>
            </w:pPr>
            <w:r>
              <w:rPr>
                <w:bCs/>
                <w:iCs/>
              </w:rPr>
              <w:t xml:space="preserve">4. </w:t>
            </w:r>
            <w:r w:rsidRPr="00093C26">
              <w:rPr>
                <w:bCs/>
                <w:iCs/>
              </w:rPr>
              <w:t>Diabetes Care Survey (DCS)</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6C0247C3" w14:textId="051F841C">
            <w:pPr>
              <w:jc w:val="right"/>
              <w:rPr>
                <w:bCs/>
                <w:iCs/>
              </w:rPr>
            </w:pPr>
            <w:r>
              <w:rPr>
                <w:bCs/>
                <w:iCs/>
              </w:rPr>
              <w:t>70</w:t>
            </w:r>
          </w:p>
        </w:tc>
        <w:tc>
          <w:tcPr>
            <w:tcW w:w="1530" w:type="dxa"/>
            <w:tcBorders>
              <w:top w:val="nil"/>
              <w:left w:val="nil"/>
              <w:bottom w:val="single" w:sz="8" w:space="0" w:color="auto"/>
              <w:right w:val="single" w:sz="8" w:space="0" w:color="auto"/>
            </w:tcBorders>
            <w:vAlign w:val="center"/>
          </w:tcPr>
          <w:p w:rsidR="00C623CA" w:rsidRPr="00F20D31" w:rsidP="00C623CA" w14:paraId="2E87E28D" w14:textId="4E054E78">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2E0B057A" w14:textId="3CA0334D">
            <w:pPr>
              <w:jc w:val="right"/>
              <w:rPr>
                <w:bCs/>
                <w:iCs/>
              </w:rPr>
            </w:pPr>
            <w:r w:rsidRPr="00F20D31">
              <w:rPr>
                <w:bCs/>
                <w:iCs/>
              </w:rPr>
              <w:t>$2,204</w:t>
            </w:r>
          </w:p>
        </w:tc>
      </w:tr>
      <w:tr w14:paraId="2E400EF4"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P="00C623CA" w14:paraId="12D7E2AA" w14:textId="77777777">
            <w:pPr>
              <w:rPr>
                <w:bCs/>
                <w:iCs/>
              </w:rPr>
            </w:pPr>
            <w:r>
              <w:rPr>
                <w:bCs/>
                <w:iCs/>
              </w:rPr>
              <w:t xml:space="preserve">5. </w:t>
            </w:r>
            <w:r w:rsidRPr="00C1732A">
              <w:rPr>
                <w:bCs/>
                <w:iCs/>
              </w:rPr>
              <w:t>Burdens and Economic Impacts of</w:t>
            </w:r>
          </w:p>
          <w:p w:rsidR="00C623CA" w:rsidRPr="00093C26" w:rsidP="00C623CA" w14:paraId="18CEDD2E" w14:textId="7F1F4B47">
            <w:pPr>
              <w:rPr>
                <w:bCs/>
                <w:iCs/>
              </w:rPr>
            </w:pPr>
            <w:r>
              <w:rPr>
                <w:bCs/>
                <w:iCs/>
              </w:rPr>
              <w:t xml:space="preserve">  </w:t>
            </w:r>
            <w:r w:rsidRPr="00C1732A">
              <w:rPr>
                <w:bCs/>
                <w:iCs/>
              </w:rPr>
              <w:t xml:space="preserve"> </w:t>
            </w:r>
            <w:r>
              <w:rPr>
                <w:bCs/>
                <w:iCs/>
              </w:rPr>
              <w:t xml:space="preserve"> </w:t>
            </w:r>
            <w:r w:rsidRPr="00C1732A">
              <w:rPr>
                <w:bCs/>
                <w:iCs/>
              </w:rPr>
              <w:t>Medical Care</w:t>
            </w:r>
            <w:r>
              <w:rPr>
                <w:bCs/>
                <w:iCs/>
              </w:rPr>
              <w:t xml:space="preserve"> SAQ</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742DD3E1" w14:textId="1F330289">
            <w:pPr>
              <w:jc w:val="right"/>
              <w:rPr>
                <w:bCs/>
                <w:iCs/>
              </w:rPr>
            </w:pPr>
            <w:r>
              <w:rPr>
                <w:bCs/>
                <w:iCs/>
              </w:rPr>
              <w:t>1,348</w:t>
            </w:r>
          </w:p>
        </w:tc>
        <w:tc>
          <w:tcPr>
            <w:tcW w:w="1530" w:type="dxa"/>
            <w:tcBorders>
              <w:top w:val="nil"/>
              <w:left w:val="nil"/>
              <w:bottom w:val="single" w:sz="8" w:space="0" w:color="auto"/>
              <w:right w:val="single" w:sz="8" w:space="0" w:color="auto"/>
            </w:tcBorders>
            <w:vAlign w:val="center"/>
          </w:tcPr>
          <w:p w:rsidR="00C623CA" w:rsidRPr="00F20D31" w:rsidP="00C623CA" w14:paraId="1D26422C" w14:textId="7D5A088B">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5FC546F5" w14:textId="0206B210">
            <w:pPr>
              <w:jc w:val="right"/>
              <w:rPr>
                <w:bCs/>
                <w:iCs/>
              </w:rPr>
            </w:pPr>
            <w:r w:rsidRPr="00F20D31">
              <w:rPr>
                <w:bCs/>
                <w:iCs/>
              </w:rPr>
              <w:t>$42,435</w:t>
            </w:r>
          </w:p>
        </w:tc>
      </w:tr>
      <w:tr w14:paraId="78038178"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P="00C623CA" w14:paraId="51991D14" w14:textId="77777777">
            <w:pPr>
              <w:rPr>
                <w:bCs/>
                <w:iCs/>
              </w:rPr>
            </w:pPr>
            <w:r>
              <w:rPr>
                <w:bCs/>
                <w:iCs/>
              </w:rPr>
              <w:t xml:space="preserve">6. </w:t>
            </w:r>
            <w:r w:rsidRPr="00093C26">
              <w:rPr>
                <w:bCs/>
                <w:iCs/>
              </w:rPr>
              <w:t>Authorization forms for the MEPS-</w:t>
            </w:r>
          </w:p>
          <w:p w:rsidR="00C623CA" w:rsidRPr="00093C26" w:rsidP="00C623CA" w14:paraId="58DD56D3" w14:textId="79FD6ACB">
            <w:pPr>
              <w:rPr>
                <w:bCs/>
                <w:iCs/>
              </w:rPr>
            </w:pPr>
            <w:r>
              <w:rPr>
                <w:bCs/>
                <w:iCs/>
              </w:rPr>
              <w:t xml:space="preserve"> </w:t>
            </w:r>
            <w:r w:rsidRPr="00093C26">
              <w:rPr>
                <w:bCs/>
                <w:iCs/>
              </w:rPr>
              <w:t>MPC Provider and Pharmacy Survey</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P="00C623CA" w14:paraId="6F910C96" w14:textId="5F240359">
            <w:pPr>
              <w:jc w:val="right"/>
              <w:rPr>
                <w:bCs/>
                <w:iCs/>
              </w:rPr>
            </w:pPr>
            <w:r>
              <w:rPr>
                <w:bCs/>
                <w:iCs/>
              </w:rPr>
              <w:t>1,920</w:t>
            </w:r>
          </w:p>
        </w:tc>
        <w:tc>
          <w:tcPr>
            <w:tcW w:w="1530" w:type="dxa"/>
            <w:tcBorders>
              <w:top w:val="nil"/>
              <w:left w:val="nil"/>
              <w:bottom w:val="single" w:sz="8" w:space="0" w:color="auto"/>
              <w:right w:val="single" w:sz="8" w:space="0" w:color="auto"/>
            </w:tcBorders>
            <w:vAlign w:val="center"/>
          </w:tcPr>
          <w:p w:rsidR="00C623CA" w:rsidRPr="00F20D31" w:rsidP="00C623CA" w14:paraId="2A9CBEA5" w14:textId="03EFFFD2">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5A4A8600" w14:textId="2935C733">
            <w:pPr>
              <w:jc w:val="right"/>
              <w:rPr>
                <w:bCs/>
                <w:iCs/>
              </w:rPr>
            </w:pPr>
            <w:r w:rsidRPr="00F20D31">
              <w:rPr>
                <w:bCs/>
                <w:iCs/>
              </w:rPr>
              <w:t>$60,442</w:t>
            </w:r>
          </w:p>
        </w:tc>
      </w:tr>
      <w:tr w14:paraId="13C7CC8D"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6A8A7A55" w14:textId="60417E8A">
            <w:pPr>
              <w:rPr>
                <w:bCs/>
                <w:iCs/>
              </w:rPr>
            </w:pPr>
            <w:r>
              <w:rPr>
                <w:bCs/>
                <w:iCs/>
              </w:rPr>
              <w:t xml:space="preserve">7. </w:t>
            </w:r>
            <w:r w:rsidRPr="00093C26">
              <w:rPr>
                <w:bCs/>
                <w:iCs/>
              </w:rPr>
              <w:t>MEPS Validation Interview</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093C26" w:rsidP="00C623CA" w14:paraId="2DA5516A" w14:textId="0C194AF3">
            <w:pPr>
              <w:jc w:val="right"/>
              <w:rPr>
                <w:bCs/>
                <w:iCs/>
              </w:rPr>
            </w:pPr>
            <w:r>
              <w:rPr>
                <w:bCs/>
                <w:iCs/>
              </w:rPr>
              <w:t>152</w:t>
            </w:r>
          </w:p>
        </w:tc>
        <w:tc>
          <w:tcPr>
            <w:tcW w:w="1530" w:type="dxa"/>
            <w:tcBorders>
              <w:top w:val="nil"/>
              <w:left w:val="nil"/>
              <w:bottom w:val="single" w:sz="8" w:space="0" w:color="auto"/>
              <w:right w:val="single" w:sz="8" w:space="0" w:color="auto"/>
            </w:tcBorders>
            <w:vAlign w:val="center"/>
          </w:tcPr>
          <w:p w:rsidR="00C623CA" w:rsidRPr="00F20D31" w:rsidP="00C623CA" w14:paraId="3A312560" w14:textId="012ED1D0">
            <w:pPr>
              <w:jc w:val="center"/>
              <w:rPr>
                <w:bCs/>
                <w:iCs/>
              </w:rPr>
            </w:pPr>
            <w:r w:rsidRPr="00F20D31">
              <w:rPr>
                <w:bCs/>
                <w:iCs/>
              </w:rPr>
              <w:t>$31.48</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623CA" w:rsidRPr="00F20D31" w:rsidP="00C623CA" w14:paraId="0A73B3DD" w14:textId="7C33C0F2">
            <w:pPr>
              <w:jc w:val="right"/>
              <w:rPr>
                <w:bCs/>
                <w:iCs/>
              </w:rPr>
            </w:pPr>
            <w:r w:rsidRPr="00F20D31">
              <w:rPr>
                <w:bCs/>
                <w:iCs/>
              </w:rPr>
              <w:t>$4,785</w:t>
            </w:r>
          </w:p>
        </w:tc>
      </w:tr>
      <w:tr w14:paraId="2426EA85"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23E50" w:rsidRPr="00093C26" w:rsidP="00123E50" w14:paraId="72FEF797" w14:textId="1D6258A7">
            <w:pPr>
              <w:rPr>
                <w:bCs/>
                <w:iCs/>
              </w:rPr>
            </w:pPr>
            <w:r w:rsidRPr="00093C26">
              <w:rPr>
                <w:bCs/>
                <w:iCs/>
              </w:rPr>
              <w:t>Subtotal for the MEPS-HC</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23E50" w:rsidRPr="00093C26" w:rsidP="00123E50" w14:paraId="0D8EBE83" w14:textId="1C0F7B64">
            <w:pPr>
              <w:jc w:val="right"/>
              <w:rPr>
                <w:bCs/>
                <w:iCs/>
              </w:rPr>
            </w:pPr>
            <w:r>
              <w:rPr>
                <w:bCs/>
                <w:iCs/>
              </w:rPr>
              <w:t>51,814</w:t>
            </w:r>
          </w:p>
        </w:tc>
        <w:tc>
          <w:tcPr>
            <w:tcW w:w="1530" w:type="dxa"/>
            <w:tcBorders>
              <w:top w:val="nil"/>
              <w:left w:val="nil"/>
              <w:bottom w:val="single" w:sz="8" w:space="0" w:color="auto"/>
              <w:right w:val="single" w:sz="8" w:space="0" w:color="auto"/>
            </w:tcBorders>
            <w:vAlign w:val="center"/>
          </w:tcPr>
          <w:p w:rsidR="00123E50" w:rsidRPr="00F20D31" w:rsidP="00123E50" w14:paraId="382F597E" w14:textId="749896AE">
            <w:pPr>
              <w:jc w:val="center"/>
              <w:rPr>
                <w:bCs/>
                <w:iCs/>
              </w:rPr>
            </w:pPr>
            <w:r w:rsidRPr="00F20D31">
              <w:rPr>
                <w:bCs/>
                <w:iCs/>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23E50" w:rsidRPr="00F20D31" w:rsidP="00123E50" w14:paraId="0B890F91" w14:textId="687E0072">
            <w:pPr>
              <w:jc w:val="right"/>
              <w:rPr>
                <w:bCs/>
                <w:iCs/>
              </w:rPr>
            </w:pPr>
            <w:r w:rsidRPr="00F20D31">
              <w:rPr>
                <w:bCs/>
                <w:iCs/>
              </w:rPr>
              <w:t>$1,631,105</w:t>
            </w:r>
          </w:p>
        </w:tc>
      </w:tr>
      <w:tr w14:paraId="040FD3D5" w14:textId="77777777" w:rsidTr="00B76ECB">
        <w:tblPrEx>
          <w:tblW w:w="7730" w:type="dxa"/>
          <w:tblLayout w:type="fixed"/>
          <w:tblCellMar>
            <w:left w:w="0" w:type="dxa"/>
            <w:right w:w="0" w:type="dxa"/>
          </w:tblCellMar>
          <w:tblLook w:val="0000"/>
        </w:tblPrEx>
        <w:tc>
          <w:tcPr>
            <w:tcW w:w="7730" w:type="dxa"/>
            <w:gridSpan w:val="4"/>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B76ECB" w:rsidRPr="00093C26" w:rsidP="00B76ECB" w14:paraId="03FFB6AE" w14:textId="77777777">
            <w:pPr>
              <w:rPr>
                <w:b/>
                <w:bCs/>
                <w:iCs/>
              </w:rPr>
            </w:pPr>
            <w:r w:rsidRPr="00093C26">
              <w:rPr>
                <w:b/>
                <w:bCs/>
                <w:iCs/>
              </w:rPr>
              <w:t>MEPS-MPC</w:t>
            </w:r>
          </w:p>
        </w:tc>
      </w:tr>
      <w:tr w14:paraId="5D627AC1"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6E3E42B5" w14:textId="25C6E9CA">
            <w:pPr>
              <w:rPr>
                <w:bCs/>
                <w:iCs/>
                <w:vertAlign w:val="superscript"/>
              </w:rPr>
            </w:pPr>
            <w:r>
              <w:rPr>
                <w:bCs/>
              </w:rPr>
              <w:t xml:space="preserve">1. </w:t>
            </w:r>
            <w:r w:rsidRPr="00442DD5">
              <w:rPr>
                <w:bCs/>
              </w:rPr>
              <w:t>Contact Guide/Screening Call</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2C23B56B" w14:textId="22579DB9">
            <w:pPr>
              <w:jc w:val="right"/>
              <w:rPr>
                <w:bCs/>
                <w:iCs/>
              </w:rPr>
            </w:pPr>
            <w:r>
              <w:rPr>
                <w:bCs/>
                <w:iCs/>
              </w:rPr>
              <w:t>3,224</w:t>
            </w:r>
          </w:p>
        </w:tc>
        <w:tc>
          <w:tcPr>
            <w:tcW w:w="1530" w:type="dxa"/>
            <w:tcBorders>
              <w:top w:val="nil"/>
              <w:left w:val="nil"/>
              <w:bottom w:val="single" w:sz="8" w:space="0" w:color="auto"/>
              <w:right w:val="single" w:sz="8" w:space="0" w:color="auto"/>
            </w:tcBorders>
            <w:vAlign w:val="center"/>
          </w:tcPr>
          <w:p w:rsidR="00852A1F" w:rsidRPr="00F20D31" w:rsidP="00852A1F" w14:paraId="70F3885C" w14:textId="787255DE">
            <w:pPr>
              <w:jc w:val="center"/>
              <w:rPr>
                <w:bCs/>
                <w:iCs/>
                <w:vertAlign w:val="superscript"/>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49C31DFE" w14:textId="55551969">
            <w:pPr>
              <w:jc w:val="right"/>
              <w:rPr>
                <w:bCs/>
                <w:iCs/>
              </w:rPr>
            </w:pPr>
            <w:r w:rsidRPr="00F20D31">
              <w:rPr>
                <w:color w:val="000000"/>
              </w:rPr>
              <w:t>$67,220</w:t>
            </w:r>
          </w:p>
        </w:tc>
      </w:tr>
      <w:tr w14:paraId="3C4D65D5"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260C2405" w14:textId="4E5FFA80">
            <w:pPr>
              <w:rPr>
                <w:bCs/>
                <w:iCs/>
              </w:rPr>
            </w:pPr>
            <w:r>
              <w:rPr>
                <w:bCs/>
              </w:rPr>
              <w:t xml:space="preserve">2. </w:t>
            </w:r>
            <w:r w:rsidRPr="00442DD5">
              <w:rPr>
                <w:bCs/>
              </w:rPr>
              <w:t xml:space="preserve">Home </w:t>
            </w:r>
            <w:r w:rsidR="003E28C9">
              <w:rPr>
                <w:bCs/>
              </w:rPr>
              <w:t xml:space="preserve">Health </w:t>
            </w:r>
            <w:r>
              <w:rPr>
                <w:bCs/>
              </w:rPr>
              <w:t>C</w:t>
            </w:r>
            <w:r w:rsidRPr="00442DD5">
              <w:rPr>
                <w:bCs/>
              </w:rPr>
              <w:t xml:space="preserve">are </w:t>
            </w:r>
            <w:r>
              <w:rPr>
                <w:bCs/>
              </w:rPr>
              <w:t>P</w:t>
            </w:r>
            <w:r w:rsidRPr="00442DD5">
              <w:rPr>
                <w:bCs/>
              </w:rPr>
              <w:t xml:space="preserve">roviders </w:t>
            </w:r>
            <w:r>
              <w:rPr>
                <w:bCs/>
              </w:rPr>
              <w:t>Event Form</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205717DA" w14:textId="41A5AB57">
            <w:pPr>
              <w:jc w:val="right"/>
              <w:rPr>
                <w:bCs/>
                <w:iCs/>
              </w:rPr>
            </w:pPr>
            <w:r>
              <w:rPr>
                <w:bCs/>
                <w:iCs/>
              </w:rPr>
              <w:t>135</w:t>
            </w:r>
          </w:p>
        </w:tc>
        <w:tc>
          <w:tcPr>
            <w:tcW w:w="1530" w:type="dxa"/>
            <w:tcBorders>
              <w:top w:val="nil"/>
              <w:left w:val="nil"/>
              <w:bottom w:val="single" w:sz="8" w:space="0" w:color="auto"/>
              <w:right w:val="single" w:sz="8" w:space="0" w:color="auto"/>
            </w:tcBorders>
            <w:vAlign w:val="center"/>
          </w:tcPr>
          <w:p w:rsidR="00852A1F" w:rsidRPr="00F20D31" w:rsidP="00852A1F" w14:paraId="483AC403" w14:textId="30A16D0F">
            <w:pPr>
              <w:jc w:val="center"/>
              <w:rPr>
                <w:bCs/>
                <w:iCs/>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117E7B50" w14:textId="3BE1B117">
            <w:pPr>
              <w:jc w:val="right"/>
              <w:rPr>
                <w:bCs/>
                <w:iCs/>
              </w:rPr>
            </w:pPr>
            <w:r w:rsidRPr="00F20D31">
              <w:rPr>
                <w:color w:val="000000"/>
              </w:rPr>
              <w:t>$2,815</w:t>
            </w:r>
          </w:p>
        </w:tc>
      </w:tr>
      <w:tr w14:paraId="1F51F4B5"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004877F2" w14:textId="15424AEE">
            <w:pPr>
              <w:rPr>
                <w:bCs/>
                <w:iCs/>
              </w:rPr>
            </w:pPr>
            <w:r>
              <w:rPr>
                <w:bCs/>
              </w:rPr>
              <w:t xml:space="preserve">3. </w:t>
            </w:r>
            <w:r w:rsidRPr="00442DD5">
              <w:rPr>
                <w:bCs/>
              </w:rPr>
              <w:t>Office</w:t>
            </w:r>
            <w:r w:rsidRPr="00442DD5">
              <w:rPr>
                <w:bCs/>
              </w:rPr>
              <w:noBreakHyphen/>
              <w:t xml:space="preserve">based </w:t>
            </w:r>
            <w:r>
              <w:rPr>
                <w:bCs/>
              </w:rPr>
              <w:t>P</w:t>
            </w:r>
            <w:r w:rsidRPr="00442DD5">
              <w:rPr>
                <w:bCs/>
              </w:rPr>
              <w:t xml:space="preserve">roviders </w:t>
            </w:r>
            <w:r>
              <w:rPr>
                <w:bCs/>
              </w:rPr>
              <w:t>Event Form</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421C3A54" w14:textId="3BE57170">
            <w:pPr>
              <w:jc w:val="right"/>
              <w:rPr>
                <w:bCs/>
                <w:iCs/>
              </w:rPr>
            </w:pPr>
            <w:r>
              <w:rPr>
                <w:bCs/>
                <w:iCs/>
              </w:rPr>
              <w:t>1,302</w:t>
            </w:r>
          </w:p>
        </w:tc>
        <w:tc>
          <w:tcPr>
            <w:tcW w:w="1530" w:type="dxa"/>
            <w:tcBorders>
              <w:top w:val="nil"/>
              <w:left w:val="nil"/>
              <w:bottom w:val="single" w:sz="8" w:space="0" w:color="auto"/>
              <w:right w:val="single" w:sz="8" w:space="0" w:color="auto"/>
            </w:tcBorders>
            <w:vAlign w:val="center"/>
          </w:tcPr>
          <w:p w:rsidR="00852A1F" w:rsidRPr="00F20D31" w:rsidP="00852A1F" w14:paraId="4FF68DBE" w14:textId="0D798CBA">
            <w:pPr>
              <w:jc w:val="center"/>
              <w:rPr>
                <w:bCs/>
                <w:iCs/>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40A89B13" w14:textId="0B1883CE">
            <w:pPr>
              <w:jc w:val="right"/>
              <w:rPr>
                <w:bCs/>
                <w:iCs/>
              </w:rPr>
            </w:pPr>
            <w:r w:rsidRPr="00F20D31">
              <w:rPr>
                <w:color w:val="000000"/>
              </w:rPr>
              <w:t>$27,147</w:t>
            </w:r>
          </w:p>
        </w:tc>
      </w:tr>
      <w:tr w14:paraId="03DAF8EE"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0086B424" w14:textId="77777777">
            <w:pPr>
              <w:rPr>
                <w:bCs/>
              </w:rPr>
            </w:pPr>
            <w:r>
              <w:rPr>
                <w:bCs/>
              </w:rPr>
              <w:t xml:space="preserve">4. </w:t>
            </w:r>
            <w:r w:rsidRPr="00442DD5">
              <w:rPr>
                <w:bCs/>
              </w:rPr>
              <w:t xml:space="preserve">Separately </w:t>
            </w:r>
            <w:r>
              <w:rPr>
                <w:bCs/>
              </w:rPr>
              <w:t>Billing Doctors Event</w:t>
            </w:r>
          </w:p>
          <w:p w:rsidR="00852A1F" w:rsidRPr="00093C26" w:rsidP="00852A1F" w14:paraId="26257E33" w14:textId="4AB9774F">
            <w:pPr>
              <w:rPr>
                <w:bCs/>
                <w:iCs/>
              </w:rPr>
            </w:pPr>
            <w:r>
              <w:rPr>
                <w:bCs/>
              </w:rPr>
              <w:t xml:space="preserve">    Form</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1575405D" w14:textId="77777777">
            <w:pPr>
              <w:jc w:val="right"/>
              <w:rPr>
                <w:bCs/>
                <w:iCs/>
              </w:rPr>
            </w:pPr>
          </w:p>
          <w:p w:rsidR="00852A1F" w:rsidRPr="00093C26" w:rsidP="00852A1F" w14:paraId="1DDF3108" w14:textId="4E32F77E">
            <w:pPr>
              <w:jc w:val="right"/>
              <w:rPr>
                <w:bCs/>
                <w:iCs/>
              </w:rPr>
            </w:pPr>
            <w:r>
              <w:rPr>
                <w:bCs/>
                <w:iCs/>
              </w:rPr>
              <w:t>281</w:t>
            </w:r>
          </w:p>
        </w:tc>
        <w:tc>
          <w:tcPr>
            <w:tcW w:w="1530" w:type="dxa"/>
            <w:tcBorders>
              <w:top w:val="nil"/>
              <w:left w:val="nil"/>
              <w:bottom w:val="single" w:sz="8" w:space="0" w:color="auto"/>
              <w:right w:val="single" w:sz="8" w:space="0" w:color="auto"/>
            </w:tcBorders>
            <w:vAlign w:val="center"/>
          </w:tcPr>
          <w:p w:rsidR="00852A1F" w:rsidRPr="00F20D31" w:rsidP="00852A1F" w14:paraId="1668CA9D" w14:textId="7E242D02">
            <w:pPr>
              <w:jc w:val="center"/>
              <w:rPr>
                <w:bCs/>
                <w:iCs/>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4D31A02F" w14:textId="4CDF8F00">
            <w:pPr>
              <w:jc w:val="right"/>
              <w:rPr>
                <w:bCs/>
                <w:iCs/>
              </w:rPr>
            </w:pPr>
            <w:r w:rsidRPr="00F20D31">
              <w:rPr>
                <w:color w:val="000000"/>
              </w:rPr>
              <w:t>$5,859</w:t>
            </w:r>
          </w:p>
        </w:tc>
      </w:tr>
      <w:tr w14:paraId="5745468F"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7F1D457B" w14:textId="77777777">
            <w:pPr>
              <w:rPr>
                <w:bCs/>
              </w:rPr>
            </w:pPr>
            <w:r>
              <w:rPr>
                <w:bCs/>
              </w:rPr>
              <w:t xml:space="preserve">5. </w:t>
            </w:r>
            <w:r w:rsidRPr="00442DD5">
              <w:rPr>
                <w:bCs/>
              </w:rPr>
              <w:t>Hospitals</w:t>
            </w:r>
            <w:r>
              <w:rPr>
                <w:bCs/>
              </w:rPr>
              <w:t xml:space="preserve"> &amp; HMOs (Hospital </w:t>
            </w:r>
          </w:p>
          <w:p w:rsidR="00852A1F" w:rsidRPr="00093C26" w:rsidP="00852A1F" w14:paraId="028C6B60" w14:textId="20FF7865">
            <w:pPr>
              <w:rPr>
                <w:bCs/>
                <w:iCs/>
              </w:rPr>
            </w:pPr>
            <w:r>
              <w:rPr>
                <w:bCs/>
              </w:rPr>
              <w:t xml:space="preserve">    Event Form)</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79D221F5" w14:textId="77777777">
            <w:pPr>
              <w:jc w:val="right"/>
              <w:rPr>
                <w:bCs/>
                <w:iCs/>
              </w:rPr>
            </w:pPr>
          </w:p>
          <w:p w:rsidR="00852A1F" w:rsidRPr="00093C26" w:rsidP="00852A1F" w14:paraId="7A7703BA" w14:textId="0D6D9AA9">
            <w:pPr>
              <w:jc w:val="right"/>
              <w:rPr>
                <w:bCs/>
                <w:iCs/>
              </w:rPr>
            </w:pPr>
            <w:r>
              <w:rPr>
                <w:bCs/>
                <w:iCs/>
              </w:rPr>
              <w:t>1,161</w:t>
            </w:r>
          </w:p>
        </w:tc>
        <w:tc>
          <w:tcPr>
            <w:tcW w:w="1530" w:type="dxa"/>
            <w:tcBorders>
              <w:top w:val="nil"/>
              <w:left w:val="nil"/>
              <w:bottom w:val="single" w:sz="8" w:space="0" w:color="auto"/>
              <w:right w:val="single" w:sz="8" w:space="0" w:color="auto"/>
            </w:tcBorders>
            <w:vAlign w:val="center"/>
          </w:tcPr>
          <w:p w:rsidR="00852A1F" w:rsidRPr="00F20D31" w:rsidP="00852A1F" w14:paraId="42D6F3B3" w14:textId="7158D811">
            <w:pPr>
              <w:jc w:val="center"/>
              <w:rPr>
                <w:bCs/>
                <w:iCs/>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4B50010E" w14:textId="7865F517">
            <w:pPr>
              <w:jc w:val="right"/>
              <w:rPr>
                <w:bCs/>
                <w:iCs/>
              </w:rPr>
            </w:pPr>
            <w:r w:rsidRPr="00F20D31">
              <w:rPr>
                <w:color w:val="000000"/>
              </w:rPr>
              <w:t>$24,207</w:t>
            </w:r>
          </w:p>
        </w:tc>
      </w:tr>
      <w:tr w14:paraId="39CDFCF9"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25B90FE9" w14:textId="77777777">
            <w:pPr>
              <w:rPr>
                <w:bCs/>
              </w:rPr>
            </w:pPr>
            <w:r>
              <w:rPr>
                <w:bCs/>
              </w:rPr>
              <w:t xml:space="preserve">6. </w:t>
            </w:r>
            <w:r w:rsidRPr="00442DD5">
              <w:rPr>
                <w:bCs/>
              </w:rPr>
              <w:t xml:space="preserve">Institutions (non-hospital) </w:t>
            </w:r>
            <w:r>
              <w:rPr>
                <w:bCs/>
              </w:rPr>
              <w:t>Event</w:t>
            </w:r>
          </w:p>
          <w:p w:rsidR="00852A1F" w:rsidRPr="00093C26" w:rsidP="00852A1F" w14:paraId="17B0B8F0" w14:textId="47A428A6">
            <w:pPr>
              <w:rPr>
                <w:bCs/>
                <w:iCs/>
              </w:rPr>
            </w:pPr>
            <w:r>
              <w:rPr>
                <w:bCs/>
              </w:rPr>
              <w:t xml:space="preserve">    Form</w:t>
            </w:r>
            <w:r w:rsidRPr="00442DD5">
              <w:rPr>
                <w:b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P="00852A1F" w14:paraId="77C7DE82" w14:textId="77777777">
            <w:pPr>
              <w:jc w:val="right"/>
              <w:rPr>
                <w:bCs/>
                <w:iCs/>
              </w:rPr>
            </w:pPr>
          </w:p>
          <w:p w:rsidR="00852A1F" w:rsidRPr="00093C26" w:rsidP="00852A1F" w14:paraId="110CC9E3" w14:textId="49B02746">
            <w:pPr>
              <w:jc w:val="right"/>
              <w:rPr>
                <w:bCs/>
                <w:iCs/>
              </w:rPr>
            </w:pPr>
            <w:r>
              <w:rPr>
                <w:bCs/>
                <w:iCs/>
              </w:rPr>
              <w:t>6</w:t>
            </w:r>
          </w:p>
        </w:tc>
        <w:tc>
          <w:tcPr>
            <w:tcW w:w="1530" w:type="dxa"/>
            <w:tcBorders>
              <w:top w:val="nil"/>
              <w:left w:val="nil"/>
              <w:bottom w:val="single" w:sz="8" w:space="0" w:color="auto"/>
              <w:right w:val="single" w:sz="8" w:space="0" w:color="auto"/>
            </w:tcBorders>
            <w:vAlign w:val="center"/>
          </w:tcPr>
          <w:p w:rsidR="00852A1F" w:rsidRPr="00F20D31" w:rsidP="00852A1F" w14:paraId="32A9C123" w14:textId="786F1848">
            <w:pPr>
              <w:jc w:val="center"/>
              <w:rPr>
                <w:bCs/>
                <w:iCs/>
              </w:rPr>
            </w:pPr>
            <w:r w:rsidRPr="00F20D31">
              <w:rPr>
                <w:bCs/>
                <w:iCs/>
              </w:rPr>
              <w:t>$20.85</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356333FB" w14:textId="590379F7">
            <w:pPr>
              <w:jc w:val="right"/>
              <w:rPr>
                <w:bCs/>
                <w:iCs/>
              </w:rPr>
            </w:pPr>
            <w:r w:rsidRPr="00F20D31">
              <w:rPr>
                <w:color w:val="000000"/>
              </w:rPr>
              <w:t>$125</w:t>
            </w:r>
          </w:p>
        </w:tc>
      </w:tr>
      <w:tr w14:paraId="355134AC" w14:textId="77777777" w:rsidTr="00F20D31">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2E6EBFAA" w14:textId="59C8C2E1">
            <w:pPr>
              <w:rPr>
                <w:bCs/>
                <w:iCs/>
              </w:rPr>
            </w:pPr>
            <w:r>
              <w:rPr>
                <w:bCs/>
              </w:rPr>
              <w:t xml:space="preserve">7. </w:t>
            </w:r>
            <w:r w:rsidRPr="00442DD5">
              <w:rPr>
                <w:bCs/>
              </w:rPr>
              <w:t xml:space="preserve">Pharmacies </w:t>
            </w:r>
            <w:r>
              <w:rPr>
                <w:bCs/>
              </w:rPr>
              <w:t>Event Form</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5E6D7EE1" w14:textId="6A562595">
            <w:pPr>
              <w:jc w:val="right"/>
              <w:rPr>
                <w:bCs/>
                <w:iCs/>
              </w:rPr>
            </w:pPr>
            <w:r>
              <w:rPr>
                <w:bCs/>
                <w:iCs/>
              </w:rPr>
              <w:t>9,565</w:t>
            </w:r>
          </w:p>
        </w:tc>
        <w:tc>
          <w:tcPr>
            <w:tcW w:w="1530" w:type="dxa"/>
            <w:tcBorders>
              <w:top w:val="nil"/>
              <w:left w:val="nil"/>
              <w:bottom w:val="single" w:sz="8" w:space="0" w:color="auto"/>
              <w:right w:val="single" w:sz="8" w:space="0" w:color="auto"/>
            </w:tcBorders>
            <w:vAlign w:val="center"/>
          </w:tcPr>
          <w:p w:rsidR="00852A1F" w:rsidRPr="00F20D31" w:rsidP="00852A1F" w14:paraId="29A9546F" w14:textId="20AC5F3A">
            <w:pPr>
              <w:jc w:val="center"/>
              <w:rPr>
                <w:bCs/>
                <w:iCs/>
              </w:rPr>
            </w:pPr>
            <w:r w:rsidRPr="00F20D31">
              <w:rPr>
                <w:bCs/>
                <w:iCs/>
              </w:rPr>
              <w:t>$20.83</w:t>
            </w:r>
            <w:r w:rsidRPr="00F20D31">
              <w:rPr>
                <w:bCs/>
                <w:iCs/>
                <w:vertAlign w:val="superscript"/>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6018DFDE" w14:textId="0FCDFABB">
            <w:pPr>
              <w:jc w:val="right"/>
              <w:rPr>
                <w:bCs/>
                <w:iCs/>
              </w:rPr>
            </w:pPr>
            <w:r w:rsidRPr="00F20D31">
              <w:rPr>
                <w:color w:val="000000"/>
              </w:rPr>
              <w:t>$199,239</w:t>
            </w:r>
          </w:p>
        </w:tc>
      </w:tr>
      <w:tr w14:paraId="62A604FE" w14:textId="77777777" w:rsidTr="00F20D31">
        <w:tblPrEx>
          <w:tblW w:w="7730" w:type="dxa"/>
          <w:tblLayout w:type="fixed"/>
          <w:tblCellMar>
            <w:left w:w="0" w:type="dxa"/>
            <w:right w:w="0" w:type="dxa"/>
          </w:tblCellMar>
          <w:tblLook w:val="0000"/>
        </w:tblPrEx>
        <w:trPr>
          <w:trHeight w:val="358"/>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075E68FA" w14:textId="7E18A746">
            <w:pPr>
              <w:rPr>
                <w:bCs/>
                <w:iCs/>
              </w:rPr>
            </w:pPr>
            <w:r w:rsidRPr="00442DD5">
              <w:rPr>
                <w:bCs/>
              </w:rPr>
              <w:t>Subtotal for the MEPS-MPC</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52A1F" w:rsidRPr="00093C26" w:rsidP="00852A1F" w14:paraId="0543BEF4" w14:textId="63A0CA7C">
            <w:pPr>
              <w:jc w:val="right"/>
              <w:rPr>
                <w:bCs/>
                <w:iCs/>
              </w:rPr>
            </w:pPr>
            <w:r>
              <w:rPr>
                <w:bCs/>
                <w:iCs/>
              </w:rPr>
              <w:t>15,674</w:t>
            </w:r>
          </w:p>
        </w:tc>
        <w:tc>
          <w:tcPr>
            <w:tcW w:w="1530" w:type="dxa"/>
            <w:tcBorders>
              <w:top w:val="nil"/>
              <w:left w:val="nil"/>
              <w:bottom w:val="single" w:sz="8" w:space="0" w:color="auto"/>
              <w:right w:val="single" w:sz="8" w:space="0" w:color="auto"/>
            </w:tcBorders>
            <w:vAlign w:val="center"/>
          </w:tcPr>
          <w:p w:rsidR="00852A1F" w:rsidRPr="00F20D31" w:rsidP="00852A1F" w14:paraId="13014F37" w14:textId="6C18966C">
            <w:pPr>
              <w:jc w:val="center"/>
              <w:rPr>
                <w:bCs/>
                <w:iCs/>
                <w:vertAlign w:val="superscript"/>
              </w:rPr>
            </w:pPr>
            <w:r w:rsidRPr="00F20D31">
              <w:rPr>
                <w:bCs/>
                <w:iCs/>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852A1F" w:rsidRPr="00F20D31" w:rsidP="00852A1F" w14:paraId="3448A9C7" w14:textId="064F99CF">
            <w:pPr>
              <w:jc w:val="right"/>
              <w:rPr>
                <w:bCs/>
                <w:iCs/>
              </w:rPr>
            </w:pPr>
            <w:r w:rsidRPr="00F20D31">
              <w:rPr>
                <w:color w:val="000000"/>
              </w:rPr>
              <w:t>$326,612</w:t>
            </w:r>
          </w:p>
        </w:tc>
      </w:tr>
      <w:tr w14:paraId="577EBB8B" w14:textId="77777777" w:rsidTr="00B76ECB">
        <w:tblPrEx>
          <w:tblW w:w="7730"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65122" w:rsidRPr="00093C26" w:rsidP="00865122" w14:paraId="161A6BFA" w14:textId="3D155E45">
            <w:pPr>
              <w:rPr>
                <w:bCs/>
                <w:iCs/>
              </w:rPr>
            </w:pPr>
            <w:r w:rsidRPr="00093C26">
              <w:rPr>
                <w:b/>
                <w:bCs/>
                <w:iCs/>
              </w:rPr>
              <w:t>Grand Total</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65122" w:rsidRPr="00093C26" w:rsidP="00865122" w14:paraId="2189606B" w14:textId="008E9F32">
            <w:pPr>
              <w:jc w:val="right"/>
              <w:rPr>
                <w:bCs/>
                <w:iCs/>
              </w:rPr>
            </w:pPr>
            <w:r>
              <w:rPr>
                <w:bCs/>
                <w:iCs/>
              </w:rPr>
              <w:t>67,488</w:t>
            </w:r>
          </w:p>
        </w:tc>
        <w:tc>
          <w:tcPr>
            <w:tcW w:w="1530" w:type="dxa"/>
            <w:tcBorders>
              <w:top w:val="nil"/>
              <w:left w:val="nil"/>
              <w:bottom w:val="single" w:sz="8" w:space="0" w:color="auto"/>
              <w:right w:val="single" w:sz="8" w:space="0" w:color="auto"/>
            </w:tcBorders>
            <w:vAlign w:val="center"/>
          </w:tcPr>
          <w:p w:rsidR="00865122" w:rsidRPr="00F20D31" w:rsidP="00865122" w14:paraId="2E44AFAE" w14:textId="5430DFFD">
            <w:pPr>
              <w:jc w:val="center"/>
              <w:rPr>
                <w:bCs/>
                <w:iCs/>
              </w:rPr>
            </w:pPr>
            <w:r w:rsidRPr="00F20D31">
              <w:rPr>
                <w:bCs/>
                <w:iCs/>
              </w:rPr>
              <w:t>--</w:t>
            </w:r>
          </w:p>
        </w:tc>
        <w:tc>
          <w:tcPr>
            <w:tcW w:w="13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65122" w:rsidRPr="00F20D31" w:rsidP="00865122" w14:paraId="1C1472A4" w14:textId="36CC5552">
            <w:pPr>
              <w:jc w:val="right"/>
              <w:rPr>
                <w:bCs/>
                <w:iCs/>
              </w:rPr>
            </w:pPr>
            <w:r w:rsidRPr="00F20D31">
              <w:rPr>
                <w:bCs/>
                <w:iCs/>
              </w:rPr>
              <w:t>$1,957,716</w:t>
            </w:r>
          </w:p>
        </w:tc>
      </w:tr>
    </w:tbl>
    <w:p w:rsidR="009A296B" w:rsidRPr="009A296B" w:rsidP="009A296B" w14:paraId="1AFD4B4B" w14:textId="77777777">
      <w:pPr>
        <w:tabs>
          <w:tab w:val="left" w:pos="0"/>
        </w:tabs>
        <w:rPr>
          <w:bCs/>
        </w:rPr>
      </w:pPr>
      <w:bookmarkStart w:id="65" w:name="_Toc151782188"/>
      <w:bookmarkStart w:id="66" w:name="_Toc158526228"/>
      <w:r w:rsidRPr="009A296B">
        <w:rPr>
          <w:bCs/>
          <w:vertAlign w:val="superscript"/>
        </w:rPr>
        <w:t>*</w:t>
      </w:r>
      <w:r w:rsidRPr="009A296B">
        <w:rPr>
          <w:bCs/>
        </w:rPr>
        <w:t xml:space="preserve"> Mean hourly wage for All Occupations (00-0000)</w:t>
      </w:r>
    </w:p>
    <w:p w:rsidR="009A296B" w:rsidRPr="009A296B" w:rsidP="009A296B" w14:paraId="023E4EE5" w14:textId="77777777">
      <w:pPr>
        <w:tabs>
          <w:tab w:val="left" w:pos="0"/>
        </w:tabs>
        <w:rPr>
          <w:bCs/>
        </w:rPr>
      </w:pPr>
      <w:r w:rsidRPr="009A296B">
        <w:rPr>
          <w:bCs/>
          <w:vertAlign w:val="superscript"/>
        </w:rPr>
        <w:t>**</w:t>
      </w:r>
      <w:r w:rsidRPr="009A296B">
        <w:rPr>
          <w:bCs/>
        </w:rPr>
        <w:t xml:space="preserve"> Mean hourly wage for Medical Secretaries (43-6013)</w:t>
      </w:r>
    </w:p>
    <w:p w:rsidR="009A296B" w:rsidRPr="009A296B" w:rsidP="009A296B" w14:paraId="2B656815" w14:textId="77777777">
      <w:pPr>
        <w:tabs>
          <w:tab w:val="left" w:pos="0"/>
        </w:tabs>
        <w:rPr>
          <w:bCs/>
        </w:rPr>
      </w:pPr>
      <w:r w:rsidRPr="009A296B">
        <w:rPr>
          <w:bCs/>
          <w:vertAlign w:val="superscript"/>
        </w:rPr>
        <w:t xml:space="preserve">*** </w:t>
      </w:r>
      <w:r w:rsidRPr="009A296B">
        <w:rPr>
          <w:bCs/>
        </w:rPr>
        <w:t>Mean hourly wage for Pharmacy Technicians (29-2052)</w:t>
      </w:r>
    </w:p>
    <w:p w:rsidR="009A296B" w:rsidRPr="009A296B" w:rsidP="009A296B" w14:paraId="6C56ACA5" w14:textId="76B7738D">
      <w:pPr>
        <w:keepNext/>
        <w:outlineLvl w:val="1"/>
        <w:rPr>
          <w:bCs/>
          <w:iCs/>
        </w:rPr>
      </w:pPr>
      <w:r w:rsidRPr="009A296B">
        <w:rPr>
          <w:bCs/>
          <w:iCs/>
        </w:rPr>
        <w:t xml:space="preserve">Occupational Employment Statistics, May </w:t>
      </w:r>
      <w:r w:rsidRPr="00F20D31" w:rsidR="00852A1F">
        <w:rPr>
          <w:bCs/>
          <w:iCs/>
        </w:rPr>
        <w:t>2023</w:t>
      </w:r>
      <w:r w:rsidRPr="009A296B">
        <w:rPr>
          <w:bCs/>
          <w:iCs/>
        </w:rPr>
        <w:t xml:space="preserve"> National Occupational Employment and Wage Estimates United States, U.S. Department of Labor, Bureau of Labor Statistics. </w:t>
      </w:r>
    </w:p>
    <w:bookmarkEnd w:id="55"/>
    <w:p w:rsidR="00B955A5" w:rsidP="00B955A5" w14:paraId="3DCEE69A" w14:textId="07DA0957">
      <w:pPr>
        <w:rPr>
          <w:b/>
        </w:rPr>
      </w:pPr>
    </w:p>
    <w:p w:rsidR="009B633D" w:rsidRPr="00412C6F" w:rsidP="009B633D" w14:paraId="043C6651" w14:textId="345BC4B0">
      <w:pPr>
        <w:pStyle w:val="Heading2"/>
        <w:rPr>
          <w:sz w:val="24"/>
        </w:rPr>
      </w:pPr>
      <w:r w:rsidRPr="00412C6F">
        <w:rPr>
          <w:sz w:val="24"/>
        </w:rPr>
        <w:t>13. Estimates of Annualized Respondent Capital and Maintenance Costs</w:t>
      </w:r>
      <w:bookmarkEnd w:id="65"/>
      <w:bookmarkEnd w:id="66"/>
    </w:p>
    <w:p w:rsidR="00E14FC3" w:rsidP="00C205C8" w14:paraId="1C2DF457" w14:textId="142D3137">
      <w:pPr>
        <w:spacing w:before="120"/>
      </w:pPr>
      <w:r w:rsidRPr="006C45D0">
        <w:t xml:space="preserve">Capital and maintenance costs include the purchase of </w:t>
      </w:r>
      <w:r w:rsidRPr="006C45D0" w:rsidR="00C205C8">
        <w:t xml:space="preserve">equipment, </w:t>
      </w:r>
      <w:r w:rsidRPr="006C45D0">
        <w:t>computer</w:t>
      </w:r>
      <w:r w:rsidRPr="006C45D0" w:rsidR="00C205C8">
        <w:t>s or computer software or services, or storage facilities for records, as a result of complying with this data collection.</w:t>
      </w:r>
      <w:r w:rsidRPr="00A65884" w:rsidR="00C205C8">
        <w:rPr>
          <w:i/>
        </w:rPr>
        <w:t xml:space="preserve">  </w:t>
      </w:r>
      <w:r w:rsidR="00C205C8">
        <w:t>T</w:t>
      </w:r>
      <w:r w:rsidR="0080612B">
        <w:t>here are no direct costs to respondents other than their time to participate in the study.</w:t>
      </w:r>
    </w:p>
    <w:p w:rsidR="00490E59" w:rsidRPr="00490E59" w:rsidP="00490E59" w14:paraId="42B136FA" w14:textId="77777777">
      <w:pPr>
        <w:keepNext/>
        <w:spacing w:before="240" w:after="60"/>
        <w:outlineLvl w:val="1"/>
        <w:rPr>
          <w:rFonts w:ascii="Arial" w:hAnsi="Arial" w:cs="Arial"/>
          <w:b/>
          <w:bCs/>
          <w:i/>
          <w:iCs/>
          <w:szCs w:val="28"/>
        </w:rPr>
      </w:pPr>
      <w:r w:rsidRPr="00490E59">
        <w:rPr>
          <w:rFonts w:ascii="Arial" w:hAnsi="Arial" w:cs="Arial"/>
          <w:b/>
          <w:bCs/>
          <w:i/>
          <w:iCs/>
          <w:szCs w:val="28"/>
        </w:rPr>
        <w:t>14. Estimates of Annualized Cost to the Government</w:t>
      </w:r>
    </w:p>
    <w:p w:rsidR="00490E59" w:rsidRPr="00490E59" w:rsidP="00490E59" w14:paraId="2396DEED" w14:textId="2F5E2219">
      <w:r>
        <w:t xml:space="preserve">Exhibit 3 shows the remuneration paid to providers.  </w:t>
      </w:r>
      <w:r w:rsidRPr="00490E59">
        <w:t>Exhibit 4 shows the total and annualized</w:t>
      </w:r>
      <w:r w:rsidR="00DA44B1">
        <w:t xml:space="preserve"> </w:t>
      </w:r>
      <w:r w:rsidRPr="00490E59">
        <w:t>cost</w:t>
      </w:r>
      <w:r w:rsidR="00DA44B1">
        <w:t>s</w:t>
      </w:r>
      <w:r w:rsidRPr="00490E59">
        <w:t xml:space="preserve"> associated with the design and data collection of the MEPS-HC and </w:t>
      </w:r>
      <w:r w:rsidRPr="00490E59">
        <w:t>MEPS-MPC is estimated to be $</w:t>
      </w:r>
      <w:r>
        <w:t>64,851,22</w:t>
      </w:r>
      <w:r w:rsidR="00DA44B1">
        <w:t xml:space="preserve">2 </w:t>
      </w:r>
      <w:r w:rsidRPr="00490E59">
        <w:t xml:space="preserve">in each of the three years covered by this </w:t>
      </w:r>
      <w:r w:rsidR="00B955A5">
        <w:t>ICR</w:t>
      </w:r>
      <w:r w:rsidRPr="00490E59">
        <w:t>.  Exhibits 5 and 6 show the total and annualized cost of MEPS-HC and MEPS-MPC oversight, respectively.</w:t>
      </w:r>
    </w:p>
    <w:p w:rsidR="00490E59" w:rsidP="00490E59" w14:paraId="6DF2F639" w14:textId="6FA09C2B">
      <w:pPr>
        <w:rPr>
          <w:b/>
          <w:bCs/>
          <w:color w:val="000000"/>
        </w:rPr>
      </w:pPr>
    </w:p>
    <w:p w:rsidR="00552AA3" w:rsidP="00552AA3" w14:paraId="5CDEA2C8" w14:textId="3C3DB2E2">
      <w:pPr>
        <w:rPr>
          <w:b/>
        </w:rPr>
      </w:pPr>
      <w:r w:rsidRPr="005622E0">
        <w:rPr>
          <w:b/>
        </w:rPr>
        <w:t xml:space="preserve">Exhibit 3.  Total and Average </w:t>
      </w:r>
      <w:r w:rsidR="00AF7887">
        <w:rPr>
          <w:b/>
        </w:rPr>
        <w:t xml:space="preserve">Annual </w:t>
      </w:r>
      <w:r w:rsidRPr="005622E0">
        <w:rPr>
          <w:b/>
        </w:rPr>
        <w:t>Remuneration by Provider Type for the MEPS-MPC</w:t>
      </w:r>
    </w:p>
    <w:tbl>
      <w:tblPr>
        <w:tblW w:w="0" w:type="auto"/>
        <w:tblInd w:w="-10" w:type="dxa"/>
        <w:tblCellMar>
          <w:left w:w="0" w:type="dxa"/>
          <w:right w:w="0" w:type="dxa"/>
        </w:tblCellMar>
        <w:tblLook w:val="04A0"/>
      </w:tblPr>
      <w:tblGrid>
        <w:gridCol w:w="4160"/>
        <w:gridCol w:w="1444"/>
        <w:gridCol w:w="1116"/>
        <w:gridCol w:w="1612"/>
      </w:tblGrid>
      <w:tr w14:paraId="473A6507" w14:textId="77777777" w:rsidTr="00FE4BB4">
        <w:tblPrEx>
          <w:tblW w:w="0" w:type="auto"/>
          <w:tblInd w:w="-10" w:type="dxa"/>
          <w:tblCellMar>
            <w:left w:w="0" w:type="dxa"/>
            <w:right w:w="0" w:type="dxa"/>
          </w:tblCellMar>
          <w:tblLook w:val="04A0"/>
        </w:tblPrEx>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AA3" w:rsidP="00FE4BB4" w14:paraId="6417B8A2" w14:textId="77777777">
            <w:pPr>
              <w:rPr>
                <w:rFonts w:cs="Calibri"/>
                <w:sz w:val="22"/>
                <w:szCs w:val="22"/>
              </w:rPr>
            </w:pPr>
            <w:r>
              <w:rPr>
                <w:rFonts w:cs="Calibri"/>
              </w:rPr>
              <w:t>Provider Type</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2AA3" w:rsidP="00FE4BB4" w14:paraId="7D1300DB" w14:textId="77777777">
            <w:pPr>
              <w:jc w:val="center"/>
              <w:rPr>
                <w:rFonts w:cs="Calibri"/>
              </w:rPr>
            </w:pPr>
            <w:r>
              <w:rPr>
                <w:rFonts w:cs="Calibri"/>
              </w:rPr>
              <w:t>Number of Records with Payment</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2AA3" w:rsidP="00FE4BB4" w14:paraId="5D14C1E0" w14:textId="77777777">
            <w:pPr>
              <w:jc w:val="center"/>
              <w:rPr>
                <w:rFonts w:cs="Calibri"/>
              </w:rPr>
            </w:pPr>
            <w:r>
              <w:rPr>
                <w:rFonts w:cs="Calibri"/>
              </w:rPr>
              <w:t>Average Payment</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2AA3" w:rsidP="00FE4BB4" w14:paraId="005E9302" w14:textId="77777777">
            <w:pPr>
              <w:jc w:val="center"/>
              <w:rPr>
                <w:rFonts w:cs="Calibri"/>
              </w:rPr>
            </w:pPr>
            <w:r>
              <w:rPr>
                <w:rFonts w:cs="Calibri"/>
              </w:rPr>
              <w:t>Total Remuneration</w:t>
            </w:r>
          </w:p>
        </w:tc>
      </w:tr>
      <w:tr w14:paraId="513642F0"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2AA3" w:rsidP="00FE4BB4" w14:paraId="2642AB51" w14:textId="77777777">
            <w:pPr>
              <w:rPr>
                <w:rFonts w:cs="Calibri"/>
              </w:rPr>
            </w:pPr>
            <w:r>
              <w:rPr>
                <w:rFonts w:cs="Calibri"/>
              </w:rPr>
              <w:t>Hospital</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66B30842" w14:textId="77777777">
            <w:pPr>
              <w:jc w:val="right"/>
              <w:rPr>
                <w:rFonts w:cs="Calibri"/>
              </w:rPr>
            </w:pPr>
            <w:r>
              <w:rPr>
                <w:rFonts w:cs="Calibri"/>
              </w:rPr>
              <w:t>1,350</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7D50B0E7" w14:textId="77777777">
            <w:pPr>
              <w:jc w:val="right"/>
              <w:rPr>
                <w:rFonts w:cs="Calibri"/>
              </w:rPr>
            </w:pPr>
            <w:r>
              <w:rPr>
                <w:rFonts w:cs="Calibri"/>
              </w:rPr>
              <w:t>$52.16</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1B9F8176" w14:textId="77777777">
            <w:pPr>
              <w:jc w:val="right"/>
              <w:rPr>
                <w:rFonts w:cs="Calibri"/>
              </w:rPr>
            </w:pPr>
            <w:r>
              <w:rPr>
                <w:rFonts w:cs="Calibri"/>
              </w:rPr>
              <w:t>$70,423</w:t>
            </w:r>
          </w:p>
        </w:tc>
      </w:tr>
      <w:tr w14:paraId="5C15C4FB"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29B2DE6F" w14:textId="77777777">
            <w:pPr>
              <w:rPr>
                <w:rFonts w:cs="Calibri"/>
              </w:rPr>
            </w:pPr>
            <w:r>
              <w:rPr>
                <w:rFonts w:cs="Calibri"/>
              </w:rPr>
              <w:t>Office Based Providers</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4E0C1BB8" w14:textId="77777777">
            <w:pPr>
              <w:jc w:val="right"/>
              <w:rPr>
                <w:rFonts w:cs="Calibri"/>
              </w:rPr>
            </w:pPr>
            <w:r>
              <w:rPr>
                <w:rFonts w:cs="Calibri"/>
              </w:rPr>
              <w:t>455</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4190420D" w14:textId="77777777">
            <w:pPr>
              <w:jc w:val="right"/>
              <w:rPr>
                <w:rFonts w:cs="Calibri"/>
              </w:rPr>
            </w:pPr>
            <w:r>
              <w:rPr>
                <w:rFonts w:cs="Calibri"/>
              </w:rPr>
              <w:t>$28.21</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5642CF41" w14:textId="77777777">
            <w:pPr>
              <w:jc w:val="right"/>
              <w:rPr>
                <w:rFonts w:cs="Calibri"/>
              </w:rPr>
            </w:pPr>
            <w:r>
              <w:rPr>
                <w:rFonts w:cs="Calibri"/>
              </w:rPr>
              <w:t>$12,835</w:t>
            </w:r>
          </w:p>
        </w:tc>
      </w:tr>
      <w:tr w14:paraId="07E47E3B"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4A32BF41" w14:textId="77777777">
            <w:pPr>
              <w:rPr>
                <w:rFonts w:cs="Calibri"/>
              </w:rPr>
            </w:pPr>
            <w:r>
              <w:rPr>
                <w:rFonts w:cs="Calibri"/>
              </w:rPr>
              <w:t>Institutions</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17DFF3F0" w14:textId="77777777">
            <w:pPr>
              <w:jc w:val="right"/>
              <w:rPr>
                <w:rFonts w:cs="Calibri"/>
              </w:rPr>
            </w:pPr>
            <w:r>
              <w:rPr>
                <w:rFonts w:cs="Calibri"/>
              </w:rPr>
              <w:t>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059DF111" w14:textId="77777777">
            <w:pPr>
              <w:jc w:val="right"/>
              <w:rPr>
                <w:rFonts w:cs="Calibri"/>
              </w:rPr>
            </w:pPr>
            <w:r>
              <w:rPr>
                <w:rFonts w:cs="Calibri"/>
              </w:rPr>
              <w:t>$1002.47</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1735D978" w14:textId="77777777">
            <w:pPr>
              <w:jc w:val="right"/>
              <w:rPr>
                <w:rFonts w:cs="Calibri"/>
              </w:rPr>
            </w:pPr>
            <w:r>
              <w:rPr>
                <w:rFonts w:cs="Calibri"/>
              </w:rPr>
              <w:t>$1,002</w:t>
            </w:r>
          </w:p>
        </w:tc>
      </w:tr>
      <w:tr w14:paraId="43FB0EF7"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63CB424C" w14:textId="77777777">
            <w:pPr>
              <w:rPr>
                <w:rFonts w:cs="Calibri"/>
              </w:rPr>
            </w:pPr>
            <w:r>
              <w:rPr>
                <w:rFonts w:cs="Calibri"/>
              </w:rPr>
              <w:t>Home Care Provider (Health Care Providers)</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07BB458A" w14:textId="77777777">
            <w:pPr>
              <w:jc w:val="right"/>
              <w:rPr>
                <w:rFonts w:cs="Calibri"/>
              </w:rPr>
            </w:pPr>
            <w:r>
              <w:rPr>
                <w:rFonts w:cs="Calibri"/>
              </w:rPr>
              <w:t>1</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36677023" w14:textId="77777777">
            <w:pPr>
              <w:jc w:val="right"/>
              <w:rPr>
                <w:rFonts w:cs="Calibri"/>
              </w:rPr>
            </w:pPr>
            <w:r>
              <w:rPr>
                <w:rFonts w:cs="Calibri"/>
              </w:rPr>
              <w:t>$200.08</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3945C09D" w14:textId="77777777">
            <w:pPr>
              <w:jc w:val="right"/>
              <w:rPr>
                <w:rFonts w:cs="Calibri"/>
              </w:rPr>
            </w:pPr>
            <w:r>
              <w:rPr>
                <w:rFonts w:cs="Calibri"/>
              </w:rPr>
              <w:t>$200</w:t>
            </w:r>
          </w:p>
        </w:tc>
      </w:tr>
      <w:tr w14:paraId="59C56DBD"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117A01F5" w14:textId="77777777">
            <w:pPr>
              <w:rPr>
                <w:rFonts w:cs="Calibri"/>
              </w:rPr>
            </w:pPr>
            <w:r>
              <w:rPr>
                <w:rFonts w:cs="Calibri"/>
              </w:rPr>
              <w:t>Home Care Provider (Non-Health Care Providers)</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10A9E0E2" w14:textId="77777777">
            <w:pPr>
              <w:jc w:val="right"/>
              <w:rPr>
                <w:rFonts w:cs="Calibri"/>
              </w:rPr>
            </w:pPr>
            <w:r>
              <w:rPr>
                <w:rFonts w:cs="Calibri"/>
              </w:rPr>
              <w:t>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6024FF83" w14:textId="77777777">
            <w:pPr>
              <w:jc w:val="right"/>
              <w:rPr>
                <w:rFonts w:cs="Calibri"/>
              </w:rPr>
            </w:pPr>
            <w:r>
              <w:rPr>
                <w:rFonts w:cs="Calibri"/>
              </w:rPr>
              <w:t>$0</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2AA3" w:rsidP="00FE4BB4" w14:paraId="066B3463" w14:textId="77777777">
            <w:pPr>
              <w:jc w:val="right"/>
              <w:rPr>
                <w:rFonts w:cs="Calibri"/>
              </w:rPr>
            </w:pPr>
            <w:r>
              <w:rPr>
                <w:rFonts w:cs="Calibri"/>
              </w:rPr>
              <w:t>$0</w:t>
            </w:r>
          </w:p>
        </w:tc>
      </w:tr>
      <w:tr w14:paraId="2AE84E3F"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060FD936" w14:textId="77777777">
            <w:pPr>
              <w:rPr>
                <w:rFonts w:cs="Calibri"/>
              </w:rPr>
            </w:pPr>
            <w:r>
              <w:rPr>
                <w:rFonts w:cs="Calibri"/>
              </w:rPr>
              <w:t>Pharmacy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290C8F29" w14:textId="77777777">
            <w:pPr>
              <w:jc w:val="right"/>
              <w:rPr>
                <w:rFonts w:cs="Calibri"/>
              </w:rPr>
            </w:pPr>
            <w:r>
              <w:rPr>
                <w:rFonts w:cs="Calibri"/>
              </w:rPr>
              <w:t>11,040</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61DCE79E" w14:textId="77777777">
            <w:pPr>
              <w:jc w:val="right"/>
              <w:rPr>
                <w:rFonts w:cs="Calibri"/>
              </w:rPr>
            </w:pPr>
            <w:r>
              <w:rPr>
                <w:rFonts w:cs="Calibri"/>
              </w:rPr>
              <w:t>$32.02</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72AE7C6D" w14:textId="77777777">
            <w:pPr>
              <w:jc w:val="right"/>
              <w:rPr>
                <w:rFonts w:cs="Calibri"/>
              </w:rPr>
            </w:pPr>
            <w:r>
              <w:rPr>
                <w:rFonts w:cs="Calibri"/>
              </w:rPr>
              <w:t>$353,553</w:t>
            </w:r>
          </w:p>
        </w:tc>
      </w:tr>
      <w:tr w14:paraId="01A683F3"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2D0E890D" w14:textId="77777777">
            <w:pPr>
              <w:rPr>
                <w:rFonts w:cs="Calibri"/>
              </w:rPr>
            </w:pPr>
            <w:r>
              <w:rPr>
                <w:rFonts w:cs="Calibri"/>
              </w:rPr>
              <w:t>Separately Billing Doctors</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21AC7A1C" w14:textId="77777777">
            <w:pPr>
              <w:jc w:val="right"/>
              <w:rPr>
                <w:rFonts w:cs="Calibri"/>
              </w:rPr>
            </w:pPr>
            <w:r>
              <w:rPr>
                <w:rFonts w:cs="Calibri"/>
              </w:rPr>
              <w:t>53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70D55B76" w14:textId="77777777">
            <w:pPr>
              <w:jc w:val="right"/>
              <w:rPr>
                <w:rFonts w:cs="Calibri"/>
              </w:rPr>
            </w:pPr>
            <w:r>
              <w:rPr>
                <w:rFonts w:cs="Calibri"/>
              </w:rPr>
              <w:t>$192.37</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4422AF29" w14:textId="77777777">
            <w:pPr>
              <w:jc w:val="right"/>
              <w:rPr>
                <w:rFonts w:cs="Calibri"/>
              </w:rPr>
            </w:pPr>
            <w:r>
              <w:rPr>
                <w:rFonts w:cs="Calibri"/>
              </w:rPr>
              <w:t>$10,196</w:t>
            </w:r>
          </w:p>
        </w:tc>
      </w:tr>
      <w:tr w14:paraId="3C80F652" w14:textId="77777777" w:rsidTr="00FE4BB4">
        <w:tblPrEx>
          <w:tblW w:w="0" w:type="auto"/>
          <w:tblInd w:w="-10" w:type="dxa"/>
          <w:tblCellMar>
            <w:left w:w="0" w:type="dxa"/>
            <w:right w:w="0" w:type="dxa"/>
          </w:tblCellMar>
          <w:tblLook w:val="04A0"/>
        </w:tblPrEx>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2AA3" w:rsidP="00FE4BB4" w14:paraId="6C20C2C3" w14:textId="77777777">
            <w:pPr>
              <w:rPr>
                <w:rFonts w:cs="Calibri"/>
              </w:rPr>
            </w:pPr>
            <w:r>
              <w:rPr>
                <w:rFonts w:cs="Calibri"/>
              </w:rPr>
              <w:t xml:space="preserve">Total MPC </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3FDCA99A" w14:textId="77777777">
            <w:pPr>
              <w:jc w:val="right"/>
              <w:rPr>
                <w:rFonts w:cs="Calibri"/>
              </w:rPr>
            </w:pPr>
            <w:r>
              <w:rPr>
                <w:rFonts w:cs="Calibri"/>
              </w:rPr>
              <w:t>12,900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552AA3" w:rsidP="00DA44B1" w14:paraId="0F635A95" w14:textId="60EE050D">
            <w:pPr>
              <w:jc w:val="center"/>
              <w:rPr>
                <w:rFonts w:cs="Calibri"/>
              </w:rPr>
            </w:pPr>
            <w:r>
              <w:rPr>
                <w:rFonts w:cs="Calibri"/>
              </w:rPr>
              <w:t>---</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552AA3" w:rsidP="00FE4BB4" w14:paraId="7196AD3D" w14:textId="77777777">
            <w:pPr>
              <w:jc w:val="right"/>
              <w:rPr>
                <w:rFonts w:cs="Calibri"/>
              </w:rPr>
            </w:pPr>
            <w:r>
              <w:rPr>
                <w:rFonts w:cs="Calibri"/>
              </w:rPr>
              <w:t>$448,209</w:t>
            </w:r>
          </w:p>
        </w:tc>
      </w:tr>
    </w:tbl>
    <w:p w:rsidR="00552AA3" w:rsidP="00490E59" w14:paraId="175FAC7C" w14:textId="4C68D89A">
      <w:pPr>
        <w:rPr>
          <w:b/>
          <w:bCs/>
          <w:color w:val="000000"/>
        </w:rPr>
      </w:pPr>
    </w:p>
    <w:p w:rsidR="00A620D3" w:rsidP="00490E59" w14:paraId="31D56119" w14:textId="24A3FFB7">
      <w:pPr>
        <w:rPr>
          <w:b/>
        </w:rPr>
      </w:pPr>
      <w:r w:rsidRPr="00490E59">
        <w:rPr>
          <w:b/>
          <w:bCs/>
          <w:color w:val="000000"/>
        </w:rPr>
        <w:t>Exhibit 4.  Estimated Total and Annualized Cost</w:t>
      </w:r>
      <w:r w:rsidR="00DA44B1">
        <w:rPr>
          <w:b/>
          <w:bCs/>
          <w:color w:val="000000"/>
        </w:rPr>
        <w:t xml:space="preserve"> for Data Collection </w:t>
      </w:r>
    </w:p>
    <w:tbl>
      <w:tblPr>
        <w:tblW w:w="0" w:type="auto"/>
        <w:tblInd w:w="-10" w:type="dxa"/>
        <w:tblCellMar>
          <w:left w:w="0" w:type="dxa"/>
          <w:right w:w="0" w:type="dxa"/>
        </w:tblCellMar>
        <w:tblLook w:val="0000"/>
      </w:tblPr>
      <w:tblGrid>
        <w:gridCol w:w="3870"/>
        <w:gridCol w:w="1536"/>
        <w:gridCol w:w="1416"/>
      </w:tblGrid>
      <w:tr w14:paraId="61C76F85" w14:textId="77777777" w:rsidTr="00FE4BB4">
        <w:tblPrEx>
          <w:tblW w:w="0" w:type="auto"/>
          <w:tblInd w:w="-10" w:type="dxa"/>
          <w:tblCellMar>
            <w:left w:w="0" w:type="dxa"/>
            <w:right w:w="0" w:type="dxa"/>
          </w:tblCellMar>
          <w:tblLook w:val="0000"/>
        </w:tblPrEx>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A33700" w:rsidRPr="005622E0" w:rsidP="00FE4BB4" w14:paraId="798A5B6C" w14:textId="77777777">
            <w:pPr>
              <w:rPr>
                <w:b/>
              </w:rPr>
            </w:pPr>
            <w:r w:rsidRPr="005622E0">
              <w:rPr>
                <w:b/>
                <w:color w:val="000000"/>
              </w:rPr>
              <w:t xml:space="preserve">Cost Component </w:t>
            </w:r>
          </w:p>
        </w:tc>
        <w:tc>
          <w:tcPr>
            <w:tcW w:w="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4BE232E6" w14:textId="77777777">
            <w:pPr>
              <w:jc w:val="center"/>
              <w:rPr>
                <w:b/>
              </w:rPr>
            </w:pPr>
            <w:r w:rsidRPr="005622E0">
              <w:rPr>
                <w:b/>
              </w:rPr>
              <w:t>Total Cost</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3FC7745A" w14:textId="77777777">
            <w:pPr>
              <w:jc w:val="center"/>
              <w:rPr>
                <w:b/>
              </w:rPr>
            </w:pPr>
            <w:r w:rsidRPr="005622E0">
              <w:rPr>
                <w:b/>
              </w:rPr>
              <w:t>Annualized Cost</w:t>
            </w:r>
          </w:p>
        </w:tc>
      </w:tr>
      <w:tr w14:paraId="55C0CC4D"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3B0E1E74" w14:textId="77777777">
            <w:r w:rsidRPr="005622E0">
              <w:t>Sampling Activities</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27B31984" w14:textId="18B4D3E3">
            <w:pPr>
              <w:jc w:val="right"/>
            </w:pPr>
            <w:r w:rsidRPr="005622E0">
              <w:t>$2,</w:t>
            </w:r>
            <w:r>
              <w:t>896,508</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1CE69A79" w14:textId="0A5F56FB">
            <w:pPr>
              <w:jc w:val="right"/>
            </w:pPr>
            <w:r w:rsidRPr="005622E0">
              <w:t>$</w:t>
            </w:r>
            <w:r>
              <w:t>965,503</w:t>
            </w:r>
          </w:p>
        </w:tc>
      </w:tr>
      <w:tr w14:paraId="6F2B7860"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606A9697" w14:textId="77777777">
            <w:r w:rsidRPr="005622E0">
              <w:t>Interviewer Recruitment and Training</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741FF8EB" w14:textId="2997CFA1">
            <w:pPr>
              <w:jc w:val="right"/>
            </w:pPr>
            <w:r>
              <w:t>$</w:t>
            </w:r>
            <w:r w:rsidR="001164AF">
              <w:t>11,299,464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099D35F4" w14:textId="6975AD2A">
            <w:pPr>
              <w:jc w:val="right"/>
            </w:pPr>
            <w:r w:rsidRPr="005622E0">
              <w:t>$</w:t>
            </w:r>
            <w:r w:rsidR="001164AF">
              <w:t>3,766,488</w:t>
            </w:r>
          </w:p>
        </w:tc>
      </w:tr>
      <w:tr w14:paraId="015EE969"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71B5F78E" w14:textId="77777777">
            <w:r w:rsidRPr="005622E0">
              <w:t>Data Collection Activities</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6CE6E603" w14:textId="40051ECB">
            <w:pPr>
              <w:jc w:val="right"/>
            </w:pPr>
            <w:r>
              <w:t>$</w:t>
            </w:r>
            <w:r w:rsidR="001164AF">
              <w:t>125,493</w:t>
            </w:r>
            <w:r>
              <w:t>,877</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711302CA" w14:textId="107A0D66">
            <w:pPr>
              <w:jc w:val="right"/>
            </w:pPr>
            <w:r w:rsidRPr="005622E0">
              <w:t>$</w:t>
            </w:r>
            <w:r w:rsidR="00587F2D">
              <w:t>41,831,292</w:t>
            </w:r>
          </w:p>
        </w:tc>
      </w:tr>
      <w:tr w14:paraId="2084D94A"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312D1585" w14:textId="77777777">
            <w:r w:rsidRPr="005622E0">
              <w:t>Data Processing</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299F67E2" w14:textId="1F7B1A47">
            <w:pPr>
              <w:jc w:val="right"/>
            </w:pPr>
            <w:r>
              <w:t>$16,482,407</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636122E7" w14:textId="4DB3133F">
            <w:pPr>
              <w:jc w:val="right"/>
            </w:pPr>
            <w:r w:rsidRPr="005622E0">
              <w:t>$</w:t>
            </w:r>
            <w:r w:rsidR="00587F2D">
              <w:t>5,494,136</w:t>
            </w:r>
          </w:p>
        </w:tc>
      </w:tr>
      <w:tr w14:paraId="3EE70091"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2390B41E" w14:textId="77777777">
            <w:r w:rsidRPr="005622E0">
              <w:t>Production of Public Use Data Files</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015A9A46" w14:textId="50ABE90A">
            <w:pPr>
              <w:jc w:val="right"/>
            </w:pPr>
            <w:r>
              <w:t>$17,367,154</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0BDD2BD3" w14:textId="186BF4EB">
            <w:pPr>
              <w:jc w:val="right"/>
            </w:pPr>
            <w:r w:rsidRPr="005622E0">
              <w:t>$</w:t>
            </w:r>
            <w:r w:rsidR="00587F2D">
              <w:t>5,789,051</w:t>
            </w:r>
          </w:p>
        </w:tc>
      </w:tr>
      <w:tr w14:paraId="0B0FA1D6"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3F0D8185" w14:textId="77777777">
            <w:r w:rsidRPr="005622E0">
              <w:t>Project Management</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042EAE60" w14:textId="6E17F6E7">
            <w:pPr>
              <w:jc w:val="right"/>
            </w:pPr>
            <w:r>
              <w:t>$21,014,256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0DE4514D" w14:textId="38C99CF9">
            <w:pPr>
              <w:jc w:val="right"/>
            </w:pPr>
            <w:r w:rsidRPr="005622E0">
              <w:t>$</w:t>
            </w:r>
            <w:r w:rsidR="00587F2D">
              <w:t>7,004,752</w:t>
            </w:r>
          </w:p>
        </w:tc>
      </w:tr>
      <w:tr w14:paraId="4B57BBF7" w14:textId="77777777" w:rsidTr="00FE4BB4">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33700" w:rsidRPr="005622E0" w:rsidP="00FE4BB4" w14:paraId="71C03E52" w14:textId="77777777">
            <w:r w:rsidRPr="005622E0">
              <w:rPr>
                <w:b/>
                <w:bCs/>
                <w:color w:val="000000"/>
              </w:rPr>
              <w:t>Total</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7723B6BD" w14:textId="1233CF5A">
            <w:pPr>
              <w:jc w:val="right"/>
            </w:pPr>
            <w:r>
              <w:t>$194,553,666</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33700" w:rsidRPr="005622E0" w:rsidP="00FE4BB4" w14:paraId="302660AE" w14:textId="1DA74AFE">
            <w:pPr>
              <w:jc w:val="right"/>
            </w:pPr>
            <w:r w:rsidRPr="005622E0">
              <w:t>$</w:t>
            </w:r>
            <w:r w:rsidR="00587F2D">
              <w:t>64,851,222</w:t>
            </w:r>
          </w:p>
        </w:tc>
      </w:tr>
    </w:tbl>
    <w:p w:rsidR="00A33700" w:rsidP="00490E59" w14:paraId="42354526" w14:textId="10AA9CA6">
      <w:pPr>
        <w:rPr>
          <w:b/>
        </w:rPr>
      </w:pPr>
    </w:p>
    <w:p w:rsidR="00490E59" w:rsidRPr="00490E59" w:rsidP="00490E59" w14:paraId="49987CEF" w14:textId="3D9AD278">
      <w:pPr>
        <w:rPr>
          <w:b/>
        </w:rPr>
      </w:pPr>
      <w:r w:rsidRPr="00490E59">
        <w:rPr>
          <w:b/>
        </w:rPr>
        <w:t>Exhibit 5: Annual Cost to AHRQ for MEPS-HC Oversight</w:t>
      </w:r>
    </w:p>
    <w:tbl>
      <w:tblPr>
        <w:tblW w:w="7380" w:type="dxa"/>
        <w:tblInd w:w="-10" w:type="dxa"/>
        <w:tblLayout w:type="fixed"/>
        <w:tblCellMar>
          <w:left w:w="0" w:type="dxa"/>
          <w:right w:w="0" w:type="dxa"/>
        </w:tblCellMar>
        <w:tblLook w:val="04A0"/>
      </w:tblPr>
      <w:tblGrid>
        <w:gridCol w:w="2428"/>
        <w:gridCol w:w="651"/>
        <w:gridCol w:w="791"/>
        <w:gridCol w:w="1170"/>
        <w:gridCol w:w="900"/>
        <w:gridCol w:w="1440"/>
      </w:tblGrid>
      <w:tr w14:paraId="1CAD020E" w14:textId="77777777" w:rsidTr="00FE4BB4">
        <w:tblPrEx>
          <w:tblW w:w="7380" w:type="dxa"/>
          <w:tblInd w:w="-10" w:type="dxa"/>
          <w:tblLayout w:type="fixed"/>
          <w:tblCellMar>
            <w:left w:w="0" w:type="dxa"/>
            <w:right w:w="0" w:type="dxa"/>
          </w:tblCellMar>
          <w:tblLook w:val="04A0"/>
        </w:tblPrEx>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620D3" w:rsidRPr="005622E0" w:rsidP="00FE4BB4" w14:paraId="5717955B" w14:textId="77777777">
            <w:pPr>
              <w:rPr>
                <w:rFonts w:ascii="Calibri" w:eastAsia="Calibri" w:hAnsi="Calibri"/>
                <w:b/>
                <w:bCs/>
              </w:rPr>
            </w:pPr>
            <w:r w:rsidRPr="005622E0">
              <w:rPr>
                <w:b/>
                <w:bCs/>
                <w:color w:val="000000"/>
              </w:rPr>
              <w:t>Tasks/Personnel</w:t>
            </w:r>
          </w:p>
        </w:tc>
        <w:tc>
          <w:tcPr>
            <w:tcW w:w="651" w:type="dxa"/>
            <w:tcBorders>
              <w:top w:val="single" w:sz="8" w:space="0" w:color="auto"/>
              <w:left w:val="nil"/>
              <w:bottom w:val="single" w:sz="8" w:space="0" w:color="auto"/>
              <w:right w:val="nil"/>
            </w:tcBorders>
            <w:hideMark/>
          </w:tcPr>
          <w:p w:rsidR="00A620D3" w:rsidRPr="005622E0" w:rsidP="00FE4BB4" w14:paraId="3EC9B966" w14:textId="77777777">
            <w:pPr>
              <w:jc w:val="center"/>
              <w:rPr>
                <w:rFonts w:ascii="Calibri" w:eastAsia="Calibri" w:hAnsi="Calibri"/>
                <w:b/>
                <w:bCs/>
              </w:rPr>
            </w:pPr>
            <w:r w:rsidRPr="005622E0">
              <w:rPr>
                <w:b/>
                <w:bCs/>
              </w:rPr>
              <w:t>Staff</w:t>
            </w:r>
          </w:p>
          <w:p w:rsidR="00A620D3" w:rsidRPr="005622E0" w:rsidP="00FE4BB4" w14:paraId="5BDA42C3" w14:textId="77777777">
            <w:pPr>
              <w:jc w:val="center"/>
              <w:rPr>
                <w:rFonts w:ascii="Calibri" w:eastAsia="Calibri" w:hAnsi="Calibri"/>
                <w:b/>
                <w:bCs/>
              </w:rPr>
            </w:pPr>
            <w:r w:rsidRPr="005622E0">
              <w:rPr>
                <w:b/>
                <w:bCs/>
              </w:rPr>
              <w:t>Count</w:t>
            </w:r>
          </w:p>
        </w:tc>
        <w:tc>
          <w:tcPr>
            <w:tcW w:w="791" w:type="dxa"/>
            <w:tcBorders>
              <w:top w:val="single" w:sz="8" w:space="0" w:color="auto"/>
              <w:left w:val="nil"/>
              <w:bottom w:val="single" w:sz="8" w:space="0" w:color="auto"/>
              <w:right w:val="single" w:sz="8" w:space="0" w:color="auto"/>
            </w:tcBorders>
          </w:tcPr>
          <w:p w:rsidR="00A620D3" w:rsidRPr="005622E0" w:rsidP="00FE4BB4" w14:paraId="5F402255" w14:textId="77777777">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3A71FB82" w14:textId="77777777">
            <w:pPr>
              <w:jc w:val="center"/>
              <w:rPr>
                <w:rFonts w:ascii="Calibri" w:eastAsia="Calibri" w:hAnsi="Calibri"/>
                <w:b/>
                <w:bCs/>
              </w:rPr>
            </w:pPr>
            <w:r w:rsidRPr="005622E0">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41CA81E5" w14:textId="77777777">
            <w:pPr>
              <w:jc w:val="center"/>
              <w:rPr>
                <w:rFonts w:ascii="Calibri" w:eastAsia="Calibri" w:hAnsi="Calibri"/>
                <w:b/>
                <w:bCs/>
              </w:rPr>
            </w:pPr>
            <w:r w:rsidRPr="005622E0">
              <w:rPr>
                <w:b/>
                <w:bCs/>
              </w:rPr>
              <w:t>% of Time</w:t>
            </w:r>
          </w:p>
        </w:tc>
        <w:tc>
          <w:tcPr>
            <w:tcW w:w="1440" w:type="dxa"/>
            <w:tcBorders>
              <w:top w:val="single" w:sz="8" w:space="0" w:color="auto"/>
              <w:left w:val="nil"/>
              <w:bottom w:val="single" w:sz="8" w:space="0" w:color="auto"/>
              <w:right w:val="single" w:sz="8" w:space="0" w:color="auto"/>
            </w:tcBorders>
          </w:tcPr>
          <w:p w:rsidR="00A620D3" w:rsidRPr="005622E0" w:rsidP="00FE4BB4" w14:paraId="10E5F59A" w14:textId="77777777">
            <w:pPr>
              <w:jc w:val="center"/>
              <w:rPr>
                <w:rFonts w:ascii="Calibri" w:eastAsia="Calibri" w:hAnsi="Calibri"/>
                <w:b/>
                <w:bCs/>
              </w:rPr>
            </w:pPr>
          </w:p>
          <w:p w:rsidR="00A620D3" w:rsidRPr="005622E0" w:rsidP="00FE4BB4" w14:paraId="610BCC64" w14:textId="77777777">
            <w:pPr>
              <w:jc w:val="center"/>
              <w:rPr>
                <w:rFonts w:ascii="Calibri" w:eastAsia="Calibri" w:hAnsi="Calibri"/>
                <w:b/>
                <w:bCs/>
              </w:rPr>
            </w:pPr>
            <w:r w:rsidRPr="005622E0">
              <w:rPr>
                <w:b/>
                <w:bCs/>
              </w:rPr>
              <w:t>Cost</w:t>
            </w:r>
          </w:p>
        </w:tc>
      </w:tr>
      <w:tr w14:paraId="2E17D20C" w14:textId="77777777" w:rsidTr="00FE4BB4">
        <w:tblPrEx>
          <w:tblW w:w="7380" w:type="dxa"/>
          <w:tblInd w:w="-10" w:type="dxa"/>
          <w:tblLayout w:type="fixed"/>
          <w:tblCellMar>
            <w:left w:w="0" w:type="dxa"/>
            <w:right w:w="0" w:type="dxa"/>
          </w:tblCellMar>
          <w:tblLook w:val="04A0"/>
        </w:tblPrEx>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343491E0" w14:textId="77777777">
            <w:pPr>
              <w:rPr>
                <w:rFonts w:eastAsia="Calibri"/>
              </w:rPr>
            </w:pPr>
            <w:r w:rsidRPr="005622E0">
              <w:t>Management Support: GS-15, Step 5 average</w:t>
            </w:r>
          </w:p>
        </w:tc>
        <w:tc>
          <w:tcPr>
            <w:tcW w:w="651" w:type="dxa"/>
            <w:tcBorders>
              <w:top w:val="nil"/>
              <w:left w:val="nil"/>
              <w:bottom w:val="single" w:sz="8" w:space="0" w:color="auto"/>
              <w:right w:val="nil"/>
            </w:tcBorders>
          </w:tcPr>
          <w:p w:rsidR="00A620D3" w:rsidRPr="005622E0" w:rsidP="007C1C0B" w14:paraId="5FCD2074" w14:textId="77777777">
            <w:pPr>
              <w:jc w:val="right"/>
              <w:rPr>
                <w:rFonts w:eastAsia="Calibri"/>
              </w:rPr>
            </w:pPr>
          </w:p>
          <w:p w:rsidR="00A620D3" w:rsidRPr="005622E0" w:rsidP="007C1C0B" w14:paraId="5B62F96D" w14:textId="77777777">
            <w:pPr>
              <w:jc w:val="right"/>
              <w:rPr>
                <w:rFonts w:eastAsia="Calibri"/>
              </w:rPr>
            </w:pPr>
            <w:r w:rsidRPr="005622E0">
              <w:t>2</w:t>
            </w:r>
          </w:p>
        </w:tc>
        <w:tc>
          <w:tcPr>
            <w:tcW w:w="791" w:type="dxa"/>
            <w:tcBorders>
              <w:top w:val="nil"/>
              <w:left w:val="nil"/>
              <w:bottom w:val="single" w:sz="8" w:space="0" w:color="auto"/>
              <w:right w:val="single" w:sz="8" w:space="0" w:color="auto"/>
            </w:tcBorders>
          </w:tcPr>
          <w:p w:rsidR="00A620D3" w:rsidRPr="005622E0" w:rsidP="00FE4BB4" w14:paraId="7F07AB07"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643922FA" w14:textId="77777777">
            <w:pPr>
              <w:jc w:val="right"/>
              <w:rPr>
                <w:rFonts w:eastAsia="Calibri"/>
              </w:rPr>
            </w:pPr>
          </w:p>
          <w:p w:rsidR="00A620D3" w:rsidRPr="005622E0" w:rsidP="00FE4BB4" w14:paraId="7EFFBF56" w14:textId="5C31A167">
            <w:pPr>
              <w:jc w:val="right"/>
              <w:rPr>
                <w:rFonts w:eastAsia="Calibri"/>
              </w:rPr>
            </w:pPr>
            <w:r w:rsidRPr="005622E0">
              <w:t>$</w:t>
            </w:r>
            <w:r>
              <w:t>185,824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345C4360" w14:textId="77777777">
            <w:pPr>
              <w:jc w:val="right"/>
              <w:rPr>
                <w:rFonts w:eastAsia="Calibri"/>
              </w:rPr>
            </w:pPr>
          </w:p>
          <w:p w:rsidR="00A620D3" w:rsidRPr="005622E0" w:rsidP="00FE4BB4" w14:paraId="52917A8A" w14:textId="77777777">
            <w:pPr>
              <w:jc w:val="right"/>
              <w:rPr>
                <w:rFonts w:eastAsia="Calibri"/>
              </w:rPr>
            </w:pPr>
            <w:r w:rsidRPr="005622E0">
              <w:t>50.0%</w:t>
            </w:r>
          </w:p>
        </w:tc>
        <w:tc>
          <w:tcPr>
            <w:tcW w:w="1440" w:type="dxa"/>
            <w:tcBorders>
              <w:top w:val="nil"/>
              <w:left w:val="nil"/>
              <w:bottom w:val="single" w:sz="8" w:space="0" w:color="auto"/>
              <w:right w:val="single" w:sz="8" w:space="0" w:color="auto"/>
            </w:tcBorders>
          </w:tcPr>
          <w:p w:rsidR="00A620D3" w:rsidP="001C5F4C" w14:paraId="3024CCAE" w14:textId="77777777">
            <w:pPr>
              <w:jc w:val="right"/>
              <w:rPr>
                <w:rFonts w:eastAsia="Calibri"/>
              </w:rPr>
            </w:pPr>
          </w:p>
          <w:p w:rsidR="001C5F4C" w:rsidRPr="005622E0" w:rsidP="001C5F4C" w14:paraId="304DA74C" w14:textId="49268D41">
            <w:pPr>
              <w:jc w:val="right"/>
              <w:rPr>
                <w:rFonts w:eastAsia="Calibri"/>
              </w:rPr>
            </w:pPr>
            <w:r>
              <w:rPr>
                <w:rFonts w:eastAsia="Calibri"/>
              </w:rPr>
              <w:t>$</w:t>
            </w:r>
            <w:r w:rsidR="00613EFC">
              <w:rPr>
                <w:rFonts w:eastAsia="Calibri"/>
              </w:rPr>
              <w:t>185,824</w:t>
            </w:r>
          </w:p>
        </w:tc>
      </w:tr>
      <w:tr w14:paraId="6E484AAE" w14:textId="77777777" w:rsidTr="00FE4BB4">
        <w:tblPrEx>
          <w:tblW w:w="7380" w:type="dxa"/>
          <w:tblInd w:w="-10" w:type="dxa"/>
          <w:tblLayout w:type="fixed"/>
          <w:tblCellMar>
            <w:left w:w="0" w:type="dxa"/>
            <w:right w:w="0" w:type="dxa"/>
          </w:tblCellMar>
          <w:tblLook w:val="04A0"/>
        </w:tblPrEx>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20D3" w:rsidRPr="005622E0" w:rsidP="00FE4BB4" w14:paraId="62E1DC1E" w14:textId="77777777">
            <w:pPr>
              <w:rPr>
                <w:rFonts w:eastAsia="Calibri"/>
              </w:rPr>
            </w:pPr>
            <w:r w:rsidRPr="005622E0">
              <w:t>Survey/Statistical Support: GS-14, Step 5 average</w:t>
            </w:r>
          </w:p>
        </w:tc>
        <w:tc>
          <w:tcPr>
            <w:tcW w:w="651" w:type="dxa"/>
            <w:tcBorders>
              <w:top w:val="nil"/>
              <w:left w:val="nil"/>
              <w:bottom w:val="single" w:sz="8" w:space="0" w:color="auto"/>
              <w:right w:val="nil"/>
            </w:tcBorders>
          </w:tcPr>
          <w:p w:rsidR="00A620D3" w:rsidRPr="005622E0" w:rsidP="007C1C0B" w14:paraId="0DC648DD" w14:textId="77777777">
            <w:pPr>
              <w:jc w:val="right"/>
              <w:rPr>
                <w:rFonts w:eastAsia="Calibri"/>
              </w:rPr>
            </w:pPr>
          </w:p>
          <w:p w:rsidR="00613EFC" w:rsidP="007C1C0B" w14:paraId="38CFFCAE" w14:textId="77777777">
            <w:pPr>
              <w:jc w:val="right"/>
            </w:pPr>
          </w:p>
          <w:p w:rsidR="00A620D3" w:rsidRPr="005622E0" w:rsidP="007C1C0B" w14:paraId="0AE5F139" w14:textId="17AF3D51">
            <w:pPr>
              <w:jc w:val="right"/>
              <w:rPr>
                <w:rFonts w:eastAsia="Calibri"/>
              </w:rPr>
            </w:pPr>
            <w:r w:rsidRPr="005622E0">
              <w:t>3</w:t>
            </w:r>
          </w:p>
        </w:tc>
        <w:tc>
          <w:tcPr>
            <w:tcW w:w="791" w:type="dxa"/>
            <w:tcBorders>
              <w:top w:val="nil"/>
              <w:left w:val="nil"/>
              <w:bottom w:val="single" w:sz="8" w:space="0" w:color="auto"/>
              <w:right w:val="single" w:sz="8" w:space="0" w:color="auto"/>
            </w:tcBorders>
          </w:tcPr>
          <w:p w:rsidR="00A620D3" w:rsidRPr="005622E0" w:rsidP="00FE4BB4" w14:paraId="3263CE42"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613EFC" w:rsidP="00FE4BB4" w14:paraId="6B973AF2" w14:textId="77777777">
            <w:pPr>
              <w:jc w:val="right"/>
            </w:pPr>
          </w:p>
          <w:p w:rsidR="00613EFC" w:rsidP="00FE4BB4" w14:paraId="2D75FE7F" w14:textId="77777777">
            <w:pPr>
              <w:jc w:val="right"/>
            </w:pPr>
          </w:p>
          <w:p w:rsidR="00A620D3" w:rsidRPr="005622E0" w:rsidP="00FE4BB4" w14:paraId="39EC7672" w14:textId="23BD3A65">
            <w:pPr>
              <w:jc w:val="right"/>
              <w:rPr>
                <w:rFonts w:eastAsia="Calibri"/>
              </w:rPr>
            </w:pPr>
            <w:r w:rsidRPr="005622E0">
              <w:t>$</w:t>
            </w:r>
            <w:r>
              <w:t>157,982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613EFC" w:rsidP="00FE4BB4" w14:paraId="00DBD90F" w14:textId="77777777">
            <w:pPr>
              <w:jc w:val="right"/>
            </w:pPr>
          </w:p>
          <w:p w:rsidR="00613EFC" w:rsidP="00FE4BB4" w14:paraId="081ADAC5" w14:textId="77777777">
            <w:pPr>
              <w:jc w:val="right"/>
            </w:pPr>
          </w:p>
          <w:p w:rsidR="00A620D3" w:rsidRPr="005622E0" w:rsidP="00FE4BB4" w14:paraId="3F88BD4B" w14:textId="0D22B8DE">
            <w:pPr>
              <w:jc w:val="right"/>
              <w:rPr>
                <w:rFonts w:eastAsia="Calibri"/>
              </w:rPr>
            </w:pPr>
            <w:r w:rsidRPr="005622E0">
              <w:t>33.3%</w:t>
            </w:r>
          </w:p>
        </w:tc>
        <w:tc>
          <w:tcPr>
            <w:tcW w:w="1440" w:type="dxa"/>
            <w:tcBorders>
              <w:top w:val="nil"/>
              <w:left w:val="nil"/>
              <w:bottom w:val="single" w:sz="8" w:space="0" w:color="auto"/>
              <w:right w:val="single" w:sz="8" w:space="0" w:color="auto"/>
            </w:tcBorders>
          </w:tcPr>
          <w:p w:rsidR="001C5F4C" w:rsidP="001C5F4C" w14:paraId="48E77F2A" w14:textId="77777777">
            <w:pPr>
              <w:jc w:val="right"/>
              <w:rPr>
                <w:rFonts w:eastAsia="Calibri"/>
              </w:rPr>
            </w:pPr>
          </w:p>
          <w:p w:rsidR="00613EFC" w:rsidP="001C5F4C" w14:paraId="13318EA0" w14:textId="77777777">
            <w:pPr>
              <w:jc w:val="right"/>
              <w:rPr>
                <w:rFonts w:eastAsia="Calibri"/>
              </w:rPr>
            </w:pPr>
          </w:p>
          <w:p w:rsidR="00A620D3" w:rsidRPr="005622E0" w:rsidP="001C5F4C" w14:paraId="5FAF9732" w14:textId="09476670">
            <w:pPr>
              <w:jc w:val="right"/>
              <w:rPr>
                <w:rFonts w:eastAsia="Calibri"/>
              </w:rPr>
            </w:pPr>
            <w:r>
              <w:rPr>
                <w:rFonts w:eastAsia="Calibri"/>
              </w:rPr>
              <w:t>$</w:t>
            </w:r>
            <w:r w:rsidR="00613EFC">
              <w:rPr>
                <w:rFonts w:eastAsia="Calibri"/>
              </w:rPr>
              <w:t>157,824</w:t>
            </w:r>
          </w:p>
        </w:tc>
      </w:tr>
      <w:tr w14:paraId="248B88A0" w14:textId="77777777" w:rsidTr="00FE4BB4">
        <w:tblPrEx>
          <w:tblW w:w="7380" w:type="dxa"/>
          <w:tblInd w:w="-10" w:type="dxa"/>
          <w:tblLayout w:type="fixed"/>
          <w:tblCellMar>
            <w:left w:w="0" w:type="dxa"/>
            <w:right w:w="0" w:type="dxa"/>
          </w:tblCellMar>
          <w:tblLook w:val="04A0"/>
        </w:tblPrEx>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6665D62B" w14:textId="77777777">
            <w:pPr>
              <w:rPr>
                <w:rFonts w:eastAsia="Calibri"/>
              </w:rPr>
            </w:pPr>
            <w:r w:rsidRPr="005622E0">
              <w:t>Research Support: GS-13, Step 5 average</w:t>
            </w:r>
          </w:p>
        </w:tc>
        <w:tc>
          <w:tcPr>
            <w:tcW w:w="651" w:type="dxa"/>
            <w:tcBorders>
              <w:top w:val="nil"/>
              <w:left w:val="nil"/>
              <w:bottom w:val="single" w:sz="8" w:space="0" w:color="auto"/>
              <w:right w:val="nil"/>
            </w:tcBorders>
          </w:tcPr>
          <w:p w:rsidR="00A620D3" w:rsidRPr="005622E0" w:rsidP="007C1C0B" w14:paraId="6BD60B42" w14:textId="77777777">
            <w:pPr>
              <w:jc w:val="right"/>
              <w:rPr>
                <w:rFonts w:eastAsia="Calibri"/>
              </w:rPr>
            </w:pPr>
          </w:p>
          <w:p w:rsidR="00A620D3" w:rsidRPr="005622E0" w:rsidP="007C1C0B" w14:paraId="0D7AC270" w14:textId="77777777">
            <w:pPr>
              <w:jc w:val="right"/>
              <w:rPr>
                <w:rFonts w:eastAsia="Calibri"/>
              </w:rPr>
            </w:pPr>
            <w:r w:rsidRPr="005622E0">
              <w:rPr>
                <w:rFonts w:eastAsia="Calibri"/>
              </w:rPr>
              <w:t>4</w:t>
            </w:r>
          </w:p>
        </w:tc>
        <w:tc>
          <w:tcPr>
            <w:tcW w:w="791" w:type="dxa"/>
            <w:tcBorders>
              <w:top w:val="nil"/>
              <w:left w:val="nil"/>
              <w:bottom w:val="single" w:sz="8" w:space="0" w:color="auto"/>
              <w:right w:val="single" w:sz="8" w:space="0" w:color="auto"/>
            </w:tcBorders>
          </w:tcPr>
          <w:p w:rsidR="00A620D3" w:rsidRPr="005622E0" w:rsidP="00FE4BB4" w14:paraId="3982060C"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4C2EDF83" w14:textId="77777777">
            <w:pPr>
              <w:jc w:val="right"/>
              <w:rPr>
                <w:rFonts w:eastAsia="Calibri"/>
              </w:rPr>
            </w:pPr>
          </w:p>
          <w:p w:rsidR="00A620D3" w:rsidRPr="005622E0" w:rsidP="00FE4BB4" w14:paraId="3D4186AC" w14:textId="69BC0F67">
            <w:pPr>
              <w:jc w:val="right"/>
              <w:rPr>
                <w:rFonts w:eastAsia="Calibri"/>
              </w:rPr>
            </w:pPr>
            <w:r w:rsidRPr="005622E0">
              <w:t>$</w:t>
            </w:r>
            <w:r>
              <w:t>133,692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15D84569" w14:textId="77777777">
            <w:pPr>
              <w:jc w:val="right"/>
              <w:rPr>
                <w:rFonts w:eastAsia="Calibri"/>
              </w:rPr>
            </w:pPr>
          </w:p>
          <w:p w:rsidR="00A620D3" w:rsidRPr="005622E0" w:rsidP="00FE4BB4" w14:paraId="24EB8737" w14:textId="77777777">
            <w:pPr>
              <w:jc w:val="right"/>
              <w:rPr>
                <w:rFonts w:eastAsia="Calibri"/>
              </w:rPr>
            </w:pPr>
            <w:r w:rsidRPr="005622E0">
              <w:t>50.0%</w:t>
            </w:r>
          </w:p>
        </w:tc>
        <w:tc>
          <w:tcPr>
            <w:tcW w:w="1440" w:type="dxa"/>
            <w:tcBorders>
              <w:top w:val="nil"/>
              <w:left w:val="nil"/>
              <w:bottom w:val="single" w:sz="8" w:space="0" w:color="auto"/>
              <w:right w:val="single" w:sz="8" w:space="0" w:color="auto"/>
            </w:tcBorders>
          </w:tcPr>
          <w:p w:rsidR="00904785" w:rsidP="001C5F4C" w14:paraId="2ED7A4EC" w14:textId="77777777">
            <w:pPr>
              <w:jc w:val="right"/>
              <w:rPr>
                <w:rFonts w:eastAsia="Calibri"/>
              </w:rPr>
            </w:pPr>
          </w:p>
          <w:p w:rsidR="00A620D3" w:rsidRPr="005622E0" w:rsidP="001C5F4C" w14:paraId="2A875318" w14:textId="791FAC5C">
            <w:pPr>
              <w:jc w:val="right"/>
              <w:rPr>
                <w:rFonts w:eastAsia="Calibri"/>
              </w:rPr>
            </w:pPr>
            <w:r>
              <w:rPr>
                <w:rFonts w:eastAsia="Calibri"/>
              </w:rPr>
              <w:t>$</w:t>
            </w:r>
            <w:r w:rsidR="00613EFC">
              <w:rPr>
                <w:rFonts w:eastAsia="Calibri"/>
              </w:rPr>
              <w:t>267,384</w:t>
            </w:r>
          </w:p>
        </w:tc>
      </w:tr>
      <w:tr w14:paraId="295D2879" w14:textId="77777777" w:rsidTr="00FE4BB4">
        <w:tblPrEx>
          <w:tblW w:w="7380" w:type="dxa"/>
          <w:tblInd w:w="-10" w:type="dxa"/>
          <w:tblLayout w:type="fixed"/>
          <w:tblCellMar>
            <w:left w:w="0" w:type="dxa"/>
            <w:right w:w="0" w:type="dxa"/>
          </w:tblCellMar>
          <w:tblLook w:val="04A0"/>
        </w:tblPrEx>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620D3" w:rsidRPr="005622E0" w:rsidP="00FE4BB4" w14:paraId="180531DA" w14:textId="77777777">
            <w:pPr>
              <w:rPr>
                <w:b/>
                <w:bCs/>
                <w:color w:val="000000"/>
              </w:rPr>
            </w:pPr>
            <w:r w:rsidRPr="005622E0">
              <w:t>Research Support: GS-12, Step 5 average</w:t>
            </w:r>
          </w:p>
        </w:tc>
        <w:tc>
          <w:tcPr>
            <w:tcW w:w="651" w:type="dxa"/>
            <w:tcBorders>
              <w:top w:val="nil"/>
              <w:left w:val="nil"/>
              <w:bottom w:val="single" w:sz="8" w:space="0" w:color="auto"/>
              <w:right w:val="nil"/>
            </w:tcBorders>
          </w:tcPr>
          <w:p w:rsidR="00A620D3" w:rsidRPr="005622E0" w:rsidP="007C1C0B" w14:paraId="1A5635DD" w14:textId="3D393A11">
            <w:pPr>
              <w:tabs>
                <w:tab w:val="left" w:pos="504"/>
              </w:tabs>
              <w:jc w:val="right"/>
              <w:rPr>
                <w:rFonts w:eastAsia="Calibri"/>
              </w:rPr>
            </w:pPr>
          </w:p>
          <w:p w:rsidR="00A620D3" w:rsidRPr="005622E0" w:rsidP="007C1C0B" w14:paraId="785D2591" w14:textId="5775643C">
            <w:pPr>
              <w:tabs>
                <w:tab w:val="left" w:pos="504"/>
              </w:tabs>
              <w:jc w:val="right"/>
              <w:rPr>
                <w:rFonts w:eastAsia="Calibri"/>
              </w:rPr>
            </w:pPr>
            <w:r w:rsidRPr="005622E0">
              <w:rPr>
                <w:rFonts w:eastAsia="Calibri"/>
              </w:rPr>
              <w:t>2</w:t>
            </w:r>
          </w:p>
        </w:tc>
        <w:tc>
          <w:tcPr>
            <w:tcW w:w="791" w:type="dxa"/>
            <w:tcBorders>
              <w:top w:val="nil"/>
              <w:left w:val="nil"/>
              <w:bottom w:val="single" w:sz="8" w:space="0" w:color="auto"/>
              <w:right w:val="single" w:sz="8" w:space="0" w:color="auto"/>
            </w:tcBorders>
          </w:tcPr>
          <w:p w:rsidR="00A620D3" w:rsidRPr="005622E0" w:rsidP="00FE4BB4" w14:paraId="2877140D"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7B49119B" w14:textId="77777777">
            <w:pPr>
              <w:jc w:val="right"/>
              <w:rPr>
                <w:rFonts w:eastAsia="Calibri"/>
              </w:rPr>
            </w:pPr>
          </w:p>
          <w:p w:rsidR="00A620D3" w:rsidRPr="005622E0" w:rsidP="00FE4BB4" w14:paraId="3D35742D" w14:textId="52608A9B">
            <w:pPr>
              <w:jc w:val="right"/>
              <w:rPr>
                <w:rFonts w:eastAsia="Calibri"/>
              </w:rPr>
            </w:pPr>
            <w:r w:rsidRPr="005622E0">
              <w:rPr>
                <w:rFonts w:eastAsia="Calibri"/>
              </w:rPr>
              <w:t>$</w:t>
            </w:r>
            <w:r>
              <w:rPr>
                <w:rFonts w:eastAsia="Calibri"/>
              </w:rPr>
              <w:t>112,425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FE4BB4" w14:paraId="46B6A868" w14:textId="77777777">
            <w:pPr>
              <w:rPr>
                <w:rFonts w:eastAsia="Calibri"/>
              </w:rPr>
            </w:pPr>
            <w:r w:rsidRPr="005622E0">
              <w:rPr>
                <w:rFonts w:eastAsia="Calibri"/>
              </w:rPr>
              <w:t xml:space="preserve"> </w:t>
            </w:r>
          </w:p>
          <w:p w:rsidR="00A620D3" w:rsidRPr="005622E0" w:rsidP="00FE4BB4" w14:paraId="68677140" w14:textId="77777777">
            <w:pPr>
              <w:rPr>
                <w:rFonts w:eastAsia="Calibri"/>
              </w:rPr>
            </w:pPr>
            <w:r w:rsidRPr="005622E0">
              <w:rPr>
                <w:rFonts w:eastAsia="Calibri"/>
              </w:rPr>
              <w:t xml:space="preserve"> 75.0%</w:t>
            </w:r>
          </w:p>
        </w:tc>
        <w:tc>
          <w:tcPr>
            <w:tcW w:w="1440" w:type="dxa"/>
            <w:tcBorders>
              <w:top w:val="nil"/>
              <w:left w:val="nil"/>
              <w:bottom w:val="single" w:sz="8" w:space="0" w:color="auto"/>
              <w:right w:val="single" w:sz="8" w:space="0" w:color="auto"/>
            </w:tcBorders>
          </w:tcPr>
          <w:p w:rsidR="00A620D3" w:rsidRPr="005622E0" w:rsidP="001C5F4C" w14:paraId="63708B6D" w14:textId="77777777">
            <w:pPr>
              <w:jc w:val="right"/>
            </w:pPr>
          </w:p>
          <w:p w:rsidR="00A620D3" w:rsidRPr="005622E0" w:rsidP="001C5F4C" w14:paraId="6FA1B301" w14:textId="56CD02CB">
            <w:pPr>
              <w:jc w:val="right"/>
            </w:pPr>
            <w:r>
              <w:t>$</w:t>
            </w:r>
            <w:r w:rsidR="00613EFC">
              <w:t>168,638</w:t>
            </w:r>
          </w:p>
        </w:tc>
      </w:tr>
      <w:tr w14:paraId="1951296D" w14:textId="77777777" w:rsidTr="00FE4BB4">
        <w:tblPrEx>
          <w:tblW w:w="7380" w:type="dxa"/>
          <w:tblInd w:w="-10" w:type="dxa"/>
          <w:tblLayout w:type="fixed"/>
          <w:tblCellMar>
            <w:left w:w="0" w:type="dxa"/>
            <w:right w:w="0" w:type="dxa"/>
          </w:tblCellMar>
          <w:tblLook w:val="04A0"/>
        </w:tblPrEx>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75E66E37" w14:textId="77777777">
            <w:pPr>
              <w:rPr>
                <w:rFonts w:eastAsia="Calibri"/>
              </w:rPr>
            </w:pPr>
            <w:r w:rsidRPr="005622E0">
              <w:rPr>
                <w:b/>
                <w:bCs/>
                <w:color w:val="000000"/>
              </w:rPr>
              <w:t>Total</w:t>
            </w:r>
          </w:p>
        </w:tc>
        <w:tc>
          <w:tcPr>
            <w:tcW w:w="651" w:type="dxa"/>
            <w:tcBorders>
              <w:top w:val="nil"/>
              <w:left w:val="nil"/>
              <w:bottom w:val="single" w:sz="8" w:space="0" w:color="auto"/>
              <w:right w:val="nil"/>
            </w:tcBorders>
          </w:tcPr>
          <w:p w:rsidR="00A620D3" w:rsidRPr="005622E0" w:rsidP="007C1C0B" w14:paraId="241F2007" w14:textId="210988E2">
            <w:pPr>
              <w:jc w:val="right"/>
              <w:rPr>
                <w:rFonts w:eastAsia="Calibri"/>
              </w:rPr>
            </w:pPr>
            <w:r>
              <w:rPr>
                <w:rFonts w:eastAsia="Calibri"/>
              </w:rPr>
              <w:t>11</w:t>
            </w:r>
          </w:p>
        </w:tc>
        <w:tc>
          <w:tcPr>
            <w:tcW w:w="791" w:type="dxa"/>
            <w:tcBorders>
              <w:top w:val="nil"/>
              <w:left w:val="nil"/>
              <w:bottom w:val="single" w:sz="8" w:space="0" w:color="auto"/>
              <w:right w:val="single" w:sz="8" w:space="0" w:color="auto"/>
            </w:tcBorders>
          </w:tcPr>
          <w:p w:rsidR="00A620D3" w:rsidRPr="005622E0" w:rsidP="00904785" w14:paraId="591C83AF" w14:textId="5726CC8C">
            <w:pPr>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904785" w14:paraId="35F4B3EE" w14:textId="20D941B4">
            <w:pPr>
              <w:jc w:val="center"/>
              <w:rPr>
                <w:rFonts w:eastAsia="Calibri"/>
              </w:rPr>
            </w:pPr>
            <w:r>
              <w:rPr>
                <w:rFonts w:eastAsia="Calibri"/>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904785" w14:paraId="07A785C2" w14:textId="5AE8D4FD">
            <w:pPr>
              <w:jc w:val="center"/>
              <w:rPr>
                <w:rFonts w:eastAsia="Calibri"/>
              </w:rPr>
            </w:pPr>
            <w:r>
              <w:rPr>
                <w:rFonts w:eastAsia="Calibri"/>
              </w:rPr>
              <w:t>---</w:t>
            </w:r>
          </w:p>
        </w:tc>
        <w:tc>
          <w:tcPr>
            <w:tcW w:w="1440" w:type="dxa"/>
            <w:tcBorders>
              <w:top w:val="nil"/>
              <w:left w:val="nil"/>
              <w:bottom w:val="single" w:sz="8" w:space="0" w:color="auto"/>
              <w:right w:val="single" w:sz="8" w:space="0" w:color="auto"/>
            </w:tcBorders>
            <w:hideMark/>
          </w:tcPr>
          <w:p w:rsidR="00A620D3" w:rsidRPr="005622E0" w:rsidP="001C5F4C" w14:paraId="40C32437" w14:textId="10882465">
            <w:pPr>
              <w:jc w:val="right"/>
              <w:rPr>
                <w:rFonts w:eastAsia="Calibri"/>
              </w:rPr>
            </w:pPr>
            <w:r>
              <w:rPr>
                <w:rFonts w:eastAsia="Calibri"/>
              </w:rPr>
              <w:t>$</w:t>
            </w:r>
            <w:r w:rsidR="00613EFC">
              <w:rPr>
                <w:rFonts w:eastAsia="Calibri"/>
              </w:rPr>
              <w:t>779,670</w:t>
            </w:r>
          </w:p>
        </w:tc>
      </w:tr>
    </w:tbl>
    <w:p w:rsidR="005F1862" w:rsidP="00490E59" w14:paraId="54E77176" w14:textId="04F2B09A">
      <w:pPr>
        <w:rPr>
          <w:b/>
        </w:rPr>
      </w:pPr>
      <w:r w:rsidRPr="00490E59">
        <w:rPr>
          <w:b/>
        </w:rPr>
        <w:t>Exhibit 6: Annual Cost to AHRQ for MEPS-MPC Oversight</w:t>
      </w:r>
    </w:p>
    <w:tbl>
      <w:tblPr>
        <w:tblW w:w="7380" w:type="dxa"/>
        <w:tblInd w:w="-10" w:type="dxa"/>
        <w:tblLayout w:type="fixed"/>
        <w:tblCellMar>
          <w:left w:w="0" w:type="dxa"/>
          <w:right w:w="0" w:type="dxa"/>
        </w:tblCellMar>
        <w:tblLook w:val="04A0"/>
      </w:tblPr>
      <w:tblGrid>
        <w:gridCol w:w="2428"/>
        <w:gridCol w:w="651"/>
        <w:gridCol w:w="791"/>
        <w:gridCol w:w="1170"/>
        <w:gridCol w:w="900"/>
        <w:gridCol w:w="1440"/>
      </w:tblGrid>
      <w:tr w14:paraId="5C8029C8" w14:textId="77777777" w:rsidTr="00FE4BB4">
        <w:tblPrEx>
          <w:tblW w:w="7380" w:type="dxa"/>
          <w:tblInd w:w="-10" w:type="dxa"/>
          <w:tblLayout w:type="fixed"/>
          <w:tblCellMar>
            <w:left w:w="0" w:type="dxa"/>
            <w:right w:w="0" w:type="dxa"/>
          </w:tblCellMar>
          <w:tblLook w:val="04A0"/>
        </w:tblPrEx>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620D3" w:rsidRPr="005622E0" w:rsidP="00FE4BB4" w14:paraId="40F1C492" w14:textId="77777777">
            <w:pPr>
              <w:rPr>
                <w:rFonts w:ascii="Calibri" w:eastAsia="Calibri" w:hAnsi="Calibri"/>
                <w:b/>
                <w:bCs/>
              </w:rPr>
            </w:pPr>
            <w:r w:rsidRPr="005622E0">
              <w:rPr>
                <w:b/>
                <w:bCs/>
                <w:color w:val="000000"/>
              </w:rPr>
              <w:t>Tasks/Personnel</w:t>
            </w:r>
          </w:p>
        </w:tc>
        <w:tc>
          <w:tcPr>
            <w:tcW w:w="651" w:type="dxa"/>
            <w:tcBorders>
              <w:top w:val="single" w:sz="8" w:space="0" w:color="auto"/>
              <w:left w:val="nil"/>
              <w:bottom w:val="single" w:sz="8" w:space="0" w:color="auto"/>
              <w:right w:val="nil"/>
            </w:tcBorders>
            <w:hideMark/>
          </w:tcPr>
          <w:p w:rsidR="00A620D3" w:rsidRPr="005622E0" w:rsidP="00FE4BB4" w14:paraId="160EE058" w14:textId="77777777">
            <w:pPr>
              <w:jc w:val="center"/>
              <w:rPr>
                <w:rFonts w:ascii="Calibri" w:eastAsia="Calibri" w:hAnsi="Calibri"/>
                <w:b/>
                <w:bCs/>
              </w:rPr>
            </w:pPr>
            <w:r w:rsidRPr="005622E0">
              <w:rPr>
                <w:b/>
                <w:bCs/>
              </w:rPr>
              <w:t>Staff</w:t>
            </w:r>
          </w:p>
          <w:p w:rsidR="00A620D3" w:rsidRPr="005622E0" w:rsidP="00FE4BB4" w14:paraId="53C15880" w14:textId="77777777">
            <w:pPr>
              <w:jc w:val="center"/>
              <w:rPr>
                <w:rFonts w:ascii="Calibri" w:eastAsia="Calibri" w:hAnsi="Calibri"/>
                <w:b/>
                <w:bCs/>
              </w:rPr>
            </w:pPr>
            <w:r w:rsidRPr="005622E0">
              <w:rPr>
                <w:b/>
                <w:bCs/>
              </w:rPr>
              <w:t>Count</w:t>
            </w:r>
          </w:p>
        </w:tc>
        <w:tc>
          <w:tcPr>
            <w:tcW w:w="791" w:type="dxa"/>
            <w:tcBorders>
              <w:top w:val="single" w:sz="8" w:space="0" w:color="auto"/>
              <w:left w:val="nil"/>
              <w:bottom w:val="single" w:sz="8" w:space="0" w:color="auto"/>
              <w:right w:val="single" w:sz="8" w:space="0" w:color="auto"/>
            </w:tcBorders>
          </w:tcPr>
          <w:p w:rsidR="00A620D3" w:rsidRPr="005622E0" w:rsidP="00FE4BB4" w14:paraId="3B6CF9BF" w14:textId="77777777">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5EB5E6A8" w14:textId="77777777">
            <w:pPr>
              <w:jc w:val="center"/>
              <w:rPr>
                <w:rFonts w:ascii="Calibri" w:eastAsia="Calibri" w:hAnsi="Calibri"/>
                <w:b/>
                <w:bCs/>
              </w:rPr>
            </w:pPr>
            <w:r w:rsidRPr="005622E0">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035EA5CF" w14:textId="77777777">
            <w:pPr>
              <w:jc w:val="center"/>
              <w:rPr>
                <w:rFonts w:ascii="Calibri" w:eastAsia="Calibri" w:hAnsi="Calibri"/>
                <w:b/>
                <w:bCs/>
              </w:rPr>
            </w:pPr>
            <w:r w:rsidRPr="005622E0">
              <w:rPr>
                <w:b/>
                <w:bCs/>
              </w:rPr>
              <w:t>% of Time</w:t>
            </w:r>
          </w:p>
        </w:tc>
        <w:tc>
          <w:tcPr>
            <w:tcW w:w="1440" w:type="dxa"/>
            <w:tcBorders>
              <w:top w:val="single" w:sz="8" w:space="0" w:color="auto"/>
              <w:left w:val="nil"/>
              <w:bottom w:val="single" w:sz="8" w:space="0" w:color="auto"/>
              <w:right w:val="single" w:sz="8" w:space="0" w:color="auto"/>
            </w:tcBorders>
          </w:tcPr>
          <w:p w:rsidR="00A620D3" w:rsidRPr="005622E0" w:rsidP="00FE4BB4" w14:paraId="610BA374" w14:textId="77777777">
            <w:pPr>
              <w:jc w:val="center"/>
              <w:rPr>
                <w:rFonts w:ascii="Calibri" w:eastAsia="Calibri" w:hAnsi="Calibri"/>
                <w:b/>
                <w:bCs/>
              </w:rPr>
            </w:pPr>
          </w:p>
          <w:p w:rsidR="00A620D3" w:rsidRPr="005622E0" w:rsidP="00FE4BB4" w14:paraId="168A8E42" w14:textId="77777777">
            <w:pPr>
              <w:jc w:val="center"/>
              <w:rPr>
                <w:rFonts w:ascii="Calibri" w:eastAsia="Calibri" w:hAnsi="Calibri"/>
                <w:b/>
                <w:bCs/>
              </w:rPr>
            </w:pPr>
            <w:r w:rsidRPr="005622E0">
              <w:rPr>
                <w:b/>
                <w:bCs/>
              </w:rPr>
              <w:t>Cost</w:t>
            </w:r>
          </w:p>
        </w:tc>
      </w:tr>
      <w:tr w14:paraId="4758A44C" w14:textId="77777777" w:rsidTr="00FE4BB4">
        <w:tblPrEx>
          <w:tblW w:w="7380" w:type="dxa"/>
          <w:tblInd w:w="-10" w:type="dxa"/>
          <w:tblLayout w:type="fixed"/>
          <w:tblCellMar>
            <w:left w:w="0" w:type="dxa"/>
            <w:right w:w="0" w:type="dxa"/>
          </w:tblCellMar>
          <w:tblLook w:val="04A0"/>
        </w:tblPrEx>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F4C" w:rsidRPr="005622E0" w:rsidP="001C5F4C" w14:paraId="3BCFB326" w14:textId="77777777">
            <w:pPr>
              <w:rPr>
                <w:rFonts w:eastAsia="Calibri"/>
              </w:rPr>
            </w:pPr>
            <w:r w:rsidRPr="005622E0">
              <w:t>Management Support: GS-15, Step 5 average</w:t>
            </w:r>
          </w:p>
        </w:tc>
        <w:tc>
          <w:tcPr>
            <w:tcW w:w="651" w:type="dxa"/>
            <w:tcBorders>
              <w:top w:val="nil"/>
              <w:left w:val="nil"/>
              <w:bottom w:val="single" w:sz="8" w:space="0" w:color="auto"/>
              <w:right w:val="nil"/>
            </w:tcBorders>
          </w:tcPr>
          <w:p w:rsidR="001C5F4C" w:rsidRPr="005622E0" w:rsidP="001C5F4C" w14:paraId="2A189C50" w14:textId="77777777">
            <w:pPr>
              <w:jc w:val="right"/>
              <w:rPr>
                <w:rFonts w:eastAsia="Calibri"/>
              </w:rPr>
            </w:pPr>
          </w:p>
          <w:p w:rsidR="001C5F4C" w:rsidRPr="005622E0" w:rsidP="001C5F4C" w14:paraId="0D3164EF" w14:textId="77777777">
            <w:pPr>
              <w:jc w:val="right"/>
              <w:rPr>
                <w:rFonts w:eastAsia="Calibri"/>
              </w:rPr>
            </w:pPr>
            <w:r w:rsidRPr="005622E0">
              <w:rPr>
                <w:rFonts w:eastAsia="Calibri"/>
              </w:rPr>
              <w:t>2</w:t>
            </w:r>
          </w:p>
        </w:tc>
        <w:tc>
          <w:tcPr>
            <w:tcW w:w="791" w:type="dxa"/>
            <w:tcBorders>
              <w:top w:val="nil"/>
              <w:left w:val="nil"/>
              <w:bottom w:val="single" w:sz="8" w:space="0" w:color="auto"/>
              <w:right w:val="single" w:sz="8" w:space="0" w:color="auto"/>
            </w:tcBorders>
          </w:tcPr>
          <w:p w:rsidR="001C5F4C" w:rsidRPr="005622E0" w:rsidP="001C5F4C" w14:paraId="3AF9DD52"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6E3FCD96" w14:textId="77777777">
            <w:pPr>
              <w:jc w:val="right"/>
              <w:rPr>
                <w:rFonts w:eastAsia="Calibri"/>
              </w:rPr>
            </w:pPr>
          </w:p>
          <w:p w:rsidR="001C5F4C" w:rsidRPr="005622E0" w:rsidP="001C5F4C" w14:paraId="5790F101" w14:textId="19ACE421">
            <w:pPr>
              <w:jc w:val="right"/>
              <w:rPr>
                <w:rFonts w:eastAsia="Calibri"/>
              </w:rPr>
            </w:pPr>
            <w:r w:rsidRPr="005622E0">
              <w:t>$</w:t>
            </w:r>
            <w:r w:rsidR="00712D7B">
              <w:t>185,824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6E7A9AB0" w14:textId="77777777">
            <w:pPr>
              <w:jc w:val="right"/>
              <w:rPr>
                <w:rFonts w:eastAsia="Calibri"/>
              </w:rPr>
            </w:pPr>
          </w:p>
          <w:p w:rsidR="001C5F4C" w:rsidRPr="005622E0" w:rsidP="001C5F4C" w14:paraId="708D3E48" w14:textId="77777777">
            <w:pPr>
              <w:jc w:val="right"/>
              <w:rPr>
                <w:rFonts w:eastAsia="Calibri"/>
              </w:rPr>
            </w:pPr>
            <w:r w:rsidRPr="005622E0">
              <w:t>33.3%</w:t>
            </w:r>
          </w:p>
        </w:tc>
        <w:tc>
          <w:tcPr>
            <w:tcW w:w="1440" w:type="dxa"/>
            <w:tcBorders>
              <w:top w:val="nil"/>
              <w:left w:val="nil"/>
              <w:bottom w:val="single" w:sz="8" w:space="0" w:color="auto"/>
              <w:right w:val="single" w:sz="8" w:space="0" w:color="auto"/>
            </w:tcBorders>
          </w:tcPr>
          <w:p w:rsidR="001C5F4C" w:rsidRPr="005622E0" w:rsidP="001C5F4C" w14:paraId="759B432B" w14:textId="77777777">
            <w:pPr>
              <w:jc w:val="right"/>
              <w:rPr>
                <w:rFonts w:eastAsia="Calibri"/>
              </w:rPr>
            </w:pPr>
          </w:p>
          <w:p w:rsidR="001C5F4C" w:rsidRPr="005622E0" w:rsidP="001C5F4C" w14:paraId="606CC1EE" w14:textId="44EB9020">
            <w:pPr>
              <w:jc w:val="right"/>
              <w:rPr>
                <w:rFonts w:eastAsia="Calibri"/>
              </w:rPr>
            </w:pPr>
            <w:r>
              <w:t>$</w:t>
            </w:r>
            <w:r w:rsidR="00712D7B">
              <w:t>123,759</w:t>
            </w:r>
            <w:r w:rsidRPr="005622E0">
              <w:t xml:space="preserve">  </w:t>
            </w:r>
          </w:p>
        </w:tc>
      </w:tr>
      <w:tr w14:paraId="4DB94D72" w14:textId="77777777" w:rsidTr="00FE4BB4">
        <w:tblPrEx>
          <w:tblW w:w="7380" w:type="dxa"/>
          <w:tblInd w:w="-10" w:type="dxa"/>
          <w:tblLayout w:type="fixed"/>
          <w:tblCellMar>
            <w:left w:w="0" w:type="dxa"/>
            <w:right w:w="0" w:type="dxa"/>
          </w:tblCellMar>
          <w:tblLook w:val="04A0"/>
        </w:tblPrEx>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C5F4C" w:rsidRPr="005622E0" w:rsidP="001C5F4C" w14:paraId="2EA3D379" w14:textId="77777777">
            <w:pPr>
              <w:rPr>
                <w:rFonts w:eastAsia="Calibri"/>
              </w:rPr>
            </w:pPr>
            <w:r w:rsidRPr="005622E0">
              <w:t>Survey/Statistical Support: GS-14, Step 5 average</w:t>
            </w:r>
          </w:p>
        </w:tc>
        <w:tc>
          <w:tcPr>
            <w:tcW w:w="651" w:type="dxa"/>
            <w:tcBorders>
              <w:top w:val="nil"/>
              <w:left w:val="nil"/>
              <w:bottom w:val="single" w:sz="8" w:space="0" w:color="auto"/>
              <w:right w:val="nil"/>
            </w:tcBorders>
          </w:tcPr>
          <w:p w:rsidR="001C5F4C" w:rsidRPr="005622E0" w:rsidP="001C5F4C" w14:paraId="5DF496F5" w14:textId="77777777">
            <w:pPr>
              <w:jc w:val="right"/>
              <w:rPr>
                <w:rFonts w:eastAsia="Calibri"/>
              </w:rPr>
            </w:pPr>
          </w:p>
          <w:p w:rsidR="00613EFC" w:rsidP="001C5F4C" w14:paraId="054962D2" w14:textId="77777777">
            <w:pPr>
              <w:jc w:val="right"/>
              <w:rPr>
                <w:rFonts w:eastAsia="Calibri"/>
              </w:rPr>
            </w:pPr>
          </w:p>
          <w:p w:rsidR="001C5F4C" w:rsidRPr="005622E0" w:rsidP="001C5F4C" w14:paraId="0B501238" w14:textId="7357AB09">
            <w:pPr>
              <w:jc w:val="right"/>
              <w:rPr>
                <w:rFonts w:eastAsia="Calibri"/>
              </w:rPr>
            </w:pPr>
            <w:r w:rsidRPr="005622E0">
              <w:rPr>
                <w:rFonts w:eastAsia="Calibri"/>
              </w:rPr>
              <w:t>2</w:t>
            </w:r>
          </w:p>
        </w:tc>
        <w:tc>
          <w:tcPr>
            <w:tcW w:w="791" w:type="dxa"/>
            <w:tcBorders>
              <w:top w:val="nil"/>
              <w:left w:val="nil"/>
              <w:bottom w:val="single" w:sz="8" w:space="0" w:color="auto"/>
              <w:right w:val="single" w:sz="8" w:space="0" w:color="auto"/>
            </w:tcBorders>
          </w:tcPr>
          <w:p w:rsidR="001C5F4C" w:rsidRPr="005622E0" w:rsidP="001C5F4C" w14:paraId="19D7A053"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613EFC" w:rsidP="001C5F4C" w14:paraId="4AF018B2" w14:textId="77777777">
            <w:pPr>
              <w:jc w:val="right"/>
            </w:pPr>
          </w:p>
          <w:p w:rsidR="00613EFC" w:rsidP="001C5F4C" w14:paraId="298156FA" w14:textId="77777777">
            <w:pPr>
              <w:jc w:val="right"/>
            </w:pPr>
          </w:p>
          <w:p w:rsidR="001C5F4C" w:rsidRPr="005622E0" w:rsidP="001C5F4C" w14:paraId="002E498D" w14:textId="6FB262B3">
            <w:pPr>
              <w:jc w:val="right"/>
              <w:rPr>
                <w:rFonts w:eastAsia="Calibri"/>
              </w:rPr>
            </w:pPr>
            <w:r w:rsidRPr="005622E0">
              <w:t>$</w:t>
            </w:r>
            <w:r w:rsidR="00712D7B">
              <w:t>157,982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613EFC" w:rsidP="001C5F4C" w14:paraId="57FF1C7F" w14:textId="77777777">
            <w:pPr>
              <w:jc w:val="right"/>
            </w:pPr>
          </w:p>
          <w:p w:rsidR="00613EFC" w:rsidP="001C5F4C" w14:paraId="0802D502" w14:textId="77777777">
            <w:pPr>
              <w:jc w:val="right"/>
            </w:pPr>
          </w:p>
          <w:p w:rsidR="001C5F4C" w:rsidRPr="005622E0" w:rsidP="001C5F4C" w14:paraId="0AC85EF2" w14:textId="70F527C0">
            <w:pPr>
              <w:jc w:val="right"/>
              <w:rPr>
                <w:rFonts w:eastAsia="Calibri"/>
              </w:rPr>
            </w:pPr>
            <w:r w:rsidRPr="005622E0">
              <w:t>50.0%</w:t>
            </w:r>
          </w:p>
        </w:tc>
        <w:tc>
          <w:tcPr>
            <w:tcW w:w="1440" w:type="dxa"/>
            <w:tcBorders>
              <w:top w:val="nil"/>
              <w:left w:val="nil"/>
              <w:bottom w:val="single" w:sz="8" w:space="0" w:color="auto"/>
              <w:right w:val="single" w:sz="8" w:space="0" w:color="auto"/>
            </w:tcBorders>
          </w:tcPr>
          <w:p w:rsidR="001C5F4C" w:rsidRPr="005622E0" w:rsidP="001C5F4C" w14:paraId="43EF30A6" w14:textId="77777777">
            <w:pPr>
              <w:jc w:val="right"/>
              <w:rPr>
                <w:rFonts w:eastAsia="Calibri"/>
              </w:rPr>
            </w:pPr>
          </w:p>
          <w:p w:rsidR="00613EFC" w:rsidP="001C5F4C" w14:paraId="3071C56A" w14:textId="77777777">
            <w:pPr>
              <w:jc w:val="right"/>
              <w:rPr>
                <w:rFonts w:eastAsia="Calibri"/>
              </w:rPr>
            </w:pPr>
          </w:p>
          <w:p w:rsidR="001C5F4C" w:rsidRPr="005622E0" w:rsidP="001C5F4C" w14:paraId="4A2A2424" w14:textId="61F288AA">
            <w:pPr>
              <w:jc w:val="right"/>
              <w:rPr>
                <w:rFonts w:eastAsia="Calibri"/>
              </w:rPr>
            </w:pPr>
            <w:r>
              <w:rPr>
                <w:rFonts w:eastAsia="Calibri"/>
              </w:rPr>
              <w:t>$</w:t>
            </w:r>
            <w:r w:rsidR="00712D7B">
              <w:rPr>
                <w:rFonts w:eastAsia="Calibri"/>
              </w:rPr>
              <w:t>157,982</w:t>
            </w:r>
          </w:p>
        </w:tc>
      </w:tr>
      <w:tr w14:paraId="35742028" w14:textId="77777777" w:rsidTr="00FE4BB4">
        <w:tblPrEx>
          <w:tblW w:w="7380" w:type="dxa"/>
          <w:tblInd w:w="-10" w:type="dxa"/>
          <w:tblLayout w:type="fixed"/>
          <w:tblCellMar>
            <w:left w:w="0" w:type="dxa"/>
            <w:right w:w="0" w:type="dxa"/>
          </w:tblCellMar>
          <w:tblLook w:val="04A0"/>
        </w:tblPrEx>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C5F4C" w:rsidRPr="005622E0" w:rsidP="001C5F4C" w14:paraId="58DCFC7C" w14:textId="77777777">
            <w:pPr>
              <w:rPr>
                <w:rFonts w:eastAsia="Calibri"/>
              </w:rPr>
            </w:pPr>
            <w:r w:rsidRPr="005622E0">
              <w:t>Research Support: GS-13, Step 5 average</w:t>
            </w:r>
          </w:p>
        </w:tc>
        <w:tc>
          <w:tcPr>
            <w:tcW w:w="651" w:type="dxa"/>
            <w:tcBorders>
              <w:top w:val="nil"/>
              <w:left w:val="nil"/>
              <w:bottom w:val="single" w:sz="8" w:space="0" w:color="auto"/>
              <w:right w:val="nil"/>
            </w:tcBorders>
          </w:tcPr>
          <w:p w:rsidR="001C5F4C" w:rsidRPr="005622E0" w:rsidP="001C5F4C" w14:paraId="30CEF45E" w14:textId="77777777">
            <w:pPr>
              <w:jc w:val="right"/>
              <w:rPr>
                <w:rFonts w:eastAsia="Calibri"/>
              </w:rPr>
            </w:pPr>
          </w:p>
          <w:p w:rsidR="001C5F4C" w:rsidRPr="005622E0" w:rsidP="001C5F4C" w14:paraId="0E819364" w14:textId="77777777">
            <w:pPr>
              <w:jc w:val="right"/>
              <w:rPr>
                <w:rFonts w:eastAsia="Calibri"/>
              </w:rPr>
            </w:pPr>
            <w:r w:rsidRPr="005622E0">
              <w:rPr>
                <w:rFonts w:eastAsia="Calibri"/>
              </w:rPr>
              <w:t>1</w:t>
            </w:r>
          </w:p>
        </w:tc>
        <w:tc>
          <w:tcPr>
            <w:tcW w:w="791" w:type="dxa"/>
            <w:tcBorders>
              <w:top w:val="nil"/>
              <w:left w:val="nil"/>
              <w:bottom w:val="single" w:sz="8" w:space="0" w:color="auto"/>
              <w:right w:val="single" w:sz="8" w:space="0" w:color="auto"/>
            </w:tcBorders>
          </w:tcPr>
          <w:p w:rsidR="001C5F4C" w:rsidRPr="005622E0" w:rsidP="001C5F4C" w14:paraId="1C00239E"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6EDCAFEA" w14:textId="77777777">
            <w:pPr>
              <w:jc w:val="right"/>
              <w:rPr>
                <w:rFonts w:eastAsia="Calibri"/>
              </w:rPr>
            </w:pPr>
          </w:p>
          <w:p w:rsidR="001C5F4C" w:rsidRPr="005622E0" w:rsidP="001C5F4C" w14:paraId="157745EC" w14:textId="0EAC867D">
            <w:pPr>
              <w:jc w:val="right"/>
              <w:rPr>
                <w:rFonts w:eastAsia="Calibri"/>
              </w:rPr>
            </w:pPr>
            <w:r w:rsidRPr="005622E0">
              <w:t>$</w:t>
            </w:r>
            <w:r w:rsidR="00712D7B">
              <w:t>133,692</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1BC2304D" w14:textId="77777777">
            <w:pPr>
              <w:jc w:val="right"/>
              <w:rPr>
                <w:rFonts w:eastAsia="Calibri"/>
              </w:rPr>
            </w:pPr>
          </w:p>
          <w:p w:rsidR="001C5F4C" w:rsidRPr="005622E0" w:rsidP="001C5F4C" w14:paraId="03C3AAFB" w14:textId="77777777">
            <w:pPr>
              <w:jc w:val="right"/>
              <w:rPr>
                <w:rFonts w:eastAsia="Calibri"/>
              </w:rPr>
            </w:pPr>
            <w:r w:rsidRPr="005622E0">
              <w:t>50.0%</w:t>
            </w:r>
          </w:p>
        </w:tc>
        <w:tc>
          <w:tcPr>
            <w:tcW w:w="1440" w:type="dxa"/>
            <w:tcBorders>
              <w:top w:val="nil"/>
              <w:left w:val="nil"/>
              <w:bottom w:val="single" w:sz="8" w:space="0" w:color="auto"/>
              <w:right w:val="single" w:sz="8" w:space="0" w:color="auto"/>
            </w:tcBorders>
          </w:tcPr>
          <w:p w:rsidR="001C5F4C" w:rsidRPr="005622E0" w:rsidP="001C5F4C" w14:paraId="04830AB9" w14:textId="77777777">
            <w:pPr>
              <w:jc w:val="right"/>
              <w:rPr>
                <w:rFonts w:eastAsia="Calibri"/>
              </w:rPr>
            </w:pPr>
          </w:p>
          <w:p w:rsidR="001C5F4C" w:rsidRPr="005622E0" w:rsidP="001C5F4C" w14:paraId="323EFCC7" w14:textId="663C91AC">
            <w:pPr>
              <w:jc w:val="right"/>
              <w:rPr>
                <w:rFonts w:eastAsia="Calibri"/>
              </w:rPr>
            </w:pPr>
            <w:r>
              <w:rPr>
                <w:rFonts w:eastAsia="Calibri"/>
              </w:rPr>
              <w:t>$</w:t>
            </w:r>
            <w:r w:rsidR="00712D7B">
              <w:rPr>
                <w:rFonts w:eastAsia="Calibri"/>
              </w:rPr>
              <w:t>66,846</w:t>
            </w:r>
          </w:p>
        </w:tc>
      </w:tr>
      <w:tr w14:paraId="077FF706" w14:textId="77777777" w:rsidTr="00FE4BB4">
        <w:tblPrEx>
          <w:tblW w:w="7380" w:type="dxa"/>
          <w:tblInd w:w="-10" w:type="dxa"/>
          <w:tblLayout w:type="fixed"/>
          <w:tblCellMar>
            <w:left w:w="0" w:type="dxa"/>
            <w:right w:w="0" w:type="dxa"/>
          </w:tblCellMar>
          <w:tblLook w:val="04A0"/>
        </w:tblPrEx>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C5F4C" w:rsidRPr="005622E0" w:rsidP="001C5F4C" w14:paraId="43026B68" w14:textId="77777777">
            <w:pPr>
              <w:rPr>
                <w:b/>
                <w:bCs/>
                <w:color w:val="000000"/>
              </w:rPr>
            </w:pPr>
            <w:r w:rsidRPr="005622E0">
              <w:t>Research Support: GS-12, Step 5 average</w:t>
            </w:r>
          </w:p>
        </w:tc>
        <w:tc>
          <w:tcPr>
            <w:tcW w:w="651" w:type="dxa"/>
            <w:tcBorders>
              <w:top w:val="nil"/>
              <w:left w:val="nil"/>
              <w:bottom w:val="single" w:sz="8" w:space="0" w:color="auto"/>
              <w:right w:val="nil"/>
            </w:tcBorders>
          </w:tcPr>
          <w:p w:rsidR="001C5F4C" w:rsidRPr="005622E0" w:rsidP="001C5F4C" w14:paraId="4EDF5C8E" w14:textId="77777777">
            <w:pPr>
              <w:tabs>
                <w:tab w:val="left" w:pos="504"/>
              </w:tabs>
              <w:rPr>
                <w:rFonts w:eastAsia="Calibri"/>
              </w:rPr>
            </w:pPr>
            <w:r w:rsidRPr="005622E0">
              <w:rPr>
                <w:rFonts w:eastAsia="Calibri"/>
              </w:rPr>
              <w:tab/>
            </w:r>
          </w:p>
          <w:p w:rsidR="001C5F4C" w:rsidRPr="005622E0" w:rsidP="001C5F4C" w14:paraId="69EEA360" w14:textId="77777777">
            <w:pPr>
              <w:tabs>
                <w:tab w:val="left" w:pos="504"/>
              </w:tabs>
              <w:jc w:val="center"/>
              <w:rPr>
                <w:rFonts w:eastAsia="Calibri"/>
              </w:rPr>
            </w:pPr>
            <w:r w:rsidRPr="005622E0">
              <w:rPr>
                <w:rFonts w:eastAsia="Calibri"/>
              </w:rPr>
              <w:t xml:space="preserve">        1</w:t>
            </w:r>
          </w:p>
        </w:tc>
        <w:tc>
          <w:tcPr>
            <w:tcW w:w="791" w:type="dxa"/>
            <w:tcBorders>
              <w:top w:val="nil"/>
              <w:left w:val="nil"/>
              <w:bottom w:val="single" w:sz="8" w:space="0" w:color="auto"/>
              <w:right w:val="single" w:sz="8" w:space="0" w:color="auto"/>
            </w:tcBorders>
          </w:tcPr>
          <w:p w:rsidR="001C5F4C" w:rsidRPr="005622E0" w:rsidP="001C5F4C" w14:paraId="02FE9A62" w14:textId="77777777">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4F7D3491" w14:textId="77777777">
            <w:pPr>
              <w:jc w:val="right"/>
              <w:rPr>
                <w:rFonts w:eastAsia="Calibri"/>
              </w:rPr>
            </w:pPr>
          </w:p>
          <w:p w:rsidR="001C5F4C" w:rsidRPr="005622E0" w:rsidP="001C5F4C" w14:paraId="3981F225" w14:textId="5FB3FC14">
            <w:pPr>
              <w:jc w:val="right"/>
              <w:rPr>
                <w:rFonts w:eastAsia="Calibri"/>
              </w:rPr>
            </w:pPr>
            <w:r w:rsidRPr="005622E0">
              <w:rPr>
                <w:rFonts w:eastAsia="Calibri"/>
              </w:rPr>
              <w:t>$</w:t>
            </w:r>
            <w:r w:rsidR="00712D7B">
              <w:rPr>
                <w:rFonts w:eastAsia="Calibri"/>
              </w:rPr>
              <w:t>112,425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1C5F4C" w:rsidRPr="005622E0" w:rsidP="001C5F4C" w14:paraId="493335CE" w14:textId="77777777">
            <w:pPr>
              <w:rPr>
                <w:rFonts w:eastAsia="Calibri"/>
              </w:rPr>
            </w:pPr>
            <w:r w:rsidRPr="005622E0">
              <w:rPr>
                <w:rFonts w:eastAsia="Calibri"/>
              </w:rPr>
              <w:t xml:space="preserve"> </w:t>
            </w:r>
          </w:p>
          <w:p w:rsidR="001C5F4C" w:rsidRPr="005622E0" w:rsidP="001C5F4C" w14:paraId="4CA3FACC" w14:textId="77777777">
            <w:pPr>
              <w:rPr>
                <w:rFonts w:eastAsia="Calibri"/>
              </w:rPr>
            </w:pPr>
            <w:r w:rsidRPr="005622E0">
              <w:rPr>
                <w:rFonts w:eastAsia="Calibri"/>
              </w:rPr>
              <w:t>33.3%</w:t>
            </w:r>
          </w:p>
        </w:tc>
        <w:tc>
          <w:tcPr>
            <w:tcW w:w="1440" w:type="dxa"/>
            <w:tcBorders>
              <w:top w:val="nil"/>
              <w:left w:val="nil"/>
              <w:bottom w:val="single" w:sz="8" w:space="0" w:color="auto"/>
              <w:right w:val="single" w:sz="8" w:space="0" w:color="auto"/>
            </w:tcBorders>
          </w:tcPr>
          <w:p w:rsidR="001C5F4C" w:rsidRPr="005622E0" w:rsidP="001C5F4C" w14:paraId="49D95194" w14:textId="77777777"/>
          <w:p w:rsidR="001C5F4C" w:rsidRPr="005622E0" w:rsidP="001C5F4C" w14:paraId="311B8311" w14:textId="29AB4510">
            <w:pPr>
              <w:jc w:val="right"/>
            </w:pPr>
            <w:r>
              <w:t>$</w:t>
            </w:r>
            <w:r w:rsidR="00712D7B">
              <w:t>37,438</w:t>
            </w:r>
          </w:p>
        </w:tc>
      </w:tr>
      <w:tr w14:paraId="279E20E3" w14:textId="77777777" w:rsidTr="00FE4BB4">
        <w:tblPrEx>
          <w:tblW w:w="7380" w:type="dxa"/>
          <w:tblInd w:w="-10" w:type="dxa"/>
          <w:tblLayout w:type="fixed"/>
          <w:tblCellMar>
            <w:left w:w="0" w:type="dxa"/>
            <w:right w:w="0" w:type="dxa"/>
          </w:tblCellMar>
          <w:tblLook w:val="04A0"/>
        </w:tblPrEx>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20D3" w:rsidRPr="005622E0" w:rsidP="00FE4BB4" w14:paraId="53345E78" w14:textId="77777777">
            <w:pPr>
              <w:rPr>
                <w:rFonts w:eastAsia="Calibri"/>
              </w:rPr>
            </w:pPr>
            <w:r w:rsidRPr="005622E0">
              <w:rPr>
                <w:b/>
                <w:bCs/>
                <w:color w:val="000000"/>
              </w:rPr>
              <w:t>Total</w:t>
            </w:r>
          </w:p>
        </w:tc>
        <w:tc>
          <w:tcPr>
            <w:tcW w:w="651" w:type="dxa"/>
            <w:tcBorders>
              <w:top w:val="nil"/>
              <w:left w:val="nil"/>
              <w:bottom w:val="single" w:sz="8" w:space="0" w:color="auto"/>
              <w:right w:val="nil"/>
            </w:tcBorders>
          </w:tcPr>
          <w:p w:rsidR="00A620D3" w:rsidRPr="005622E0" w:rsidP="00FE4BB4" w14:paraId="1B1911C4" w14:textId="6307CAF1">
            <w:pPr>
              <w:jc w:val="right"/>
              <w:rPr>
                <w:rFonts w:eastAsia="Calibri"/>
              </w:rPr>
            </w:pPr>
            <w:r>
              <w:rPr>
                <w:rFonts w:eastAsia="Calibri"/>
              </w:rPr>
              <w:t>6</w:t>
            </w:r>
          </w:p>
        </w:tc>
        <w:tc>
          <w:tcPr>
            <w:tcW w:w="791" w:type="dxa"/>
            <w:tcBorders>
              <w:top w:val="nil"/>
              <w:left w:val="nil"/>
              <w:bottom w:val="single" w:sz="8" w:space="0" w:color="auto"/>
              <w:right w:val="single" w:sz="8" w:space="0" w:color="auto"/>
            </w:tcBorders>
          </w:tcPr>
          <w:p w:rsidR="00A620D3" w:rsidRPr="005622E0" w:rsidP="00DA44B1" w14:paraId="2BCB3C75" w14:textId="4A275C2B">
            <w:pPr>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DA44B1" w14:paraId="2EDB2D72" w14:textId="4DDD2FEF">
            <w:pPr>
              <w:jc w:val="center"/>
              <w:rPr>
                <w:rFonts w:eastAsia="Calibri"/>
              </w:rPr>
            </w:pPr>
            <w:r>
              <w:rPr>
                <w:rFonts w:eastAsia="Calibri"/>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A620D3" w:rsidRPr="005622E0" w:rsidP="00DA44B1" w14:paraId="296B3932" w14:textId="6E643DFE">
            <w:pPr>
              <w:jc w:val="center"/>
              <w:rPr>
                <w:rFonts w:eastAsia="Calibri"/>
              </w:rPr>
            </w:pPr>
            <w:r>
              <w:rPr>
                <w:rFonts w:eastAsia="Calibri"/>
              </w:rPr>
              <w:t>---</w:t>
            </w:r>
          </w:p>
        </w:tc>
        <w:tc>
          <w:tcPr>
            <w:tcW w:w="1440" w:type="dxa"/>
            <w:tcBorders>
              <w:top w:val="nil"/>
              <w:left w:val="nil"/>
              <w:bottom w:val="single" w:sz="8" w:space="0" w:color="auto"/>
              <w:right w:val="single" w:sz="8" w:space="0" w:color="auto"/>
            </w:tcBorders>
            <w:hideMark/>
          </w:tcPr>
          <w:p w:rsidR="00A620D3" w:rsidRPr="005622E0" w:rsidP="00FE4BB4" w14:paraId="117DF148" w14:textId="6A7E3F30">
            <w:pPr>
              <w:jc w:val="right"/>
              <w:rPr>
                <w:rFonts w:eastAsia="Calibri"/>
              </w:rPr>
            </w:pPr>
            <w:r>
              <w:rPr>
                <w:rFonts w:eastAsia="Calibri"/>
              </w:rPr>
              <w:t>$</w:t>
            </w:r>
            <w:r w:rsidR="00712D7B">
              <w:rPr>
                <w:rFonts w:eastAsia="Calibri"/>
              </w:rPr>
              <w:t>386,025</w:t>
            </w:r>
          </w:p>
        </w:tc>
      </w:tr>
    </w:tbl>
    <w:p w:rsidR="00490E59" w:rsidP="00490E59" w14:paraId="10D19B84" w14:textId="1B588E95">
      <w:r w:rsidRPr="00490E59">
        <w:rPr>
          <w:color w:val="000000"/>
        </w:rPr>
        <w:t>Annual salaries based on 20</w:t>
      </w:r>
      <w:r>
        <w:rPr>
          <w:color w:val="000000"/>
        </w:rPr>
        <w:t>2</w:t>
      </w:r>
      <w:r w:rsidR="00712D7B">
        <w:rPr>
          <w:color w:val="000000"/>
        </w:rPr>
        <w:t>4</w:t>
      </w:r>
      <w:r w:rsidRPr="00490E59">
        <w:rPr>
          <w:color w:val="000000"/>
        </w:rPr>
        <w:t xml:space="preserve"> OPM Pay Schedule for Washington/DC area:</w:t>
      </w:r>
      <w:r w:rsidRPr="00490E59">
        <w:t xml:space="preserve"> </w:t>
      </w:r>
    </w:p>
    <w:p w:rsidR="00490E59" w:rsidRPr="00490E59" w:rsidP="00490E59" w14:paraId="7E3C8A3D" w14:textId="77777777"/>
    <w:p w:rsidR="009B633D" w:rsidRPr="00412C6F" w:rsidP="009B633D" w14:paraId="443CEC1B" w14:textId="77777777">
      <w:pPr>
        <w:pStyle w:val="Heading2"/>
        <w:rPr>
          <w:sz w:val="24"/>
        </w:rPr>
      </w:pPr>
      <w:bookmarkStart w:id="67" w:name="_Toc151782190"/>
      <w:bookmarkStart w:id="68" w:name="_Toc158526230"/>
      <w:r w:rsidRPr="00412C6F">
        <w:rPr>
          <w:sz w:val="24"/>
        </w:rPr>
        <w:t>15. Changes in Hour Burden</w:t>
      </w:r>
      <w:bookmarkEnd w:id="67"/>
      <w:bookmarkEnd w:id="68"/>
    </w:p>
    <w:p w:rsidR="00490E59" w:rsidRPr="00A235BE" w:rsidP="009B633D" w14:paraId="3211E31C" w14:textId="279E0DA3">
      <w:pPr>
        <w:pStyle w:val="Heading2"/>
        <w:rPr>
          <w:rFonts w:ascii="Times New Roman" w:hAnsi="Times New Roman" w:cs="Times New Roman"/>
          <w:b w:val="0"/>
          <w:bCs w:val="0"/>
          <w:i w:val="0"/>
          <w:iCs w:val="0"/>
          <w:sz w:val="24"/>
        </w:rPr>
      </w:pPr>
      <w:bookmarkStart w:id="69" w:name="_Toc151782191"/>
      <w:bookmarkStart w:id="70" w:name="_Toc158526231"/>
      <w:r w:rsidRPr="00A235BE">
        <w:rPr>
          <w:rFonts w:ascii="Times New Roman" w:hAnsi="Times New Roman" w:cs="Times New Roman"/>
          <w:b w:val="0"/>
          <w:bCs w:val="0"/>
          <w:i w:val="0"/>
          <w:iCs w:val="0"/>
          <w:sz w:val="24"/>
        </w:rPr>
        <w:t xml:space="preserve">The burden estimate for the MEPS-HC and MPC is reduced by </w:t>
      </w:r>
      <w:r w:rsidR="00F20D31">
        <w:rPr>
          <w:rFonts w:ascii="Times New Roman" w:hAnsi="Times New Roman" w:cs="Times New Roman"/>
          <w:b w:val="0"/>
          <w:bCs w:val="0"/>
          <w:i w:val="0"/>
          <w:iCs w:val="0"/>
          <w:sz w:val="24"/>
        </w:rPr>
        <w:t>9,011</w:t>
      </w:r>
      <w:r w:rsidRPr="00A235BE">
        <w:rPr>
          <w:rFonts w:ascii="Times New Roman" w:hAnsi="Times New Roman" w:cs="Times New Roman"/>
          <w:b w:val="0"/>
          <w:bCs w:val="0"/>
          <w:i w:val="0"/>
          <w:iCs w:val="0"/>
          <w:sz w:val="24"/>
        </w:rPr>
        <w:t xml:space="preserve"> hours</w:t>
      </w:r>
      <w:r>
        <w:rPr>
          <w:rFonts w:ascii="Times New Roman" w:hAnsi="Times New Roman" w:cs="Times New Roman"/>
          <w:b w:val="0"/>
          <w:bCs w:val="0"/>
          <w:i w:val="0"/>
          <w:iCs w:val="0"/>
          <w:sz w:val="24"/>
        </w:rPr>
        <w:t xml:space="preserve"> is this ICR.  This reduction comes primarily through a reduction in sample size.</w:t>
      </w:r>
      <w:r w:rsidRPr="00A235BE">
        <w:rPr>
          <w:rFonts w:ascii="Times New Roman" w:hAnsi="Times New Roman" w:cs="Times New Roman"/>
          <w:b w:val="0"/>
          <w:bCs w:val="0"/>
          <w:i w:val="0"/>
          <w:iCs w:val="0"/>
          <w:sz w:val="24"/>
        </w:rPr>
        <w:t xml:space="preserve"> </w:t>
      </w:r>
    </w:p>
    <w:p w:rsidR="009B633D" w:rsidRPr="00412C6F" w:rsidP="009B633D" w14:paraId="3D6F17BD" w14:textId="4A9E32DB">
      <w:pPr>
        <w:pStyle w:val="Heading2"/>
        <w:rPr>
          <w:sz w:val="24"/>
        </w:rPr>
      </w:pPr>
      <w:r w:rsidRPr="00412C6F">
        <w:rPr>
          <w:sz w:val="24"/>
        </w:rPr>
        <w:t>16. Time Schedule, Publication and Analysis Plans</w:t>
      </w:r>
      <w:bookmarkEnd w:id="69"/>
      <w:bookmarkEnd w:id="70"/>
    </w:p>
    <w:p w:rsidR="00613EFC" w:rsidRPr="00825B3C" w:rsidP="00613EFC" w14:paraId="299F6AE2" w14:textId="688E9BD2">
      <w:bookmarkStart w:id="71" w:name="_Toc151782196"/>
      <w:bookmarkStart w:id="72" w:name="_Toc158526232"/>
      <w:r w:rsidRPr="00825B3C">
        <w:t xml:space="preserve">Data collected from the MEPS will be used in a variety of descriptive analysis.  </w:t>
      </w:r>
      <w:r>
        <w:t>AHRQs’</w:t>
      </w:r>
      <w:r w:rsidRPr="00825B3C">
        <w:t xml:space="preserve"> website </w:t>
      </w:r>
      <w:hyperlink r:id="rId10" w:history="1">
        <w:r w:rsidRPr="00825B3C">
          <w:rPr>
            <w:rStyle w:val="Hyperlink"/>
          </w:rPr>
          <w:t>www.meps.ahrq.gov</w:t>
        </w:r>
      </w:hyperlink>
      <w:r w:rsidRPr="00825B3C">
        <w:t xml:space="preserve"> contains examples of publications.  Those publications include statistical briefs, research findings, chartbooks, and journal articles.   In addition, tabular data is presented on the website</w:t>
      </w:r>
      <w:r w:rsidR="00561AFE">
        <w:t>.</w:t>
      </w:r>
      <w:r w:rsidRPr="00825B3C">
        <w:t xml:space="preserve"> </w:t>
      </w:r>
      <w:r w:rsidR="00561AFE">
        <w:t xml:space="preserve"> </w:t>
      </w:r>
      <w:r w:rsidRPr="00825B3C">
        <w:t>Special analytic reports will be issued on an ad-hoc basis, and other analyses will be presented at annual meetings of professional associations and in professional journals.</w:t>
      </w:r>
    </w:p>
    <w:p w:rsidR="00613EFC" w:rsidRPr="00825B3C" w:rsidP="00613EFC" w14:paraId="63D43A2A" w14:textId="77777777"/>
    <w:p w:rsidR="00613EFC" w:rsidP="00613EFC" w14:paraId="5FC843D5" w14:textId="77777777">
      <w:r w:rsidRPr="00825B3C">
        <w:t xml:space="preserve">To the extent possible, given our commitment to respondent confidentiality, we have endeavored to release public use files from this project as soon as possible.    </w:t>
      </w:r>
    </w:p>
    <w:p w:rsidR="009B633D" w:rsidRPr="00424E6E" w:rsidP="009B633D" w14:paraId="7E66AFF4" w14:textId="77777777">
      <w:pPr>
        <w:pStyle w:val="Heading2"/>
        <w:rPr>
          <w:sz w:val="24"/>
        </w:rPr>
      </w:pPr>
      <w:r w:rsidRPr="00424E6E">
        <w:rPr>
          <w:sz w:val="24"/>
        </w:rPr>
        <w:t>17. Exemption for Display of Expiration Date</w:t>
      </w:r>
      <w:bookmarkEnd w:id="71"/>
      <w:bookmarkEnd w:id="72"/>
    </w:p>
    <w:p w:rsidR="009B633D" w:rsidP="009B633D" w14:paraId="4479226B" w14:textId="77777777">
      <w:r w:rsidRPr="004F03D2">
        <w:t>AHRQ does not seek this exemption</w:t>
      </w:r>
      <w:r>
        <w:t>.</w:t>
      </w:r>
    </w:p>
    <w:p w:rsidR="00016560" w:rsidP="00450538" w14:paraId="762A4998" w14:textId="33B48C95">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7E3A03" w:rsidP="00450538" w14:paraId="340C5B66" w14:textId="611A15C7">
      <w:pPr>
        <w:pStyle w:val="NormalWeb"/>
        <w:rPr>
          <w:rFonts w:ascii="Arial" w:hAnsi="Arial" w:cs="Arial"/>
          <w:bCs/>
        </w:rPr>
      </w:pPr>
      <w:r w:rsidRPr="007E3A03">
        <w:rPr>
          <w:rFonts w:ascii="Arial" w:hAnsi="Arial" w:cs="Arial"/>
          <w:bCs/>
        </w:rPr>
        <w:t xml:space="preserve">Attachment 1 </w:t>
      </w:r>
      <w:r w:rsidR="00945884">
        <w:rPr>
          <w:rFonts w:ascii="Arial" w:hAnsi="Arial" w:cs="Arial"/>
          <w:bCs/>
        </w:rPr>
        <w:t>–</w:t>
      </w:r>
      <w:r w:rsidRPr="007E3A03">
        <w:rPr>
          <w:rFonts w:ascii="Arial" w:hAnsi="Arial" w:cs="Arial"/>
          <w:bCs/>
        </w:rPr>
        <w:t xml:space="preserve"> Access to Care</w:t>
      </w:r>
      <w:r>
        <w:rPr>
          <w:rFonts w:ascii="Arial" w:hAnsi="Arial" w:cs="Arial"/>
          <w:bCs/>
        </w:rPr>
        <w:br/>
      </w:r>
      <w:r w:rsidRPr="007E3A03">
        <w:rPr>
          <w:rFonts w:ascii="Arial" w:hAnsi="Arial" w:cs="Arial"/>
          <w:bCs/>
        </w:rPr>
        <w:t xml:space="preserve">Attachment 2 </w:t>
      </w:r>
      <w:r w:rsidR="00945884">
        <w:rPr>
          <w:rFonts w:ascii="Arial" w:hAnsi="Arial" w:cs="Arial"/>
          <w:bCs/>
        </w:rPr>
        <w:t>–</w:t>
      </w:r>
      <w:r w:rsidRPr="007E3A03">
        <w:rPr>
          <w:rFonts w:ascii="Arial" w:hAnsi="Arial" w:cs="Arial"/>
          <w:bCs/>
        </w:rPr>
        <w:t xml:space="preserve"> Additional Healthcare Questions</w:t>
      </w:r>
      <w:r>
        <w:rPr>
          <w:rFonts w:ascii="Arial" w:hAnsi="Arial" w:cs="Arial"/>
          <w:bCs/>
        </w:rPr>
        <w:br/>
      </w:r>
      <w:r w:rsidRPr="007E3A03">
        <w:rPr>
          <w:rFonts w:ascii="Arial" w:hAnsi="Arial" w:cs="Arial"/>
          <w:bCs/>
        </w:rPr>
        <w:t xml:space="preserve">Attachment 3 </w:t>
      </w:r>
      <w:r>
        <w:rPr>
          <w:rFonts w:ascii="Arial" w:hAnsi="Arial" w:cs="Arial"/>
          <w:bCs/>
        </w:rPr>
        <w:t>–</w:t>
      </w:r>
      <w:r w:rsidRPr="007E3A03">
        <w:rPr>
          <w:rFonts w:ascii="Arial" w:hAnsi="Arial" w:cs="Arial"/>
          <w:bCs/>
        </w:rPr>
        <w:t xml:space="preserve"> Assets</w:t>
      </w:r>
      <w:r>
        <w:rPr>
          <w:rFonts w:ascii="Arial" w:hAnsi="Arial" w:cs="Arial"/>
          <w:bCs/>
        </w:rPr>
        <w:br/>
      </w:r>
      <w:r w:rsidRPr="007E3A03">
        <w:rPr>
          <w:rFonts w:ascii="Arial" w:hAnsi="Arial" w:cs="Arial"/>
          <w:bCs/>
        </w:rPr>
        <w:t xml:space="preserve">Attachment 4 </w:t>
      </w:r>
      <w:r w:rsidR="00945884">
        <w:rPr>
          <w:rFonts w:ascii="Arial" w:hAnsi="Arial" w:cs="Arial"/>
          <w:bCs/>
        </w:rPr>
        <w:t>–</w:t>
      </w:r>
      <w:r w:rsidRPr="007E3A03">
        <w:rPr>
          <w:rFonts w:ascii="Arial" w:hAnsi="Arial" w:cs="Arial"/>
          <w:bCs/>
        </w:rPr>
        <w:t xml:space="preserve"> Calendar Section</w:t>
      </w:r>
      <w:r>
        <w:rPr>
          <w:rFonts w:ascii="Arial" w:hAnsi="Arial" w:cs="Arial"/>
          <w:bCs/>
        </w:rPr>
        <w:br/>
      </w:r>
      <w:r w:rsidRPr="007E3A03">
        <w:rPr>
          <w:rFonts w:ascii="Arial" w:hAnsi="Arial" w:cs="Arial"/>
          <w:bCs/>
        </w:rPr>
        <w:t xml:space="preserve">Attachment 5 </w:t>
      </w:r>
      <w:r w:rsidR="00945884">
        <w:rPr>
          <w:rFonts w:ascii="Arial" w:hAnsi="Arial" w:cs="Arial"/>
          <w:bCs/>
        </w:rPr>
        <w:t>–</w:t>
      </w:r>
      <w:r w:rsidRPr="007E3A03">
        <w:rPr>
          <w:rFonts w:ascii="Arial" w:hAnsi="Arial" w:cs="Arial"/>
          <w:bCs/>
        </w:rPr>
        <w:t xml:space="preserve"> Closing Section</w:t>
      </w:r>
      <w:r>
        <w:rPr>
          <w:rFonts w:ascii="Arial" w:hAnsi="Arial" w:cs="Arial"/>
          <w:bCs/>
        </w:rPr>
        <w:br/>
      </w:r>
      <w:r w:rsidRPr="007E3A03">
        <w:rPr>
          <w:rFonts w:ascii="Arial" w:hAnsi="Arial" w:cs="Arial"/>
          <w:bCs/>
        </w:rPr>
        <w:t xml:space="preserve">Attachment 6 </w:t>
      </w:r>
      <w:r w:rsidR="00945884">
        <w:rPr>
          <w:rFonts w:ascii="Arial" w:hAnsi="Arial" w:cs="Arial"/>
          <w:bCs/>
        </w:rPr>
        <w:t>–</w:t>
      </w:r>
      <w:r w:rsidRPr="007E3A03">
        <w:rPr>
          <w:rFonts w:ascii="Arial" w:hAnsi="Arial" w:cs="Arial"/>
          <w:bCs/>
        </w:rPr>
        <w:t xml:space="preserve"> Contacting Module Section</w:t>
      </w:r>
      <w:r>
        <w:rPr>
          <w:rFonts w:ascii="Arial" w:hAnsi="Arial" w:cs="Arial"/>
          <w:bCs/>
        </w:rPr>
        <w:br/>
      </w:r>
      <w:r w:rsidRPr="007E3A03">
        <w:rPr>
          <w:rFonts w:ascii="Arial" w:hAnsi="Arial" w:cs="Arial"/>
          <w:bCs/>
        </w:rPr>
        <w:t xml:space="preserve">Attachment 7 </w:t>
      </w:r>
      <w:r w:rsidR="00945884">
        <w:rPr>
          <w:rFonts w:ascii="Arial" w:hAnsi="Arial" w:cs="Arial"/>
          <w:bCs/>
        </w:rPr>
        <w:t>–</w:t>
      </w:r>
      <w:r w:rsidRPr="007E3A03">
        <w:rPr>
          <w:rFonts w:ascii="Arial" w:hAnsi="Arial" w:cs="Arial"/>
          <w:bCs/>
        </w:rPr>
        <w:t xml:space="preserve"> Charge Payment Section</w:t>
      </w:r>
      <w:r>
        <w:rPr>
          <w:rFonts w:ascii="Arial" w:hAnsi="Arial" w:cs="Arial"/>
          <w:bCs/>
        </w:rPr>
        <w:br/>
      </w:r>
      <w:r w:rsidRPr="007E3A03">
        <w:rPr>
          <w:rFonts w:ascii="Arial" w:hAnsi="Arial" w:cs="Arial"/>
          <w:bCs/>
        </w:rPr>
        <w:t xml:space="preserve">Attachment 8 </w:t>
      </w:r>
      <w:r w:rsidR="00945884">
        <w:rPr>
          <w:rFonts w:ascii="Arial" w:hAnsi="Arial" w:cs="Arial"/>
          <w:bCs/>
        </w:rPr>
        <w:t>–</w:t>
      </w:r>
      <w:r w:rsidRPr="007E3A03">
        <w:rPr>
          <w:rFonts w:ascii="Arial" w:hAnsi="Arial" w:cs="Arial"/>
          <w:bCs/>
        </w:rPr>
        <w:t xml:space="preserve"> Child Preventive Health Section</w:t>
      </w:r>
      <w:r>
        <w:rPr>
          <w:rFonts w:ascii="Arial" w:hAnsi="Arial" w:cs="Arial"/>
          <w:bCs/>
        </w:rPr>
        <w:br/>
      </w:r>
      <w:r w:rsidRPr="007E3A03">
        <w:rPr>
          <w:rFonts w:ascii="Arial" w:hAnsi="Arial" w:cs="Arial"/>
          <w:bCs/>
        </w:rPr>
        <w:t xml:space="preserve">Attachment 9 </w:t>
      </w:r>
      <w:r w:rsidR="00945884">
        <w:rPr>
          <w:rFonts w:ascii="Arial" w:hAnsi="Arial" w:cs="Arial"/>
          <w:bCs/>
        </w:rPr>
        <w:t>–</w:t>
      </w:r>
      <w:r w:rsidRPr="007E3A03">
        <w:rPr>
          <w:rFonts w:ascii="Arial" w:hAnsi="Arial" w:cs="Arial"/>
          <w:bCs/>
        </w:rPr>
        <w:t xml:space="preserve"> Dental Visit Section</w:t>
      </w:r>
      <w:r>
        <w:rPr>
          <w:rFonts w:ascii="Arial" w:hAnsi="Arial" w:cs="Arial"/>
          <w:bCs/>
        </w:rPr>
        <w:br/>
      </w:r>
      <w:r w:rsidRPr="007E3A03">
        <w:rPr>
          <w:rFonts w:ascii="Arial" w:hAnsi="Arial" w:cs="Arial"/>
          <w:bCs/>
        </w:rPr>
        <w:t xml:space="preserve">Attachment 10 </w:t>
      </w:r>
      <w:r w:rsidR="00945884">
        <w:rPr>
          <w:rFonts w:ascii="Arial" w:hAnsi="Arial" w:cs="Arial"/>
          <w:bCs/>
        </w:rPr>
        <w:t>–</w:t>
      </w:r>
      <w:r w:rsidRPr="007E3A03">
        <w:rPr>
          <w:rFonts w:ascii="Arial" w:hAnsi="Arial" w:cs="Arial"/>
          <w:bCs/>
        </w:rPr>
        <w:t xml:space="preserve"> Event Driver Section</w:t>
      </w:r>
      <w:r>
        <w:rPr>
          <w:rFonts w:ascii="Arial" w:hAnsi="Arial" w:cs="Arial"/>
          <w:bCs/>
        </w:rPr>
        <w:br/>
      </w:r>
      <w:r w:rsidRPr="007E3A03">
        <w:rPr>
          <w:rFonts w:ascii="Arial" w:hAnsi="Arial" w:cs="Arial"/>
          <w:bCs/>
        </w:rPr>
        <w:t xml:space="preserve">Attachment 11 </w:t>
      </w:r>
      <w:r w:rsidR="00945884">
        <w:rPr>
          <w:rFonts w:ascii="Arial" w:hAnsi="Arial" w:cs="Arial"/>
          <w:bCs/>
        </w:rPr>
        <w:t>–</w:t>
      </w:r>
      <w:r w:rsidRPr="007E3A03">
        <w:rPr>
          <w:rFonts w:ascii="Arial" w:hAnsi="Arial" w:cs="Arial"/>
          <w:bCs/>
        </w:rPr>
        <w:t xml:space="preserve"> Event Enumeration Section</w:t>
      </w:r>
      <w:r>
        <w:rPr>
          <w:rFonts w:ascii="Arial" w:hAnsi="Arial" w:cs="Arial"/>
          <w:bCs/>
        </w:rPr>
        <w:br/>
      </w:r>
      <w:r w:rsidRPr="007E3A03">
        <w:rPr>
          <w:rFonts w:ascii="Arial" w:hAnsi="Arial" w:cs="Arial"/>
          <w:bCs/>
        </w:rPr>
        <w:t>Attachment 12 -- Event Follow-Up Section</w:t>
      </w:r>
      <w:r>
        <w:rPr>
          <w:rFonts w:ascii="Arial" w:hAnsi="Arial" w:cs="Arial"/>
          <w:bCs/>
        </w:rPr>
        <w:br/>
      </w:r>
      <w:r w:rsidRPr="007E3A03">
        <w:rPr>
          <w:rFonts w:ascii="Arial" w:hAnsi="Arial" w:cs="Arial"/>
          <w:bCs/>
        </w:rPr>
        <w:t>Attachment 13 -- Employment Section</w:t>
      </w:r>
      <w:r>
        <w:rPr>
          <w:rFonts w:ascii="Arial" w:hAnsi="Arial" w:cs="Arial"/>
          <w:bCs/>
        </w:rPr>
        <w:br/>
      </w:r>
      <w:r w:rsidRPr="007E3A03">
        <w:rPr>
          <w:rFonts w:ascii="Arial" w:hAnsi="Arial" w:cs="Arial"/>
          <w:bCs/>
        </w:rPr>
        <w:t>Attachment 14 -- Employment Driver Section</w:t>
      </w:r>
      <w:r>
        <w:rPr>
          <w:rFonts w:ascii="Arial" w:hAnsi="Arial" w:cs="Arial"/>
          <w:bCs/>
        </w:rPr>
        <w:br/>
      </w:r>
      <w:r w:rsidRPr="007E3A03">
        <w:rPr>
          <w:rFonts w:ascii="Arial" w:hAnsi="Arial" w:cs="Arial"/>
          <w:bCs/>
        </w:rPr>
        <w:t xml:space="preserve">Attachment 15 </w:t>
      </w:r>
      <w:r w:rsidR="003B39B5">
        <w:rPr>
          <w:rFonts w:ascii="Arial" w:hAnsi="Arial" w:cs="Arial"/>
          <w:bCs/>
        </w:rPr>
        <w:t>--</w:t>
      </w:r>
      <w:r w:rsidRPr="007E3A03">
        <w:rPr>
          <w:rFonts w:ascii="Arial" w:hAnsi="Arial" w:cs="Arial"/>
          <w:bCs/>
        </w:rPr>
        <w:t xml:space="preserve"> Emergency Room Section</w:t>
      </w:r>
      <w:r>
        <w:rPr>
          <w:rFonts w:ascii="Arial" w:hAnsi="Arial" w:cs="Arial"/>
          <w:bCs/>
        </w:rPr>
        <w:br/>
      </w:r>
      <w:r w:rsidRPr="007E3A03">
        <w:rPr>
          <w:rFonts w:ascii="Arial" w:hAnsi="Arial" w:cs="Arial"/>
          <w:bCs/>
        </w:rPr>
        <w:t>Attachment 16 -- Event Roster Section</w:t>
      </w:r>
      <w:r>
        <w:rPr>
          <w:rFonts w:ascii="Arial" w:hAnsi="Arial" w:cs="Arial"/>
          <w:bCs/>
        </w:rPr>
        <w:br/>
      </w:r>
      <w:r w:rsidRPr="007E3A03">
        <w:rPr>
          <w:rFonts w:ascii="Arial" w:hAnsi="Arial" w:cs="Arial"/>
          <w:bCs/>
        </w:rPr>
        <w:t>Attachment 17 -- Employment Wages Section</w:t>
      </w:r>
      <w:r>
        <w:rPr>
          <w:rFonts w:ascii="Arial" w:hAnsi="Arial" w:cs="Arial"/>
          <w:bCs/>
        </w:rPr>
        <w:br/>
      </w:r>
      <w:r w:rsidRPr="007E3A03">
        <w:rPr>
          <w:rFonts w:ascii="Arial" w:hAnsi="Arial" w:cs="Arial"/>
          <w:bCs/>
        </w:rPr>
        <w:t>Attachment 18 -- Flat Fee Section</w:t>
      </w:r>
      <w:r>
        <w:rPr>
          <w:rFonts w:ascii="Arial" w:hAnsi="Arial" w:cs="Arial"/>
          <w:bCs/>
        </w:rPr>
        <w:br/>
      </w:r>
      <w:r w:rsidRPr="007E3A03">
        <w:rPr>
          <w:rFonts w:ascii="Arial" w:hAnsi="Arial" w:cs="Arial"/>
          <w:bCs/>
        </w:rPr>
        <w:t>Attachment 19 -- Food Security Section</w:t>
      </w:r>
      <w:r>
        <w:rPr>
          <w:rFonts w:ascii="Arial" w:hAnsi="Arial" w:cs="Arial"/>
          <w:bCs/>
        </w:rPr>
        <w:br/>
      </w:r>
      <w:r w:rsidRPr="007E3A03">
        <w:rPr>
          <w:rFonts w:ascii="Arial" w:hAnsi="Arial" w:cs="Arial"/>
          <w:bCs/>
        </w:rPr>
        <w:t>Attachment 20 -- Global Section</w:t>
      </w:r>
      <w:r>
        <w:rPr>
          <w:rFonts w:ascii="Arial" w:hAnsi="Arial" w:cs="Arial"/>
          <w:bCs/>
        </w:rPr>
        <w:br/>
      </w:r>
      <w:r w:rsidRPr="007E3A03">
        <w:rPr>
          <w:rFonts w:ascii="Arial" w:hAnsi="Arial" w:cs="Arial"/>
          <w:bCs/>
        </w:rPr>
        <w:t>Attachment 21 -</w:t>
      </w:r>
      <w:r w:rsidR="00F15BAC">
        <w:rPr>
          <w:rFonts w:ascii="Arial" w:hAnsi="Arial" w:cs="Arial"/>
          <w:bCs/>
        </w:rPr>
        <w:t>-</w:t>
      </w:r>
      <w:r w:rsidRPr="007E3A03">
        <w:rPr>
          <w:rFonts w:ascii="Arial" w:hAnsi="Arial" w:cs="Arial"/>
          <w:bCs/>
        </w:rPr>
        <w:t xml:space="preserve"> Health Status Section</w:t>
      </w:r>
      <w:r>
        <w:rPr>
          <w:rFonts w:ascii="Arial" w:hAnsi="Arial" w:cs="Arial"/>
          <w:bCs/>
        </w:rPr>
        <w:br/>
      </w:r>
      <w:r w:rsidRPr="007E3A03">
        <w:rPr>
          <w:rFonts w:ascii="Arial" w:hAnsi="Arial" w:cs="Arial"/>
          <w:bCs/>
        </w:rPr>
        <w:t>Attachment 22 -- Home Health Section</w:t>
      </w:r>
      <w:r>
        <w:rPr>
          <w:rFonts w:ascii="Arial" w:hAnsi="Arial" w:cs="Arial"/>
          <w:bCs/>
        </w:rPr>
        <w:br/>
      </w:r>
      <w:r w:rsidRPr="007E3A03">
        <w:rPr>
          <w:rFonts w:ascii="Arial" w:hAnsi="Arial" w:cs="Arial"/>
          <w:bCs/>
        </w:rPr>
        <w:t>Attachment 23 -- Health Insurance Detail Section</w:t>
      </w:r>
      <w:r>
        <w:rPr>
          <w:rFonts w:ascii="Arial" w:hAnsi="Arial" w:cs="Arial"/>
          <w:bCs/>
        </w:rPr>
        <w:br/>
      </w:r>
      <w:r w:rsidRPr="007E3A03">
        <w:rPr>
          <w:rFonts w:ascii="Arial" w:hAnsi="Arial" w:cs="Arial"/>
          <w:bCs/>
        </w:rPr>
        <w:t>Attachment 24 -- Time Period Covered Detail Section</w:t>
      </w:r>
      <w:r>
        <w:rPr>
          <w:rFonts w:ascii="Arial" w:hAnsi="Arial" w:cs="Arial"/>
          <w:bCs/>
        </w:rPr>
        <w:br/>
      </w:r>
      <w:r w:rsidRPr="008B0704" w:rsidR="008B0704">
        <w:rPr>
          <w:rFonts w:ascii="Arial" w:hAnsi="Arial" w:cs="Arial"/>
          <w:bCs/>
        </w:rPr>
        <w:t>Attachment 25 -- Hospital Stay Section</w:t>
      </w:r>
      <w:r w:rsidR="008B0704">
        <w:rPr>
          <w:rFonts w:ascii="Arial" w:hAnsi="Arial" w:cs="Arial"/>
          <w:bCs/>
        </w:rPr>
        <w:br/>
      </w:r>
      <w:r w:rsidRPr="008B0704" w:rsidR="008B0704">
        <w:rPr>
          <w:rFonts w:ascii="Arial" w:hAnsi="Arial" w:cs="Arial"/>
          <w:bCs/>
        </w:rPr>
        <w:t>Attachment 26 -- Health Insurance Section</w:t>
      </w:r>
      <w:r w:rsidR="008B0704">
        <w:rPr>
          <w:rFonts w:ascii="Arial" w:hAnsi="Arial" w:cs="Arial"/>
          <w:bCs/>
        </w:rPr>
        <w:br/>
      </w:r>
      <w:r w:rsidRPr="008B0704" w:rsidR="008B0704">
        <w:rPr>
          <w:rFonts w:ascii="Arial" w:hAnsi="Arial" w:cs="Arial"/>
          <w:bCs/>
        </w:rPr>
        <w:t>Attachment 27 -- Institutional Care Stay Section</w:t>
      </w:r>
      <w:r w:rsidR="008B0704">
        <w:rPr>
          <w:rFonts w:ascii="Arial" w:hAnsi="Arial" w:cs="Arial"/>
          <w:bCs/>
        </w:rPr>
        <w:br/>
      </w:r>
      <w:r w:rsidRPr="008B0704" w:rsidR="008B0704">
        <w:rPr>
          <w:rFonts w:ascii="Arial" w:hAnsi="Arial" w:cs="Arial"/>
          <w:bCs/>
        </w:rPr>
        <w:t>Attachment 28 -- Income Section</w:t>
      </w:r>
      <w:r w:rsidR="008B0704">
        <w:rPr>
          <w:rFonts w:ascii="Arial" w:hAnsi="Arial" w:cs="Arial"/>
          <w:bCs/>
        </w:rPr>
        <w:br/>
      </w:r>
      <w:r w:rsidRPr="008B0704" w:rsidR="008B0704">
        <w:rPr>
          <w:rFonts w:ascii="Arial" w:hAnsi="Arial" w:cs="Arial"/>
          <w:bCs/>
        </w:rPr>
        <w:t>Attachment 29 -- Institutional Care Section</w:t>
      </w:r>
      <w:r w:rsidR="008B0704">
        <w:rPr>
          <w:rFonts w:ascii="Arial" w:hAnsi="Arial" w:cs="Arial"/>
          <w:bCs/>
        </w:rPr>
        <w:br/>
      </w:r>
      <w:r w:rsidRPr="008B0704" w:rsidR="008B0704">
        <w:rPr>
          <w:rFonts w:ascii="Arial" w:hAnsi="Arial" w:cs="Arial"/>
          <w:bCs/>
        </w:rPr>
        <w:t>Attachment 30 -- Medical Visit Section</w:t>
      </w:r>
      <w:r w:rsidR="008B0704">
        <w:rPr>
          <w:rFonts w:ascii="Arial" w:hAnsi="Arial" w:cs="Arial"/>
          <w:bCs/>
        </w:rPr>
        <w:br/>
      </w:r>
      <w:r w:rsidRPr="008B0704" w:rsidR="008B0704">
        <w:rPr>
          <w:rFonts w:ascii="Arial" w:hAnsi="Arial" w:cs="Arial"/>
          <w:bCs/>
        </w:rPr>
        <w:t xml:space="preserve">Attachment 31 -- Old </w:t>
      </w:r>
      <w:r w:rsidRPr="008B0704" w:rsidR="008B0704">
        <w:rPr>
          <w:rFonts w:ascii="Arial" w:hAnsi="Arial" w:cs="Arial"/>
          <w:bCs/>
        </w:rPr>
        <w:t>Empl</w:t>
      </w:r>
      <w:r w:rsidRPr="008B0704" w:rsidR="008B0704">
        <w:rPr>
          <w:rFonts w:ascii="Arial" w:hAnsi="Arial" w:cs="Arial"/>
          <w:bCs/>
        </w:rPr>
        <w:t>-Priv Related Ins Section</w:t>
      </w:r>
      <w:r w:rsidR="008B0704">
        <w:rPr>
          <w:rFonts w:ascii="Arial" w:hAnsi="Arial" w:cs="Arial"/>
          <w:bCs/>
        </w:rPr>
        <w:br/>
      </w:r>
      <w:r w:rsidRPr="008B0704" w:rsidR="008B0704">
        <w:rPr>
          <w:rFonts w:ascii="Arial" w:hAnsi="Arial" w:cs="Arial"/>
          <w:bCs/>
        </w:rPr>
        <w:t>Attachment 32 -- Off Path Navigation Section</w:t>
      </w:r>
      <w:r w:rsidR="008B0704">
        <w:rPr>
          <w:rFonts w:ascii="Arial" w:hAnsi="Arial" w:cs="Arial"/>
          <w:bCs/>
        </w:rPr>
        <w:br/>
      </w:r>
      <w:r w:rsidRPr="008B0704" w:rsidR="008B0704">
        <w:rPr>
          <w:rFonts w:ascii="Arial" w:hAnsi="Arial" w:cs="Arial"/>
          <w:bCs/>
        </w:rPr>
        <w:t>Attachment 33 -- Other Medical Expenses Section</w:t>
      </w:r>
      <w:r w:rsidR="008B0704">
        <w:rPr>
          <w:rFonts w:ascii="Arial" w:hAnsi="Arial" w:cs="Arial"/>
          <w:bCs/>
        </w:rPr>
        <w:br/>
      </w:r>
      <w:r w:rsidRPr="008B0704" w:rsidR="008B0704">
        <w:rPr>
          <w:rFonts w:ascii="Arial" w:hAnsi="Arial" w:cs="Arial"/>
          <w:bCs/>
        </w:rPr>
        <w:t>Attachment 34 -- Outpatient Department Section</w:t>
      </w:r>
      <w:r w:rsidR="008B0704">
        <w:rPr>
          <w:rFonts w:ascii="Arial" w:hAnsi="Arial" w:cs="Arial"/>
          <w:bCs/>
        </w:rPr>
        <w:br/>
      </w:r>
      <w:r w:rsidRPr="008B0704" w:rsidR="008B0704">
        <w:rPr>
          <w:rFonts w:ascii="Arial" w:hAnsi="Arial" w:cs="Arial"/>
          <w:bCs/>
        </w:rPr>
        <w:t>Attachment 35 -- Priority Condition Enumeration Section</w:t>
      </w:r>
      <w:r w:rsidR="008B0704">
        <w:rPr>
          <w:rFonts w:ascii="Arial" w:hAnsi="Arial" w:cs="Arial"/>
          <w:bCs/>
        </w:rPr>
        <w:br/>
      </w:r>
      <w:r w:rsidRPr="008B0704" w:rsidR="008B0704">
        <w:rPr>
          <w:rFonts w:ascii="Arial" w:hAnsi="Arial" w:cs="Arial"/>
          <w:bCs/>
        </w:rPr>
        <w:t>Attachment 36 -- Prescribed Medicines Section</w:t>
      </w:r>
      <w:r w:rsidR="008B0704">
        <w:rPr>
          <w:rFonts w:ascii="Arial" w:hAnsi="Arial" w:cs="Arial"/>
          <w:bCs/>
        </w:rPr>
        <w:br/>
      </w:r>
      <w:r w:rsidRPr="008B0704" w:rsidR="008B0704">
        <w:rPr>
          <w:rFonts w:ascii="Arial" w:hAnsi="Arial" w:cs="Arial"/>
          <w:bCs/>
        </w:rPr>
        <w:t>Attachment 37 -- Provider Probes Section</w:t>
      </w:r>
      <w:r w:rsidR="008B0704">
        <w:rPr>
          <w:rFonts w:ascii="Arial" w:hAnsi="Arial" w:cs="Arial"/>
          <w:bCs/>
        </w:rPr>
        <w:br/>
      </w:r>
      <w:r w:rsidRPr="008B0704" w:rsidR="008B0704">
        <w:rPr>
          <w:rFonts w:ascii="Arial" w:hAnsi="Arial" w:cs="Arial"/>
          <w:bCs/>
        </w:rPr>
        <w:t>Attachment 38 -- Old Public Related Insurance Section</w:t>
      </w:r>
      <w:r w:rsidR="008B0704">
        <w:rPr>
          <w:rFonts w:ascii="Arial" w:hAnsi="Arial" w:cs="Arial"/>
          <w:bCs/>
        </w:rPr>
        <w:br/>
      </w:r>
      <w:r w:rsidRPr="008B0704" w:rsidR="008B0704">
        <w:rPr>
          <w:rFonts w:ascii="Arial" w:hAnsi="Arial" w:cs="Arial"/>
          <w:bCs/>
        </w:rPr>
        <w:t>Attachment 39 -- Provider Roster Section</w:t>
      </w:r>
      <w:r w:rsidR="008B0704">
        <w:rPr>
          <w:rFonts w:ascii="Arial" w:hAnsi="Arial" w:cs="Arial"/>
          <w:bCs/>
        </w:rPr>
        <w:br/>
      </w:r>
      <w:r w:rsidRPr="008B0704" w:rsidR="008B0704">
        <w:rPr>
          <w:rFonts w:ascii="Arial" w:hAnsi="Arial" w:cs="Arial"/>
          <w:bCs/>
        </w:rPr>
        <w:t>Attachment 40 -- Quality Supplement Section</w:t>
      </w:r>
      <w:r w:rsidR="008B0704">
        <w:rPr>
          <w:rFonts w:ascii="Arial" w:hAnsi="Arial" w:cs="Arial"/>
          <w:bCs/>
        </w:rPr>
        <w:br/>
      </w:r>
      <w:r w:rsidRPr="008B0704" w:rsidR="008B0704">
        <w:rPr>
          <w:rFonts w:ascii="Arial" w:hAnsi="Arial" w:cs="Arial"/>
          <w:bCs/>
        </w:rPr>
        <w:t xml:space="preserve">Attachment 41 -- </w:t>
      </w:r>
      <w:r w:rsidRPr="008B0704" w:rsidR="008B0704">
        <w:rPr>
          <w:rFonts w:ascii="Arial" w:hAnsi="Arial" w:cs="Arial"/>
          <w:bCs/>
        </w:rPr>
        <w:t>Reenumeration</w:t>
      </w:r>
      <w:r w:rsidRPr="008B0704" w:rsidR="008B0704">
        <w:rPr>
          <w:rFonts w:ascii="Arial" w:hAnsi="Arial" w:cs="Arial"/>
          <w:bCs/>
        </w:rPr>
        <w:t xml:space="preserve"> A Section</w:t>
      </w:r>
      <w:r w:rsidR="008B0704">
        <w:rPr>
          <w:rFonts w:ascii="Arial" w:hAnsi="Arial" w:cs="Arial"/>
          <w:bCs/>
        </w:rPr>
        <w:br/>
      </w:r>
      <w:r w:rsidRPr="008B0704" w:rsidR="008B0704">
        <w:rPr>
          <w:rFonts w:ascii="Arial" w:hAnsi="Arial" w:cs="Arial"/>
          <w:bCs/>
        </w:rPr>
        <w:t xml:space="preserve">Attachment 42 -- </w:t>
      </w:r>
      <w:r w:rsidRPr="008B0704" w:rsidR="008B0704">
        <w:rPr>
          <w:rFonts w:ascii="Arial" w:hAnsi="Arial" w:cs="Arial"/>
          <w:bCs/>
        </w:rPr>
        <w:t>Reenumeration</w:t>
      </w:r>
      <w:r w:rsidRPr="008B0704" w:rsidR="008B0704">
        <w:rPr>
          <w:rFonts w:ascii="Arial" w:hAnsi="Arial" w:cs="Arial"/>
          <w:bCs/>
        </w:rPr>
        <w:t xml:space="preserve"> B Section</w:t>
      </w:r>
      <w:r w:rsidR="008B0704">
        <w:rPr>
          <w:rFonts w:ascii="Arial" w:hAnsi="Arial" w:cs="Arial"/>
          <w:bCs/>
        </w:rPr>
        <w:br/>
      </w:r>
      <w:r w:rsidRPr="008B0704" w:rsidR="008B0704">
        <w:rPr>
          <w:rFonts w:ascii="Arial" w:hAnsi="Arial" w:cs="Arial"/>
          <w:bCs/>
        </w:rPr>
        <w:t>Attachment 43 -- Respondent Forms Section</w:t>
      </w:r>
      <w:r w:rsidR="008B0704">
        <w:rPr>
          <w:rFonts w:ascii="Arial" w:hAnsi="Arial" w:cs="Arial"/>
          <w:bCs/>
        </w:rPr>
        <w:br/>
      </w:r>
      <w:r w:rsidRPr="008B0704" w:rsidR="008B0704">
        <w:rPr>
          <w:rFonts w:ascii="Arial" w:hAnsi="Arial" w:cs="Arial"/>
          <w:bCs/>
        </w:rPr>
        <w:t>Attachment 44 -- Review of Employment Section</w:t>
      </w:r>
      <w:r w:rsidR="008B0704">
        <w:rPr>
          <w:rFonts w:ascii="Arial" w:hAnsi="Arial" w:cs="Arial"/>
          <w:bCs/>
        </w:rPr>
        <w:br/>
      </w:r>
      <w:r w:rsidRPr="008B0704" w:rsidR="008B0704">
        <w:rPr>
          <w:rFonts w:ascii="Arial" w:hAnsi="Arial" w:cs="Arial"/>
          <w:bCs/>
        </w:rPr>
        <w:t>Attachment 45 -- Start-Restart Section</w:t>
      </w:r>
      <w:r w:rsidR="008B0704">
        <w:rPr>
          <w:rFonts w:ascii="Arial" w:hAnsi="Arial" w:cs="Arial"/>
          <w:bCs/>
        </w:rPr>
        <w:br/>
      </w:r>
      <w:r w:rsidRPr="008B0704" w:rsidR="008B0704">
        <w:rPr>
          <w:rFonts w:ascii="Arial" w:hAnsi="Arial" w:cs="Arial"/>
          <w:bCs/>
        </w:rPr>
        <w:t>Attachment 46 -- Telehealth Section</w:t>
      </w:r>
      <w:r w:rsidR="008B0704">
        <w:rPr>
          <w:rFonts w:ascii="Arial" w:hAnsi="Arial" w:cs="Arial"/>
          <w:bCs/>
        </w:rPr>
        <w:br/>
      </w:r>
      <w:r w:rsidRPr="008B0704" w:rsidR="008B0704">
        <w:rPr>
          <w:rFonts w:ascii="Arial" w:hAnsi="Arial" w:cs="Arial"/>
          <w:bCs/>
        </w:rPr>
        <w:t>Attachment 47 -</w:t>
      </w:r>
      <w:r w:rsidR="00F15BAC">
        <w:rPr>
          <w:rFonts w:ascii="Arial" w:hAnsi="Arial" w:cs="Arial"/>
          <w:bCs/>
        </w:rPr>
        <w:t>-</w:t>
      </w:r>
      <w:r w:rsidRPr="008B0704" w:rsidR="008B0704">
        <w:rPr>
          <w:rFonts w:ascii="Arial" w:hAnsi="Arial" w:cs="Arial"/>
          <w:bCs/>
        </w:rPr>
        <w:t xml:space="preserve"> MEPS-HC Show Cards</w:t>
      </w:r>
      <w:r w:rsidR="008B0704">
        <w:rPr>
          <w:rFonts w:ascii="Arial" w:hAnsi="Arial" w:cs="Arial"/>
          <w:bCs/>
        </w:rPr>
        <w:br/>
      </w:r>
      <w:r w:rsidRPr="008B0704" w:rsidR="008B0704">
        <w:rPr>
          <w:rFonts w:ascii="Arial" w:hAnsi="Arial" w:cs="Arial"/>
          <w:bCs/>
        </w:rPr>
        <w:t>Attachment 48 -- Adult SAQ</w:t>
      </w:r>
      <w:r w:rsidR="008B0704">
        <w:rPr>
          <w:rFonts w:ascii="Arial" w:hAnsi="Arial" w:cs="Arial"/>
          <w:bCs/>
        </w:rPr>
        <w:br/>
      </w:r>
      <w:r w:rsidRPr="009F4074" w:rsidR="009F4074">
        <w:rPr>
          <w:rFonts w:ascii="Arial" w:hAnsi="Arial" w:cs="Arial"/>
          <w:bCs/>
        </w:rPr>
        <w:t xml:space="preserve">Attachment 49 </w:t>
      </w:r>
      <w:r w:rsidR="009F4074">
        <w:rPr>
          <w:rFonts w:ascii="Arial" w:hAnsi="Arial" w:cs="Arial"/>
          <w:bCs/>
        </w:rPr>
        <w:t>–</w:t>
      </w:r>
      <w:r w:rsidRPr="009F4074" w:rsidR="009F4074">
        <w:rPr>
          <w:rFonts w:ascii="Arial" w:hAnsi="Arial" w:cs="Arial"/>
          <w:bCs/>
        </w:rPr>
        <w:t xml:space="preserve"> PSAQ</w:t>
      </w:r>
      <w:r w:rsidR="009F4074">
        <w:rPr>
          <w:rFonts w:ascii="Arial" w:hAnsi="Arial" w:cs="Arial"/>
          <w:bCs/>
        </w:rPr>
        <w:br/>
      </w:r>
      <w:r w:rsidRPr="009F4074" w:rsidR="009F4074">
        <w:rPr>
          <w:rFonts w:ascii="Arial" w:hAnsi="Arial" w:cs="Arial"/>
          <w:bCs/>
        </w:rPr>
        <w:t>Attachment 50 -- Diabetes Care SAQ</w:t>
      </w:r>
      <w:r w:rsidR="009F4074">
        <w:rPr>
          <w:rFonts w:ascii="Arial" w:hAnsi="Arial" w:cs="Arial"/>
          <w:bCs/>
        </w:rPr>
        <w:br/>
      </w:r>
      <w:bookmarkStart w:id="73" w:name="_Hlk170507107"/>
      <w:r w:rsidRPr="009F4074" w:rsidR="009F4074">
        <w:rPr>
          <w:rFonts w:ascii="Arial" w:hAnsi="Arial" w:cs="Arial"/>
          <w:bCs/>
        </w:rPr>
        <w:t>Attachment 51 -</w:t>
      </w:r>
      <w:r w:rsidR="00F15BAC">
        <w:rPr>
          <w:rFonts w:ascii="Arial" w:hAnsi="Arial" w:cs="Arial"/>
          <w:bCs/>
        </w:rPr>
        <w:t>-</w:t>
      </w:r>
      <w:r w:rsidRPr="009F4074" w:rsidR="009F4074">
        <w:rPr>
          <w:rFonts w:ascii="Arial" w:hAnsi="Arial" w:cs="Arial"/>
          <w:bCs/>
        </w:rPr>
        <w:t xml:space="preserve"> Cancer SAQ</w:t>
      </w:r>
      <w:r w:rsidR="006A1DDD">
        <w:rPr>
          <w:rFonts w:ascii="Arial" w:hAnsi="Arial" w:cs="Arial"/>
          <w:bCs/>
        </w:rPr>
        <w:t xml:space="preserve"> (remove in 2025)</w:t>
      </w:r>
      <w:r w:rsidR="009F4074">
        <w:rPr>
          <w:rFonts w:ascii="Arial" w:hAnsi="Arial" w:cs="Arial"/>
          <w:bCs/>
        </w:rPr>
        <w:br/>
      </w:r>
      <w:bookmarkEnd w:id="73"/>
      <w:r w:rsidRPr="009F4074" w:rsidR="009F4074">
        <w:rPr>
          <w:rFonts w:ascii="Arial" w:hAnsi="Arial" w:cs="Arial"/>
          <w:bCs/>
        </w:rPr>
        <w:t>Attachment 52 -- Permission Form for Medical Providers</w:t>
      </w:r>
      <w:r w:rsidR="009F4074">
        <w:rPr>
          <w:rFonts w:ascii="Arial" w:hAnsi="Arial" w:cs="Arial"/>
          <w:bCs/>
        </w:rPr>
        <w:br/>
      </w:r>
      <w:r w:rsidRPr="009F4074" w:rsidR="009F4074">
        <w:rPr>
          <w:rFonts w:ascii="Arial" w:hAnsi="Arial" w:cs="Arial"/>
          <w:bCs/>
        </w:rPr>
        <w:t xml:space="preserve">Attachment 53 -- Permission Form for </w:t>
      </w:r>
      <w:r w:rsidRPr="009F4074" w:rsidR="00431813">
        <w:rPr>
          <w:rFonts w:ascii="Arial" w:hAnsi="Arial" w:cs="Arial"/>
          <w:bCs/>
        </w:rPr>
        <w:t>Pharmacies</w:t>
      </w:r>
      <w:r w:rsidR="009F4074">
        <w:rPr>
          <w:rFonts w:ascii="Arial" w:hAnsi="Arial" w:cs="Arial"/>
          <w:bCs/>
        </w:rPr>
        <w:br/>
      </w:r>
      <w:r w:rsidRPr="00101522" w:rsidR="00101522">
        <w:rPr>
          <w:rFonts w:ascii="Arial" w:hAnsi="Arial" w:cs="Arial"/>
          <w:bCs/>
        </w:rPr>
        <w:t>Attachment 54a -- Validation Letter</w:t>
      </w:r>
      <w:r w:rsidR="00101522">
        <w:rPr>
          <w:rFonts w:ascii="Arial" w:hAnsi="Arial" w:cs="Arial"/>
          <w:bCs/>
        </w:rPr>
        <w:br/>
      </w:r>
      <w:r w:rsidRPr="00101522" w:rsidR="00101522">
        <w:rPr>
          <w:rFonts w:ascii="Arial" w:hAnsi="Arial" w:cs="Arial"/>
          <w:bCs/>
        </w:rPr>
        <w:t>Attachment 54b -- Phone Validation Form</w:t>
      </w:r>
      <w:r w:rsidR="009F4074">
        <w:rPr>
          <w:rFonts w:ascii="Arial" w:hAnsi="Arial" w:cs="Arial"/>
          <w:bCs/>
        </w:rPr>
        <w:br/>
      </w:r>
      <w:r w:rsidRPr="009F4074" w:rsidR="009F4074">
        <w:rPr>
          <w:rFonts w:ascii="Arial" w:hAnsi="Arial" w:cs="Arial"/>
          <w:bCs/>
        </w:rPr>
        <w:t>Attachment 55 -- MPC Contact Guide &amp; Screening Call</w:t>
      </w:r>
      <w:r w:rsidR="00945884">
        <w:rPr>
          <w:rFonts w:ascii="Arial" w:hAnsi="Arial" w:cs="Arial"/>
          <w:bCs/>
        </w:rPr>
        <w:br/>
      </w:r>
      <w:r w:rsidRPr="00945884" w:rsidR="00945884">
        <w:rPr>
          <w:rFonts w:ascii="Arial" w:hAnsi="Arial" w:cs="Arial"/>
          <w:bCs/>
        </w:rPr>
        <w:t>Attachment 56 -- Home Healthcare for Healthcare Providers</w:t>
      </w:r>
      <w:r w:rsidR="00945884">
        <w:rPr>
          <w:rFonts w:ascii="Arial" w:hAnsi="Arial" w:cs="Arial"/>
          <w:bCs/>
        </w:rPr>
        <w:br/>
      </w:r>
      <w:r w:rsidRPr="00945884" w:rsidR="00945884">
        <w:rPr>
          <w:rFonts w:ascii="Arial" w:hAnsi="Arial" w:cs="Arial"/>
          <w:bCs/>
        </w:rPr>
        <w:t>Attachment 57 -- Home Healthcare for Non-healthcare Providers</w:t>
      </w:r>
      <w:r w:rsidR="00945884">
        <w:rPr>
          <w:rFonts w:ascii="Arial" w:hAnsi="Arial" w:cs="Arial"/>
          <w:bCs/>
        </w:rPr>
        <w:br/>
      </w:r>
      <w:r w:rsidRPr="00945884" w:rsidR="00945884">
        <w:rPr>
          <w:rFonts w:ascii="Arial" w:hAnsi="Arial" w:cs="Arial"/>
          <w:bCs/>
        </w:rPr>
        <w:t>Attachment 58 -- Office Based Provider Event Form</w:t>
      </w:r>
      <w:r w:rsidR="00945884">
        <w:rPr>
          <w:rFonts w:ascii="Arial" w:hAnsi="Arial" w:cs="Arial"/>
          <w:bCs/>
        </w:rPr>
        <w:br/>
      </w:r>
      <w:r w:rsidRPr="00945884" w:rsidR="00945884">
        <w:rPr>
          <w:rFonts w:ascii="Arial" w:hAnsi="Arial" w:cs="Arial"/>
          <w:bCs/>
        </w:rPr>
        <w:t>Attachment 59 -- Separately Billing Doctors Event Form</w:t>
      </w:r>
      <w:r w:rsidR="00945884">
        <w:rPr>
          <w:rFonts w:ascii="Arial" w:hAnsi="Arial" w:cs="Arial"/>
          <w:bCs/>
        </w:rPr>
        <w:br/>
      </w:r>
      <w:r w:rsidRPr="00945884" w:rsidR="00945884">
        <w:rPr>
          <w:rFonts w:ascii="Arial" w:hAnsi="Arial" w:cs="Arial"/>
          <w:bCs/>
        </w:rPr>
        <w:t>Attachment 60 -- Hospital Event Form</w:t>
      </w:r>
      <w:r w:rsidR="00945884">
        <w:rPr>
          <w:rFonts w:ascii="Arial" w:hAnsi="Arial" w:cs="Arial"/>
          <w:bCs/>
        </w:rPr>
        <w:br/>
      </w:r>
      <w:r w:rsidRPr="00945884" w:rsidR="00945884">
        <w:rPr>
          <w:rFonts w:ascii="Arial" w:hAnsi="Arial" w:cs="Arial"/>
          <w:bCs/>
        </w:rPr>
        <w:t>Attachment 61 -- Institutions (non-hospital) Event Form</w:t>
      </w:r>
      <w:r w:rsidR="00945884">
        <w:rPr>
          <w:rFonts w:ascii="Arial" w:hAnsi="Arial" w:cs="Arial"/>
          <w:bCs/>
        </w:rPr>
        <w:br/>
      </w:r>
      <w:r w:rsidRPr="00945884" w:rsidR="00945884">
        <w:rPr>
          <w:rFonts w:ascii="Arial" w:hAnsi="Arial" w:cs="Arial"/>
          <w:bCs/>
        </w:rPr>
        <w:t>Attachment 62 -- Pharmacies Event Form</w:t>
      </w:r>
      <w:r w:rsidR="00945884">
        <w:rPr>
          <w:rFonts w:ascii="Arial" w:hAnsi="Arial" w:cs="Arial"/>
          <w:bCs/>
        </w:rPr>
        <w:br/>
      </w:r>
      <w:r w:rsidRPr="00945884" w:rsidR="00945884">
        <w:rPr>
          <w:rFonts w:ascii="Arial" w:hAnsi="Arial" w:cs="Arial"/>
          <w:bCs/>
        </w:rPr>
        <w:t xml:space="preserve">Attachment 63 </w:t>
      </w:r>
      <w:r w:rsidR="00945884">
        <w:rPr>
          <w:rFonts w:ascii="Arial" w:hAnsi="Arial" w:cs="Arial"/>
          <w:bCs/>
        </w:rPr>
        <w:t>–</w:t>
      </w:r>
      <w:r w:rsidRPr="00945884" w:rsidR="00945884">
        <w:rPr>
          <w:rFonts w:ascii="Arial" w:hAnsi="Arial" w:cs="Arial"/>
          <w:bCs/>
        </w:rPr>
        <w:t xml:space="preserve"> ESAQ</w:t>
      </w:r>
      <w:r w:rsidR="00945884">
        <w:rPr>
          <w:rFonts w:ascii="Arial" w:hAnsi="Arial" w:cs="Arial"/>
          <w:bCs/>
        </w:rPr>
        <w:br/>
        <w:t>Attachment 64 – Federal Register Notice</w:t>
      </w:r>
    </w:p>
    <w:p w:rsidR="007E3A03" w:rsidP="00450538" w14:paraId="654191A9" w14:textId="77777777">
      <w:pPr>
        <w:pStyle w:val="NormalWeb"/>
        <w:rPr>
          <w:rFonts w:ascii="Arial" w:hAnsi="Arial" w:cs="Arial"/>
          <w:bCs/>
        </w:rPr>
      </w:pPr>
    </w:p>
    <w:p w:rsidR="0037213A" w:rsidRPr="00244D4B" w:rsidP="00450538" w14:paraId="0B7B6DB4" w14:textId="3DFD7C69">
      <w:pPr>
        <w:pStyle w:val="NormalWeb"/>
        <w:rPr>
          <w:rFonts w:ascii="Arial" w:hAnsi="Arial" w:cs="Arial"/>
          <w:bCs/>
        </w:rPr>
      </w:pPr>
      <w:r>
        <w:rPr>
          <w:rFonts w:ascii="Arial" w:hAnsi="Arial" w:cs="Arial"/>
          <w:bCs/>
        </w:rPr>
        <w:br/>
      </w:r>
    </w:p>
    <w:p w:rsidR="00244D4B" w:rsidP="00450538" w14:paraId="1C7AE154" w14:textId="77777777">
      <w:pPr>
        <w:pStyle w:val="NormalWeb"/>
        <w:rPr>
          <w:rFonts w:ascii="Arial" w:hAnsi="Arial" w:cs="Arial"/>
          <w:b/>
        </w:rPr>
      </w:pPr>
    </w:p>
    <w:sectPr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36" w:rsidP="009B633D" w14:paraId="3E02E0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A5433">
      <w:rPr>
        <w:rStyle w:val="PageNumber"/>
      </w:rPr>
      <w:fldChar w:fldCharType="separate"/>
    </w:r>
    <w:r>
      <w:rPr>
        <w:rStyle w:val="PageNumber"/>
      </w:rPr>
      <w:fldChar w:fldCharType="end"/>
    </w:r>
  </w:p>
  <w:p w:rsidR="00F45A36" w14:paraId="0F5C25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5A36" w:rsidP="009B633D" w14:paraId="7F46ED39" w14:textId="3D1B6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E0E">
      <w:rPr>
        <w:rStyle w:val="PageNumber"/>
        <w:noProof/>
      </w:rPr>
      <w:t>- 13 -</w:t>
    </w:r>
    <w:r>
      <w:rPr>
        <w:rStyle w:val="PageNumber"/>
      </w:rPr>
      <w:fldChar w:fldCharType="end"/>
    </w:r>
  </w:p>
  <w:p w:rsidR="00F45A36" w14:paraId="5F0790A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66B0E"/>
    <w:multiLevelType w:val="hybridMultilevel"/>
    <w:tmpl w:val="13367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A04B97"/>
    <w:multiLevelType w:val="hybridMultilevel"/>
    <w:tmpl w:val="74681B2E"/>
    <w:lvl w:ilvl="0">
      <w:start w:val="5"/>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5970BB"/>
    <w:multiLevelType w:val="hybridMultilevel"/>
    <w:tmpl w:val="0B2CDE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7D191C"/>
    <w:multiLevelType w:val="hybridMultilevel"/>
    <w:tmpl w:val="E14CD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4BA25F6"/>
    <w:multiLevelType w:val="hybridMultilevel"/>
    <w:tmpl w:val="22C43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E81A17"/>
    <w:multiLevelType w:val="hybridMultilevel"/>
    <w:tmpl w:val="B40826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820351"/>
    <w:multiLevelType w:val="hybridMultilevel"/>
    <w:tmpl w:val="B40826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BB01B4"/>
    <w:multiLevelType w:val="hybridMultilevel"/>
    <w:tmpl w:val="37B6C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12219A"/>
    <w:multiLevelType w:val="hybridMultilevel"/>
    <w:tmpl w:val="06F2D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EB0AD7"/>
    <w:multiLevelType w:val="hybridMultilevel"/>
    <w:tmpl w:val="F11C64AC"/>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361AE1"/>
    <w:multiLevelType w:val="multilevel"/>
    <w:tmpl w:val="BD90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50B5D"/>
    <w:multiLevelType w:val="hybridMultilevel"/>
    <w:tmpl w:val="16BEDF8C"/>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4">
    <w:nsid w:val="5DC171E7"/>
    <w:multiLevelType w:val="hybridMultilevel"/>
    <w:tmpl w:val="5CF0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B05EA6"/>
    <w:multiLevelType w:val="hybridMultilevel"/>
    <w:tmpl w:val="31D2D6D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A2D7C37"/>
    <w:multiLevelType w:val="hybridMultilevel"/>
    <w:tmpl w:val="18E8EC1C"/>
    <w:lvl w:ilvl="0">
      <w:start w:val="1"/>
      <w:numFmt w:val="bullet"/>
      <w:lvlText w:val=""/>
      <w:lvlJc w:val="left"/>
      <w:pPr>
        <w:ind w:left="1454" w:hanging="360"/>
      </w:pPr>
      <w:rPr>
        <w:rFonts w:ascii="Symbol" w:hAnsi="Symbol" w:hint="default"/>
      </w:rPr>
    </w:lvl>
    <w:lvl w:ilvl="1" w:tentative="1">
      <w:start w:val="1"/>
      <w:numFmt w:val="bullet"/>
      <w:lvlText w:val="o"/>
      <w:lvlJc w:val="left"/>
      <w:pPr>
        <w:ind w:left="2174" w:hanging="360"/>
      </w:pPr>
      <w:rPr>
        <w:rFonts w:ascii="Courier New" w:hAnsi="Courier New" w:cs="Courier New" w:hint="default"/>
      </w:rPr>
    </w:lvl>
    <w:lvl w:ilvl="2" w:tentative="1">
      <w:start w:val="1"/>
      <w:numFmt w:val="bullet"/>
      <w:lvlText w:val=""/>
      <w:lvlJc w:val="left"/>
      <w:pPr>
        <w:ind w:left="2894" w:hanging="360"/>
      </w:pPr>
      <w:rPr>
        <w:rFonts w:ascii="Wingdings" w:hAnsi="Wingdings" w:hint="default"/>
      </w:rPr>
    </w:lvl>
    <w:lvl w:ilvl="3" w:tentative="1">
      <w:start w:val="1"/>
      <w:numFmt w:val="bullet"/>
      <w:lvlText w:val=""/>
      <w:lvlJc w:val="left"/>
      <w:pPr>
        <w:ind w:left="3614" w:hanging="360"/>
      </w:pPr>
      <w:rPr>
        <w:rFonts w:ascii="Symbol" w:hAnsi="Symbol" w:hint="default"/>
      </w:rPr>
    </w:lvl>
    <w:lvl w:ilvl="4" w:tentative="1">
      <w:start w:val="1"/>
      <w:numFmt w:val="bullet"/>
      <w:lvlText w:val="o"/>
      <w:lvlJc w:val="left"/>
      <w:pPr>
        <w:ind w:left="4334" w:hanging="360"/>
      </w:pPr>
      <w:rPr>
        <w:rFonts w:ascii="Courier New" w:hAnsi="Courier New" w:cs="Courier New" w:hint="default"/>
      </w:rPr>
    </w:lvl>
    <w:lvl w:ilvl="5" w:tentative="1">
      <w:start w:val="1"/>
      <w:numFmt w:val="bullet"/>
      <w:lvlText w:val=""/>
      <w:lvlJc w:val="left"/>
      <w:pPr>
        <w:ind w:left="5054" w:hanging="360"/>
      </w:pPr>
      <w:rPr>
        <w:rFonts w:ascii="Wingdings" w:hAnsi="Wingdings" w:hint="default"/>
      </w:rPr>
    </w:lvl>
    <w:lvl w:ilvl="6" w:tentative="1">
      <w:start w:val="1"/>
      <w:numFmt w:val="bullet"/>
      <w:lvlText w:val=""/>
      <w:lvlJc w:val="left"/>
      <w:pPr>
        <w:ind w:left="5774" w:hanging="360"/>
      </w:pPr>
      <w:rPr>
        <w:rFonts w:ascii="Symbol" w:hAnsi="Symbol" w:hint="default"/>
      </w:rPr>
    </w:lvl>
    <w:lvl w:ilvl="7" w:tentative="1">
      <w:start w:val="1"/>
      <w:numFmt w:val="bullet"/>
      <w:lvlText w:val="o"/>
      <w:lvlJc w:val="left"/>
      <w:pPr>
        <w:ind w:left="6494" w:hanging="360"/>
      </w:pPr>
      <w:rPr>
        <w:rFonts w:ascii="Courier New" w:hAnsi="Courier New" w:cs="Courier New" w:hint="default"/>
      </w:rPr>
    </w:lvl>
    <w:lvl w:ilvl="8" w:tentative="1">
      <w:start w:val="1"/>
      <w:numFmt w:val="bullet"/>
      <w:lvlText w:val=""/>
      <w:lvlJc w:val="left"/>
      <w:pPr>
        <w:ind w:left="7214" w:hanging="360"/>
      </w:pPr>
      <w:rPr>
        <w:rFonts w:ascii="Wingdings" w:hAnsi="Wingdings" w:hint="default"/>
      </w:rPr>
    </w:lvl>
  </w:abstractNum>
  <w:abstractNum w:abstractNumId="1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487DE4"/>
    <w:multiLevelType w:val="hybridMultilevel"/>
    <w:tmpl w:val="E918B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C9760C"/>
    <w:multiLevelType w:val="hybridMultilevel"/>
    <w:tmpl w:val="86C0ED8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16cid:durableId="1332484555">
    <w:abstractNumId w:val="20"/>
  </w:num>
  <w:num w:numId="2" w16cid:durableId="780802939">
    <w:abstractNumId w:val="13"/>
  </w:num>
  <w:num w:numId="3" w16cid:durableId="767845536">
    <w:abstractNumId w:val="9"/>
  </w:num>
  <w:num w:numId="4" w16cid:durableId="234978578">
    <w:abstractNumId w:val="17"/>
  </w:num>
  <w:num w:numId="5" w16cid:durableId="1979725773">
    <w:abstractNumId w:val="2"/>
  </w:num>
  <w:num w:numId="6" w16cid:durableId="1448231569">
    <w:abstractNumId w:val="12"/>
  </w:num>
  <w:num w:numId="7" w16cid:durableId="1063525721">
    <w:abstractNumId w:val="15"/>
  </w:num>
  <w:num w:numId="8" w16cid:durableId="2030447312">
    <w:abstractNumId w:val="14"/>
  </w:num>
  <w:num w:numId="9" w16cid:durableId="1298295298">
    <w:abstractNumId w:val="7"/>
  </w:num>
  <w:num w:numId="10" w16cid:durableId="675419629">
    <w:abstractNumId w:val="8"/>
  </w:num>
  <w:num w:numId="11" w16cid:durableId="837113809">
    <w:abstractNumId w:val="3"/>
  </w:num>
  <w:num w:numId="12" w16cid:durableId="1223522039">
    <w:abstractNumId w:val="19"/>
  </w:num>
  <w:num w:numId="13" w16cid:durableId="119108759">
    <w:abstractNumId w:val="18"/>
  </w:num>
  <w:num w:numId="14" w16cid:durableId="1538200623">
    <w:abstractNumId w:val="16"/>
  </w:num>
  <w:num w:numId="15" w16cid:durableId="677775522">
    <w:abstractNumId w:val="1"/>
  </w:num>
  <w:num w:numId="16" w16cid:durableId="1598294533">
    <w:abstractNumId w:val="5"/>
  </w:num>
  <w:num w:numId="17" w16cid:durableId="1907715947">
    <w:abstractNumId w:val="4"/>
  </w:num>
  <w:num w:numId="18" w16cid:durableId="542988359">
    <w:abstractNumId w:val="11"/>
  </w:num>
  <w:num w:numId="19" w16cid:durableId="843594508">
    <w:abstractNumId w:val="0"/>
  </w:num>
  <w:num w:numId="20" w16cid:durableId="1361858790">
    <w:abstractNumId w:val="10"/>
  </w:num>
  <w:num w:numId="21" w16cid:durableId="181817957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2B96"/>
    <w:rsid w:val="000064A7"/>
    <w:rsid w:val="000100E1"/>
    <w:rsid w:val="00011E85"/>
    <w:rsid w:val="00012921"/>
    <w:rsid w:val="00012FB9"/>
    <w:rsid w:val="00015815"/>
    <w:rsid w:val="00015AAF"/>
    <w:rsid w:val="00016560"/>
    <w:rsid w:val="00020340"/>
    <w:rsid w:val="00022A50"/>
    <w:rsid w:val="00024FEE"/>
    <w:rsid w:val="00026A49"/>
    <w:rsid w:val="000301EE"/>
    <w:rsid w:val="00031B83"/>
    <w:rsid w:val="00032F47"/>
    <w:rsid w:val="00033301"/>
    <w:rsid w:val="00036661"/>
    <w:rsid w:val="00037998"/>
    <w:rsid w:val="00043462"/>
    <w:rsid w:val="00043473"/>
    <w:rsid w:val="00045959"/>
    <w:rsid w:val="00046359"/>
    <w:rsid w:val="00047AE7"/>
    <w:rsid w:val="0006207D"/>
    <w:rsid w:val="0006539E"/>
    <w:rsid w:val="00065AAE"/>
    <w:rsid w:val="000749F5"/>
    <w:rsid w:val="00074B31"/>
    <w:rsid w:val="00076082"/>
    <w:rsid w:val="000769F7"/>
    <w:rsid w:val="000779A9"/>
    <w:rsid w:val="00082047"/>
    <w:rsid w:val="00091302"/>
    <w:rsid w:val="0009332B"/>
    <w:rsid w:val="00093C26"/>
    <w:rsid w:val="00094648"/>
    <w:rsid w:val="000A016A"/>
    <w:rsid w:val="000A140E"/>
    <w:rsid w:val="000A2784"/>
    <w:rsid w:val="000A3475"/>
    <w:rsid w:val="000A519B"/>
    <w:rsid w:val="000A5433"/>
    <w:rsid w:val="000B3EEC"/>
    <w:rsid w:val="000B78CB"/>
    <w:rsid w:val="000C0413"/>
    <w:rsid w:val="000C2399"/>
    <w:rsid w:val="000D010F"/>
    <w:rsid w:val="000D02FF"/>
    <w:rsid w:val="000D159C"/>
    <w:rsid w:val="000D3E79"/>
    <w:rsid w:val="000D429E"/>
    <w:rsid w:val="000D5C1A"/>
    <w:rsid w:val="000E01D1"/>
    <w:rsid w:val="000E2D5D"/>
    <w:rsid w:val="000E4300"/>
    <w:rsid w:val="000E4970"/>
    <w:rsid w:val="000F0228"/>
    <w:rsid w:val="000F1328"/>
    <w:rsid w:val="000F25A6"/>
    <w:rsid w:val="000F2B59"/>
    <w:rsid w:val="000F317C"/>
    <w:rsid w:val="000F63DA"/>
    <w:rsid w:val="00101522"/>
    <w:rsid w:val="00103DDE"/>
    <w:rsid w:val="00104C8D"/>
    <w:rsid w:val="00112DF2"/>
    <w:rsid w:val="00113105"/>
    <w:rsid w:val="001164AF"/>
    <w:rsid w:val="00120A0C"/>
    <w:rsid w:val="00123E50"/>
    <w:rsid w:val="001243BC"/>
    <w:rsid w:val="00124917"/>
    <w:rsid w:val="001301AA"/>
    <w:rsid w:val="00131443"/>
    <w:rsid w:val="00133327"/>
    <w:rsid w:val="0013361C"/>
    <w:rsid w:val="00133AA2"/>
    <w:rsid w:val="00135B13"/>
    <w:rsid w:val="00136576"/>
    <w:rsid w:val="0014105F"/>
    <w:rsid w:val="0015079D"/>
    <w:rsid w:val="00153780"/>
    <w:rsid w:val="00153867"/>
    <w:rsid w:val="00153FEA"/>
    <w:rsid w:val="0015468C"/>
    <w:rsid w:val="00161A52"/>
    <w:rsid w:val="00165FC9"/>
    <w:rsid w:val="00166A69"/>
    <w:rsid w:val="001707C6"/>
    <w:rsid w:val="00176100"/>
    <w:rsid w:val="00183A0E"/>
    <w:rsid w:val="00183BEE"/>
    <w:rsid w:val="00184D48"/>
    <w:rsid w:val="001868E0"/>
    <w:rsid w:val="00187A50"/>
    <w:rsid w:val="0019117D"/>
    <w:rsid w:val="0019223E"/>
    <w:rsid w:val="001A00F5"/>
    <w:rsid w:val="001A28C0"/>
    <w:rsid w:val="001A2BB1"/>
    <w:rsid w:val="001A5FEA"/>
    <w:rsid w:val="001B0871"/>
    <w:rsid w:val="001B1C61"/>
    <w:rsid w:val="001B234D"/>
    <w:rsid w:val="001C00B0"/>
    <w:rsid w:val="001C59E4"/>
    <w:rsid w:val="001C5F4C"/>
    <w:rsid w:val="001C7758"/>
    <w:rsid w:val="001D0454"/>
    <w:rsid w:val="001D2C8F"/>
    <w:rsid w:val="001D46EF"/>
    <w:rsid w:val="001D4B41"/>
    <w:rsid w:val="001E26A4"/>
    <w:rsid w:val="001E282F"/>
    <w:rsid w:val="001E63C6"/>
    <w:rsid w:val="001F281A"/>
    <w:rsid w:val="001F3748"/>
    <w:rsid w:val="0020637A"/>
    <w:rsid w:val="00207117"/>
    <w:rsid w:val="00211E70"/>
    <w:rsid w:val="002138FA"/>
    <w:rsid w:val="002139CA"/>
    <w:rsid w:val="0022366A"/>
    <w:rsid w:val="00226188"/>
    <w:rsid w:val="002268FF"/>
    <w:rsid w:val="00232656"/>
    <w:rsid w:val="00233B3E"/>
    <w:rsid w:val="00237444"/>
    <w:rsid w:val="00241935"/>
    <w:rsid w:val="00244D4B"/>
    <w:rsid w:val="00253E2E"/>
    <w:rsid w:val="0025462A"/>
    <w:rsid w:val="002548ED"/>
    <w:rsid w:val="002555CA"/>
    <w:rsid w:val="00256C94"/>
    <w:rsid w:val="0026343D"/>
    <w:rsid w:val="0026424E"/>
    <w:rsid w:val="002648E8"/>
    <w:rsid w:val="00265FB8"/>
    <w:rsid w:val="00271940"/>
    <w:rsid w:val="00272E29"/>
    <w:rsid w:val="00280B67"/>
    <w:rsid w:val="00283D80"/>
    <w:rsid w:val="00286F28"/>
    <w:rsid w:val="00291B73"/>
    <w:rsid w:val="00295F33"/>
    <w:rsid w:val="0029734C"/>
    <w:rsid w:val="0029760C"/>
    <w:rsid w:val="002B382B"/>
    <w:rsid w:val="002B6943"/>
    <w:rsid w:val="002B7635"/>
    <w:rsid w:val="002C4140"/>
    <w:rsid w:val="002D52A1"/>
    <w:rsid w:val="002E45DA"/>
    <w:rsid w:val="002E4D0E"/>
    <w:rsid w:val="002E54EF"/>
    <w:rsid w:val="002F4C45"/>
    <w:rsid w:val="002F4DE8"/>
    <w:rsid w:val="00301AAC"/>
    <w:rsid w:val="0030780E"/>
    <w:rsid w:val="003122BF"/>
    <w:rsid w:val="0031248B"/>
    <w:rsid w:val="00313F32"/>
    <w:rsid w:val="0031471F"/>
    <w:rsid w:val="00315913"/>
    <w:rsid w:val="00320F9B"/>
    <w:rsid w:val="00325B9C"/>
    <w:rsid w:val="003264FB"/>
    <w:rsid w:val="003270FA"/>
    <w:rsid w:val="00336F9C"/>
    <w:rsid w:val="00340D97"/>
    <w:rsid w:val="0034325D"/>
    <w:rsid w:val="00350E4E"/>
    <w:rsid w:val="0035550A"/>
    <w:rsid w:val="00361F52"/>
    <w:rsid w:val="00365299"/>
    <w:rsid w:val="00365B7B"/>
    <w:rsid w:val="00365C89"/>
    <w:rsid w:val="0037213A"/>
    <w:rsid w:val="0037254D"/>
    <w:rsid w:val="003738EB"/>
    <w:rsid w:val="0037427A"/>
    <w:rsid w:val="00374492"/>
    <w:rsid w:val="00377301"/>
    <w:rsid w:val="0037771B"/>
    <w:rsid w:val="00377D80"/>
    <w:rsid w:val="0038217D"/>
    <w:rsid w:val="00384CFA"/>
    <w:rsid w:val="00396222"/>
    <w:rsid w:val="003A0672"/>
    <w:rsid w:val="003A2B29"/>
    <w:rsid w:val="003B20AD"/>
    <w:rsid w:val="003B2951"/>
    <w:rsid w:val="003B39B5"/>
    <w:rsid w:val="003B5109"/>
    <w:rsid w:val="003B5859"/>
    <w:rsid w:val="003B5DFF"/>
    <w:rsid w:val="003B6B41"/>
    <w:rsid w:val="003C07E3"/>
    <w:rsid w:val="003C60BD"/>
    <w:rsid w:val="003C654B"/>
    <w:rsid w:val="003C7EF9"/>
    <w:rsid w:val="003D1A5B"/>
    <w:rsid w:val="003D20A1"/>
    <w:rsid w:val="003D21A7"/>
    <w:rsid w:val="003D225B"/>
    <w:rsid w:val="003D3937"/>
    <w:rsid w:val="003D73D8"/>
    <w:rsid w:val="003E2031"/>
    <w:rsid w:val="003E2801"/>
    <w:rsid w:val="003E28C9"/>
    <w:rsid w:val="003F3491"/>
    <w:rsid w:val="003F36C4"/>
    <w:rsid w:val="003F5921"/>
    <w:rsid w:val="00402DC8"/>
    <w:rsid w:val="00404705"/>
    <w:rsid w:val="004076BC"/>
    <w:rsid w:val="00412C6F"/>
    <w:rsid w:val="004131BC"/>
    <w:rsid w:val="00413A1A"/>
    <w:rsid w:val="00414C80"/>
    <w:rsid w:val="004155E1"/>
    <w:rsid w:val="0042167F"/>
    <w:rsid w:val="00423E8F"/>
    <w:rsid w:val="00424E6E"/>
    <w:rsid w:val="00425974"/>
    <w:rsid w:val="004276D1"/>
    <w:rsid w:val="00431034"/>
    <w:rsid w:val="00431813"/>
    <w:rsid w:val="00434196"/>
    <w:rsid w:val="0043596B"/>
    <w:rsid w:val="00442DD5"/>
    <w:rsid w:val="00446831"/>
    <w:rsid w:val="0044769A"/>
    <w:rsid w:val="00450538"/>
    <w:rsid w:val="00452268"/>
    <w:rsid w:val="00455B53"/>
    <w:rsid w:val="00456179"/>
    <w:rsid w:val="00457E41"/>
    <w:rsid w:val="00460B0C"/>
    <w:rsid w:val="00464CA9"/>
    <w:rsid w:val="004670C2"/>
    <w:rsid w:val="00467163"/>
    <w:rsid w:val="00473696"/>
    <w:rsid w:val="00474E0E"/>
    <w:rsid w:val="0047504D"/>
    <w:rsid w:val="0047571B"/>
    <w:rsid w:val="00476169"/>
    <w:rsid w:val="00480523"/>
    <w:rsid w:val="004811AD"/>
    <w:rsid w:val="00484F1C"/>
    <w:rsid w:val="00486FE7"/>
    <w:rsid w:val="00490E59"/>
    <w:rsid w:val="00492F5F"/>
    <w:rsid w:val="004A1B9B"/>
    <w:rsid w:val="004A4715"/>
    <w:rsid w:val="004A51FD"/>
    <w:rsid w:val="004A624D"/>
    <w:rsid w:val="004A7ACC"/>
    <w:rsid w:val="004B060D"/>
    <w:rsid w:val="004B624D"/>
    <w:rsid w:val="004C1875"/>
    <w:rsid w:val="004C38CA"/>
    <w:rsid w:val="004C3BA7"/>
    <w:rsid w:val="004C4A74"/>
    <w:rsid w:val="004D6794"/>
    <w:rsid w:val="004E16F6"/>
    <w:rsid w:val="004E3A1B"/>
    <w:rsid w:val="004F00B5"/>
    <w:rsid w:val="004F03D2"/>
    <w:rsid w:val="004F3607"/>
    <w:rsid w:val="00500863"/>
    <w:rsid w:val="00501308"/>
    <w:rsid w:val="0050353A"/>
    <w:rsid w:val="00504F1B"/>
    <w:rsid w:val="005057FB"/>
    <w:rsid w:val="00507AFF"/>
    <w:rsid w:val="00510909"/>
    <w:rsid w:val="00511D3E"/>
    <w:rsid w:val="00514865"/>
    <w:rsid w:val="00515995"/>
    <w:rsid w:val="005206F2"/>
    <w:rsid w:val="00520833"/>
    <w:rsid w:val="00520CE0"/>
    <w:rsid w:val="00520F14"/>
    <w:rsid w:val="005259D5"/>
    <w:rsid w:val="00527BBD"/>
    <w:rsid w:val="00531857"/>
    <w:rsid w:val="0053391B"/>
    <w:rsid w:val="00535B56"/>
    <w:rsid w:val="005365FB"/>
    <w:rsid w:val="0054082A"/>
    <w:rsid w:val="00544F34"/>
    <w:rsid w:val="005479F6"/>
    <w:rsid w:val="00552AA3"/>
    <w:rsid w:val="00556066"/>
    <w:rsid w:val="00561AFE"/>
    <w:rsid w:val="005622E0"/>
    <w:rsid w:val="0056238F"/>
    <w:rsid w:val="005728BC"/>
    <w:rsid w:val="00581FD2"/>
    <w:rsid w:val="0058602B"/>
    <w:rsid w:val="00587F2D"/>
    <w:rsid w:val="00590AF2"/>
    <w:rsid w:val="0059189B"/>
    <w:rsid w:val="00593E67"/>
    <w:rsid w:val="00594E6C"/>
    <w:rsid w:val="00595909"/>
    <w:rsid w:val="005969F5"/>
    <w:rsid w:val="005A47C2"/>
    <w:rsid w:val="005B0EE6"/>
    <w:rsid w:val="005B2955"/>
    <w:rsid w:val="005B3C01"/>
    <w:rsid w:val="005B62CF"/>
    <w:rsid w:val="005B6FAA"/>
    <w:rsid w:val="005B715B"/>
    <w:rsid w:val="005C3AC5"/>
    <w:rsid w:val="005C3B71"/>
    <w:rsid w:val="005D1A17"/>
    <w:rsid w:val="005D1D44"/>
    <w:rsid w:val="005D285B"/>
    <w:rsid w:val="005E3497"/>
    <w:rsid w:val="005E49B8"/>
    <w:rsid w:val="005F0C5E"/>
    <w:rsid w:val="005F1862"/>
    <w:rsid w:val="005F4B12"/>
    <w:rsid w:val="005F7934"/>
    <w:rsid w:val="0060047D"/>
    <w:rsid w:val="006014DB"/>
    <w:rsid w:val="00603647"/>
    <w:rsid w:val="00604437"/>
    <w:rsid w:val="006054A9"/>
    <w:rsid w:val="0060612C"/>
    <w:rsid w:val="00606400"/>
    <w:rsid w:val="00610703"/>
    <w:rsid w:val="00613C05"/>
    <w:rsid w:val="00613EFC"/>
    <w:rsid w:val="0061427F"/>
    <w:rsid w:val="00620B93"/>
    <w:rsid w:val="00622695"/>
    <w:rsid w:val="00625C1B"/>
    <w:rsid w:val="00626D1D"/>
    <w:rsid w:val="006306A5"/>
    <w:rsid w:val="006312CE"/>
    <w:rsid w:val="00631C81"/>
    <w:rsid w:val="00635034"/>
    <w:rsid w:val="00635119"/>
    <w:rsid w:val="00636A0C"/>
    <w:rsid w:val="00645E39"/>
    <w:rsid w:val="006472FB"/>
    <w:rsid w:val="00655655"/>
    <w:rsid w:val="00655A17"/>
    <w:rsid w:val="00656A9C"/>
    <w:rsid w:val="00664248"/>
    <w:rsid w:val="00673146"/>
    <w:rsid w:val="00673643"/>
    <w:rsid w:val="00674B3C"/>
    <w:rsid w:val="00677A0B"/>
    <w:rsid w:val="006970A8"/>
    <w:rsid w:val="006A0ED0"/>
    <w:rsid w:val="006A1DDD"/>
    <w:rsid w:val="006A28E1"/>
    <w:rsid w:val="006A4D4E"/>
    <w:rsid w:val="006B071E"/>
    <w:rsid w:val="006B2AFD"/>
    <w:rsid w:val="006C05DE"/>
    <w:rsid w:val="006C392F"/>
    <w:rsid w:val="006C45D0"/>
    <w:rsid w:val="006C6DD3"/>
    <w:rsid w:val="006D1C5E"/>
    <w:rsid w:val="006E21FA"/>
    <w:rsid w:val="006E615C"/>
    <w:rsid w:val="006F5FEB"/>
    <w:rsid w:val="006F75FA"/>
    <w:rsid w:val="0070072D"/>
    <w:rsid w:val="00701253"/>
    <w:rsid w:val="00703573"/>
    <w:rsid w:val="007109B1"/>
    <w:rsid w:val="00710C91"/>
    <w:rsid w:val="0071126E"/>
    <w:rsid w:val="007121C5"/>
    <w:rsid w:val="00712D7B"/>
    <w:rsid w:val="00715FBD"/>
    <w:rsid w:val="00716E58"/>
    <w:rsid w:val="00717ACA"/>
    <w:rsid w:val="007208E0"/>
    <w:rsid w:val="007227C9"/>
    <w:rsid w:val="00723075"/>
    <w:rsid w:val="007258BA"/>
    <w:rsid w:val="0072609B"/>
    <w:rsid w:val="007326D6"/>
    <w:rsid w:val="00733323"/>
    <w:rsid w:val="00744AAB"/>
    <w:rsid w:val="00744D19"/>
    <w:rsid w:val="00747A7E"/>
    <w:rsid w:val="00747D2F"/>
    <w:rsid w:val="007521B5"/>
    <w:rsid w:val="00752EA8"/>
    <w:rsid w:val="007536BA"/>
    <w:rsid w:val="00753835"/>
    <w:rsid w:val="00755702"/>
    <w:rsid w:val="00755ADD"/>
    <w:rsid w:val="00757329"/>
    <w:rsid w:val="007612F9"/>
    <w:rsid w:val="007619F0"/>
    <w:rsid w:val="00762704"/>
    <w:rsid w:val="00765D1A"/>
    <w:rsid w:val="007700A7"/>
    <w:rsid w:val="007721F3"/>
    <w:rsid w:val="00776654"/>
    <w:rsid w:val="00776FE9"/>
    <w:rsid w:val="0078495E"/>
    <w:rsid w:val="0079366C"/>
    <w:rsid w:val="0079589E"/>
    <w:rsid w:val="00796B2E"/>
    <w:rsid w:val="007A098A"/>
    <w:rsid w:val="007A16E6"/>
    <w:rsid w:val="007A2083"/>
    <w:rsid w:val="007A265C"/>
    <w:rsid w:val="007A4EE6"/>
    <w:rsid w:val="007A5C35"/>
    <w:rsid w:val="007B0CF3"/>
    <w:rsid w:val="007B3A8E"/>
    <w:rsid w:val="007B4120"/>
    <w:rsid w:val="007B6A80"/>
    <w:rsid w:val="007C1C0B"/>
    <w:rsid w:val="007C1C84"/>
    <w:rsid w:val="007C1ECB"/>
    <w:rsid w:val="007D1CFC"/>
    <w:rsid w:val="007D399A"/>
    <w:rsid w:val="007D43C6"/>
    <w:rsid w:val="007D4F9F"/>
    <w:rsid w:val="007E01BD"/>
    <w:rsid w:val="007E3A03"/>
    <w:rsid w:val="007E4359"/>
    <w:rsid w:val="007F0C59"/>
    <w:rsid w:val="007F2F36"/>
    <w:rsid w:val="007F5B90"/>
    <w:rsid w:val="007F5F54"/>
    <w:rsid w:val="00800E7C"/>
    <w:rsid w:val="00802F92"/>
    <w:rsid w:val="0080612B"/>
    <w:rsid w:val="00810A2E"/>
    <w:rsid w:val="00811735"/>
    <w:rsid w:val="00817DA0"/>
    <w:rsid w:val="0082479F"/>
    <w:rsid w:val="00825B3C"/>
    <w:rsid w:val="00825DA9"/>
    <w:rsid w:val="00826D22"/>
    <w:rsid w:val="0083145C"/>
    <w:rsid w:val="008324D7"/>
    <w:rsid w:val="00837EFC"/>
    <w:rsid w:val="00841047"/>
    <w:rsid w:val="00842083"/>
    <w:rsid w:val="008450C0"/>
    <w:rsid w:val="00847CFD"/>
    <w:rsid w:val="00852A1F"/>
    <w:rsid w:val="00853D6E"/>
    <w:rsid w:val="008573ED"/>
    <w:rsid w:val="00861A0A"/>
    <w:rsid w:val="00861CE1"/>
    <w:rsid w:val="00861E61"/>
    <w:rsid w:val="00865122"/>
    <w:rsid w:val="0087169A"/>
    <w:rsid w:val="008734FB"/>
    <w:rsid w:val="008735B3"/>
    <w:rsid w:val="00873F74"/>
    <w:rsid w:val="00880DFE"/>
    <w:rsid w:val="00884360"/>
    <w:rsid w:val="00887F65"/>
    <w:rsid w:val="00892655"/>
    <w:rsid w:val="008A007D"/>
    <w:rsid w:val="008A10D2"/>
    <w:rsid w:val="008A30B9"/>
    <w:rsid w:val="008A40EE"/>
    <w:rsid w:val="008A642C"/>
    <w:rsid w:val="008B0704"/>
    <w:rsid w:val="008B0946"/>
    <w:rsid w:val="008B3797"/>
    <w:rsid w:val="008B593F"/>
    <w:rsid w:val="008B5F88"/>
    <w:rsid w:val="008C1D6A"/>
    <w:rsid w:val="008C29A0"/>
    <w:rsid w:val="008C580E"/>
    <w:rsid w:val="008C7455"/>
    <w:rsid w:val="008C7B33"/>
    <w:rsid w:val="008D028E"/>
    <w:rsid w:val="008E04D8"/>
    <w:rsid w:val="008E4339"/>
    <w:rsid w:val="008E4FC9"/>
    <w:rsid w:val="008E567E"/>
    <w:rsid w:val="008F0B8B"/>
    <w:rsid w:val="008F17F2"/>
    <w:rsid w:val="008F23D7"/>
    <w:rsid w:val="00904785"/>
    <w:rsid w:val="00904B5D"/>
    <w:rsid w:val="00904CC3"/>
    <w:rsid w:val="0091048F"/>
    <w:rsid w:val="00911595"/>
    <w:rsid w:val="00913707"/>
    <w:rsid w:val="00924539"/>
    <w:rsid w:val="00937393"/>
    <w:rsid w:val="009374DF"/>
    <w:rsid w:val="00945884"/>
    <w:rsid w:val="009510A2"/>
    <w:rsid w:val="009540EA"/>
    <w:rsid w:val="00955553"/>
    <w:rsid w:val="009558A6"/>
    <w:rsid w:val="00962E27"/>
    <w:rsid w:val="009741C4"/>
    <w:rsid w:val="009746A1"/>
    <w:rsid w:val="00975ED2"/>
    <w:rsid w:val="00976CD0"/>
    <w:rsid w:val="00977DF5"/>
    <w:rsid w:val="00980398"/>
    <w:rsid w:val="009803A0"/>
    <w:rsid w:val="00983636"/>
    <w:rsid w:val="009838CE"/>
    <w:rsid w:val="009840C4"/>
    <w:rsid w:val="00991FBF"/>
    <w:rsid w:val="009943E2"/>
    <w:rsid w:val="009943E4"/>
    <w:rsid w:val="00994C16"/>
    <w:rsid w:val="009953BD"/>
    <w:rsid w:val="0099646C"/>
    <w:rsid w:val="009A237A"/>
    <w:rsid w:val="009A296B"/>
    <w:rsid w:val="009A3BA0"/>
    <w:rsid w:val="009A49A7"/>
    <w:rsid w:val="009A5E8A"/>
    <w:rsid w:val="009B2EEA"/>
    <w:rsid w:val="009B3622"/>
    <w:rsid w:val="009B633D"/>
    <w:rsid w:val="009B7821"/>
    <w:rsid w:val="009C2C9F"/>
    <w:rsid w:val="009C3F2C"/>
    <w:rsid w:val="009C4881"/>
    <w:rsid w:val="009C6C1F"/>
    <w:rsid w:val="009D34C6"/>
    <w:rsid w:val="009D3DBB"/>
    <w:rsid w:val="009D4A09"/>
    <w:rsid w:val="009F2794"/>
    <w:rsid w:val="009F299E"/>
    <w:rsid w:val="009F4074"/>
    <w:rsid w:val="009F43EA"/>
    <w:rsid w:val="009F597D"/>
    <w:rsid w:val="00A00E75"/>
    <w:rsid w:val="00A01121"/>
    <w:rsid w:val="00A019C9"/>
    <w:rsid w:val="00A01A18"/>
    <w:rsid w:val="00A02E9E"/>
    <w:rsid w:val="00A03517"/>
    <w:rsid w:val="00A071B1"/>
    <w:rsid w:val="00A13D8D"/>
    <w:rsid w:val="00A15D49"/>
    <w:rsid w:val="00A20AEC"/>
    <w:rsid w:val="00A225B7"/>
    <w:rsid w:val="00A235BE"/>
    <w:rsid w:val="00A30D9A"/>
    <w:rsid w:val="00A33700"/>
    <w:rsid w:val="00A33906"/>
    <w:rsid w:val="00A36252"/>
    <w:rsid w:val="00A3664E"/>
    <w:rsid w:val="00A416AA"/>
    <w:rsid w:val="00A41DE3"/>
    <w:rsid w:val="00A422B5"/>
    <w:rsid w:val="00A44855"/>
    <w:rsid w:val="00A4694A"/>
    <w:rsid w:val="00A47A94"/>
    <w:rsid w:val="00A544AE"/>
    <w:rsid w:val="00A577A8"/>
    <w:rsid w:val="00A60573"/>
    <w:rsid w:val="00A620D3"/>
    <w:rsid w:val="00A62FC6"/>
    <w:rsid w:val="00A632E7"/>
    <w:rsid w:val="00A64E80"/>
    <w:rsid w:val="00A65884"/>
    <w:rsid w:val="00A70B43"/>
    <w:rsid w:val="00A71495"/>
    <w:rsid w:val="00A72A03"/>
    <w:rsid w:val="00A72F96"/>
    <w:rsid w:val="00A74B4C"/>
    <w:rsid w:val="00A74E0A"/>
    <w:rsid w:val="00A777E1"/>
    <w:rsid w:val="00A835E4"/>
    <w:rsid w:val="00A83DD7"/>
    <w:rsid w:val="00A84DFB"/>
    <w:rsid w:val="00A86553"/>
    <w:rsid w:val="00A905D8"/>
    <w:rsid w:val="00A91279"/>
    <w:rsid w:val="00A938BD"/>
    <w:rsid w:val="00A94219"/>
    <w:rsid w:val="00AA0B6B"/>
    <w:rsid w:val="00AA178F"/>
    <w:rsid w:val="00AA1DDC"/>
    <w:rsid w:val="00AA20E1"/>
    <w:rsid w:val="00AA3F0B"/>
    <w:rsid w:val="00AA788A"/>
    <w:rsid w:val="00AB1EB8"/>
    <w:rsid w:val="00AB4138"/>
    <w:rsid w:val="00AB4D38"/>
    <w:rsid w:val="00AB52C1"/>
    <w:rsid w:val="00AB6CD7"/>
    <w:rsid w:val="00AB7F0F"/>
    <w:rsid w:val="00AC0C1C"/>
    <w:rsid w:val="00AD104E"/>
    <w:rsid w:val="00AD4512"/>
    <w:rsid w:val="00AD6516"/>
    <w:rsid w:val="00AE3FCE"/>
    <w:rsid w:val="00AE4365"/>
    <w:rsid w:val="00AE4702"/>
    <w:rsid w:val="00AF5537"/>
    <w:rsid w:val="00AF7887"/>
    <w:rsid w:val="00B02FC9"/>
    <w:rsid w:val="00B0743C"/>
    <w:rsid w:val="00B20ED3"/>
    <w:rsid w:val="00B216B8"/>
    <w:rsid w:val="00B238AD"/>
    <w:rsid w:val="00B257FE"/>
    <w:rsid w:val="00B27309"/>
    <w:rsid w:val="00B27B64"/>
    <w:rsid w:val="00B31558"/>
    <w:rsid w:val="00B329BD"/>
    <w:rsid w:val="00B37251"/>
    <w:rsid w:val="00B41471"/>
    <w:rsid w:val="00B414F0"/>
    <w:rsid w:val="00B419E1"/>
    <w:rsid w:val="00B44313"/>
    <w:rsid w:val="00B50F61"/>
    <w:rsid w:val="00B50F70"/>
    <w:rsid w:val="00B52533"/>
    <w:rsid w:val="00B53D17"/>
    <w:rsid w:val="00B61FEB"/>
    <w:rsid w:val="00B645ED"/>
    <w:rsid w:val="00B720EC"/>
    <w:rsid w:val="00B7287B"/>
    <w:rsid w:val="00B75BB9"/>
    <w:rsid w:val="00B762E0"/>
    <w:rsid w:val="00B76ECB"/>
    <w:rsid w:val="00B82531"/>
    <w:rsid w:val="00B825D0"/>
    <w:rsid w:val="00B834F2"/>
    <w:rsid w:val="00B83929"/>
    <w:rsid w:val="00B915F1"/>
    <w:rsid w:val="00B93E08"/>
    <w:rsid w:val="00B94094"/>
    <w:rsid w:val="00B955A5"/>
    <w:rsid w:val="00BA208F"/>
    <w:rsid w:val="00BA4E8C"/>
    <w:rsid w:val="00BA7DEC"/>
    <w:rsid w:val="00BB0571"/>
    <w:rsid w:val="00BB1C2F"/>
    <w:rsid w:val="00BB1DB7"/>
    <w:rsid w:val="00BB2479"/>
    <w:rsid w:val="00BB7136"/>
    <w:rsid w:val="00BC05A1"/>
    <w:rsid w:val="00BC2E2E"/>
    <w:rsid w:val="00BC6F84"/>
    <w:rsid w:val="00BD011B"/>
    <w:rsid w:val="00BD357C"/>
    <w:rsid w:val="00BE0430"/>
    <w:rsid w:val="00BE156C"/>
    <w:rsid w:val="00BE372C"/>
    <w:rsid w:val="00BE72F9"/>
    <w:rsid w:val="00BF2BE7"/>
    <w:rsid w:val="00BF735E"/>
    <w:rsid w:val="00C04579"/>
    <w:rsid w:val="00C0644C"/>
    <w:rsid w:val="00C07220"/>
    <w:rsid w:val="00C10814"/>
    <w:rsid w:val="00C111B1"/>
    <w:rsid w:val="00C121CD"/>
    <w:rsid w:val="00C15D37"/>
    <w:rsid w:val="00C163C6"/>
    <w:rsid w:val="00C1732A"/>
    <w:rsid w:val="00C205C8"/>
    <w:rsid w:val="00C30608"/>
    <w:rsid w:val="00C32156"/>
    <w:rsid w:val="00C32D37"/>
    <w:rsid w:val="00C4006D"/>
    <w:rsid w:val="00C42424"/>
    <w:rsid w:val="00C42FFB"/>
    <w:rsid w:val="00C43718"/>
    <w:rsid w:val="00C43A86"/>
    <w:rsid w:val="00C4484E"/>
    <w:rsid w:val="00C45BAD"/>
    <w:rsid w:val="00C46919"/>
    <w:rsid w:val="00C51579"/>
    <w:rsid w:val="00C5476A"/>
    <w:rsid w:val="00C62134"/>
    <w:rsid w:val="00C623CA"/>
    <w:rsid w:val="00C649E8"/>
    <w:rsid w:val="00C65B05"/>
    <w:rsid w:val="00C66B32"/>
    <w:rsid w:val="00C73F08"/>
    <w:rsid w:val="00C77433"/>
    <w:rsid w:val="00C84911"/>
    <w:rsid w:val="00C8697E"/>
    <w:rsid w:val="00C929D4"/>
    <w:rsid w:val="00C933ED"/>
    <w:rsid w:val="00C95224"/>
    <w:rsid w:val="00CA136B"/>
    <w:rsid w:val="00CA183E"/>
    <w:rsid w:val="00CA2FD4"/>
    <w:rsid w:val="00CA365E"/>
    <w:rsid w:val="00CA4F2D"/>
    <w:rsid w:val="00CA679A"/>
    <w:rsid w:val="00CA7470"/>
    <w:rsid w:val="00CB5892"/>
    <w:rsid w:val="00CC2FEA"/>
    <w:rsid w:val="00CC4892"/>
    <w:rsid w:val="00CD4532"/>
    <w:rsid w:val="00CD655B"/>
    <w:rsid w:val="00CE2D6F"/>
    <w:rsid w:val="00CE4F63"/>
    <w:rsid w:val="00CE7589"/>
    <w:rsid w:val="00CF10A4"/>
    <w:rsid w:val="00CF3861"/>
    <w:rsid w:val="00CF6388"/>
    <w:rsid w:val="00CF6FA7"/>
    <w:rsid w:val="00D00E05"/>
    <w:rsid w:val="00D03BDD"/>
    <w:rsid w:val="00D0660C"/>
    <w:rsid w:val="00D104D2"/>
    <w:rsid w:val="00D11271"/>
    <w:rsid w:val="00D13C71"/>
    <w:rsid w:val="00D150A9"/>
    <w:rsid w:val="00D20C47"/>
    <w:rsid w:val="00D21C51"/>
    <w:rsid w:val="00D236C6"/>
    <w:rsid w:val="00D2521F"/>
    <w:rsid w:val="00D27D52"/>
    <w:rsid w:val="00D27E1D"/>
    <w:rsid w:val="00D301D7"/>
    <w:rsid w:val="00D30F11"/>
    <w:rsid w:val="00D44D4E"/>
    <w:rsid w:val="00D474B5"/>
    <w:rsid w:val="00D47B79"/>
    <w:rsid w:val="00D543D5"/>
    <w:rsid w:val="00D5684D"/>
    <w:rsid w:val="00D5688E"/>
    <w:rsid w:val="00D57E50"/>
    <w:rsid w:val="00D57EF9"/>
    <w:rsid w:val="00D637EB"/>
    <w:rsid w:val="00D65448"/>
    <w:rsid w:val="00D66E74"/>
    <w:rsid w:val="00D671F1"/>
    <w:rsid w:val="00D71264"/>
    <w:rsid w:val="00D81A4A"/>
    <w:rsid w:val="00D87123"/>
    <w:rsid w:val="00D8745D"/>
    <w:rsid w:val="00D97231"/>
    <w:rsid w:val="00DA097F"/>
    <w:rsid w:val="00DA0FAD"/>
    <w:rsid w:val="00DA3E7C"/>
    <w:rsid w:val="00DA44B1"/>
    <w:rsid w:val="00DA73A3"/>
    <w:rsid w:val="00DA79B5"/>
    <w:rsid w:val="00DA7CB4"/>
    <w:rsid w:val="00DB1765"/>
    <w:rsid w:val="00DB3948"/>
    <w:rsid w:val="00DB49A0"/>
    <w:rsid w:val="00DC00AB"/>
    <w:rsid w:val="00DC23D2"/>
    <w:rsid w:val="00DC3994"/>
    <w:rsid w:val="00DC4817"/>
    <w:rsid w:val="00DD0A49"/>
    <w:rsid w:val="00DD1F96"/>
    <w:rsid w:val="00DD2CA5"/>
    <w:rsid w:val="00DD65B5"/>
    <w:rsid w:val="00DE0665"/>
    <w:rsid w:val="00DE18A6"/>
    <w:rsid w:val="00DE1DE8"/>
    <w:rsid w:val="00DE2E04"/>
    <w:rsid w:val="00DE5AF4"/>
    <w:rsid w:val="00DF29CC"/>
    <w:rsid w:val="00DF4F3C"/>
    <w:rsid w:val="00DF4F6F"/>
    <w:rsid w:val="00DF521F"/>
    <w:rsid w:val="00DF5B3E"/>
    <w:rsid w:val="00E076A3"/>
    <w:rsid w:val="00E12AB6"/>
    <w:rsid w:val="00E14FC3"/>
    <w:rsid w:val="00E242C4"/>
    <w:rsid w:val="00E2592B"/>
    <w:rsid w:val="00E2689A"/>
    <w:rsid w:val="00E329EE"/>
    <w:rsid w:val="00E362F3"/>
    <w:rsid w:val="00E43EBB"/>
    <w:rsid w:val="00E449A7"/>
    <w:rsid w:val="00E47851"/>
    <w:rsid w:val="00E51F62"/>
    <w:rsid w:val="00E52235"/>
    <w:rsid w:val="00E54DCC"/>
    <w:rsid w:val="00E56716"/>
    <w:rsid w:val="00E706B3"/>
    <w:rsid w:val="00E7422B"/>
    <w:rsid w:val="00E74C97"/>
    <w:rsid w:val="00E771C3"/>
    <w:rsid w:val="00E773BD"/>
    <w:rsid w:val="00E821BC"/>
    <w:rsid w:val="00E874DA"/>
    <w:rsid w:val="00E90423"/>
    <w:rsid w:val="00E97584"/>
    <w:rsid w:val="00EA1BBF"/>
    <w:rsid w:val="00EA4210"/>
    <w:rsid w:val="00EA4512"/>
    <w:rsid w:val="00EA608F"/>
    <w:rsid w:val="00EB4AB7"/>
    <w:rsid w:val="00EB58F3"/>
    <w:rsid w:val="00EB63B6"/>
    <w:rsid w:val="00EC0D26"/>
    <w:rsid w:val="00EC5CCF"/>
    <w:rsid w:val="00ED0EBB"/>
    <w:rsid w:val="00ED29CD"/>
    <w:rsid w:val="00ED51FD"/>
    <w:rsid w:val="00ED5A55"/>
    <w:rsid w:val="00EE4455"/>
    <w:rsid w:val="00EE44EA"/>
    <w:rsid w:val="00EE4F43"/>
    <w:rsid w:val="00EE5F08"/>
    <w:rsid w:val="00EE5F9C"/>
    <w:rsid w:val="00EF6A9B"/>
    <w:rsid w:val="00F00EF3"/>
    <w:rsid w:val="00F01A2C"/>
    <w:rsid w:val="00F03D1B"/>
    <w:rsid w:val="00F04055"/>
    <w:rsid w:val="00F122B9"/>
    <w:rsid w:val="00F15BAC"/>
    <w:rsid w:val="00F16273"/>
    <w:rsid w:val="00F169E6"/>
    <w:rsid w:val="00F2062D"/>
    <w:rsid w:val="00F20B2B"/>
    <w:rsid w:val="00F20D31"/>
    <w:rsid w:val="00F21CD9"/>
    <w:rsid w:val="00F22750"/>
    <w:rsid w:val="00F22C33"/>
    <w:rsid w:val="00F23AEA"/>
    <w:rsid w:val="00F30951"/>
    <w:rsid w:val="00F3207F"/>
    <w:rsid w:val="00F3541A"/>
    <w:rsid w:val="00F414A2"/>
    <w:rsid w:val="00F41E1B"/>
    <w:rsid w:val="00F453B3"/>
    <w:rsid w:val="00F45A36"/>
    <w:rsid w:val="00F45B14"/>
    <w:rsid w:val="00F46275"/>
    <w:rsid w:val="00F5665F"/>
    <w:rsid w:val="00F60488"/>
    <w:rsid w:val="00F631B6"/>
    <w:rsid w:val="00F63BC0"/>
    <w:rsid w:val="00F63E08"/>
    <w:rsid w:val="00F640FB"/>
    <w:rsid w:val="00F70715"/>
    <w:rsid w:val="00F719B8"/>
    <w:rsid w:val="00F73755"/>
    <w:rsid w:val="00F76674"/>
    <w:rsid w:val="00F76F07"/>
    <w:rsid w:val="00F84610"/>
    <w:rsid w:val="00F8736C"/>
    <w:rsid w:val="00F878CD"/>
    <w:rsid w:val="00F87B3D"/>
    <w:rsid w:val="00F9085A"/>
    <w:rsid w:val="00F90A4E"/>
    <w:rsid w:val="00F9443E"/>
    <w:rsid w:val="00F94B00"/>
    <w:rsid w:val="00F94B21"/>
    <w:rsid w:val="00F94F78"/>
    <w:rsid w:val="00FA03AD"/>
    <w:rsid w:val="00FA21F9"/>
    <w:rsid w:val="00FA2E89"/>
    <w:rsid w:val="00FB0826"/>
    <w:rsid w:val="00FB4BFF"/>
    <w:rsid w:val="00FB5D03"/>
    <w:rsid w:val="00FB6500"/>
    <w:rsid w:val="00FC430C"/>
    <w:rsid w:val="00FC7198"/>
    <w:rsid w:val="00FC7332"/>
    <w:rsid w:val="00FD0D71"/>
    <w:rsid w:val="00FD1734"/>
    <w:rsid w:val="00FD1D9C"/>
    <w:rsid w:val="00FD20CA"/>
    <w:rsid w:val="00FD373B"/>
    <w:rsid w:val="00FE0D9B"/>
    <w:rsid w:val="00FE4BB4"/>
    <w:rsid w:val="00FF165B"/>
    <w:rsid w:val="00FF2FD2"/>
    <w:rsid w:val="00FF42BD"/>
    <w:rsid w:val="00FF7037"/>
    <w:rsid w:val="00FF7F59"/>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3B55D7"/>
  <w15:docId w15:val="{E04FAD2F-BF8B-4D76-8732-78F1DE29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622695"/>
    <w:rPr>
      <w:color w:val="605E5C"/>
      <w:shd w:val="clear" w:color="auto" w:fill="E1DFDD"/>
    </w:rPr>
  </w:style>
  <w:style w:type="paragraph" w:styleId="ListParagraph">
    <w:name w:val="List Paragraph"/>
    <w:basedOn w:val="Normal"/>
    <w:uiPriority w:val="34"/>
    <w:qFormat/>
    <w:rsid w:val="00800E7C"/>
    <w:pPr>
      <w:ind w:left="720"/>
    </w:pPr>
  </w:style>
  <w:style w:type="paragraph" w:styleId="Revision">
    <w:name w:val="Revision"/>
    <w:hidden/>
    <w:uiPriority w:val="99"/>
    <w:semiHidden/>
    <w:rsid w:val="00A416AA"/>
    <w:rPr>
      <w:sz w:val="24"/>
      <w:szCs w:val="24"/>
    </w:rPr>
  </w:style>
  <w:style w:type="paragraph" w:styleId="BodyText">
    <w:name w:val="Body Text"/>
    <w:basedOn w:val="Normal"/>
    <w:link w:val="BodyTextChar"/>
    <w:rsid w:val="00DE5AF4"/>
    <w:pPr>
      <w:spacing w:after="120"/>
    </w:pPr>
  </w:style>
  <w:style w:type="character" w:customStyle="1" w:styleId="BodyTextChar">
    <w:name w:val="Body Text Char"/>
    <w:basedOn w:val="DefaultParagraphFont"/>
    <w:link w:val="BodyText"/>
    <w:rsid w:val="00DE5AF4"/>
    <w:rPr>
      <w:sz w:val="24"/>
      <w:szCs w:val="24"/>
    </w:rPr>
  </w:style>
  <w:style w:type="character" w:customStyle="1" w:styleId="Level1">
    <w:name w:val="Level 1"/>
    <w:rsid w:val="00DE5AF4"/>
  </w:style>
  <w:style w:type="character" w:customStyle="1" w:styleId="UnresolvedMention2">
    <w:name w:val="Unresolved Mention2"/>
    <w:basedOn w:val="DefaultParagraphFont"/>
    <w:uiPriority w:val="99"/>
    <w:semiHidden/>
    <w:unhideWhenUsed/>
    <w:rsid w:val="00853D6E"/>
    <w:rPr>
      <w:color w:val="605E5C"/>
      <w:shd w:val="clear" w:color="auto" w:fill="E1DFDD"/>
    </w:rPr>
  </w:style>
  <w:style w:type="character" w:styleId="UnresolvedMention">
    <w:name w:val="Unresolved Mention"/>
    <w:basedOn w:val="DefaultParagraphFont"/>
    <w:uiPriority w:val="99"/>
    <w:semiHidden/>
    <w:unhideWhenUsed/>
    <w:rsid w:val="00232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ps.ahrq.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uffys@nida.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de xmlns="029dfcf2-29ed-4b89-9532-2201ce5555e4" xsi:nil="true"/>
    <Description0 xmlns="029dfcf2-29ed-4b89-9532-2201ce5555e4" xsi:nil="true"/>
    <Document_x0020_Type xmlns="029dfcf2-29ed-4b89-9532-2201ce5555e4">General</Document_x0020_Type>
    <Category xmlns="029dfcf2-29ed-4b89-9532-2201ce5555e4" xsi:nil="true"/>
    <Revision_x0020_Date xmlns="029dfcf2-29ed-4b89-9532-2201ce5555e4" xsi:nil="true"/>
    <SharedWithUsers xmlns="029dfcf2-29ed-4b89-9532-2201ce5555e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5F7B2CDEC642448D1B3A9DCD95F317" ma:contentTypeVersion="15" ma:contentTypeDescription="Create a new document." ma:contentTypeScope="" ma:versionID="ace087c76ee63b6d3c1a66024fbf6e25">
  <xsd:schema xmlns:xsd="http://www.w3.org/2001/XMLSchema" xmlns:xs="http://www.w3.org/2001/XMLSchema" xmlns:p="http://schemas.microsoft.com/office/2006/metadata/properties" xmlns:ns2="029dfcf2-29ed-4b89-9532-2201ce5555e4" xmlns:ns3="4c838b98-1752-4bba-a0dd-7c5493df2dbb" targetNamespace="http://schemas.microsoft.com/office/2006/metadata/properties" ma:root="true" ma:fieldsID="27e43951af47b4f559e1c9889081e521" ns2:_="" ns3:_="">
    <xsd:import namespace="029dfcf2-29ed-4b89-9532-2201ce5555e4"/>
    <xsd:import namespace="4c838b98-1752-4bba-a0dd-7c5493df2dbb"/>
    <xsd:element name="properties">
      <xsd:complexType>
        <xsd:sequence>
          <xsd:element name="documentManagement">
            <xsd:complexType>
              <xsd:all>
                <xsd:element ref="ns2:Description0" minOccurs="0"/>
                <xsd:element ref="ns2:Code" minOccurs="0"/>
                <xsd:element ref="ns2:Category" minOccurs="0"/>
                <xsd:element ref="ns2:SharedWithUsers" minOccurs="0"/>
                <xsd:element ref="ns2:Document_x0020_Type"/>
                <xsd:element ref="ns2:Revision_x0020_Dat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dfcf2-29ed-4b89-9532-2201ce5555e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Code" ma:index="3" nillable="true" ma:displayName="Policy Number" ma:internalName="Code" ma:readOnly="false">
      <xsd:simpleType>
        <xsd:restriction base="dms:Text">
          <xsd:maxLength value="255"/>
        </xsd:restriction>
      </xsd:simpleType>
    </xsd:element>
    <xsd:element name="Category" ma:index="4" nillable="true" ma:displayName="Category" ma:format="Dropdown" ma:internalName="Category" ma:readOnly="false">
      <xsd:simpleType>
        <xsd:restriction base="dms:Choice">
          <xsd:enumeration value="Part A General Administration"/>
          <xsd:enumeration value="Part B Human Resources"/>
          <xsd:enumeration value="Part C Information Technology Management"/>
        </xsd:restriction>
      </xsd:simpleType>
    </xsd:element>
    <xsd:element name="SharedWithUsers" ma:index="7"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Type" ma:index="12" ma:displayName="Document Type" ma:default="Attachment" ma:format="Dropdown" ma:internalName="Document_x0020_Type" ma:readOnly="false">
      <xsd:simpleType>
        <xsd:restriction base="dms:Choice">
          <xsd:enumeration value="Attachment"/>
          <xsd:enumeration value="General"/>
          <xsd:enumeration value="Policy"/>
          <xsd:enumeration value="Image"/>
        </xsd:restriction>
      </xsd:simpleType>
    </xsd:element>
    <xsd:element name="Revision_x0020_Date" ma:index="13" nillable="true" ma:displayName="Revision Date" ma:format="DateOnly" ma:internalName="Revision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38b98-1752-4bba-a0dd-7c5493df2dbb"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3502E0-E424-4ACC-9E15-4B051EE676C7}">
  <ds:schemaRefs>
    <ds:schemaRef ds:uri="http://schemas.microsoft.com/sharepoint/v3/contenttype/forms"/>
  </ds:schemaRefs>
</ds:datastoreItem>
</file>

<file path=customXml/itemProps2.xml><?xml version="1.0" encoding="utf-8"?>
<ds:datastoreItem xmlns:ds="http://schemas.openxmlformats.org/officeDocument/2006/customXml" ds:itemID="{C0C02360-6284-44DC-B26B-9D25A8B8D6E3}">
  <ds:schemaRefs>
    <ds:schemaRef ds:uri="http://schemas.microsoft.com/office/2006/metadata/properties"/>
    <ds:schemaRef ds:uri="http://schemas.microsoft.com/office/infopath/2007/PartnerControls"/>
    <ds:schemaRef ds:uri="029dfcf2-29ed-4b89-9532-2201ce5555e4"/>
  </ds:schemaRefs>
</ds:datastoreItem>
</file>

<file path=customXml/itemProps3.xml><?xml version="1.0" encoding="utf-8"?>
<ds:datastoreItem xmlns:ds="http://schemas.openxmlformats.org/officeDocument/2006/customXml" ds:itemID="{75CB219C-7E99-4896-9276-CD7F7F7E0B44}">
  <ds:schemaRefs>
    <ds:schemaRef ds:uri="http://schemas.openxmlformats.org/officeDocument/2006/bibliography"/>
  </ds:schemaRefs>
</ds:datastoreItem>
</file>

<file path=customXml/itemProps4.xml><?xml version="1.0" encoding="utf-8"?>
<ds:datastoreItem xmlns:ds="http://schemas.openxmlformats.org/officeDocument/2006/customXml" ds:itemID="{1078B6A2-A590-4C1D-A12C-44A9D566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dfcf2-29ed-4b89-9532-2201ce5555e4"/>
    <ds:schemaRef ds:uri="4c838b98-1752-4bba-a0dd-7c5493df2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EB4DD-F57C-4715-9B98-D2F2891FC72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5125</TotalTime>
  <Pages>21</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Carroll, William A. (AHRQ/CFACT)</cp:lastModifiedBy>
  <cp:revision>28</cp:revision>
  <cp:lastPrinted>2011-07-06T18:06:00Z</cp:lastPrinted>
  <dcterms:created xsi:type="dcterms:W3CDTF">2024-06-27T14:42:00Z</dcterms:created>
  <dcterms:modified xsi:type="dcterms:W3CDTF">2024-07-02T13:52:00Z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Robinson, Ian T. (AHRQ/OMS) (CTR)</vt:lpwstr>
  </property>
  <property fmtid="{D5CDD505-2E9C-101B-9397-08002B2CF9AE}" pid="3" name="display_urn:schemas-microsoft-com:office:office#Editor">
    <vt:lpwstr>Robinson, Ian T. (AHRQ/OMS) (CTR)</vt:lpwstr>
  </property>
  <property fmtid="{D5CDD505-2E9C-101B-9397-08002B2CF9AE}" pid="4" name="Order">
    <vt:lpwstr>2000.00000000000</vt:lpwstr>
  </property>
  <property fmtid="{D5CDD505-2E9C-101B-9397-08002B2CF9AE}" pid="5" name="Title">
    <vt:lpwstr>OMB Clearance Application</vt:lpwstr>
  </property>
</Properties>
</file>