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6E52" w:rsidRPr="00F369B1" w:rsidP="009E6EC7" w14:paraId="66DFBEC7" w14:textId="4D0D4933">
      <w:pPr>
        <w:jc w:val="center"/>
        <w:rPr>
          <w:b/>
          <w:sz w:val="28"/>
          <w:szCs w:val="28"/>
        </w:rPr>
      </w:pPr>
      <w:r w:rsidRPr="00F369B1">
        <w:rPr>
          <w:b/>
          <w:sz w:val="28"/>
          <w:szCs w:val="28"/>
        </w:rPr>
        <w:t xml:space="preserve">Supporting Statement for </w:t>
      </w:r>
    </w:p>
    <w:p w:rsidR="00841201" w:rsidRPr="00F369B1" w:rsidP="00626E52" w14:paraId="101C295B" w14:textId="11BDFE20">
      <w:pPr>
        <w:jc w:val="center"/>
        <w:rPr>
          <w:b/>
          <w:sz w:val="28"/>
          <w:szCs w:val="28"/>
        </w:rPr>
      </w:pPr>
      <w:r w:rsidRPr="00F369B1">
        <w:rPr>
          <w:b/>
          <w:sz w:val="28"/>
          <w:szCs w:val="28"/>
        </w:rPr>
        <w:t xml:space="preserve">Establishment of </w:t>
      </w:r>
      <w:r w:rsidRPr="00F369B1" w:rsidR="000E3A07">
        <w:rPr>
          <w:b/>
          <w:sz w:val="28"/>
          <w:szCs w:val="28"/>
        </w:rPr>
        <w:t xml:space="preserve">Qualified Health Plans </w:t>
      </w:r>
      <w:r w:rsidRPr="00F369B1" w:rsidR="00626E52">
        <w:rPr>
          <w:b/>
          <w:sz w:val="28"/>
          <w:szCs w:val="28"/>
        </w:rPr>
        <w:t xml:space="preserve">and American Health Benefit Exchanges </w:t>
      </w:r>
      <w:r w:rsidRPr="00F369B1" w:rsidR="000E3A07">
        <w:rPr>
          <w:b/>
          <w:sz w:val="28"/>
          <w:szCs w:val="28"/>
        </w:rPr>
        <w:t>(CMS-10400/OMB control number: 0938-1156)</w:t>
      </w:r>
    </w:p>
    <w:p w:rsidR="00841201" w:rsidRPr="00F369B1" w:rsidP="009E6EC7" w14:paraId="236B51CA" w14:textId="77777777">
      <w:pPr>
        <w:jc w:val="center"/>
        <w:rPr>
          <w:b/>
          <w:sz w:val="24"/>
        </w:rPr>
      </w:pPr>
    </w:p>
    <w:p w:rsidR="00841201" w:rsidRPr="00F369B1" w:rsidP="00084482" w14:paraId="672D8208" w14:textId="77777777">
      <w:pPr>
        <w:pStyle w:val="Heading2"/>
        <w:numPr>
          <w:ilvl w:val="0"/>
          <w:numId w:val="2"/>
        </w:numPr>
        <w:tabs>
          <w:tab w:val="left" w:pos="720"/>
        </w:tabs>
        <w:ind w:left="360" w:hanging="360"/>
      </w:pPr>
      <w:bookmarkStart w:id="0" w:name="A._Background"/>
      <w:bookmarkEnd w:id="0"/>
      <w:r w:rsidRPr="00F369B1">
        <w:rPr>
          <w:u w:val="thick"/>
        </w:rPr>
        <w:t>Background</w:t>
      </w:r>
    </w:p>
    <w:p w:rsidR="00084482" w:rsidRPr="00F369B1" w:rsidP="00E731D8" w14:paraId="0EED66FA" w14:textId="77777777">
      <w:pPr>
        <w:pStyle w:val="BodyText"/>
        <w:spacing w:before="7"/>
        <w:rPr>
          <w:b/>
        </w:rPr>
      </w:pPr>
    </w:p>
    <w:p w:rsidR="00841201" w:rsidRPr="00F369B1" w:rsidP="00E731D8" w14:paraId="1F3C7980" w14:textId="0FA02D10">
      <w:pPr>
        <w:pStyle w:val="BodyText"/>
        <w:spacing w:before="7"/>
      </w:pPr>
      <w:r w:rsidRPr="00F369B1">
        <w:t xml:space="preserve">On March 23, 2010, the Patient Protection and Affordable Care Act (PPACA; P.L. 111-148) was signed into law, and on March 30, 2010, the Health Care and Education Reconciliation Act of 2010 (P.L. 111-152) was signed into law. The two laws implement various health insurance policies. </w:t>
      </w:r>
    </w:p>
    <w:p w:rsidR="0031182A" w:rsidRPr="00F369B1" w:rsidP="0031182A" w14:paraId="6E0DE522" w14:textId="77777777">
      <w:pPr>
        <w:pStyle w:val="BodyText"/>
        <w:ind w:right="103"/>
      </w:pPr>
    </w:p>
    <w:p w:rsidR="00841201" w:rsidRPr="00F369B1" w:rsidP="0031182A" w14:paraId="261C4E0D" w14:textId="7555E04B">
      <w:pPr>
        <w:pStyle w:val="BodyText"/>
        <w:ind w:right="103"/>
      </w:pPr>
      <w:r w:rsidRPr="00F369B1">
        <w:t>Section 1303 of the PPACA, as implemented in 45 CFR 156.280, specifies standards for issuers of qualified health plans (QHPs) through the Exchanges that cover abortion services for which public funding is prohibited (also referred to as non-Hyde abortion services</w:t>
      </w:r>
      <w:r w:rsidRPr="00F369B1" w:rsidR="00CF6031">
        <w:t xml:space="preserve"> or non-excepted abortion services</w:t>
      </w:r>
      <w:r w:rsidRPr="00F369B1">
        <w:t xml:space="preserve">). In the </w:t>
      </w:r>
      <w:r w:rsidRPr="00F369B1">
        <w:rPr>
          <w:i/>
        </w:rPr>
        <w:t>Patient Protection and Affordable Care Act; Establishment of Exchanges and Qualified Health Plans; Exchange Standards for Employers</w:t>
      </w:r>
      <w:r w:rsidRPr="00F369B1">
        <w:t xml:space="preserve"> (2012 Exchange Establishment Rule) (77 FR 18310), we codified the statutory provisions of section 1303 of the PPACA in regulation at 45 CFR 156.280.  </w:t>
      </w:r>
      <w:r w:rsidRPr="00F369B1" w:rsidR="000E3A07">
        <w:t xml:space="preserve">Under 45 C.F.R. § 156.280(e)(5)(ii), each QHP issuer that offers </w:t>
      </w:r>
      <w:r w:rsidRPr="00F369B1" w:rsidR="00CF6031">
        <w:t xml:space="preserve">coverage of abortion services for which public funding is prohibited </w:t>
      </w:r>
      <w:r w:rsidRPr="00F369B1" w:rsidR="000E3A07">
        <w:t xml:space="preserve">must submit to the State Insurance Commissioner a segregation plan describing how the QHP issuer establishes and maintains separate </w:t>
      </w:r>
      <w:r w:rsidRPr="00F369B1">
        <w:t xml:space="preserve">allocation </w:t>
      </w:r>
      <w:r w:rsidRPr="00F369B1" w:rsidR="000E3A07">
        <w:t xml:space="preserve">accounts for any QHP covering </w:t>
      </w:r>
      <w:r w:rsidRPr="00F369B1" w:rsidR="00CF6031">
        <w:t>abortion services for which public funding is prohibited</w:t>
      </w:r>
      <w:r w:rsidRPr="00F369B1" w:rsidR="000E3A07">
        <w:t>, and pursuant to §156.280(e)(5)(iii), each QHP issuer must annually attest to compliance with PPACA section 1303 and applicable regulations. This segregation plan is used to verify that the QHP issuer’s financial and other systems fully conform to the segregation requirements required by the</w:t>
      </w:r>
      <w:r w:rsidRPr="00F369B1" w:rsidR="000E3A07">
        <w:rPr>
          <w:spacing w:val="-8"/>
        </w:rPr>
        <w:t xml:space="preserve"> </w:t>
      </w:r>
      <w:r w:rsidRPr="00F369B1" w:rsidR="000E3A07">
        <w:t>PPACA.</w:t>
      </w:r>
    </w:p>
    <w:p w:rsidR="0031182A" w:rsidRPr="00F369B1" w:rsidP="0031182A" w14:paraId="26EB1693" w14:textId="77777777">
      <w:pPr>
        <w:pStyle w:val="BodyText"/>
        <w:ind w:right="112"/>
      </w:pPr>
    </w:p>
    <w:p w:rsidR="0031182A" w:rsidRPr="00F369B1" w:rsidP="00AE2910" w14:paraId="2A64D16F" w14:textId="7976C1AA">
      <w:pPr>
        <w:pStyle w:val="BodyText"/>
        <w:ind w:right="112"/>
      </w:pPr>
      <w:r w:rsidRPr="00F369B1">
        <w:t>The Centers for Medicare and Medicaid Services (CMS) is renewing this information collection request (ICR) in connection with the segregation plan requirement under 45 C.F.R. § 156.280(e)(5)(ii). The burden estimate for this ICR included in this renewal package reflects the time and effort for QHP issuers to submit a segregation plan that demonstrates how the QHP issuer segregates QHP funds in accordance with applicable provisions of generally accepted accounting requirements, circulars on funds management of the Office of Management and Budget (OMB) and guidance on accounting of the Government Accountability Office. CMS is also renewing the ICR in connection with the annual attestation requirement under 45 C.F.R. § 156.280(e)(5)(iii). The burden estimate for this ICR reflects the time and effort associated with QHP issuers submitting an annual attestation to the State Insurance Commissioner attesting to compliance with section 1303 of the</w:t>
      </w:r>
      <w:r w:rsidRPr="00F369B1">
        <w:rPr>
          <w:spacing w:val="-1"/>
        </w:rPr>
        <w:t xml:space="preserve"> </w:t>
      </w:r>
      <w:r w:rsidRPr="00F369B1">
        <w:t>PPACA.</w:t>
      </w:r>
    </w:p>
    <w:p w:rsidR="00841201" w:rsidRPr="00F369B1" w:rsidP="00E731D8" w14:paraId="78A81B6D" w14:textId="77777777">
      <w:pPr>
        <w:pStyle w:val="BodyText"/>
        <w:spacing w:before="5"/>
      </w:pPr>
    </w:p>
    <w:p w:rsidR="00841201" w:rsidRPr="00F369B1" w:rsidP="00AE2910" w14:paraId="64311091" w14:textId="77777777">
      <w:pPr>
        <w:pStyle w:val="Heading2"/>
        <w:numPr>
          <w:ilvl w:val="0"/>
          <w:numId w:val="2"/>
        </w:numPr>
        <w:tabs>
          <w:tab w:val="left" w:pos="630"/>
        </w:tabs>
        <w:ind w:left="630" w:hanging="647"/>
      </w:pPr>
      <w:bookmarkStart w:id="1" w:name="B._Justification"/>
      <w:bookmarkEnd w:id="1"/>
      <w:r w:rsidRPr="00F369B1">
        <w:rPr>
          <w:u w:val="thick"/>
        </w:rPr>
        <w:t>Justification</w:t>
      </w:r>
    </w:p>
    <w:p w:rsidR="00841201" w:rsidRPr="00F369B1" w:rsidP="00AE2910" w14:paraId="49558123" w14:textId="77777777">
      <w:pPr>
        <w:pStyle w:val="BodyText"/>
        <w:rPr>
          <w:b/>
        </w:rPr>
      </w:pPr>
    </w:p>
    <w:p w:rsidR="00841201" w:rsidRPr="00F369B1" w:rsidP="00AE2910" w14:paraId="7047FC38" w14:textId="77777777">
      <w:pPr>
        <w:pStyle w:val="ListParagraph"/>
        <w:numPr>
          <w:ilvl w:val="0"/>
          <w:numId w:val="1"/>
        </w:numPr>
        <w:tabs>
          <w:tab w:val="left" w:pos="595"/>
        </w:tabs>
        <w:ind w:left="0" w:firstLine="0"/>
        <w:rPr>
          <w:sz w:val="24"/>
          <w:szCs w:val="24"/>
        </w:rPr>
      </w:pPr>
      <w:bookmarkStart w:id="2" w:name="1.__Need_and_Legal_Basis"/>
      <w:bookmarkEnd w:id="2"/>
      <w:r w:rsidRPr="00F369B1">
        <w:rPr>
          <w:sz w:val="24"/>
          <w:szCs w:val="24"/>
          <w:u w:val="single"/>
        </w:rPr>
        <w:t>Need and Legal</w:t>
      </w:r>
      <w:r w:rsidRPr="00F369B1">
        <w:rPr>
          <w:spacing w:val="-1"/>
          <w:sz w:val="24"/>
          <w:szCs w:val="24"/>
          <w:u w:val="single"/>
        </w:rPr>
        <w:t xml:space="preserve"> </w:t>
      </w:r>
      <w:r w:rsidRPr="00F369B1">
        <w:rPr>
          <w:sz w:val="24"/>
          <w:szCs w:val="24"/>
          <w:u w:val="single"/>
        </w:rPr>
        <w:t>Basis</w:t>
      </w:r>
    </w:p>
    <w:p w:rsidR="00841201" w:rsidRPr="00F369B1" w:rsidP="00AE2910" w14:paraId="14A3EEC0" w14:textId="77777777">
      <w:pPr>
        <w:pStyle w:val="BodyText"/>
      </w:pPr>
    </w:p>
    <w:p w:rsidR="00841201" w:rsidRPr="00F369B1" w:rsidP="00AE2910" w14:paraId="7100B94A" w14:textId="5BF07E28">
      <w:pPr>
        <w:pStyle w:val="BodyText"/>
        <w:ind w:right="98"/>
      </w:pPr>
      <w:r w:rsidRPr="00F369B1">
        <w:t>Under 45 C.F.R. § 156.280(e)(5)(ii), each QHP issuer must submit to the State Insurance Commissioner a segregation plan describing how the QHP issuer establishes and maintains separate payment accounts for any QHP covering</w:t>
      </w:r>
      <w:r w:rsidRPr="00F369B1" w:rsidR="00CF6031">
        <w:t xml:space="preserve"> abortion services for which public funding is prohibited</w:t>
      </w:r>
      <w:r w:rsidRPr="00F369B1">
        <w:t>. This segregation plan is used to verify that the QHP’s financial and other systems fully conform to the segregation requirements required by the PPACA</w:t>
      </w:r>
      <w:r w:rsidRPr="00F369B1" w:rsidR="000B2D48">
        <w:t>.</w:t>
      </w:r>
    </w:p>
    <w:p w:rsidR="00841201" w:rsidRPr="00F369B1" w:rsidP="00AE2910" w14:paraId="43D13382" w14:textId="77777777">
      <w:pPr>
        <w:pStyle w:val="ListParagraph"/>
        <w:numPr>
          <w:ilvl w:val="0"/>
          <w:numId w:val="1"/>
        </w:numPr>
        <w:tabs>
          <w:tab w:val="left" w:pos="596"/>
          <w:tab w:val="left" w:pos="597"/>
        </w:tabs>
        <w:ind w:left="596" w:hanging="596"/>
        <w:rPr>
          <w:sz w:val="24"/>
          <w:szCs w:val="24"/>
        </w:rPr>
      </w:pPr>
      <w:bookmarkStart w:id="3" w:name="2.__Information_Users"/>
      <w:bookmarkEnd w:id="3"/>
      <w:r w:rsidRPr="00F369B1">
        <w:rPr>
          <w:sz w:val="24"/>
          <w:szCs w:val="24"/>
          <w:u w:val="single"/>
        </w:rPr>
        <w:t>Information</w:t>
      </w:r>
      <w:r w:rsidRPr="00F369B1">
        <w:rPr>
          <w:spacing w:val="-1"/>
          <w:sz w:val="24"/>
          <w:szCs w:val="24"/>
          <w:u w:val="single"/>
        </w:rPr>
        <w:t xml:space="preserve"> </w:t>
      </w:r>
      <w:r w:rsidRPr="00F369B1">
        <w:rPr>
          <w:sz w:val="24"/>
          <w:szCs w:val="24"/>
          <w:u w:val="single"/>
        </w:rPr>
        <w:t>Users</w:t>
      </w:r>
    </w:p>
    <w:p w:rsidR="00841201" w:rsidRPr="00F369B1" w:rsidP="00AE2910" w14:paraId="4BB1E428" w14:textId="77777777">
      <w:pPr>
        <w:pStyle w:val="BodyText"/>
      </w:pPr>
    </w:p>
    <w:p w:rsidR="00841201" w:rsidRPr="00F369B1" w:rsidP="00AE2910" w14:paraId="028ABBE2" w14:textId="5B205C1D">
      <w:pPr>
        <w:pStyle w:val="BodyText"/>
        <w:ind w:right="301" w:hanging="11"/>
      </w:pPr>
      <w:r w:rsidRPr="00F369B1">
        <w:t xml:space="preserve">The data collection and reporting requirements further compliance with federal law. The ICR involved in this PRA package relates to </w:t>
      </w:r>
      <w:r w:rsidRPr="00F369B1" w:rsidR="00CF6031">
        <w:t>abortion services for which public funding is prohibited</w:t>
      </w:r>
      <w:r w:rsidRPr="00F369B1" w:rsidR="00EE64A9">
        <w:t>.</w:t>
      </w:r>
      <w:r w:rsidRPr="00F369B1">
        <w:t xml:space="preserve"> A QHP issuer that provides coverage of </w:t>
      </w:r>
      <w:r w:rsidRPr="00F369B1" w:rsidR="00CF6031">
        <w:t>abortion services for which public funding is prohibited</w:t>
      </w:r>
      <w:r w:rsidRPr="00F369B1" w:rsidR="00CF6031">
        <w:t xml:space="preserve"> </w:t>
      </w:r>
      <w:r w:rsidRPr="00F369B1">
        <w:t xml:space="preserve">as described in § 156.280(d)(1) must ensure that no premium tax credit or cost-sharing reduction funds are used to pay for </w:t>
      </w:r>
      <w:r w:rsidRPr="00F369B1" w:rsidR="00CF6031">
        <w:t>those</w:t>
      </w:r>
      <w:r w:rsidRPr="00F369B1" w:rsidR="00347C8A">
        <w:t xml:space="preserve"> abortion services</w:t>
      </w:r>
      <w:r w:rsidRPr="00F369B1">
        <w:t>.</w:t>
      </w:r>
    </w:p>
    <w:p w:rsidR="00841201" w:rsidRPr="00F369B1" w:rsidP="00AE2910" w14:paraId="1F568F6A" w14:textId="77777777">
      <w:pPr>
        <w:pStyle w:val="BodyText"/>
      </w:pPr>
    </w:p>
    <w:p w:rsidR="00841201" w:rsidRPr="00F369B1" w:rsidP="00AE2910" w14:paraId="56C8A5D5" w14:textId="733FDE8B">
      <w:pPr>
        <w:pStyle w:val="BodyText"/>
        <w:ind w:right="334" w:hanging="11"/>
      </w:pPr>
      <w:r w:rsidRPr="00F369B1">
        <w:t xml:space="preserve">A QHP issuer providing coverage for </w:t>
      </w:r>
      <w:r w:rsidRPr="00F369B1" w:rsidR="00CF6031">
        <w:t>abortion services for which public funding is prohibited</w:t>
      </w:r>
      <w:r w:rsidRPr="00F369B1" w:rsidR="00CF6031">
        <w:t xml:space="preserve"> </w:t>
      </w:r>
      <w:r w:rsidRPr="00F369B1">
        <w:t xml:space="preserve">must, within stated parameters, segregate funds collected for such coverage into a separate allocation account used exclusively to pay for </w:t>
      </w:r>
      <w:r w:rsidRPr="00F369B1" w:rsidR="00CF6031">
        <w:t>those</w:t>
      </w:r>
      <w:r w:rsidRPr="00F369B1" w:rsidR="00347C8A">
        <w:t xml:space="preserve"> abortion services</w:t>
      </w:r>
      <w:r w:rsidRPr="00F369B1">
        <w:t>. The QHP issuer’s segregation plan and annual attestation are sent to the State Insurance Commissioner to verify that the QHP issuer’s financial and other systems fully conform to the segregation requirements and section 1303 of the PPACA.</w:t>
      </w:r>
    </w:p>
    <w:p w:rsidR="00841201" w:rsidRPr="00F369B1" w:rsidP="00AE2910" w14:paraId="6A8EC26E" w14:textId="77777777">
      <w:pPr>
        <w:pStyle w:val="BodyText"/>
      </w:pPr>
    </w:p>
    <w:p w:rsidR="00841201" w:rsidRPr="00F369B1" w:rsidP="00AE2910" w14:paraId="01C5DEF1" w14:textId="77777777">
      <w:pPr>
        <w:pStyle w:val="ListParagraph"/>
        <w:numPr>
          <w:ilvl w:val="0"/>
          <w:numId w:val="1"/>
        </w:numPr>
        <w:tabs>
          <w:tab w:val="left" w:pos="555"/>
          <w:tab w:val="left" w:pos="556"/>
        </w:tabs>
        <w:ind w:left="556" w:hanging="556"/>
        <w:rPr>
          <w:sz w:val="24"/>
          <w:szCs w:val="24"/>
        </w:rPr>
      </w:pPr>
      <w:bookmarkStart w:id="4" w:name="3.__Use_of_Information_Technology"/>
      <w:bookmarkEnd w:id="4"/>
      <w:r w:rsidRPr="00F369B1">
        <w:rPr>
          <w:sz w:val="24"/>
          <w:szCs w:val="24"/>
          <w:u w:val="single"/>
        </w:rPr>
        <w:t>Use of Information</w:t>
      </w:r>
      <w:r w:rsidRPr="00F369B1">
        <w:rPr>
          <w:spacing w:val="-2"/>
          <w:sz w:val="24"/>
          <w:szCs w:val="24"/>
          <w:u w:val="single"/>
        </w:rPr>
        <w:t xml:space="preserve"> </w:t>
      </w:r>
      <w:r w:rsidRPr="00F369B1">
        <w:rPr>
          <w:sz w:val="24"/>
          <w:szCs w:val="24"/>
          <w:u w:val="single"/>
        </w:rPr>
        <w:t>Technology</w:t>
      </w:r>
    </w:p>
    <w:p w:rsidR="00841201" w:rsidRPr="00F369B1" w:rsidP="00AE2910" w14:paraId="1F066306" w14:textId="77777777">
      <w:pPr>
        <w:pStyle w:val="BodyText"/>
      </w:pPr>
    </w:p>
    <w:p w:rsidR="00841201" w:rsidRPr="00F369B1" w:rsidP="00AE2910" w14:paraId="53119BBF" w14:textId="77777777">
      <w:pPr>
        <w:pStyle w:val="BodyText"/>
        <w:ind w:right="978" w:hanging="11"/>
      </w:pPr>
      <w:r w:rsidRPr="00F369B1">
        <w:t>HHS believes that a majority if not all of the information required by this collection can be provided in an electronic</w:t>
      </w:r>
      <w:r w:rsidRPr="00F369B1">
        <w:rPr>
          <w:spacing w:val="-5"/>
        </w:rPr>
        <w:t xml:space="preserve"> </w:t>
      </w:r>
      <w:r w:rsidRPr="00F369B1">
        <w:t>format.</w:t>
      </w:r>
    </w:p>
    <w:p w:rsidR="00841201" w:rsidRPr="00F369B1" w:rsidP="00AE2910" w14:paraId="6590D290" w14:textId="77777777">
      <w:pPr>
        <w:pStyle w:val="BodyText"/>
      </w:pPr>
    </w:p>
    <w:p w:rsidR="00841201" w:rsidRPr="00F369B1" w:rsidP="00AE2910" w14:paraId="7FEAD8E4" w14:textId="77777777">
      <w:pPr>
        <w:pStyle w:val="ListParagraph"/>
        <w:numPr>
          <w:ilvl w:val="0"/>
          <w:numId w:val="1"/>
        </w:numPr>
        <w:tabs>
          <w:tab w:val="left" w:pos="600"/>
          <w:tab w:val="left" w:pos="601"/>
        </w:tabs>
        <w:ind w:left="600" w:hanging="600"/>
        <w:rPr>
          <w:sz w:val="24"/>
          <w:szCs w:val="24"/>
        </w:rPr>
      </w:pPr>
      <w:r w:rsidRPr="00F369B1">
        <w:rPr>
          <w:sz w:val="24"/>
          <w:szCs w:val="24"/>
          <w:u w:val="single"/>
        </w:rPr>
        <w:t>Duplication of</w:t>
      </w:r>
      <w:r w:rsidRPr="00F369B1">
        <w:rPr>
          <w:spacing w:val="-7"/>
          <w:sz w:val="24"/>
          <w:szCs w:val="24"/>
          <w:u w:val="single"/>
        </w:rPr>
        <w:t xml:space="preserve"> </w:t>
      </w:r>
      <w:r w:rsidRPr="00F369B1">
        <w:rPr>
          <w:sz w:val="24"/>
          <w:szCs w:val="24"/>
          <w:u w:val="single"/>
        </w:rPr>
        <w:t>Efforts</w:t>
      </w:r>
    </w:p>
    <w:p w:rsidR="00841201" w:rsidRPr="00F369B1" w:rsidP="00AE2910" w14:paraId="6F8FA952" w14:textId="77777777">
      <w:pPr>
        <w:pStyle w:val="BodyText"/>
      </w:pPr>
    </w:p>
    <w:p w:rsidR="00841201" w:rsidRPr="00F369B1" w:rsidP="00AE2910" w14:paraId="755FB0C9" w14:textId="77777777">
      <w:pPr>
        <w:pStyle w:val="BodyText"/>
      </w:pPr>
      <w:r w:rsidRPr="00F369B1">
        <w:t>This information collection does not duplicate any other Federal effort.</w:t>
      </w:r>
    </w:p>
    <w:p w:rsidR="00841201" w:rsidRPr="00F369B1" w:rsidP="00AE2910" w14:paraId="730E14EA" w14:textId="77777777">
      <w:pPr>
        <w:pStyle w:val="BodyText"/>
      </w:pPr>
    </w:p>
    <w:p w:rsidR="00841201" w:rsidRPr="00F369B1" w:rsidP="00AE2910" w14:paraId="7E45459F" w14:textId="77777777">
      <w:pPr>
        <w:pStyle w:val="ListParagraph"/>
        <w:numPr>
          <w:ilvl w:val="0"/>
          <w:numId w:val="1"/>
        </w:numPr>
        <w:tabs>
          <w:tab w:val="left" w:pos="630"/>
        </w:tabs>
        <w:ind w:left="600" w:hanging="600"/>
        <w:rPr>
          <w:sz w:val="24"/>
          <w:szCs w:val="24"/>
        </w:rPr>
      </w:pPr>
      <w:r w:rsidRPr="00F369B1">
        <w:rPr>
          <w:sz w:val="24"/>
          <w:szCs w:val="24"/>
          <w:u w:val="single"/>
        </w:rPr>
        <w:t>Small</w:t>
      </w:r>
      <w:r w:rsidRPr="00F369B1">
        <w:rPr>
          <w:spacing w:val="-1"/>
          <w:sz w:val="24"/>
          <w:szCs w:val="24"/>
          <w:u w:val="single"/>
        </w:rPr>
        <w:t xml:space="preserve"> </w:t>
      </w:r>
      <w:r w:rsidRPr="00F369B1">
        <w:rPr>
          <w:sz w:val="24"/>
          <w:szCs w:val="24"/>
          <w:u w:val="single"/>
        </w:rPr>
        <w:t>Businesses</w:t>
      </w:r>
    </w:p>
    <w:p w:rsidR="00EE64A9" w:rsidRPr="00F369B1" w:rsidP="00AE2910" w14:paraId="1A54A194" w14:textId="77777777">
      <w:pPr>
        <w:pStyle w:val="BodyText"/>
      </w:pPr>
    </w:p>
    <w:p w:rsidR="00841201" w:rsidRPr="00F369B1" w:rsidP="00AE2910" w14:paraId="324428F6" w14:textId="7AF81543">
      <w:pPr>
        <w:pStyle w:val="BodyText"/>
      </w:pPr>
      <w:r w:rsidRPr="00F369B1">
        <w:t>This information collection will not have a significant impact on small businesses.</w:t>
      </w:r>
    </w:p>
    <w:p w:rsidR="00841201" w:rsidRPr="00F369B1" w:rsidP="00AE2910" w14:paraId="7BE4353D" w14:textId="77777777">
      <w:pPr>
        <w:pStyle w:val="BodyText"/>
      </w:pPr>
    </w:p>
    <w:p w:rsidR="00347C8A" w:rsidRPr="00F369B1" w:rsidP="00AE2910" w14:paraId="7CDB571F" w14:textId="77777777">
      <w:pPr>
        <w:pStyle w:val="ListParagraph"/>
        <w:numPr>
          <w:ilvl w:val="0"/>
          <w:numId w:val="1"/>
        </w:numPr>
        <w:tabs>
          <w:tab w:val="left" w:pos="564"/>
          <w:tab w:val="left" w:pos="565"/>
        </w:tabs>
        <w:ind w:left="564" w:hanging="564"/>
        <w:rPr>
          <w:sz w:val="24"/>
          <w:szCs w:val="24"/>
        </w:rPr>
      </w:pPr>
      <w:bookmarkStart w:id="5" w:name="6.__Less_Frequent_Collection"/>
      <w:bookmarkEnd w:id="5"/>
      <w:r w:rsidRPr="00F369B1">
        <w:rPr>
          <w:sz w:val="24"/>
          <w:szCs w:val="24"/>
          <w:u w:val="single"/>
        </w:rPr>
        <w:t>Less Frequent</w:t>
      </w:r>
      <w:r w:rsidRPr="00F369B1">
        <w:rPr>
          <w:spacing w:val="-1"/>
          <w:sz w:val="24"/>
          <w:szCs w:val="24"/>
          <w:u w:val="single"/>
        </w:rPr>
        <w:t xml:space="preserve"> </w:t>
      </w:r>
      <w:r w:rsidRPr="00F369B1">
        <w:rPr>
          <w:sz w:val="24"/>
          <w:szCs w:val="24"/>
          <w:u w:val="single"/>
        </w:rPr>
        <w:t>Collection</w:t>
      </w:r>
    </w:p>
    <w:p w:rsidR="00EE64A9" w:rsidRPr="00F369B1" w:rsidP="00AE2910" w14:paraId="0B446EF5" w14:textId="77777777">
      <w:pPr>
        <w:tabs>
          <w:tab w:val="left" w:pos="564"/>
          <w:tab w:val="left" w:pos="565"/>
        </w:tabs>
        <w:rPr>
          <w:sz w:val="24"/>
          <w:szCs w:val="24"/>
        </w:rPr>
      </w:pPr>
    </w:p>
    <w:p w:rsidR="00841201" w:rsidRPr="00F369B1" w:rsidP="00AE2910" w14:paraId="7110149C" w14:textId="21F9E7F5">
      <w:pPr>
        <w:tabs>
          <w:tab w:val="left" w:pos="564"/>
          <w:tab w:val="left" w:pos="565"/>
        </w:tabs>
        <w:rPr>
          <w:sz w:val="24"/>
          <w:szCs w:val="24"/>
        </w:rPr>
      </w:pPr>
      <w:r w:rsidRPr="00F369B1">
        <w:rPr>
          <w:sz w:val="24"/>
          <w:szCs w:val="24"/>
        </w:rPr>
        <w:t>Due to the nature of QHP certification and the regulatory requirements, it is necessary to collect information according to the indicated frequencies. If the information is collected less frequently, the result could mean non-compliance with the regulation.</w:t>
      </w:r>
    </w:p>
    <w:p w:rsidR="00841201" w:rsidRPr="00F369B1" w:rsidP="00AE2910" w14:paraId="10F3A1A8" w14:textId="77777777">
      <w:pPr>
        <w:pStyle w:val="BodyText"/>
      </w:pPr>
    </w:p>
    <w:p w:rsidR="00841201" w:rsidRPr="00F369B1" w:rsidP="00AE2910" w14:paraId="63269773" w14:textId="79FAD3FA">
      <w:pPr>
        <w:pStyle w:val="ListParagraph"/>
        <w:numPr>
          <w:ilvl w:val="0"/>
          <w:numId w:val="1"/>
        </w:numPr>
        <w:tabs>
          <w:tab w:val="left" w:pos="566"/>
          <w:tab w:val="left" w:pos="567"/>
        </w:tabs>
        <w:ind w:left="566" w:hanging="566"/>
        <w:rPr>
          <w:sz w:val="24"/>
          <w:szCs w:val="24"/>
        </w:rPr>
      </w:pPr>
      <w:r w:rsidRPr="00F369B1">
        <w:rPr>
          <w:sz w:val="24"/>
          <w:szCs w:val="24"/>
          <w:u w:val="single"/>
        </w:rPr>
        <w:t>Special</w:t>
      </w:r>
      <w:r w:rsidRPr="00F369B1">
        <w:rPr>
          <w:spacing w:val="-1"/>
          <w:sz w:val="24"/>
          <w:szCs w:val="24"/>
          <w:u w:val="single"/>
        </w:rPr>
        <w:t xml:space="preserve"> </w:t>
      </w:r>
      <w:r w:rsidRPr="00F369B1">
        <w:rPr>
          <w:sz w:val="24"/>
          <w:szCs w:val="24"/>
          <w:u w:val="single"/>
        </w:rPr>
        <w:t>Circumstances</w:t>
      </w:r>
    </w:p>
    <w:p w:rsidR="00EE64A9" w:rsidRPr="00F369B1" w:rsidP="00AE2910" w14:paraId="2EB1DF8E" w14:textId="77777777">
      <w:pPr>
        <w:pStyle w:val="ListParagraph"/>
        <w:tabs>
          <w:tab w:val="left" w:pos="566"/>
          <w:tab w:val="left" w:pos="567"/>
        </w:tabs>
        <w:ind w:left="566" w:firstLine="0"/>
        <w:rPr>
          <w:sz w:val="24"/>
          <w:szCs w:val="24"/>
        </w:rPr>
      </w:pPr>
    </w:p>
    <w:p w:rsidR="00841201" w:rsidRPr="00F369B1" w:rsidP="00AE2910" w14:paraId="5A8CFB68" w14:textId="77777777">
      <w:pPr>
        <w:pStyle w:val="BodyText"/>
      </w:pPr>
      <w:r w:rsidRPr="00F369B1">
        <w:t>There are no special circumstances.</w:t>
      </w:r>
    </w:p>
    <w:p w:rsidR="00841201" w:rsidRPr="00F369B1" w:rsidP="00AE2910" w14:paraId="6D959C72" w14:textId="77777777">
      <w:pPr>
        <w:pStyle w:val="BodyText"/>
      </w:pPr>
    </w:p>
    <w:p w:rsidR="00841201" w:rsidRPr="00F369B1" w:rsidP="00AE2910" w14:paraId="1F9FAF30" w14:textId="77777777">
      <w:pPr>
        <w:pStyle w:val="ListParagraph"/>
        <w:numPr>
          <w:ilvl w:val="0"/>
          <w:numId w:val="1"/>
        </w:numPr>
        <w:tabs>
          <w:tab w:val="left" w:pos="540"/>
          <w:tab w:val="left" w:pos="541"/>
        </w:tabs>
        <w:ind w:left="540" w:hanging="540"/>
        <w:rPr>
          <w:sz w:val="24"/>
          <w:szCs w:val="24"/>
        </w:rPr>
      </w:pPr>
      <w:bookmarkStart w:id="6" w:name="8.__Federal_Register/Outside_Consultatio"/>
      <w:bookmarkEnd w:id="6"/>
      <w:r w:rsidRPr="00F369B1">
        <w:rPr>
          <w:sz w:val="24"/>
          <w:szCs w:val="24"/>
          <w:u w:val="single"/>
        </w:rPr>
        <w:t>Federal Register/Outside</w:t>
      </w:r>
      <w:r w:rsidRPr="00F369B1">
        <w:rPr>
          <w:spacing w:val="-2"/>
          <w:sz w:val="24"/>
          <w:szCs w:val="24"/>
          <w:u w:val="single"/>
        </w:rPr>
        <w:t xml:space="preserve"> </w:t>
      </w:r>
      <w:r w:rsidRPr="00F369B1">
        <w:rPr>
          <w:sz w:val="24"/>
          <w:szCs w:val="24"/>
          <w:u w:val="single"/>
        </w:rPr>
        <w:t>Consultation</w:t>
      </w:r>
    </w:p>
    <w:p w:rsidR="002F5900" w:rsidRPr="00F369B1" w:rsidP="00AE2910" w14:paraId="54A8C684" w14:textId="537AB978">
      <w:pPr>
        <w:pStyle w:val="BodyText"/>
      </w:pPr>
    </w:p>
    <w:p w:rsidR="002F5900" w:rsidRPr="00F369B1" w:rsidP="00AE2910" w14:paraId="757BD999" w14:textId="328FE5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0"/>
        <w:rPr>
          <w:spacing w:val="-1"/>
          <w:sz w:val="24"/>
          <w:szCs w:val="24"/>
        </w:rPr>
      </w:pPr>
      <w:r w:rsidRPr="00F369B1">
        <w:rPr>
          <w:spacing w:val="-1"/>
          <w:sz w:val="24"/>
          <w:szCs w:val="24"/>
        </w:rPr>
        <w:t xml:space="preserve">The </w:t>
      </w:r>
      <w:r w:rsidRPr="00F369B1">
        <w:rPr>
          <w:spacing w:val="-1"/>
          <w:sz w:val="24"/>
          <w:szCs w:val="24"/>
        </w:rPr>
        <w:t xml:space="preserve">60-day notice published in the Federal Register on </w:t>
      </w:r>
      <w:r w:rsidRPr="00F369B1">
        <w:rPr>
          <w:spacing w:val="-1"/>
          <w:sz w:val="24"/>
          <w:szCs w:val="24"/>
        </w:rPr>
        <w:t xml:space="preserve">March 28, 2024 (89 FR 21523) </w:t>
      </w:r>
      <w:r w:rsidRPr="00F369B1">
        <w:rPr>
          <w:spacing w:val="-1"/>
          <w:sz w:val="24"/>
          <w:szCs w:val="24"/>
        </w:rPr>
        <w:t xml:space="preserve">for the public to submit written comment on the information collection requirements. </w:t>
      </w:r>
      <w:r w:rsidRPr="00F369B1">
        <w:rPr>
          <w:spacing w:val="-1"/>
          <w:sz w:val="24"/>
          <w:szCs w:val="24"/>
        </w:rPr>
        <w:t>One public comment was received but it was not applicable to this ICR.</w:t>
      </w:r>
    </w:p>
    <w:p w:rsidR="004D6BEB" w:rsidRPr="00F369B1" w:rsidP="00AE2910" w14:paraId="72A6CB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0"/>
        <w:rPr>
          <w:spacing w:val="-1"/>
          <w:sz w:val="24"/>
          <w:szCs w:val="24"/>
        </w:rPr>
      </w:pPr>
    </w:p>
    <w:p w:rsidR="004D6BEB" w:rsidRPr="00F369B1" w:rsidP="00AE2910" w14:paraId="40459D8F" w14:textId="010DFA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0"/>
        <w:rPr>
          <w:spacing w:val="-1"/>
          <w:sz w:val="24"/>
          <w:szCs w:val="24"/>
          <w:lang w:bidi="ar-SA"/>
        </w:rPr>
      </w:pPr>
      <w:r w:rsidRPr="00F369B1">
        <w:rPr>
          <w:spacing w:val="-1"/>
          <w:sz w:val="24"/>
          <w:szCs w:val="24"/>
          <w:lang w:bidi="ar-SA"/>
        </w:rPr>
        <w:t xml:space="preserve">A 30-day notice will be published in the Federal Register on </w:t>
      </w:r>
      <w:r w:rsidR="00CC52E5">
        <w:rPr>
          <w:spacing w:val="-1"/>
          <w:sz w:val="24"/>
          <w:szCs w:val="24"/>
          <w:lang w:bidi="ar-SA"/>
        </w:rPr>
        <w:t xml:space="preserve">June 14, 2024 </w:t>
      </w:r>
      <w:r w:rsidRPr="00F369B1">
        <w:rPr>
          <w:spacing w:val="-1"/>
          <w:sz w:val="24"/>
          <w:szCs w:val="24"/>
          <w:lang w:bidi="ar-SA"/>
        </w:rPr>
        <w:t xml:space="preserve">(89 FR </w:t>
      </w:r>
      <w:r w:rsidR="00CC52E5">
        <w:rPr>
          <w:spacing w:val="-1"/>
          <w:sz w:val="24"/>
          <w:szCs w:val="24"/>
          <w:lang w:bidi="ar-SA"/>
        </w:rPr>
        <w:t>50591</w:t>
      </w:r>
      <w:r w:rsidRPr="00F369B1">
        <w:rPr>
          <w:spacing w:val="-1"/>
          <w:sz w:val="24"/>
          <w:szCs w:val="24"/>
          <w:lang w:bidi="ar-SA"/>
        </w:rPr>
        <w:t>) for the public to submit written comment on the information collection requirements.</w:t>
      </w:r>
    </w:p>
    <w:p w:rsidR="002F5900" w:rsidRPr="00F369B1" w:rsidP="00EE64A9" w14:paraId="0BA68EAC" w14:textId="3946227B">
      <w:pPr>
        <w:pStyle w:val="BodyText"/>
      </w:pPr>
    </w:p>
    <w:p w:rsidR="00084482" w:rsidRPr="00F369B1" w:rsidP="00EE64A9" w14:paraId="6ECE8999" w14:textId="77777777">
      <w:pPr>
        <w:rPr>
          <w:sz w:val="24"/>
          <w:szCs w:val="24"/>
        </w:rPr>
      </w:pPr>
      <w:r w:rsidRPr="00F369B1">
        <w:rPr>
          <w:sz w:val="24"/>
          <w:szCs w:val="24"/>
        </w:rPr>
        <w:t>No additional outside consultation was sought.</w:t>
      </w:r>
    </w:p>
    <w:p w:rsidR="003C1D97" w:rsidRPr="00F369B1" w:rsidP="004D6BEB" w14:paraId="45610400" w14:textId="77777777">
      <w:pPr>
        <w:tabs>
          <w:tab w:val="left" w:pos="554"/>
          <w:tab w:val="left" w:pos="555"/>
        </w:tabs>
        <w:rPr>
          <w:sz w:val="24"/>
          <w:szCs w:val="24"/>
        </w:rPr>
      </w:pPr>
    </w:p>
    <w:p w:rsidR="00841201" w:rsidRPr="00F369B1" w:rsidP="00AE2910" w14:paraId="30254E1F" w14:textId="78DCB036">
      <w:pPr>
        <w:pStyle w:val="ListParagraph"/>
        <w:numPr>
          <w:ilvl w:val="0"/>
          <w:numId w:val="1"/>
        </w:numPr>
        <w:tabs>
          <w:tab w:val="left" w:pos="554"/>
          <w:tab w:val="left" w:pos="555"/>
        </w:tabs>
        <w:ind w:left="554" w:hanging="554"/>
        <w:rPr>
          <w:sz w:val="24"/>
          <w:szCs w:val="24"/>
        </w:rPr>
      </w:pPr>
      <w:r w:rsidRPr="00F369B1">
        <w:rPr>
          <w:sz w:val="24"/>
          <w:szCs w:val="24"/>
          <w:u w:val="single"/>
        </w:rPr>
        <w:t>Payments/Gifts to</w:t>
      </w:r>
      <w:r w:rsidRPr="00F369B1">
        <w:rPr>
          <w:spacing w:val="-1"/>
          <w:sz w:val="24"/>
          <w:szCs w:val="24"/>
          <w:u w:val="single"/>
        </w:rPr>
        <w:t xml:space="preserve"> </w:t>
      </w:r>
      <w:r w:rsidRPr="00F369B1">
        <w:rPr>
          <w:sz w:val="24"/>
          <w:szCs w:val="24"/>
          <w:u w:val="single"/>
        </w:rPr>
        <w:t>Respondents</w:t>
      </w:r>
    </w:p>
    <w:p w:rsidR="00841201" w:rsidRPr="00F369B1" w:rsidP="00AE2910" w14:paraId="2232C8AA" w14:textId="77777777">
      <w:pPr>
        <w:pStyle w:val="BodyText"/>
      </w:pPr>
    </w:p>
    <w:p w:rsidR="00841201" w:rsidRPr="00F369B1" w:rsidP="00AE2910" w14:paraId="1148ED97" w14:textId="77777777">
      <w:pPr>
        <w:pStyle w:val="BodyText"/>
      </w:pPr>
      <w:r w:rsidRPr="00F369B1">
        <w:t>No payments and/or gifts will be provided to respondents.</w:t>
      </w:r>
    </w:p>
    <w:p w:rsidR="00841201" w:rsidRPr="00F369B1" w:rsidP="00AE2910" w14:paraId="35CF6670" w14:textId="77777777">
      <w:pPr>
        <w:pStyle w:val="BodyText"/>
      </w:pPr>
    </w:p>
    <w:p w:rsidR="00841201" w:rsidRPr="00F369B1" w:rsidP="00AE2910" w14:paraId="7099B372" w14:textId="77777777">
      <w:pPr>
        <w:pStyle w:val="ListParagraph"/>
        <w:numPr>
          <w:ilvl w:val="0"/>
          <w:numId w:val="1"/>
        </w:numPr>
        <w:tabs>
          <w:tab w:val="left" w:pos="472"/>
        </w:tabs>
        <w:ind w:left="472" w:hanging="472"/>
        <w:rPr>
          <w:sz w:val="24"/>
          <w:szCs w:val="24"/>
        </w:rPr>
      </w:pPr>
      <w:bookmarkStart w:id="7" w:name="10._Confidentiality"/>
      <w:bookmarkEnd w:id="7"/>
      <w:r w:rsidRPr="00F369B1">
        <w:rPr>
          <w:sz w:val="24"/>
          <w:szCs w:val="24"/>
          <w:u w:val="single"/>
        </w:rPr>
        <w:t>Confidentiality</w:t>
      </w:r>
    </w:p>
    <w:p w:rsidR="00841201" w:rsidRPr="00F369B1" w:rsidP="00AE2910" w14:paraId="538617AC" w14:textId="77777777">
      <w:pPr>
        <w:pStyle w:val="BodyText"/>
      </w:pPr>
    </w:p>
    <w:p w:rsidR="00841201" w:rsidRPr="00F369B1" w:rsidP="00AE2910" w14:paraId="6EFF3E03" w14:textId="25D66BAC">
      <w:pPr>
        <w:pStyle w:val="BodyText"/>
      </w:pPr>
      <w:r w:rsidRPr="00F369B1">
        <w:t>All information collected will be kept private in accordance with regulations at 45 CFR 155.620, Privacy and Security of Personally Identifiable Information</w:t>
      </w:r>
      <w:r w:rsidRPr="00F369B1" w:rsidR="003B4437">
        <w:t xml:space="preserve">. </w:t>
      </w:r>
      <w:r w:rsidRPr="00F369B1">
        <w:t>Pursuant to this regulation, Exchanges may only use or disclose personally identifiable information to the extent that such information is necessary to carry out their statutory and regulatory mandated functions.</w:t>
      </w:r>
    </w:p>
    <w:p w:rsidR="00F84E79" w:rsidRPr="00F369B1" w:rsidP="00AE2910" w14:paraId="15C59EEF" w14:textId="77777777">
      <w:pPr>
        <w:pStyle w:val="BodyText"/>
      </w:pPr>
    </w:p>
    <w:p w:rsidR="00841201" w:rsidRPr="00F369B1" w:rsidP="00AE2910" w14:paraId="50FAF732" w14:textId="77777777">
      <w:pPr>
        <w:pStyle w:val="ListParagraph"/>
        <w:numPr>
          <w:ilvl w:val="0"/>
          <w:numId w:val="1"/>
        </w:numPr>
        <w:tabs>
          <w:tab w:val="left" w:pos="472"/>
        </w:tabs>
        <w:ind w:left="472" w:hanging="472"/>
        <w:rPr>
          <w:sz w:val="24"/>
          <w:szCs w:val="24"/>
        </w:rPr>
      </w:pPr>
      <w:r w:rsidRPr="00F369B1">
        <w:rPr>
          <w:sz w:val="24"/>
          <w:szCs w:val="24"/>
          <w:u w:val="single"/>
        </w:rPr>
        <w:t>Sensitive</w:t>
      </w:r>
      <w:r w:rsidRPr="00F369B1">
        <w:rPr>
          <w:spacing w:val="-5"/>
          <w:sz w:val="24"/>
          <w:szCs w:val="24"/>
          <w:u w:val="single"/>
        </w:rPr>
        <w:t xml:space="preserve"> </w:t>
      </w:r>
      <w:r w:rsidRPr="00F369B1">
        <w:rPr>
          <w:sz w:val="24"/>
          <w:szCs w:val="24"/>
          <w:u w:val="single"/>
        </w:rPr>
        <w:t>Questions</w:t>
      </w:r>
    </w:p>
    <w:p w:rsidR="00841201" w:rsidRPr="00F369B1" w:rsidP="00AE2910" w14:paraId="46EA079D" w14:textId="77777777">
      <w:pPr>
        <w:pStyle w:val="BodyText"/>
      </w:pPr>
    </w:p>
    <w:p w:rsidR="00841201" w:rsidRPr="00F369B1" w:rsidP="00AE2910" w14:paraId="1B32F2B2" w14:textId="77777777">
      <w:pPr>
        <w:pStyle w:val="BodyText"/>
      </w:pPr>
      <w:r w:rsidRPr="00F369B1">
        <w:t>There are no sensitive questions included in this information collection effort.</w:t>
      </w:r>
    </w:p>
    <w:p w:rsidR="00841201" w:rsidRPr="00F369B1" w:rsidP="00AE2910" w14:paraId="0C955648" w14:textId="77777777">
      <w:pPr>
        <w:pStyle w:val="BodyText"/>
      </w:pPr>
    </w:p>
    <w:p w:rsidR="00841201" w:rsidRPr="00F369B1" w:rsidP="00AE2910" w14:paraId="581BC3CC" w14:textId="77777777">
      <w:pPr>
        <w:pStyle w:val="ListParagraph"/>
        <w:numPr>
          <w:ilvl w:val="0"/>
          <w:numId w:val="1"/>
        </w:numPr>
        <w:tabs>
          <w:tab w:val="left" w:pos="472"/>
        </w:tabs>
        <w:ind w:left="472" w:hanging="472"/>
        <w:rPr>
          <w:sz w:val="24"/>
          <w:szCs w:val="24"/>
        </w:rPr>
      </w:pPr>
      <w:bookmarkStart w:id="8" w:name="12._Burden_Estimates_(Hours_&amp;_Wages)"/>
      <w:bookmarkEnd w:id="8"/>
      <w:r w:rsidRPr="00F369B1">
        <w:rPr>
          <w:sz w:val="24"/>
          <w:szCs w:val="24"/>
          <w:u w:val="single"/>
        </w:rPr>
        <w:t>Burden Estimates (Hours &amp;</w:t>
      </w:r>
      <w:r w:rsidRPr="00F369B1">
        <w:rPr>
          <w:spacing w:val="-3"/>
          <w:sz w:val="24"/>
          <w:szCs w:val="24"/>
          <w:u w:val="single"/>
        </w:rPr>
        <w:t xml:space="preserve"> </w:t>
      </w:r>
      <w:r w:rsidRPr="00F369B1">
        <w:rPr>
          <w:sz w:val="24"/>
          <w:szCs w:val="24"/>
          <w:u w:val="single"/>
        </w:rPr>
        <w:t>Wages)</w:t>
      </w:r>
    </w:p>
    <w:p w:rsidR="00841201" w:rsidRPr="00F369B1" w:rsidP="00AE2910" w14:paraId="3C33596D" w14:textId="77777777">
      <w:pPr>
        <w:pStyle w:val="BodyText"/>
      </w:pPr>
    </w:p>
    <w:p w:rsidR="0031182A" w:rsidRPr="00F369B1" w:rsidP="00AE2910" w14:paraId="5F529BDD" w14:textId="76343088">
      <w:pPr>
        <w:pStyle w:val="BodyText"/>
        <w:ind w:right="219"/>
      </w:pPr>
      <w:r w:rsidRPr="00F369B1">
        <w:t xml:space="preserve">The following section contains estimates of burden imposed by the associated information collection requirements. </w:t>
      </w:r>
      <w:r w:rsidRPr="00F369B1" w:rsidR="005439D7">
        <w:t xml:space="preserve">The </w:t>
      </w:r>
      <w:r w:rsidRPr="00F369B1" w:rsidR="00347C8A">
        <w:t xml:space="preserve">labor costs (including 100 percent fringe benefits) used to estimate the </w:t>
      </w:r>
      <w:r w:rsidRPr="00F369B1" w:rsidR="004E273D">
        <w:t xml:space="preserve">burden </w:t>
      </w:r>
      <w:r w:rsidRPr="00F369B1" w:rsidR="00347C8A">
        <w:t>are calculated using data available from the</w:t>
      </w:r>
      <w:r w:rsidRPr="00F369B1" w:rsidR="00F84E79">
        <w:t xml:space="preserve"> </w:t>
      </w:r>
      <w:r w:rsidRPr="00F369B1" w:rsidR="002907A1">
        <w:t>202</w:t>
      </w:r>
      <w:r w:rsidRPr="00F369B1" w:rsidR="00F84E79">
        <w:t>3</w:t>
      </w:r>
      <w:r w:rsidRPr="00F369B1" w:rsidR="002907A1">
        <w:t xml:space="preserve"> </w:t>
      </w:r>
      <w:r w:rsidRPr="00F369B1" w:rsidR="00347C8A">
        <w:t>National Occupational Employment and Wage Estimates</w:t>
      </w:r>
      <w:r w:rsidRPr="00F369B1" w:rsidR="00A70D9C">
        <w:t xml:space="preserve">, </w:t>
      </w:r>
      <w:r w:rsidRPr="00F369B1" w:rsidR="00347C8A">
        <w:t>Bureau of Labor Statistics</w:t>
      </w:r>
      <w:r w:rsidRPr="00F369B1" w:rsidR="005439D7">
        <w:t xml:space="preserve"> website:</w:t>
      </w:r>
      <w:r w:rsidRPr="00F369B1" w:rsidR="00A70D9C">
        <w:t xml:space="preserve"> </w:t>
      </w:r>
      <w:hyperlink r:id="rId4" w:history="1">
        <w:r w:rsidRPr="00F369B1" w:rsidR="00A70D9C">
          <w:rPr>
            <w:rStyle w:val="Hyperlink"/>
          </w:rPr>
          <w:t>https://www.bls.gov/oes/current/oes_stru.htm</w:t>
        </w:r>
      </w:hyperlink>
      <w:r w:rsidRPr="00F369B1" w:rsidR="00A70D9C">
        <w:t xml:space="preserve">. </w:t>
      </w:r>
      <w:r w:rsidRPr="00F369B1" w:rsidR="00F84E79">
        <w:t>For a description of the median hourly wages for the labor categories see Table 1.</w:t>
      </w:r>
    </w:p>
    <w:p w:rsidR="00EE64A9" w:rsidRPr="00F369B1" w:rsidP="00B97E0E" w14:paraId="0F61DBF4" w14:textId="77777777">
      <w:pPr>
        <w:pStyle w:val="BodyText"/>
        <w:ind w:right="219"/>
      </w:pPr>
    </w:p>
    <w:p w:rsidR="00347C8A" w:rsidRPr="00F369B1" w:rsidP="00B97E0E" w14:paraId="7F325F2C" w14:textId="77777777">
      <w:pPr>
        <w:pStyle w:val="BodyText"/>
        <w:ind w:right="219"/>
      </w:pPr>
      <w:r w:rsidRPr="00F369B1">
        <w:rPr>
          <w:b/>
        </w:rPr>
        <w:t>Table 1: Adjusted Hourly Wages Used in Burden Estimates</w:t>
      </w:r>
    </w:p>
    <w:p w:rsidR="00841201" w:rsidRPr="00F369B1" w:rsidP="00B97E0E" w14:paraId="4A7A1EC8" w14:textId="77777777">
      <w:pPr>
        <w:pStyle w:val="Body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235"/>
        <w:gridCol w:w="1564"/>
        <w:gridCol w:w="1530"/>
        <w:gridCol w:w="1610"/>
        <w:gridCol w:w="1530"/>
      </w:tblGrid>
      <w:tr w14:paraId="6410FA40" w14:textId="77777777" w:rsidTr="00CD222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c>
          <w:tcPr>
            <w:tcW w:w="3235" w:type="dxa"/>
          </w:tcPr>
          <w:p w:rsidR="00347C8A" w:rsidRPr="00F369B1" w:rsidP="00E419DB" w14:paraId="49FBCBFA" w14:textId="2A5F60E6">
            <w:pPr>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80"/>
              <w:rPr>
                <w:b/>
                <w:bCs/>
                <w:sz w:val="24"/>
                <w:szCs w:val="24"/>
              </w:rPr>
            </w:pPr>
            <w:bookmarkStart w:id="9" w:name="Submission_of_Segregation_Plan"/>
            <w:bookmarkEnd w:id="9"/>
            <w:r w:rsidRPr="00F369B1">
              <w:rPr>
                <w:b/>
                <w:bCs/>
                <w:sz w:val="24"/>
                <w:szCs w:val="24"/>
              </w:rPr>
              <w:t>Occupation Title</w:t>
            </w:r>
          </w:p>
        </w:tc>
        <w:tc>
          <w:tcPr>
            <w:tcW w:w="1564" w:type="dxa"/>
          </w:tcPr>
          <w:p w:rsidR="00347C8A" w:rsidRPr="00F369B1" w:rsidP="00E419DB" w14:paraId="5BCD10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b/>
                <w:bCs/>
                <w:sz w:val="24"/>
                <w:szCs w:val="24"/>
              </w:rPr>
            </w:pPr>
            <w:r w:rsidRPr="00F369B1">
              <w:rPr>
                <w:b/>
                <w:bCs/>
                <w:sz w:val="24"/>
                <w:szCs w:val="24"/>
              </w:rPr>
              <w:t>Occupational Code</w:t>
            </w:r>
          </w:p>
        </w:tc>
        <w:tc>
          <w:tcPr>
            <w:tcW w:w="1530" w:type="dxa"/>
          </w:tcPr>
          <w:p w:rsidR="00347C8A" w:rsidRPr="00F369B1" w:rsidP="00E419DB" w14:paraId="64F2B729" w14:textId="28152E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b/>
                <w:bCs/>
                <w:sz w:val="24"/>
                <w:szCs w:val="24"/>
              </w:rPr>
            </w:pPr>
            <w:r w:rsidRPr="00F369B1">
              <w:rPr>
                <w:b/>
                <w:bCs/>
                <w:sz w:val="24"/>
                <w:szCs w:val="24"/>
              </w:rPr>
              <w:t xml:space="preserve">Median </w:t>
            </w:r>
            <w:r w:rsidRPr="00F369B1">
              <w:rPr>
                <w:b/>
                <w:bCs/>
                <w:sz w:val="24"/>
                <w:szCs w:val="24"/>
              </w:rPr>
              <w:t>Hourly Wage ($/hour)</w:t>
            </w:r>
          </w:p>
        </w:tc>
        <w:tc>
          <w:tcPr>
            <w:tcW w:w="1610" w:type="dxa"/>
          </w:tcPr>
          <w:p w:rsidR="00347C8A" w:rsidRPr="00F369B1" w:rsidP="00E419DB" w14:paraId="4E6982CD" w14:textId="441BFB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b/>
                <w:bCs/>
                <w:sz w:val="24"/>
                <w:szCs w:val="24"/>
              </w:rPr>
            </w:pPr>
            <w:r w:rsidRPr="00F369B1">
              <w:rPr>
                <w:b/>
                <w:bCs/>
                <w:sz w:val="24"/>
                <w:szCs w:val="24"/>
              </w:rPr>
              <w:t xml:space="preserve">Fringe Benefits and Overhead </w:t>
            </w:r>
            <w:r w:rsidRPr="00F369B1" w:rsidR="005439D7">
              <w:rPr>
                <w:b/>
                <w:bCs/>
                <w:sz w:val="24"/>
                <w:szCs w:val="24"/>
              </w:rPr>
              <w:t>(100%)</w:t>
            </w:r>
            <w:r w:rsidRPr="00F369B1">
              <w:rPr>
                <w:b/>
                <w:bCs/>
                <w:sz w:val="24"/>
                <w:szCs w:val="24"/>
              </w:rPr>
              <w:t>($/hour)</w:t>
            </w:r>
          </w:p>
        </w:tc>
        <w:tc>
          <w:tcPr>
            <w:tcW w:w="1530" w:type="dxa"/>
          </w:tcPr>
          <w:p w:rsidR="00347C8A" w:rsidRPr="00F369B1" w:rsidP="00E419DB" w14:paraId="40CBC3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b/>
                <w:bCs/>
                <w:sz w:val="24"/>
                <w:szCs w:val="24"/>
              </w:rPr>
            </w:pPr>
            <w:r w:rsidRPr="00F369B1">
              <w:rPr>
                <w:b/>
                <w:bCs/>
                <w:sz w:val="24"/>
                <w:szCs w:val="24"/>
              </w:rPr>
              <w:t>Adjusted Hourly Wage ($/hour)</w:t>
            </w:r>
          </w:p>
        </w:tc>
      </w:tr>
      <w:tr w14:paraId="45A1FB16" w14:textId="77777777" w:rsidTr="00CD2225">
        <w:tblPrEx>
          <w:tblW w:w="0" w:type="auto"/>
          <w:tblCellMar>
            <w:left w:w="0" w:type="dxa"/>
            <w:right w:w="0" w:type="dxa"/>
          </w:tblCellMar>
          <w:tblLook w:val="01E0"/>
        </w:tblPrEx>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347C8A" w:rsidRPr="00F369B1" w:rsidP="00E419DB" w14:paraId="7A5D64CE" w14:textId="77777777">
            <w:pPr>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80"/>
              <w:rPr>
                <w:sz w:val="24"/>
                <w:szCs w:val="24"/>
              </w:rPr>
            </w:pPr>
            <w:r w:rsidRPr="00F369B1">
              <w:rPr>
                <w:sz w:val="24"/>
                <w:szCs w:val="24"/>
              </w:rPr>
              <w:t>Computer System Analyst</w:t>
            </w:r>
          </w:p>
        </w:tc>
        <w:tc>
          <w:tcPr>
            <w:tcW w:w="1564" w:type="dxa"/>
            <w:tcBorders>
              <w:top w:val="single" w:sz="4" w:space="0" w:color="auto"/>
              <w:left w:val="nil"/>
              <w:bottom w:val="single" w:sz="4" w:space="0" w:color="auto"/>
              <w:right w:val="single" w:sz="4" w:space="0" w:color="auto"/>
            </w:tcBorders>
            <w:shd w:val="clear" w:color="auto" w:fill="auto"/>
            <w:vAlign w:val="center"/>
          </w:tcPr>
          <w:p w:rsidR="00347C8A" w:rsidRPr="00F369B1" w:rsidP="00E419DB" w14:paraId="6BF120D4" w14:textId="4FB305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15-1</w:t>
            </w:r>
            <w:r w:rsidRPr="00F369B1" w:rsidR="00D62CF6">
              <w:rPr>
                <w:sz w:val="24"/>
                <w:szCs w:val="24"/>
              </w:rPr>
              <w:t>211</w:t>
            </w:r>
          </w:p>
        </w:tc>
        <w:tc>
          <w:tcPr>
            <w:tcW w:w="1530" w:type="dxa"/>
            <w:tcBorders>
              <w:top w:val="single" w:sz="4" w:space="0" w:color="auto"/>
              <w:left w:val="nil"/>
              <w:bottom w:val="single" w:sz="4" w:space="0" w:color="auto"/>
              <w:right w:val="single" w:sz="4" w:space="0" w:color="auto"/>
            </w:tcBorders>
            <w:shd w:val="clear" w:color="auto" w:fill="auto"/>
            <w:vAlign w:val="center"/>
          </w:tcPr>
          <w:p w:rsidR="00347C8A" w:rsidRPr="00F369B1" w:rsidP="00E419DB" w14:paraId="1C8557BC" w14:textId="4B36CE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w:t>
            </w:r>
            <w:r w:rsidRPr="00F369B1" w:rsidR="004E273D">
              <w:rPr>
                <w:sz w:val="24"/>
                <w:szCs w:val="24"/>
              </w:rPr>
              <w:t>49.90</w:t>
            </w:r>
          </w:p>
        </w:tc>
        <w:tc>
          <w:tcPr>
            <w:tcW w:w="1610" w:type="dxa"/>
            <w:tcBorders>
              <w:top w:val="single" w:sz="4" w:space="0" w:color="auto"/>
              <w:left w:val="nil"/>
              <w:bottom w:val="single" w:sz="4" w:space="0" w:color="auto"/>
              <w:right w:val="single" w:sz="4" w:space="0" w:color="auto"/>
            </w:tcBorders>
            <w:shd w:val="clear" w:color="auto" w:fill="auto"/>
            <w:vAlign w:val="center"/>
          </w:tcPr>
          <w:p w:rsidR="00347C8A" w:rsidRPr="00F369B1" w:rsidP="00E419DB" w14:paraId="42837E5F" w14:textId="64A0E4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w:t>
            </w:r>
            <w:r w:rsidRPr="00F369B1" w:rsidR="004E273D">
              <w:rPr>
                <w:sz w:val="24"/>
                <w:szCs w:val="24"/>
              </w:rPr>
              <w:t>49.90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347C8A" w:rsidRPr="00F369B1" w:rsidP="00E419DB" w14:paraId="4993C965" w14:textId="331BC4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w:t>
            </w:r>
            <w:r w:rsidRPr="00F369B1" w:rsidR="00561962">
              <w:rPr>
                <w:sz w:val="24"/>
                <w:szCs w:val="24"/>
              </w:rPr>
              <w:t>99.80</w:t>
            </w:r>
          </w:p>
        </w:tc>
      </w:tr>
      <w:tr w14:paraId="6FDF7172" w14:textId="77777777" w:rsidTr="00CD2225">
        <w:tblPrEx>
          <w:tblW w:w="0" w:type="auto"/>
          <w:tblCellMar>
            <w:left w:w="0" w:type="dxa"/>
            <w:right w:w="0" w:type="dxa"/>
          </w:tblCellMar>
          <w:tblLook w:val="01E0"/>
        </w:tblPrEx>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347C8A" w:rsidRPr="00F369B1" w:rsidP="00E419DB" w14:paraId="722A5B33" w14:textId="77777777">
            <w:pPr>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80"/>
              <w:rPr>
                <w:sz w:val="24"/>
                <w:szCs w:val="24"/>
              </w:rPr>
            </w:pPr>
            <w:r w:rsidRPr="00F369B1">
              <w:rPr>
                <w:sz w:val="24"/>
                <w:szCs w:val="24"/>
              </w:rPr>
              <w:t>Financial Analyst</w:t>
            </w:r>
          </w:p>
        </w:tc>
        <w:tc>
          <w:tcPr>
            <w:tcW w:w="1564" w:type="dxa"/>
            <w:tcBorders>
              <w:top w:val="single" w:sz="4" w:space="0" w:color="auto"/>
              <w:left w:val="nil"/>
              <w:bottom w:val="single" w:sz="4" w:space="0" w:color="auto"/>
              <w:right w:val="single" w:sz="4" w:space="0" w:color="auto"/>
            </w:tcBorders>
            <w:shd w:val="clear" w:color="auto" w:fill="auto"/>
            <w:vAlign w:val="center"/>
          </w:tcPr>
          <w:p w:rsidR="00347C8A" w:rsidRPr="00F369B1" w:rsidP="00E419DB" w14:paraId="5DF996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13-2051</w:t>
            </w:r>
          </w:p>
        </w:tc>
        <w:tc>
          <w:tcPr>
            <w:tcW w:w="1530" w:type="dxa"/>
            <w:tcBorders>
              <w:top w:val="single" w:sz="4" w:space="0" w:color="auto"/>
              <w:left w:val="nil"/>
              <w:bottom w:val="single" w:sz="4" w:space="0" w:color="auto"/>
              <w:right w:val="single" w:sz="4" w:space="0" w:color="auto"/>
            </w:tcBorders>
            <w:shd w:val="clear" w:color="auto" w:fill="auto"/>
            <w:vAlign w:val="center"/>
          </w:tcPr>
          <w:p w:rsidR="00347C8A" w:rsidRPr="00F369B1" w:rsidP="00E419DB" w14:paraId="4AFE91E5" w14:textId="70273E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w:t>
            </w:r>
            <w:r w:rsidRPr="00F369B1" w:rsidR="00AC2E0D">
              <w:rPr>
                <w:sz w:val="24"/>
                <w:szCs w:val="24"/>
              </w:rPr>
              <w:t>47.60</w:t>
            </w:r>
          </w:p>
        </w:tc>
        <w:tc>
          <w:tcPr>
            <w:tcW w:w="1610" w:type="dxa"/>
            <w:tcBorders>
              <w:top w:val="single" w:sz="4" w:space="0" w:color="auto"/>
              <w:left w:val="nil"/>
              <w:bottom w:val="single" w:sz="4" w:space="0" w:color="auto"/>
              <w:right w:val="single" w:sz="4" w:space="0" w:color="auto"/>
            </w:tcBorders>
            <w:shd w:val="clear" w:color="auto" w:fill="auto"/>
            <w:vAlign w:val="center"/>
          </w:tcPr>
          <w:p w:rsidR="00347C8A" w:rsidRPr="00F369B1" w:rsidP="00E419DB" w14:paraId="232FCCDE" w14:textId="60B716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w:t>
            </w:r>
            <w:r w:rsidRPr="00F369B1" w:rsidR="00AC2E0D">
              <w:rPr>
                <w:sz w:val="24"/>
                <w:szCs w:val="24"/>
              </w:rPr>
              <w:t>47.60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347C8A" w:rsidRPr="00F369B1" w:rsidP="00E419DB" w14:paraId="7BD32FD8" w14:textId="2716C6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w:t>
            </w:r>
            <w:r w:rsidRPr="00F369B1" w:rsidR="006C29F7">
              <w:rPr>
                <w:sz w:val="24"/>
                <w:szCs w:val="24"/>
              </w:rPr>
              <w:t>95.20</w:t>
            </w:r>
          </w:p>
        </w:tc>
      </w:tr>
      <w:tr w14:paraId="58BF78F2" w14:textId="77777777" w:rsidTr="00CD2225">
        <w:tblPrEx>
          <w:tblW w:w="0" w:type="auto"/>
          <w:tblCellMar>
            <w:left w:w="0" w:type="dxa"/>
            <w:right w:w="0" w:type="dxa"/>
          </w:tblCellMar>
          <w:tblLook w:val="01E0"/>
        </w:tblPrEx>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347C8A" w:rsidRPr="00F369B1" w:rsidP="00E419DB" w14:paraId="6A10058B" w14:textId="2FD287D2">
            <w:pPr>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80"/>
              <w:rPr>
                <w:sz w:val="24"/>
                <w:szCs w:val="24"/>
              </w:rPr>
            </w:pPr>
            <w:r w:rsidRPr="00F369B1">
              <w:rPr>
                <w:sz w:val="24"/>
                <w:szCs w:val="24"/>
              </w:rPr>
              <w:t>Actuaries</w:t>
            </w:r>
          </w:p>
        </w:tc>
        <w:tc>
          <w:tcPr>
            <w:tcW w:w="1564" w:type="dxa"/>
            <w:tcBorders>
              <w:top w:val="single" w:sz="4" w:space="0" w:color="auto"/>
              <w:left w:val="nil"/>
              <w:bottom w:val="single" w:sz="4" w:space="0" w:color="auto"/>
              <w:right w:val="single" w:sz="4" w:space="0" w:color="auto"/>
            </w:tcBorders>
            <w:shd w:val="clear" w:color="auto" w:fill="auto"/>
            <w:vAlign w:val="center"/>
          </w:tcPr>
          <w:p w:rsidR="00347C8A" w:rsidRPr="00F369B1" w:rsidP="00E419DB" w14:paraId="03B18B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15-2011</w:t>
            </w:r>
          </w:p>
        </w:tc>
        <w:tc>
          <w:tcPr>
            <w:tcW w:w="1530" w:type="dxa"/>
            <w:tcBorders>
              <w:top w:val="single" w:sz="4" w:space="0" w:color="auto"/>
              <w:left w:val="nil"/>
              <w:bottom w:val="single" w:sz="4" w:space="0" w:color="auto"/>
              <w:right w:val="single" w:sz="4" w:space="0" w:color="auto"/>
            </w:tcBorders>
            <w:shd w:val="clear" w:color="auto" w:fill="auto"/>
            <w:vAlign w:val="center"/>
          </w:tcPr>
          <w:p w:rsidR="00347C8A" w:rsidRPr="00F369B1" w:rsidP="00E419DB" w14:paraId="4D3AC339" w14:textId="027C12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w:t>
            </w:r>
            <w:r w:rsidRPr="00F369B1" w:rsidR="006C29F7">
              <w:rPr>
                <w:sz w:val="24"/>
                <w:szCs w:val="24"/>
              </w:rPr>
              <w:t>57.69</w:t>
            </w:r>
          </w:p>
        </w:tc>
        <w:tc>
          <w:tcPr>
            <w:tcW w:w="1610" w:type="dxa"/>
            <w:tcBorders>
              <w:top w:val="single" w:sz="4" w:space="0" w:color="auto"/>
              <w:left w:val="nil"/>
              <w:bottom w:val="single" w:sz="4" w:space="0" w:color="auto"/>
              <w:right w:val="single" w:sz="4" w:space="0" w:color="auto"/>
            </w:tcBorders>
            <w:shd w:val="clear" w:color="auto" w:fill="auto"/>
            <w:vAlign w:val="center"/>
          </w:tcPr>
          <w:p w:rsidR="00347C8A" w:rsidRPr="00F369B1" w:rsidP="00E419DB" w14:paraId="626033E7" w14:textId="5A413A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w:t>
            </w:r>
            <w:r w:rsidRPr="00F369B1" w:rsidR="006C29F7">
              <w:rPr>
                <w:sz w:val="24"/>
                <w:szCs w:val="24"/>
              </w:rPr>
              <w:t>57.69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347C8A" w:rsidRPr="00F369B1" w:rsidP="00E419DB" w14:paraId="1FB408BA" w14:textId="228B0C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w:t>
            </w:r>
            <w:r w:rsidRPr="00F369B1" w:rsidR="006C29F7">
              <w:rPr>
                <w:sz w:val="24"/>
                <w:szCs w:val="24"/>
              </w:rPr>
              <w:t>115.38</w:t>
            </w:r>
          </w:p>
        </w:tc>
      </w:tr>
      <w:tr w14:paraId="7176C83D" w14:textId="77777777" w:rsidTr="00CD2225">
        <w:tblPrEx>
          <w:tblW w:w="0" w:type="auto"/>
          <w:tblCellMar>
            <w:left w:w="0" w:type="dxa"/>
            <w:right w:w="0" w:type="dxa"/>
          </w:tblCellMar>
          <w:tblLook w:val="01E0"/>
        </w:tblPrEx>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347C8A" w:rsidRPr="00F369B1" w:rsidP="00E419DB" w14:paraId="448FD0A7" w14:textId="5D2BAC65">
            <w:pPr>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80"/>
              <w:rPr>
                <w:sz w:val="24"/>
                <w:szCs w:val="24"/>
              </w:rPr>
            </w:pPr>
            <w:r w:rsidRPr="00F369B1">
              <w:rPr>
                <w:sz w:val="24"/>
                <w:szCs w:val="24"/>
              </w:rPr>
              <w:t>Lawyer</w:t>
            </w:r>
            <w:r w:rsidRPr="00F369B1" w:rsidR="00626E52">
              <w:rPr>
                <w:sz w:val="24"/>
                <w:szCs w:val="24"/>
              </w:rPr>
              <w:t>s</w:t>
            </w:r>
          </w:p>
        </w:tc>
        <w:tc>
          <w:tcPr>
            <w:tcW w:w="1564" w:type="dxa"/>
            <w:tcBorders>
              <w:top w:val="single" w:sz="4" w:space="0" w:color="auto"/>
              <w:left w:val="nil"/>
              <w:bottom w:val="single" w:sz="4" w:space="0" w:color="auto"/>
              <w:right w:val="single" w:sz="4" w:space="0" w:color="auto"/>
            </w:tcBorders>
            <w:shd w:val="clear" w:color="auto" w:fill="auto"/>
            <w:vAlign w:val="center"/>
          </w:tcPr>
          <w:p w:rsidR="00347C8A" w:rsidRPr="00F369B1" w:rsidP="00E419DB" w14:paraId="5C44705B" w14:textId="553BE8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23</w:t>
            </w:r>
            <w:r w:rsidRPr="00F369B1" w:rsidR="00626E52">
              <w:rPr>
                <w:sz w:val="24"/>
                <w:szCs w:val="24"/>
              </w:rPr>
              <w:t>-1011</w:t>
            </w:r>
          </w:p>
        </w:tc>
        <w:tc>
          <w:tcPr>
            <w:tcW w:w="1530" w:type="dxa"/>
            <w:tcBorders>
              <w:top w:val="single" w:sz="4" w:space="0" w:color="auto"/>
              <w:left w:val="nil"/>
              <w:bottom w:val="single" w:sz="4" w:space="0" w:color="auto"/>
              <w:right w:val="single" w:sz="4" w:space="0" w:color="auto"/>
            </w:tcBorders>
            <w:shd w:val="clear" w:color="auto" w:fill="auto"/>
            <w:vAlign w:val="center"/>
          </w:tcPr>
          <w:p w:rsidR="00347C8A" w:rsidRPr="00F369B1" w:rsidP="00E419DB" w14:paraId="48973D28" w14:textId="24BC39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w:t>
            </w:r>
            <w:r w:rsidRPr="00F369B1" w:rsidR="006C29F7">
              <w:rPr>
                <w:sz w:val="24"/>
                <w:szCs w:val="24"/>
              </w:rPr>
              <w:t>70.08</w:t>
            </w:r>
          </w:p>
        </w:tc>
        <w:tc>
          <w:tcPr>
            <w:tcW w:w="1610" w:type="dxa"/>
            <w:tcBorders>
              <w:top w:val="single" w:sz="4" w:space="0" w:color="auto"/>
              <w:left w:val="nil"/>
              <w:bottom w:val="single" w:sz="4" w:space="0" w:color="auto"/>
              <w:right w:val="single" w:sz="4" w:space="0" w:color="auto"/>
            </w:tcBorders>
            <w:shd w:val="clear" w:color="auto" w:fill="auto"/>
            <w:vAlign w:val="center"/>
          </w:tcPr>
          <w:p w:rsidR="00347C8A" w:rsidRPr="00F369B1" w:rsidP="00E419DB" w14:paraId="6D120929" w14:textId="436020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w:t>
            </w:r>
            <w:r w:rsidRPr="00F369B1" w:rsidR="006C29F7">
              <w:rPr>
                <w:sz w:val="24"/>
                <w:szCs w:val="24"/>
              </w:rPr>
              <w:t>70.08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347C8A" w:rsidRPr="00F369B1" w:rsidP="00E419DB" w14:paraId="67F65DBB" w14:textId="0DD77D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w:t>
            </w:r>
            <w:r w:rsidRPr="00F369B1" w:rsidR="006C29F7">
              <w:rPr>
                <w:sz w:val="24"/>
                <w:szCs w:val="24"/>
              </w:rPr>
              <w:t>140.16</w:t>
            </w:r>
          </w:p>
        </w:tc>
      </w:tr>
      <w:tr w14:paraId="1F01A366" w14:textId="77777777" w:rsidTr="00DE0AC8">
        <w:tblPrEx>
          <w:tblW w:w="0" w:type="auto"/>
          <w:tblCellMar>
            <w:left w:w="0" w:type="dxa"/>
            <w:right w:w="0" w:type="dxa"/>
          </w:tblCellMar>
          <w:tblLook w:val="01E0"/>
        </w:tblPrEx>
        <w:tc>
          <w:tcPr>
            <w:tcW w:w="3235" w:type="dxa"/>
            <w:tcBorders>
              <w:top w:val="nil"/>
              <w:left w:val="single" w:sz="4" w:space="0" w:color="auto"/>
              <w:bottom w:val="single" w:sz="4" w:space="0" w:color="auto"/>
              <w:right w:val="single" w:sz="4" w:space="0" w:color="auto"/>
            </w:tcBorders>
            <w:shd w:val="clear" w:color="auto" w:fill="auto"/>
            <w:vAlign w:val="bottom"/>
          </w:tcPr>
          <w:p w:rsidR="00347C8A" w:rsidRPr="00F369B1" w:rsidP="00E419DB" w14:paraId="74ECCF48" w14:textId="77777777">
            <w:pPr>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80"/>
              <w:rPr>
                <w:sz w:val="24"/>
                <w:szCs w:val="24"/>
              </w:rPr>
            </w:pPr>
            <w:r w:rsidRPr="00F369B1">
              <w:rPr>
                <w:color w:val="000000"/>
                <w:sz w:val="24"/>
                <w:szCs w:val="24"/>
              </w:rPr>
              <w:t>General and Operations Manager</w:t>
            </w:r>
          </w:p>
        </w:tc>
        <w:tc>
          <w:tcPr>
            <w:tcW w:w="1564" w:type="dxa"/>
            <w:tcBorders>
              <w:top w:val="single" w:sz="4" w:space="0" w:color="auto"/>
              <w:left w:val="nil"/>
              <w:bottom w:val="single" w:sz="4" w:space="0" w:color="auto"/>
              <w:right w:val="single" w:sz="4" w:space="0" w:color="auto"/>
            </w:tcBorders>
            <w:shd w:val="clear" w:color="auto" w:fill="auto"/>
            <w:vAlign w:val="center"/>
          </w:tcPr>
          <w:p w:rsidR="00347C8A" w:rsidRPr="00F369B1" w:rsidP="00E419DB" w14:paraId="3BD8F8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11-1021</w:t>
            </w:r>
          </w:p>
        </w:tc>
        <w:tc>
          <w:tcPr>
            <w:tcW w:w="1530" w:type="dxa"/>
            <w:tcBorders>
              <w:top w:val="single" w:sz="4" w:space="0" w:color="auto"/>
              <w:left w:val="nil"/>
              <w:bottom w:val="single" w:sz="4" w:space="0" w:color="auto"/>
              <w:right w:val="single" w:sz="4" w:space="0" w:color="auto"/>
            </w:tcBorders>
            <w:shd w:val="clear" w:color="auto" w:fill="auto"/>
            <w:vAlign w:val="center"/>
          </w:tcPr>
          <w:p w:rsidR="00347C8A" w:rsidRPr="00F369B1" w:rsidP="00E419DB" w14:paraId="0DC48C73" w14:textId="5D4C0A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w:t>
            </w:r>
            <w:r w:rsidRPr="00F369B1" w:rsidR="00F84E79">
              <w:rPr>
                <w:sz w:val="24"/>
                <w:szCs w:val="24"/>
              </w:rPr>
              <w:t>48.69</w:t>
            </w:r>
          </w:p>
        </w:tc>
        <w:tc>
          <w:tcPr>
            <w:tcW w:w="1610" w:type="dxa"/>
            <w:tcBorders>
              <w:top w:val="single" w:sz="4" w:space="0" w:color="auto"/>
              <w:left w:val="nil"/>
              <w:bottom w:val="single" w:sz="4" w:space="0" w:color="auto"/>
              <w:right w:val="single" w:sz="4" w:space="0" w:color="auto"/>
            </w:tcBorders>
            <w:shd w:val="clear" w:color="auto" w:fill="auto"/>
            <w:vAlign w:val="center"/>
          </w:tcPr>
          <w:p w:rsidR="00347C8A" w:rsidRPr="00F369B1" w:rsidP="00E419DB" w14:paraId="484CCCFA" w14:textId="79B3EA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sz w:val="24"/>
                <w:szCs w:val="24"/>
              </w:rPr>
              <w:t>$</w:t>
            </w:r>
            <w:r w:rsidRPr="00F369B1" w:rsidR="00F84E79">
              <w:rPr>
                <w:sz w:val="24"/>
                <w:szCs w:val="24"/>
              </w:rPr>
              <w:t>48.69</w:t>
            </w:r>
          </w:p>
        </w:tc>
        <w:tc>
          <w:tcPr>
            <w:tcW w:w="1530" w:type="dxa"/>
            <w:tcBorders>
              <w:top w:val="nil"/>
              <w:left w:val="nil"/>
              <w:bottom w:val="single" w:sz="4" w:space="0" w:color="auto"/>
              <w:right w:val="single" w:sz="4" w:space="0" w:color="auto"/>
            </w:tcBorders>
            <w:shd w:val="clear" w:color="auto" w:fill="auto"/>
            <w:vAlign w:val="center"/>
          </w:tcPr>
          <w:p w:rsidR="00347C8A" w:rsidRPr="00F369B1" w:rsidP="00DE0AC8" w14:paraId="45606B50" w14:textId="1837A4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F369B1">
              <w:rPr>
                <w:color w:val="000000"/>
                <w:sz w:val="24"/>
                <w:szCs w:val="24"/>
              </w:rPr>
              <w:t>$</w:t>
            </w:r>
            <w:r w:rsidRPr="00F369B1" w:rsidR="00F84E79">
              <w:rPr>
                <w:color w:val="000000"/>
                <w:sz w:val="24"/>
                <w:szCs w:val="24"/>
              </w:rPr>
              <w:t>97.38</w:t>
            </w:r>
          </w:p>
        </w:tc>
      </w:tr>
    </w:tbl>
    <w:p w:rsidR="00347C8A" w:rsidRPr="00F369B1" w:rsidP="006F76E6" w14:paraId="1CE63089" w14:textId="77777777">
      <w:pPr>
        <w:pStyle w:val="Heading2"/>
        <w:ind w:left="0"/>
      </w:pPr>
    </w:p>
    <w:p w:rsidR="00347C8A" w:rsidRPr="00F369B1" w:rsidP="006F76E6" w14:paraId="45E0BF40" w14:textId="77777777">
      <w:pPr>
        <w:pStyle w:val="Heading2"/>
        <w:ind w:left="0"/>
      </w:pPr>
      <w:r w:rsidRPr="00F369B1">
        <w:t>Segregation Plan</w:t>
      </w:r>
    </w:p>
    <w:p w:rsidR="00347C8A" w:rsidRPr="00F369B1" w:rsidP="006F76E6" w14:paraId="5A15DF07" w14:textId="4C41A2D9">
      <w:pPr>
        <w:pStyle w:val="Heading2"/>
        <w:ind w:left="0"/>
        <w:rPr>
          <w:b w:val="0"/>
        </w:rPr>
      </w:pPr>
      <w:r w:rsidRPr="00F369B1">
        <w:rPr>
          <w:b w:val="0"/>
        </w:rPr>
        <w:t xml:space="preserve">We note that the estimate of the paperwork burden generally reflects the burden on the QHP issuer after the initial costs have been incurred and that the associated burden after the first year are significantly lower because many of the standards in the regulation can be fulfilled through automated processes. </w:t>
      </w:r>
    </w:p>
    <w:p w:rsidR="006F76E6" w:rsidRPr="00F369B1" w:rsidP="006F76E6" w14:paraId="540A6DEC" w14:textId="77777777">
      <w:pPr>
        <w:pStyle w:val="Heading2"/>
        <w:ind w:left="0"/>
        <w:rPr>
          <w:i/>
        </w:rPr>
      </w:pPr>
    </w:p>
    <w:p w:rsidR="00841201" w:rsidRPr="00F369B1" w:rsidP="006F76E6" w14:paraId="1419F526" w14:textId="376FB89F">
      <w:pPr>
        <w:pStyle w:val="Heading2"/>
        <w:ind w:left="0"/>
        <w:rPr>
          <w:i/>
        </w:rPr>
      </w:pPr>
      <w:r w:rsidRPr="00F369B1">
        <w:rPr>
          <w:i/>
        </w:rPr>
        <w:t>Submission of Segregation Plan</w:t>
      </w:r>
    </w:p>
    <w:p w:rsidR="00841201" w:rsidRPr="00F369B1" w:rsidP="006F76E6" w14:paraId="42DE71F8" w14:textId="143EBD84">
      <w:pPr>
        <w:pStyle w:val="BodyText"/>
        <w:ind w:right="101" w:hanging="11"/>
      </w:pPr>
      <w:r w:rsidRPr="00F369B1">
        <w:t xml:space="preserve">Section 156.280(e)(5)(ii) requires each QHP issuer offering coverage of </w:t>
      </w:r>
      <w:r w:rsidRPr="00F369B1" w:rsidR="00CF6031">
        <w:t xml:space="preserve">abortion services for which </w:t>
      </w:r>
      <w:r w:rsidRPr="00F369B1" w:rsidR="00CF6031">
        <w:t>public funding is prohibited</w:t>
      </w:r>
      <w:r w:rsidRPr="00F369B1">
        <w:t xml:space="preserve"> on the Exchange to submit to the State Insurance Commissioner a segregation plan describing how the issuer will establish and maintain a separate payment account for any QHP that covers </w:t>
      </w:r>
      <w:r w:rsidRPr="00F369B1" w:rsidR="00CF6031">
        <w:t>those</w:t>
      </w:r>
      <w:r w:rsidRPr="00F369B1" w:rsidR="002A2C2C">
        <w:t xml:space="preserve"> </w:t>
      </w:r>
      <w:r w:rsidRPr="00F369B1">
        <w:t>abortion services. This plan will be used to verify that the QHP’s financial and</w:t>
      </w:r>
      <w:r w:rsidRPr="00F369B1" w:rsidR="00347C8A">
        <w:t xml:space="preserve"> </w:t>
      </w:r>
      <w:r w:rsidRPr="00F369B1">
        <w:t xml:space="preserve">other systems fully conform to the segregation requirements, as required by section 1303 of the PPACA. The burden estimate associated with this requirement includes the time for QHP issuers offering coverage of </w:t>
      </w:r>
      <w:r w:rsidRPr="00F369B1" w:rsidR="00CF6031">
        <w:t>abortion services for which public funding is prohibited</w:t>
      </w:r>
      <w:r w:rsidRPr="00F369B1" w:rsidR="00CF6031">
        <w:t xml:space="preserve"> </w:t>
      </w:r>
      <w:r w:rsidRPr="00F369B1">
        <w:t>to report on the operational and financial systems that will segregate funds.</w:t>
      </w:r>
    </w:p>
    <w:p w:rsidR="00841201" w:rsidRPr="00F369B1" w:rsidP="006F76E6" w14:paraId="6AC715A7" w14:textId="77777777">
      <w:pPr>
        <w:pStyle w:val="BodyText"/>
      </w:pPr>
    </w:p>
    <w:p w:rsidR="00841201" w:rsidRPr="00F369B1" w:rsidP="006F76E6" w14:paraId="72968A59" w14:textId="7BEA3255">
      <w:pPr>
        <w:pStyle w:val="BodyText"/>
        <w:ind w:right="88" w:hanging="11"/>
      </w:pPr>
      <w:r w:rsidRPr="00F369B1">
        <w:t xml:space="preserve">The burden associated with developing the segregation plan is a one-time cost for issuers offering coverage of </w:t>
      </w:r>
      <w:r w:rsidRPr="00F369B1" w:rsidR="00CF6031">
        <w:t>abortion services for which public funding is prohibited</w:t>
      </w:r>
      <w:r w:rsidRPr="00F369B1">
        <w:t xml:space="preserve">. We estimate that approximately </w:t>
      </w:r>
      <w:r w:rsidRPr="00F369B1" w:rsidR="00DC28D5">
        <w:t>17</w:t>
      </w:r>
      <w:r w:rsidRPr="00F369B1" w:rsidR="00A16099">
        <w:t>4</w:t>
      </w:r>
      <w:r w:rsidRPr="00F369B1" w:rsidR="00DC28D5">
        <w:t xml:space="preserve"> </w:t>
      </w:r>
      <w:r w:rsidRPr="00F369B1">
        <w:t xml:space="preserve">QHP issuers will newly offer </w:t>
      </w:r>
      <w:r w:rsidRPr="00F369B1" w:rsidR="001E365B">
        <w:t xml:space="preserve">abortion services for which public funding is </w:t>
      </w:r>
      <w:r w:rsidRPr="00F369B1" w:rsidR="00507441">
        <w:t>prohibited each</w:t>
      </w:r>
      <w:r w:rsidRPr="00F369B1">
        <w:t xml:space="preserve"> </w:t>
      </w:r>
      <w:r w:rsidRPr="00F369B1" w:rsidR="00507441">
        <w:t>year and</w:t>
      </w:r>
      <w:r w:rsidRPr="00F369B1">
        <w:t xml:space="preserve"> will therefore need to develop segregation plans. We assume that QHP issuers that previously offered this coverage will have already completed a segregation plan. We estimate that it will initially take each issuer approximately 13 hours (with an equivalent cost of $</w:t>
      </w:r>
      <w:r w:rsidRPr="00F369B1" w:rsidR="007F72DB">
        <w:t>1,326.71</w:t>
      </w:r>
      <w:r w:rsidRPr="00F369B1">
        <w:t xml:space="preserve">) annually for the time and effort to develop and provide the segregation plan to the State Insurance Commissioner, for a total annual burden of approximately </w:t>
      </w:r>
      <w:r w:rsidRPr="00F369B1" w:rsidR="00A16099">
        <w:t>2,262</w:t>
      </w:r>
      <w:r w:rsidRPr="00F369B1">
        <w:t xml:space="preserve"> hours for the estimated </w:t>
      </w:r>
      <w:r w:rsidRPr="00F369B1" w:rsidR="00507441">
        <w:t>17</w:t>
      </w:r>
      <w:r w:rsidRPr="00F369B1" w:rsidR="00A16099">
        <w:t>4</w:t>
      </w:r>
      <w:r w:rsidRPr="00F369B1" w:rsidR="00507441">
        <w:t xml:space="preserve"> </w:t>
      </w:r>
      <w:r w:rsidRPr="00F369B1">
        <w:t>QHP issuers with an equivalent annual cost of $</w:t>
      </w:r>
      <w:r w:rsidRPr="00F369B1" w:rsidR="007F72DB">
        <w:t>230,847.54</w:t>
      </w:r>
      <w:r w:rsidRPr="00F369B1" w:rsidR="00EE64A9">
        <w:t>.</w:t>
      </w:r>
    </w:p>
    <w:p w:rsidR="00841201" w:rsidRPr="00F369B1" w:rsidP="006F76E6" w14:paraId="14465AB7" w14:textId="77777777">
      <w:pPr>
        <w:pStyle w:val="BodyText"/>
      </w:pPr>
    </w:p>
    <w:p w:rsidR="00841201" w:rsidRPr="00F369B1" w:rsidP="006F76E6" w14:paraId="6A12E4FC" w14:textId="77777777">
      <w:pPr>
        <w:rPr>
          <w:b/>
          <w:sz w:val="24"/>
          <w:szCs w:val="24"/>
        </w:rPr>
      </w:pPr>
      <w:bookmarkStart w:id="10" w:name="Table_1:_Burden_for_QHP_Issuers_Developi"/>
      <w:bookmarkEnd w:id="10"/>
      <w:r w:rsidRPr="00F369B1">
        <w:rPr>
          <w:b/>
          <w:sz w:val="24"/>
          <w:szCs w:val="24"/>
        </w:rPr>
        <w:t xml:space="preserve">Table </w:t>
      </w:r>
      <w:r w:rsidRPr="00F369B1" w:rsidR="002A2C2C">
        <w:rPr>
          <w:b/>
          <w:sz w:val="24"/>
          <w:szCs w:val="24"/>
        </w:rPr>
        <w:t>2</w:t>
      </w:r>
      <w:r w:rsidRPr="00F369B1">
        <w:rPr>
          <w:b/>
          <w:sz w:val="24"/>
          <w:szCs w:val="24"/>
        </w:rPr>
        <w:t>: Burden for QHP Issuers Developing Segregation Plans</w:t>
      </w:r>
    </w:p>
    <w:p w:rsidR="00841201" w:rsidRPr="00F369B1" w:rsidP="006F76E6" w14:paraId="5C455777" w14:textId="77777777">
      <w:pPr>
        <w:pStyle w:val="BodyText"/>
        <w:rPr>
          <w:b/>
        </w:rPr>
      </w:pPr>
    </w:p>
    <w:tbl>
      <w:tblPr>
        <w:tblW w:w="9625" w:type="dxa"/>
        <w:tblLayout w:type="fixed"/>
        <w:tblCellMar>
          <w:left w:w="0" w:type="dxa"/>
          <w:right w:w="0" w:type="dxa"/>
        </w:tblCellMar>
        <w:tblLook w:val="01E0"/>
      </w:tblPr>
      <w:tblGrid>
        <w:gridCol w:w="2695"/>
        <w:gridCol w:w="1440"/>
        <w:gridCol w:w="1620"/>
        <w:gridCol w:w="900"/>
        <w:gridCol w:w="1440"/>
        <w:gridCol w:w="1530"/>
      </w:tblGrid>
      <w:tr w14:paraId="4CAAA0F3" w14:textId="77777777" w:rsidTr="00CD2225">
        <w:tblPrEx>
          <w:tblW w:w="9625" w:type="dxa"/>
          <w:tblLayout w:type="fixed"/>
          <w:tblCellMar>
            <w:left w:w="0" w:type="dxa"/>
            <w:right w:w="0" w:type="dxa"/>
          </w:tblCellMar>
          <w:tblLook w:val="01E0"/>
        </w:tblPrEx>
        <w:trPr>
          <w:trHeight w:hRule="exact" w:val="1198"/>
        </w:trPr>
        <w:tc>
          <w:tcPr>
            <w:tcW w:w="2695" w:type="dxa"/>
            <w:tcBorders>
              <w:top w:val="single" w:sz="4" w:space="0" w:color="000000"/>
              <w:left w:val="single" w:sz="4" w:space="0" w:color="000000"/>
              <w:bottom w:val="single" w:sz="4" w:space="0" w:color="000000"/>
              <w:right w:val="single" w:sz="4" w:space="0" w:color="000000"/>
            </w:tcBorders>
          </w:tcPr>
          <w:p w:rsidR="002A2C2C" w:rsidRPr="00F369B1" w:rsidP="00E419DB" w14:paraId="6B3950F6" w14:textId="77777777">
            <w:pPr>
              <w:keepNext/>
              <w:ind w:left="85" w:right="-20"/>
              <w:rPr>
                <w:b/>
                <w:bCs/>
                <w:sz w:val="24"/>
                <w:szCs w:val="24"/>
              </w:rPr>
            </w:pPr>
            <w:bookmarkStart w:id="11" w:name="Attestation"/>
            <w:bookmarkEnd w:id="11"/>
            <w:r w:rsidRPr="00F369B1">
              <w:rPr>
                <w:b/>
                <w:bCs/>
                <w:sz w:val="24"/>
                <w:szCs w:val="24"/>
              </w:rPr>
              <w:t>Labor Cate</w:t>
            </w:r>
            <w:r w:rsidRPr="00F369B1">
              <w:rPr>
                <w:b/>
                <w:bCs/>
                <w:spacing w:val="-1"/>
                <w:sz w:val="24"/>
                <w:szCs w:val="24"/>
              </w:rPr>
              <w:t>g</w:t>
            </w:r>
            <w:r w:rsidRPr="00F369B1">
              <w:rPr>
                <w:b/>
                <w:bCs/>
                <w:sz w:val="24"/>
                <w:szCs w:val="24"/>
              </w:rPr>
              <w:t>ory</w:t>
            </w:r>
          </w:p>
        </w:tc>
        <w:tc>
          <w:tcPr>
            <w:tcW w:w="1440" w:type="dxa"/>
            <w:tcBorders>
              <w:top w:val="single" w:sz="4" w:space="0" w:color="000000"/>
              <w:left w:val="single" w:sz="4" w:space="0" w:color="000000"/>
              <w:bottom w:val="single" w:sz="4" w:space="0" w:color="000000"/>
              <w:right w:val="single" w:sz="4" w:space="0" w:color="000000"/>
            </w:tcBorders>
          </w:tcPr>
          <w:p w:rsidR="002A2C2C" w:rsidRPr="00F369B1" w:rsidP="00CD2225" w14:paraId="10E3DA51" w14:textId="77777777">
            <w:pPr>
              <w:keepNext/>
              <w:jc w:val="center"/>
              <w:rPr>
                <w:b/>
                <w:bCs/>
                <w:sz w:val="24"/>
                <w:szCs w:val="24"/>
              </w:rPr>
            </w:pPr>
            <w:r w:rsidRPr="00F369B1">
              <w:rPr>
                <w:b/>
                <w:bCs/>
                <w:sz w:val="24"/>
                <w:szCs w:val="24"/>
              </w:rPr>
              <w:t>N</w:t>
            </w:r>
            <w:r w:rsidRPr="00F369B1">
              <w:rPr>
                <w:b/>
                <w:bCs/>
                <w:spacing w:val="1"/>
                <w:sz w:val="24"/>
                <w:szCs w:val="24"/>
              </w:rPr>
              <w:t>u</w:t>
            </w:r>
            <w:r w:rsidRPr="00F369B1">
              <w:rPr>
                <w:b/>
                <w:bCs/>
                <w:spacing w:val="-2"/>
                <w:sz w:val="24"/>
                <w:szCs w:val="24"/>
              </w:rPr>
              <w:t>m</w:t>
            </w:r>
            <w:r w:rsidRPr="00F369B1">
              <w:rPr>
                <w:b/>
                <w:bCs/>
                <w:sz w:val="24"/>
                <w:szCs w:val="24"/>
              </w:rPr>
              <w:t>ber of</w:t>
            </w:r>
            <w:r w:rsidRPr="00F369B1">
              <w:rPr>
                <w:b/>
                <w:bCs/>
                <w:spacing w:val="1"/>
                <w:sz w:val="24"/>
                <w:szCs w:val="24"/>
              </w:rPr>
              <w:t xml:space="preserve"> Respondent</w:t>
            </w:r>
            <w:r w:rsidRPr="00F369B1">
              <w:rPr>
                <w:b/>
                <w:bCs/>
                <w:sz w:val="24"/>
                <w:szCs w:val="24"/>
              </w:rPr>
              <w:t>s</w:t>
            </w:r>
          </w:p>
        </w:tc>
        <w:tc>
          <w:tcPr>
            <w:tcW w:w="1620" w:type="dxa"/>
            <w:tcBorders>
              <w:top w:val="single" w:sz="4" w:space="0" w:color="000000"/>
              <w:left w:val="single" w:sz="4" w:space="0" w:color="000000"/>
              <w:bottom w:val="single" w:sz="4" w:space="0" w:color="000000"/>
              <w:right w:val="single" w:sz="4" w:space="0" w:color="000000"/>
            </w:tcBorders>
          </w:tcPr>
          <w:p w:rsidR="002A2C2C" w:rsidRPr="00F369B1" w:rsidP="00CD2225" w14:paraId="103B0D1A" w14:textId="77777777">
            <w:pPr>
              <w:keepNext/>
              <w:jc w:val="center"/>
              <w:rPr>
                <w:b/>
                <w:bCs/>
                <w:sz w:val="24"/>
                <w:szCs w:val="24"/>
              </w:rPr>
            </w:pPr>
            <w:r w:rsidRPr="00F369B1">
              <w:rPr>
                <w:b/>
                <w:bCs/>
                <w:sz w:val="24"/>
                <w:szCs w:val="24"/>
              </w:rPr>
              <w:t>Hourly Labor Costs (Hourly r</w:t>
            </w:r>
            <w:r w:rsidRPr="00F369B1">
              <w:rPr>
                <w:b/>
                <w:bCs/>
                <w:spacing w:val="-1"/>
                <w:sz w:val="24"/>
                <w:szCs w:val="24"/>
              </w:rPr>
              <w:t>a</w:t>
            </w:r>
            <w:r w:rsidRPr="00F369B1">
              <w:rPr>
                <w:b/>
                <w:bCs/>
                <w:sz w:val="24"/>
                <w:szCs w:val="24"/>
              </w:rPr>
              <w:t>te +</w:t>
            </w:r>
            <w:r w:rsidRPr="00F369B1">
              <w:rPr>
                <w:b/>
                <w:bCs/>
                <w:spacing w:val="-1"/>
                <w:sz w:val="24"/>
                <w:szCs w:val="24"/>
              </w:rPr>
              <w:t xml:space="preserve"> </w:t>
            </w:r>
            <w:r w:rsidRPr="00F369B1">
              <w:rPr>
                <w:b/>
                <w:bCs/>
                <w:spacing w:val="2"/>
                <w:sz w:val="24"/>
                <w:szCs w:val="24"/>
              </w:rPr>
              <w:t>100</w:t>
            </w:r>
            <w:r w:rsidRPr="00F369B1">
              <w:rPr>
                <w:b/>
                <w:bCs/>
                <w:sz w:val="24"/>
                <w:szCs w:val="24"/>
              </w:rPr>
              <w:t xml:space="preserve">% </w:t>
            </w:r>
            <w:r w:rsidRPr="00F369B1">
              <w:rPr>
                <w:b/>
                <w:bCs/>
                <w:spacing w:val="-1"/>
                <w:sz w:val="24"/>
                <w:szCs w:val="24"/>
              </w:rPr>
              <w:t>Fr</w:t>
            </w:r>
            <w:r w:rsidRPr="00F369B1">
              <w:rPr>
                <w:b/>
                <w:bCs/>
                <w:sz w:val="24"/>
                <w:szCs w:val="24"/>
              </w:rPr>
              <w:t>in</w:t>
            </w:r>
            <w:r w:rsidRPr="00F369B1">
              <w:rPr>
                <w:b/>
                <w:bCs/>
                <w:spacing w:val="-2"/>
                <w:sz w:val="24"/>
                <w:szCs w:val="24"/>
              </w:rPr>
              <w:t xml:space="preserve">ge </w:t>
            </w:r>
            <w:r w:rsidRPr="00F369B1">
              <w:rPr>
                <w:b/>
                <w:bCs/>
                <w:sz w:val="24"/>
                <w:szCs w:val="24"/>
              </w:rPr>
              <w:t>b</w:t>
            </w:r>
            <w:r w:rsidRPr="00F369B1">
              <w:rPr>
                <w:b/>
                <w:bCs/>
                <w:spacing w:val="-1"/>
                <w:sz w:val="24"/>
                <w:szCs w:val="24"/>
              </w:rPr>
              <w:t>e</w:t>
            </w:r>
            <w:r w:rsidRPr="00F369B1">
              <w:rPr>
                <w:b/>
                <w:bCs/>
                <w:sz w:val="24"/>
                <w:szCs w:val="24"/>
              </w:rPr>
              <w:t>n</w:t>
            </w:r>
            <w:r w:rsidRPr="00F369B1">
              <w:rPr>
                <w:b/>
                <w:bCs/>
                <w:spacing w:val="-1"/>
                <w:sz w:val="24"/>
                <w:szCs w:val="24"/>
              </w:rPr>
              <w:t>ef</w:t>
            </w:r>
            <w:r w:rsidRPr="00F369B1">
              <w:rPr>
                <w:b/>
                <w:bCs/>
                <w:sz w:val="24"/>
                <w:szCs w:val="24"/>
              </w:rPr>
              <w:t>its)</w:t>
            </w:r>
          </w:p>
        </w:tc>
        <w:tc>
          <w:tcPr>
            <w:tcW w:w="900" w:type="dxa"/>
            <w:tcBorders>
              <w:top w:val="single" w:sz="4" w:space="0" w:color="000000"/>
              <w:left w:val="single" w:sz="4" w:space="0" w:color="000000"/>
              <w:bottom w:val="single" w:sz="4" w:space="0" w:color="000000"/>
              <w:right w:val="single" w:sz="4" w:space="0" w:color="000000"/>
            </w:tcBorders>
          </w:tcPr>
          <w:p w:rsidR="002A2C2C" w:rsidRPr="00F369B1" w:rsidP="00CD2225" w14:paraId="44725059" w14:textId="77777777">
            <w:pPr>
              <w:keepNext/>
              <w:ind w:right="-20"/>
              <w:jc w:val="center"/>
              <w:rPr>
                <w:b/>
                <w:bCs/>
                <w:sz w:val="24"/>
                <w:szCs w:val="24"/>
              </w:rPr>
            </w:pPr>
            <w:r w:rsidRPr="00F369B1">
              <w:rPr>
                <w:b/>
                <w:bCs/>
                <w:sz w:val="24"/>
                <w:szCs w:val="24"/>
              </w:rPr>
              <w:t>Burden Hours</w:t>
            </w:r>
          </w:p>
        </w:tc>
        <w:tc>
          <w:tcPr>
            <w:tcW w:w="1440" w:type="dxa"/>
            <w:tcBorders>
              <w:top w:val="single" w:sz="4" w:space="0" w:color="000000"/>
              <w:left w:val="single" w:sz="4" w:space="0" w:color="000000"/>
              <w:bottom w:val="single" w:sz="4" w:space="0" w:color="000000"/>
              <w:right w:val="single" w:sz="4" w:space="0" w:color="000000"/>
            </w:tcBorders>
          </w:tcPr>
          <w:p w:rsidR="002A2C2C" w:rsidRPr="00F369B1" w:rsidP="00CD2225" w14:paraId="70813F1F" w14:textId="77777777">
            <w:pPr>
              <w:keepNext/>
              <w:jc w:val="center"/>
              <w:rPr>
                <w:b/>
                <w:bCs/>
                <w:sz w:val="24"/>
                <w:szCs w:val="24"/>
              </w:rPr>
            </w:pPr>
            <w:r w:rsidRPr="00F369B1">
              <w:rPr>
                <w:b/>
                <w:bCs/>
                <w:sz w:val="24"/>
                <w:szCs w:val="24"/>
              </w:rPr>
              <w:t>Total Burden Costs (Per Respondent)</w:t>
            </w:r>
          </w:p>
        </w:tc>
        <w:tc>
          <w:tcPr>
            <w:tcW w:w="1530" w:type="dxa"/>
            <w:tcBorders>
              <w:top w:val="single" w:sz="4" w:space="0" w:color="000000"/>
              <w:left w:val="single" w:sz="4" w:space="0" w:color="000000"/>
              <w:bottom w:val="single" w:sz="4" w:space="0" w:color="000000"/>
              <w:right w:val="single" w:sz="4" w:space="0" w:color="000000"/>
            </w:tcBorders>
          </w:tcPr>
          <w:p w:rsidR="002A2C2C" w:rsidRPr="00F369B1" w:rsidP="00CD2225" w14:paraId="295F6B78" w14:textId="77777777">
            <w:pPr>
              <w:keepNext/>
              <w:jc w:val="center"/>
              <w:rPr>
                <w:b/>
                <w:bCs/>
                <w:sz w:val="24"/>
                <w:szCs w:val="24"/>
              </w:rPr>
            </w:pPr>
            <w:r w:rsidRPr="00F369B1">
              <w:rPr>
                <w:b/>
                <w:bCs/>
                <w:sz w:val="24"/>
                <w:szCs w:val="24"/>
              </w:rPr>
              <w:t>Total Burd</w:t>
            </w:r>
            <w:r w:rsidRPr="00F369B1">
              <w:rPr>
                <w:b/>
                <w:bCs/>
                <w:spacing w:val="-1"/>
                <w:sz w:val="24"/>
                <w:szCs w:val="24"/>
              </w:rPr>
              <w:t>e</w:t>
            </w:r>
            <w:r w:rsidRPr="00F369B1">
              <w:rPr>
                <w:b/>
                <w:bCs/>
                <w:sz w:val="24"/>
                <w:szCs w:val="24"/>
              </w:rPr>
              <w:t>n Costs (All Respondent</w:t>
            </w:r>
            <w:r w:rsidRPr="00F369B1">
              <w:rPr>
                <w:b/>
                <w:bCs/>
                <w:spacing w:val="-1"/>
                <w:sz w:val="24"/>
                <w:szCs w:val="24"/>
              </w:rPr>
              <w:t>s</w:t>
            </w:r>
            <w:r w:rsidRPr="00F369B1">
              <w:rPr>
                <w:b/>
                <w:bCs/>
                <w:sz w:val="24"/>
                <w:szCs w:val="24"/>
              </w:rPr>
              <w:t>)</w:t>
            </w:r>
          </w:p>
        </w:tc>
      </w:tr>
      <w:tr w14:paraId="14339B95" w14:textId="77777777" w:rsidTr="00A70D9C">
        <w:tblPrEx>
          <w:tblW w:w="9625" w:type="dxa"/>
          <w:tblLayout w:type="fixed"/>
          <w:tblCellMar>
            <w:left w:w="0" w:type="dxa"/>
            <w:right w:w="0" w:type="dxa"/>
          </w:tblCellMar>
          <w:tblLook w:val="01E0"/>
        </w:tblPrEx>
        <w:trPr>
          <w:trHeight w:hRule="exact" w:val="399"/>
        </w:trPr>
        <w:tc>
          <w:tcPr>
            <w:tcW w:w="2695" w:type="dxa"/>
            <w:tcBorders>
              <w:top w:val="single" w:sz="4" w:space="0" w:color="000000"/>
              <w:left w:val="single" w:sz="4" w:space="0" w:color="000000"/>
              <w:bottom w:val="single" w:sz="4" w:space="0" w:color="000000"/>
              <w:right w:val="single" w:sz="4" w:space="0" w:color="000000"/>
            </w:tcBorders>
          </w:tcPr>
          <w:p w:rsidR="002A2C2C" w:rsidRPr="00F369B1" w:rsidP="00E419DB" w14:paraId="48ED799F" w14:textId="77777777">
            <w:pPr>
              <w:ind w:left="85" w:right="-20"/>
              <w:rPr>
                <w:sz w:val="24"/>
                <w:szCs w:val="24"/>
              </w:rPr>
            </w:pPr>
            <w:r w:rsidRPr="00F369B1">
              <w:rPr>
                <w:sz w:val="24"/>
                <w:szCs w:val="24"/>
              </w:rPr>
              <w:t>Computer System Analyst</w:t>
            </w:r>
          </w:p>
        </w:tc>
        <w:tc>
          <w:tcPr>
            <w:tcW w:w="1440" w:type="dxa"/>
            <w:tcBorders>
              <w:top w:val="single" w:sz="4" w:space="0" w:color="000000"/>
              <w:left w:val="single" w:sz="4" w:space="0" w:color="000000"/>
              <w:bottom w:val="single" w:sz="4" w:space="0" w:color="000000"/>
              <w:right w:val="single" w:sz="4" w:space="0" w:color="000000"/>
            </w:tcBorders>
          </w:tcPr>
          <w:p w:rsidR="002A2C2C" w:rsidRPr="00F369B1" w:rsidP="00A70D9C" w14:paraId="595F9F74" w14:textId="65BC2001">
            <w:pPr>
              <w:jc w:val="center"/>
              <w:rPr>
                <w:sz w:val="24"/>
                <w:szCs w:val="24"/>
              </w:rPr>
            </w:pPr>
            <w:r w:rsidRPr="00F369B1">
              <w:rPr>
                <w:sz w:val="24"/>
                <w:szCs w:val="24"/>
              </w:rPr>
              <w:t>17</w:t>
            </w:r>
            <w:r w:rsidRPr="00F369B1" w:rsidR="000B11D2">
              <w:rPr>
                <w:sz w:val="24"/>
                <w:szCs w:val="24"/>
              </w:rPr>
              <w:t>4</w:t>
            </w:r>
          </w:p>
        </w:tc>
        <w:tc>
          <w:tcPr>
            <w:tcW w:w="1620" w:type="dxa"/>
            <w:tcBorders>
              <w:top w:val="single" w:sz="4" w:space="0" w:color="000000"/>
              <w:left w:val="single" w:sz="4" w:space="0" w:color="000000"/>
              <w:bottom w:val="single" w:sz="4" w:space="0" w:color="000000"/>
              <w:right w:val="single" w:sz="4" w:space="0" w:color="000000"/>
            </w:tcBorders>
          </w:tcPr>
          <w:p w:rsidR="002A2C2C" w:rsidRPr="00F369B1" w:rsidP="00A70D9C" w14:paraId="4475050D" w14:textId="6047B7DC">
            <w:pPr>
              <w:jc w:val="center"/>
              <w:rPr>
                <w:sz w:val="24"/>
                <w:szCs w:val="24"/>
              </w:rPr>
            </w:pPr>
            <w:r w:rsidRPr="00F369B1">
              <w:rPr>
                <w:sz w:val="24"/>
                <w:szCs w:val="24"/>
              </w:rPr>
              <w:t>$</w:t>
            </w:r>
            <w:r w:rsidRPr="00F369B1" w:rsidR="00F45297">
              <w:rPr>
                <w:sz w:val="24"/>
                <w:szCs w:val="24"/>
              </w:rPr>
              <w:t>99.80</w:t>
            </w:r>
          </w:p>
        </w:tc>
        <w:tc>
          <w:tcPr>
            <w:tcW w:w="900" w:type="dxa"/>
            <w:tcBorders>
              <w:top w:val="single" w:sz="4" w:space="0" w:color="000000"/>
              <w:left w:val="single" w:sz="4" w:space="0" w:color="000000"/>
              <w:bottom w:val="single" w:sz="4" w:space="0" w:color="000000"/>
              <w:right w:val="single" w:sz="4" w:space="0" w:color="000000"/>
            </w:tcBorders>
          </w:tcPr>
          <w:p w:rsidR="002A2C2C" w:rsidRPr="00F369B1" w:rsidP="00A70D9C" w14:paraId="584F8A61" w14:textId="77777777">
            <w:pPr>
              <w:ind w:right="10"/>
              <w:jc w:val="center"/>
              <w:rPr>
                <w:sz w:val="24"/>
                <w:szCs w:val="24"/>
              </w:rPr>
            </w:pPr>
            <w:r w:rsidRPr="00F369B1">
              <w:rPr>
                <w:sz w:val="24"/>
                <w:szCs w:val="24"/>
              </w:rPr>
              <w:t>5</w:t>
            </w:r>
          </w:p>
        </w:tc>
        <w:tc>
          <w:tcPr>
            <w:tcW w:w="1440" w:type="dxa"/>
            <w:tcBorders>
              <w:top w:val="single" w:sz="4" w:space="0" w:color="000000"/>
              <w:left w:val="single" w:sz="4" w:space="0" w:color="000000"/>
              <w:bottom w:val="single" w:sz="4" w:space="0" w:color="000000"/>
              <w:right w:val="single" w:sz="4" w:space="0" w:color="000000"/>
            </w:tcBorders>
          </w:tcPr>
          <w:p w:rsidR="002A2C2C" w:rsidRPr="00F369B1" w:rsidP="00A70D9C" w14:paraId="7E7C9017" w14:textId="78F54F3A">
            <w:pPr>
              <w:ind w:right="-20"/>
              <w:jc w:val="center"/>
              <w:rPr>
                <w:sz w:val="24"/>
                <w:szCs w:val="24"/>
              </w:rPr>
            </w:pPr>
            <w:r w:rsidRPr="00F369B1">
              <w:rPr>
                <w:sz w:val="24"/>
                <w:szCs w:val="24"/>
              </w:rPr>
              <w:t>$</w:t>
            </w:r>
            <w:r w:rsidRPr="00F369B1" w:rsidR="00F45297">
              <w:rPr>
                <w:sz w:val="24"/>
                <w:szCs w:val="24"/>
              </w:rPr>
              <w:t>499.00</w:t>
            </w:r>
          </w:p>
        </w:tc>
        <w:tc>
          <w:tcPr>
            <w:tcW w:w="1530" w:type="dxa"/>
            <w:tcBorders>
              <w:top w:val="single" w:sz="4" w:space="0" w:color="000000"/>
              <w:left w:val="single" w:sz="4" w:space="0" w:color="000000"/>
              <w:bottom w:val="single" w:sz="4" w:space="0" w:color="000000"/>
              <w:right w:val="single" w:sz="4" w:space="0" w:color="000000"/>
            </w:tcBorders>
          </w:tcPr>
          <w:p w:rsidR="002A2C2C" w:rsidRPr="00F369B1" w:rsidP="00A70D9C" w14:paraId="0BB0AEEE" w14:textId="2C04BF49">
            <w:pPr>
              <w:jc w:val="center"/>
              <w:rPr>
                <w:sz w:val="24"/>
                <w:szCs w:val="24"/>
              </w:rPr>
            </w:pPr>
            <w:r w:rsidRPr="00F369B1">
              <w:rPr>
                <w:sz w:val="24"/>
                <w:szCs w:val="24"/>
              </w:rPr>
              <w:t>$</w:t>
            </w:r>
            <w:r w:rsidRPr="00F369B1" w:rsidR="00F45297">
              <w:rPr>
                <w:sz w:val="24"/>
                <w:szCs w:val="24"/>
              </w:rPr>
              <w:t>86,826.00</w:t>
            </w:r>
          </w:p>
        </w:tc>
      </w:tr>
      <w:tr w14:paraId="3D114640" w14:textId="77777777" w:rsidTr="00A70D9C">
        <w:tblPrEx>
          <w:tblW w:w="9625" w:type="dxa"/>
          <w:tblLayout w:type="fixed"/>
          <w:tblCellMar>
            <w:left w:w="0" w:type="dxa"/>
            <w:right w:w="0" w:type="dxa"/>
          </w:tblCellMar>
          <w:tblLook w:val="01E0"/>
        </w:tblPrEx>
        <w:trPr>
          <w:trHeight w:hRule="exact" w:val="363"/>
        </w:trPr>
        <w:tc>
          <w:tcPr>
            <w:tcW w:w="2695" w:type="dxa"/>
            <w:tcBorders>
              <w:top w:val="single" w:sz="4" w:space="0" w:color="000000"/>
              <w:left w:val="single" w:sz="4" w:space="0" w:color="000000"/>
              <w:bottom w:val="single" w:sz="4" w:space="0" w:color="000000"/>
              <w:right w:val="single" w:sz="4" w:space="0" w:color="000000"/>
            </w:tcBorders>
          </w:tcPr>
          <w:p w:rsidR="002A2C2C" w:rsidRPr="00F369B1" w:rsidP="00E419DB" w14:paraId="1AE462AC" w14:textId="77777777">
            <w:pPr>
              <w:ind w:left="85" w:right="-20"/>
              <w:rPr>
                <w:sz w:val="24"/>
                <w:szCs w:val="24"/>
              </w:rPr>
            </w:pPr>
            <w:r w:rsidRPr="00F369B1">
              <w:rPr>
                <w:sz w:val="24"/>
                <w:szCs w:val="24"/>
              </w:rPr>
              <w:t>Financial Analyst</w:t>
            </w:r>
          </w:p>
        </w:tc>
        <w:tc>
          <w:tcPr>
            <w:tcW w:w="1440" w:type="dxa"/>
            <w:tcBorders>
              <w:top w:val="single" w:sz="4" w:space="0" w:color="000000"/>
              <w:left w:val="single" w:sz="4" w:space="0" w:color="000000"/>
              <w:bottom w:val="single" w:sz="4" w:space="0" w:color="000000"/>
              <w:right w:val="single" w:sz="4" w:space="0" w:color="000000"/>
            </w:tcBorders>
          </w:tcPr>
          <w:p w:rsidR="002A2C2C" w:rsidRPr="00F369B1" w:rsidP="00A70D9C" w14:paraId="46AA1529" w14:textId="45816BB7">
            <w:pPr>
              <w:jc w:val="center"/>
              <w:rPr>
                <w:sz w:val="24"/>
                <w:szCs w:val="24"/>
              </w:rPr>
            </w:pPr>
            <w:r w:rsidRPr="00F369B1">
              <w:rPr>
                <w:sz w:val="24"/>
                <w:szCs w:val="24"/>
              </w:rPr>
              <w:t>17</w:t>
            </w:r>
            <w:r w:rsidRPr="00F369B1" w:rsidR="000B11D2">
              <w:rPr>
                <w:sz w:val="24"/>
                <w:szCs w:val="24"/>
              </w:rPr>
              <w:t>4</w:t>
            </w:r>
          </w:p>
        </w:tc>
        <w:tc>
          <w:tcPr>
            <w:tcW w:w="1620" w:type="dxa"/>
            <w:tcBorders>
              <w:top w:val="single" w:sz="4" w:space="0" w:color="000000"/>
              <w:left w:val="single" w:sz="4" w:space="0" w:color="000000"/>
              <w:bottom w:val="single" w:sz="4" w:space="0" w:color="000000"/>
              <w:right w:val="single" w:sz="4" w:space="0" w:color="000000"/>
            </w:tcBorders>
          </w:tcPr>
          <w:p w:rsidR="002A2C2C" w:rsidRPr="00F369B1" w:rsidP="00A70D9C" w14:paraId="05FA93F9" w14:textId="0B7856C7">
            <w:pPr>
              <w:jc w:val="center"/>
              <w:rPr>
                <w:sz w:val="24"/>
                <w:szCs w:val="24"/>
              </w:rPr>
            </w:pPr>
            <w:r w:rsidRPr="00F369B1">
              <w:rPr>
                <w:sz w:val="24"/>
                <w:szCs w:val="24"/>
              </w:rPr>
              <w:t>$</w:t>
            </w:r>
            <w:r w:rsidRPr="00F369B1" w:rsidR="00F45297">
              <w:rPr>
                <w:sz w:val="24"/>
                <w:szCs w:val="24"/>
              </w:rPr>
              <w:t>95.20</w:t>
            </w:r>
          </w:p>
        </w:tc>
        <w:tc>
          <w:tcPr>
            <w:tcW w:w="900" w:type="dxa"/>
            <w:tcBorders>
              <w:top w:val="single" w:sz="4" w:space="0" w:color="000000"/>
              <w:left w:val="single" w:sz="4" w:space="0" w:color="000000"/>
              <w:bottom w:val="single" w:sz="4" w:space="0" w:color="000000"/>
              <w:right w:val="single" w:sz="4" w:space="0" w:color="000000"/>
            </w:tcBorders>
          </w:tcPr>
          <w:p w:rsidR="002A2C2C" w:rsidRPr="00F369B1" w:rsidP="00A70D9C" w14:paraId="790B7545" w14:textId="77777777">
            <w:pPr>
              <w:jc w:val="center"/>
              <w:rPr>
                <w:sz w:val="24"/>
                <w:szCs w:val="24"/>
              </w:rPr>
            </w:pPr>
            <w:r w:rsidRPr="00F369B1">
              <w:rPr>
                <w:sz w:val="24"/>
                <w:szCs w:val="24"/>
              </w:rPr>
              <w:t>4</w:t>
            </w:r>
          </w:p>
        </w:tc>
        <w:tc>
          <w:tcPr>
            <w:tcW w:w="1440" w:type="dxa"/>
            <w:tcBorders>
              <w:top w:val="single" w:sz="4" w:space="0" w:color="000000"/>
              <w:left w:val="single" w:sz="4" w:space="0" w:color="000000"/>
              <w:bottom w:val="single" w:sz="4" w:space="0" w:color="000000"/>
              <w:right w:val="single" w:sz="4" w:space="0" w:color="000000"/>
            </w:tcBorders>
          </w:tcPr>
          <w:p w:rsidR="002A2C2C" w:rsidRPr="00F369B1" w:rsidP="00A70D9C" w14:paraId="479ED2A6" w14:textId="0BD4318B">
            <w:pPr>
              <w:ind w:right="-20"/>
              <w:jc w:val="center"/>
              <w:rPr>
                <w:sz w:val="24"/>
                <w:szCs w:val="24"/>
              </w:rPr>
            </w:pPr>
            <w:r w:rsidRPr="00F369B1">
              <w:rPr>
                <w:sz w:val="24"/>
                <w:szCs w:val="24"/>
              </w:rPr>
              <w:t>$</w:t>
            </w:r>
            <w:r w:rsidRPr="00F369B1" w:rsidR="00F45297">
              <w:rPr>
                <w:sz w:val="24"/>
                <w:szCs w:val="24"/>
              </w:rPr>
              <w:t>380.80</w:t>
            </w:r>
          </w:p>
        </w:tc>
        <w:tc>
          <w:tcPr>
            <w:tcW w:w="1530" w:type="dxa"/>
            <w:tcBorders>
              <w:top w:val="single" w:sz="4" w:space="0" w:color="000000"/>
              <w:left w:val="single" w:sz="4" w:space="0" w:color="000000"/>
              <w:bottom w:val="single" w:sz="4" w:space="0" w:color="000000"/>
              <w:right w:val="single" w:sz="4" w:space="0" w:color="000000"/>
            </w:tcBorders>
          </w:tcPr>
          <w:p w:rsidR="002A2C2C" w:rsidRPr="00F369B1" w:rsidP="00A70D9C" w14:paraId="33040A70" w14:textId="34D73072">
            <w:pPr>
              <w:jc w:val="center"/>
              <w:rPr>
                <w:sz w:val="24"/>
                <w:szCs w:val="24"/>
              </w:rPr>
            </w:pPr>
            <w:r w:rsidRPr="00F369B1">
              <w:rPr>
                <w:sz w:val="24"/>
                <w:szCs w:val="24"/>
              </w:rPr>
              <w:t>$</w:t>
            </w:r>
            <w:r w:rsidRPr="00F369B1" w:rsidR="00F45297">
              <w:rPr>
                <w:sz w:val="24"/>
                <w:szCs w:val="24"/>
              </w:rPr>
              <w:t>66,259.20</w:t>
            </w:r>
          </w:p>
        </w:tc>
      </w:tr>
      <w:tr w14:paraId="516915CA" w14:textId="77777777" w:rsidTr="00A70D9C">
        <w:tblPrEx>
          <w:tblW w:w="9625" w:type="dxa"/>
          <w:tblLayout w:type="fixed"/>
          <w:tblCellMar>
            <w:left w:w="0" w:type="dxa"/>
            <w:right w:w="0" w:type="dxa"/>
          </w:tblCellMar>
          <w:tblLook w:val="01E0"/>
        </w:tblPrEx>
        <w:trPr>
          <w:trHeight w:hRule="exact" w:val="363"/>
        </w:trPr>
        <w:tc>
          <w:tcPr>
            <w:tcW w:w="2695" w:type="dxa"/>
            <w:tcBorders>
              <w:top w:val="single" w:sz="4" w:space="0" w:color="000000"/>
              <w:left w:val="single" w:sz="4" w:space="0" w:color="000000"/>
              <w:bottom w:val="single" w:sz="4" w:space="0" w:color="000000"/>
              <w:right w:val="single" w:sz="4" w:space="0" w:color="000000"/>
            </w:tcBorders>
          </w:tcPr>
          <w:p w:rsidR="002A2C2C" w:rsidRPr="00F369B1" w:rsidP="00E419DB" w14:paraId="5AC0DDBD" w14:textId="318A18A5">
            <w:pPr>
              <w:ind w:left="85" w:right="-20"/>
              <w:rPr>
                <w:sz w:val="24"/>
                <w:szCs w:val="24"/>
              </w:rPr>
            </w:pPr>
            <w:r w:rsidRPr="00F369B1">
              <w:rPr>
                <w:sz w:val="24"/>
                <w:szCs w:val="24"/>
              </w:rPr>
              <w:t>Actuaries</w:t>
            </w:r>
          </w:p>
        </w:tc>
        <w:tc>
          <w:tcPr>
            <w:tcW w:w="1440" w:type="dxa"/>
            <w:tcBorders>
              <w:top w:val="single" w:sz="4" w:space="0" w:color="000000"/>
              <w:left w:val="single" w:sz="4" w:space="0" w:color="000000"/>
              <w:bottom w:val="single" w:sz="4" w:space="0" w:color="000000"/>
              <w:right w:val="single" w:sz="4" w:space="0" w:color="000000"/>
            </w:tcBorders>
          </w:tcPr>
          <w:p w:rsidR="002A2C2C" w:rsidRPr="00F369B1" w:rsidP="00A70D9C" w14:paraId="3407895B" w14:textId="19E042F1">
            <w:pPr>
              <w:jc w:val="center"/>
              <w:rPr>
                <w:sz w:val="24"/>
                <w:szCs w:val="24"/>
              </w:rPr>
            </w:pPr>
            <w:r w:rsidRPr="00F369B1">
              <w:rPr>
                <w:sz w:val="24"/>
                <w:szCs w:val="24"/>
              </w:rPr>
              <w:t>17</w:t>
            </w:r>
            <w:r w:rsidRPr="00F369B1" w:rsidR="000B11D2">
              <w:rPr>
                <w:sz w:val="24"/>
                <w:szCs w:val="24"/>
              </w:rPr>
              <w:t>4</w:t>
            </w:r>
          </w:p>
        </w:tc>
        <w:tc>
          <w:tcPr>
            <w:tcW w:w="1620" w:type="dxa"/>
            <w:tcBorders>
              <w:top w:val="single" w:sz="4" w:space="0" w:color="000000"/>
              <w:left w:val="single" w:sz="4" w:space="0" w:color="000000"/>
              <w:bottom w:val="single" w:sz="4" w:space="0" w:color="000000"/>
              <w:right w:val="single" w:sz="4" w:space="0" w:color="000000"/>
            </w:tcBorders>
          </w:tcPr>
          <w:p w:rsidR="002A2C2C" w:rsidRPr="00F369B1" w:rsidP="00A70D9C" w14:paraId="202D3EE7" w14:textId="1C97DC8F">
            <w:pPr>
              <w:jc w:val="center"/>
              <w:rPr>
                <w:sz w:val="24"/>
                <w:szCs w:val="24"/>
              </w:rPr>
            </w:pPr>
            <w:r w:rsidRPr="00F369B1">
              <w:rPr>
                <w:sz w:val="24"/>
                <w:szCs w:val="24"/>
              </w:rPr>
              <w:t>$</w:t>
            </w:r>
            <w:r w:rsidRPr="00F369B1" w:rsidR="00F45297">
              <w:rPr>
                <w:sz w:val="24"/>
                <w:szCs w:val="24"/>
              </w:rPr>
              <w:t>115.38</w:t>
            </w:r>
          </w:p>
        </w:tc>
        <w:tc>
          <w:tcPr>
            <w:tcW w:w="900" w:type="dxa"/>
            <w:tcBorders>
              <w:top w:val="single" w:sz="4" w:space="0" w:color="000000"/>
              <w:left w:val="single" w:sz="4" w:space="0" w:color="000000"/>
              <w:bottom w:val="single" w:sz="4" w:space="0" w:color="000000"/>
              <w:right w:val="single" w:sz="4" w:space="0" w:color="000000"/>
            </w:tcBorders>
          </w:tcPr>
          <w:p w:rsidR="002A2C2C" w:rsidRPr="00F369B1" w:rsidP="00A70D9C" w14:paraId="02D2EB67" w14:textId="77777777">
            <w:pPr>
              <w:ind w:right="10"/>
              <w:jc w:val="center"/>
              <w:rPr>
                <w:sz w:val="24"/>
                <w:szCs w:val="24"/>
              </w:rPr>
            </w:pPr>
            <w:r w:rsidRPr="00F369B1">
              <w:rPr>
                <w:sz w:val="24"/>
                <w:szCs w:val="24"/>
              </w:rPr>
              <w:t>2</w:t>
            </w:r>
          </w:p>
        </w:tc>
        <w:tc>
          <w:tcPr>
            <w:tcW w:w="1440" w:type="dxa"/>
            <w:tcBorders>
              <w:top w:val="single" w:sz="4" w:space="0" w:color="000000"/>
              <w:left w:val="single" w:sz="4" w:space="0" w:color="000000"/>
              <w:bottom w:val="single" w:sz="4" w:space="0" w:color="000000"/>
              <w:right w:val="single" w:sz="4" w:space="0" w:color="000000"/>
            </w:tcBorders>
          </w:tcPr>
          <w:p w:rsidR="002A2C2C" w:rsidRPr="00F369B1" w:rsidP="00A70D9C" w14:paraId="709D8CD5" w14:textId="466BF15D">
            <w:pPr>
              <w:ind w:right="-20"/>
              <w:jc w:val="center"/>
              <w:rPr>
                <w:sz w:val="24"/>
                <w:szCs w:val="24"/>
              </w:rPr>
            </w:pPr>
            <w:r w:rsidRPr="00F369B1">
              <w:rPr>
                <w:sz w:val="24"/>
                <w:szCs w:val="24"/>
              </w:rPr>
              <w:t>$</w:t>
            </w:r>
            <w:r w:rsidRPr="00F369B1" w:rsidR="007F72DB">
              <w:rPr>
                <w:sz w:val="24"/>
                <w:szCs w:val="24"/>
              </w:rPr>
              <w:t>230.76</w:t>
            </w:r>
          </w:p>
        </w:tc>
        <w:tc>
          <w:tcPr>
            <w:tcW w:w="1530" w:type="dxa"/>
            <w:tcBorders>
              <w:top w:val="single" w:sz="4" w:space="0" w:color="000000"/>
              <w:left w:val="single" w:sz="4" w:space="0" w:color="000000"/>
              <w:bottom w:val="single" w:sz="4" w:space="0" w:color="000000"/>
              <w:right w:val="single" w:sz="4" w:space="0" w:color="000000"/>
            </w:tcBorders>
          </w:tcPr>
          <w:p w:rsidR="002A2C2C" w:rsidRPr="00F369B1" w:rsidP="00A70D9C" w14:paraId="6730ACFB" w14:textId="126CE88F">
            <w:pPr>
              <w:jc w:val="center"/>
              <w:rPr>
                <w:sz w:val="24"/>
                <w:szCs w:val="24"/>
              </w:rPr>
            </w:pPr>
            <w:r w:rsidRPr="00F369B1">
              <w:rPr>
                <w:sz w:val="24"/>
                <w:szCs w:val="24"/>
              </w:rPr>
              <w:t>$</w:t>
            </w:r>
            <w:r w:rsidRPr="00F369B1" w:rsidR="007F72DB">
              <w:rPr>
                <w:sz w:val="24"/>
                <w:szCs w:val="24"/>
              </w:rPr>
              <w:t>40,152.24</w:t>
            </w:r>
          </w:p>
        </w:tc>
      </w:tr>
      <w:tr w14:paraId="5E3ACD1B" w14:textId="77777777" w:rsidTr="00A70D9C">
        <w:tblPrEx>
          <w:tblW w:w="9625" w:type="dxa"/>
          <w:tblLayout w:type="fixed"/>
          <w:tblCellMar>
            <w:left w:w="0" w:type="dxa"/>
            <w:right w:w="0" w:type="dxa"/>
          </w:tblCellMar>
          <w:tblLook w:val="01E0"/>
        </w:tblPrEx>
        <w:trPr>
          <w:trHeight w:hRule="exact" w:val="363"/>
        </w:trPr>
        <w:tc>
          <w:tcPr>
            <w:tcW w:w="2695" w:type="dxa"/>
            <w:tcBorders>
              <w:top w:val="single" w:sz="4" w:space="0" w:color="000000"/>
              <w:left w:val="single" w:sz="4" w:space="0" w:color="000000"/>
              <w:bottom w:val="single" w:sz="4" w:space="0" w:color="000000"/>
              <w:right w:val="single" w:sz="4" w:space="0" w:color="000000"/>
            </w:tcBorders>
          </w:tcPr>
          <w:p w:rsidR="002A2C2C" w:rsidRPr="00F369B1" w:rsidP="00E419DB" w14:paraId="4775C2D8" w14:textId="636DFE94">
            <w:pPr>
              <w:ind w:left="85" w:right="-20"/>
              <w:rPr>
                <w:sz w:val="24"/>
                <w:szCs w:val="24"/>
              </w:rPr>
            </w:pPr>
            <w:r w:rsidRPr="00F369B1">
              <w:rPr>
                <w:sz w:val="24"/>
                <w:szCs w:val="24"/>
              </w:rPr>
              <w:t>Lawyer</w:t>
            </w:r>
            <w:r w:rsidRPr="00F369B1" w:rsidR="00626E52">
              <w:rPr>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2A2C2C" w:rsidRPr="00F369B1" w:rsidP="00A70D9C" w14:paraId="0BC0B7DB" w14:textId="0DCC5F71">
            <w:pPr>
              <w:jc w:val="center"/>
              <w:rPr>
                <w:sz w:val="24"/>
                <w:szCs w:val="24"/>
              </w:rPr>
            </w:pPr>
            <w:r w:rsidRPr="00F369B1">
              <w:rPr>
                <w:sz w:val="24"/>
                <w:szCs w:val="24"/>
              </w:rPr>
              <w:t>17</w:t>
            </w:r>
            <w:r w:rsidRPr="00F369B1" w:rsidR="000B11D2">
              <w:rPr>
                <w:sz w:val="24"/>
                <w:szCs w:val="24"/>
              </w:rPr>
              <w:t>4</w:t>
            </w:r>
          </w:p>
        </w:tc>
        <w:tc>
          <w:tcPr>
            <w:tcW w:w="1620" w:type="dxa"/>
            <w:tcBorders>
              <w:top w:val="single" w:sz="4" w:space="0" w:color="000000"/>
              <w:left w:val="single" w:sz="4" w:space="0" w:color="000000"/>
              <w:bottom w:val="single" w:sz="4" w:space="0" w:color="000000"/>
              <w:right w:val="single" w:sz="4" w:space="0" w:color="000000"/>
            </w:tcBorders>
          </w:tcPr>
          <w:p w:rsidR="002A2C2C" w:rsidRPr="00F369B1" w:rsidP="00A70D9C" w14:paraId="7B5A08CC" w14:textId="6305C543">
            <w:pPr>
              <w:jc w:val="center"/>
              <w:rPr>
                <w:sz w:val="24"/>
                <w:szCs w:val="24"/>
              </w:rPr>
            </w:pPr>
            <w:r w:rsidRPr="00F369B1">
              <w:rPr>
                <w:sz w:val="24"/>
                <w:szCs w:val="24"/>
              </w:rPr>
              <w:t>$</w:t>
            </w:r>
            <w:r w:rsidRPr="00F369B1" w:rsidR="00F45297">
              <w:rPr>
                <w:sz w:val="24"/>
                <w:szCs w:val="24"/>
              </w:rPr>
              <w:t>140.16</w:t>
            </w:r>
          </w:p>
        </w:tc>
        <w:tc>
          <w:tcPr>
            <w:tcW w:w="900" w:type="dxa"/>
            <w:tcBorders>
              <w:top w:val="single" w:sz="4" w:space="0" w:color="000000"/>
              <w:left w:val="single" w:sz="4" w:space="0" w:color="000000"/>
              <w:bottom w:val="single" w:sz="4" w:space="0" w:color="000000"/>
              <w:right w:val="single" w:sz="4" w:space="0" w:color="000000"/>
            </w:tcBorders>
          </w:tcPr>
          <w:p w:rsidR="002A2C2C" w:rsidRPr="00F369B1" w:rsidP="00A70D9C" w14:paraId="48107BCF" w14:textId="77777777">
            <w:pPr>
              <w:ind w:right="10"/>
              <w:jc w:val="center"/>
              <w:rPr>
                <w:sz w:val="24"/>
                <w:szCs w:val="24"/>
              </w:rPr>
            </w:pPr>
            <w:r w:rsidRPr="00F369B1">
              <w:rPr>
                <w:sz w:val="24"/>
                <w:szCs w:val="24"/>
              </w:rPr>
              <w:t>0.5</w:t>
            </w:r>
          </w:p>
        </w:tc>
        <w:tc>
          <w:tcPr>
            <w:tcW w:w="1440" w:type="dxa"/>
            <w:tcBorders>
              <w:top w:val="single" w:sz="4" w:space="0" w:color="000000"/>
              <w:left w:val="single" w:sz="4" w:space="0" w:color="000000"/>
              <w:bottom w:val="single" w:sz="4" w:space="0" w:color="000000"/>
              <w:right w:val="single" w:sz="4" w:space="0" w:color="000000"/>
            </w:tcBorders>
          </w:tcPr>
          <w:p w:rsidR="002A2C2C" w:rsidRPr="00F369B1" w:rsidP="00A70D9C" w14:paraId="3B6A9E39" w14:textId="5FDEEE7B">
            <w:pPr>
              <w:ind w:right="-20"/>
              <w:jc w:val="center"/>
              <w:rPr>
                <w:sz w:val="24"/>
                <w:szCs w:val="24"/>
              </w:rPr>
            </w:pPr>
            <w:r w:rsidRPr="00F369B1">
              <w:rPr>
                <w:sz w:val="24"/>
                <w:szCs w:val="24"/>
              </w:rPr>
              <w:t>$</w:t>
            </w:r>
            <w:r w:rsidRPr="00F369B1" w:rsidR="007F72DB">
              <w:rPr>
                <w:sz w:val="24"/>
                <w:szCs w:val="24"/>
              </w:rPr>
              <w:t>70.08</w:t>
            </w:r>
          </w:p>
        </w:tc>
        <w:tc>
          <w:tcPr>
            <w:tcW w:w="1530" w:type="dxa"/>
            <w:tcBorders>
              <w:top w:val="single" w:sz="4" w:space="0" w:color="000000"/>
              <w:left w:val="single" w:sz="4" w:space="0" w:color="000000"/>
              <w:bottom w:val="single" w:sz="4" w:space="0" w:color="000000"/>
              <w:right w:val="single" w:sz="4" w:space="0" w:color="000000"/>
            </w:tcBorders>
          </w:tcPr>
          <w:p w:rsidR="002A2C2C" w:rsidRPr="00F369B1" w:rsidP="00A70D9C" w14:paraId="0444CB60" w14:textId="1683ED66">
            <w:pPr>
              <w:jc w:val="center"/>
              <w:rPr>
                <w:sz w:val="24"/>
                <w:szCs w:val="24"/>
              </w:rPr>
            </w:pPr>
            <w:r w:rsidRPr="00F369B1">
              <w:rPr>
                <w:sz w:val="24"/>
                <w:szCs w:val="24"/>
              </w:rPr>
              <w:t>$</w:t>
            </w:r>
            <w:r w:rsidRPr="00F369B1" w:rsidR="007F72DB">
              <w:rPr>
                <w:sz w:val="24"/>
                <w:szCs w:val="24"/>
              </w:rPr>
              <w:t>12,193.92</w:t>
            </w:r>
          </w:p>
        </w:tc>
      </w:tr>
      <w:tr w14:paraId="12DE2640" w14:textId="77777777" w:rsidTr="00A70D9C">
        <w:tblPrEx>
          <w:tblW w:w="9625" w:type="dxa"/>
          <w:tblLayout w:type="fixed"/>
          <w:tblCellMar>
            <w:left w:w="0" w:type="dxa"/>
            <w:right w:w="0" w:type="dxa"/>
          </w:tblCellMar>
          <w:tblLook w:val="01E0"/>
        </w:tblPrEx>
        <w:trPr>
          <w:trHeight w:hRule="exact" w:val="624"/>
        </w:trPr>
        <w:tc>
          <w:tcPr>
            <w:tcW w:w="2695" w:type="dxa"/>
            <w:tcBorders>
              <w:top w:val="single" w:sz="4" w:space="0" w:color="000000"/>
              <w:left w:val="single" w:sz="4" w:space="0" w:color="000000"/>
              <w:bottom w:val="single" w:sz="4" w:space="0" w:color="000000"/>
              <w:right w:val="single" w:sz="4" w:space="0" w:color="000000"/>
            </w:tcBorders>
          </w:tcPr>
          <w:p w:rsidR="002A2C2C" w:rsidRPr="00F369B1" w:rsidP="00E419DB" w14:paraId="10DB7D99" w14:textId="77777777">
            <w:pPr>
              <w:ind w:left="85" w:right="-20"/>
              <w:rPr>
                <w:sz w:val="24"/>
                <w:szCs w:val="24"/>
              </w:rPr>
            </w:pPr>
            <w:r w:rsidRPr="00F369B1">
              <w:rPr>
                <w:sz w:val="24"/>
                <w:szCs w:val="24"/>
              </w:rPr>
              <w:t>General and Operations Manager</w:t>
            </w:r>
          </w:p>
        </w:tc>
        <w:tc>
          <w:tcPr>
            <w:tcW w:w="1440" w:type="dxa"/>
            <w:tcBorders>
              <w:top w:val="single" w:sz="4" w:space="0" w:color="000000"/>
              <w:left w:val="single" w:sz="4" w:space="0" w:color="000000"/>
              <w:bottom w:val="single" w:sz="4" w:space="0" w:color="000000"/>
              <w:right w:val="single" w:sz="4" w:space="0" w:color="000000"/>
            </w:tcBorders>
          </w:tcPr>
          <w:p w:rsidR="002A2C2C" w:rsidRPr="00F369B1" w:rsidP="00A70D9C" w14:paraId="4F6E0290" w14:textId="037F67F7">
            <w:pPr>
              <w:jc w:val="center"/>
              <w:rPr>
                <w:sz w:val="24"/>
                <w:szCs w:val="24"/>
              </w:rPr>
            </w:pPr>
            <w:r w:rsidRPr="00F369B1">
              <w:rPr>
                <w:sz w:val="24"/>
                <w:szCs w:val="24"/>
              </w:rPr>
              <w:t>17</w:t>
            </w:r>
            <w:r w:rsidRPr="00F369B1" w:rsidR="000B11D2">
              <w:rPr>
                <w:sz w:val="24"/>
                <w:szCs w:val="24"/>
              </w:rPr>
              <w:t>4</w:t>
            </w:r>
          </w:p>
        </w:tc>
        <w:tc>
          <w:tcPr>
            <w:tcW w:w="1620" w:type="dxa"/>
            <w:tcBorders>
              <w:top w:val="single" w:sz="4" w:space="0" w:color="000000"/>
              <w:left w:val="single" w:sz="4" w:space="0" w:color="000000"/>
              <w:bottom w:val="single" w:sz="4" w:space="0" w:color="000000"/>
              <w:right w:val="single" w:sz="4" w:space="0" w:color="000000"/>
            </w:tcBorders>
          </w:tcPr>
          <w:p w:rsidR="002A2C2C" w:rsidRPr="00F369B1" w:rsidP="00A70D9C" w14:paraId="4A65400E" w14:textId="277BC6FB">
            <w:pPr>
              <w:jc w:val="center"/>
              <w:rPr>
                <w:sz w:val="24"/>
                <w:szCs w:val="24"/>
              </w:rPr>
            </w:pPr>
            <w:r w:rsidRPr="00F369B1">
              <w:rPr>
                <w:sz w:val="24"/>
                <w:szCs w:val="24"/>
              </w:rPr>
              <w:t>$</w:t>
            </w:r>
            <w:r w:rsidRPr="00F369B1" w:rsidR="00F45297">
              <w:rPr>
                <w:sz w:val="24"/>
                <w:szCs w:val="24"/>
              </w:rPr>
              <w:t>97.38</w:t>
            </w:r>
          </w:p>
        </w:tc>
        <w:tc>
          <w:tcPr>
            <w:tcW w:w="900" w:type="dxa"/>
            <w:tcBorders>
              <w:top w:val="single" w:sz="4" w:space="0" w:color="000000"/>
              <w:left w:val="single" w:sz="4" w:space="0" w:color="000000"/>
              <w:bottom w:val="single" w:sz="4" w:space="0" w:color="000000"/>
              <w:right w:val="single" w:sz="4" w:space="0" w:color="000000"/>
            </w:tcBorders>
          </w:tcPr>
          <w:p w:rsidR="002A2C2C" w:rsidRPr="00F369B1" w:rsidP="00A70D9C" w14:paraId="29572896" w14:textId="77777777">
            <w:pPr>
              <w:jc w:val="center"/>
              <w:rPr>
                <w:sz w:val="24"/>
                <w:szCs w:val="24"/>
              </w:rPr>
            </w:pPr>
            <w:r w:rsidRPr="00F369B1">
              <w:rPr>
                <w:sz w:val="24"/>
                <w:szCs w:val="24"/>
              </w:rPr>
              <w:t>1.5</w:t>
            </w:r>
          </w:p>
        </w:tc>
        <w:tc>
          <w:tcPr>
            <w:tcW w:w="1440" w:type="dxa"/>
            <w:tcBorders>
              <w:top w:val="single" w:sz="4" w:space="0" w:color="000000"/>
              <w:left w:val="single" w:sz="4" w:space="0" w:color="000000"/>
              <w:bottom w:val="single" w:sz="4" w:space="0" w:color="000000"/>
              <w:right w:val="single" w:sz="4" w:space="0" w:color="000000"/>
            </w:tcBorders>
          </w:tcPr>
          <w:p w:rsidR="002A2C2C" w:rsidRPr="00F369B1" w:rsidP="00A70D9C" w14:paraId="0FBCD19F" w14:textId="60E0018F">
            <w:pPr>
              <w:ind w:right="-20"/>
              <w:jc w:val="center"/>
              <w:rPr>
                <w:sz w:val="24"/>
                <w:szCs w:val="24"/>
              </w:rPr>
            </w:pPr>
            <w:r w:rsidRPr="00F369B1">
              <w:rPr>
                <w:sz w:val="24"/>
                <w:szCs w:val="24"/>
              </w:rPr>
              <w:t>$</w:t>
            </w:r>
            <w:r w:rsidRPr="00F369B1" w:rsidR="007F72DB">
              <w:rPr>
                <w:sz w:val="24"/>
                <w:szCs w:val="24"/>
              </w:rPr>
              <w:t>146.07</w:t>
            </w:r>
          </w:p>
        </w:tc>
        <w:tc>
          <w:tcPr>
            <w:tcW w:w="1530" w:type="dxa"/>
            <w:tcBorders>
              <w:top w:val="single" w:sz="4" w:space="0" w:color="000000"/>
              <w:left w:val="single" w:sz="4" w:space="0" w:color="000000"/>
              <w:bottom w:val="single" w:sz="4" w:space="0" w:color="000000"/>
              <w:right w:val="single" w:sz="4" w:space="0" w:color="000000"/>
            </w:tcBorders>
          </w:tcPr>
          <w:p w:rsidR="002A2C2C" w:rsidRPr="00F369B1" w:rsidP="00A70D9C" w14:paraId="59C26D0B" w14:textId="228611D4">
            <w:pPr>
              <w:jc w:val="center"/>
              <w:rPr>
                <w:sz w:val="24"/>
                <w:szCs w:val="24"/>
              </w:rPr>
            </w:pPr>
            <w:r w:rsidRPr="00F369B1">
              <w:rPr>
                <w:sz w:val="24"/>
                <w:szCs w:val="24"/>
              </w:rPr>
              <w:t>$</w:t>
            </w:r>
            <w:r w:rsidRPr="00F369B1" w:rsidR="007F72DB">
              <w:rPr>
                <w:sz w:val="24"/>
                <w:szCs w:val="24"/>
              </w:rPr>
              <w:t>25.416.18</w:t>
            </w:r>
          </w:p>
        </w:tc>
      </w:tr>
      <w:tr w14:paraId="20147A67" w14:textId="77777777" w:rsidTr="00A70D9C">
        <w:tblPrEx>
          <w:tblW w:w="9625" w:type="dxa"/>
          <w:tblLayout w:type="fixed"/>
          <w:tblCellMar>
            <w:left w:w="0" w:type="dxa"/>
            <w:right w:w="0" w:type="dxa"/>
          </w:tblCellMar>
          <w:tblLook w:val="01E0"/>
        </w:tblPrEx>
        <w:trPr>
          <w:trHeight w:hRule="exact" w:val="432"/>
        </w:trPr>
        <w:tc>
          <w:tcPr>
            <w:tcW w:w="2695" w:type="dxa"/>
            <w:tcBorders>
              <w:top w:val="single" w:sz="4" w:space="0" w:color="000000"/>
              <w:left w:val="single" w:sz="4" w:space="0" w:color="000000"/>
              <w:bottom w:val="single" w:sz="4" w:space="0" w:color="000000"/>
              <w:right w:val="single" w:sz="4" w:space="0" w:color="000000"/>
            </w:tcBorders>
          </w:tcPr>
          <w:p w:rsidR="002A2C2C" w:rsidRPr="00F369B1" w:rsidP="00E419DB" w14:paraId="6F6E2443" w14:textId="77777777">
            <w:pPr>
              <w:ind w:right="-20"/>
              <w:rPr>
                <w:b/>
                <w:bCs/>
                <w:sz w:val="24"/>
                <w:szCs w:val="24"/>
              </w:rPr>
            </w:pPr>
            <w:r w:rsidRPr="00F369B1">
              <w:rPr>
                <w:b/>
                <w:bCs/>
                <w:sz w:val="24"/>
                <w:szCs w:val="24"/>
              </w:rPr>
              <w:t xml:space="preserve"> Total - Annu</w:t>
            </w:r>
            <w:r w:rsidRPr="00F369B1">
              <w:rPr>
                <w:b/>
                <w:bCs/>
                <w:spacing w:val="-1"/>
                <w:sz w:val="24"/>
                <w:szCs w:val="24"/>
              </w:rPr>
              <w:t>a</w:t>
            </w:r>
            <w:r w:rsidRPr="00F369B1">
              <w:rPr>
                <w:b/>
                <w:bCs/>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2A2C2C" w:rsidRPr="00F369B1" w:rsidP="00A70D9C" w14:paraId="6F721553" w14:textId="77777777">
            <w:pPr>
              <w:jc w:val="center"/>
              <w:rPr>
                <w:b/>
                <w:bCs/>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A2C2C" w:rsidRPr="00F369B1" w:rsidP="00A70D9C" w14:paraId="06A8FC14" w14:textId="77777777">
            <w:pPr>
              <w:jc w:val="center"/>
              <w:rPr>
                <w:b/>
                <w:bCs/>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2A2C2C" w:rsidRPr="00F369B1" w:rsidP="00A70D9C" w14:paraId="1BDB4689" w14:textId="3838EB3D">
            <w:pPr>
              <w:jc w:val="center"/>
              <w:rPr>
                <w:b/>
                <w:bCs/>
                <w:sz w:val="24"/>
                <w:szCs w:val="24"/>
              </w:rPr>
            </w:pPr>
            <w:r w:rsidRPr="00F369B1">
              <w:rPr>
                <w:b/>
                <w:bCs/>
                <w:sz w:val="24"/>
                <w:szCs w:val="24"/>
              </w:rPr>
              <w:t>2,262</w:t>
            </w:r>
          </w:p>
        </w:tc>
        <w:tc>
          <w:tcPr>
            <w:tcW w:w="1440" w:type="dxa"/>
            <w:tcBorders>
              <w:top w:val="single" w:sz="4" w:space="0" w:color="000000"/>
              <w:left w:val="single" w:sz="4" w:space="0" w:color="000000"/>
              <w:bottom w:val="single" w:sz="4" w:space="0" w:color="000000"/>
              <w:right w:val="single" w:sz="4" w:space="0" w:color="000000"/>
            </w:tcBorders>
          </w:tcPr>
          <w:p w:rsidR="002A2C2C" w:rsidRPr="00F369B1" w:rsidP="00A70D9C" w14:paraId="462DC33F" w14:textId="34B79542">
            <w:pPr>
              <w:jc w:val="center"/>
              <w:rPr>
                <w:b/>
                <w:bCs/>
                <w:sz w:val="24"/>
                <w:szCs w:val="24"/>
              </w:rPr>
            </w:pPr>
            <w:r w:rsidRPr="00F369B1">
              <w:rPr>
                <w:b/>
                <w:bCs/>
                <w:sz w:val="24"/>
                <w:szCs w:val="24"/>
              </w:rPr>
              <w:t>$</w:t>
            </w:r>
            <w:r w:rsidRPr="00F369B1" w:rsidR="007F72DB">
              <w:rPr>
                <w:b/>
                <w:bCs/>
                <w:sz w:val="24"/>
                <w:szCs w:val="24"/>
              </w:rPr>
              <w:t>1,326.71</w:t>
            </w:r>
          </w:p>
        </w:tc>
        <w:tc>
          <w:tcPr>
            <w:tcW w:w="1530" w:type="dxa"/>
            <w:tcBorders>
              <w:top w:val="single" w:sz="4" w:space="0" w:color="000000"/>
              <w:left w:val="single" w:sz="4" w:space="0" w:color="000000"/>
              <w:bottom w:val="single" w:sz="4" w:space="0" w:color="000000"/>
              <w:right w:val="single" w:sz="4" w:space="0" w:color="000000"/>
            </w:tcBorders>
          </w:tcPr>
          <w:p w:rsidR="002A2C2C" w:rsidRPr="00F369B1" w:rsidP="00A70D9C" w14:paraId="64A81AAE" w14:textId="63163CDC">
            <w:pPr>
              <w:ind w:right="-20"/>
              <w:jc w:val="center"/>
              <w:rPr>
                <w:b/>
                <w:bCs/>
                <w:sz w:val="24"/>
                <w:szCs w:val="24"/>
              </w:rPr>
            </w:pPr>
            <w:r w:rsidRPr="00F369B1">
              <w:rPr>
                <w:b/>
                <w:bCs/>
                <w:sz w:val="24"/>
                <w:szCs w:val="24"/>
              </w:rPr>
              <w:t>$</w:t>
            </w:r>
            <w:r w:rsidRPr="00F369B1" w:rsidR="007F72DB">
              <w:rPr>
                <w:b/>
                <w:bCs/>
                <w:sz w:val="24"/>
                <w:szCs w:val="24"/>
              </w:rPr>
              <w:t>230,847.54</w:t>
            </w:r>
          </w:p>
        </w:tc>
      </w:tr>
      <w:tr w14:paraId="6916D99B" w14:textId="77777777" w:rsidTr="00A70D9C">
        <w:tblPrEx>
          <w:tblW w:w="9625" w:type="dxa"/>
          <w:tblLayout w:type="fixed"/>
          <w:tblCellMar>
            <w:left w:w="0" w:type="dxa"/>
            <w:right w:w="0" w:type="dxa"/>
          </w:tblCellMar>
          <w:tblLook w:val="01E0"/>
        </w:tblPrEx>
        <w:trPr>
          <w:trHeight w:hRule="exact" w:val="432"/>
        </w:trPr>
        <w:tc>
          <w:tcPr>
            <w:tcW w:w="2695" w:type="dxa"/>
            <w:tcBorders>
              <w:top w:val="single" w:sz="4" w:space="0" w:color="000000"/>
              <w:left w:val="single" w:sz="4" w:space="0" w:color="000000"/>
              <w:bottom w:val="single" w:sz="4" w:space="0" w:color="000000"/>
              <w:right w:val="single" w:sz="4" w:space="0" w:color="000000"/>
            </w:tcBorders>
          </w:tcPr>
          <w:p w:rsidR="002A2C2C" w:rsidRPr="00F369B1" w:rsidP="00E419DB" w14:paraId="4CA87831" w14:textId="77777777">
            <w:pPr>
              <w:ind w:left="85" w:right="277"/>
              <w:rPr>
                <w:b/>
                <w:bCs/>
                <w:sz w:val="24"/>
                <w:szCs w:val="24"/>
              </w:rPr>
            </w:pPr>
            <w:r w:rsidRPr="00F369B1">
              <w:rPr>
                <w:b/>
                <w:bCs/>
                <w:sz w:val="24"/>
                <w:szCs w:val="24"/>
              </w:rPr>
              <w:t>Total - T</w:t>
            </w:r>
            <w:r w:rsidRPr="00F369B1">
              <w:rPr>
                <w:b/>
                <w:bCs/>
                <w:spacing w:val="-1"/>
                <w:sz w:val="24"/>
                <w:szCs w:val="24"/>
              </w:rPr>
              <w:t>h</w:t>
            </w:r>
            <w:r w:rsidRPr="00F369B1">
              <w:rPr>
                <w:b/>
                <w:bCs/>
                <w:sz w:val="24"/>
                <w:szCs w:val="24"/>
              </w:rPr>
              <w:t>r</w:t>
            </w:r>
            <w:r w:rsidRPr="00F369B1">
              <w:rPr>
                <w:b/>
                <w:bCs/>
                <w:spacing w:val="-1"/>
                <w:sz w:val="24"/>
                <w:szCs w:val="24"/>
              </w:rPr>
              <w:t>e</w:t>
            </w:r>
            <w:r w:rsidRPr="00F369B1">
              <w:rPr>
                <w:b/>
                <w:bCs/>
                <w:sz w:val="24"/>
                <w:szCs w:val="24"/>
              </w:rPr>
              <w:t>e Years</w:t>
            </w:r>
          </w:p>
        </w:tc>
        <w:tc>
          <w:tcPr>
            <w:tcW w:w="1440" w:type="dxa"/>
            <w:tcBorders>
              <w:top w:val="single" w:sz="4" w:space="0" w:color="000000"/>
              <w:left w:val="single" w:sz="4" w:space="0" w:color="000000"/>
              <w:bottom w:val="single" w:sz="4" w:space="0" w:color="000000"/>
              <w:right w:val="single" w:sz="4" w:space="0" w:color="000000"/>
            </w:tcBorders>
          </w:tcPr>
          <w:p w:rsidR="002A2C2C" w:rsidRPr="00F369B1" w:rsidP="00A70D9C" w14:paraId="7617C12C" w14:textId="77777777">
            <w:pPr>
              <w:jc w:val="center"/>
              <w:rPr>
                <w:b/>
                <w:bCs/>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A2C2C" w:rsidRPr="00F369B1" w:rsidP="00A70D9C" w14:paraId="085A98DE" w14:textId="77777777">
            <w:pPr>
              <w:jc w:val="center"/>
              <w:rPr>
                <w:b/>
                <w:bCs/>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2A2C2C" w:rsidRPr="00F369B1" w:rsidP="00A70D9C" w14:paraId="16A73513" w14:textId="324A1911">
            <w:pPr>
              <w:jc w:val="center"/>
              <w:rPr>
                <w:b/>
                <w:bCs/>
                <w:sz w:val="24"/>
                <w:szCs w:val="24"/>
              </w:rPr>
            </w:pPr>
            <w:r w:rsidRPr="00F369B1">
              <w:rPr>
                <w:b/>
                <w:bCs/>
                <w:sz w:val="24"/>
                <w:szCs w:val="24"/>
              </w:rPr>
              <w:t>6</w:t>
            </w:r>
            <w:r w:rsidRPr="00F369B1" w:rsidR="000B11D2">
              <w:rPr>
                <w:b/>
                <w:bCs/>
                <w:sz w:val="24"/>
                <w:szCs w:val="24"/>
              </w:rPr>
              <w:t>,786</w:t>
            </w:r>
          </w:p>
        </w:tc>
        <w:tc>
          <w:tcPr>
            <w:tcW w:w="1440" w:type="dxa"/>
            <w:tcBorders>
              <w:top w:val="single" w:sz="4" w:space="0" w:color="000000"/>
              <w:left w:val="single" w:sz="4" w:space="0" w:color="000000"/>
              <w:bottom w:val="single" w:sz="4" w:space="0" w:color="000000"/>
              <w:right w:val="single" w:sz="4" w:space="0" w:color="000000"/>
            </w:tcBorders>
          </w:tcPr>
          <w:p w:rsidR="002A2C2C" w:rsidRPr="00F369B1" w:rsidP="00A70D9C" w14:paraId="27ABC4C3" w14:textId="77777777">
            <w:pPr>
              <w:jc w:val="center"/>
              <w:rPr>
                <w:b/>
                <w:bCs/>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A2C2C" w:rsidRPr="00F369B1" w:rsidP="00A70D9C" w14:paraId="03A842C9" w14:textId="1FB3A6A0">
            <w:pPr>
              <w:ind w:left="112" w:right="-20"/>
              <w:jc w:val="center"/>
              <w:rPr>
                <w:b/>
                <w:bCs/>
                <w:sz w:val="24"/>
                <w:szCs w:val="24"/>
              </w:rPr>
            </w:pPr>
            <w:r w:rsidRPr="00F369B1">
              <w:rPr>
                <w:b/>
                <w:bCs/>
                <w:sz w:val="24"/>
                <w:szCs w:val="24"/>
              </w:rPr>
              <w:t>$</w:t>
            </w:r>
            <w:r w:rsidRPr="00F369B1" w:rsidR="007F72DB">
              <w:rPr>
                <w:b/>
                <w:bCs/>
                <w:sz w:val="24"/>
                <w:szCs w:val="24"/>
              </w:rPr>
              <w:t>692,542.62</w:t>
            </w:r>
          </w:p>
        </w:tc>
      </w:tr>
    </w:tbl>
    <w:p w:rsidR="002A2C2C" w:rsidRPr="00F369B1" w:rsidP="00B97E0E" w14:paraId="2CA6FF2E" w14:textId="77777777">
      <w:pPr>
        <w:pStyle w:val="Heading2"/>
        <w:ind w:left="0"/>
      </w:pPr>
    </w:p>
    <w:p w:rsidR="00841201" w:rsidRPr="00F369B1" w:rsidP="00B97E0E" w14:paraId="1D984275" w14:textId="77777777">
      <w:pPr>
        <w:pStyle w:val="Heading2"/>
        <w:ind w:left="0"/>
        <w:rPr>
          <w:i/>
        </w:rPr>
      </w:pPr>
      <w:r w:rsidRPr="00F369B1">
        <w:rPr>
          <w:i/>
        </w:rPr>
        <w:t>Attestation</w:t>
      </w:r>
    </w:p>
    <w:p w:rsidR="00841201" w:rsidRPr="00F369B1" w:rsidP="00B97E0E" w14:paraId="753A4590" w14:textId="77777777">
      <w:pPr>
        <w:pStyle w:val="BodyText"/>
        <w:spacing w:before="19"/>
        <w:ind w:right="196"/>
      </w:pPr>
      <w:r w:rsidRPr="00F369B1">
        <w:t>Pursuant to §156.280(e)(5)(iii), each QHP issuer must also annually attest to compliance with PPACA section 1303 and applicable regulations. The burden estimate associated with this requirement includes the time for all QHP issuers on the Exchange to provide an annual attestation to the State Insurance Commissioner that the QHP issuer remains in compliance with section 1303 of the PPACA and applicable regulations.</w:t>
      </w:r>
    </w:p>
    <w:p w:rsidR="00841201" w:rsidRPr="00F369B1" w:rsidP="00B97E0E" w14:paraId="578B94F4" w14:textId="77777777">
      <w:pPr>
        <w:pStyle w:val="BodyText"/>
        <w:spacing w:before="9"/>
      </w:pPr>
    </w:p>
    <w:p w:rsidR="00841201" w:rsidRPr="00F369B1" w:rsidP="00E43BEC" w14:paraId="0A644B6C" w14:textId="63DE1E08">
      <w:pPr>
        <w:pStyle w:val="BodyText"/>
        <w:ind w:right="187" w:hanging="11"/>
      </w:pPr>
      <w:r w:rsidRPr="00F369B1">
        <w:t xml:space="preserve">The burden associated with requiring individual market QHP issuers (not including SADP issuers) participating in the Exchange to submit an attestation to the State Insurance Commissioner is annual. We estimate there are </w:t>
      </w:r>
      <w:r w:rsidRPr="00F369B1" w:rsidR="00DC28D5">
        <w:t>1</w:t>
      </w:r>
      <w:r w:rsidRPr="00F369B1" w:rsidR="003F65D0">
        <w:t>,</w:t>
      </w:r>
      <w:r w:rsidRPr="00F369B1" w:rsidR="00DC28D5">
        <w:t>44</w:t>
      </w:r>
      <w:r w:rsidRPr="00F369B1" w:rsidR="00A16099">
        <w:t>3</w:t>
      </w:r>
      <w:r w:rsidRPr="00F369B1" w:rsidR="00DC28D5">
        <w:t xml:space="preserve"> </w:t>
      </w:r>
      <w:r w:rsidRPr="00F369B1">
        <w:t>QHP issuers</w:t>
      </w:r>
      <w:r w:rsidRPr="00F369B1" w:rsidR="00CF6031">
        <w:t xml:space="preserve"> covering abortion services for which public </w:t>
      </w:r>
      <w:r w:rsidRPr="00F369B1" w:rsidR="00CF6031">
        <w:t>funding is prohibited</w:t>
      </w:r>
      <w:r w:rsidRPr="00F369B1">
        <w:t xml:space="preserve"> participating on the Exchange. Therefore, we estimate it will take approximately 2.25 hours (with an equivalent cost of $</w:t>
      </w:r>
      <w:r w:rsidRPr="00F369B1" w:rsidR="000A648A">
        <w:t>227.62</w:t>
      </w:r>
      <w:r w:rsidRPr="00F369B1">
        <w:t xml:space="preserve">) annually per QHP issuer to provide an attestation to the State Insurance Commissioner, for a total of </w:t>
      </w:r>
      <w:r w:rsidRPr="00F369B1" w:rsidR="004B4FBC">
        <w:t>3,24</w:t>
      </w:r>
      <w:r w:rsidRPr="00F369B1" w:rsidR="00A16099">
        <w:t>6.75</w:t>
      </w:r>
      <w:r w:rsidRPr="00F369B1" w:rsidR="004B4FBC">
        <w:t xml:space="preserve"> </w:t>
      </w:r>
      <w:r w:rsidRPr="00F369B1">
        <w:t xml:space="preserve">annual hours across all </w:t>
      </w:r>
      <w:r w:rsidRPr="00F369B1" w:rsidR="002E3BA2">
        <w:t>1</w:t>
      </w:r>
      <w:r w:rsidRPr="00F369B1" w:rsidR="003F65D0">
        <w:t>,</w:t>
      </w:r>
      <w:r w:rsidRPr="00F369B1" w:rsidR="002E3BA2">
        <w:t>44</w:t>
      </w:r>
      <w:r w:rsidRPr="00F369B1" w:rsidR="00A16099">
        <w:t>3</w:t>
      </w:r>
      <w:r w:rsidRPr="00F369B1" w:rsidR="002E3BA2">
        <w:t xml:space="preserve"> </w:t>
      </w:r>
      <w:r w:rsidRPr="00F369B1">
        <w:t>QHP issuers, with an equivalent annual cost of $</w:t>
      </w:r>
      <w:r w:rsidRPr="00F369B1" w:rsidR="000A648A">
        <w:t>328,455.66</w:t>
      </w:r>
      <w:r w:rsidRPr="00F369B1">
        <w:t>.</w:t>
      </w:r>
    </w:p>
    <w:p w:rsidR="00AE2910" w:rsidRPr="00F369B1" w:rsidP="00B97E0E" w14:paraId="7FADC836" w14:textId="77777777">
      <w:pPr>
        <w:rPr>
          <w:b/>
          <w:sz w:val="24"/>
          <w:szCs w:val="24"/>
        </w:rPr>
      </w:pPr>
      <w:bookmarkStart w:id="12" w:name="Table_2:_Burden_for_QHP_Issuers_Submitti"/>
      <w:bookmarkEnd w:id="12"/>
    </w:p>
    <w:p w:rsidR="00841201" w:rsidRPr="00F369B1" w:rsidP="00B97E0E" w14:paraId="44AE2E26" w14:textId="3424B7D9">
      <w:pPr>
        <w:rPr>
          <w:b/>
          <w:sz w:val="24"/>
          <w:szCs w:val="24"/>
        </w:rPr>
      </w:pPr>
      <w:r w:rsidRPr="00F369B1">
        <w:rPr>
          <w:b/>
          <w:sz w:val="24"/>
          <w:szCs w:val="24"/>
        </w:rPr>
        <w:t>Table 3: Burden for QHP Issuers Submitting Attestations</w:t>
      </w:r>
    </w:p>
    <w:p w:rsidR="00841201" w:rsidRPr="00F369B1" w:rsidP="00B97E0E" w14:paraId="07E30CA0" w14:textId="77777777">
      <w:pPr>
        <w:pStyle w:val="BodyText"/>
        <w:rPr>
          <w:b/>
        </w:rPr>
      </w:pPr>
    </w:p>
    <w:tbl>
      <w:tblPr>
        <w:tblW w:w="9639" w:type="dxa"/>
        <w:tblLayout w:type="fixed"/>
        <w:tblCellMar>
          <w:left w:w="0" w:type="dxa"/>
          <w:right w:w="0" w:type="dxa"/>
        </w:tblCellMar>
        <w:tblLook w:val="01E0"/>
      </w:tblPr>
      <w:tblGrid>
        <w:gridCol w:w="2425"/>
        <w:gridCol w:w="1350"/>
        <w:gridCol w:w="1710"/>
        <w:gridCol w:w="1105"/>
        <w:gridCol w:w="1425"/>
        <w:gridCol w:w="1624"/>
      </w:tblGrid>
      <w:tr w14:paraId="1D017177" w14:textId="77777777" w:rsidTr="00B336B9">
        <w:tblPrEx>
          <w:tblW w:w="9639" w:type="dxa"/>
          <w:tblLayout w:type="fixed"/>
          <w:tblCellMar>
            <w:left w:w="0" w:type="dxa"/>
            <w:right w:w="0" w:type="dxa"/>
          </w:tblCellMar>
          <w:tblLook w:val="01E0"/>
        </w:tblPrEx>
        <w:trPr>
          <w:trHeight w:hRule="exact" w:val="1198"/>
        </w:trPr>
        <w:tc>
          <w:tcPr>
            <w:tcW w:w="2425" w:type="dxa"/>
            <w:tcBorders>
              <w:top w:val="single" w:sz="4" w:space="0" w:color="000000"/>
              <w:left w:val="single" w:sz="4" w:space="0" w:color="000000"/>
              <w:bottom w:val="single" w:sz="4" w:space="0" w:color="000000"/>
              <w:right w:val="single" w:sz="4" w:space="0" w:color="000000"/>
            </w:tcBorders>
          </w:tcPr>
          <w:p w:rsidR="000E3A07" w:rsidRPr="00F369B1" w:rsidP="00E419DB" w14:paraId="2C6815D1" w14:textId="77777777">
            <w:pPr>
              <w:keepNext/>
              <w:ind w:left="85" w:right="-20"/>
              <w:rPr>
                <w:b/>
                <w:bCs/>
                <w:sz w:val="24"/>
                <w:szCs w:val="24"/>
              </w:rPr>
            </w:pPr>
            <w:r w:rsidRPr="00F369B1">
              <w:rPr>
                <w:b/>
                <w:bCs/>
                <w:sz w:val="24"/>
                <w:szCs w:val="24"/>
              </w:rPr>
              <w:t>Labor Cate</w:t>
            </w:r>
            <w:r w:rsidRPr="00F369B1">
              <w:rPr>
                <w:b/>
                <w:bCs/>
                <w:spacing w:val="-1"/>
                <w:sz w:val="24"/>
                <w:szCs w:val="24"/>
              </w:rPr>
              <w:t>g</w:t>
            </w:r>
            <w:r w:rsidRPr="00F369B1">
              <w:rPr>
                <w:b/>
                <w:bCs/>
                <w:sz w:val="24"/>
                <w:szCs w:val="24"/>
              </w:rPr>
              <w:t>ory</w:t>
            </w:r>
          </w:p>
        </w:tc>
        <w:tc>
          <w:tcPr>
            <w:tcW w:w="1350" w:type="dxa"/>
            <w:tcBorders>
              <w:top w:val="single" w:sz="4" w:space="0" w:color="000000"/>
              <w:left w:val="single" w:sz="4" w:space="0" w:color="000000"/>
              <w:bottom w:val="single" w:sz="4" w:space="0" w:color="000000"/>
              <w:right w:val="single" w:sz="4" w:space="0" w:color="000000"/>
            </w:tcBorders>
          </w:tcPr>
          <w:p w:rsidR="000E3A07" w:rsidRPr="00F369B1" w:rsidP="00E419DB" w14:paraId="3019B58A" w14:textId="77777777">
            <w:pPr>
              <w:keepNext/>
              <w:jc w:val="center"/>
              <w:rPr>
                <w:b/>
                <w:bCs/>
                <w:sz w:val="24"/>
                <w:szCs w:val="24"/>
              </w:rPr>
            </w:pPr>
            <w:r w:rsidRPr="00F369B1">
              <w:rPr>
                <w:b/>
                <w:bCs/>
                <w:sz w:val="24"/>
                <w:szCs w:val="24"/>
              </w:rPr>
              <w:t>N</w:t>
            </w:r>
            <w:r w:rsidRPr="00F369B1">
              <w:rPr>
                <w:b/>
                <w:bCs/>
                <w:spacing w:val="1"/>
                <w:sz w:val="24"/>
                <w:szCs w:val="24"/>
              </w:rPr>
              <w:t>u</w:t>
            </w:r>
            <w:r w:rsidRPr="00F369B1">
              <w:rPr>
                <w:b/>
                <w:bCs/>
                <w:spacing w:val="-2"/>
                <w:sz w:val="24"/>
                <w:szCs w:val="24"/>
              </w:rPr>
              <w:t>m</w:t>
            </w:r>
            <w:r w:rsidRPr="00F369B1">
              <w:rPr>
                <w:b/>
                <w:bCs/>
                <w:sz w:val="24"/>
                <w:szCs w:val="24"/>
              </w:rPr>
              <w:t>ber of</w:t>
            </w:r>
            <w:r w:rsidRPr="00F369B1">
              <w:rPr>
                <w:b/>
                <w:bCs/>
                <w:spacing w:val="1"/>
                <w:sz w:val="24"/>
                <w:szCs w:val="24"/>
              </w:rPr>
              <w:t xml:space="preserve"> Respondent</w:t>
            </w:r>
            <w:r w:rsidRPr="00F369B1">
              <w:rPr>
                <w:b/>
                <w:bCs/>
                <w:sz w:val="24"/>
                <w:szCs w:val="24"/>
              </w:rPr>
              <w:t>s</w:t>
            </w:r>
          </w:p>
        </w:tc>
        <w:tc>
          <w:tcPr>
            <w:tcW w:w="1710" w:type="dxa"/>
            <w:tcBorders>
              <w:top w:val="single" w:sz="4" w:space="0" w:color="000000"/>
              <w:left w:val="single" w:sz="4" w:space="0" w:color="000000"/>
              <w:bottom w:val="single" w:sz="4" w:space="0" w:color="000000"/>
              <w:right w:val="single" w:sz="4" w:space="0" w:color="000000"/>
            </w:tcBorders>
          </w:tcPr>
          <w:p w:rsidR="000E3A07" w:rsidRPr="00F369B1" w:rsidP="00E419DB" w14:paraId="655634F7" w14:textId="77777777">
            <w:pPr>
              <w:keepNext/>
              <w:ind w:right="75"/>
              <w:jc w:val="center"/>
              <w:rPr>
                <w:b/>
                <w:bCs/>
                <w:sz w:val="24"/>
                <w:szCs w:val="24"/>
              </w:rPr>
            </w:pPr>
            <w:r w:rsidRPr="00F369B1">
              <w:rPr>
                <w:b/>
                <w:bCs/>
                <w:sz w:val="24"/>
                <w:szCs w:val="24"/>
              </w:rPr>
              <w:t>Hourly Labor Costs (Hourly r</w:t>
            </w:r>
            <w:r w:rsidRPr="00F369B1">
              <w:rPr>
                <w:b/>
                <w:bCs/>
                <w:spacing w:val="-1"/>
                <w:sz w:val="24"/>
                <w:szCs w:val="24"/>
              </w:rPr>
              <w:t>a</w:t>
            </w:r>
            <w:r w:rsidRPr="00F369B1">
              <w:rPr>
                <w:b/>
                <w:bCs/>
                <w:sz w:val="24"/>
                <w:szCs w:val="24"/>
              </w:rPr>
              <w:t>te +</w:t>
            </w:r>
            <w:r w:rsidRPr="00F369B1">
              <w:rPr>
                <w:b/>
                <w:bCs/>
                <w:spacing w:val="-1"/>
                <w:sz w:val="24"/>
                <w:szCs w:val="24"/>
              </w:rPr>
              <w:t xml:space="preserve"> </w:t>
            </w:r>
            <w:r w:rsidRPr="00F369B1">
              <w:rPr>
                <w:b/>
                <w:bCs/>
                <w:spacing w:val="2"/>
                <w:sz w:val="24"/>
                <w:szCs w:val="24"/>
              </w:rPr>
              <w:t>100</w:t>
            </w:r>
            <w:r w:rsidRPr="00F369B1">
              <w:rPr>
                <w:b/>
                <w:bCs/>
                <w:sz w:val="24"/>
                <w:szCs w:val="24"/>
              </w:rPr>
              <w:t xml:space="preserve">% </w:t>
            </w:r>
            <w:r w:rsidRPr="00F369B1">
              <w:rPr>
                <w:b/>
                <w:bCs/>
                <w:spacing w:val="-1"/>
                <w:sz w:val="24"/>
                <w:szCs w:val="24"/>
              </w:rPr>
              <w:t>Fr</w:t>
            </w:r>
            <w:r w:rsidRPr="00F369B1">
              <w:rPr>
                <w:b/>
                <w:bCs/>
                <w:sz w:val="24"/>
                <w:szCs w:val="24"/>
              </w:rPr>
              <w:t>in</w:t>
            </w:r>
            <w:r w:rsidRPr="00F369B1">
              <w:rPr>
                <w:b/>
                <w:bCs/>
                <w:spacing w:val="-2"/>
                <w:sz w:val="24"/>
                <w:szCs w:val="24"/>
              </w:rPr>
              <w:t xml:space="preserve">ge </w:t>
            </w:r>
            <w:r w:rsidRPr="00F369B1">
              <w:rPr>
                <w:b/>
                <w:bCs/>
                <w:sz w:val="24"/>
                <w:szCs w:val="24"/>
              </w:rPr>
              <w:t>b</w:t>
            </w:r>
            <w:r w:rsidRPr="00F369B1">
              <w:rPr>
                <w:b/>
                <w:bCs/>
                <w:spacing w:val="-1"/>
                <w:sz w:val="24"/>
                <w:szCs w:val="24"/>
              </w:rPr>
              <w:t>e</w:t>
            </w:r>
            <w:r w:rsidRPr="00F369B1">
              <w:rPr>
                <w:b/>
                <w:bCs/>
                <w:sz w:val="24"/>
                <w:szCs w:val="24"/>
              </w:rPr>
              <w:t>n</w:t>
            </w:r>
            <w:r w:rsidRPr="00F369B1">
              <w:rPr>
                <w:b/>
                <w:bCs/>
                <w:spacing w:val="-1"/>
                <w:sz w:val="24"/>
                <w:szCs w:val="24"/>
              </w:rPr>
              <w:t>ef</w:t>
            </w:r>
            <w:r w:rsidRPr="00F369B1">
              <w:rPr>
                <w:b/>
                <w:bCs/>
                <w:sz w:val="24"/>
                <w:szCs w:val="24"/>
              </w:rPr>
              <w:t>its)</w:t>
            </w:r>
          </w:p>
        </w:tc>
        <w:tc>
          <w:tcPr>
            <w:tcW w:w="1105" w:type="dxa"/>
            <w:tcBorders>
              <w:top w:val="single" w:sz="4" w:space="0" w:color="000000"/>
              <w:left w:val="single" w:sz="4" w:space="0" w:color="000000"/>
              <w:bottom w:val="single" w:sz="4" w:space="0" w:color="000000"/>
              <w:right w:val="single" w:sz="4" w:space="0" w:color="000000"/>
            </w:tcBorders>
          </w:tcPr>
          <w:p w:rsidR="000E3A07" w:rsidRPr="00F369B1" w:rsidP="00E419DB" w14:paraId="373ACCA9" w14:textId="20803570">
            <w:pPr>
              <w:keepNext/>
              <w:ind w:right="-20"/>
              <w:jc w:val="center"/>
              <w:rPr>
                <w:b/>
                <w:bCs/>
                <w:sz w:val="24"/>
                <w:szCs w:val="24"/>
              </w:rPr>
            </w:pPr>
            <w:r w:rsidRPr="00F369B1">
              <w:rPr>
                <w:b/>
                <w:bCs/>
                <w:sz w:val="24"/>
                <w:szCs w:val="24"/>
              </w:rPr>
              <w:t>Burden Hours</w:t>
            </w:r>
          </w:p>
        </w:tc>
        <w:tc>
          <w:tcPr>
            <w:tcW w:w="1425" w:type="dxa"/>
            <w:tcBorders>
              <w:top w:val="single" w:sz="4" w:space="0" w:color="000000"/>
              <w:left w:val="single" w:sz="4" w:space="0" w:color="000000"/>
              <w:bottom w:val="single" w:sz="4" w:space="0" w:color="000000"/>
              <w:right w:val="single" w:sz="4" w:space="0" w:color="000000"/>
            </w:tcBorders>
          </w:tcPr>
          <w:p w:rsidR="000E3A07" w:rsidRPr="00F369B1" w:rsidP="00E419DB" w14:paraId="65CA3C92" w14:textId="77777777">
            <w:pPr>
              <w:keepNext/>
              <w:jc w:val="center"/>
              <w:rPr>
                <w:b/>
                <w:bCs/>
                <w:sz w:val="24"/>
                <w:szCs w:val="24"/>
              </w:rPr>
            </w:pPr>
            <w:r w:rsidRPr="00F369B1">
              <w:rPr>
                <w:b/>
                <w:bCs/>
                <w:sz w:val="24"/>
                <w:szCs w:val="24"/>
              </w:rPr>
              <w:t>Total Burden Costs (Per Respondent)</w:t>
            </w:r>
          </w:p>
        </w:tc>
        <w:tc>
          <w:tcPr>
            <w:tcW w:w="1624" w:type="dxa"/>
            <w:tcBorders>
              <w:top w:val="single" w:sz="4" w:space="0" w:color="000000"/>
              <w:left w:val="single" w:sz="4" w:space="0" w:color="000000"/>
              <w:bottom w:val="single" w:sz="4" w:space="0" w:color="000000"/>
              <w:right w:val="single" w:sz="4" w:space="0" w:color="000000"/>
            </w:tcBorders>
          </w:tcPr>
          <w:p w:rsidR="000E3A07" w:rsidRPr="00F369B1" w:rsidP="00E419DB" w14:paraId="1A828A54" w14:textId="77777777">
            <w:pPr>
              <w:keepNext/>
              <w:ind w:left="119" w:right="102"/>
              <w:jc w:val="center"/>
              <w:rPr>
                <w:b/>
                <w:bCs/>
                <w:sz w:val="24"/>
                <w:szCs w:val="24"/>
              </w:rPr>
            </w:pPr>
            <w:r w:rsidRPr="00F369B1">
              <w:rPr>
                <w:b/>
                <w:bCs/>
                <w:sz w:val="24"/>
                <w:szCs w:val="24"/>
              </w:rPr>
              <w:t>Total Burd</w:t>
            </w:r>
            <w:r w:rsidRPr="00F369B1">
              <w:rPr>
                <w:b/>
                <w:bCs/>
                <w:spacing w:val="-1"/>
                <w:sz w:val="24"/>
                <w:szCs w:val="24"/>
              </w:rPr>
              <w:t>e</w:t>
            </w:r>
            <w:r w:rsidRPr="00F369B1">
              <w:rPr>
                <w:b/>
                <w:bCs/>
                <w:sz w:val="24"/>
                <w:szCs w:val="24"/>
              </w:rPr>
              <w:t>n Costs (All Respondent</w:t>
            </w:r>
            <w:r w:rsidRPr="00F369B1">
              <w:rPr>
                <w:b/>
                <w:bCs/>
                <w:spacing w:val="-1"/>
                <w:sz w:val="24"/>
                <w:szCs w:val="24"/>
              </w:rPr>
              <w:t>s</w:t>
            </w:r>
            <w:r w:rsidRPr="00F369B1">
              <w:rPr>
                <w:b/>
                <w:bCs/>
                <w:sz w:val="24"/>
                <w:szCs w:val="24"/>
              </w:rPr>
              <w:t>)</w:t>
            </w:r>
          </w:p>
        </w:tc>
      </w:tr>
      <w:tr w14:paraId="3FD9BAA1" w14:textId="77777777" w:rsidTr="00B336B9">
        <w:tblPrEx>
          <w:tblW w:w="9639" w:type="dxa"/>
          <w:tblLayout w:type="fixed"/>
          <w:tblCellMar>
            <w:left w:w="0" w:type="dxa"/>
            <w:right w:w="0" w:type="dxa"/>
          </w:tblCellMar>
          <w:tblLook w:val="01E0"/>
        </w:tblPrEx>
        <w:trPr>
          <w:trHeight w:hRule="exact" w:val="390"/>
        </w:trPr>
        <w:tc>
          <w:tcPr>
            <w:tcW w:w="2425" w:type="dxa"/>
            <w:tcBorders>
              <w:top w:val="single" w:sz="4" w:space="0" w:color="000000"/>
              <w:left w:val="single" w:sz="4" w:space="0" w:color="000000"/>
              <w:bottom w:val="single" w:sz="4" w:space="0" w:color="000000"/>
              <w:right w:val="single" w:sz="4" w:space="0" w:color="000000"/>
            </w:tcBorders>
          </w:tcPr>
          <w:p w:rsidR="000E3A07" w:rsidRPr="00F369B1" w:rsidP="00E419DB" w14:paraId="5B6A9781" w14:textId="77777777">
            <w:pPr>
              <w:ind w:left="85" w:right="-20"/>
              <w:rPr>
                <w:sz w:val="24"/>
                <w:szCs w:val="24"/>
              </w:rPr>
            </w:pPr>
            <w:r w:rsidRPr="00F369B1">
              <w:rPr>
                <w:sz w:val="24"/>
                <w:szCs w:val="24"/>
              </w:rPr>
              <w:t>Financial Analyst</w:t>
            </w:r>
          </w:p>
        </w:tc>
        <w:tc>
          <w:tcPr>
            <w:tcW w:w="1350" w:type="dxa"/>
            <w:tcBorders>
              <w:top w:val="single" w:sz="4" w:space="0" w:color="000000"/>
              <w:left w:val="single" w:sz="4" w:space="0" w:color="000000"/>
              <w:bottom w:val="single" w:sz="4" w:space="0" w:color="000000"/>
              <w:right w:val="single" w:sz="4" w:space="0" w:color="000000"/>
            </w:tcBorders>
          </w:tcPr>
          <w:p w:rsidR="000E3A07" w:rsidRPr="00F369B1" w:rsidP="00B336B9" w14:paraId="23430F53" w14:textId="09500F18">
            <w:pPr>
              <w:jc w:val="center"/>
              <w:rPr>
                <w:sz w:val="24"/>
                <w:szCs w:val="24"/>
              </w:rPr>
            </w:pPr>
            <w:r w:rsidRPr="00F369B1">
              <w:rPr>
                <w:sz w:val="24"/>
                <w:szCs w:val="24"/>
              </w:rPr>
              <w:t>1</w:t>
            </w:r>
            <w:r w:rsidRPr="00F369B1" w:rsidR="003F65D0">
              <w:rPr>
                <w:sz w:val="24"/>
                <w:szCs w:val="24"/>
              </w:rPr>
              <w:t>,</w:t>
            </w:r>
            <w:r w:rsidRPr="00F369B1">
              <w:rPr>
                <w:sz w:val="24"/>
                <w:szCs w:val="24"/>
              </w:rPr>
              <w:t>44</w:t>
            </w:r>
            <w:r w:rsidRPr="00F369B1" w:rsidR="00BC7D5E">
              <w:rPr>
                <w:sz w:val="24"/>
                <w:szCs w:val="24"/>
              </w:rPr>
              <w:t>3</w:t>
            </w:r>
          </w:p>
        </w:tc>
        <w:tc>
          <w:tcPr>
            <w:tcW w:w="1710" w:type="dxa"/>
            <w:tcBorders>
              <w:top w:val="single" w:sz="4" w:space="0" w:color="000000"/>
              <w:left w:val="single" w:sz="4" w:space="0" w:color="000000"/>
              <w:bottom w:val="single" w:sz="4" w:space="0" w:color="000000"/>
              <w:right w:val="single" w:sz="4" w:space="0" w:color="000000"/>
            </w:tcBorders>
          </w:tcPr>
          <w:p w:rsidR="000E3A07" w:rsidRPr="00F369B1" w:rsidP="00B336B9" w14:paraId="5EAFA65D" w14:textId="6E857029">
            <w:pPr>
              <w:jc w:val="center"/>
              <w:rPr>
                <w:sz w:val="24"/>
                <w:szCs w:val="24"/>
              </w:rPr>
            </w:pPr>
            <w:r w:rsidRPr="00F369B1">
              <w:rPr>
                <w:sz w:val="24"/>
                <w:szCs w:val="24"/>
              </w:rPr>
              <w:t>$</w:t>
            </w:r>
            <w:r w:rsidRPr="00F369B1" w:rsidR="00E43BEC">
              <w:rPr>
                <w:sz w:val="24"/>
                <w:szCs w:val="24"/>
              </w:rPr>
              <w:t>95.20</w:t>
            </w:r>
          </w:p>
        </w:tc>
        <w:tc>
          <w:tcPr>
            <w:tcW w:w="1105" w:type="dxa"/>
            <w:tcBorders>
              <w:top w:val="single" w:sz="4" w:space="0" w:color="000000"/>
              <w:left w:val="single" w:sz="4" w:space="0" w:color="000000"/>
              <w:bottom w:val="single" w:sz="4" w:space="0" w:color="000000"/>
              <w:right w:val="single" w:sz="4" w:space="0" w:color="000000"/>
            </w:tcBorders>
          </w:tcPr>
          <w:p w:rsidR="000E3A07" w:rsidRPr="00F369B1" w:rsidP="00B336B9" w14:paraId="138E1501" w14:textId="305A06C1">
            <w:pPr>
              <w:ind w:right="20"/>
              <w:jc w:val="center"/>
              <w:rPr>
                <w:sz w:val="24"/>
                <w:szCs w:val="24"/>
              </w:rPr>
            </w:pPr>
            <w:r w:rsidRPr="00F369B1">
              <w:rPr>
                <w:sz w:val="24"/>
                <w:szCs w:val="24"/>
              </w:rPr>
              <w:t>1</w:t>
            </w:r>
          </w:p>
        </w:tc>
        <w:tc>
          <w:tcPr>
            <w:tcW w:w="1425" w:type="dxa"/>
            <w:tcBorders>
              <w:top w:val="single" w:sz="4" w:space="0" w:color="000000"/>
              <w:left w:val="single" w:sz="4" w:space="0" w:color="000000"/>
              <w:bottom w:val="single" w:sz="4" w:space="0" w:color="000000"/>
              <w:right w:val="single" w:sz="4" w:space="0" w:color="000000"/>
            </w:tcBorders>
          </w:tcPr>
          <w:p w:rsidR="000E3A07" w:rsidRPr="00F369B1" w:rsidP="00B336B9" w14:paraId="4CC88B53" w14:textId="4B1600CB">
            <w:pPr>
              <w:ind w:right="-20"/>
              <w:jc w:val="center"/>
              <w:rPr>
                <w:sz w:val="24"/>
                <w:szCs w:val="24"/>
              </w:rPr>
            </w:pPr>
            <w:r w:rsidRPr="00F369B1">
              <w:rPr>
                <w:sz w:val="24"/>
                <w:szCs w:val="24"/>
              </w:rPr>
              <w:t>$</w:t>
            </w:r>
            <w:r w:rsidRPr="00F369B1" w:rsidR="003E2360">
              <w:rPr>
                <w:sz w:val="24"/>
                <w:szCs w:val="24"/>
              </w:rPr>
              <w:t>95.20</w:t>
            </w:r>
          </w:p>
        </w:tc>
        <w:tc>
          <w:tcPr>
            <w:tcW w:w="1624" w:type="dxa"/>
            <w:tcBorders>
              <w:top w:val="single" w:sz="4" w:space="0" w:color="000000"/>
              <w:left w:val="single" w:sz="4" w:space="0" w:color="000000"/>
              <w:bottom w:val="single" w:sz="4" w:space="0" w:color="000000"/>
              <w:right w:val="single" w:sz="4" w:space="0" w:color="000000"/>
            </w:tcBorders>
          </w:tcPr>
          <w:p w:rsidR="000E3A07" w:rsidRPr="00F369B1" w:rsidP="00B336B9" w14:paraId="4495BF53" w14:textId="11DC58F1">
            <w:pPr>
              <w:jc w:val="center"/>
              <w:rPr>
                <w:sz w:val="24"/>
                <w:szCs w:val="24"/>
              </w:rPr>
            </w:pPr>
            <w:r w:rsidRPr="00F369B1">
              <w:rPr>
                <w:sz w:val="24"/>
                <w:szCs w:val="24"/>
              </w:rPr>
              <w:t>$</w:t>
            </w:r>
            <w:r w:rsidRPr="00F369B1" w:rsidR="007D71B1">
              <w:rPr>
                <w:sz w:val="24"/>
                <w:szCs w:val="24"/>
              </w:rPr>
              <w:t>137,373.60</w:t>
            </w:r>
          </w:p>
        </w:tc>
      </w:tr>
      <w:tr w14:paraId="3B9BFA02" w14:textId="77777777" w:rsidTr="00B336B9">
        <w:tblPrEx>
          <w:tblW w:w="9639" w:type="dxa"/>
          <w:tblLayout w:type="fixed"/>
          <w:tblCellMar>
            <w:left w:w="0" w:type="dxa"/>
            <w:right w:w="0" w:type="dxa"/>
          </w:tblCellMar>
          <w:tblLook w:val="01E0"/>
        </w:tblPrEx>
        <w:trPr>
          <w:trHeight w:hRule="exact" w:val="633"/>
        </w:trPr>
        <w:tc>
          <w:tcPr>
            <w:tcW w:w="2425" w:type="dxa"/>
            <w:tcBorders>
              <w:top w:val="single" w:sz="4" w:space="0" w:color="000000"/>
              <w:left w:val="single" w:sz="4" w:space="0" w:color="000000"/>
              <w:bottom w:val="single" w:sz="4" w:space="0" w:color="000000"/>
              <w:right w:val="single" w:sz="4" w:space="0" w:color="000000"/>
            </w:tcBorders>
          </w:tcPr>
          <w:p w:rsidR="000E3A07" w:rsidRPr="00F369B1" w:rsidP="00E419DB" w14:paraId="1ED98669" w14:textId="77777777">
            <w:pPr>
              <w:ind w:left="85" w:right="-20"/>
              <w:rPr>
                <w:sz w:val="24"/>
                <w:szCs w:val="24"/>
              </w:rPr>
            </w:pPr>
            <w:r w:rsidRPr="00F369B1">
              <w:rPr>
                <w:sz w:val="24"/>
                <w:szCs w:val="24"/>
              </w:rPr>
              <w:t>General and Operations Manager</w:t>
            </w:r>
          </w:p>
        </w:tc>
        <w:tc>
          <w:tcPr>
            <w:tcW w:w="1350" w:type="dxa"/>
            <w:tcBorders>
              <w:top w:val="single" w:sz="4" w:space="0" w:color="000000"/>
              <w:left w:val="single" w:sz="4" w:space="0" w:color="000000"/>
              <w:bottom w:val="single" w:sz="4" w:space="0" w:color="000000"/>
              <w:right w:val="single" w:sz="4" w:space="0" w:color="000000"/>
            </w:tcBorders>
          </w:tcPr>
          <w:p w:rsidR="000E3A07" w:rsidRPr="00F369B1" w:rsidP="00B336B9" w14:paraId="1A062E68" w14:textId="37EFAB45">
            <w:pPr>
              <w:jc w:val="center"/>
              <w:rPr>
                <w:sz w:val="24"/>
                <w:szCs w:val="24"/>
              </w:rPr>
            </w:pPr>
            <w:r w:rsidRPr="00F369B1">
              <w:rPr>
                <w:sz w:val="24"/>
                <w:szCs w:val="24"/>
              </w:rPr>
              <w:t>1</w:t>
            </w:r>
            <w:r w:rsidRPr="00F369B1" w:rsidR="003F65D0">
              <w:rPr>
                <w:sz w:val="24"/>
                <w:szCs w:val="24"/>
              </w:rPr>
              <w:t>,</w:t>
            </w:r>
            <w:r w:rsidRPr="00F369B1">
              <w:rPr>
                <w:sz w:val="24"/>
                <w:szCs w:val="24"/>
              </w:rPr>
              <w:t>44</w:t>
            </w:r>
            <w:r w:rsidRPr="00F369B1" w:rsidR="00BC7D5E">
              <w:rPr>
                <w:sz w:val="24"/>
                <w:szCs w:val="24"/>
              </w:rPr>
              <w:t>3</w:t>
            </w:r>
          </w:p>
        </w:tc>
        <w:tc>
          <w:tcPr>
            <w:tcW w:w="1710" w:type="dxa"/>
            <w:tcBorders>
              <w:top w:val="single" w:sz="4" w:space="0" w:color="000000"/>
              <w:left w:val="single" w:sz="4" w:space="0" w:color="000000"/>
              <w:bottom w:val="single" w:sz="4" w:space="0" w:color="000000"/>
              <w:right w:val="single" w:sz="4" w:space="0" w:color="000000"/>
            </w:tcBorders>
          </w:tcPr>
          <w:p w:rsidR="000E3A07" w:rsidRPr="00F369B1" w:rsidP="00B336B9" w14:paraId="7A2F1176" w14:textId="2484B886">
            <w:pPr>
              <w:jc w:val="center"/>
              <w:rPr>
                <w:sz w:val="24"/>
                <w:szCs w:val="24"/>
              </w:rPr>
            </w:pPr>
            <w:r w:rsidRPr="00F369B1">
              <w:rPr>
                <w:sz w:val="24"/>
                <w:szCs w:val="24"/>
              </w:rPr>
              <w:t>$</w:t>
            </w:r>
            <w:r w:rsidRPr="00F369B1" w:rsidR="00E43BEC">
              <w:rPr>
                <w:sz w:val="24"/>
                <w:szCs w:val="24"/>
              </w:rPr>
              <w:t>97.38</w:t>
            </w:r>
          </w:p>
        </w:tc>
        <w:tc>
          <w:tcPr>
            <w:tcW w:w="1105" w:type="dxa"/>
            <w:tcBorders>
              <w:top w:val="single" w:sz="4" w:space="0" w:color="000000"/>
              <w:left w:val="single" w:sz="4" w:space="0" w:color="000000"/>
              <w:bottom w:val="single" w:sz="4" w:space="0" w:color="000000"/>
              <w:right w:val="single" w:sz="4" w:space="0" w:color="000000"/>
            </w:tcBorders>
          </w:tcPr>
          <w:p w:rsidR="000E3A07" w:rsidRPr="00F369B1" w:rsidP="00B336B9" w14:paraId="7ABDD938" w14:textId="08C1D529">
            <w:pPr>
              <w:ind w:right="20"/>
              <w:jc w:val="center"/>
              <w:rPr>
                <w:sz w:val="24"/>
                <w:szCs w:val="24"/>
              </w:rPr>
            </w:pPr>
            <w:r w:rsidRPr="00F369B1">
              <w:rPr>
                <w:sz w:val="24"/>
                <w:szCs w:val="24"/>
              </w:rPr>
              <w:t>1</w:t>
            </w:r>
          </w:p>
        </w:tc>
        <w:tc>
          <w:tcPr>
            <w:tcW w:w="1425" w:type="dxa"/>
            <w:tcBorders>
              <w:top w:val="single" w:sz="4" w:space="0" w:color="000000"/>
              <w:left w:val="single" w:sz="4" w:space="0" w:color="000000"/>
              <w:bottom w:val="single" w:sz="4" w:space="0" w:color="000000"/>
              <w:right w:val="single" w:sz="4" w:space="0" w:color="000000"/>
            </w:tcBorders>
          </w:tcPr>
          <w:p w:rsidR="000E3A07" w:rsidRPr="00F369B1" w:rsidP="00B336B9" w14:paraId="60433533" w14:textId="5F4F279E">
            <w:pPr>
              <w:ind w:right="-20"/>
              <w:jc w:val="center"/>
              <w:rPr>
                <w:sz w:val="24"/>
                <w:szCs w:val="24"/>
              </w:rPr>
            </w:pPr>
            <w:r w:rsidRPr="00F369B1">
              <w:rPr>
                <w:sz w:val="24"/>
                <w:szCs w:val="24"/>
              </w:rPr>
              <w:t>$</w:t>
            </w:r>
            <w:r w:rsidRPr="00F369B1" w:rsidR="003E2360">
              <w:rPr>
                <w:sz w:val="24"/>
                <w:szCs w:val="24"/>
              </w:rPr>
              <w:t>97.38</w:t>
            </w:r>
          </w:p>
        </w:tc>
        <w:tc>
          <w:tcPr>
            <w:tcW w:w="1624" w:type="dxa"/>
            <w:tcBorders>
              <w:top w:val="single" w:sz="4" w:space="0" w:color="000000"/>
              <w:left w:val="single" w:sz="4" w:space="0" w:color="000000"/>
              <w:bottom w:val="single" w:sz="4" w:space="0" w:color="000000"/>
              <w:right w:val="single" w:sz="4" w:space="0" w:color="000000"/>
            </w:tcBorders>
          </w:tcPr>
          <w:p w:rsidR="000E3A07" w:rsidRPr="00F369B1" w:rsidP="00B336B9" w14:paraId="0D5CC91C" w14:textId="1DD08C41">
            <w:pPr>
              <w:jc w:val="center"/>
              <w:rPr>
                <w:sz w:val="24"/>
                <w:szCs w:val="24"/>
              </w:rPr>
            </w:pPr>
            <w:r w:rsidRPr="00F369B1">
              <w:rPr>
                <w:sz w:val="24"/>
                <w:szCs w:val="24"/>
              </w:rPr>
              <w:t>$</w:t>
            </w:r>
            <w:r w:rsidRPr="00F369B1" w:rsidR="007D71B1">
              <w:rPr>
                <w:sz w:val="24"/>
                <w:szCs w:val="24"/>
              </w:rPr>
              <w:t>140,519.34</w:t>
            </w:r>
          </w:p>
        </w:tc>
      </w:tr>
      <w:tr w14:paraId="5FB12042" w14:textId="77777777" w:rsidTr="00B336B9">
        <w:tblPrEx>
          <w:tblW w:w="9639" w:type="dxa"/>
          <w:tblLayout w:type="fixed"/>
          <w:tblCellMar>
            <w:left w:w="0" w:type="dxa"/>
            <w:right w:w="0" w:type="dxa"/>
          </w:tblCellMar>
          <w:tblLook w:val="01E0"/>
        </w:tblPrEx>
        <w:trPr>
          <w:trHeight w:hRule="exact" w:val="363"/>
        </w:trPr>
        <w:tc>
          <w:tcPr>
            <w:tcW w:w="2425" w:type="dxa"/>
            <w:tcBorders>
              <w:top w:val="single" w:sz="4" w:space="0" w:color="000000"/>
              <w:left w:val="single" w:sz="4" w:space="0" w:color="000000"/>
              <w:bottom w:val="single" w:sz="4" w:space="0" w:color="000000"/>
              <w:right w:val="single" w:sz="4" w:space="0" w:color="000000"/>
            </w:tcBorders>
          </w:tcPr>
          <w:p w:rsidR="000E3A07" w:rsidRPr="00F369B1" w:rsidP="00E419DB" w14:paraId="69D2F976" w14:textId="179A7F77">
            <w:pPr>
              <w:ind w:left="85" w:right="-20"/>
              <w:rPr>
                <w:sz w:val="24"/>
                <w:szCs w:val="24"/>
              </w:rPr>
            </w:pPr>
            <w:r w:rsidRPr="00F369B1">
              <w:rPr>
                <w:sz w:val="24"/>
                <w:szCs w:val="24"/>
              </w:rPr>
              <w:t>Lawyer</w:t>
            </w:r>
            <w:r w:rsidRPr="00F369B1" w:rsidR="00665A8D">
              <w:rPr>
                <w:sz w:val="24"/>
                <w:szCs w:val="24"/>
              </w:rPr>
              <w:t>s</w:t>
            </w:r>
          </w:p>
        </w:tc>
        <w:tc>
          <w:tcPr>
            <w:tcW w:w="1350" w:type="dxa"/>
            <w:tcBorders>
              <w:top w:val="single" w:sz="4" w:space="0" w:color="000000"/>
              <w:left w:val="single" w:sz="4" w:space="0" w:color="000000"/>
              <w:bottom w:val="single" w:sz="4" w:space="0" w:color="000000"/>
              <w:right w:val="single" w:sz="4" w:space="0" w:color="000000"/>
            </w:tcBorders>
          </w:tcPr>
          <w:p w:rsidR="000E3A07" w:rsidRPr="00F369B1" w:rsidP="00B336B9" w14:paraId="5DB922CB" w14:textId="1D18AEDB">
            <w:pPr>
              <w:jc w:val="center"/>
              <w:rPr>
                <w:sz w:val="24"/>
                <w:szCs w:val="24"/>
              </w:rPr>
            </w:pPr>
            <w:r w:rsidRPr="00F369B1">
              <w:rPr>
                <w:sz w:val="24"/>
                <w:szCs w:val="24"/>
              </w:rPr>
              <w:t>1</w:t>
            </w:r>
            <w:r w:rsidRPr="00F369B1" w:rsidR="003F65D0">
              <w:rPr>
                <w:sz w:val="24"/>
                <w:szCs w:val="24"/>
              </w:rPr>
              <w:t>,</w:t>
            </w:r>
            <w:r w:rsidRPr="00F369B1">
              <w:rPr>
                <w:sz w:val="24"/>
                <w:szCs w:val="24"/>
              </w:rPr>
              <w:t>44</w:t>
            </w:r>
            <w:r w:rsidRPr="00F369B1" w:rsidR="00BC7D5E">
              <w:rPr>
                <w:sz w:val="24"/>
                <w:szCs w:val="24"/>
              </w:rPr>
              <w:t>3</w:t>
            </w:r>
          </w:p>
        </w:tc>
        <w:tc>
          <w:tcPr>
            <w:tcW w:w="1710" w:type="dxa"/>
            <w:tcBorders>
              <w:top w:val="single" w:sz="4" w:space="0" w:color="000000"/>
              <w:left w:val="single" w:sz="4" w:space="0" w:color="000000"/>
              <w:bottom w:val="single" w:sz="4" w:space="0" w:color="000000"/>
              <w:right w:val="single" w:sz="4" w:space="0" w:color="000000"/>
            </w:tcBorders>
          </w:tcPr>
          <w:p w:rsidR="000E3A07" w:rsidRPr="00F369B1" w:rsidP="00B336B9" w14:paraId="2278BA69" w14:textId="56AC8447">
            <w:pPr>
              <w:jc w:val="center"/>
              <w:rPr>
                <w:sz w:val="24"/>
                <w:szCs w:val="24"/>
              </w:rPr>
            </w:pPr>
            <w:r w:rsidRPr="00F369B1">
              <w:rPr>
                <w:sz w:val="24"/>
                <w:szCs w:val="24"/>
              </w:rPr>
              <w:t>$</w:t>
            </w:r>
            <w:r w:rsidRPr="00F369B1" w:rsidR="00E43BEC">
              <w:rPr>
                <w:sz w:val="24"/>
                <w:szCs w:val="24"/>
              </w:rPr>
              <w:t>140.16</w:t>
            </w:r>
          </w:p>
        </w:tc>
        <w:tc>
          <w:tcPr>
            <w:tcW w:w="1105" w:type="dxa"/>
            <w:tcBorders>
              <w:top w:val="single" w:sz="4" w:space="0" w:color="000000"/>
              <w:left w:val="single" w:sz="4" w:space="0" w:color="000000"/>
              <w:bottom w:val="single" w:sz="4" w:space="0" w:color="000000"/>
              <w:right w:val="single" w:sz="4" w:space="0" w:color="000000"/>
            </w:tcBorders>
          </w:tcPr>
          <w:p w:rsidR="000E3A07" w:rsidRPr="00F369B1" w:rsidP="00B336B9" w14:paraId="0C9420DE" w14:textId="77777777">
            <w:pPr>
              <w:ind w:right="20"/>
              <w:jc w:val="center"/>
              <w:rPr>
                <w:sz w:val="24"/>
                <w:szCs w:val="24"/>
              </w:rPr>
            </w:pPr>
            <w:r w:rsidRPr="00F369B1">
              <w:rPr>
                <w:sz w:val="24"/>
                <w:szCs w:val="24"/>
              </w:rPr>
              <w:t>0.25</w:t>
            </w:r>
          </w:p>
        </w:tc>
        <w:tc>
          <w:tcPr>
            <w:tcW w:w="1425" w:type="dxa"/>
            <w:tcBorders>
              <w:top w:val="single" w:sz="4" w:space="0" w:color="000000"/>
              <w:left w:val="single" w:sz="4" w:space="0" w:color="000000"/>
              <w:bottom w:val="single" w:sz="4" w:space="0" w:color="000000"/>
              <w:right w:val="single" w:sz="4" w:space="0" w:color="000000"/>
            </w:tcBorders>
          </w:tcPr>
          <w:p w:rsidR="000E3A07" w:rsidRPr="00F369B1" w:rsidP="00B336B9" w14:paraId="29BDAC82" w14:textId="6381F342">
            <w:pPr>
              <w:ind w:right="-20"/>
              <w:jc w:val="center"/>
              <w:rPr>
                <w:sz w:val="24"/>
                <w:szCs w:val="24"/>
              </w:rPr>
            </w:pPr>
            <w:r w:rsidRPr="00F369B1">
              <w:rPr>
                <w:sz w:val="24"/>
                <w:szCs w:val="24"/>
              </w:rPr>
              <w:t>$</w:t>
            </w:r>
            <w:r w:rsidRPr="00F369B1" w:rsidR="003E2360">
              <w:rPr>
                <w:sz w:val="24"/>
                <w:szCs w:val="24"/>
              </w:rPr>
              <w:t>35.04</w:t>
            </w:r>
          </w:p>
        </w:tc>
        <w:tc>
          <w:tcPr>
            <w:tcW w:w="1624" w:type="dxa"/>
            <w:tcBorders>
              <w:top w:val="single" w:sz="4" w:space="0" w:color="000000"/>
              <w:left w:val="single" w:sz="4" w:space="0" w:color="000000"/>
              <w:bottom w:val="single" w:sz="4" w:space="0" w:color="000000"/>
              <w:right w:val="single" w:sz="4" w:space="0" w:color="000000"/>
            </w:tcBorders>
          </w:tcPr>
          <w:p w:rsidR="000E3A07" w:rsidRPr="00F369B1" w:rsidP="00B336B9" w14:paraId="6C8FB21E" w14:textId="2AD1B948">
            <w:pPr>
              <w:jc w:val="center"/>
              <w:rPr>
                <w:sz w:val="24"/>
                <w:szCs w:val="24"/>
              </w:rPr>
            </w:pPr>
            <w:r w:rsidRPr="00F369B1">
              <w:rPr>
                <w:sz w:val="24"/>
                <w:szCs w:val="24"/>
              </w:rPr>
              <w:t>$</w:t>
            </w:r>
            <w:r w:rsidRPr="00F369B1" w:rsidR="007D71B1">
              <w:rPr>
                <w:sz w:val="24"/>
                <w:szCs w:val="24"/>
              </w:rPr>
              <w:t>50,562.72</w:t>
            </w:r>
          </w:p>
        </w:tc>
      </w:tr>
      <w:tr w14:paraId="78029DC4" w14:textId="77777777" w:rsidTr="00B336B9">
        <w:tblPrEx>
          <w:tblW w:w="9639" w:type="dxa"/>
          <w:tblLayout w:type="fixed"/>
          <w:tblCellMar>
            <w:left w:w="0" w:type="dxa"/>
            <w:right w:w="0" w:type="dxa"/>
          </w:tblCellMar>
          <w:tblLook w:val="01E0"/>
        </w:tblPrEx>
        <w:trPr>
          <w:trHeight w:hRule="exact" w:val="363"/>
        </w:trPr>
        <w:tc>
          <w:tcPr>
            <w:tcW w:w="2425" w:type="dxa"/>
            <w:tcBorders>
              <w:top w:val="single" w:sz="4" w:space="0" w:color="000000"/>
              <w:left w:val="single" w:sz="4" w:space="0" w:color="000000"/>
              <w:bottom w:val="single" w:sz="4" w:space="0" w:color="000000"/>
              <w:right w:val="single" w:sz="4" w:space="0" w:color="000000"/>
            </w:tcBorders>
          </w:tcPr>
          <w:p w:rsidR="000E3A07" w:rsidRPr="00F369B1" w:rsidP="00E419DB" w14:paraId="292F6B74" w14:textId="77777777">
            <w:pPr>
              <w:ind w:left="80" w:right="-20"/>
              <w:rPr>
                <w:b/>
                <w:bCs/>
                <w:sz w:val="24"/>
                <w:szCs w:val="24"/>
              </w:rPr>
            </w:pPr>
            <w:r w:rsidRPr="00F369B1">
              <w:rPr>
                <w:b/>
                <w:bCs/>
                <w:sz w:val="24"/>
                <w:szCs w:val="24"/>
              </w:rPr>
              <w:t>Total - Annu</w:t>
            </w:r>
            <w:r w:rsidRPr="00F369B1">
              <w:rPr>
                <w:b/>
                <w:bCs/>
                <w:spacing w:val="-1"/>
                <w:sz w:val="24"/>
                <w:szCs w:val="24"/>
              </w:rPr>
              <w:t>a</w:t>
            </w:r>
            <w:r w:rsidRPr="00F369B1">
              <w:rPr>
                <w:b/>
                <w:bCs/>
                <w:sz w:val="24"/>
                <w:szCs w:val="24"/>
              </w:rPr>
              <w:t>l</w:t>
            </w:r>
          </w:p>
        </w:tc>
        <w:tc>
          <w:tcPr>
            <w:tcW w:w="1350" w:type="dxa"/>
            <w:tcBorders>
              <w:top w:val="single" w:sz="4" w:space="0" w:color="000000"/>
              <w:left w:val="single" w:sz="4" w:space="0" w:color="000000"/>
              <w:bottom w:val="single" w:sz="4" w:space="0" w:color="000000"/>
              <w:right w:val="single" w:sz="4" w:space="0" w:color="000000"/>
            </w:tcBorders>
          </w:tcPr>
          <w:p w:rsidR="000E3A07" w:rsidRPr="00F369B1" w:rsidP="00B336B9" w14:paraId="1B3A1510" w14:textId="77777777">
            <w:pPr>
              <w:jc w:val="center"/>
              <w:rPr>
                <w:b/>
                <w:bCs/>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0E3A07" w:rsidRPr="00F369B1" w:rsidP="00B336B9" w14:paraId="1E46CB13" w14:textId="77777777">
            <w:pPr>
              <w:jc w:val="center"/>
              <w:rPr>
                <w:b/>
                <w:bCs/>
                <w:sz w:val="24"/>
                <w:szCs w:val="24"/>
              </w:rPr>
            </w:pPr>
          </w:p>
        </w:tc>
        <w:tc>
          <w:tcPr>
            <w:tcW w:w="1105" w:type="dxa"/>
            <w:tcBorders>
              <w:top w:val="single" w:sz="4" w:space="0" w:color="000000"/>
              <w:left w:val="single" w:sz="4" w:space="0" w:color="000000"/>
              <w:bottom w:val="single" w:sz="4" w:space="0" w:color="000000"/>
              <w:right w:val="single" w:sz="4" w:space="0" w:color="000000"/>
            </w:tcBorders>
          </w:tcPr>
          <w:p w:rsidR="000E3A07" w:rsidRPr="00F369B1" w:rsidP="00B336B9" w14:paraId="1CE95D97" w14:textId="3A8226A7">
            <w:pPr>
              <w:jc w:val="center"/>
              <w:rPr>
                <w:b/>
                <w:bCs/>
                <w:sz w:val="24"/>
                <w:szCs w:val="24"/>
              </w:rPr>
            </w:pPr>
            <w:r w:rsidRPr="00F369B1">
              <w:rPr>
                <w:b/>
                <w:bCs/>
                <w:sz w:val="24"/>
                <w:szCs w:val="24"/>
              </w:rPr>
              <w:t>3,24</w:t>
            </w:r>
            <w:r w:rsidRPr="00F369B1" w:rsidR="00D031BA">
              <w:rPr>
                <w:b/>
                <w:bCs/>
                <w:sz w:val="24"/>
                <w:szCs w:val="24"/>
              </w:rPr>
              <w:t>6.75</w:t>
            </w:r>
          </w:p>
        </w:tc>
        <w:tc>
          <w:tcPr>
            <w:tcW w:w="1425" w:type="dxa"/>
            <w:tcBorders>
              <w:top w:val="single" w:sz="4" w:space="0" w:color="000000"/>
              <w:left w:val="single" w:sz="4" w:space="0" w:color="000000"/>
              <w:bottom w:val="single" w:sz="4" w:space="0" w:color="000000"/>
              <w:right w:val="single" w:sz="4" w:space="0" w:color="000000"/>
            </w:tcBorders>
          </w:tcPr>
          <w:p w:rsidR="000E3A07" w:rsidRPr="00F369B1" w:rsidP="00B336B9" w14:paraId="3FB81A7C" w14:textId="0D1C7603">
            <w:pPr>
              <w:jc w:val="center"/>
              <w:rPr>
                <w:b/>
                <w:bCs/>
                <w:sz w:val="24"/>
                <w:szCs w:val="24"/>
              </w:rPr>
            </w:pPr>
            <w:r w:rsidRPr="00F369B1">
              <w:rPr>
                <w:b/>
                <w:bCs/>
                <w:sz w:val="24"/>
                <w:szCs w:val="24"/>
              </w:rPr>
              <w:t>$</w:t>
            </w:r>
            <w:r w:rsidRPr="00F369B1" w:rsidR="00332685">
              <w:rPr>
                <w:b/>
                <w:bCs/>
                <w:sz w:val="24"/>
                <w:szCs w:val="24"/>
              </w:rPr>
              <w:t>227.62</w:t>
            </w:r>
          </w:p>
        </w:tc>
        <w:tc>
          <w:tcPr>
            <w:tcW w:w="1624" w:type="dxa"/>
            <w:tcBorders>
              <w:top w:val="single" w:sz="4" w:space="0" w:color="000000"/>
              <w:left w:val="single" w:sz="4" w:space="0" w:color="000000"/>
              <w:bottom w:val="single" w:sz="4" w:space="0" w:color="000000"/>
              <w:right w:val="single" w:sz="4" w:space="0" w:color="000000"/>
            </w:tcBorders>
          </w:tcPr>
          <w:p w:rsidR="000E3A07" w:rsidRPr="00F369B1" w:rsidP="00B336B9" w14:paraId="14DCDC78" w14:textId="0DD2C173">
            <w:pPr>
              <w:ind w:right="-20"/>
              <w:jc w:val="center"/>
              <w:rPr>
                <w:b/>
                <w:bCs/>
                <w:sz w:val="24"/>
                <w:szCs w:val="24"/>
              </w:rPr>
            </w:pPr>
            <w:r w:rsidRPr="00F369B1">
              <w:rPr>
                <w:b/>
                <w:bCs/>
                <w:sz w:val="24"/>
                <w:szCs w:val="24"/>
              </w:rPr>
              <w:t>$</w:t>
            </w:r>
            <w:r w:rsidRPr="00F369B1" w:rsidR="00332685">
              <w:rPr>
                <w:b/>
                <w:bCs/>
                <w:sz w:val="24"/>
                <w:szCs w:val="24"/>
              </w:rPr>
              <w:t>328,455.66</w:t>
            </w:r>
          </w:p>
        </w:tc>
      </w:tr>
      <w:tr w14:paraId="0A024AEE" w14:textId="77777777" w:rsidTr="00B336B9">
        <w:tblPrEx>
          <w:tblW w:w="9639" w:type="dxa"/>
          <w:tblLayout w:type="fixed"/>
          <w:tblCellMar>
            <w:left w:w="0" w:type="dxa"/>
            <w:right w:w="0" w:type="dxa"/>
          </w:tblCellMar>
          <w:tblLook w:val="01E0"/>
        </w:tblPrEx>
        <w:trPr>
          <w:trHeight w:hRule="exact" w:val="552"/>
        </w:trPr>
        <w:tc>
          <w:tcPr>
            <w:tcW w:w="2425" w:type="dxa"/>
            <w:tcBorders>
              <w:top w:val="single" w:sz="4" w:space="0" w:color="000000"/>
              <w:left w:val="single" w:sz="4" w:space="0" w:color="000000"/>
              <w:bottom w:val="single" w:sz="4" w:space="0" w:color="000000"/>
              <w:right w:val="single" w:sz="4" w:space="0" w:color="000000"/>
            </w:tcBorders>
          </w:tcPr>
          <w:p w:rsidR="000E3A07" w:rsidRPr="00F369B1" w:rsidP="00E419DB" w14:paraId="176B4E8F" w14:textId="77777777">
            <w:pPr>
              <w:ind w:left="85" w:right="277"/>
              <w:rPr>
                <w:b/>
                <w:bCs/>
                <w:sz w:val="24"/>
                <w:szCs w:val="24"/>
              </w:rPr>
            </w:pPr>
            <w:r w:rsidRPr="00F369B1">
              <w:rPr>
                <w:b/>
                <w:bCs/>
                <w:sz w:val="24"/>
                <w:szCs w:val="24"/>
              </w:rPr>
              <w:t>Total – T</w:t>
            </w:r>
            <w:r w:rsidRPr="00F369B1">
              <w:rPr>
                <w:b/>
                <w:bCs/>
                <w:spacing w:val="-1"/>
                <w:sz w:val="24"/>
                <w:szCs w:val="24"/>
              </w:rPr>
              <w:t>h</w:t>
            </w:r>
            <w:r w:rsidRPr="00F369B1">
              <w:rPr>
                <w:b/>
                <w:bCs/>
                <w:sz w:val="24"/>
                <w:szCs w:val="24"/>
              </w:rPr>
              <w:t>r</w:t>
            </w:r>
            <w:r w:rsidRPr="00F369B1">
              <w:rPr>
                <w:b/>
                <w:bCs/>
                <w:spacing w:val="-1"/>
                <w:sz w:val="24"/>
                <w:szCs w:val="24"/>
              </w:rPr>
              <w:t>e</w:t>
            </w:r>
            <w:r w:rsidRPr="00F369B1">
              <w:rPr>
                <w:b/>
                <w:bCs/>
                <w:sz w:val="24"/>
                <w:szCs w:val="24"/>
              </w:rPr>
              <w:t>e Years</w:t>
            </w:r>
          </w:p>
        </w:tc>
        <w:tc>
          <w:tcPr>
            <w:tcW w:w="1350" w:type="dxa"/>
            <w:tcBorders>
              <w:top w:val="single" w:sz="4" w:space="0" w:color="000000"/>
              <w:left w:val="single" w:sz="4" w:space="0" w:color="000000"/>
              <w:bottom w:val="single" w:sz="4" w:space="0" w:color="000000"/>
              <w:right w:val="single" w:sz="4" w:space="0" w:color="000000"/>
            </w:tcBorders>
          </w:tcPr>
          <w:p w:rsidR="000E3A07" w:rsidRPr="00F369B1" w:rsidP="00B336B9" w14:paraId="0AB17C39" w14:textId="77777777">
            <w:pPr>
              <w:jc w:val="center"/>
              <w:rPr>
                <w:b/>
                <w:bCs/>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0E3A07" w:rsidRPr="00F369B1" w:rsidP="00B336B9" w14:paraId="55F759FE" w14:textId="77777777">
            <w:pPr>
              <w:jc w:val="center"/>
              <w:rPr>
                <w:b/>
                <w:bCs/>
                <w:sz w:val="24"/>
                <w:szCs w:val="24"/>
              </w:rPr>
            </w:pPr>
          </w:p>
        </w:tc>
        <w:tc>
          <w:tcPr>
            <w:tcW w:w="1105" w:type="dxa"/>
            <w:tcBorders>
              <w:top w:val="single" w:sz="4" w:space="0" w:color="000000"/>
              <w:left w:val="single" w:sz="4" w:space="0" w:color="000000"/>
              <w:bottom w:val="single" w:sz="4" w:space="0" w:color="000000"/>
              <w:right w:val="single" w:sz="4" w:space="0" w:color="000000"/>
            </w:tcBorders>
          </w:tcPr>
          <w:p w:rsidR="000E3A07" w:rsidRPr="00F369B1" w:rsidP="00B336B9" w14:paraId="0D444376" w14:textId="7618D1A3">
            <w:pPr>
              <w:jc w:val="center"/>
              <w:rPr>
                <w:b/>
                <w:bCs/>
                <w:sz w:val="24"/>
                <w:szCs w:val="24"/>
              </w:rPr>
            </w:pPr>
            <w:r w:rsidRPr="00F369B1">
              <w:rPr>
                <w:b/>
                <w:bCs/>
                <w:sz w:val="24"/>
                <w:szCs w:val="24"/>
              </w:rPr>
              <w:t>9,7</w:t>
            </w:r>
            <w:r w:rsidRPr="00F369B1" w:rsidR="00D031BA">
              <w:rPr>
                <w:b/>
                <w:bCs/>
                <w:sz w:val="24"/>
                <w:szCs w:val="24"/>
              </w:rPr>
              <w:t>40.25</w:t>
            </w:r>
          </w:p>
        </w:tc>
        <w:tc>
          <w:tcPr>
            <w:tcW w:w="1425" w:type="dxa"/>
            <w:tcBorders>
              <w:top w:val="single" w:sz="4" w:space="0" w:color="000000"/>
              <w:left w:val="single" w:sz="4" w:space="0" w:color="000000"/>
              <w:bottom w:val="single" w:sz="4" w:space="0" w:color="000000"/>
              <w:right w:val="single" w:sz="4" w:space="0" w:color="000000"/>
            </w:tcBorders>
          </w:tcPr>
          <w:p w:rsidR="000E3A07" w:rsidRPr="00F369B1" w:rsidP="00B336B9" w14:paraId="0EDCC5B6" w14:textId="77777777">
            <w:pPr>
              <w:jc w:val="center"/>
              <w:rPr>
                <w:b/>
                <w:bCs/>
                <w:sz w:val="24"/>
                <w:szCs w:val="24"/>
              </w:rPr>
            </w:pPr>
          </w:p>
        </w:tc>
        <w:tc>
          <w:tcPr>
            <w:tcW w:w="1624" w:type="dxa"/>
            <w:tcBorders>
              <w:top w:val="single" w:sz="4" w:space="0" w:color="000000"/>
              <w:left w:val="single" w:sz="4" w:space="0" w:color="000000"/>
              <w:bottom w:val="single" w:sz="4" w:space="0" w:color="000000"/>
              <w:right w:val="single" w:sz="4" w:space="0" w:color="000000"/>
            </w:tcBorders>
          </w:tcPr>
          <w:p w:rsidR="000E3A07" w:rsidRPr="00F369B1" w:rsidP="00B336B9" w14:paraId="4699814D" w14:textId="29C770BF">
            <w:pPr>
              <w:ind w:left="112" w:right="-20"/>
              <w:jc w:val="center"/>
              <w:rPr>
                <w:b/>
                <w:bCs/>
                <w:sz w:val="24"/>
                <w:szCs w:val="24"/>
              </w:rPr>
            </w:pPr>
            <w:r w:rsidRPr="00F369B1">
              <w:rPr>
                <w:b/>
                <w:bCs/>
                <w:sz w:val="24"/>
                <w:szCs w:val="24"/>
              </w:rPr>
              <w:t>$</w:t>
            </w:r>
            <w:r w:rsidRPr="00F369B1" w:rsidR="00332685">
              <w:rPr>
                <w:b/>
                <w:bCs/>
                <w:sz w:val="24"/>
                <w:szCs w:val="24"/>
              </w:rPr>
              <w:t>985,366.98</w:t>
            </w:r>
          </w:p>
        </w:tc>
      </w:tr>
    </w:tbl>
    <w:p w:rsidR="00841201" w:rsidRPr="00F369B1" w:rsidP="00E731D8" w14:paraId="15014BC7" w14:textId="6D27131D">
      <w:pPr>
        <w:pStyle w:val="BodyText"/>
        <w:spacing w:before="7"/>
        <w:rPr>
          <w:b/>
        </w:rPr>
      </w:pPr>
    </w:p>
    <w:p w:rsidR="00B336B9" w:rsidRPr="00F369B1" w:rsidP="00B336B9" w14:paraId="017F2D55" w14:textId="288CCBD7">
      <w:pPr>
        <w:pStyle w:val="Body"/>
        <w:spacing w:after="0"/>
        <w:rPr>
          <w:rFonts w:eastAsia="Calibri"/>
          <w:b/>
        </w:rPr>
      </w:pPr>
      <w:r w:rsidRPr="00F369B1">
        <w:rPr>
          <w:rFonts w:eastAsia="Calibri"/>
          <w:b/>
        </w:rPr>
        <w:t>Table 4. Summary of Total Annual Burden</w:t>
      </w:r>
    </w:p>
    <w:p w:rsidR="008167FE" w:rsidRPr="00F369B1" w:rsidP="00B336B9" w14:paraId="0ABBAA53" w14:textId="6BC50C8B">
      <w:pPr>
        <w:pStyle w:val="Body"/>
        <w:spacing w:after="0"/>
        <w:rPr>
          <w:rFonts w:eastAsia="Calibri"/>
          <w:b/>
        </w:rPr>
      </w:pPr>
      <w:r w:rsidRPr="00F369B1">
        <w:rPr>
          <w:rFonts w:eastAsia="Calibri"/>
          <w:b/>
        </w:rPr>
        <w:t xml:space="preserve"> </w:t>
      </w:r>
    </w:p>
    <w:tbl>
      <w:tblPr>
        <w:tblStyle w:val="TableGrid"/>
        <w:tblW w:w="9645" w:type="dxa"/>
        <w:tblInd w:w="0" w:type="dxa"/>
        <w:tblLayout w:type="fixed"/>
        <w:tblLook w:val="04A0"/>
      </w:tblPr>
      <w:tblGrid>
        <w:gridCol w:w="4225"/>
        <w:gridCol w:w="2435"/>
        <w:gridCol w:w="1165"/>
        <w:gridCol w:w="1820"/>
      </w:tblGrid>
      <w:tr w14:paraId="7F76EBE3" w14:textId="77777777" w:rsidTr="00F07032">
        <w:tblPrEx>
          <w:tblW w:w="9645" w:type="dxa"/>
          <w:tblInd w:w="0" w:type="dxa"/>
          <w:tblLayout w:type="fixed"/>
          <w:tblLook w:val="04A0"/>
        </w:tblPrEx>
        <w:trPr>
          <w:trHeight w:val="559"/>
        </w:trPr>
        <w:tc>
          <w:tcPr>
            <w:tcW w:w="4225" w:type="dxa"/>
            <w:tcBorders>
              <w:top w:val="single" w:sz="4" w:space="0" w:color="auto"/>
              <w:left w:val="single" w:sz="4" w:space="0" w:color="auto"/>
              <w:bottom w:val="single" w:sz="4" w:space="0" w:color="auto"/>
              <w:right w:val="single" w:sz="4" w:space="0" w:color="auto"/>
            </w:tcBorders>
            <w:vAlign w:val="center"/>
            <w:hideMark/>
          </w:tcPr>
          <w:p w:rsidR="008167FE" w:rsidRPr="00F369B1" w:rsidP="00615282" w14:paraId="5C81F85C" w14:textId="77777777">
            <w:pPr>
              <w:rPr>
                <w:b/>
                <w:bCs/>
                <w:sz w:val="24"/>
                <w:szCs w:val="24"/>
              </w:rPr>
            </w:pPr>
            <w:bookmarkStart w:id="13" w:name="_Hlk152944573"/>
            <w:r w:rsidRPr="00F369B1">
              <w:rPr>
                <w:b/>
                <w:bCs/>
                <w:sz w:val="24"/>
                <w:szCs w:val="24"/>
              </w:rPr>
              <w:t>Table Number: Name</w:t>
            </w:r>
          </w:p>
        </w:tc>
        <w:tc>
          <w:tcPr>
            <w:tcW w:w="2435" w:type="dxa"/>
            <w:tcBorders>
              <w:top w:val="single" w:sz="4" w:space="0" w:color="auto"/>
              <w:left w:val="single" w:sz="4" w:space="0" w:color="auto"/>
              <w:bottom w:val="single" w:sz="4" w:space="0" w:color="auto"/>
              <w:right w:val="single" w:sz="4" w:space="0" w:color="auto"/>
            </w:tcBorders>
            <w:vAlign w:val="center"/>
            <w:hideMark/>
          </w:tcPr>
          <w:p w:rsidR="008167FE" w:rsidRPr="00F369B1" w:rsidP="00615282" w14:paraId="0121C2D5" w14:textId="77777777">
            <w:pPr>
              <w:jc w:val="center"/>
              <w:rPr>
                <w:b/>
                <w:bCs/>
                <w:sz w:val="24"/>
                <w:szCs w:val="24"/>
              </w:rPr>
            </w:pPr>
            <w:r w:rsidRPr="00F369B1">
              <w:rPr>
                <w:b/>
                <w:bCs/>
                <w:sz w:val="24"/>
                <w:szCs w:val="24"/>
              </w:rPr>
              <w:t>CFR Section</w:t>
            </w:r>
          </w:p>
        </w:tc>
        <w:tc>
          <w:tcPr>
            <w:tcW w:w="1165" w:type="dxa"/>
            <w:tcBorders>
              <w:top w:val="single" w:sz="4" w:space="0" w:color="auto"/>
              <w:left w:val="single" w:sz="4" w:space="0" w:color="auto"/>
              <w:bottom w:val="single" w:sz="4" w:space="0" w:color="auto"/>
              <w:right w:val="single" w:sz="4" w:space="0" w:color="auto"/>
            </w:tcBorders>
            <w:vAlign w:val="center"/>
            <w:hideMark/>
          </w:tcPr>
          <w:p w:rsidR="008167FE" w:rsidRPr="00F369B1" w:rsidP="00615282" w14:paraId="073C1DF4" w14:textId="77777777">
            <w:pPr>
              <w:jc w:val="center"/>
              <w:rPr>
                <w:rFonts w:eastAsia="Calibri"/>
                <w:b/>
                <w:bCs/>
                <w:sz w:val="24"/>
                <w:szCs w:val="24"/>
              </w:rPr>
            </w:pPr>
            <w:r w:rsidRPr="00F369B1">
              <w:rPr>
                <w:b/>
                <w:bCs/>
                <w:spacing w:val="-2"/>
                <w:sz w:val="24"/>
                <w:szCs w:val="24"/>
              </w:rPr>
              <w:t>B</w:t>
            </w:r>
            <w:r w:rsidRPr="00F369B1">
              <w:rPr>
                <w:b/>
                <w:bCs/>
                <w:sz w:val="24"/>
                <w:szCs w:val="24"/>
              </w:rPr>
              <w:t>u</w:t>
            </w:r>
            <w:r w:rsidRPr="00F369B1">
              <w:rPr>
                <w:b/>
                <w:bCs/>
                <w:spacing w:val="-1"/>
                <w:sz w:val="24"/>
                <w:szCs w:val="24"/>
              </w:rPr>
              <w:t>r</w:t>
            </w:r>
            <w:r w:rsidRPr="00F369B1">
              <w:rPr>
                <w:b/>
                <w:bCs/>
                <w:sz w:val="24"/>
                <w:szCs w:val="24"/>
              </w:rPr>
              <w:t>d</w:t>
            </w:r>
            <w:r w:rsidRPr="00F369B1">
              <w:rPr>
                <w:b/>
                <w:bCs/>
                <w:spacing w:val="-1"/>
                <w:sz w:val="24"/>
                <w:szCs w:val="24"/>
              </w:rPr>
              <w:t>e</w:t>
            </w:r>
            <w:r w:rsidRPr="00F369B1">
              <w:rPr>
                <w:b/>
                <w:bCs/>
                <w:sz w:val="24"/>
                <w:szCs w:val="24"/>
              </w:rPr>
              <w:t>n Hou</w:t>
            </w:r>
            <w:r w:rsidRPr="00F369B1">
              <w:rPr>
                <w:b/>
                <w:bCs/>
                <w:spacing w:val="-1"/>
                <w:sz w:val="24"/>
                <w:szCs w:val="24"/>
              </w:rPr>
              <w:t>r</w:t>
            </w:r>
            <w:r w:rsidRPr="00F369B1">
              <w:rPr>
                <w:b/>
                <w:bCs/>
                <w:sz w:val="24"/>
                <w:szCs w:val="24"/>
              </w:rPr>
              <w:t>s</w:t>
            </w:r>
          </w:p>
        </w:tc>
        <w:tc>
          <w:tcPr>
            <w:tcW w:w="1820" w:type="dxa"/>
            <w:tcBorders>
              <w:top w:val="single" w:sz="4" w:space="0" w:color="auto"/>
              <w:left w:val="single" w:sz="4" w:space="0" w:color="auto"/>
              <w:bottom w:val="single" w:sz="4" w:space="0" w:color="auto"/>
              <w:right w:val="single" w:sz="4" w:space="0" w:color="auto"/>
            </w:tcBorders>
            <w:vAlign w:val="center"/>
            <w:hideMark/>
          </w:tcPr>
          <w:p w:rsidR="008167FE" w:rsidRPr="00F369B1" w:rsidP="00615282" w14:paraId="2855D270" w14:textId="77777777">
            <w:pPr>
              <w:jc w:val="center"/>
              <w:rPr>
                <w:b/>
                <w:bCs/>
                <w:sz w:val="24"/>
                <w:szCs w:val="24"/>
              </w:rPr>
            </w:pPr>
            <w:r w:rsidRPr="00F369B1">
              <w:rPr>
                <w:b/>
                <w:bCs/>
                <w:sz w:val="24"/>
                <w:szCs w:val="24"/>
              </w:rPr>
              <w:t>Burden Cost</w:t>
            </w:r>
          </w:p>
        </w:tc>
      </w:tr>
      <w:tr w14:paraId="192B0162" w14:textId="77777777" w:rsidTr="00B336B9">
        <w:tblPrEx>
          <w:tblW w:w="9645" w:type="dxa"/>
          <w:tblInd w:w="0" w:type="dxa"/>
          <w:tblLayout w:type="fixed"/>
          <w:tblLook w:val="04A0"/>
        </w:tblPrEx>
        <w:tc>
          <w:tcPr>
            <w:tcW w:w="4225" w:type="dxa"/>
            <w:tcBorders>
              <w:top w:val="single" w:sz="4" w:space="0" w:color="auto"/>
              <w:left w:val="single" w:sz="4" w:space="0" w:color="auto"/>
              <w:bottom w:val="single" w:sz="4" w:space="0" w:color="auto"/>
              <w:right w:val="single" w:sz="4" w:space="0" w:color="auto"/>
            </w:tcBorders>
            <w:vAlign w:val="center"/>
          </w:tcPr>
          <w:p w:rsidR="008167FE" w:rsidRPr="00F369B1" w:rsidP="00615282" w14:paraId="104459D1" w14:textId="1001485D">
            <w:pPr>
              <w:rPr>
                <w:sz w:val="24"/>
                <w:szCs w:val="24"/>
              </w:rPr>
            </w:pPr>
            <w:r w:rsidRPr="00F369B1">
              <w:rPr>
                <w:sz w:val="24"/>
                <w:szCs w:val="24"/>
              </w:rPr>
              <w:t>Table 2: Burden for QHP Issuers Developing Segregation Plans</w:t>
            </w:r>
          </w:p>
        </w:tc>
        <w:tc>
          <w:tcPr>
            <w:tcW w:w="2435" w:type="dxa"/>
            <w:tcBorders>
              <w:top w:val="single" w:sz="4" w:space="0" w:color="auto"/>
              <w:left w:val="single" w:sz="4" w:space="0" w:color="auto"/>
              <w:bottom w:val="single" w:sz="4" w:space="0" w:color="auto"/>
              <w:right w:val="single" w:sz="4" w:space="0" w:color="auto"/>
            </w:tcBorders>
            <w:vAlign w:val="center"/>
          </w:tcPr>
          <w:p w:rsidR="008167FE" w:rsidRPr="00F369B1" w:rsidP="00615282" w14:paraId="293669D7" w14:textId="0E7DFC4E">
            <w:pPr>
              <w:jc w:val="center"/>
              <w:rPr>
                <w:sz w:val="24"/>
                <w:szCs w:val="24"/>
              </w:rPr>
            </w:pPr>
            <w:r w:rsidRPr="00F369B1">
              <w:rPr>
                <w:sz w:val="24"/>
                <w:szCs w:val="24"/>
              </w:rPr>
              <w:t>45 C.F.R 156.280(e)(5)(ii)</w:t>
            </w:r>
          </w:p>
        </w:tc>
        <w:tc>
          <w:tcPr>
            <w:tcW w:w="1165" w:type="dxa"/>
            <w:tcBorders>
              <w:top w:val="single" w:sz="4" w:space="0" w:color="auto"/>
              <w:left w:val="single" w:sz="4" w:space="0" w:color="auto"/>
              <w:bottom w:val="single" w:sz="4" w:space="0" w:color="auto"/>
              <w:right w:val="single" w:sz="4" w:space="0" w:color="auto"/>
            </w:tcBorders>
            <w:vAlign w:val="center"/>
          </w:tcPr>
          <w:p w:rsidR="00A16099" w:rsidRPr="00F369B1" w:rsidP="00A16099" w14:paraId="27871873" w14:textId="20A0F04F">
            <w:pPr>
              <w:jc w:val="center"/>
              <w:rPr>
                <w:spacing w:val="-2"/>
                <w:sz w:val="24"/>
                <w:szCs w:val="24"/>
              </w:rPr>
            </w:pPr>
            <w:r w:rsidRPr="00F369B1">
              <w:rPr>
                <w:spacing w:val="-2"/>
                <w:sz w:val="24"/>
                <w:szCs w:val="24"/>
              </w:rPr>
              <w:t>2</w:t>
            </w:r>
            <w:r w:rsidRPr="00F369B1" w:rsidR="00A77E61">
              <w:rPr>
                <w:spacing w:val="-2"/>
                <w:sz w:val="24"/>
                <w:szCs w:val="24"/>
              </w:rPr>
              <w:t>,</w:t>
            </w:r>
            <w:r w:rsidRPr="00F369B1">
              <w:rPr>
                <w:spacing w:val="-2"/>
                <w:sz w:val="24"/>
                <w:szCs w:val="24"/>
              </w:rPr>
              <w:t>262</w:t>
            </w:r>
          </w:p>
        </w:tc>
        <w:tc>
          <w:tcPr>
            <w:tcW w:w="1820" w:type="dxa"/>
            <w:tcBorders>
              <w:top w:val="single" w:sz="4" w:space="0" w:color="auto"/>
              <w:left w:val="single" w:sz="4" w:space="0" w:color="auto"/>
              <w:bottom w:val="single" w:sz="4" w:space="0" w:color="auto"/>
              <w:right w:val="single" w:sz="4" w:space="0" w:color="auto"/>
            </w:tcBorders>
            <w:vAlign w:val="center"/>
          </w:tcPr>
          <w:p w:rsidR="008167FE" w:rsidRPr="00F369B1" w:rsidP="00615282" w14:paraId="04C1C83A" w14:textId="31BD2F27">
            <w:pPr>
              <w:jc w:val="center"/>
              <w:rPr>
                <w:sz w:val="24"/>
                <w:szCs w:val="24"/>
              </w:rPr>
            </w:pPr>
            <w:r w:rsidRPr="00F369B1">
              <w:rPr>
                <w:sz w:val="24"/>
                <w:szCs w:val="24"/>
              </w:rPr>
              <w:t>$</w:t>
            </w:r>
            <w:r w:rsidRPr="00F369B1" w:rsidR="000A648A">
              <w:rPr>
                <w:sz w:val="24"/>
                <w:szCs w:val="24"/>
              </w:rPr>
              <w:t>230,847.54</w:t>
            </w:r>
          </w:p>
        </w:tc>
      </w:tr>
      <w:tr w14:paraId="371071B4" w14:textId="77777777" w:rsidTr="00B336B9">
        <w:tblPrEx>
          <w:tblW w:w="9645" w:type="dxa"/>
          <w:tblInd w:w="0" w:type="dxa"/>
          <w:tblLayout w:type="fixed"/>
          <w:tblLook w:val="04A0"/>
        </w:tblPrEx>
        <w:tc>
          <w:tcPr>
            <w:tcW w:w="4225" w:type="dxa"/>
            <w:tcBorders>
              <w:top w:val="single" w:sz="4" w:space="0" w:color="auto"/>
              <w:left w:val="single" w:sz="4" w:space="0" w:color="auto"/>
              <w:bottom w:val="single" w:sz="4" w:space="0" w:color="auto"/>
              <w:right w:val="single" w:sz="4" w:space="0" w:color="auto"/>
            </w:tcBorders>
            <w:vAlign w:val="center"/>
          </w:tcPr>
          <w:p w:rsidR="008167FE" w:rsidRPr="00F369B1" w:rsidP="00615282" w14:paraId="21E0DBCE" w14:textId="5D515FE4">
            <w:pPr>
              <w:rPr>
                <w:sz w:val="24"/>
                <w:szCs w:val="24"/>
              </w:rPr>
            </w:pPr>
            <w:r w:rsidRPr="00F369B1">
              <w:rPr>
                <w:sz w:val="24"/>
                <w:szCs w:val="24"/>
              </w:rPr>
              <w:t>Table 3: Burden for QHP Issuers Submitting Attestations</w:t>
            </w:r>
          </w:p>
        </w:tc>
        <w:tc>
          <w:tcPr>
            <w:tcW w:w="2435" w:type="dxa"/>
            <w:tcBorders>
              <w:top w:val="single" w:sz="4" w:space="0" w:color="auto"/>
              <w:left w:val="single" w:sz="4" w:space="0" w:color="auto"/>
              <w:bottom w:val="single" w:sz="4" w:space="0" w:color="auto"/>
              <w:right w:val="single" w:sz="4" w:space="0" w:color="auto"/>
            </w:tcBorders>
            <w:vAlign w:val="center"/>
          </w:tcPr>
          <w:p w:rsidR="008167FE" w:rsidRPr="00F369B1" w:rsidP="00615282" w14:paraId="4A5D2116" w14:textId="7223898F">
            <w:pPr>
              <w:jc w:val="center"/>
              <w:rPr>
                <w:sz w:val="24"/>
                <w:szCs w:val="24"/>
              </w:rPr>
            </w:pPr>
            <w:r w:rsidRPr="00F369B1">
              <w:rPr>
                <w:sz w:val="24"/>
                <w:szCs w:val="24"/>
              </w:rPr>
              <w:t>45 C.F.R. 156.280(e)(5)(iii)</w:t>
            </w:r>
          </w:p>
        </w:tc>
        <w:tc>
          <w:tcPr>
            <w:tcW w:w="1165" w:type="dxa"/>
            <w:tcBorders>
              <w:top w:val="single" w:sz="4" w:space="0" w:color="auto"/>
              <w:left w:val="single" w:sz="4" w:space="0" w:color="auto"/>
              <w:bottom w:val="single" w:sz="4" w:space="0" w:color="auto"/>
              <w:right w:val="single" w:sz="4" w:space="0" w:color="auto"/>
            </w:tcBorders>
            <w:vAlign w:val="center"/>
          </w:tcPr>
          <w:p w:rsidR="008167FE" w:rsidRPr="00F369B1" w:rsidP="00615282" w14:paraId="71CB2C1F" w14:textId="5660A918">
            <w:pPr>
              <w:jc w:val="center"/>
              <w:rPr>
                <w:spacing w:val="-2"/>
                <w:sz w:val="24"/>
                <w:szCs w:val="24"/>
              </w:rPr>
            </w:pPr>
            <w:r w:rsidRPr="00F369B1">
              <w:rPr>
                <w:spacing w:val="-2"/>
                <w:sz w:val="24"/>
                <w:szCs w:val="24"/>
              </w:rPr>
              <w:t>3,</w:t>
            </w:r>
            <w:r w:rsidRPr="00F369B1" w:rsidR="00A16099">
              <w:rPr>
                <w:spacing w:val="-2"/>
                <w:sz w:val="24"/>
                <w:szCs w:val="24"/>
              </w:rPr>
              <w:t>246.75</w:t>
            </w:r>
          </w:p>
        </w:tc>
        <w:tc>
          <w:tcPr>
            <w:tcW w:w="1820" w:type="dxa"/>
            <w:tcBorders>
              <w:top w:val="single" w:sz="4" w:space="0" w:color="auto"/>
              <w:left w:val="single" w:sz="4" w:space="0" w:color="auto"/>
              <w:bottom w:val="single" w:sz="4" w:space="0" w:color="auto"/>
              <w:right w:val="single" w:sz="4" w:space="0" w:color="auto"/>
            </w:tcBorders>
            <w:vAlign w:val="center"/>
          </w:tcPr>
          <w:p w:rsidR="008167FE" w:rsidRPr="00F369B1" w:rsidP="00615282" w14:paraId="1A688704" w14:textId="6630E644">
            <w:pPr>
              <w:jc w:val="center"/>
              <w:rPr>
                <w:sz w:val="24"/>
                <w:szCs w:val="24"/>
              </w:rPr>
            </w:pPr>
            <w:r w:rsidRPr="00F369B1">
              <w:rPr>
                <w:sz w:val="24"/>
                <w:szCs w:val="24"/>
              </w:rPr>
              <w:t>$</w:t>
            </w:r>
            <w:r w:rsidRPr="00F369B1" w:rsidR="000A648A">
              <w:rPr>
                <w:sz w:val="24"/>
                <w:szCs w:val="24"/>
              </w:rPr>
              <w:t>328,455.66</w:t>
            </w:r>
          </w:p>
        </w:tc>
      </w:tr>
      <w:tr w14:paraId="7A1DDFB7" w14:textId="77777777" w:rsidTr="00F07032">
        <w:tblPrEx>
          <w:tblW w:w="9645" w:type="dxa"/>
          <w:tblInd w:w="0" w:type="dxa"/>
          <w:tblLayout w:type="fixed"/>
          <w:tblLook w:val="04A0"/>
        </w:tblPrEx>
        <w:trPr>
          <w:trHeight w:val="487"/>
        </w:trPr>
        <w:tc>
          <w:tcPr>
            <w:tcW w:w="4225" w:type="dxa"/>
            <w:tcBorders>
              <w:top w:val="single" w:sz="4" w:space="0" w:color="auto"/>
              <w:left w:val="single" w:sz="4" w:space="0" w:color="auto"/>
              <w:bottom w:val="single" w:sz="4" w:space="0" w:color="auto"/>
              <w:right w:val="single" w:sz="4" w:space="0" w:color="auto"/>
            </w:tcBorders>
          </w:tcPr>
          <w:p w:rsidR="008167FE" w:rsidRPr="00F369B1" w:rsidP="000A648A" w14:paraId="0E6533A0" w14:textId="77777777">
            <w:pPr>
              <w:rPr>
                <w:b/>
                <w:bCs/>
                <w:sz w:val="24"/>
                <w:szCs w:val="24"/>
              </w:rPr>
            </w:pPr>
            <w:r w:rsidRPr="00F369B1">
              <w:rPr>
                <w:b/>
                <w:bCs/>
                <w:sz w:val="24"/>
                <w:szCs w:val="24"/>
              </w:rPr>
              <w:t>Total</w:t>
            </w:r>
          </w:p>
        </w:tc>
        <w:tc>
          <w:tcPr>
            <w:tcW w:w="2435" w:type="dxa"/>
            <w:tcBorders>
              <w:top w:val="single" w:sz="4" w:space="0" w:color="auto"/>
              <w:left w:val="single" w:sz="4" w:space="0" w:color="auto"/>
              <w:bottom w:val="single" w:sz="4" w:space="0" w:color="auto"/>
              <w:right w:val="single" w:sz="4" w:space="0" w:color="auto"/>
            </w:tcBorders>
          </w:tcPr>
          <w:p w:rsidR="008167FE" w:rsidRPr="00F369B1" w:rsidP="000A648A" w14:paraId="5B7A337A" w14:textId="77777777">
            <w:pPr>
              <w:jc w:val="center"/>
              <w:rPr>
                <w:sz w:val="24"/>
                <w:szCs w:val="24"/>
              </w:rPr>
            </w:pPr>
          </w:p>
        </w:tc>
        <w:tc>
          <w:tcPr>
            <w:tcW w:w="1165" w:type="dxa"/>
            <w:tcBorders>
              <w:top w:val="single" w:sz="4" w:space="0" w:color="auto"/>
              <w:left w:val="single" w:sz="4" w:space="0" w:color="auto"/>
              <w:bottom w:val="single" w:sz="4" w:space="0" w:color="auto"/>
              <w:right w:val="single" w:sz="4" w:space="0" w:color="auto"/>
            </w:tcBorders>
          </w:tcPr>
          <w:p w:rsidR="008167FE" w:rsidRPr="00F369B1" w:rsidP="000A648A" w14:paraId="7A15AB8E" w14:textId="01C50E88">
            <w:pPr>
              <w:jc w:val="center"/>
              <w:rPr>
                <w:b/>
                <w:bCs/>
                <w:sz w:val="24"/>
                <w:szCs w:val="24"/>
              </w:rPr>
            </w:pPr>
            <w:r w:rsidRPr="00F369B1">
              <w:rPr>
                <w:b/>
                <w:bCs/>
                <w:sz w:val="24"/>
                <w:szCs w:val="24"/>
              </w:rPr>
              <w:t>5,508.75</w:t>
            </w:r>
          </w:p>
        </w:tc>
        <w:tc>
          <w:tcPr>
            <w:tcW w:w="1820" w:type="dxa"/>
            <w:tcBorders>
              <w:top w:val="single" w:sz="4" w:space="0" w:color="auto"/>
              <w:left w:val="single" w:sz="4" w:space="0" w:color="auto"/>
              <w:bottom w:val="single" w:sz="4" w:space="0" w:color="auto"/>
              <w:right w:val="single" w:sz="4" w:space="0" w:color="auto"/>
            </w:tcBorders>
          </w:tcPr>
          <w:p w:rsidR="008167FE" w:rsidRPr="00F369B1" w:rsidP="000A648A" w14:paraId="2C63576E" w14:textId="0A6ABAE6">
            <w:pPr>
              <w:jc w:val="center"/>
              <w:rPr>
                <w:b/>
                <w:bCs/>
                <w:sz w:val="24"/>
                <w:szCs w:val="24"/>
              </w:rPr>
            </w:pPr>
            <w:r w:rsidRPr="00F369B1">
              <w:rPr>
                <w:b/>
                <w:bCs/>
                <w:sz w:val="24"/>
                <w:szCs w:val="24"/>
              </w:rPr>
              <w:t>$</w:t>
            </w:r>
            <w:r w:rsidRPr="00F369B1" w:rsidR="000A648A">
              <w:rPr>
                <w:b/>
                <w:bCs/>
                <w:sz w:val="24"/>
                <w:szCs w:val="24"/>
              </w:rPr>
              <w:t>559</w:t>
            </w:r>
            <w:r w:rsidRPr="00F369B1" w:rsidR="004D6BEB">
              <w:rPr>
                <w:b/>
                <w:bCs/>
                <w:sz w:val="24"/>
                <w:szCs w:val="24"/>
              </w:rPr>
              <w:t>,</w:t>
            </w:r>
            <w:r w:rsidRPr="00F369B1" w:rsidR="000A648A">
              <w:rPr>
                <w:b/>
                <w:bCs/>
                <w:sz w:val="24"/>
                <w:szCs w:val="24"/>
              </w:rPr>
              <w:t>303.20</w:t>
            </w:r>
          </w:p>
        </w:tc>
      </w:tr>
      <w:bookmarkEnd w:id="13"/>
    </w:tbl>
    <w:p w:rsidR="00DA25D9" w:rsidRPr="00F369B1" w:rsidP="00E731D8" w14:paraId="0F8E29F4" w14:textId="77777777">
      <w:pPr>
        <w:pStyle w:val="BodyText"/>
        <w:spacing w:before="7"/>
        <w:rPr>
          <w:b/>
        </w:rPr>
      </w:pPr>
    </w:p>
    <w:p w:rsidR="00841201" w:rsidRPr="00F369B1" w:rsidP="00AE2910" w14:paraId="6DC4D76C" w14:textId="77777777">
      <w:pPr>
        <w:pStyle w:val="ListParagraph"/>
        <w:numPr>
          <w:ilvl w:val="0"/>
          <w:numId w:val="1"/>
        </w:numPr>
        <w:tabs>
          <w:tab w:val="left" w:pos="601"/>
        </w:tabs>
        <w:ind w:left="600" w:hanging="600"/>
        <w:rPr>
          <w:sz w:val="24"/>
          <w:szCs w:val="24"/>
        </w:rPr>
      </w:pPr>
      <w:r w:rsidRPr="00F369B1">
        <w:rPr>
          <w:sz w:val="24"/>
          <w:szCs w:val="24"/>
          <w:u w:val="single"/>
        </w:rPr>
        <w:t>Capital</w:t>
      </w:r>
      <w:r w:rsidRPr="00F369B1">
        <w:rPr>
          <w:spacing w:val="-1"/>
          <w:sz w:val="24"/>
          <w:szCs w:val="24"/>
          <w:u w:val="single"/>
        </w:rPr>
        <w:t xml:space="preserve"> </w:t>
      </w:r>
      <w:r w:rsidRPr="00F369B1">
        <w:rPr>
          <w:sz w:val="24"/>
          <w:szCs w:val="24"/>
          <w:u w:val="single"/>
        </w:rPr>
        <w:t>Costs</w:t>
      </w:r>
    </w:p>
    <w:p w:rsidR="00841201" w:rsidRPr="00F369B1" w:rsidP="00AE2910" w14:paraId="33894B0A" w14:textId="77777777">
      <w:pPr>
        <w:pStyle w:val="BodyText"/>
      </w:pPr>
    </w:p>
    <w:p w:rsidR="00841201" w:rsidRPr="00F369B1" w:rsidP="00AE2910" w14:paraId="35107B67" w14:textId="77777777">
      <w:pPr>
        <w:pStyle w:val="BodyText"/>
      </w:pPr>
      <w:r w:rsidRPr="00F369B1">
        <w:t>There are no anticipated capital costs associated with these information collections.</w:t>
      </w:r>
    </w:p>
    <w:p w:rsidR="00841201" w:rsidRPr="00F369B1" w:rsidP="00AE2910" w14:paraId="545ADDCE" w14:textId="77777777">
      <w:pPr>
        <w:pStyle w:val="BodyText"/>
      </w:pPr>
    </w:p>
    <w:p w:rsidR="00841201" w:rsidRPr="00F369B1" w:rsidP="00AE2910" w14:paraId="3CFC1B4D" w14:textId="77777777">
      <w:pPr>
        <w:pStyle w:val="ListParagraph"/>
        <w:numPr>
          <w:ilvl w:val="0"/>
          <w:numId w:val="1"/>
        </w:numPr>
        <w:tabs>
          <w:tab w:val="left" w:pos="601"/>
        </w:tabs>
        <w:ind w:left="600" w:hanging="600"/>
        <w:rPr>
          <w:sz w:val="24"/>
          <w:szCs w:val="24"/>
        </w:rPr>
      </w:pPr>
      <w:r w:rsidRPr="00F369B1">
        <w:rPr>
          <w:sz w:val="24"/>
          <w:szCs w:val="24"/>
          <w:u w:val="single"/>
        </w:rPr>
        <w:t>Cost to Federal</w:t>
      </w:r>
      <w:r w:rsidRPr="00F369B1">
        <w:rPr>
          <w:spacing w:val="-1"/>
          <w:sz w:val="24"/>
          <w:szCs w:val="24"/>
          <w:u w:val="single"/>
        </w:rPr>
        <w:t xml:space="preserve"> </w:t>
      </w:r>
      <w:r w:rsidRPr="00F369B1">
        <w:rPr>
          <w:sz w:val="24"/>
          <w:szCs w:val="24"/>
          <w:u w:val="single"/>
        </w:rPr>
        <w:t>Government</w:t>
      </w:r>
    </w:p>
    <w:p w:rsidR="00841201" w:rsidRPr="00F369B1" w:rsidP="00AE2910" w14:paraId="2EB02F4B" w14:textId="77777777">
      <w:pPr>
        <w:pStyle w:val="BodyText"/>
      </w:pPr>
    </w:p>
    <w:p w:rsidR="00EE64A9" w:rsidRPr="00F369B1" w:rsidP="00AE2910" w14:paraId="54622F06" w14:textId="6A071CAC">
      <w:pPr>
        <w:pStyle w:val="BodyText"/>
      </w:pPr>
      <w:r w:rsidRPr="00F369B1">
        <w:t>There are no costs to the Federal Government.</w:t>
      </w:r>
      <w:bookmarkStart w:id="14" w:name="15._Explanation_for_Program_Changes_or_A"/>
      <w:bookmarkEnd w:id="14"/>
    </w:p>
    <w:p w:rsidR="00EE64A9" w:rsidRPr="00F369B1" w:rsidP="00EE64A9" w14:paraId="4C7808E5" w14:textId="77777777">
      <w:pPr>
        <w:pStyle w:val="ListParagraph"/>
        <w:tabs>
          <w:tab w:val="left" w:pos="472"/>
        </w:tabs>
        <w:ind w:firstLine="0"/>
        <w:rPr>
          <w:sz w:val="24"/>
          <w:szCs w:val="24"/>
          <w:u w:val="single"/>
        </w:rPr>
      </w:pPr>
    </w:p>
    <w:p w:rsidR="00841201" w:rsidRPr="00F369B1" w:rsidP="00AE2910" w14:paraId="6DBE0021" w14:textId="55B2EE97">
      <w:pPr>
        <w:pStyle w:val="ListParagraph"/>
        <w:numPr>
          <w:ilvl w:val="0"/>
          <w:numId w:val="1"/>
        </w:numPr>
        <w:tabs>
          <w:tab w:val="left" w:pos="472"/>
        </w:tabs>
        <w:ind w:left="472" w:hanging="472"/>
        <w:rPr>
          <w:sz w:val="24"/>
          <w:szCs w:val="24"/>
          <w:u w:val="single"/>
        </w:rPr>
      </w:pPr>
      <w:r w:rsidRPr="00F369B1">
        <w:rPr>
          <w:sz w:val="24"/>
          <w:szCs w:val="24"/>
          <w:u w:val="single"/>
        </w:rPr>
        <w:t>Changes to Burden</w:t>
      </w:r>
    </w:p>
    <w:p w:rsidR="003F65D0" w:rsidRPr="00F369B1" w:rsidP="00AE2910" w14:paraId="6F0E90BF" w14:textId="5BB6EBFD">
      <w:pPr>
        <w:pStyle w:val="BodyText"/>
      </w:pPr>
    </w:p>
    <w:p w:rsidR="00A77E61" w:rsidRPr="00F369B1" w:rsidP="00AE2910" w14:paraId="4271048E" w14:textId="188E192C">
      <w:pPr>
        <w:pStyle w:val="BodyText"/>
        <w:ind w:right="30"/>
        <w:rPr>
          <w:lang w:bidi="ar-SA"/>
        </w:rPr>
      </w:pPr>
      <w:r w:rsidRPr="00F369B1">
        <w:t>There is an overall increase in the financial burden from the 2021 PRA package because of the increase in the number of QHP issuers from 2</w:t>
      </w:r>
      <w:r w:rsidRPr="00F369B1" w:rsidR="003F65D0">
        <w:t>1</w:t>
      </w:r>
      <w:r w:rsidRPr="00F369B1">
        <w:t>0 to 1,</w:t>
      </w:r>
      <w:r w:rsidRPr="00F369B1" w:rsidR="003F65D0">
        <w:t>617, which is an increase of</w:t>
      </w:r>
      <w:r w:rsidRPr="00F369B1">
        <w:t xml:space="preserve"> </w:t>
      </w:r>
      <w:r w:rsidRPr="00F369B1" w:rsidR="003F65D0">
        <w:t xml:space="preserve">1,407 </w:t>
      </w:r>
      <w:r w:rsidRPr="00F369B1">
        <w:t>issuers. The total burden hours increased from 580 hours to 5,50</w:t>
      </w:r>
      <w:r w:rsidR="00CB4907">
        <w:t>9</w:t>
      </w:r>
      <w:r w:rsidRPr="00F369B1">
        <w:t xml:space="preserve"> hours, which is a</w:t>
      </w:r>
      <w:r w:rsidRPr="00F369B1" w:rsidR="003F65D0">
        <w:t>n</w:t>
      </w:r>
      <w:r w:rsidRPr="00F369B1">
        <w:t xml:space="preserve"> increase of </w:t>
      </w:r>
      <w:r w:rsidRPr="00F369B1" w:rsidR="003F65D0">
        <w:t>4,92</w:t>
      </w:r>
      <w:r w:rsidR="00CB4907">
        <w:t>9</w:t>
      </w:r>
      <w:r w:rsidRPr="00F369B1">
        <w:t xml:space="preserve"> hours. The estimated annual costs </w:t>
      </w:r>
      <w:r w:rsidRPr="00F369B1" w:rsidR="003F65D0">
        <w:t>in</w:t>
      </w:r>
      <w:r w:rsidRPr="00F369B1">
        <w:t>creased from $</w:t>
      </w:r>
      <w:r w:rsidRPr="00F369B1" w:rsidR="00A260DD">
        <w:t>62,434.00</w:t>
      </w:r>
      <w:r w:rsidRPr="00F369B1">
        <w:t xml:space="preserve"> to $</w:t>
      </w:r>
      <w:r w:rsidRPr="00F369B1" w:rsidR="000A648A">
        <w:t>559,303.20</w:t>
      </w:r>
      <w:r w:rsidRPr="00F369B1">
        <w:t>, which is a</w:t>
      </w:r>
      <w:r w:rsidRPr="00F369B1" w:rsidR="00A260DD">
        <w:t>n</w:t>
      </w:r>
      <w:r w:rsidRPr="00F369B1">
        <w:t xml:space="preserve"> </w:t>
      </w:r>
      <w:r w:rsidRPr="00F369B1" w:rsidR="003F65D0">
        <w:t>in</w:t>
      </w:r>
      <w:r w:rsidRPr="00F369B1">
        <w:t xml:space="preserve">crease of </w:t>
      </w:r>
      <w:r w:rsidRPr="00F369B1">
        <w:t>$</w:t>
      </w:r>
      <w:r w:rsidRPr="00F369B1" w:rsidR="00E80AEE">
        <w:t>496,869.20</w:t>
      </w:r>
      <w:r w:rsidRPr="00F369B1">
        <w:t xml:space="preserve">. </w:t>
      </w:r>
      <w:r w:rsidRPr="00F369B1" w:rsidR="000743CF">
        <w:t>All prior iterations of wage data were based on mean values and the current iteration is based on median values.</w:t>
      </w:r>
    </w:p>
    <w:p w:rsidR="00A77E61" w:rsidRPr="00F369B1" w:rsidP="00E731D8" w14:paraId="358C5001" w14:textId="7B85E271">
      <w:pPr>
        <w:pStyle w:val="BodyText"/>
        <w:spacing w:before="7"/>
      </w:pPr>
    </w:p>
    <w:p w:rsidR="00841201" w:rsidRPr="00F369B1" w:rsidP="00B97E0E" w14:paraId="7E31C914" w14:textId="77777777">
      <w:pPr>
        <w:pStyle w:val="ListParagraph"/>
        <w:numPr>
          <w:ilvl w:val="0"/>
          <w:numId w:val="1"/>
        </w:numPr>
        <w:tabs>
          <w:tab w:val="left" w:pos="472"/>
        </w:tabs>
        <w:ind w:left="472" w:hanging="472"/>
        <w:rPr>
          <w:sz w:val="24"/>
          <w:szCs w:val="24"/>
        </w:rPr>
      </w:pPr>
      <w:r w:rsidRPr="00F369B1">
        <w:rPr>
          <w:sz w:val="24"/>
          <w:szCs w:val="24"/>
          <w:u w:val="single"/>
        </w:rPr>
        <w:t>Publication/Tabulation</w:t>
      </w:r>
      <w:r w:rsidRPr="00F369B1">
        <w:rPr>
          <w:spacing w:val="-1"/>
          <w:sz w:val="24"/>
          <w:szCs w:val="24"/>
          <w:u w:val="single"/>
        </w:rPr>
        <w:t xml:space="preserve"> </w:t>
      </w:r>
      <w:r w:rsidRPr="00F369B1">
        <w:rPr>
          <w:sz w:val="24"/>
          <w:szCs w:val="24"/>
          <w:u w:val="single"/>
        </w:rPr>
        <w:t>Dates</w:t>
      </w:r>
    </w:p>
    <w:p w:rsidR="00841201" w:rsidRPr="00F369B1" w:rsidP="00B97E0E" w14:paraId="56FC08D0" w14:textId="77777777">
      <w:pPr>
        <w:pStyle w:val="BodyText"/>
        <w:spacing w:before="3"/>
      </w:pPr>
    </w:p>
    <w:p w:rsidR="00A7560E" w:rsidRPr="00F369B1" w:rsidP="00A7560E" w14:paraId="696FE294" w14:textId="50567276">
      <w:pPr>
        <w:pStyle w:val="BodyText"/>
      </w:pPr>
      <w:bookmarkStart w:id="15" w:name="_Hlk168064036"/>
      <w:r w:rsidRPr="00F369B1">
        <w:t>Results of the collection will not be made public</w:t>
      </w:r>
      <w:r w:rsidRPr="00F369B1">
        <w:t xml:space="preserve"> by CMS, as the segregation plan is submitted to the State Insurance Commissioner, not to CMS. Further, we note that section 156.280(e)(5)(ii) requires QHP issuers to include in their segregation plan details on their process and methodology for meeting the requirements of section 1303(b)(2)(C), (D), and (E) and requires issuers to describe the QHP issuer's financial accounting systems, including appropriate accounting documentation and internal controls. Therefore, publication of such data might potentially release confidential business or financial accounting information about the issuers and issuer processes. </w:t>
      </w:r>
    </w:p>
    <w:bookmarkEnd w:id="15"/>
    <w:p w:rsidR="00841201" w:rsidRPr="00F369B1" w:rsidP="00B97E0E" w14:paraId="5A7F849F" w14:textId="77777777">
      <w:pPr>
        <w:pStyle w:val="BodyText"/>
        <w:spacing w:before="9"/>
      </w:pPr>
    </w:p>
    <w:p w:rsidR="00841201" w:rsidRPr="00F369B1" w:rsidP="00B97E0E" w14:paraId="690FA798" w14:textId="77777777">
      <w:pPr>
        <w:pStyle w:val="ListParagraph"/>
        <w:numPr>
          <w:ilvl w:val="0"/>
          <w:numId w:val="1"/>
        </w:numPr>
        <w:tabs>
          <w:tab w:val="left" w:pos="472"/>
        </w:tabs>
        <w:ind w:left="472" w:hanging="472"/>
        <w:rPr>
          <w:sz w:val="24"/>
          <w:szCs w:val="24"/>
        </w:rPr>
      </w:pPr>
      <w:bookmarkStart w:id="16" w:name="17._Expiration_Date"/>
      <w:bookmarkEnd w:id="16"/>
      <w:r w:rsidRPr="00F369B1">
        <w:rPr>
          <w:sz w:val="24"/>
          <w:szCs w:val="24"/>
          <w:u w:val="single"/>
        </w:rPr>
        <w:t>Expiration</w:t>
      </w:r>
      <w:r w:rsidRPr="00F369B1">
        <w:rPr>
          <w:spacing w:val="-1"/>
          <w:sz w:val="24"/>
          <w:szCs w:val="24"/>
          <w:u w:val="single"/>
        </w:rPr>
        <w:t xml:space="preserve"> </w:t>
      </w:r>
      <w:r w:rsidRPr="00F369B1">
        <w:rPr>
          <w:sz w:val="24"/>
          <w:szCs w:val="24"/>
          <w:u w:val="single"/>
        </w:rPr>
        <w:t>Date</w:t>
      </w:r>
    </w:p>
    <w:p w:rsidR="00841201" w:rsidRPr="00F369B1" w:rsidP="00B97E0E" w14:paraId="189D5846" w14:textId="77777777">
      <w:pPr>
        <w:pStyle w:val="BodyText"/>
        <w:spacing w:before="6"/>
      </w:pPr>
    </w:p>
    <w:p w:rsidR="00841201" w:rsidP="00B97E0E" w14:paraId="6750380A" w14:textId="77777777">
      <w:pPr>
        <w:pStyle w:val="BodyText"/>
      </w:pPr>
      <w:r w:rsidRPr="00F369B1">
        <w:t>There are no instruments associated with this data collection.</w:t>
      </w:r>
    </w:p>
    <w:p w:rsidR="00F369B1" w:rsidRPr="00F369B1" w:rsidP="00B97E0E" w14:paraId="3FFBA51B" w14:textId="77777777">
      <w:pPr>
        <w:pStyle w:val="BodyText"/>
      </w:pPr>
    </w:p>
    <w:sectPr>
      <w:footerReference w:type="default" r:id="rId5"/>
      <w:pgSz w:w="12240" w:h="15840"/>
      <w:pgMar w:top="1420" w:right="1320" w:bottom="1400" w:left="1100" w:header="0" w:footer="12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0738372"/>
      <w:docPartObj>
        <w:docPartGallery w:val="Page Numbers (Bottom of Page)"/>
        <w:docPartUnique/>
      </w:docPartObj>
    </w:sdtPr>
    <w:sdtEndPr>
      <w:rPr>
        <w:noProof/>
      </w:rPr>
    </w:sdtEndPr>
    <w:sdtContent>
      <w:p w:rsidR="00A260DD" w14:paraId="6DA2B78E" w14:textId="597587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41201" w14:paraId="1BF365FE" w14:textId="5E6836AA">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AB62F2"/>
    <w:multiLevelType w:val="hybridMultilevel"/>
    <w:tmpl w:val="3DFA21A4"/>
    <w:lvl w:ilvl="0">
      <w:start w:val="1"/>
      <w:numFmt w:val="upperLetter"/>
      <w:lvlText w:val="%1."/>
      <w:lvlJc w:val="left"/>
      <w:pPr>
        <w:ind w:left="300" w:hanging="300"/>
      </w:pPr>
      <w:rPr>
        <w:rFonts w:hint="default"/>
        <w:spacing w:val="-1"/>
        <w:u w:val="thick" w:color="000000"/>
        <w:lang w:val="en-US" w:eastAsia="en-US" w:bidi="en-US"/>
      </w:rPr>
    </w:lvl>
    <w:lvl w:ilvl="1">
      <w:start w:val="0"/>
      <w:numFmt w:val="bullet"/>
      <w:lvlText w:val="•"/>
      <w:lvlJc w:val="left"/>
      <w:pPr>
        <w:ind w:left="601" w:hanging="360"/>
      </w:pPr>
      <w:rPr>
        <w:rFonts w:ascii="Arial" w:eastAsia="Arial" w:hAnsi="Arial" w:cs="Arial" w:hint="default"/>
        <w:spacing w:val="-2"/>
        <w:w w:val="100"/>
        <w:sz w:val="24"/>
        <w:szCs w:val="24"/>
        <w:lang w:val="en-US" w:eastAsia="en-US" w:bidi="en-US"/>
      </w:rPr>
    </w:lvl>
    <w:lvl w:ilvl="2">
      <w:start w:val="0"/>
      <w:numFmt w:val="bullet"/>
      <w:lvlText w:val="•"/>
      <w:lvlJc w:val="left"/>
      <w:pPr>
        <w:ind w:left="1598" w:hanging="360"/>
      </w:pPr>
      <w:rPr>
        <w:rFonts w:hint="default"/>
        <w:lang w:val="en-US" w:eastAsia="en-US" w:bidi="en-US"/>
      </w:rPr>
    </w:lvl>
    <w:lvl w:ilvl="3">
      <w:start w:val="0"/>
      <w:numFmt w:val="bullet"/>
      <w:lvlText w:val="•"/>
      <w:lvlJc w:val="left"/>
      <w:pPr>
        <w:ind w:left="2596" w:hanging="360"/>
      </w:pPr>
      <w:rPr>
        <w:rFonts w:hint="default"/>
        <w:lang w:val="en-US" w:eastAsia="en-US" w:bidi="en-US"/>
      </w:rPr>
    </w:lvl>
    <w:lvl w:ilvl="4">
      <w:start w:val="0"/>
      <w:numFmt w:val="bullet"/>
      <w:lvlText w:val="•"/>
      <w:lvlJc w:val="left"/>
      <w:pPr>
        <w:ind w:left="3594" w:hanging="360"/>
      </w:pPr>
      <w:rPr>
        <w:rFonts w:hint="default"/>
        <w:lang w:val="en-US" w:eastAsia="en-US" w:bidi="en-US"/>
      </w:rPr>
    </w:lvl>
    <w:lvl w:ilvl="5">
      <w:start w:val="0"/>
      <w:numFmt w:val="bullet"/>
      <w:lvlText w:val="•"/>
      <w:lvlJc w:val="left"/>
      <w:pPr>
        <w:ind w:left="4592" w:hanging="360"/>
      </w:pPr>
      <w:rPr>
        <w:rFonts w:hint="default"/>
        <w:lang w:val="en-US" w:eastAsia="en-US" w:bidi="en-US"/>
      </w:rPr>
    </w:lvl>
    <w:lvl w:ilvl="6">
      <w:start w:val="0"/>
      <w:numFmt w:val="bullet"/>
      <w:lvlText w:val="•"/>
      <w:lvlJc w:val="left"/>
      <w:pPr>
        <w:ind w:left="5589" w:hanging="360"/>
      </w:pPr>
      <w:rPr>
        <w:rFonts w:hint="default"/>
        <w:lang w:val="en-US" w:eastAsia="en-US" w:bidi="en-US"/>
      </w:rPr>
    </w:lvl>
    <w:lvl w:ilvl="7">
      <w:start w:val="0"/>
      <w:numFmt w:val="bullet"/>
      <w:lvlText w:val="•"/>
      <w:lvlJc w:val="left"/>
      <w:pPr>
        <w:ind w:left="6587" w:hanging="360"/>
      </w:pPr>
      <w:rPr>
        <w:rFonts w:hint="default"/>
        <w:lang w:val="en-US" w:eastAsia="en-US" w:bidi="en-US"/>
      </w:rPr>
    </w:lvl>
    <w:lvl w:ilvl="8">
      <w:start w:val="0"/>
      <w:numFmt w:val="bullet"/>
      <w:lvlText w:val="•"/>
      <w:lvlJc w:val="left"/>
      <w:pPr>
        <w:ind w:left="7585" w:hanging="360"/>
      </w:pPr>
      <w:rPr>
        <w:rFonts w:hint="default"/>
        <w:lang w:val="en-US" w:eastAsia="en-US" w:bidi="en-US"/>
      </w:rPr>
    </w:lvl>
  </w:abstractNum>
  <w:abstractNum w:abstractNumId="1">
    <w:nsid w:val="5BFA5739"/>
    <w:multiLevelType w:val="hybridMultilevel"/>
    <w:tmpl w:val="E63C2954"/>
    <w:lvl w:ilvl="0">
      <w:start w:val="1"/>
      <w:numFmt w:val="decimal"/>
      <w:lvlText w:val="%1."/>
      <w:lvlJc w:val="left"/>
      <w:pPr>
        <w:ind w:left="595" w:hanging="491"/>
      </w:pPr>
      <w:rPr>
        <w:rFonts w:ascii="Times New Roman" w:eastAsia="Times New Roman" w:hAnsi="Times New Roman" w:cs="Times New Roman" w:hint="default"/>
        <w:spacing w:val="-1"/>
        <w:w w:val="100"/>
        <w:sz w:val="24"/>
        <w:szCs w:val="24"/>
        <w:lang w:val="en-US" w:eastAsia="en-US" w:bidi="en-US"/>
      </w:rPr>
    </w:lvl>
    <w:lvl w:ilvl="1">
      <w:start w:val="0"/>
      <w:numFmt w:val="bullet"/>
      <w:lvlText w:val="•"/>
      <w:lvlJc w:val="left"/>
      <w:pPr>
        <w:ind w:left="1522" w:hanging="491"/>
      </w:pPr>
      <w:rPr>
        <w:rFonts w:hint="default"/>
        <w:lang w:val="en-US" w:eastAsia="en-US" w:bidi="en-US"/>
      </w:rPr>
    </w:lvl>
    <w:lvl w:ilvl="2">
      <w:start w:val="0"/>
      <w:numFmt w:val="bullet"/>
      <w:lvlText w:val="•"/>
      <w:lvlJc w:val="left"/>
      <w:pPr>
        <w:ind w:left="2444" w:hanging="491"/>
      </w:pPr>
      <w:rPr>
        <w:rFonts w:hint="default"/>
        <w:lang w:val="en-US" w:eastAsia="en-US" w:bidi="en-US"/>
      </w:rPr>
    </w:lvl>
    <w:lvl w:ilvl="3">
      <w:start w:val="0"/>
      <w:numFmt w:val="bullet"/>
      <w:lvlText w:val="•"/>
      <w:lvlJc w:val="left"/>
      <w:pPr>
        <w:ind w:left="3366" w:hanging="491"/>
      </w:pPr>
      <w:rPr>
        <w:rFonts w:hint="default"/>
        <w:lang w:val="en-US" w:eastAsia="en-US" w:bidi="en-US"/>
      </w:rPr>
    </w:lvl>
    <w:lvl w:ilvl="4">
      <w:start w:val="0"/>
      <w:numFmt w:val="bullet"/>
      <w:lvlText w:val="•"/>
      <w:lvlJc w:val="left"/>
      <w:pPr>
        <w:ind w:left="4288" w:hanging="491"/>
      </w:pPr>
      <w:rPr>
        <w:rFonts w:hint="default"/>
        <w:lang w:val="en-US" w:eastAsia="en-US" w:bidi="en-US"/>
      </w:rPr>
    </w:lvl>
    <w:lvl w:ilvl="5">
      <w:start w:val="0"/>
      <w:numFmt w:val="bullet"/>
      <w:lvlText w:val="•"/>
      <w:lvlJc w:val="left"/>
      <w:pPr>
        <w:ind w:left="5210" w:hanging="491"/>
      </w:pPr>
      <w:rPr>
        <w:rFonts w:hint="default"/>
        <w:lang w:val="en-US" w:eastAsia="en-US" w:bidi="en-US"/>
      </w:rPr>
    </w:lvl>
    <w:lvl w:ilvl="6">
      <w:start w:val="0"/>
      <w:numFmt w:val="bullet"/>
      <w:lvlText w:val="•"/>
      <w:lvlJc w:val="left"/>
      <w:pPr>
        <w:ind w:left="6132" w:hanging="491"/>
      </w:pPr>
      <w:rPr>
        <w:rFonts w:hint="default"/>
        <w:lang w:val="en-US" w:eastAsia="en-US" w:bidi="en-US"/>
      </w:rPr>
    </w:lvl>
    <w:lvl w:ilvl="7">
      <w:start w:val="0"/>
      <w:numFmt w:val="bullet"/>
      <w:lvlText w:val="•"/>
      <w:lvlJc w:val="left"/>
      <w:pPr>
        <w:ind w:left="7054" w:hanging="491"/>
      </w:pPr>
      <w:rPr>
        <w:rFonts w:hint="default"/>
        <w:lang w:val="en-US" w:eastAsia="en-US" w:bidi="en-US"/>
      </w:rPr>
    </w:lvl>
    <w:lvl w:ilvl="8">
      <w:start w:val="0"/>
      <w:numFmt w:val="bullet"/>
      <w:lvlText w:val="•"/>
      <w:lvlJc w:val="left"/>
      <w:pPr>
        <w:ind w:left="7976" w:hanging="491"/>
      </w:pPr>
      <w:rPr>
        <w:rFonts w:hint="default"/>
        <w:lang w:val="en-US" w:eastAsia="en-US" w:bidi="en-US"/>
      </w:rPr>
    </w:lvl>
  </w:abstractNum>
  <w:num w:numId="1" w16cid:durableId="926426641">
    <w:abstractNumId w:val="1"/>
  </w:num>
  <w:num w:numId="2" w16cid:durableId="160484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01"/>
    <w:rsid w:val="00032ABD"/>
    <w:rsid w:val="000743CF"/>
    <w:rsid w:val="00084482"/>
    <w:rsid w:val="000A648A"/>
    <w:rsid w:val="000A6CF4"/>
    <w:rsid w:val="000B11D2"/>
    <w:rsid w:val="000B2D48"/>
    <w:rsid w:val="000E3A07"/>
    <w:rsid w:val="001223B9"/>
    <w:rsid w:val="00175E2F"/>
    <w:rsid w:val="00187F95"/>
    <w:rsid w:val="001B6D3F"/>
    <w:rsid w:val="001C6C36"/>
    <w:rsid w:val="001E365B"/>
    <w:rsid w:val="001F1CCB"/>
    <w:rsid w:val="001F2A9F"/>
    <w:rsid w:val="00247F64"/>
    <w:rsid w:val="00261A79"/>
    <w:rsid w:val="00270B19"/>
    <w:rsid w:val="002907A1"/>
    <w:rsid w:val="00295F83"/>
    <w:rsid w:val="002A2C2C"/>
    <w:rsid w:val="002E3BA2"/>
    <w:rsid w:val="002F5900"/>
    <w:rsid w:val="0030104A"/>
    <w:rsid w:val="0031182A"/>
    <w:rsid w:val="00332685"/>
    <w:rsid w:val="003424AD"/>
    <w:rsid w:val="00347C8A"/>
    <w:rsid w:val="00351B9E"/>
    <w:rsid w:val="003615BE"/>
    <w:rsid w:val="00393D65"/>
    <w:rsid w:val="003B282F"/>
    <w:rsid w:val="003B4437"/>
    <w:rsid w:val="003C1D97"/>
    <w:rsid w:val="003E2360"/>
    <w:rsid w:val="003F65D0"/>
    <w:rsid w:val="004B1DA9"/>
    <w:rsid w:val="004B4FBC"/>
    <w:rsid w:val="004D6BEB"/>
    <w:rsid w:val="004E273D"/>
    <w:rsid w:val="00507441"/>
    <w:rsid w:val="00522943"/>
    <w:rsid w:val="005270A0"/>
    <w:rsid w:val="005361A8"/>
    <w:rsid w:val="005439D7"/>
    <w:rsid w:val="00561962"/>
    <w:rsid w:val="005A4C79"/>
    <w:rsid w:val="00615282"/>
    <w:rsid w:val="00626E52"/>
    <w:rsid w:val="00636A9D"/>
    <w:rsid w:val="00646E66"/>
    <w:rsid w:val="00665A8D"/>
    <w:rsid w:val="006757CA"/>
    <w:rsid w:val="006841AE"/>
    <w:rsid w:val="006B1103"/>
    <w:rsid w:val="006B40B1"/>
    <w:rsid w:val="006C29F7"/>
    <w:rsid w:val="006F6330"/>
    <w:rsid w:val="006F76E6"/>
    <w:rsid w:val="00721B52"/>
    <w:rsid w:val="00767B6A"/>
    <w:rsid w:val="007A5C18"/>
    <w:rsid w:val="007D71B1"/>
    <w:rsid w:val="007F72DB"/>
    <w:rsid w:val="00806C65"/>
    <w:rsid w:val="008167FE"/>
    <w:rsid w:val="00836545"/>
    <w:rsid w:val="00841201"/>
    <w:rsid w:val="0085069C"/>
    <w:rsid w:val="008C258F"/>
    <w:rsid w:val="008E3BC4"/>
    <w:rsid w:val="008E41AD"/>
    <w:rsid w:val="008E4D8A"/>
    <w:rsid w:val="008F1EA6"/>
    <w:rsid w:val="00914F91"/>
    <w:rsid w:val="00935FEE"/>
    <w:rsid w:val="009B7147"/>
    <w:rsid w:val="009E6EC7"/>
    <w:rsid w:val="009F5122"/>
    <w:rsid w:val="00A16099"/>
    <w:rsid w:val="00A260DD"/>
    <w:rsid w:val="00A514C8"/>
    <w:rsid w:val="00A70D9C"/>
    <w:rsid w:val="00A7560E"/>
    <w:rsid w:val="00A77E61"/>
    <w:rsid w:val="00AC2E0D"/>
    <w:rsid w:val="00AC49A7"/>
    <w:rsid w:val="00AE2910"/>
    <w:rsid w:val="00B0351E"/>
    <w:rsid w:val="00B336B9"/>
    <w:rsid w:val="00B6017F"/>
    <w:rsid w:val="00B74AB3"/>
    <w:rsid w:val="00B74B28"/>
    <w:rsid w:val="00B97E0E"/>
    <w:rsid w:val="00BB2EC5"/>
    <w:rsid w:val="00BC7D5E"/>
    <w:rsid w:val="00BE6180"/>
    <w:rsid w:val="00C13D28"/>
    <w:rsid w:val="00C40223"/>
    <w:rsid w:val="00C85D47"/>
    <w:rsid w:val="00C9614C"/>
    <w:rsid w:val="00CB4907"/>
    <w:rsid w:val="00CC52E5"/>
    <w:rsid w:val="00CD2225"/>
    <w:rsid w:val="00CF2301"/>
    <w:rsid w:val="00CF6031"/>
    <w:rsid w:val="00CF6CDB"/>
    <w:rsid w:val="00D015A9"/>
    <w:rsid w:val="00D031BA"/>
    <w:rsid w:val="00D05D73"/>
    <w:rsid w:val="00D205F5"/>
    <w:rsid w:val="00D22B7C"/>
    <w:rsid w:val="00D62CF6"/>
    <w:rsid w:val="00D714AF"/>
    <w:rsid w:val="00D83316"/>
    <w:rsid w:val="00D87E2C"/>
    <w:rsid w:val="00DA25D9"/>
    <w:rsid w:val="00DA32F8"/>
    <w:rsid w:val="00DC28D5"/>
    <w:rsid w:val="00DE0AC8"/>
    <w:rsid w:val="00E419DB"/>
    <w:rsid w:val="00E43BEC"/>
    <w:rsid w:val="00E70D65"/>
    <w:rsid w:val="00E731D8"/>
    <w:rsid w:val="00E80AEE"/>
    <w:rsid w:val="00EC0B08"/>
    <w:rsid w:val="00EE64A9"/>
    <w:rsid w:val="00EE6510"/>
    <w:rsid w:val="00EE75D6"/>
    <w:rsid w:val="00EF32DA"/>
    <w:rsid w:val="00F03B9F"/>
    <w:rsid w:val="00F07032"/>
    <w:rsid w:val="00F2566F"/>
    <w:rsid w:val="00F369B1"/>
    <w:rsid w:val="00F45297"/>
    <w:rsid w:val="00F84E79"/>
    <w:rsid w:val="00F93948"/>
    <w:rsid w:val="00FD12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87ACB2"/>
  <w15:docId w15:val="{CE87BADD-BC37-4A77-A241-9C6437F6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27"/>
      <w:ind w:left="1617" w:hanging="650"/>
      <w:outlineLvl w:val="0"/>
    </w:pPr>
    <w:rPr>
      <w:b/>
      <w:bCs/>
      <w:sz w:val="28"/>
      <w:szCs w:val="28"/>
    </w:rPr>
  </w:style>
  <w:style w:type="paragraph" w:styleId="Heading2">
    <w:name w:val="heading 2"/>
    <w:basedOn w:val="Normal"/>
    <w:uiPriority w:val="1"/>
    <w:qFormat/>
    <w:pPr>
      <w:ind w:left="10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72" w:hanging="368"/>
    </w:pPr>
  </w:style>
  <w:style w:type="paragraph" w:customStyle="1" w:styleId="TableParagraph">
    <w:name w:val="Table Paragraph"/>
    <w:basedOn w:val="Normal"/>
    <w:uiPriority w:val="1"/>
    <w:qFormat/>
    <w:pPr>
      <w:spacing w:line="274" w:lineRule="exact"/>
    </w:pPr>
  </w:style>
  <w:style w:type="paragraph" w:styleId="BalloonText">
    <w:name w:val="Balloon Text"/>
    <w:basedOn w:val="Normal"/>
    <w:link w:val="BalloonTextChar"/>
    <w:uiPriority w:val="99"/>
    <w:semiHidden/>
    <w:unhideWhenUsed/>
    <w:rsid w:val="00E73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1D8"/>
    <w:rPr>
      <w:rFonts w:ascii="Segoe UI" w:eastAsia="Times New Roman" w:hAnsi="Segoe UI" w:cs="Segoe UI"/>
      <w:sz w:val="18"/>
      <w:szCs w:val="18"/>
      <w:lang w:bidi="en-US"/>
    </w:rPr>
  </w:style>
  <w:style w:type="character" w:styleId="Hyperlink">
    <w:name w:val="Hyperlink"/>
    <w:basedOn w:val="DefaultParagraphFont"/>
    <w:uiPriority w:val="99"/>
    <w:unhideWhenUsed/>
    <w:rsid w:val="00347C8A"/>
    <w:rPr>
      <w:color w:val="0000FF" w:themeColor="hyperlink"/>
      <w:u w:val="single"/>
    </w:rPr>
  </w:style>
  <w:style w:type="character" w:styleId="CommentReference">
    <w:name w:val="annotation reference"/>
    <w:basedOn w:val="DefaultParagraphFont"/>
    <w:uiPriority w:val="99"/>
    <w:semiHidden/>
    <w:unhideWhenUsed/>
    <w:rsid w:val="000B2D48"/>
    <w:rPr>
      <w:sz w:val="16"/>
      <w:szCs w:val="16"/>
    </w:rPr>
  </w:style>
  <w:style w:type="paragraph" w:styleId="CommentText">
    <w:name w:val="annotation text"/>
    <w:basedOn w:val="Normal"/>
    <w:link w:val="CommentTextChar"/>
    <w:uiPriority w:val="99"/>
    <w:unhideWhenUsed/>
    <w:rsid w:val="000B2D48"/>
    <w:rPr>
      <w:sz w:val="20"/>
      <w:szCs w:val="20"/>
    </w:rPr>
  </w:style>
  <w:style w:type="character" w:customStyle="1" w:styleId="CommentTextChar">
    <w:name w:val="Comment Text Char"/>
    <w:basedOn w:val="DefaultParagraphFont"/>
    <w:link w:val="CommentText"/>
    <w:uiPriority w:val="99"/>
    <w:rsid w:val="000B2D48"/>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B2D48"/>
    <w:rPr>
      <w:b/>
      <w:bCs/>
    </w:rPr>
  </w:style>
  <w:style w:type="character" w:customStyle="1" w:styleId="CommentSubjectChar">
    <w:name w:val="Comment Subject Char"/>
    <w:basedOn w:val="CommentTextChar"/>
    <w:link w:val="CommentSubject"/>
    <w:uiPriority w:val="99"/>
    <w:semiHidden/>
    <w:rsid w:val="000B2D48"/>
    <w:rPr>
      <w:rFonts w:ascii="Times New Roman" w:eastAsia="Times New Roman" w:hAnsi="Times New Roman" w:cs="Times New Roman"/>
      <w:b/>
      <w:bCs/>
      <w:sz w:val="20"/>
      <w:szCs w:val="20"/>
      <w:lang w:bidi="en-US"/>
    </w:rPr>
  </w:style>
  <w:style w:type="paragraph" w:styleId="Revision">
    <w:name w:val="Revision"/>
    <w:hidden/>
    <w:uiPriority w:val="99"/>
    <w:semiHidden/>
    <w:rsid w:val="00CF6031"/>
    <w:pPr>
      <w:widowControl/>
      <w:autoSpaceDE/>
      <w:autoSpaceDN/>
    </w:pPr>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2F5900"/>
    <w:rPr>
      <w:color w:val="800080" w:themeColor="followedHyperlink"/>
      <w:u w:val="single"/>
    </w:rPr>
  </w:style>
  <w:style w:type="character" w:customStyle="1" w:styleId="cf01">
    <w:name w:val="cf01"/>
    <w:basedOn w:val="DefaultParagraphFont"/>
    <w:rsid w:val="00D83316"/>
    <w:rPr>
      <w:rFonts w:ascii="Segoe UI" w:hAnsi="Segoe UI" w:cs="Segoe UI" w:hint="default"/>
      <w:sz w:val="18"/>
      <w:szCs w:val="18"/>
    </w:rPr>
  </w:style>
  <w:style w:type="character" w:styleId="UnresolvedMention">
    <w:name w:val="Unresolved Mention"/>
    <w:basedOn w:val="DefaultParagraphFont"/>
    <w:uiPriority w:val="99"/>
    <w:semiHidden/>
    <w:unhideWhenUsed/>
    <w:rsid w:val="00084482"/>
    <w:rPr>
      <w:color w:val="605E5C"/>
      <w:shd w:val="clear" w:color="auto" w:fill="E1DFDD"/>
    </w:rPr>
  </w:style>
  <w:style w:type="paragraph" w:customStyle="1" w:styleId="Body">
    <w:name w:val="Body"/>
    <w:basedOn w:val="Normal"/>
    <w:link w:val="BodyChar"/>
    <w:qFormat/>
    <w:rsid w:val="008167FE"/>
    <w:pPr>
      <w:widowControl/>
      <w:autoSpaceDE/>
      <w:autoSpaceDN/>
      <w:spacing w:after="200" w:line="276" w:lineRule="auto"/>
    </w:pPr>
    <w:rPr>
      <w:sz w:val="24"/>
      <w:szCs w:val="24"/>
      <w:lang w:bidi="ar-SA"/>
    </w:rPr>
  </w:style>
  <w:style w:type="character" w:customStyle="1" w:styleId="BodyChar">
    <w:name w:val="Body Char"/>
    <w:link w:val="Body"/>
    <w:rsid w:val="008167FE"/>
    <w:rPr>
      <w:rFonts w:ascii="Times New Roman" w:eastAsia="Times New Roman" w:hAnsi="Times New Roman" w:cs="Times New Roman"/>
      <w:sz w:val="24"/>
      <w:szCs w:val="24"/>
    </w:rPr>
  </w:style>
  <w:style w:type="table" w:styleId="TableGrid">
    <w:name w:val="Table Grid"/>
    <w:basedOn w:val="TableNormal"/>
    <w:uiPriority w:val="59"/>
    <w:rsid w:val="008167F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77E61"/>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A260DD"/>
    <w:pPr>
      <w:tabs>
        <w:tab w:val="center" w:pos="4680"/>
        <w:tab w:val="right" w:pos="9360"/>
      </w:tabs>
    </w:pPr>
  </w:style>
  <w:style w:type="character" w:customStyle="1" w:styleId="HeaderChar">
    <w:name w:val="Header Char"/>
    <w:basedOn w:val="DefaultParagraphFont"/>
    <w:link w:val="Header"/>
    <w:uiPriority w:val="99"/>
    <w:rsid w:val="00A260DD"/>
    <w:rPr>
      <w:rFonts w:ascii="Times New Roman" w:eastAsia="Times New Roman" w:hAnsi="Times New Roman" w:cs="Times New Roman"/>
      <w:lang w:bidi="en-US"/>
    </w:rPr>
  </w:style>
  <w:style w:type="paragraph" w:styleId="Footer">
    <w:name w:val="footer"/>
    <w:basedOn w:val="Normal"/>
    <w:link w:val="FooterChar"/>
    <w:uiPriority w:val="99"/>
    <w:unhideWhenUsed/>
    <w:rsid w:val="00A260DD"/>
    <w:pPr>
      <w:tabs>
        <w:tab w:val="center" w:pos="4680"/>
        <w:tab w:val="right" w:pos="9360"/>
      </w:tabs>
    </w:pPr>
  </w:style>
  <w:style w:type="character" w:customStyle="1" w:styleId="FooterChar">
    <w:name w:val="Footer Char"/>
    <w:basedOn w:val="DefaultParagraphFont"/>
    <w:link w:val="Footer"/>
    <w:uiPriority w:val="99"/>
    <w:rsid w:val="00A260DD"/>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stru.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1890</Words>
  <Characters>10910</Characters>
  <Application>Microsoft Office Word</Application>
  <DocSecurity>0</DocSecurity>
  <Lines>376</Lines>
  <Paragraphs>206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Establishment of Exchanges and Qualified Health Plans</vt:lpstr>
    </vt:vector>
  </TitlesOfParts>
  <Company>CMS</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Establishment of Exchanges and Qualified Health Plans</dc:title>
  <dc:subject>Supporting Statement for Paperwork Reduction Act Submissions: Establishment of Exchanges and Qualified Health Plans (CMS-10400/OMB control number: 0938-1156)</dc:subject>
  <dc:creator>CMS</dc:creator>
  <cp:keywords>Supporting Statement</cp:keywords>
  <cp:lastModifiedBy>Hill, Jamaa (CMS/OSORA)</cp:lastModifiedBy>
  <cp:revision>8</cp:revision>
  <dcterms:created xsi:type="dcterms:W3CDTF">2024-06-04T18:07:00Z</dcterms:created>
  <dcterms:modified xsi:type="dcterms:W3CDTF">2024-06-17T14:52:00Z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2019-09-11T00:00:00Z</vt:filetime>
  </property>
  <property fmtid="{D5CDD505-2E9C-101B-9397-08002B2CF9AE}" pid="3" name="Creator">
    <vt:lpwstr>Acrobat PDFMaker 19 for Word</vt:lpwstr>
  </property>
  <property fmtid="{D5CDD505-2E9C-101B-9397-08002B2CF9AE}" pid="4" name="LastSaved">
    <vt:filetime>2020-12-21T00:00:00Z</vt:filetime>
  </property>
</Properties>
</file>