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6E74" w:rsidRPr="00234295" w:rsidP="00996E74" w14:paraId="12DD6F81" w14:textId="77777777">
      <w:pPr>
        <w:rPr>
          <w:rFonts w:ascii="Times New Roman" w:hAnsi="Times New Roman"/>
        </w:rPr>
      </w:pPr>
    </w:p>
    <w:p w:rsidR="007B7D67" w:rsidP="007B7D67" w14:paraId="540B61EF" w14:textId="77777777">
      <w:pPr>
        <w:widowControl/>
        <w:jc w:val="center"/>
        <w:rPr>
          <w:rFonts w:ascii="Times New Roman" w:hAnsi="Times New Roman"/>
          <w:b/>
          <w:bCs/>
        </w:rPr>
      </w:pPr>
      <w:r>
        <w:rPr>
          <w:rFonts w:ascii="Times New Roman" w:hAnsi="Times New Roman"/>
          <w:b/>
          <w:bCs/>
        </w:rPr>
        <w:t xml:space="preserve">SUPPORTING STATEMENT FOR THE </w:t>
      </w:r>
    </w:p>
    <w:p w:rsidR="007B7D67" w:rsidP="007B7D67" w14:paraId="53B8DEE5" w14:textId="77777777">
      <w:pPr>
        <w:widowControl/>
        <w:jc w:val="center"/>
        <w:rPr>
          <w:rFonts w:ascii="Times New Roman" w:hAnsi="Times New Roman"/>
          <w:b/>
          <w:bCs/>
        </w:rPr>
      </w:pPr>
      <w:r>
        <w:rPr>
          <w:rFonts w:ascii="Times New Roman" w:hAnsi="Times New Roman"/>
          <w:b/>
          <w:bCs/>
        </w:rPr>
        <w:t>INFORMATION</w:t>
      </w:r>
      <w:r w:rsidR="004F194B">
        <w:rPr>
          <w:rFonts w:ascii="Times New Roman" w:hAnsi="Times New Roman"/>
          <w:b/>
          <w:bCs/>
        </w:rPr>
        <w:t xml:space="preserve"> </w:t>
      </w:r>
      <w:r>
        <w:rPr>
          <w:rFonts w:ascii="Times New Roman" w:hAnsi="Times New Roman"/>
          <w:b/>
          <w:bCs/>
        </w:rPr>
        <w:t xml:space="preserve">COLLECTION REQUIREMENTS OF THE </w:t>
      </w:r>
    </w:p>
    <w:p w:rsidR="00D851BC" w:rsidP="00771938" w14:paraId="764BE58F" w14:textId="77777777">
      <w:pPr>
        <w:widowControl/>
        <w:jc w:val="center"/>
        <w:rPr>
          <w:rFonts w:ascii="Times New Roman" w:hAnsi="Times New Roman"/>
        </w:rPr>
      </w:pPr>
      <w:r>
        <w:rPr>
          <w:rFonts w:ascii="Times New Roman" w:hAnsi="Times New Roman"/>
          <w:b/>
          <w:bCs/>
        </w:rPr>
        <w:t>FORGING MACHINES STANDARD (29 CFR 1910.218)</w:t>
      </w:r>
      <w:r>
        <w:rPr>
          <w:rStyle w:val="FootnoteReference"/>
          <w:rFonts w:ascii="Times New Roman" w:hAnsi="Times New Roman"/>
          <w:vertAlign w:val="superscript"/>
        </w:rPr>
        <w:footnoteReference w:id="3"/>
      </w:r>
    </w:p>
    <w:p w:rsidR="009164B7" w14:paraId="58B28E24" w14:textId="77777777">
      <w:pPr>
        <w:widowControl/>
        <w:tabs>
          <w:tab w:val="center" w:pos="4680"/>
        </w:tabs>
        <w:rPr>
          <w:rFonts w:ascii="Times New Roman" w:hAnsi="Times New Roman"/>
          <w:b/>
          <w:bCs/>
        </w:rPr>
      </w:pPr>
      <w:r>
        <w:rPr>
          <w:rFonts w:ascii="Times New Roman" w:hAnsi="Times New Roman"/>
        </w:rPr>
        <w:tab/>
      </w:r>
      <w:r>
        <w:rPr>
          <w:rFonts w:ascii="Times New Roman" w:hAnsi="Times New Roman"/>
          <w:b/>
          <w:bCs/>
        </w:rPr>
        <w:t>OFFICE OF MANAGEMENT AND BUDGET</w:t>
      </w:r>
      <w:r w:rsidR="007B7D67">
        <w:rPr>
          <w:rFonts w:ascii="Times New Roman" w:hAnsi="Times New Roman"/>
          <w:b/>
          <w:bCs/>
        </w:rPr>
        <w:t xml:space="preserve"> (OMB)</w:t>
      </w:r>
    </w:p>
    <w:p w:rsidR="00D851BC" w:rsidP="009164B7" w14:paraId="5503EA32" w14:textId="69DDF154">
      <w:pPr>
        <w:widowControl/>
        <w:tabs>
          <w:tab w:val="center" w:pos="4680"/>
        </w:tabs>
        <w:jc w:val="center"/>
        <w:rPr>
          <w:rFonts w:ascii="Times New Roman" w:hAnsi="Times New Roman"/>
          <w:b/>
          <w:bCs/>
        </w:rPr>
      </w:pPr>
      <w:r>
        <w:rPr>
          <w:rFonts w:ascii="Times New Roman" w:hAnsi="Times New Roman"/>
          <w:b/>
          <w:bCs/>
        </w:rPr>
        <w:t>C</w:t>
      </w:r>
      <w:r w:rsidR="007B7D67">
        <w:rPr>
          <w:rFonts w:ascii="Times New Roman" w:hAnsi="Times New Roman"/>
          <w:b/>
          <w:bCs/>
        </w:rPr>
        <w:t>ontrol No</w:t>
      </w:r>
      <w:r>
        <w:rPr>
          <w:rFonts w:ascii="Times New Roman" w:hAnsi="Times New Roman"/>
          <w:b/>
          <w:bCs/>
        </w:rPr>
        <w:t>. 1218-0228</w:t>
      </w:r>
      <w:r w:rsidR="009164B7">
        <w:rPr>
          <w:rFonts w:ascii="Times New Roman" w:hAnsi="Times New Roman"/>
          <w:b/>
          <w:bCs/>
        </w:rPr>
        <w:t xml:space="preserve"> </w:t>
      </w:r>
      <w:r w:rsidR="00110B87">
        <w:rPr>
          <w:rFonts w:ascii="Times New Roman" w:hAnsi="Times New Roman"/>
          <w:b/>
          <w:bCs/>
        </w:rPr>
        <w:t>(</w:t>
      </w:r>
      <w:r w:rsidR="00076D61">
        <w:rPr>
          <w:rFonts w:ascii="Times New Roman" w:hAnsi="Times New Roman"/>
          <w:b/>
          <w:bCs/>
        </w:rPr>
        <w:t>Ju</w:t>
      </w:r>
      <w:r w:rsidR="004D3AD6">
        <w:rPr>
          <w:rFonts w:ascii="Times New Roman" w:hAnsi="Times New Roman"/>
          <w:b/>
          <w:bCs/>
        </w:rPr>
        <w:t>ly</w:t>
      </w:r>
      <w:r w:rsidR="00E81FB9">
        <w:rPr>
          <w:rFonts w:ascii="Times New Roman" w:hAnsi="Times New Roman"/>
          <w:b/>
          <w:bCs/>
        </w:rPr>
        <w:t xml:space="preserve"> 2024</w:t>
      </w:r>
      <w:r w:rsidR="007B7D67">
        <w:rPr>
          <w:rFonts w:ascii="Times New Roman" w:hAnsi="Times New Roman"/>
          <w:b/>
          <w:bCs/>
        </w:rPr>
        <w:t>)</w:t>
      </w:r>
    </w:p>
    <w:p w:rsidR="00E14DBF" w:rsidP="009164B7" w14:paraId="123C6851" w14:textId="77777777">
      <w:pPr>
        <w:widowControl/>
        <w:tabs>
          <w:tab w:val="center" w:pos="4680"/>
        </w:tabs>
        <w:jc w:val="center"/>
        <w:rPr>
          <w:rFonts w:ascii="Times New Roman" w:hAnsi="Times New Roman"/>
          <w:b/>
          <w:bCs/>
        </w:rPr>
      </w:pPr>
    </w:p>
    <w:p w:rsidR="00E14DBF" w:rsidRPr="004932B3" w:rsidP="004932B3" w14:paraId="327AB156" w14:textId="2F13B1B4">
      <w:pPr>
        <w:widowControl/>
        <w:tabs>
          <w:tab w:val="center" w:pos="4680"/>
        </w:tabs>
        <w:rPr>
          <w:rFonts w:ascii="Times New Roman" w:hAnsi="Times New Roman"/>
          <w:u w:val="single"/>
        </w:rPr>
      </w:pPr>
      <w:r>
        <w:rPr>
          <w:rFonts w:ascii="Times New Roman" w:hAnsi="Times New Roman"/>
          <w:bCs/>
          <w:u w:val="single"/>
        </w:rPr>
        <w:t>The agency is seeking an</w:t>
      </w:r>
      <w:r w:rsidR="005B6AA3">
        <w:rPr>
          <w:rFonts w:ascii="Times New Roman" w:hAnsi="Times New Roman"/>
          <w:bCs/>
          <w:u w:val="single"/>
        </w:rPr>
        <w:t xml:space="preserve"> extension of a currently approved data collection</w:t>
      </w:r>
      <w:r>
        <w:rPr>
          <w:rFonts w:ascii="Times New Roman" w:hAnsi="Times New Roman"/>
          <w:bCs/>
          <w:u w:val="single"/>
        </w:rPr>
        <w:t xml:space="preserve">. </w:t>
      </w:r>
    </w:p>
    <w:p w:rsidR="00D851BC" w14:paraId="086E9C5A" w14:textId="77777777">
      <w:pPr>
        <w:widowControl/>
        <w:rPr>
          <w:rFonts w:ascii="Times New Roman" w:hAnsi="Times New Roman"/>
        </w:rPr>
      </w:pPr>
    </w:p>
    <w:p w:rsidR="00D851BC" w14:paraId="1670DFFF" w14:textId="77777777">
      <w:pPr>
        <w:widowControl/>
        <w:rPr>
          <w:rFonts w:ascii="Times New Roman" w:hAnsi="Times New Roman"/>
          <w:color w:val="FF00FF"/>
        </w:rPr>
      </w:pPr>
      <w:r>
        <w:rPr>
          <w:rFonts w:ascii="Times New Roman" w:hAnsi="Times New Roman"/>
          <w:b/>
          <w:bCs/>
        </w:rPr>
        <w:t>A. JUSTIFICATION</w:t>
      </w:r>
    </w:p>
    <w:p w:rsidR="00D851BC" w14:paraId="034DEF11" w14:textId="77777777">
      <w:pPr>
        <w:widowControl/>
        <w:rPr>
          <w:rFonts w:ascii="Times New Roman" w:hAnsi="Times New Roman"/>
          <w:color w:val="000000"/>
        </w:rPr>
      </w:pPr>
    </w:p>
    <w:p w:rsidR="00D851BC" w:rsidRPr="00E11204" w14:paraId="5FD8FFD8" w14:textId="77777777">
      <w:pPr>
        <w:widowControl/>
        <w:rPr>
          <w:rFonts w:ascii="Times New Roman" w:hAnsi="Times New Roman"/>
          <w:color w:val="000000"/>
        </w:rPr>
      </w:pPr>
      <w:r w:rsidRPr="004932B3">
        <w:rPr>
          <w:rFonts w:ascii="Times New Roman" w:hAnsi="Times New Roman"/>
          <w:b/>
          <w:bCs/>
          <w:color w:val="000000"/>
        </w:rPr>
        <w:t xml:space="preserve">1.  Explain the circumstances that make the collection of information necessary.  Identify any legal or administrative requirements that necessitate the collection.  Attach a copy of </w:t>
      </w:r>
      <w:r w:rsidRPr="004932B3">
        <w:rPr>
          <w:rFonts w:ascii="Times New Roman" w:hAnsi="Times New Roman"/>
          <w:b/>
          <w:bCs/>
          <w:color w:val="000000"/>
        </w:rPr>
        <w:t>the appropriate section of each statute and regulation mandating or authorizing the collection of information.</w:t>
      </w:r>
    </w:p>
    <w:p w:rsidR="00D851BC" w14:paraId="22DBE2CE" w14:textId="77777777">
      <w:pPr>
        <w:widowControl/>
        <w:rPr>
          <w:rFonts w:ascii="Times New Roman" w:hAnsi="Times New Roman"/>
          <w:color w:val="000000"/>
        </w:rPr>
      </w:pPr>
    </w:p>
    <w:p w:rsidR="00D851BC" w14:paraId="6898C170" w14:textId="77777777">
      <w:pPr>
        <w:widowControl/>
        <w:rPr>
          <w:rFonts w:ascii="Times New Roman" w:hAnsi="Times New Roman"/>
          <w:color w:val="000000"/>
        </w:rPr>
      </w:pPr>
      <w:r>
        <w:rPr>
          <w:rFonts w:ascii="Times New Roman" w:hAnsi="Times New Roman"/>
          <w:color w:val="000000"/>
        </w:rPr>
        <w:t>The main objective of the Occupational Safety and Health Act of 1970 (i.e., “the Act”) is to “assure so far as possible every working man and woman in the Nation safe and healthful working conditions and to preserve our human resources” (29 U.S.C. 651)</w:t>
      </w:r>
      <w:r w:rsidR="009164B7">
        <w:rPr>
          <w:rFonts w:ascii="Times New Roman" w:hAnsi="Times New Roman"/>
          <w:color w:val="000000"/>
        </w:rPr>
        <w:t>.</w:t>
      </w:r>
      <w:r>
        <w:rPr>
          <w:rFonts w:ascii="Times New Roman" w:hAnsi="Times New Roman"/>
          <w:color w:val="000000"/>
        </w:rPr>
        <w:t xml:space="preserve">  To achieve this objective, the Act authorizes “the development and promulgation of occupational safety and health standards” (29 U.S.C. 651)</w:t>
      </w:r>
      <w:r w:rsidR="009B6652">
        <w:rPr>
          <w:rFonts w:ascii="Times New Roman" w:hAnsi="Times New Roman"/>
          <w:color w:val="000000"/>
        </w:rPr>
        <w:t>.</w:t>
      </w:r>
    </w:p>
    <w:p w:rsidR="00D851BC" w14:paraId="4741E644" w14:textId="77777777">
      <w:pPr>
        <w:widowControl/>
        <w:rPr>
          <w:rFonts w:ascii="Times New Roman" w:hAnsi="Times New Roman"/>
          <w:color w:val="000000"/>
        </w:rPr>
      </w:pPr>
    </w:p>
    <w:p w:rsidR="00D851BC" w:rsidRPr="00C61FE0" w14:paraId="462B8C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C61FE0">
        <w:rPr>
          <w:rFonts w:ascii="Times New Roman" w:hAnsi="Times New Roman" w:cs="Shruti"/>
          <w:color w:val="000000"/>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w:t>
      </w:r>
      <w:r w:rsidRPr="00C61FE0">
        <w:rPr>
          <w:rFonts w:ascii="Times New Roman" w:hAnsi="Times New Roman" w:cs="Shruti"/>
          <w:color w:val="000000"/>
        </w:rPr>
        <w:t xml:space="preserv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r w:rsidR="009164B7">
        <w:rPr>
          <w:rFonts w:ascii="Times New Roman" w:hAnsi="Times New Roman" w:cs="Shruti"/>
          <w:color w:val="000000"/>
        </w:rPr>
        <w:t>.</w:t>
      </w:r>
    </w:p>
    <w:p w:rsidR="00D851BC" w14:paraId="0FC772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rsidRPr="00C61FE0" w14:paraId="717A6A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 </w:t>
      </w:r>
      <w:r w:rsidRPr="00C61FE0">
        <w:rPr>
          <w:rFonts w:ascii="Times New Roman" w:hAnsi="Times New Roman"/>
          <w:color w:val="000000"/>
        </w:rPr>
        <w:t>(29 U.S.C. 657)</w:t>
      </w:r>
      <w:r w:rsidR="009164B7">
        <w:rPr>
          <w:rFonts w:ascii="Times New Roman" w:hAnsi="Times New Roman"/>
          <w:color w:val="000000"/>
        </w:rPr>
        <w:t>.</w:t>
      </w:r>
      <w:r w:rsidRPr="00C61FE0">
        <w:rPr>
          <w:rFonts w:ascii="Times New Roman" w:hAnsi="Times New Roman"/>
          <w:color w:val="000000"/>
        </w:rPr>
        <w:t xml:space="preserve">  </w:t>
      </w:r>
      <w:r w:rsidRPr="00C61FE0">
        <w:rPr>
          <w:rFonts w:ascii="Times New Roman" w:hAnsi="Times New Roman" w:cs="Shruti"/>
          <w:color w:val="000000"/>
        </w:rPr>
        <w:t>The Act states further that “[t]he Secretary . . . shall prescribe such rules and regulations as [he/she] may deem necessary to carry out [his/her] responsibilities under this Act, including rules and regulations dealing with the inspection of an employer’s establishment” (29 U.S.C. 657)</w:t>
      </w:r>
      <w:r w:rsidR="009164B7">
        <w:rPr>
          <w:rFonts w:ascii="Times New Roman" w:hAnsi="Times New Roman" w:cs="Shruti"/>
          <w:color w:val="000000"/>
        </w:rPr>
        <w:t>.</w:t>
      </w:r>
    </w:p>
    <w:p w:rsidR="00D851BC" w14:paraId="0043EE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14:paraId="4928879D" w14:textId="5E27B2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Under the authority granted by the Act, the Occupational Safety and Health Administration (i.e., “OSHA” or “the </w:t>
      </w:r>
      <w:r w:rsidR="00B17364">
        <w:rPr>
          <w:rFonts w:ascii="Times New Roman" w:hAnsi="Times New Roman"/>
          <w:color w:val="000000"/>
        </w:rPr>
        <w:t>a</w:t>
      </w:r>
      <w:r>
        <w:rPr>
          <w:rFonts w:ascii="Times New Roman" w:hAnsi="Times New Roman"/>
          <w:color w:val="000000"/>
        </w:rPr>
        <w:t>gency”) published at 29 CFR 1910.218 a safety standard for general industry regulating the use of forging machines (i.e., “the Standard").  The paperwork provisions of the Standard specify requirements for developing and maintaining inspection records, and identifying manually operated valves and switches.  Items 2 and 12 below describe in detail the specific informa</w:t>
      </w:r>
      <w:r w:rsidR="004F194B">
        <w:rPr>
          <w:rFonts w:ascii="Times New Roman" w:hAnsi="Times New Roman"/>
          <w:color w:val="000000"/>
        </w:rPr>
        <w:t>tion col</w:t>
      </w:r>
      <w:r>
        <w:rPr>
          <w:rFonts w:ascii="Times New Roman" w:hAnsi="Times New Roman"/>
          <w:color w:val="000000"/>
        </w:rPr>
        <w:t xml:space="preserve">lection </w:t>
      </w:r>
      <w:r>
        <w:rPr>
          <w:rFonts w:ascii="Times New Roman" w:hAnsi="Times New Roman"/>
          <w:color w:val="000000"/>
        </w:rPr>
        <w:t>requirements of the Standard.</w:t>
      </w:r>
    </w:p>
    <w:p w:rsidR="00D851BC" w14:paraId="32E77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rPr>
      </w:pPr>
    </w:p>
    <w:p w:rsidR="00D851BC" w:rsidRPr="00E11204" w14:paraId="7597D41C" w14:textId="21CB7D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 xml:space="preserve">2.  Indicate how, by whom, and for what purpose the information is to be used.  Except for a new collection, indicate the actual use the </w:t>
      </w:r>
      <w:r w:rsidR="00246E0E">
        <w:rPr>
          <w:rFonts w:ascii="Times New Roman" w:hAnsi="Times New Roman"/>
          <w:b/>
          <w:bCs/>
          <w:color w:val="000000"/>
        </w:rPr>
        <w:t>a</w:t>
      </w:r>
      <w:r w:rsidRPr="004932B3">
        <w:rPr>
          <w:rFonts w:ascii="Times New Roman" w:hAnsi="Times New Roman"/>
          <w:b/>
          <w:bCs/>
          <w:color w:val="000000"/>
        </w:rPr>
        <w:t>gency has made of the information received from the current collection.</w:t>
      </w:r>
    </w:p>
    <w:p w:rsidR="00D851BC" w14:paraId="5CB11C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14:paraId="11B15E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The Standard specifies several paperwork requirements.  The following sections describe who uses the information collected under each requirement, as well as how they use it.  The purpose of these requirements is to reduce </w:t>
      </w:r>
      <w:r w:rsidR="00C122C6">
        <w:rPr>
          <w:rFonts w:ascii="Times New Roman" w:hAnsi="Times New Roman"/>
          <w:color w:val="000000"/>
        </w:rPr>
        <w:t>worker</w:t>
      </w:r>
      <w:r>
        <w:rPr>
          <w:rFonts w:ascii="Times New Roman" w:hAnsi="Times New Roman"/>
          <w:color w:val="000000"/>
        </w:rPr>
        <w:t>s’ risk of death or serious injury by ensuring that forging machines used by them are in safe operating condition, and that they are able to clearly and properly identify manually operated valves and switches.</w:t>
      </w:r>
    </w:p>
    <w:p w:rsidR="00154E17" w14:paraId="67E084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154E17" w14:paraId="3B3004E5" w14:textId="0DD5AA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w:t>
      </w:r>
      <w:r w:rsidR="0098346B">
        <w:rPr>
          <w:rFonts w:ascii="Times New Roman" w:hAnsi="Times New Roman"/>
          <w:b/>
          <w:bCs/>
          <w:color w:val="000000"/>
        </w:rPr>
        <w:t xml:space="preserve"> </w:t>
      </w:r>
      <w:r w:rsidRPr="00F61D73">
        <w:rPr>
          <w:rFonts w:ascii="Times New Roman" w:hAnsi="Times New Roman"/>
          <w:b/>
          <w:bCs/>
          <w:color w:val="000000"/>
        </w:rPr>
        <w:t xml:space="preserve">1910.218 </w:t>
      </w:r>
      <w:r>
        <w:rPr>
          <w:rFonts w:ascii="Times New Roman" w:hAnsi="Times New Roman"/>
          <w:b/>
          <w:bCs/>
          <w:color w:val="000000"/>
        </w:rPr>
        <w:t>(a)</w:t>
      </w:r>
      <w:r w:rsidRPr="00F61D73">
        <w:rPr>
          <w:rFonts w:ascii="Times New Roman" w:hAnsi="Times New Roman"/>
          <w:b/>
          <w:bCs/>
          <w:color w:val="000000"/>
        </w:rPr>
        <w:t>(2)</w:t>
      </w:r>
      <w:r>
        <w:rPr>
          <w:rFonts w:ascii="Times New Roman" w:hAnsi="Times New Roman"/>
          <w:b/>
          <w:bCs/>
          <w:color w:val="000000"/>
        </w:rPr>
        <w:t>(i)</w:t>
      </w:r>
      <w:r w:rsidRPr="00F61D73">
        <w:rPr>
          <w:rFonts w:ascii="Times New Roman" w:hAnsi="Times New Roman"/>
          <w:b/>
          <w:bCs/>
          <w:color w:val="000000"/>
        </w:rPr>
        <w:t xml:space="preserve"> &amp; </w:t>
      </w:r>
      <w:r>
        <w:rPr>
          <w:rFonts w:ascii="Times New Roman" w:hAnsi="Times New Roman"/>
          <w:b/>
          <w:bCs/>
          <w:color w:val="000000"/>
        </w:rPr>
        <w:t>(ii)</w:t>
      </w:r>
      <w:r w:rsidR="0098346B">
        <w:rPr>
          <w:rFonts w:ascii="Times New Roman" w:hAnsi="Times New Roman"/>
          <w:b/>
          <w:bCs/>
          <w:color w:val="000000"/>
        </w:rPr>
        <w:t xml:space="preserve"> – </w:t>
      </w:r>
      <w:r w:rsidRPr="00F61D73">
        <w:rPr>
          <w:rFonts w:ascii="Times New Roman" w:hAnsi="Times New Roman"/>
          <w:b/>
          <w:bCs/>
          <w:color w:val="000000"/>
        </w:rPr>
        <w:t>Inspection</w:t>
      </w:r>
      <w:r w:rsidR="0098346B">
        <w:rPr>
          <w:rFonts w:ascii="Times New Roman" w:hAnsi="Times New Roman"/>
          <w:b/>
          <w:bCs/>
          <w:color w:val="000000"/>
        </w:rPr>
        <w:t xml:space="preserve"> </w:t>
      </w:r>
      <w:r w:rsidRPr="00F61D73">
        <w:rPr>
          <w:rFonts w:ascii="Times New Roman" w:hAnsi="Times New Roman"/>
          <w:b/>
          <w:bCs/>
          <w:color w:val="000000"/>
        </w:rPr>
        <w:t>and Maintenance</w:t>
      </w:r>
      <w:r w:rsidR="0098346B">
        <w:rPr>
          <w:rFonts w:ascii="Times New Roman" w:hAnsi="Times New Roman"/>
          <w:b/>
          <w:bCs/>
          <w:color w:val="000000"/>
        </w:rPr>
        <w:t>.</w:t>
      </w:r>
    </w:p>
    <w:p w:rsidR="004E0192" w:rsidRPr="00F61D73" w14:paraId="284632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154E17" w:rsidRPr="00F61D73" w:rsidP="004B3E43" w14:paraId="05E44FF4" w14:textId="4F7CA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61D73">
        <w:rPr>
          <w:rFonts w:ascii="Times New Roman" w:hAnsi="Times New Roman"/>
          <w:color w:val="000000"/>
          <w:u w:val="single"/>
        </w:rPr>
        <w:t xml:space="preserve">Inspection of </w:t>
      </w:r>
      <w:r w:rsidRPr="00F61D73">
        <w:rPr>
          <w:rFonts w:ascii="Times New Roman" w:hAnsi="Times New Roman"/>
          <w:color w:val="000000"/>
          <w:u w:val="single"/>
        </w:rPr>
        <w:t>Forging Machines, Guards, and Point-of-Operation Protection Devices (paragraphs (a)(2)(i) and (a)(2)(ii))</w:t>
      </w:r>
      <w:r w:rsidRPr="00F61D73">
        <w:rPr>
          <w:rFonts w:ascii="Times New Roman" w:hAnsi="Times New Roman"/>
          <w:color w:val="000000"/>
        </w:rPr>
        <w:t xml:space="preserve">.  </w:t>
      </w:r>
    </w:p>
    <w:p w:rsidR="004B3E43" w:rsidP="004B3E43" w14:paraId="27C8A9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154E17" w:rsidRPr="00F61D73" w:rsidP="004B3E43" w14:paraId="6F2E0027" w14:textId="2B4AB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61D73">
        <w:rPr>
          <w:rFonts w:ascii="Times New Roman" w:hAnsi="Times New Roman"/>
          <w:color w:val="000000"/>
        </w:rPr>
        <w:t xml:space="preserve">Paragraph (a)(2)(i) requires employers to establish periodic and regular maintenance safety checks, and to develop and </w:t>
      </w:r>
      <w:r w:rsidRPr="00F61D73" w:rsidR="005962A3">
        <w:rPr>
          <w:rFonts w:ascii="Times New Roman" w:hAnsi="Times New Roman"/>
          <w:color w:val="000000"/>
        </w:rPr>
        <w:t>maintain</w:t>
      </w:r>
      <w:r w:rsidRPr="00F61D73">
        <w:rPr>
          <w:rFonts w:ascii="Times New Roman" w:hAnsi="Times New Roman"/>
          <w:color w:val="000000"/>
        </w:rPr>
        <w:t xml:space="preserve"> a certification record of each inspection. The certification record must include the date of inspection, the signature of the person who performed the inspection, and the serial number (or other identifier) of the forging machine inspected.  </w:t>
      </w:r>
    </w:p>
    <w:p w:rsidR="00E81FB9" w:rsidP="003F1E42" w14:paraId="1B3944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360AB" w:rsidP="003F1E42" w14:paraId="4EE520FC" w14:textId="640A35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P</w:t>
      </w:r>
      <w:r w:rsidR="00D851BC">
        <w:rPr>
          <w:rFonts w:ascii="Times New Roman" w:hAnsi="Times New Roman"/>
          <w:color w:val="000000"/>
        </w:rPr>
        <w:t xml:space="preserve">aragraph (a)(2)(ii), employers are to schedule regular and frequent inspections of guards and point-of-operation protection devices, and prepare a certification record of each inspection that contains the date </w:t>
      </w:r>
      <w:r w:rsidR="00442CB2">
        <w:rPr>
          <w:rFonts w:ascii="Times New Roman" w:hAnsi="Times New Roman"/>
          <w:color w:val="000000"/>
        </w:rPr>
        <w:t xml:space="preserve">of </w:t>
      </w:r>
      <w:r w:rsidR="00D851BC">
        <w:rPr>
          <w:rFonts w:ascii="Times New Roman" w:hAnsi="Times New Roman"/>
          <w:color w:val="000000"/>
        </w:rPr>
        <w:t xml:space="preserve">the inspection, the signature of the person who performed the inspection, and the serial number (or other identifier) of the equipment inspected.  These inspection certification records provide assurance to employers, </w:t>
      </w:r>
      <w:r w:rsidR="00B3171C">
        <w:rPr>
          <w:rFonts w:ascii="Times New Roman" w:hAnsi="Times New Roman"/>
          <w:color w:val="000000"/>
        </w:rPr>
        <w:t>workers</w:t>
      </w:r>
      <w:r w:rsidR="00D851BC">
        <w:rPr>
          <w:rFonts w:ascii="Times New Roman" w:hAnsi="Times New Roman"/>
          <w:color w:val="000000"/>
        </w:rPr>
        <w:t xml:space="preserve">, and OSHA compliance officers that forging machines, guards, and point-of-operation protection devices </w:t>
      </w:r>
      <w:r w:rsidRPr="0014522C" w:rsidR="00D851BC">
        <w:rPr>
          <w:rFonts w:ascii="Times New Roman" w:hAnsi="Times New Roman" w:cs="Shruti"/>
          <w:color w:val="000000"/>
        </w:rPr>
        <w:t>have been inspected, assuring that they will operate properly and safely, thereby</w:t>
      </w:r>
      <w:r w:rsidR="006C2ED1">
        <w:rPr>
          <w:rFonts w:ascii="Times New Roman" w:hAnsi="Times New Roman" w:cs="Shruti"/>
          <w:color w:val="000000"/>
        </w:rPr>
        <w:t>,</w:t>
      </w:r>
      <w:r w:rsidRPr="0014522C" w:rsidR="00D851BC">
        <w:rPr>
          <w:rFonts w:ascii="Times New Roman" w:hAnsi="Times New Roman" w:cs="Shruti"/>
          <w:color w:val="000000"/>
        </w:rPr>
        <w:t xml:space="preserve"> preventing impact injury and death to </w:t>
      </w:r>
      <w:r w:rsidR="00B3171C">
        <w:rPr>
          <w:rFonts w:ascii="Times New Roman" w:hAnsi="Times New Roman" w:cs="Shruti"/>
          <w:color w:val="000000"/>
        </w:rPr>
        <w:t>workers</w:t>
      </w:r>
      <w:r w:rsidRPr="0014522C" w:rsidR="00D851BC">
        <w:rPr>
          <w:rFonts w:ascii="Times New Roman" w:hAnsi="Times New Roman" w:cs="Shruti"/>
          <w:color w:val="000000"/>
        </w:rPr>
        <w:t xml:space="preserve"> during forging operations</w:t>
      </w:r>
      <w:r w:rsidRPr="00D2207C" w:rsidR="00D851BC">
        <w:rPr>
          <w:rFonts w:ascii="Times New Roman" w:hAnsi="Times New Roman"/>
          <w:color w:val="000000"/>
        </w:rPr>
        <w:t xml:space="preserve">.  </w:t>
      </w:r>
    </w:p>
    <w:p w:rsidR="00154E17" w:rsidP="003F1E42" w14:paraId="3EBC95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E0192" w:rsidP="003F1E42" w14:paraId="5D0464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w:t>
      </w:r>
      <w:r w:rsidR="0098346B">
        <w:rPr>
          <w:rFonts w:ascii="Times New Roman" w:hAnsi="Times New Roman"/>
          <w:b/>
          <w:bCs/>
          <w:color w:val="000000"/>
        </w:rPr>
        <w:t xml:space="preserve"> </w:t>
      </w:r>
      <w:r w:rsidRPr="00F61D73" w:rsidR="00154E17">
        <w:rPr>
          <w:rFonts w:ascii="Times New Roman" w:hAnsi="Times New Roman"/>
          <w:b/>
          <w:bCs/>
          <w:color w:val="000000"/>
        </w:rPr>
        <w:t>1910.218 (</w:t>
      </w:r>
      <w:r w:rsidR="00753EA4">
        <w:rPr>
          <w:rFonts w:ascii="Times New Roman" w:hAnsi="Times New Roman"/>
          <w:b/>
          <w:bCs/>
          <w:color w:val="000000"/>
        </w:rPr>
        <w:t>c</w:t>
      </w:r>
      <w:r w:rsidRPr="00F61D73" w:rsidR="00154E17">
        <w:rPr>
          <w:rFonts w:ascii="Times New Roman" w:hAnsi="Times New Roman"/>
          <w:b/>
          <w:bCs/>
          <w:color w:val="000000"/>
        </w:rPr>
        <w:t>)</w:t>
      </w:r>
      <w:r w:rsidR="00E81FB9">
        <w:rPr>
          <w:rFonts w:ascii="Times New Roman" w:hAnsi="Times New Roman"/>
          <w:b/>
          <w:bCs/>
          <w:color w:val="000000"/>
        </w:rPr>
        <w:t>, (h)(3), (i)(1) &amp; (2)</w:t>
      </w:r>
      <w:r w:rsidR="0098346B">
        <w:rPr>
          <w:rFonts w:ascii="Times New Roman" w:hAnsi="Times New Roman"/>
          <w:b/>
          <w:bCs/>
          <w:color w:val="000000"/>
        </w:rPr>
        <w:t xml:space="preserve"> –</w:t>
      </w:r>
      <w:r>
        <w:rPr>
          <w:rFonts w:ascii="Times New Roman" w:hAnsi="Times New Roman"/>
          <w:b/>
          <w:bCs/>
          <w:color w:val="000000"/>
        </w:rPr>
        <w:t xml:space="preserve"> Presses</w:t>
      </w:r>
      <w:r w:rsidR="0098346B">
        <w:rPr>
          <w:rFonts w:ascii="Times New Roman" w:hAnsi="Times New Roman"/>
          <w:b/>
          <w:bCs/>
          <w:color w:val="000000"/>
        </w:rPr>
        <w:t>.</w:t>
      </w:r>
    </w:p>
    <w:p w:rsidR="00154E17" w:rsidRPr="00F61D73" w:rsidP="003F1E42" w14:paraId="2073101D" w14:textId="281C3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u w:val="single"/>
        </w:rPr>
      </w:pPr>
      <w:r>
        <w:rPr>
          <w:rFonts w:ascii="Times New Roman" w:hAnsi="Times New Roman"/>
          <w:b/>
          <w:bCs/>
          <w:color w:val="000000"/>
        </w:rPr>
        <w:t xml:space="preserve"> </w:t>
      </w:r>
    </w:p>
    <w:p w:rsidR="00E81FB9" w:rsidP="004932B3" w14:paraId="6089ED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u w:val="single"/>
        </w:rPr>
        <w:t xml:space="preserve">Identification of Manually </w:t>
      </w:r>
      <w:r>
        <w:rPr>
          <w:rFonts w:ascii="Times New Roman" w:hAnsi="Times New Roman"/>
          <w:color w:val="000000"/>
          <w:u w:val="single"/>
        </w:rPr>
        <w:t>Controlled Valves and Switches (paragraphs (c), (h)(3), (i)(1) and (i)(2))</w:t>
      </w:r>
      <w:r>
        <w:rPr>
          <w:rFonts w:ascii="Times New Roman" w:hAnsi="Times New Roman"/>
          <w:color w:val="000000"/>
        </w:rPr>
        <w:t>.  These paragraphs require proper and clear identification of manually operated valves and switches on presses, upsetters, boltheading equipment, and rivet-making machines, respectively.  Marking val</w:t>
      </w:r>
      <w:r w:rsidR="00FD6341">
        <w:rPr>
          <w:rFonts w:ascii="Times New Roman" w:hAnsi="Times New Roman"/>
          <w:color w:val="000000"/>
        </w:rPr>
        <w:t>v</w:t>
      </w:r>
      <w:r>
        <w:rPr>
          <w:rFonts w:ascii="Times New Roman" w:hAnsi="Times New Roman"/>
          <w:color w:val="000000"/>
        </w:rPr>
        <w:t>es and s</w:t>
      </w:r>
      <w:r w:rsidR="00DF0C14">
        <w:rPr>
          <w:rFonts w:ascii="Times New Roman" w:hAnsi="Times New Roman"/>
          <w:color w:val="000000"/>
        </w:rPr>
        <w:t>witches provide</w:t>
      </w:r>
      <w:r>
        <w:rPr>
          <w:rFonts w:ascii="Times New Roman" w:hAnsi="Times New Roman"/>
          <w:color w:val="000000"/>
        </w:rPr>
        <w:t xml:space="preserve"> information to </w:t>
      </w:r>
      <w:r w:rsidR="006C2ED1">
        <w:rPr>
          <w:rFonts w:ascii="Times New Roman" w:hAnsi="Times New Roman"/>
          <w:color w:val="000000"/>
        </w:rPr>
        <w:t>workers</w:t>
      </w:r>
      <w:r>
        <w:rPr>
          <w:rFonts w:ascii="Times New Roman" w:hAnsi="Times New Roman"/>
          <w:color w:val="000000"/>
        </w:rPr>
        <w:t xml:space="preserve"> to ensure that they operate the forging machines correctly and safely.</w:t>
      </w:r>
      <w:r w:rsidR="00B25D14">
        <w:rPr>
          <w:rFonts w:ascii="Times New Roman" w:hAnsi="Times New Roman"/>
          <w:color w:val="000000"/>
        </w:rPr>
        <w:t xml:space="preserve">  </w:t>
      </w:r>
    </w:p>
    <w:p w:rsidR="00BD7B5F" w:rsidP="004932B3" w14:paraId="4CF25E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rsidP="004932B3" w14:paraId="4E7F4659" w14:textId="7F2B6A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NOTE:  </w:t>
      </w:r>
      <w:r w:rsidR="00B25D14">
        <w:rPr>
          <w:rFonts w:ascii="Times New Roman" w:hAnsi="Times New Roman"/>
          <w:color w:val="000000"/>
        </w:rPr>
        <w:t xml:space="preserve">The </w:t>
      </w:r>
      <w:r w:rsidR="00B17364">
        <w:rPr>
          <w:rFonts w:ascii="Times New Roman" w:hAnsi="Times New Roman"/>
          <w:color w:val="000000"/>
        </w:rPr>
        <w:t>a</w:t>
      </w:r>
      <w:r w:rsidR="00B25D14">
        <w:rPr>
          <w:rFonts w:ascii="Times New Roman" w:hAnsi="Times New Roman"/>
          <w:color w:val="000000"/>
        </w:rPr>
        <w:t>gency has determined that it is usual and customary for manufacturers to mark</w:t>
      </w:r>
      <w:r>
        <w:rPr>
          <w:rStyle w:val="FootnoteReference"/>
          <w:rFonts w:ascii="Times New Roman" w:hAnsi="Times New Roman"/>
          <w:color w:val="000000"/>
          <w:vertAlign w:val="superscript"/>
        </w:rPr>
        <w:footnoteReference w:id="4"/>
      </w:r>
      <w:r w:rsidR="00B25D14">
        <w:rPr>
          <w:rFonts w:ascii="Times New Roman" w:hAnsi="Times New Roman"/>
          <w:color w:val="000000"/>
        </w:rPr>
        <w:t xml:space="preserve"> (for example, “On” and “Off,” “Open” and Close,” etc.) all manually controlled valves and switches to meet the requirements of the American National Standards Institute’s (ANSI) standards.  Therefore, OSHA is taking no burden hours or cost for these paperwork requirements. </w:t>
      </w:r>
    </w:p>
    <w:p w:rsidR="00D2207C" w14:paraId="03BAA9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D2207C" w:rsidRPr="0040329F" w:rsidP="00D2207C" w14:paraId="2B01FC42" w14:textId="68082A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0329F">
        <w:rPr>
          <w:rFonts w:ascii="Times New Roman" w:hAnsi="Times New Roman"/>
          <w:color w:val="000000"/>
          <w:u w:val="single"/>
        </w:rPr>
        <w:t>Disclosure of Records</w:t>
      </w:r>
      <w:r w:rsidRPr="0040329F">
        <w:rPr>
          <w:rFonts w:ascii="Times New Roman" w:hAnsi="Times New Roman"/>
          <w:color w:val="000000"/>
        </w:rPr>
        <w:t xml:space="preserve">.  </w:t>
      </w:r>
      <w:r w:rsidR="002D0DA9">
        <w:rPr>
          <w:rFonts w:ascii="Times New Roman" w:hAnsi="Times New Roman"/>
        </w:rPr>
        <w:t xml:space="preserve">OSHA determined that employers disclosing information to OSHA during an inspection is outside the scope of the PRA because OSHA would only review records in the context of an open investigation of a particular employer to determine compliance with the Standard. See 5 CFR 1320.4(a)(2). </w:t>
      </w:r>
    </w:p>
    <w:p w:rsidR="00D2207C" w:rsidRPr="00D2207C" w14:paraId="063745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D851BC" w:rsidRPr="004932B3" w14:paraId="115FB0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4932B3">
        <w:rPr>
          <w:rFonts w:ascii="Times New Roman" w:hAnsi="Times New Roman"/>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851BC" w:rsidRPr="002F1B0E" w14:paraId="1F1155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rsidRPr="0014522C" w14:paraId="771BE7B4" w14:textId="4FC3D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4522C">
        <w:rPr>
          <w:rFonts w:ascii="Times New Roman" w:hAnsi="Times New Roman" w:cs="Shruti"/>
          <w:color w:val="000000"/>
        </w:rPr>
        <w:t>Employers may use automated, electronic, mechanical, or other technological informa</w:t>
      </w:r>
      <w:r w:rsidR="004F194B">
        <w:rPr>
          <w:rFonts w:ascii="Times New Roman" w:hAnsi="Times New Roman" w:cs="Shruti"/>
          <w:color w:val="000000"/>
        </w:rPr>
        <w:t>tion col</w:t>
      </w:r>
      <w:r w:rsidRPr="0014522C">
        <w:rPr>
          <w:rFonts w:ascii="Times New Roman" w:hAnsi="Times New Roman" w:cs="Shruti"/>
          <w:color w:val="000000"/>
        </w:rPr>
        <w:t xml:space="preserve">lection techniques, or other forms of information technology (e.g., electronic submission of responses) when establishing and maintaining the required records.  The </w:t>
      </w:r>
      <w:r w:rsidR="00B17364">
        <w:rPr>
          <w:rFonts w:ascii="Times New Roman" w:hAnsi="Times New Roman" w:cs="Shruti"/>
          <w:color w:val="000000"/>
        </w:rPr>
        <w:t>a</w:t>
      </w:r>
      <w:r w:rsidRPr="0014522C">
        <w:rPr>
          <w:rFonts w:ascii="Times New Roman" w:hAnsi="Times New Roman" w:cs="Shruti"/>
          <w:color w:val="000000"/>
        </w:rPr>
        <w:t xml:space="preserve">gency wrote the paperwork requirements of the Standard in performance-oriented language </w:t>
      </w:r>
      <w:r w:rsidRPr="0014522C" w:rsidR="00B3171C">
        <w:rPr>
          <w:rFonts w:ascii="Times New Roman" w:hAnsi="Times New Roman" w:cs="Shruti"/>
          <w:color w:val="000000"/>
        </w:rPr>
        <w:t>(i.e</w:t>
      </w:r>
      <w:r w:rsidRPr="0014522C">
        <w:rPr>
          <w:rFonts w:ascii="Times New Roman" w:hAnsi="Times New Roman" w:cs="Shruti"/>
          <w:color w:val="000000"/>
        </w:rPr>
        <w:t xml:space="preserve">., in terms of </w:t>
      </w:r>
      <w:r w:rsidRPr="0014522C">
        <w:rPr>
          <w:rFonts w:ascii="Times New Roman" w:hAnsi="Times New Roman" w:cs="Shruti"/>
          <w:color w:val="000000"/>
          <w:u w:val="single"/>
        </w:rPr>
        <w:t>what</w:t>
      </w:r>
      <w:r w:rsidRPr="0014522C">
        <w:rPr>
          <w:rFonts w:ascii="Times New Roman" w:hAnsi="Times New Roman" w:cs="Shruti"/>
          <w:color w:val="000000"/>
        </w:rPr>
        <w:t xml:space="preserve"> data to collect, not </w:t>
      </w:r>
      <w:r w:rsidRPr="0014522C">
        <w:rPr>
          <w:rFonts w:ascii="Times New Roman" w:hAnsi="Times New Roman" w:cs="Shruti"/>
          <w:color w:val="000000"/>
          <w:u w:val="single"/>
        </w:rPr>
        <w:t>how</w:t>
      </w:r>
      <w:r w:rsidRPr="0014522C">
        <w:rPr>
          <w:rFonts w:ascii="Times New Roman" w:hAnsi="Times New Roman" w:cs="Shruti"/>
          <w:color w:val="000000"/>
        </w:rPr>
        <w:t xml:space="preserve"> to record the data</w:t>
      </w:r>
      <w:r w:rsidRPr="0014522C">
        <w:rPr>
          <w:rFonts w:ascii="Times New Roman" w:hAnsi="Times New Roman"/>
          <w:color w:val="000000"/>
        </w:rPr>
        <w:t>).</w:t>
      </w:r>
    </w:p>
    <w:p w:rsidR="00D851BC" w14:paraId="0494D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rsidRPr="004932B3" w14:paraId="5C3E0D8E" w14:textId="04C4C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 xml:space="preserve">4.  Describe efforts to identify duplication.  Show specifically why any similar information already available cannot be used or modified for use for the purposes described in </w:t>
      </w:r>
      <w:r w:rsidR="009F7014">
        <w:rPr>
          <w:rFonts w:ascii="Times New Roman" w:hAnsi="Times New Roman"/>
          <w:b/>
          <w:bCs/>
          <w:color w:val="000000"/>
        </w:rPr>
        <w:t xml:space="preserve">Item </w:t>
      </w:r>
      <w:r w:rsidRPr="004932B3" w:rsidR="00B3171C">
        <w:rPr>
          <w:rFonts w:ascii="Times New Roman" w:hAnsi="Times New Roman"/>
          <w:b/>
          <w:bCs/>
          <w:color w:val="000000"/>
        </w:rPr>
        <w:t>A.</w:t>
      </w:r>
      <w:r w:rsidRPr="004932B3">
        <w:rPr>
          <w:rFonts w:ascii="Times New Roman" w:hAnsi="Times New Roman"/>
          <w:b/>
          <w:bCs/>
          <w:color w:val="000000"/>
        </w:rPr>
        <w:t>2 above.</w:t>
      </w:r>
    </w:p>
    <w:p w:rsidR="00D851BC" w14:paraId="539AE3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D851BC" w14:paraId="781BE9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rPr>
        <w:t xml:space="preserve">The requirements to collect and maintain information </w:t>
      </w:r>
      <w:r w:rsidR="003A5DAD">
        <w:rPr>
          <w:rFonts w:ascii="Times New Roman" w:hAnsi="Times New Roman"/>
          <w:color w:val="000000"/>
        </w:rPr>
        <w:t xml:space="preserve">is </w:t>
      </w:r>
      <w:r>
        <w:rPr>
          <w:rFonts w:ascii="Times New Roman" w:hAnsi="Times New Roman"/>
          <w:color w:val="000000"/>
        </w:rPr>
        <w:t xml:space="preserve">specific to each employer and </w:t>
      </w:r>
      <w:r w:rsidR="003A5DAD">
        <w:rPr>
          <w:rFonts w:ascii="Times New Roman" w:hAnsi="Times New Roman"/>
          <w:color w:val="000000"/>
        </w:rPr>
        <w:t xml:space="preserve">worker </w:t>
      </w:r>
      <w:r>
        <w:rPr>
          <w:rFonts w:ascii="Times New Roman" w:hAnsi="Times New Roman"/>
          <w:color w:val="000000"/>
        </w:rPr>
        <w:t xml:space="preserve">involved, and no other source or agency duplicates these </w:t>
      </w:r>
      <w:r>
        <w:rPr>
          <w:rFonts w:ascii="Times New Roman" w:hAnsi="Times New Roman"/>
          <w:color w:val="000000"/>
        </w:rPr>
        <w:t>requirements or can make the required information available to OSHA (i.e., the required information is available only from employers).</w:t>
      </w:r>
      <w:r>
        <w:rPr>
          <w:rFonts w:ascii="Times New Roman" w:hAnsi="Times New Roman"/>
          <w:color w:val="000000"/>
          <w:sz w:val="20"/>
          <w:szCs w:val="20"/>
        </w:rPr>
        <w:softHyphen/>
      </w:r>
      <w:r>
        <w:rPr>
          <w:rFonts w:ascii="Times New Roman" w:hAnsi="Times New Roman"/>
          <w:color w:val="000000"/>
          <w:sz w:val="20"/>
          <w:szCs w:val="20"/>
        </w:rPr>
        <w:softHyphen/>
      </w:r>
    </w:p>
    <w:p w:rsidR="00D851BC" w14:paraId="61D466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D851BC" w:rsidRPr="004932B3" w14:paraId="2C5A30AC" w14:textId="0CBFD3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 xml:space="preserve">5.  If the collection of information impacts small businesses or other small entities, describe the methods used to </w:t>
      </w:r>
      <w:r w:rsidR="009F7014">
        <w:rPr>
          <w:rFonts w:ascii="Times New Roman" w:hAnsi="Times New Roman"/>
          <w:b/>
          <w:bCs/>
          <w:color w:val="000000"/>
        </w:rPr>
        <w:t>minimize</w:t>
      </w:r>
      <w:r w:rsidRPr="004932B3">
        <w:rPr>
          <w:rFonts w:ascii="Times New Roman" w:hAnsi="Times New Roman"/>
          <w:b/>
          <w:bCs/>
          <w:color w:val="000000"/>
        </w:rPr>
        <w:t xml:space="preserve"> burden.</w:t>
      </w:r>
    </w:p>
    <w:p w:rsidR="00D851BC" w14:paraId="1B09F7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D851BC" w14:paraId="68585D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rPr>
        <w:t>The informa</w:t>
      </w:r>
      <w:r w:rsidR="004F194B">
        <w:rPr>
          <w:rFonts w:ascii="Times New Roman" w:hAnsi="Times New Roman"/>
          <w:color w:val="000000"/>
        </w:rPr>
        <w:t>tion col</w:t>
      </w:r>
      <w:r>
        <w:rPr>
          <w:rFonts w:ascii="Times New Roman" w:hAnsi="Times New Roman"/>
          <w:color w:val="000000"/>
        </w:rPr>
        <w:t>lection requirements specified by the Standard do not have a significant impact on a substantial number of small entities.</w:t>
      </w:r>
    </w:p>
    <w:p w:rsidR="00D851BC" w14:paraId="024184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sz w:val="20"/>
          <w:szCs w:val="20"/>
        </w:rPr>
      </w:pPr>
    </w:p>
    <w:p w:rsidR="00246E0E" w:rsidRPr="00246E0E" w:rsidP="00246E0E" w14:paraId="2675F2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246E0E">
        <w:rPr>
          <w:rFonts w:ascii="Times New Roman" w:hAnsi="Times New Roman"/>
          <w:b/>
          <w:bCs/>
        </w:rPr>
        <w:t xml:space="preserve">6.  Describe the consequence to federal program or policy activities if the collection is not conducted or is conducted less frequently, as well as any technical or legal obstacles to reducing burden. </w:t>
      </w:r>
    </w:p>
    <w:p w:rsidR="00246E0E" w14:paraId="15E01C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14:paraId="51AA9521" w14:textId="263DF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rPr>
        <w:t xml:space="preserve">The </w:t>
      </w:r>
      <w:r w:rsidR="00B17364">
        <w:rPr>
          <w:rFonts w:ascii="Times New Roman" w:hAnsi="Times New Roman"/>
          <w:color w:val="000000"/>
        </w:rPr>
        <w:t>a</w:t>
      </w:r>
      <w:r>
        <w:rPr>
          <w:rFonts w:ascii="Times New Roman" w:hAnsi="Times New Roman"/>
          <w:color w:val="000000"/>
        </w:rPr>
        <w:t>gency believes that the informa</w:t>
      </w:r>
      <w:r w:rsidR="004F194B">
        <w:rPr>
          <w:rFonts w:ascii="Times New Roman" w:hAnsi="Times New Roman"/>
          <w:color w:val="000000"/>
        </w:rPr>
        <w:t>tion col</w:t>
      </w:r>
      <w:r>
        <w:rPr>
          <w:rFonts w:ascii="Times New Roman" w:hAnsi="Times New Roman"/>
          <w:color w:val="000000"/>
        </w:rPr>
        <w:t xml:space="preserve">lection frequencies required by the Standard are the minimum frequencies necessary to effectively regulate forging machines, 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w:t>
      </w:r>
      <w:r w:rsidR="00B3171C">
        <w:rPr>
          <w:rFonts w:ascii="Times New Roman" w:hAnsi="Times New Roman"/>
          <w:color w:val="000000"/>
        </w:rPr>
        <w:t>workers</w:t>
      </w:r>
      <w:r>
        <w:rPr>
          <w:rFonts w:ascii="Times New Roman" w:hAnsi="Times New Roman"/>
          <w:color w:val="000000"/>
        </w:rPr>
        <w:t xml:space="preserve"> may inadvertently operate forging machines incorrectly and unsafely, thus increasing their risk of death and serious injury.</w:t>
      </w:r>
    </w:p>
    <w:p w:rsidR="00D851BC" w14:paraId="182807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D851BC" w:rsidRPr="004932B3" w14:paraId="52A365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7.  Explain any special circumstances that would cause an information collection to be conducted in a manner:</w:t>
      </w:r>
    </w:p>
    <w:p w:rsidR="009B6652" w:rsidRPr="004932B3" w:rsidP="009B6652" w14:paraId="6176C90F" w14:textId="77777777">
      <w:pPr>
        <w:pStyle w:val="Level1"/>
        <w:widowControl/>
        <w:tabs>
          <w:tab w:val="left" w:pos="-1080"/>
          <w:tab w:val="left" w:pos="-720"/>
          <w:tab w:val="left" w:pos="0"/>
          <w:tab w:val="left" w:pos="720"/>
          <w:tab w:val="left" w:pos="990"/>
          <w:tab w:val="left" w:pos="2160"/>
        </w:tabs>
        <w:rPr>
          <w:rFonts w:ascii="Times New Roman" w:hAnsi="Times New Roman"/>
          <w:color w:val="000000"/>
        </w:rPr>
      </w:pPr>
    </w:p>
    <w:p w:rsidR="00D851BC" w:rsidRPr="004932B3" w:rsidP="009B6652" w14:paraId="250C22B6"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Pr>
          <w:rFonts w:ascii="Times New Roman" w:hAnsi="Times New Roman"/>
          <w:b/>
          <w:bCs/>
          <w:color w:val="000000"/>
        </w:rPr>
        <w:t>equiring respondents to report information to the agency more often than quarterly;</w:t>
      </w:r>
    </w:p>
    <w:p w:rsidR="009B6652" w:rsidRPr="004932B3" w:rsidP="009B6652" w14:paraId="5D9C66EC"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00D851BC" w:rsidRPr="004932B3" w:rsidP="009B6652" w14:paraId="54255E86"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Pr>
          <w:rFonts w:ascii="Times New Roman" w:hAnsi="Times New Roman"/>
          <w:b/>
          <w:bCs/>
          <w:color w:val="000000"/>
        </w:rPr>
        <w:t>equiring respondents to prepare a written response to a collection of information in fewer than 30 days after receipt of it;</w:t>
      </w:r>
    </w:p>
    <w:p w:rsidR="009B6652" w:rsidRPr="004932B3" w:rsidP="009B6652" w14:paraId="38A81F02"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00D851BC" w:rsidRPr="004932B3" w:rsidP="009B6652" w14:paraId="24BA71E2"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t>requiring respondents to submit more than an original and two copies of any document;</w:t>
      </w:r>
    </w:p>
    <w:p w:rsidR="009B6652" w:rsidRPr="004932B3" w:rsidP="009B6652" w14:paraId="1FAFC2FF"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00D851BC" w:rsidRPr="004932B3" w:rsidP="009B6652" w14:paraId="34D86696"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Pr>
          <w:rFonts w:ascii="Times New Roman" w:hAnsi="Times New Roman"/>
          <w:b/>
          <w:bCs/>
          <w:color w:val="000000"/>
        </w:rPr>
        <w:t>equiring respondents to retain records, other than health, medical, government contract, grant-in-aid, or tax records for more than three years;</w:t>
      </w:r>
    </w:p>
    <w:p w:rsidR="009B6652" w:rsidRPr="004932B3" w:rsidP="009B6652" w14:paraId="6CE459F0"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00D851BC" w:rsidRPr="004932B3" w:rsidP="009B6652" w14:paraId="0F5B370A"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i</w:t>
      </w:r>
      <w:r w:rsidRPr="004932B3">
        <w:rPr>
          <w:rFonts w:ascii="Times New Roman" w:hAnsi="Times New Roman"/>
          <w:b/>
          <w:bCs/>
          <w:color w:val="000000"/>
        </w:rPr>
        <w:t>n connection with a statistical survey that is not designed to produce valid and reliable results that can be generalized to the universe of study;</w:t>
      </w:r>
    </w:p>
    <w:p w:rsidR="009B6652" w:rsidRPr="004932B3" w:rsidP="009B6652" w14:paraId="395B2F02"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00D851BC" w:rsidRPr="004932B3" w:rsidP="009B6652" w14:paraId="7A27384A"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Pr>
          <w:rFonts w:ascii="Times New Roman" w:hAnsi="Times New Roman"/>
          <w:b/>
          <w:bCs/>
          <w:color w:val="000000"/>
        </w:rPr>
        <w:t>equiring the use of statistical data classification that has not been reviewed and approved by OMB;</w:t>
      </w:r>
    </w:p>
    <w:p w:rsidR="009B6652" w:rsidRPr="004932B3" w:rsidP="009B6652" w14:paraId="4DA7638C" w14:textId="77777777">
      <w:pPr>
        <w:pStyle w:val="Level1"/>
        <w:widowControl/>
        <w:tabs>
          <w:tab w:val="left" w:pos="-1170"/>
          <w:tab w:val="left" w:pos="-810"/>
          <w:tab w:val="left" w:pos="-90"/>
          <w:tab w:val="left" w:pos="63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bCs/>
          <w:color w:val="000000"/>
        </w:rPr>
      </w:pPr>
    </w:p>
    <w:p w:rsidR="00D851BC" w:rsidP="009B6652" w14:paraId="29A2C4A8" w14:textId="77777777">
      <w:pPr>
        <w:pStyle w:val="Level1"/>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t</w:t>
      </w:r>
      <w:r w:rsidRPr="004932B3">
        <w:rPr>
          <w:rFonts w:ascii="Times New Roman" w:hAnsi="Times New Roman"/>
          <w:b/>
          <w:bCs/>
          <w:color w:val="000000"/>
        </w:rPr>
        <w:t>hat includes a pledge of confidentially that is not supported by authority established in statu</w:t>
      </w:r>
      <w:r w:rsidRPr="004932B3" w:rsidR="00500BD7">
        <w:rPr>
          <w:rFonts w:ascii="Times New Roman" w:hAnsi="Times New Roman"/>
          <w:b/>
          <w:bCs/>
          <w:color w:val="000000"/>
        </w:rPr>
        <w:t>t</w:t>
      </w:r>
      <w:r w:rsidRPr="004932B3">
        <w:rPr>
          <w:rFonts w:ascii="Times New Roman" w:hAnsi="Times New Roman"/>
          <w:b/>
          <w:bCs/>
          <w:color w:val="000000"/>
        </w:rPr>
        <w:t>e or regulation</w:t>
      </w:r>
      <w:r w:rsidR="009F7014">
        <w:rPr>
          <w:rFonts w:ascii="Times New Roman" w:hAnsi="Times New Roman"/>
          <w:b/>
          <w:bCs/>
          <w:color w:val="000000"/>
        </w:rPr>
        <w:t>,</w:t>
      </w:r>
      <w:r w:rsidRPr="004932B3">
        <w:rPr>
          <w:rFonts w:ascii="Times New Roman" w:hAnsi="Times New Roman"/>
          <w:b/>
          <w:bCs/>
          <w:color w:val="000000"/>
        </w:rPr>
        <w:t xml:space="preserve"> that is not supported by disclosure and data security policies that are consistent with the pledge, or which unnecessarily impedes sharing of data with other agencies for compatible confidential use; or</w:t>
      </w:r>
    </w:p>
    <w:p w:rsidR="00592F7B" w:rsidRPr="004932B3" w:rsidP="009B6652" w14:paraId="645F2FDB" w14:textId="77777777">
      <w:pPr>
        <w:pStyle w:val="Level1"/>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bCs/>
          <w:color w:val="000000"/>
        </w:rPr>
      </w:pPr>
    </w:p>
    <w:p w:rsidR="00D851BC" w:rsidRPr="004932B3" w:rsidP="009B6652" w14:paraId="32BBC1B2" w14:textId="477E79B0">
      <w:pPr>
        <w:pStyle w:val="Level1"/>
        <w:widowControl/>
        <w:tabs>
          <w:tab w:val="left" w:pos="-1080"/>
          <w:tab w:val="left" w:pos="-720"/>
          <w:tab w:val="left" w:pos="0"/>
          <w:tab w:val="left" w:pos="720"/>
          <w:tab w:val="left" w:pos="990"/>
          <w:tab w:val="left" w:pos="2160"/>
        </w:tabs>
        <w:rPr>
          <w:rFonts w:ascii="Times New Roman" w:hAnsi="Times New Roman"/>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Pr>
          <w:rFonts w:ascii="Times New Roman" w:hAnsi="Times New Roman"/>
          <w:b/>
          <w:bCs/>
          <w:color w:val="000000"/>
        </w:rPr>
        <w:t xml:space="preserve">equiring respondents to submit proprietary trade secret, or other confidential information unless the agency can </w:t>
      </w:r>
      <w:r w:rsidR="009F7014">
        <w:rPr>
          <w:rFonts w:ascii="Times New Roman" w:hAnsi="Times New Roman"/>
          <w:b/>
          <w:bCs/>
          <w:color w:val="000000"/>
        </w:rPr>
        <w:t>demonstrate</w:t>
      </w:r>
      <w:r w:rsidRPr="004932B3">
        <w:rPr>
          <w:rFonts w:ascii="Times New Roman" w:hAnsi="Times New Roman"/>
          <w:b/>
          <w:bCs/>
          <w:color w:val="000000"/>
        </w:rPr>
        <w:t xml:space="preserve"> that it has instituted procedures to protect the information's confidentially to the extent permitted by law.</w:t>
      </w:r>
    </w:p>
    <w:p w:rsidR="00D851BC" w14:paraId="68029B09"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D851BC" w14:paraId="47028C26" w14:textId="77777777">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color w:val="000000"/>
        </w:rPr>
        <w:t>No special circumstances exist that require employers to collect information using the procedures specified by this item.  The requirements are within the guidelines set forth in 5 CFR 1320.5.</w:t>
      </w:r>
    </w:p>
    <w:p w:rsidR="00D851BC" w:rsidRPr="004932B3" w14:paraId="75E5A151" w14:textId="77777777">
      <w:pPr>
        <w:widowControl/>
        <w:tabs>
          <w:tab w:val="left" w:pos="-1080"/>
          <w:tab w:val="left" w:pos="-720"/>
          <w:tab w:val="left" w:pos="0"/>
          <w:tab w:val="left" w:pos="720"/>
          <w:tab w:val="left" w:pos="990"/>
          <w:tab w:val="left" w:pos="2160"/>
        </w:tabs>
        <w:ind w:left="720"/>
        <w:rPr>
          <w:rFonts w:ascii="Times New Roman" w:hAnsi="Times New Roman"/>
          <w:b/>
          <w:bCs/>
          <w:color w:val="000000"/>
        </w:rPr>
      </w:pPr>
    </w:p>
    <w:p w:rsidR="009F7014" w14:paraId="056A8702" w14:textId="77777777">
      <w:pPr>
        <w:widowControl/>
        <w:tabs>
          <w:tab w:val="left" w:pos="-1080"/>
          <w:tab w:val="left" w:pos="-720"/>
          <w:tab w:val="left" w:pos="0"/>
          <w:tab w:val="left" w:pos="720"/>
          <w:tab w:val="left" w:pos="990"/>
          <w:tab w:val="left" w:pos="2160"/>
        </w:tabs>
        <w:rPr>
          <w:rFonts w:ascii="Times New Roman" w:hAnsi="Times New Roman"/>
          <w:b/>
          <w:bCs/>
        </w:rPr>
      </w:pPr>
      <w:r w:rsidRPr="009F7014">
        <w:rPr>
          <w:rFonts w:ascii="Times New Roman" w:hAnsi="Times New Roman"/>
          <w:b/>
          <w:bCs/>
        </w:rPr>
        <w:t xml:space="preserve">8.  If applicable, provide a copy and identify the date and page number of publication in the </w:t>
      </w:r>
      <w:r w:rsidRPr="009F7014">
        <w:rPr>
          <w:rFonts w:ascii="Times New Roman" w:hAnsi="Times New Roman"/>
          <w:b/>
          <w:i/>
          <w:iCs/>
        </w:rPr>
        <w:t>Federal Register</w:t>
      </w:r>
      <w:r w:rsidRPr="009F7014">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9F7014">
        <w:rPr>
          <w:rFonts w:ascii="Times New Roman" w:hAnsi="Times New Roman"/>
          <w:b/>
          <w:bCs/>
        </w:rPr>
        <w:t>response to these comments.   Specifically address comments received on cost and hour burden.</w:t>
      </w:r>
    </w:p>
    <w:p w:rsidR="009F7014" w14:paraId="62C9FE76"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9F7014" w:rsidRPr="009F7014" w:rsidP="009F7014" w14:paraId="7A33F18B" w14:textId="4324E3E8">
      <w:pPr>
        <w:widowControl/>
        <w:tabs>
          <w:tab w:val="left" w:pos="-1080"/>
          <w:tab w:val="left" w:pos="-720"/>
          <w:tab w:val="left" w:pos="0"/>
          <w:tab w:val="left" w:pos="720"/>
          <w:tab w:val="left" w:pos="990"/>
          <w:tab w:val="left" w:pos="2160"/>
        </w:tabs>
        <w:rPr>
          <w:rFonts w:ascii="Times New Roman" w:hAnsi="Times New Roman"/>
          <w:b/>
          <w:bCs/>
        </w:rPr>
      </w:pPr>
      <w:r w:rsidRPr="009F7014">
        <w:rPr>
          <w:rFonts w:ascii="Times New Roman" w:hAnsi="Times New Roman"/>
          <w:b/>
          <w:bCs/>
        </w:rPr>
        <w:t xml:space="preserve">Describe efforts to consult with persons outside the agency to obtain their views on the availability of data, frequency of collection, the </w:t>
      </w:r>
      <w:r w:rsidRPr="009F7014">
        <w:rPr>
          <w:rFonts w:ascii="Times New Roman" w:hAnsi="Times New Roman"/>
          <w:b/>
          <w:bCs/>
        </w:rPr>
        <w:t>clarity of instructions and recordkeeping,</w:t>
      </w:r>
      <w:r w:rsidR="00317F4D">
        <w:rPr>
          <w:rFonts w:ascii="Times New Roman" w:hAnsi="Times New Roman"/>
          <w:b/>
          <w:bCs/>
        </w:rPr>
        <w:t xml:space="preserve"> </w:t>
      </w:r>
      <w:r w:rsidRPr="009F7014">
        <w:rPr>
          <w:rFonts w:ascii="Times New Roman" w:hAnsi="Times New Roman"/>
          <w:b/>
          <w:bCs/>
        </w:rPr>
        <w:t xml:space="preserve">disclosure, or reporting format (if any), and on the data elements to be recorded, disclosed, or reported. </w:t>
      </w:r>
    </w:p>
    <w:p w:rsidR="009F7014" w14:paraId="35C66B4A"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9F7014" w:rsidRPr="009F7014" w:rsidP="009F7014" w14:paraId="180ED1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F7014">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D851BC" w14:paraId="6A30271C"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4F2A21" w:rsidRPr="004F2A21" w:rsidP="00BE5DC2" w14:paraId="54595967" w14:textId="591CB2D5">
      <w:pPr>
        <w:rPr>
          <w:rFonts w:ascii="Times New Roman" w:hAnsi="Times New Roman"/>
          <w:highlight w:val="yellow"/>
        </w:rPr>
      </w:pPr>
      <w:r w:rsidRPr="38712C07">
        <w:rPr>
          <w:rFonts w:ascii="Times New Roman" w:hAnsi="Times New Roman"/>
        </w:rPr>
        <w:t xml:space="preserve">As required by the Paperwork Reduction Act of 1995 </w:t>
      </w:r>
      <w:r w:rsidRPr="38712C07" w:rsidR="00F4233E">
        <w:rPr>
          <w:rFonts w:ascii="Times New Roman" w:hAnsi="Times New Roman"/>
        </w:rPr>
        <w:t xml:space="preserve">(PRA) </w:t>
      </w:r>
      <w:r w:rsidRPr="38712C07">
        <w:rPr>
          <w:rFonts w:ascii="Times New Roman" w:hAnsi="Times New Roman"/>
        </w:rPr>
        <w:t>(44 U.S.C. 3506(c)(2)(A)), OSHA publish</w:t>
      </w:r>
      <w:r w:rsidRPr="38712C07" w:rsidR="00297D15">
        <w:rPr>
          <w:rFonts w:ascii="Times New Roman" w:hAnsi="Times New Roman"/>
        </w:rPr>
        <w:t xml:space="preserve">ed </w:t>
      </w:r>
      <w:r w:rsidRPr="38712C07">
        <w:rPr>
          <w:rFonts w:ascii="Times New Roman" w:hAnsi="Times New Roman"/>
        </w:rPr>
        <w:t>a notice in the Federal Register</w:t>
      </w:r>
      <w:r w:rsidR="00A24307">
        <w:rPr>
          <w:rFonts w:ascii="Times New Roman" w:hAnsi="Times New Roman"/>
        </w:rPr>
        <w:t xml:space="preserve"> (89 FR 25902)</w:t>
      </w:r>
      <w:r w:rsidRPr="38712C07" w:rsidR="007B7D67">
        <w:rPr>
          <w:rFonts w:ascii="Times New Roman" w:hAnsi="Times New Roman"/>
        </w:rPr>
        <w:t xml:space="preserve"> </w:t>
      </w:r>
      <w:r w:rsidRPr="38712C07" w:rsidR="00295957">
        <w:rPr>
          <w:rFonts w:ascii="Times New Roman" w:hAnsi="Times New Roman"/>
        </w:rPr>
        <w:t xml:space="preserve">on </w:t>
      </w:r>
      <w:r w:rsidR="00A24307">
        <w:rPr>
          <w:rFonts w:ascii="Times New Roman" w:hAnsi="Times New Roman"/>
        </w:rPr>
        <w:t xml:space="preserve">April 12, </w:t>
      </w:r>
      <w:r w:rsidR="00D20056">
        <w:rPr>
          <w:rFonts w:ascii="Times New Roman" w:hAnsi="Times New Roman"/>
        </w:rPr>
        <w:t>2024,</w:t>
      </w:r>
      <w:r w:rsidR="00A24307">
        <w:rPr>
          <w:rFonts w:ascii="Times New Roman" w:hAnsi="Times New Roman"/>
        </w:rPr>
        <w:t xml:space="preserve"> </w:t>
      </w:r>
      <w:r w:rsidRPr="38712C07" w:rsidR="00295957">
        <w:rPr>
          <w:rFonts w:ascii="Times New Roman" w:hAnsi="Times New Roman"/>
        </w:rPr>
        <w:t xml:space="preserve">soliciting comments on its proposal to extend the </w:t>
      </w:r>
      <w:r w:rsidRPr="38712C07" w:rsidR="004E09E2">
        <w:rPr>
          <w:rFonts w:ascii="Times New Roman" w:hAnsi="Times New Roman"/>
        </w:rPr>
        <w:t>Office of Management and Budget’s (OMB) approval of the information collection requirements specified in the Forging Machines Standard (29 CFR 191</w:t>
      </w:r>
      <w:r w:rsidRPr="38712C07" w:rsidR="00246E0E">
        <w:rPr>
          <w:rFonts w:ascii="Times New Roman" w:hAnsi="Times New Roman"/>
        </w:rPr>
        <w:t>0</w:t>
      </w:r>
      <w:r w:rsidRPr="38712C07" w:rsidR="00A132DD">
        <w:rPr>
          <w:rFonts w:ascii="Times New Roman" w:hAnsi="Times New Roman"/>
        </w:rPr>
        <w:t xml:space="preserve">.218) </w:t>
      </w:r>
      <w:r w:rsidRPr="38712C07" w:rsidR="00B17364">
        <w:rPr>
          <w:rFonts w:ascii="Times New Roman" w:hAnsi="Times New Roman"/>
        </w:rPr>
        <w:t xml:space="preserve">under </w:t>
      </w:r>
      <w:r w:rsidRPr="38712C07" w:rsidR="00A132DD">
        <w:rPr>
          <w:rFonts w:ascii="Times New Roman" w:hAnsi="Times New Roman"/>
        </w:rPr>
        <w:t>Docket No. OSHA-2011-0064</w:t>
      </w:r>
      <w:r w:rsidRPr="38712C07" w:rsidR="004E09E2">
        <w:rPr>
          <w:rFonts w:ascii="Times New Roman" w:hAnsi="Times New Roman"/>
        </w:rPr>
        <w:t xml:space="preserve">.  </w:t>
      </w:r>
      <w:r w:rsidRPr="38712C07" w:rsidR="00295957">
        <w:rPr>
          <w:rFonts w:ascii="Times New Roman" w:hAnsi="Times New Roman"/>
        </w:rPr>
        <w:t xml:space="preserve">This </w:t>
      </w:r>
      <w:r w:rsidRPr="38712C07" w:rsidR="00D20056">
        <w:rPr>
          <w:rFonts w:ascii="Times New Roman" w:hAnsi="Times New Roman"/>
        </w:rPr>
        <w:t>notice</w:t>
      </w:r>
      <w:r w:rsidR="00D20056">
        <w:rPr>
          <w:rFonts w:ascii="Times New Roman" w:hAnsi="Times New Roman"/>
        </w:rPr>
        <w:t xml:space="preserve"> was</w:t>
      </w:r>
      <w:r w:rsidRPr="38712C07" w:rsidR="004E09E2">
        <w:rPr>
          <w:rFonts w:ascii="Times New Roman" w:hAnsi="Times New Roman"/>
        </w:rPr>
        <w:t xml:space="preserve"> part of a preclearance co</w:t>
      </w:r>
      <w:r w:rsidRPr="38712C07" w:rsidR="00B30BA9">
        <w:rPr>
          <w:rFonts w:ascii="Times New Roman" w:hAnsi="Times New Roman"/>
        </w:rPr>
        <w:t>nsultation program that provided</w:t>
      </w:r>
      <w:r w:rsidRPr="38712C07" w:rsidR="004E09E2">
        <w:rPr>
          <w:rFonts w:ascii="Times New Roman" w:hAnsi="Times New Roman"/>
        </w:rPr>
        <w:t xml:space="preserve"> interested parties the opportunity to comment </w:t>
      </w:r>
      <w:r w:rsidRPr="38712C07" w:rsidR="00B30BA9">
        <w:rPr>
          <w:rFonts w:ascii="Times New Roman" w:hAnsi="Times New Roman"/>
        </w:rPr>
        <w:t xml:space="preserve">on </w:t>
      </w:r>
      <w:r w:rsidRPr="38712C07" w:rsidR="004E09E2">
        <w:rPr>
          <w:rFonts w:ascii="Times New Roman" w:hAnsi="Times New Roman"/>
        </w:rPr>
        <w:t xml:space="preserve">OSHA’s request for an extension by the Office of Management and Budget of a previous approval of the information collection requirement found in the above Standard.  The </w:t>
      </w:r>
      <w:r w:rsidRPr="38712C07" w:rsidR="00B17364">
        <w:rPr>
          <w:rFonts w:ascii="Times New Roman" w:hAnsi="Times New Roman"/>
        </w:rPr>
        <w:t>a</w:t>
      </w:r>
      <w:r w:rsidRPr="38712C07" w:rsidR="0046304A">
        <w:rPr>
          <w:rFonts w:ascii="Times New Roman" w:hAnsi="Times New Roman"/>
        </w:rPr>
        <w:t xml:space="preserve">gency </w:t>
      </w:r>
      <w:r w:rsidR="00604706">
        <w:rPr>
          <w:rFonts w:ascii="Times New Roman" w:hAnsi="Times New Roman"/>
        </w:rPr>
        <w:t xml:space="preserve">did not </w:t>
      </w:r>
      <w:r w:rsidR="00D20056">
        <w:rPr>
          <w:rFonts w:ascii="Times New Roman" w:hAnsi="Times New Roman"/>
        </w:rPr>
        <w:t xml:space="preserve">receive </w:t>
      </w:r>
      <w:r w:rsidRPr="38712C07" w:rsidR="00D20056">
        <w:rPr>
          <w:rFonts w:ascii="Times New Roman" w:hAnsi="Times New Roman"/>
        </w:rPr>
        <w:t>any</w:t>
      </w:r>
      <w:r w:rsidRPr="38712C07" w:rsidR="0046304A">
        <w:rPr>
          <w:rFonts w:ascii="Times New Roman" w:hAnsi="Times New Roman"/>
        </w:rPr>
        <w:t xml:space="preserve"> </w:t>
      </w:r>
      <w:r w:rsidRPr="38712C07" w:rsidR="0042119F">
        <w:rPr>
          <w:rFonts w:ascii="Times New Roman" w:hAnsi="Times New Roman"/>
        </w:rPr>
        <w:t xml:space="preserve">public </w:t>
      </w:r>
      <w:r w:rsidRPr="38712C07" w:rsidR="0046304A">
        <w:rPr>
          <w:rFonts w:ascii="Times New Roman" w:hAnsi="Times New Roman"/>
        </w:rPr>
        <w:t xml:space="preserve">comments </w:t>
      </w:r>
      <w:r w:rsidRPr="38712C07" w:rsidR="00753EA4">
        <w:rPr>
          <w:rFonts w:ascii="Times New Roman" w:hAnsi="Times New Roman"/>
        </w:rPr>
        <w:t>in response to this</w:t>
      </w:r>
      <w:r w:rsidRPr="38712C07" w:rsidR="004E0192">
        <w:rPr>
          <w:rFonts w:ascii="Times New Roman" w:hAnsi="Times New Roman"/>
        </w:rPr>
        <w:t xml:space="preserve"> notice.</w:t>
      </w:r>
      <w:r w:rsidRPr="38712C07" w:rsidR="0046304A">
        <w:rPr>
          <w:rFonts w:ascii="Times New Roman" w:hAnsi="Times New Roman"/>
        </w:rPr>
        <w:t xml:space="preserve"> </w:t>
      </w:r>
    </w:p>
    <w:p w:rsidR="00F91ADB" w:rsidP="00986A44" w14:paraId="02C7A468" w14:textId="77777777">
      <w:pPr>
        <w:widowControl/>
        <w:rPr>
          <w:rFonts w:ascii="Times New Roman" w:hAnsi="Times New Roman"/>
        </w:rPr>
      </w:pPr>
    </w:p>
    <w:p w:rsidR="00D851BC" w:rsidRPr="004932B3" w14:paraId="3FFAD10B"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4932B3">
        <w:rPr>
          <w:rFonts w:ascii="Times New Roman" w:hAnsi="Times New Roman"/>
          <w:b/>
          <w:bCs/>
          <w:color w:val="000000"/>
        </w:rPr>
        <w:t>9.  Explain any decision to provide any payments or gift</w:t>
      </w:r>
      <w:r w:rsidR="009F7014">
        <w:rPr>
          <w:rFonts w:ascii="Times New Roman" w:hAnsi="Times New Roman"/>
          <w:b/>
          <w:bCs/>
          <w:color w:val="000000"/>
        </w:rPr>
        <w:t>s</w:t>
      </w:r>
      <w:r w:rsidRPr="004932B3">
        <w:rPr>
          <w:rFonts w:ascii="Times New Roman" w:hAnsi="Times New Roman"/>
          <w:b/>
          <w:bCs/>
          <w:color w:val="000000"/>
        </w:rPr>
        <w:t xml:space="preserve"> to respond</w:t>
      </w:r>
      <w:r w:rsidRPr="004932B3" w:rsidR="009679EA">
        <w:rPr>
          <w:rFonts w:ascii="Times New Roman" w:hAnsi="Times New Roman"/>
          <w:b/>
          <w:bCs/>
          <w:color w:val="000000"/>
        </w:rPr>
        <w:t xml:space="preserve">ents, other than </w:t>
      </w:r>
      <w:r w:rsidRPr="004932B3" w:rsidR="005B32AA">
        <w:rPr>
          <w:rFonts w:ascii="Times New Roman" w:hAnsi="Times New Roman"/>
          <w:b/>
          <w:bCs/>
          <w:color w:val="000000"/>
        </w:rPr>
        <w:t>remuneration</w:t>
      </w:r>
      <w:r w:rsidRPr="004932B3" w:rsidR="009679EA">
        <w:rPr>
          <w:rFonts w:ascii="Times New Roman" w:hAnsi="Times New Roman"/>
          <w:b/>
          <w:bCs/>
          <w:color w:val="000000"/>
        </w:rPr>
        <w:t xml:space="preserve"> </w:t>
      </w:r>
      <w:r w:rsidRPr="004932B3">
        <w:rPr>
          <w:rFonts w:ascii="Times New Roman" w:hAnsi="Times New Roman"/>
          <w:b/>
          <w:bCs/>
          <w:color w:val="000000"/>
        </w:rPr>
        <w:t>of contractors or grantees.</w:t>
      </w:r>
    </w:p>
    <w:p w:rsidR="00D851BC" w14:paraId="143273BC"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D851BC" w14:paraId="6E8EAA84" w14:textId="7E12E789">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color w:val="000000"/>
        </w:rPr>
        <w:t xml:space="preserve">The </w:t>
      </w:r>
      <w:r w:rsidR="00753EA4">
        <w:rPr>
          <w:rFonts w:ascii="Times New Roman" w:hAnsi="Times New Roman"/>
          <w:color w:val="000000"/>
        </w:rPr>
        <w:t>a</w:t>
      </w:r>
      <w:r>
        <w:rPr>
          <w:rFonts w:ascii="Times New Roman" w:hAnsi="Times New Roman"/>
          <w:color w:val="000000"/>
        </w:rPr>
        <w:t xml:space="preserve">gency will </w:t>
      </w:r>
      <w:r>
        <w:rPr>
          <w:rFonts w:ascii="Times New Roman" w:hAnsi="Times New Roman"/>
          <w:color w:val="000000"/>
          <w:u w:val="single"/>
        </w:rPr>
        <w:t>not</w:t>
      </w:r>
      <w:r>
        <w:rPr>
          <w:rFonts w:ascii="Times New Roman" w:hAnsi="Times New Roman"/>
          <w:color w:val="000000"/>
        </w:rPr>
        <w:t xml:space="preserve"> provide payments or gifts to the respondents.</w:t>
      </w:r>
    </w:p>
    <w:p w:rsidR="00D851BC" w:rsidRPr="002F1B0E" w14:paraId="72308522"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D851BC" w:rsidRPr="004932B3" w14:paraId="4A705ADE"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4932B3">
        <w:rPr>
          <w:rFonts w:ascii="Times New Roman" w:hAnsi="Times New Roman"/>
          <w:b/>
          <w:bCs/>
          <w:color w:val="000000"/>
        </w:rPr>
        <w:t>10.  Describe any assurance of confidentiality provided to respondents and the basis for the assurance in statute, regulation, or agency policy.</w:t>
      </w:r>
    </w:p>
    <w:p w:rsidR="00D851BC" w14:paraId="535AD7AE"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D851BC" w14:paraId="5F1110AA" w14:textId="77777777">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color w:val="000000"/>
        </w:rPr>
        <w:t xml:space="preserve">The paperwork requirements specified by the Standard do not </w:t>
      </w:r>
      <w:r>
        <w:rPr>
          <w:rFonts w:ascii="Times New Roman" w:hAnsi="Times New Roman"/>
          <w:color w:val="000000"/>
        </w:rPr>
        <w:t>involve confidential information.</w:t>
      </w:r>
    </w:p>
    <w:p w:rsidR="00D851BC" w14:paraId="2CB93D86"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D851BC" w:rsidRPr="004932B3" w14:paraId="597A0982"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4932B3">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51BC" w14:paraId="39CB932C"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F91ADB" w14:paraId="51D9DBBF" w14:textId="77777777">
      <w:pPr>
        <w:widowControl/>
        <w:tabs>
          <w:tab w:val="left" w:pos="-1080"/>
          <w:tab w:val="left" w:pos="-720"/>
          <w:tab w:val="left" w:pos="0"/>
          <w:tab w:val="left" w:pos="720"/>
          <w:tab w:val="left" w:pos="990"/>
          <w:tab w:val="left" w:pos="2160"/>
        </w:tabs>
        <w:rPr>
          <w:rFonts w:ascii="Times New Roman" w:hAnsi="Times New Roman"/>
          <w:b/>
          <w:bCs/>
          <w:color w:val="000000"/>
          <w:sz w:val="20"/>
          <w:szCs w:val="20"/>
        </w:rPr>
      </w:pPr>
      <w:r>
        <w:rPr>
          <w:rFonts w:ascii="Times New Roman" w:hAnsi="Times New Roman"/>
          <w:color w:val="000000"/>
        </w:rPr>
        <w:t>The provision does not involve collection of sensitive information.</w:t>
      </w:r>
    </w:p>
    <w:p w:rsidR="00313B68" w14:paraId="2DD00348" w14:textId="77777777">
      <w:pPr>
        <w:widowControl/>
        <w:tabs>
          <w:tab w:val="left" w:pos="-1080"/>
          <w:tab w:val="left" w:pos="-720"/>
          <w:tab w:val="left" w:pos="0"/>
          <w:tab w:val="left" w:pos="720"/>
          <w:tab w:val="left" w:pos="990"/>
          <w:tab w:val="left" w:pos="2160"/>
        </w:tabs>
        <w:rPr>
          <w:rFonts w:ascii="Times New Roman" w:hAnsi="Times New Roman"/>
          <w:b/>
          <w:bCs/>
          <w:color w:val="000000"/>
          <w:sz w:val="20"/>
          <w:szCs w:val="20"/>
        </w:rPr>
      </w:pPr>
    </w:p>
    <w:p w:rsidR="00D851BC" w:rsidRPr="004932B3" w14:paraId="201AB348"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12.  Provide estimates of the hour burden of the collection of information.  The statement should:</w:t>
      </w:r>
    </w:p>
    <w:p w:rsidR="006F3301" w:rsidRPr="004932B3" w:rsidP="00B30BA9" w14:paraId="3B5C87A1" w14:textId="77777777">
      <w:pPr>
        <w:widowControl/>
        <w:tabs>
          <w:tab w:val="left" w:pos="-1080"/>
          <w:tab w:val="left" w:pos="-720"/>
          <w:tab w:val="left" w:pos="0"/>
          <w:tab w:val="left" w:pos="720"/>
          <w:tab w:val="left" w:pos="990"/>
          <w:tab w:val="left" w:pos="2160"/>
        </w:tabs>
        <w:ind w:left="446"/>
        <w:rPr>
          <w:rFonts w:ascii="Times New Roman" w:hAnsi="Times New Roman"/>
          <w:b/>
          <w:bCs/>
          <w:color w:val="000000"/>
        </w:rPr>
      </w:pPr>
    </w:p>
    <w:p w:rsidR="00D851BC" w:rsidRPr="004932B3" w:rsidP="00B30BA9" w14:paraId="67CC0759" w14:textId="660CC9E5">
      <w:pPr>
        <w:pStyle w:val="Level1"/>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t xml:space="preserve">Indicate the number of respondents, frequency of response, annual hour burden, and an </w:t>
      </w:r>
      <w:r w:rsidRPr="004932B3">
        <w:rPr>
          <w:rFonts w:ascii="Times New Roman" w:hAnsi="Times New Roman"/>
          <w:b/>
          <w:bCs/>
          <w:color w:val="000000"/>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7461CE">
        <w:rPr>
          <w:rFonts w:ascii="Times New Roman" w:hAnsi="Times New Roman"/>
          <w:b/>
          <w:bCs/>
          <w:color w:val="000000"/>
        </w:rPr>
        <w:t>ly</w:t>
      </w:r>
      <w:r w:rsidRPr="004932B3">
        <w:rPr>
          <w:rFonts w:ascii="Times New Roman" w:hAnsi="Times New Roman"/>
          <w:b/>
          <w:bCs/>
          <w:color w:val="000000"/>
        </w:rPr>
        <w:t>, estimates should not include burden h</w:t>
      </w:r>
      <w:r w:rsidRPr="004932B3">
        <w:rPr>
          <w:rFonts w:ascii="Times New Roman" w:hAnsi="Times New Roman"/>
          <w:b/>
          <w:bCs/>
          <w:color w:val="000000"/>
        </w:rPr>
        <w:t>ours for customary and usual business practices.</w:t>
      </w:r>
    </w:p>
    <w:p w:rsidR="00F91ADB" w:rsidRPr="004932B3" w:rsidP="00B30BA9" w14:paraId="1942D5B3"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p>
    <w:p w:rsidR="00D851BC" w:rsidRPr="004932B3" w:rsidP="00B30BA9" w14:paraId="340CEAE0" w14:textId="18F37F78">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t>If this request for approval covers more than one form, provide separate hour burden estimates for each form.</w:t>
      </w:r>
    </w:p>
    <w:p w:rsidR="00D851BC" w:rsidRPr="004932B3" w:rsidP="00B30BA9" w14:paraId="6E9B6BB7"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p>
    <w:p w:rsidR="00D851BC" w:rsidRPr="004932B3" w:rsidP="00B30BA9" w14:paraId="5B802B3D" w14:textId="21995D45">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t>Provide estimates of annualized cost to respondents for the hour burdens for collections of information, identifying and using appropriate wage</w:t>
      </w:r>
      <w:r w:rsidR="009846D1">
        <w:rPr>
          <w:rFonts w:ascii="Times New Roman" w:hAnsi="Times New Roman"/>
          <w:b/>
          <w:bCs/>
          <w:color w:val="000000"/>
        </w:rPr>
        <w:t xml:space="preserve"> </w:t>
      </w:r>
      <w:r w:rsidRPr="004932B3">
        <w:rPr>
          <w:rFonts w:ascii="Times New Roman" w:hAnsi="Times New Roman"/>
          <w:b/>
          <w:bCs/>
          <w:color w:val="000000"/>
        </w:rPr>
        <w:t>rate categories.</w:t>
      </w:r>
      <w:r w:rsidRPr="004932B3" w:rsidR="00771938">
        <w:rPr>
          <w:rFonts w:ascii="Times New Roman" w:hAnsi="Times New Roman"/>
          <w:b/>
          <w:bCs/>
          <w:color w:val="000000"/>
        </w:rPr>
        <w:t xml:space="preserve">  The cost of contracting out or paying outside parties for information collection activities should not be included here.  Instead, this cost should be included in Item 13.</w:t>
      </w:r>
    </w:p>
    <w:p w:rsidR="00D851BC" w14:paraId="5F07A26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D851BC" w14:paraId="42EDD15C"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bCs/>
          <w:color w:val="000000"/>
        </w:rPr>
        <w:t>Respondent Burden-Hour and Cost Burden Determinations</w:t>
      </w:r>
    </w:p>
    <w:p w:rsidR="00D851BC" w14:paraId="38859A01"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FE2421" w14:paraId="7871DB32" w14:textId="37EF8D1C">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41150">
        <w:rPr>
          <w:rFonts w:ascii="Times New Roman" w:hAnsi="Times New Roman"/>
          <w:color w:val="000000"/>
        </w:rPr>
        <w:t xml:space="preserve">Based on previous information from industry experts, OSHA estimated that there were approximately 27,700 forging machines.  The </w:t>
      </w:r>
      <w:r w:rsidR="00B17364">
        <w:rPr>
          <w:rFonts w:ascii="Times New Roman" w:hAnsi="Times New Roman"/>
          <w:color w:val="000000"/>
        </w:rPr>
        <w:t>a</w:t>
      </w:r>
      <w:r w:rsidRPr="00741150">
        <w:rPr>
          <w:rFonts w:ascii="Times New Roman" w:hAnsi="Times New Roman"/>
          <w:color w:val="000000"/>
        </w:rPr>
        <w:t xml:space="preserve">gency has been unable to obtain updated data on the number of forging machines currently in use; thus, the </w:t>
      </w:r>
      <w:r w:rsidR="00B17364">
        <w:rPr>
          <w:rFonts w:ascii="Times New Roman" w:hAnsi="Times New Roman"/>
          <w:color w:val="000000"/>
        </w:rPr>
        <w:t>a</w:t>
      </w:r>
      <w:r w:rsidRPr="00741150">
        <w:rPr>
          <w:rFonts w:ascii="Times New Roman" w:hAnsi="Times New Roman"/>
          <w:color w:val="000000"/>
        </w:rPr>
        <w:t xml:space="preserve">gency will continue to use the estimate of 27,700 forging machines.  </w:t>
      </w:r>
    </w:p>
    <w:p w:rsidR="00771938" w14:paraId="42F30E4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3EA4" w:rsidRPr="00F61D73" w14:paraId="4B3015CC" w14:textId="0D277600">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61D73">
        <w:rPr>
          <w:rFonts w:ascii="Times New Roman" w:hAnsi="Times New Roman"/>
          <w:b/>
          <w:bCs/>
        </w:rPr>
        <w:t>Wage Rates</w:t>
      </w:r>
    </w:p>
    <w:p w:rsidR="00753EA4" w14:paraId="48A93FDB"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E39C1" w14:paraId="01771F59" w14:textId="02801171">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00B17364">
        <w:rPr>
          <w:rFonts w:ascii="Times New Roman" w:hAnsi="Times New Roman"/>
        </w:rPr>
        <w:t>a</w:t>
      </w:r>
      <w:r>
        <w:rPr>
          <w:rFonts w:ascii="Times New Roman" w:hAnsi="Times New Roman"/>
        </w:rPr>
        <w:t xml:space="preserve">gency determined the wage rate from mean hourly wage earnings to represent the cost of employee time.  For the relevant standard occupational classification category, OSHA used the wage rates reported in the Bureau of Labor Statistics, U.S. Department of Labor, </w:t>
      </w:r>
      <w:r>
        <w:rPr>
          <w:rFonts w:ascii="Times New Roman" w:hAnsi="Times New Roman"/>
          <w:i/>
        </w:rPr>
        <w:t xml:space="preserve">Occupational Employment </w:t>
      </w:r>
      <w:r w:rsidR="001A4B0F">
        <w:rPr>
          <w:rFonts w:ascii="Times New Roman" w:hAnsi="Times New Roman"/>
          <w:i/>
        </w:rPr>
        <w:t xml:space="preserve">and Wage </w:t>
      </w:r>
      <w:r>
        <w:rPr>
          <w:rFonts w:ascii="Times New Roman" w:hAnsi="Times New Roman"/>
          <w:i/>
        </w:rPr>
        <w:t>Statistics</w:t>
      </w:r>
      <w:r w:rsidR="00B233A3">
        <w:rPr>
          <w:rFonts w:ascii="Times New Roman" w:hAnsi="Times New Roman"/>
          <w:i/>
        </w:rPr>
        <w:t xml:space="preserve"> (OEWS)</w:t>
      </w:r>
      <w:r>
        <w:rPr>
          <w:rFonts w:ascii="Times New Roman" w:hAnsi="Times New Roman"/>
          <w:i/>
        </w:rPr>
        <w:t>, May 20</w:t>
      </w:r>
      <w:r w:rsidR="00753EA4">
        <w:rPr>
          <w:rFonts w:ascii="Times New Roman" w:hAnsi="Times New Roman"/>
          <w:i/>
        </w:rPr>
        <w:t>22</w:t>
      </w:r>
      <w:r w:rsidR="009B7023">
        <w:rPr>
          <w:rFonts w:ascii="Times New Roman" w:hAnsi="Times New Roman"/>
        </w:rPr>
        <w:t xml:space="preserve"> [date accessed: </w:t>
      </w:r>
      <w:r w:rsidR="001A4B0F">
        <w:rPr>
          <w:rFonts w:ascii="Times New Roman" w:hAnsi="Times New Roman"/>
        </w:rPr>
        <w:t>January 24, 2024</w:t>
      </w:r>
      <w:r>
        <w:rPr>
          <w:rFonts w:ascii="Times New Roman" w:hAnsi="Times New Roman"/>
        </w:rPr>
        <w:t>].</w:t>
      </w:r>
      <w:r>
        <w:rPr>
          <w:rStyle w:val="FootnoteReference"/>
          <w:rFonts w:ascii="Times New Roman" w:hAnsi="Times New Roman"/>
          <w:vertAlign w:val="superscript"/>
        </w:rPr>
        <w:footnoteReference w:id="5"/>
      </w:r>
    </w:p>
    <w:p w:rsidR="005813CD" w14:paraId="51FA483D"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813CD" w:rsidRPr="005813CD" w14:paraId="09B21AC4" w14:textId="3C2FAFE2">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To derive at the loaded hourly wage rate, the </w:t>
      </w:r>
      <w:r w:rsidR="00B17364">
        <w:rPr>
          <w:rFonts w:ascii="Times New Roman" w:hAnsi="Times New Roman"/>
        </w:rPr>
        <w:t>a</w:t>
      </w:r>
      <w:r>
        <w:rPr>
          <w:rFonts w:ascii="Times New Roman" w:hAnsi="Times New Roman"/>
        </w:rPr>
        <w:t xml:space="preserve">gency used data from the Bureau of Labor Statistics’ (BLS) </w:t>
      </w:r>
      <w:r>
        <w:rPr>
          <w:rFonts w:ascii="Times New Roman" w:hAnsi="Times New Roman"/>
          <w:i/>
        </w:rPr>
        <w:t xml:space="preserve">Occupational Employment </w:t>
      </w:r>
      <w:r w:rsidR="001A4B0F">
        <w:rPr>
          <w:rFonts w:ascii="Times New Roman" w:hAnsi="Times New Roman"/>
          <w:i/>
        </w:rPr>
        <w:t xml:space="preserve">and Wage </w:t>
      </w:r>
      <w:r>
        <w:rPr>
          <w:rFonts w:ascii="Times New Roman" w:hAnsi="Times New Roman"/>
          <w:i/>
        </w:rPr>
        <w:t>Statistics</w:t>
      </w:r>
      <w:r w:rsidR="00B233A3">
        <w:rPr>
          <w:rFonts w:ascii="Times New Roman" w:hAnsi="Times New Roman"/>
          <w:i/>
        </w:rPr>
        <w:t xml:space="preserve"> (OEWS)</w:t>
      </w:r>
      <w:r>
        <w:rPr>
          <w:rFonts w:ascii="Times New Roman" w:hAnsi="Times New Roman"/>
        </w:rPr>
        <w:t xml:space="preserve">, as described in the paragraph above.  Then, the </w:t>
      </w:r>
      <w:r w:rsidR="00B17364">
        <w:rPr>
          <w:rFonts w:ascii="Times New Roman" w:hAnsi="Times New Roman"/>
        </w:rPr>
        <w:t>a</w:t>
      </w:r>
      <w:r>
        <w:rPr>
          <w:rFonts w:ascii="Times New Roman" w:hAnsi="Times New Roman"/>
        </w:rPr>
        <w:t>gency applied to the wage rate a fringe benefit markup based on Table 2 of the following BLS release:</w:t>
      </w:r>
      <w:r>
        <w:rPr>
          <w:rFonts w:ascii="Times New Roman" w:hAnsi="Times New Roman"/>
          <w:i/>
        </w:rPr>
        <w:t xml:space="preserve"> Employer Costs from Compensation</w:t>
      </w:r>
      <w:r>
        <w:rPr>
          <w:rFonts w:ascii="Times New Roman" w:hAnsi="Times New Roman"/>
        </w:rPr>
        <w:t xml:space="preserve"> news release text; </w:t>
      </w:r>
      <w:r w:rsidR="00062787">
        <w:rPr>
          <w:rFonts w:ascii="Times New Roman" w:hAnsi="Times New Roman"/>
        </w:rPr>
        <w:t xml:space="preserve">released 10:00 AM (EDT), </w:t>
      </w:r>
      <w:r w:rsidR="004101B6">
        <w:rPr>
          <w:rFonts w:ascii="Times New Roman" w:hAnsi="Times New Roman"/>
        </w:rPr>
        <w:t>March 18,</w:t>
      </w:r>
      <w:r w:rsidR="00C33169">
        <w:rPr>
          <w:rFonts w:ascii="Times New Roman" w:hAnsi="Times New Roman"/>
        </w:rPr>
        <w:t xml:space="preserve"> </w:t>
      </w:r>
      <w:r w:rsidR="004101B6">
        <w:rPr>
          <w:rFonts w:ascii="Times New Roman" w:hAnsi="Times New Roman"/>
        </w:rPr>
        <w:t>2021</w:t>
      </w:r>
      <w:r>
        <w:rPr>
          <w:rFonts w:ascii="Times New Roman" w:hAnsi="Times New Roman"/>
        </w:rPr>
        <w:t xml:space="preserve"> (</w:t>
      </w:r>
      <w:r w:rsidRPr="00C33169" w:rsidR="004101B6">
        <w:rPr>
          <w:rFonts w:ascii="Times New Roman" w:hAnsi="Times New Roman"/>
        </w:rPr>
        <w:t>https://www.bls.gov/news.release/archives/ecec_03182021.pdf</w:t>
      </w:r>
      <w:r>
        <w:rPr>
          <w:rFonts w:ascii="Times New Roman" w:hAnsi="Times New Roman"/>
        </w:rPr>
        <w:t xml:space="preserve">).  BLS reported that for </w:t>
      </w:r>
      <w:r w:rsidR="001A4B0F">
        <w:rPr>
          <w:rFonts w:ascii="Times New Roman" w:hAnsi="Times New Roman"/>
        </w:rPr>
        <w:t>private industry</w:t>
      </w:r>
      <w:r>
        <w:rPr>
          <w:rFonts w:ascii="Times New Roman" w:hAnsi="Times New Roman"/>
        </w:rPr>
        <w:t>, fr</w:t>
      </w:r>
      <w:r w:rsidR="00062787">
        <w:rPr>
          <w:rFonts w:ascii="Times New Roman" w:hAnsi="Times New Roman"/>
        </w:rPr>
        <w:t xml:space="preserve">inge benefits accounted for </w:t>
      </w:r>
      <w:r w:rsidR="001A4B0F">
        <w:rPr>
          <w:rFonts w:ascii="Times New Roman" w:hAnsi="Times New Roman"/>
        </w:rPr>
        <w:t xml:space="preserve">29.4 </w:t>
      </w:r>
      <w:r>
        <w:rPr>
          <w:rFonts w:ascii="Times New Roman" w:hAnsi="Times New Roman"/>
        </w:rPr>
        <w:t>percent of total co</w:t>
      </w:r>
      <w:r>
        <w:rPr>
          <w:rFonts w:ascii="Times New Roman" w:hAnsi="Times New Roman"/>
        </w:rPr>
        <w:t xml:space="preserve">mpensation and wages </w:t>
      </w:r>
      <w:r w:rsidR="00062787">
        <w:rPr>
          <w:rFonts w:ascii="Times New Roman" w:hAnsi="Times New Roman"/>
        </w:rPr>
        <w:t xml:space="preserve">accounted </w:t>
      </w:r>
      <w:r w:rsidR="00062787">
        <w:rPr>
          <w:rFonts w:ascii="Times New Roman" w:hAnsi="Times New Roman"/>
        </w:rPr>
        <w:t xml:space="preserve">for the remaining </w:t>
      </w:r>
      <w:r w:rsidR="001A4B0F">
        <w:rPr>
          <w:rFonts w:ascii="Times New Roman" w:hAnsi="Times New Roman"/>
        </w:rPr>
        <w:t xml:space="preserve">70.6 </w:t>
      </w:r>
      <w:r>
        <w:rPr>
          <w:rFonts w:ascii="Times New Roman" w:hAnsi="Times New Roman"/>
        </w:rPr>
        <w:t>percent.</w:t>
      </w:r>
      <w:r>
        <w:rPr>
          <w:rStyle w:val="FootnoteReference"/>
          <w:rFonts w:ascii="Times New Roman" w:hAnsi="Times New Roman"/>
          <w:vertAlign w:val="superscript"/>
        </w:rPr>
        <w:footnoteReference w:id="6"/>
      </w:r>
      <w:r w:rsidRPr="004932B3">
        <w:rPr>
          <w:rFonts w:ascii="Times New Roman" w:hAnsi="Times New Roman"/>
          <w:vertAlign w:val="superscript"/>
        </w:rPr>
        <w:t xml:space="preserve"> </w:t>
      </w:r>
      <w:r>
        <w:rPr>
          <w:rFonts w:ascii="Times New Roman" w:hAnsi="Times New Roman"/>
        </w:rPr>
        <w:t xml:space="preserve"> To calculate the loaded hourly wage for </w:t>
      </w:r>
      <w:r w:rsidR="0045756B">
        <w:rPr>
          <w:rFonts w:ascii="Times New Roman" w:hAnsi="Times New Roman"/>
        </w:rPr>
        <w:t>the</w:t>
      </w:r>
      <w:r>
        <w:rPr>
          <w:rFonts w:ascii="Times New Roman" w:hAnsi="Times New Roman"/>
        </w:rPr>
        <w:t xml:space="preserve"> occupation, the </w:t>
      </w:r>
      <w:r w:rsidR="00B17364">
        <w:rPr>
          <w:rFonts w:ascii="Times New Roman" w:hAnsi="Times New Roman"/>
        </w:rPr>
        <w:t>a</w:t>
      </w:r>
      <w:r>
        <w:rPr>
          <w:rFonts w:ascii="Times New Roman" w:hAnsi="Times New Roman"/>
        </w:rPr>
        <w:t>gency divided the mean hourly wage rate by</w:t>
      </w:r>
      <w:r w:rsidR="0043313C">
        <w:rPr>
          <w:rFonts w:ascii="Times New Roman" w:hAnsi="Times New Roman"/>
        </w:rPr>
        <w:t xml:space="preserve"> </w:t>
      </w:r>
      <w:r>
        <w:rPr>
          <w:rFonts w:ascii="Times New Roman" w:hAnsi="Times New Roman"/>
        </w:rPr>
        <w:t xml:space="preserve">1 minus the fringe benefits as shown in Table 1. </w:t>
      </w:r>
    </w:p>
    <w:p w:rsidR="007F6F32" w14:paraId="10B97E8A" w14:textId="0F6CB001">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50"/>
        <w:gridCol w:w="1861"/>
        <w:gridCol w:w="1866"/>
        <w:gridCol w:w="1876"/>
      </w:tblGrid>
      <w:tr w14:paraId="7FB64474" w14:textId="77777777" w:rsidTr="00F61D7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576" w:type="dxa"/>
            <w:gridSpan w:val="5"/>
            <w:shd w:val="clear" w:color="auto" w:fill="C5E0B3" w:themeFill="accent6" w:themeFillTint="66"/>
          </w:tcPr>
          <w:p w:rsidR="007F6F32" w:rsidRPr="002C30B2" w:rsidP="002C30B2" w14:paraId="3738237D"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Table 1: WAGE HOUR ESTIMATES</w:t>
            </w:r>
          </w:p>
        </w:tc>
      </w:tr>
      <w:tr w14:paraId="03019813" w14:textId="77777777" w:rsidTr="00F61D73">
        <w:tblPrEx>
          <w:tblW w:w="0" w:type="auto"/>
          <w:tblLook w:val="04A0"/>
        </w:tblPrEx>
        <w:trPr>
          <w:tblHeader/>
        </w:trPr>
        <w:tc>
          <w:tcPr>
            <w:tcW w:w="1915" w:type="dxa"/>
            <w:shd w:val="clear" w:color="auto" w:fill="C5E0B3" w:themeFill="accent6" w:themeFillTint="66"/>
          </w:tcPr>
          <w:p w:rsidR="007F6F32" w:rsidRPr="002C30B2" w:rsidP="002C30B2" w14:paraId="0E6D1260"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Occupational Title</w:t>
            </w:r>
          </w:p>
        </w:tc>
        <w:tc>
          <w:tcPr>
            <w:tcW w:w="1915" w:type="dxa"/>
            <w:shd w:val="clear" w:color="auto" w:fill="C5E0B3" w:themeFill="accent6" w:themeFillTint="66"/>
          </w:tcPr>
          <w:p w:rsidR="00E74D50" w:rsidP="002C30B2" w14:paraId="40F7A8C0"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t xml:space="preserve">SOC </w:t>
            </w:r>
          </w:p>
          <w:p w:rsidR="007F6F32" w:rsidRPr="002C30B2" w:rsidP="002C30B2" w14:paraId="0966A6A6" w14:textId="118688F8">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t>Code</w:t>
            </w:r>
          </w:p>
        </w:tc>
        <w:tc>
          <w:tcPr>
            <w:tcW w:w="1915" w:type="dxa"/>
            <w:shd w:val="clear" w:color="auto" w:fill="C5E0B3" w:themeFill="accent6" w:themeFillTint="66"/>
          </w:tcPr>
          <w:p w:rsidR="007F6F32" w:rsidRPr="002C30B2" w:rsidP="002C30B2" w14:paraId="4213E381"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Mean Hour</w:t>
            </w:r>
            <w:r w:rsidR="0045756B">
              <w:rPr>
                <w:rFonts w:ascii="Times New Roman" w:hAnsi="Times New Roman"/>
                <w:b/>
              </w:rPr>
              <w:t>ly</w:t>
            </w:r>
            <w:r w:rsidRPr="002C30B2">
              <w:rPr>
                <w:rFonts w:ascii="Times New Roman" w:hAnsi="Times New Roman"/>
                <w:b/>
              </w:rPr>
              <w:t xml:space="preserve"> Wage Rate </w:t>
            </w:r>
          </w:p>
          <w:p w:rsidR="007F6F32" w:rsidRPr="0042119F" w:rsidP="0042119F" w14:paraId="100BA45B" w14:textId="0EBC2137">
            <w:pPr>
              <w:pStyle w:val="ListParagraph"/>
              <w:widowControl/>
              <w:numPr>
                <w:ilvl w:val="0"/>
                <w:numId w:val="6"/>
              </w:numPr>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tc>
        <w:tc>
          <w:tcPr>
            <w:tcW w:w="1915" w:type="dxa"/>
            <w:shd w:val="clear" w:color="auto" w:fill="C5E0B3" w:themeFill="accent6" w:themeFillTint="66"/>
          </w:tcPr>
          <w:p w:rsidR="007F6F32" w:rsidRPr="002C30B2" w:rsidP="002C30B2" w14:paraId="29ACFE6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Fringe Benefits</w:t>
            </w:r>
          </w:p>
          <w:p w:rsidR="0042119F" w:rsidP="002C30B2" w14:paraId="576AEE93"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p w:rsidR="007F6F32" w:rsidRPr="002C30B2" w:rsidP="002C30B2" w14:paraId="6CA8192B" w14:textId="6BB69B26">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t>(B)</w:t>
            </w:r>
          </w:p>
        </w:tc>
        <w:tc>
          <w:tcPr>
            <w:tcW w:w="1916" w:type="dxa"/>
            <w:shd w:val="clear" w:color="auto" w:fill="C5E0B3" w:themeFill="accent6" w:themeFillTint="66"/>
          </w:tcPr>
          <w:p w:rsidR="007F6F32" w:rsidP="002C30B2" w14:paraId="07DA7478" w14:textId="5101E2A8">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Loaded Hourly Wage Rate</w:t>
            </w:r>
          </w:p>
          <w:p w:rsidR="007F6F32" w:rsidRPr="002C30B2" w:rsidP="0042119F" w14:paraId="62B2DE28" w14:textId="18C353CA">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(C)=(A/1-B)</w:t>
            </w:r>
          </w:p>
        </w:tc>
      </w:tr>
      <w:tr w14:paraId="699E8307" w14:textId="77777777" w:rsidTr="00F61D73">
        <w:tblPrEx>
          <w:tblW w:w="0" w:type="auto"/>
          <w:tblLook w:val="04A0"/>
        </w:tblPrEx>
        <w:tc>
          <w:tcPr>
            <w:tcW w:w="1915" w:type="dxa"/>
            <w:shd w:val="clear" w:color="auto" w:fill="auto"/>
          </w:tcPr>
          <w:p w:rsidR="007F6F32" w:rsidRPr="002C30B2" w:rsidP="002C30B2" w14:paraId="6F33C7D2"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C30B2">
              <w:rPr>
                <w:rFonts w:ascii="Times New Roman" w:hAnsi="Times New Roman"/>
              </w:rPr>
              <w:t xml:space="preserve">Forging Machine Setters, Operators, and Tenders, Metal and Plastic </w:t>
            </w:r>
          </w:p>
        </w:tc>
        <w:tc>
          <w:tcPr>
            <w:tcW w:w="1915" w:type="dxa"/>
            <w:shd w:val="clear" w:color="auto" w:fill="auto"/>
            <w:vAlign w:val="center"/>
          </w:tcPr>
          <w:p w:rsidR="007F6F32" w:rsidRPr="002C30B2" w:rsidP="001D78B8" w14:paraId="3085C8F7"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C30B2">
              <w:rPr>
                <w:rFonts w:ascii="Times New Roman" w:hAnsi="Times New Roman"/>
              </w:rPr>
              <w:t>51-4022</w:t>
            </w:r>
          </w:p>
        </w:tc>
        <w:tc>
          <w:tcPr>
            <w:tcW w:w="1915" w:type="dxa"/>
            <w:shd w:val="clear" w:color="auto" w:fill="auto"/>
            <w:vAlign w:val="center"/>
          </w:tcPr>
          <w:p w:rsidR="007F6F32" w:rsidRPr="002C30B2" w:rsidP="001D78B8" w14:paraId="177B7816" w14:textId="7141529B">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 xml:space="preserve">$22.57 </w:t>
            </w:r>
          </w:p>
        </w:tc>
        <w:tc>
          <w:tcPr>
            <w:tcW w:w="1915" w:type="dxa"/>
            <w:shd w:val="clear" w:color="auto" w:fill="auto"/>
            <w:vAlign w:val="center"/>
          </w:tcPr>
          <w:p w:rsidR="007F6F32" w:rsidRPr="002C30B2" w:rsidP="001D78B8" w14:paraId="76BA9AFD" w14:textId="283AEF7C">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 xml:space="preserve">.294 </w:t>
            </w:r>
          </w:p>
        </w:tc>
        <w:tc>
          <w:tcPr>
            <w:tcW w:w="1916" w:type="dxa"/>
            <w:shd w:val="clear" w:color="auto" w:fill="auto"/>
            <w:vAlign w:val="center"/>
          </w:tcPr>
          <w:p w:rsidR="007F6F32" w:rsidRPr="002C30B2" w:rsidP="001D78B8" w14:paraId="6FD8C22F" w14:textId="06311AF9">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 xml:space="preserve">$31.97 </w:t>
            </w:r>
          </w:p>
        </w:tc>
      </w:tr>
    </w:tbl>
    <w:p w:rsidR="00D4138C" w14:paraId="1235CDC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851BC" w:rsidRPr="00F61D73" w14:paraId="3523884F" w14:textId="5B98242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b/>
          <w:bCs/>
          <w:color w:val="000000"/>
        </w:rPr>
        <w:t>§</w:t>
      </w:r>
      <w:r w:rsidR="00AD4634">
        <w:rPr>
          <w:rFonts w:ascii="Times New Roman" w:hAnsi="Times New Roman"/>
          <w:b/>
          <w:bCs/>
          <w:color w:val="000000"/>
        </w:rPr>
        <w:t xml:space="preserve"> </w:t>
      </w:r>
      <w:r>
        <w:rPr>
          <w:rFonts w:ascii="Times New Roman" w:hAnsi="Times New Roman"/>
          <w:b/>
          <w:bCs/>
          <w:color w:val="000000"/>
        </w:rPr>
        <w:t>1910.218</w:t>
      </w:r>
      <w:r w:rsidR="00AD4634">
        <w:rPr>
          <w:rFonts w:ascii="Times New Roman" w:hAnsi="Times New Roman"/>
          <w:b/>
          <w:bCs/>
          <w:color w:val="000000"/>
        </w:rPr>
        <w:t xml:space="preserve"> </w:t>
      </w:r>
      <w:r w:rsidR="0098346B">
        <w:rPr>
          <w:rFonts w:ascii="Times New Roman" w:hAnsi="Times New Roman"/>
          <w:b/>
          <w:bCs/>
          <w:color w:val="000000"/>
        </w:rPr>
        <w:t>–</w:t>
      </w:r>
      <w:r>
        <w:rPr>
          <w:rFonts w:ascii="Times New Roman" w:hAnsi="Times New Roman"/>
          <w:b/>
          <w:bCs/>
          <w:color w:val="000000"/>
        </w:rPr>
        <w:t xml:space="preserve"> </w:t>
      </w:r>
      <w:r w:rsidRPr="00E554F5">
        <w:rPr>
          <w:rFonts w:ascii="Times New Roman" w:hAnsi="Times New Roman"/>
          <w:b/>
          <w:bCs/>
          <w:color w:val="000000"/>
          <w:u w:val="single"/>
        </w:rPr>
        <w:t>Inspection</w:t>
      </w:r>
      <w:r w:rsidR="0098346B">
        <w:rPr>
          <w:rFonts w:ascii="Times New Roman" w:hAnsi="Times New Roman"/>
          <w:b/>
          <w:bCs/>
          <w:color w:val="000000"/>
          <w:u w:val="single"/>
        </w:rPr>
        <w:t xml:space="preserve"> </w:t>
      </w:r>
      <w:r w:rsidRPr="00E554F5">
        <w:rPr>
          <w:rFonts w:ascii="Times New Roman" w:hAnsi="Times New Roman"/>
          <w:b/>
          <w:bCs/>
          <w:color w:val="000000"/>
          <w:u w:val="single"/>
        </w:rPr>
        <w:t>of Forging Machines, Guards, and Point-of-Operation Protection Devices (paragraphs (a)(2)(i) and (a)(2)(ii))</w:t>
      </w:r>
    </w:p>
    <w:p w:rsidR="00D851BC" w14:paraId="2F3109B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14:paraId="074E116A"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OSHA believes that employers conduct an inspection of each forging machine and guard or point-of-operation protection device bi-weekly (i.e., 26 times a year).  Accordingly, a </w:t>
      </w:r>
      <w:r w:rsidR="00FA4CB2">
        <w:rPr>
          <w:rFonts w:ascii="Times New Roman" w:hAnsi="Times New Roman"/>
          <w:color w:val="000000"/>
        </w:rPr>
        <w:t xml:space="preserve">manufacturing </w:t>
      </w:r>
      <w:r w:rsidR="00B3171C">
        <w:rPr>
          <w:rFonts w:ascii="Times New Roman" w:hAnsi="Times New Roman"/>
          <w:color w:val="000000"/>
        </w:rPr>
        <w:t>worker</w:t>
      </w:r>
      <w:r>
        <w:rPr>
          <w:rFonts w:ascii="Times New Roman" w:hAnsi="Times New Roman"/>
          <w:color w:val="000000"/>
        </w:rPr>
        <w:t xml:space="preserve"> takes </w:t>
      </w:r>
      <w:r w:rsidR="00DC3C7F">
        <w:rPr>
          <w:rFonts w:ascii="Times New Roman" w:hAnsi="Times New Roman"/>
          <w:color w:val="000000"/>
        </w:rPr>
        <w:t xml:space="preserve">8 </w:t>
      </w:r>
      <w:r w:rsidR="00362AF1">
        <w:rPr>
          <w:rFonts w:ascii="Times New Roman" w:hAnsi="Times New Roman"/>
          <w:color w:val="000000"/>
        </w:rPr>
        <w:t xml:space="preserve">minutes </w:t>
      </w:r>
      <w:r w:rsidR="0045756B">
        <w:rPr>
          <w:rFonts w:ascii="Times New Roman" w:hAnsi="Times New Roman"/>
          <w:color w:val="000000"/>
        </w:rPr>
        <w:t xml:space="preserve">(8/60 hour) </w:t>
      </w:r>
      <w:r w:rsidR="00362AF1">
        <w:rPr>
          <w:rFonts w:ascii="Times New Roman" w:hAnsi="Times New Roman"/>
          <w:color w:val="000000"/>
        </w:rPr>
        <w:t>to</w:t>
      </w:r>
      <w:r>
        <w:rPr>
          <w:rFonts w:ascii="Times New Roman" w:hAnsi="Times New Roman"/>
          <w:color w:val="000000"/>
        </w:rPr>
        <w:t xml:space="preserve"> inspect each machine, and to </w:t>
      </w:r>
      <w:r w:rsidR="00BC1C23">
        <w:rPr>
          <w:rFonts w:ascii="Times New Roman" w:hAnsi="Times New Roman"/>
          <w:color w:val="000000"/>
        </w:rPr>
        <w:t>generate</w:t>
      </w:r>
      <w:r w:rsidR="00A903D8">
        <w:rPr>
          <w:rFonts w:ascii="Times New Roman" w:hAnsi="Times New Roman"/>
          <w:color w:val="000000"/>
        </w:rPr>
        <w:t xml:space="preserve"> and</w:t>
      </w:r>
      <w:r>
        <w:rPr>
          <w:rFonts w:ascii="Times New Roman" w:hAnsi="Times New Roman"/>
          <w:color w:val="000000"/>
        </w:rPr>
        <w:t xml:space="preserve"> maintain the inspection certification record for the machine, and another </w:t>
      </w:r>
      <w:r w:rsidR="00DC3C7F">
        <w:rPr>
          <w:rFonts w:ascii="Times New Roman" w:hAnsi="Times New Roman"/>
          <w:color w:val="000000"/>
        </w:rPr>
        <w:t>8</w:t>
      </w:r>
      <w:r>
        <w:rPr>
          <w:rFonts w:ascii="Times New Roman" w:hAnsi="Times New Roman"/>
          <w:color w:val="000000"/>
        </w:rPr>
        <w:t xml:space="preserve"> </w:t>
      </w:r>
      <w:r w:rsidR="00362AF1">
        <w:rPr>
          <w:rFonts w:ascii="Times New Roman" w:hAnsi="Times New Roman"/>
          <w:color w:val="000000"/>
        </w:rPr>
        <w:t xml:space="preserve">minutes </w:t>
      </w:r>
      <w:r w:rsidR="0045756B">
        <w:rPr>
          <w:rFonts w:ascii="Times New Roman" w:hAnsi="Times New Roman"/>
          <w:color w:val="000000"/>
        </w:rPr>
        <w:t xml:space="preserve">(8/60 hour) </w:t>
      </w:r>
      <w:r w:rsidR="00362AF1">
        <w:rPr>
          <w:rFonts w:ascii="Times New Roman" w:hAnsi="Times New Roman"/>
          <w:color w:val="000000"/>
        </w:rPr>
        <w:t>to</w:t>
      </w:r>
      <w:r>
        <w:rPr>
          <w:rFonts w:ascii="Times New Roman" w:hAnsi="Times New Roman"/>
          <w:color w:val="000000"/>
        </w:rPr>
        <w:t xml:space="preserve"> perform the same tasks on each guard or point-of-operation protection device.</w:t>
      </w:r>
      <w:r>
        <w:rPr>
          <w:rStyle w:val="FootnoteReference"/>
          <w:rFonts w:ascii="Times New Roman" w:hAnsi="Times New Roman"/>
          <w:color w:val="000000"/>
          <w:vertAlign w:val="superscript"/>
        </w:rPr>
        <w:footnoteReference w:id="7"/>
      </w:r>
      <w:r>
        <w:rPr>
          <w:rFonts w:ascii="Times New Roman" w:hAnsi="Times New Roman"/>
          <w:color w:val="000000"/>
        </w:rPr>
        <w:t xml:space="preserve">  Therefore, the total annual burden</w:t>
      </w:r>
      <w:r w:rsidR="00744CA1">
        <w:rPr>
          <w:rFonts w:ascii="Times New Roman" w:hAnsi="Times New Roman"/>
          <w:color w:val="000000"/>
        </w:rPr>
        <w:t xml:space="preserve"> </w:t>
      </w:r>
      <w:r>
        <w:rPr>
          <w:rFonts w:ascii="Times New Roman" w:hAnsi="Times New Roman"/>
          <w:color w:val="000000"/>
        </w:rPr>
        <w:t>hour and cost estimates for these paperwork requirements are:</w:t>
      </w:r>
    </w:p>
    <w:p w:rsidR="001959BA" w14:paraId="58FECCDF"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b/>
          <w:bCs/>
          <w:color w:val="000000"/>
        </w:rPr>
      </w:pPr>
    </w:p>
    <w:p w:rsidR="00D029EC" w14:paraId="42067E26" w14:textId="20F9C595">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color w:val="000000"/>
        </w:rPr>
      </w:pPr>
      <w:r>
        <w:rPr>
          <w:rFonts w:ascii="Times New Roman" w:hAnsi="Times New Roman"/>
          <w:b/>
          <w:bCs/>
          <w:color w:val="000000"/>
        </w:rPr>
        <w:t>Burden hours</w:t>
      </w:r>
      <w:r>
        <w:rPr>
          <w:rFonts w:ascii="Times New Roman" w:hAnsi="Times New Roman"/>
          <w:color w:val="000000"/>
        </w:rPr>
        <w:t>:</w:t>
      </w:r>
      <w:r>
        <w:rPr>
          <w:rFonts w:ascii="Times New Roman" w:hAnsi="Times New Roman"/>
          <w:color w:val="000000"/>
        </w:rPr>
        <w:tab/>
        <w:t>(27,700 machines x 26 inspections</w:t>
      </w:r>
      <w:r w:rsidR="00DC3C7F">
        <w:rPr>
          <w:rFonts w:ascii="Times New Roman" w:hAnsi="Times New Roman"/>
          <w:color w:val="000000"/>
        </w:rPr>
        <w:t>)</w:t>
      </w:r>
      <w:r>
        <w:rPr>
          <w:rFonts w:ascii="Times New Roman" w:hAnsi="Times New Roman"/>
          <w:color w:val="000000"/>
        </w:rPr>
        <w:t xml:space="preserve"> + (27,700 guards/devices x 26 inspections)</w:t>
      </w:r>
      <w:r w:rsidR="00EC5423">
        <w:rPr>
          <w:rFonts w:ascii="Times New Roman" w:hAnsi="Times New Roman"/>
          <w:color w:val="000000"/>
        </w:rPr>
        <w:t xml:space="preserve"> = 1,440,400 inspections</w:t>
      </w:r>
    </w:p>
    <w:p w:rsidR="00D029EC" w14:paraId="0E224A4E"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color w:val="000000"/>
        </w:rPr>
      </w:pPr>
    </w:p>
    <w:p w:rsidR="00D851BC" w:rsidRPr="0019164F" w14:paraId="54894549" w14:textId="76AFC973">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FC3EB6">
        <w:rPr>
          <w:rFonts w:ascii="Times New Roman" w:hAnsi="Times New Roman"/>
          <w:color w:val="000000"/>
        </w:rPr>
        <w:t>1,440,</w:t>
      </w:r>
      <w:r w:rsidR="00471B34">
        <w:rPr>
          <w:rFonts w:ascii="Times New Roman" w:hAnsi="Times New Roman"/>
          <w:color w:val="000000"/>
        </w:rPr>
        <w:t>4</w:t>
      </w:r>
      <w:r w:rsidR="00FC3EB6">
        <w:rPr>
          <w:rFonts w:ascii="Times New Roman" w:hAnsi="Times New Roman"/>
          <w:color w:val="000000"/>
        </w:rPr>
        <w:t>00 inspections</w:t>
      </w:r>
      <w:r>
        <w:rPr>
          <w:rFonts w:ascii="Times New Roman" w:hAnsi="Times New Roman"/>
          <w:color w:val="000000"/>
        </w:rPr>
        <w:t xml:space="preserve"> x</w:t>
      </w:r>
      <w:r w:rsidRPr="0019164F">
        <w:rPr>
          <w:rFonts w:ascii="Times New Roman" w:hAnsi="Times New Roman"/>
        </w:rPr>
        <w:t xml:space="preserve"> </w:t>
      </w:r>
      <w:r w:rsidR="001563A6">
        <w:rPr>
          <w:rFonts w:ascii="Times New Roman" w:hAnsi="Times New Roman"/>
        </w:rPr>
        <w:t>16</w:t>
      </w:r>
      <w:r w:rsidR="002C2D90">
        <w:rPr>
          <w:rFonts w:ascii="Times New Roman" w:hAnsi="Times New Roman"/>
        </w:rPr>
        <w:t>/60 hours</w:t>
      </w:r>
      <w:r w:rsidRPr="0019164F">
        <w:rPr>
          <w:rFonts w:ascii="Times New Roman" w:hAnsi="Times New Roman"/>
        </w:rPr>
        <w:t xml:space="preserve"> = </w:t>
      </w:r>
      <w:r w:rsidR="00EA498F">
        <w:rPr>
          <w:rFonts w:ascii="Times New Roman" w:hAnsi="Times New Roman"/>
        </w:rPr>
        <w:t>384,</w:t>
      </w:r>
      <w:r w:rsidR="001D78B8">
        <w:rPr>
          <w:rFonts w:ascii="Times New Roman" w:hAnsi="Times New Roman"/>
        </w:rPr>
        <w:t>107</w:t>
      </w:r>
      <w:r w:rsidR="0036667F">
        <w:rPr>
          <w:rFonts w:ascii="Times New Roman" w:hAnsi="Times New Roman"/>
        </w:rPr>
        <w:t xml:space="preserve"> </w:t>
      </w:r>
      <w:r w:rsidRPr="0019164F">
        <w:rPr>
          <w:rFonts w:ascii="Times New Roman" w:hAnsi="Times New Roman"/>
        </w:rPr>
        <w:t>hours</w:t>
      </w:r>
    </w:p>
    <w:p w:rsidR="005466B0" w14:paraId="3133EF2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color w:val="000000"/>
        </w:rPr>
      </w:pPr>
    </w:p>
    <w:p w:rsidR="00CE6AAF" w:rsidP="00097288" w14:paraId="360CE3A7" w14:textId="24471C1C">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imes New Roman" w:hAnsi="Times New Roman"/>
          <w:color w:val="000000"/>
        </w:rPr>
      </w:pPr>
      <w:r w:rsidRPr="009A7CDE">
        <w:rPr>
          <w:rFonts w:ascii="Times New Roman" w:hAnsi="Times New Roman"/>
          <w:b/>
          <w:bCs/>
        </w:rPr>
        <w:t xml:space="preserve">            Cost</w:t>
      </w:r>
      <w:r w:rsidRPr="009A7CDE">
        <w:rPr>
          <w:rFonts w:ascii="Times New Roman" w:hAnsi="Times New Roman"/>
        </w:rPr>
        <w:t>:</w:t>
      </w:r>
      <w:r w:rsidRPr="009A7CDE">
        <w:rPr>
          <w:rFonts w:ascii="Times New Roman" w:hAnsi="Times New Roman"/>
        </w:rPr>
        <w:tab/>
      </w:r>
      <w:r w:rsidR="00EA498F">
        <w:rPr>
          <w:rFonts w:ascii="Times New Roman" w:hAnsi="Times New Roman"/>
        </w:rPr>
        <w:t>384,10</w:t>
      </w:r>
      <w:r w:rsidR="001D78B8">
        <w:rPr>
          <w:rFonts w:ascii="Times New Roman" w:hAnsi="Times New Roman"/>
        </w:rPr>
        <w:t>7</w:t>
      </w:r>
      <w:r w:rsidR="0036667F">
        <w:rPr>
          <w:rFonts w:ascii="Times New Roman" w:hAnsi="Times New Roman"/>
        </w:rPr>
        <w:t xml:space="preserve"> </w:t>
      </w:r>
      <w:r w:rsidRPr="009A7CDE">
        <w:rPr>
          <w:rFonts w:ascii="Times New Roman" w:hAnsi="Times New Roman"/>
        </w:rPr>
        <w:t xml:space="preserve">hours x </w:t>
      </w:r>
      <w:r w:rsidR="001D78B8">
        <w:rPr>
          <w:rFonts w:ascii="Times New Roman" w:hAnsi="Times New Roman"/>
        </w:rPr>
        <w:t xml:space="preserve">$31.97 </w:t>
      </w:r>
      <w:r w:rsidRPr="009A7CDE">
        <w:rPr>
          <w:rFonts w:ascii="Times New Roman" w:hAnsi="Times New Roman"/>
        </w:rPr>
        <w:t xml:space="preserve">= </w:t>
      </w:r>
      <w:r w:rsidR="001D78B8">
        <w:rPr>
          <w:rFonts w:ascii="Times New Roman" w:hAnsi="Times New Roman"/>
        </w:rPr>
        <w:t>$12,279,90</w:t>
      </w:r>
      <w:r w:rsidR="00AD4634">
        <w:rPr>
          <w:rFonts w:ascii="Times New Roman" w:hAnsi="Times New Roman"/>
        </w:rPr>
        <w:t>1</w:t>
      </w:r>
      <w:r w:rsidR="001D78B8">
        <w:rPr>
          <w:rFonts w:ascii="Times New Roman" w:hAnsi="Times New Roman"/>
        </w:rPr>
        <w:t xml:space="preserve"> </w:t>
      </w:r>
    </w:p>
    <w:p w:rsidR="00097288" w:rsidP="00097288" w14:paraId="4F3A2668"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imes New Roman" w:hAnsi="Times New Roman"/>
        </w:rPr>
      </w:pPr>
    </w:p>
    <w:p w:rsidR="00CE6AAF" w:rsidP="00D2207C" w14:paraId="278653EA" w14:textId="77777777">
      <w:pPr>
        <w:pStyle w:val="PlainText"/>
        <w:rPr>
          <w:rFonts w:ascii="Times New Roman" w:hAnsi="Times New Roman" w:cs="Times New Roman"/>
          <w:sz w:val="24"/>
          <w:szCs w:val="24"/>
        </w:rPr>
      </w:pPr>
    </w:p>
    <w:tbl>
      <w:tblPr>
        <w:tblpPr w:leftFromText="180" w:rightFromText="180" w:vertAnchor="text" w:horzAnchor="margin" w:tblpXSpec="center" w:tblpY="-50"/>
        <w:tblW w:w="5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1584"/>
        <w:gridCol w:w="1438"/>
        <w:gridCol w:w="1352"/>
        <w:gridCol w:w="1350"/>
        <w:gridCol w:w="1080"/>
        <w:gridCol w:w="1082"/>
        <w:gridCol w:w="1436"/>
      </w:tblGrid>
      <w:tr w14:paraId="33B46132" w14:textId="77777777" w:rsidTr="003E7DA1">
        <w:tblPrEx>
          <w:tblW w:w="5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000" w:type="pct"/>
            <w:gridSpan w:val="8"/>
            <w:shd w:val="clear" w:color="auto" w:fill="FFF2CC"/>
            <w:vAlign w:val="center"/>
          </w:tcPr>
          <w:p w:rsidR="00CE6AAF" w:rsidRPr="00897ACB" w:rsidP="00366C7E" w14:paraId="674DEE1B" w14:textId="77777777">
            <w:pPr>
              <w:overflowPunct w:val="0"/>
              <w:autoSpaceDE/>
              <w:autoSpaceDN/>
              <w:jc w:val="center"/>
              <w:rPr>
                <w:rFonts w:ascii="Times New Roman" w:eastAsia="Calibri" w:hAnsi="Times New Roman"/>
                <w:b/>
                <w:bCs/>
              </w:rPr>
            </w:pPr>
            <w:r>
              <w:rPr>
                <w:rFonts w:ascii="Times New Roman" w:eastAsia="Calibri" w:hAnsi="Times New Roman"/>
                <w:b/>
                <w:bCs/>
              </w:rPr>
              <w:t xml:space="preserve">Table 2: </w:t>
            </w:r>
            <w:r>
              <w:rPr>
                <w:rFonts w:ascii="Times New Roman" w:eastAsia="Calibri" w:hAnsi="Times New Roman"/>
                <w:b/>
                <w:bCs/>
              </w:rPr>
              <w:t xml:space="preserve">Estimated Annualized Respondent Cost and Hour Burden </w:t>
            </w:r>
          </w:p>
        </w:tc>
      </w:tr>
      <w:tr w14:paraId="03C4BFEA" w14:textId="77777777" w:rsidTr="003E7DA1">
        <w:tblPrEx>
          <w:tblW w:w="5773" w:type="pct"/>
          <w:tblLayout w:type="fixed"/>
          <w:tblLook w:val="04A0"/>
        </w:tblPrEx>
        <w:tc>
          <w:tcPr>
            <w:tcW w:w="683" w:type="pct"/>
            <w:shd w:val="clear" w:color="auto" w:fill="FFF2CC"/>
            <w:vAlign w:val="center"/>
          </w:tcPr>
          <w:p w:rsidR="008C10AA" w:rsidP="00366C7E" w14:paraId="02F26B5B" w14:textId="77777777">
            <w:pPr>
              <w:overflowPunct w:val="0"/>
              <w:autoSpaceDE/>
              <w:autoSpaceDN/>
              <w:jc w:val="center"/>
              <w:rPr>
                <w:rFonts w:ascii="Times New Roman" w:eastAsia="Calibri" w:hAnsi="Times New Roman"/>
                <w:b/>
                <w:bCs/>
              </w:rPr>
            </w:pPr>
            <w:r>
              <w:rPr>
                <w:rFonts w:ascii="Times New Roman" w:eastAsia="Calibri" w:hAnsi="Times New Roman"/>
                <w:b/>
                <w:bCs/>
              </w:rPr>
              <w:t>Collection of Information</w:t>
            </w:r>
          </w:p>
          <w:p w:rsidR="00CE6AAF" w:rsidRPr="00897ACB" w:rsidP="00366C7E" w14:paraId="2A017768" w14:textId="570E2640">
            <w:pPr>
              <w:overflowPunct w:val="0"/>
              <w:autoSpaceDE/>
              <w:autoSpaceDN/>
              <w:jc w:val="center"/>
              <w:rPr>
                <w:rFonts w:ascii="Times New Roman" w:eastAsia="Calibri" w:hAnsi="Times New Roman"/>
                <w:b/>
                <w:bCs/>
              </w:rPr>
            </w:pPr>
          </w:p>
        </w:tc>
        <w:tc>
          <w:tcPr>
            <w:tcW w:w="734" w:type="pct"/>
            <w:shd w:val="clear" w:color="auto" w:fill="FFF2CC"/>
            <w:vAlign w:val="center"/>
          </w:tcPr>
          <w:p w:rsidR="00CE6AAF" w:rsidRPr="00897ACB" w:rsidP="00366C7E" w14:paraId="154EAC1F" w14:textId="6EE471A7">
            <w:pPr>
              <w:overflowPunct w:val="0"/>
              <w:autoSpaceDE/>
              <w:autoSpaceDN/>
              <w:jc w:val="center"/>
              <w:rPr>
                <w:rFonts w:ascii="Times New Roman" w:eastAsia="Calibri" w:hAnsi="Times New Roman"/>
                <w:b/>
                <w:bCs/>
              </w:rPr>
            </w:pPr>
            <w:r>
              <w:rPr>
                <w:rFonts w:ascii="Times New Roman" w:eastAsia="Calibri" w:hAnsi="Times New Roman"/>
                <w:b/>
                <w:bCs/>
              </w:rPr>
              <w:t xml:space="preserve">No. of </w:t>
            </w:r>
            <w:r w:rsidRPr="00897ACB">
              <w:rPr>
                <w:rFonts w:ascii="Times New Roman" w:eastAsia="Calibri" w:hAnsi="Times New Roman"/>
                <w:b/>
                <w:bCs/>
              </w:rPr>
              <w:t>Respondents</w:t>
            </w:r>
          </w:p>
        </w:tc>
        <w:tc>
          <w:tcPr>
            <w:tcW w:w="666" w:type="pct"/>
            <w:shd w:val="clear" w:color="auto" w:fill="FFF2CC"/>
            <w:vAlign w:val="center"/>
          </w:tcPr>
          <w:p w:rsidR="00CE6AAF" w:rsidRPr="00897ACB" w:rsidP="00366C7E" w14:paraId="062DE4DA" w14:textId="689693F5">
            <w:pPr>
              <w:overflowPunct w:val="0"/>
              <w:autoSpaceDE/>
              <w:autoSpaceDN/>
              <w:jc w:val="center"/>
              <w:rPr>
                <w:rFonts w:ascii="Times New Roman" w:eastAsia="Calibri" w:hAnsi="Times New Roman"/>
                <w:b/>
                <w:bCs/>
              </w:rPr>
            </w:pPr>
            <w:r>
              <w:rPr>
                <w:rFonts w:ascii="Times New Roman" w:eastAsia="Calibri" w:hAnsi="Times New Roman"/>
                <w:b/>
                <w:bCs/>
              </w:rPr>
              <w:t xml:space="preserve">No. of </w:t>
            </w:r>
            <w:r w:rsidR="00950490">
              <w:rPr>
                <w:rFonts w:ascii="Times New Roman" w:eastAsia="Calibri" w:hAnsi="Times New Roman"/>
                <w:b/>
                <w:bCs/>
              </w:rPr>
              <w:t xml:space="preserve">Reponses </w:t>
            </w:r>
            <w:r w:rsidR="003E7DA1">
              <w:rPr>
                <w:rFonts w:ascii="Times New Roman" w:eastAsia="Calibri" w:hAnsi="Times New Roman"/>
                <w:b/>
                <w:bCs/>
              </w:rPr>
              <w:t>p</w:t>
            </w:r>
            <w:r w:rsidRPr="00897ACB">
              <w:rPr>
                <w:rFonts w:ascii="Times New Roman" w:eastAsia="Calibri" w:hAnsi="Times New Roman"/>
                <w:b/>
                <w:bCs/>
              </w:rPr>
              <w:t xml:space="preserve">er Respondent </w:t>
            </w:r>
          </w:p>
        </w:tc>
        <w:tc>
          <w:tcPr>
            <w:tcW w:w="626" w:type="pct"/>
            <w:shd w:val="clear" w:color="auto" w:fill="FFF2CC"/>
            <w:vAlign w:val="center"/>
          </w:tcPr>
          <w:p w:rsidR="00CE6AAF" w:rsidRPr="00897ACB" w:rsidP="00950490" w14:paraId="29B12C87" w14:textId="6D7F161C">
            <w:pPr>
              <w:overflowPunct w:val="0"/>
              <w:autoSpaceDE/>
              <w:autoSpaceDN/>
              <w:jc w:val="center"/>
              <w:rPr>
                <w:rFonts w:ascii="Times New Roman" w:eastAsia="Calibri" w:hAnsi="Times New Roman"/>
                <w:b/>
                <w:bCs/>
              </w:rPr>
            </w:pPr>
            <w:r>
              <w:rPr>
                <w:rFonts w:ascii="Times New Roman" w:eastAsia="Calibri" w:hAnsi="Times New Roman"/>
                <w:b/>
                <w:bCs/>
              </w:rPr>
              <w:t xml:space="preserve">Total </w:t>
            </w:r>
            <w:r w:rsidR="00F24A3C">
              <w:rPr>
                <w:rFonts w:ascii="Times New Roman" w:eastAsia="Calibri" w:hAnsi="Times New Roman"/>
                <w:b/>
                <w:bCs/>
              </w:rPr>
              <w:t xml:space="preserve">No. </w:t>
            </w:r>
            <w:r w:rsidR="0016352D">
              <w:rPr>
                <w:rFonts w:ascii="Times New Roman" w:eastAsia="Calibri" w:hAnsi="Times New Roman"/>
                <w:b/>
                <w:bCs/>
              </w:rPr>
              <w:t xml:space="preserve">of </w:t>
            </w:r>
            <w:r w:rsidRPr="00897ACB">
              <w:rPr>
                <w:rFonts w:ascii="Times New Roman" w:eastAsia="Calibri" w:hAnsi="Times New Roman"/>
                <w:b/>
                <w:bCs/>
              </w:rPr>
              <w:t>Responses</w:t>
            </w:r>
          </w:p>
        </w:tc>
        <w:tc>
          <w:tcPr>
            <w:tcW w:w="625" w:type="pct"/>
            <w:shd w:val="clear" w:color="auto" w:fill="FFF2CC"/>
            <w:vAlign w:val="center"/>
          </w:tcPr>
          <w:p w:rsidR="003E7DA1" w:rsidP="003E7DA1" w14:paraId="27D88661" w14:textId="1472ED18">
            <w:pPr>
              <w:overflowPunct w:val="0"/>
              <w:autoSpaceDE/>
              <w:autoSpaceDN/>
              <w:jc w:val="center"/>
              <w:rPr>
                <w:rFonts w:ascii="Times New Roman" w:eastAsia="Calibri" w:hAnsi="Times New Roman"/>
                <w:b/>
                <w:bCs/>
              </w:rPr>
            </w:pPr>
            <w:r>
              <w:rPr>
                <w:rFonts w:ascii="Times New Roman" w:eastAsia="Calibri" w:hAnsi="Times New Roman"/>
                <w:b/>
                <w:bCs/>
              </w:rPr>
              <w:t>Burden</w:t>
            </w:r>
            <w:r w:rsidRPr="00897ACB" w:rsidR="00CE6AAF">
              <w:rPr>
                <w:rFonts w:ascii="Times New Roman" w:eastAsia="Calibri" w:hAnsi="Times New Roman"/>
                <w:b/>
                <w:bCs/>
              </w:rPr>
              <w:t xml:space="preserve"> per</w:t>
            </w:r>
          </w:p>
          <w:p w:rsidR="00CE6AAF" w:rsidP="003E7DA1" w14:paraId="41E15EC0" w14:textId="77777777">
            <w:pPr>
              <w:overflowPunct w:val="0"/>
              <w:autoSpaceDE/>
              <w:autoSpaceDN/>
              <w:jc w:val="center"/>
              <w:rPr>
                <w:rFonts w:ascii="Times New Roman" w:eastAsia="Calibri" w:hAnsi="Times New Roman"/>
                <w:b/>
                <w:bCs/>
              </w:rPr>
            </w:pPr>
            <w:r w:rsidRPr="00897ACB">
              <w:rPr>
                <w:rFonts w:ascii="Times New Roman" w:eastAsia="Calibri" w:hAnsi="Times New Roman"/>
                <w:b/>
                <w:bCs/>
              </w:rPr>
              <w:t>Response</w:t>
            </w:r>
          </w:p>
          <w:p w:rsidR="00CE6AAF" w:rsidRPr="00897ACB" w:rsidP="003E7DA1" w14:paraId="0D060CC4" w14:textId="25CC95F2">
            <w:pPr>
              <w:overflowPunct w:val="0"/>
              <w:autoSpaceDE/>
              <w:autoSpaceDN/>
              <w:jc w:val="center"/>
              <w:rPr>
                <w:rFonts w:ascii="Times New Roman" w:eastAsia="Calibri" w:hAnsi="Times New Roman"/>
                <w:b/>
                <w:bCs/>
              </w:rPr>
            </w:pPr>
            <w:r>
              <w:rPr>
                <w:rFonts w:ascii="Times New Roman" w:eastAsia="Calibri" w:hAnsi="Times New Roman"/>
                <w:b/>
                <w:bCs/>
              </w:rPr>
              <w:t>(</w:t>
            </w:r>
            <w:r w:rsidR="00EB0220">
              <w:rPr>
                <w:rFonts w:ascii="Times New Roman" w:eastAsia="Calibri" w:hAnsi="Times New Roman"/>
                <w:b/>
                <w:bCs/>
              </w:rPr>
              <w:t>i</w:t>
            </w:r>
            <w:r>
              <w:rPr>
                <w:rFonts w:ascii="Times New Roman" w:eastAsia="Calibri" w:hAnsi="Times New Roman"/>
                <w:b/>
                <w:bCs/>
              </w:rPr>
              <w:t>n H</w:t>
            </w:r>
            <w:r w:rsidR="00EB0220">
              <w:rPr>
                <w:rFonts w:ascii="Times New Roman" w:eastAsia="Calibri" w:hAnsi="Times New Roman"/>
                <w:b/>
                <w:bCs/>
              </w:rPr>
              <w:t>ou</w:t>
            </w:r>
            <w:r>
              <w:rPr>
                <w:rFonts w:ascii="Times New Roman" w:eastAsia="Calibri" w:hAnsi="Times New Roman"/>
                <w:b/>
                <w:bCs/>
              </w:rPr>
              <w:t>rs)</w:t>
            </w:r>
          </w:p>
        </w:tc>
        <w:tc>
          <w:tcPr>
            <w:tcW w:w="500" w:type="pct"/>
            <w:shd w:val="clear" w:color="auto" w:fill="FFF2CC"/>
            <w:vAlign w:val="center"/>
          </w:tcPr>
          <w:p w:rsidR="00CE6AAF" w:rsidRPr="00897ACB" w:rsidP="00366C7E" w14:paraId="3C2466E3" w14:textId="5101F2AB">
            <w:pPr>
              <w:overflowPunct w:val="0"/>
              <w:autoSpaceDE/>
              <w:autoSpaceDN/>
              <w:jc w:val="center"/>
              <w:rPr>
                <w:rFonts w:ascii="Times New Roman" w:eastAsia="Calibri" w:hAnsi="Times New Roman"/>
                <w:b/>
                <w:bCs/>
              </w:rPr>
            </w:pPr>
            <w:r>
              <w:rPr>
                <w:rFonts w:ascii="Times New Roman" w:eastAsia="Calibri" w:hAnsi="Times New Roman"/>
                <w:b/>
                <w:bCs/>
              </w:rPr>
              <w:t xml:space="preserve">Total </w:t>
            </w:r>
            <w:r w:rsidRPr="00897ACB">
              <w:rPr>
                <w:rFonts w:ascii="Times New Roman" w:eastAsia="Calibri" w:hAnsi="Times New Roman"/>
                <w:b/>
                <w:bCs/>
              </w:rPr>
              <w:t>Burden Hours</w:t>
            </w:r>
          </w:p>
        </w:tc>
        <w:tc>
          <w:tcPr>
            <w:tcW w:w="501" w:type="pct"/>
            <w:shd w:val="clear" w:color="auto" w:fill="FFF2CC"/>
            <w:vAlign w:val="center"/>
          </w:tcPr>
          <w:p w:rsidR="008C10AA" w:rsidP="00366C7E" w14:paraId="15B629FC" w14:textId="77777777">
            <w:pPr>
              <w:overflowPunct w:val="0"/>
              <w:autoSpaceDE/>
              <w:autoSpaceDN/>
              <w:jc w:val="center"/>
              <w:rPr>
                <w:rFonts w:ascii="Times New Roman" w:eastAsia="Calibri" w:hAnsi="Times New Roman"/>
                <w:b/>
                <w:bCs/>
              </w:rPr>
            </w:pPr>
            <w:r>
              <w:rPr>
                <w:rFonts w:ascii="Times New Roman" w:eastAsia="Calibri" w:hAnsi="Times New Roman"/>
                <w:b/>
                <w:bCs/>
              </w:rPr>
              <w:t>Loaded</w:t>
            </w:r>
          </w:p>
          <w:p w:rsidR="00CE6AAF" w:rsidRPr="00897ACB" w:rsidP="00366C7E" w14:paraId="5B8BE855" w14:textId="7DD68BAC">
            <w:pPr>
              <w:overflowPunct w:val="0"/>
              <w:autoSpaceDE/>
              <w:autoSpaceDN/>
              <w:jc w:val="center"/>
              <w:rPr>
                <w:rFonts w:ascii="Times New Roman" w:eastAsia="Calibri" w:hAnsi="Times New Roman"/>
                <w:b/>
                <w:bCs/>
              </w:rPr>
            </w:pPr>
            <w:r>
              <w:rPr>
                <w:rFonts w:ascii="Times New Roman" w:eastAsia="Calibri" w:hAnsi="Times New Roman"/>
                <w:b/>
                <w:bCs/>
              </w:rPr>
              <w:t>H</w:t>
            </w:r>
            <w:r w:rsidRPr="00897ACB">
              <w:rPr>
                <w:rFonts w:ascii="Times New Roman" w:eastAsia="Calibri" w:hAnsi="Times New Roman"/>
                <w:b/>
                <w:bCs/>
              </w:rPr>
              <w:t xml:space="preserve">ourly Wage </w:t>
            </w:r>
          </w:p>
        </w:tc>
        <w:tc>
          <w:tcPr>
            <w:tcW w:w="667" w:type="pct"/>
            <w:shd w:val="clear" w:color="auto" w:fill="FFF2CC"/>
            <w:vAlign w:val="center"/>
          </w:tcPr>
          <w:p w:rsidR="00CE6AAF" w:rsidRPr="00897ACB" w:rsidP="00366C7E" w14:paraId="215CE4DD" w14:textId="0CED039E">
            <w:pPr>
              <w:overflowPunct w:val="0"/>
              <w:autoSpaceDE/>
              <w:autoSpaceDN/>
              <w:jc w:val="center"/>
              <w:rPr>
                <w:rFonts w:ascii="Times New Roman" w:eastAsia="Calibri" w:hAnsi="Times New Roman"/>
                <w:b/>
                <w:bCs/>
              </w:rPr>
            </w:pPr>
            <w:r w:rsidRPr="00897ACB">
              <w:rPr>
                <w:rFonts w:ascii="Times New Roman" w:eastAsia="Calibri" w:hAnsi="Times New Roman"/>
                <w:b/>
                <w:bCs/>
              </w:rPr>
              <w:t xml:space="preserve"> </w:t>
            </w:r>
            <w:r w:rsidR="00DE263F">
              <w:rPr>
                <w:rFonts w:ascii="Times New Roman" w:eastAsia="Calibri" w:hAnsi="Times New Roman"/>
                <w:b/>
                <w:bCs/>
              </w:rPr>
              <w:t>Total</w:t>
            </w:r>
            <w:r w:rsidRPr="00897ACB">
              <w:rPr>
                <w:rFonts w:ascii="Times New Roman" w:eastAsia="Calibri" w:hAnsi="Times New Roman"/>
                <w:b/>
                <w:bCs/>
              </w:rPr>
              <w:t xml:space="preserve"> Burden Cost </w:t>
            </w:r>
          </w:p>
        </w:tc>
      </w:tr>
      <w:tr w14:paraId="06D5CED0" w14:textId="77777777" w:rsidTr="003E7DA1">
        <w:tblPrEx>
          <w:tblW w:w="5773" w:type="pct"/>
          <w:tblLayout w:type="fixed"/>
          <w:tblLook w:val="04A0"/>
        </w:tblPrEx>
        <w:tc>
          <w:tcPr>
            <w:tcW w:w="683" w:type="pct"/>
            <w:shd w:val="clear" w:color="auto" w:fill="auto"/>
            <w:vAlign w:val="center"/>
          </w:tcPr>
          <w:p w:rsidR="00CE6AAF" w:rsidRPr="00897ACB" w:rsidP="00366C7E" w14:paraId="2E032E61" w14:textId="77777777">
            <w:pPr>
              <w:overflowPunct w:val="0"/>
              <w:autoSpaceDE/>
              <w:autoSpaceDN/>
              <w:rPr>
                <w:rFonts w:ascii="Times New Roman" w:eastAsia="Calibri" w:hAnsi="Times New Roman"/>
                <w:bCs/>
              </w:rPr>
            </w:pPr>
            <w:r w:rsidRPr="00897ACB">
              <w:rPr>
                <w:rFonts w:ascii="Times New Roman" w:eastAsia="Calibri" w:hAnsi="Times New Roman"/>
                <w:bCs/>
                <w:sz w:val="20"/>
                <w:szCs w:val="20"/>
              </w:rPr>
              <w:t>Inspection of Forging Machines, Guards, and Point-of-Operation Protection Devices (paragraphs (a)(2)(i) and (a)(2)(ii))</w:t>
            </w:r>
          </w:p>
        </w:tc>
        <w:tc>
          <w:tcPr>
            <w:tcW w:w="734" w:type="pct"/>
            <w:shd w:val="clear" w:color="auto" w:fill="auto"/>
            <w:vAlign w:val="center"/>
          </w:tcPr>
          <w:p w:rsidR="00CE6AAF" w:rsidRPr="00897ACB" w:rsidP="00AD4634" w14:paraId="4B1705D2" w14:textId="61BC5807">
            <w:pPr>
              <w:overflowPunct w:val="0"/>
              <w:autoSpaceDE/>
              <w:autoSpaceDN/>
              <w:jc w:val="center"/>
              <w:rPr>
                <w:rFonts w:ascii="Times New Roman" w:eastAsia="Calibri" w:hAnsi="Times New Roman"/>
                <w:bCs/>
              </w:rPr>
            </w:pPr>
            <w:r>
              <w:rPr>
                <w:rFonts w:ascii="Times New Roman" w:eastAsia="Calibri" w:hAnsi="Times New Roman"/>
                <w:bCs/>
              </w:rPr>
              <w:t>27,7</w:t>
            </w:r>
            <w:r w:rsidRPr="00897ACB">
              <w:rPr>
                <w:rFonts w:ascii="Times New Roman" w:eastAsia="Calibri" w:hAnsi="Times New Roman"/>
                <w:bCs/>
              </w:rPr>
              <w:t>00</w:t>
            </w:r>
          </w:p>
        </w:tc>
        <w:tc>
          <w:tcPr>
            <w:tcW w:w="666" w:type="pct"/>
            <w:shd w:val="clear" w:color="auto" w:fill="auto"/>
            <w:vAlign w:val="center"/>
          </w:tcPr>
          <w:p w:rsidR="00CE6AAF" w:rsidRPr="00897ACB" w:rsidP="00AD4634" w14:paraId="4D47272C" w14:textId="43AEE1C9">
            <w:pPr>
              <w:overflowPunct w:val="0"/>
              <w:autoSpaceDE/>
              <w:autoSpaceDN/>
              <w:jc w:val="center"/>
              <w:rPr>
                <w:rFonts w:ascii="Times New Roman" w:eastAsia="Calibri" w:hAnsi="Times New Roman"/>
                <w:bCs/>
              </w:rPr>
            </w:pPr>
            <w:r>
              <w:rPr>
                <w:rFonts w:ascii="Times New Roman" w:eastAsia="Calibri" w:hAnsi="Times New Roman"/>
                <w:bCs/>
              </w:rPr>
              <w:t>52</w:t>
            </w:r>
          </w:p>
        </w:tc>
        <w:tc>
          <w:tcPr>
            <w:tcW w:w="626" w:type="pct"/>
            <w:shd w:val="clear" w:color="auto" w:fill="auto"/>
            <w:vAlign w:val="center"/>
          </w:tcPr>
          <w:p w:rsidR="00CE6AAF" w:rsidRPr="00897ACB" w:rsidP="00AD4634" w14:paraId="3DB6B3AD" w14:textId="77777777">
            <w:pPr>
              <w:overflowPunct w:val="0"/>
              <w:autoSpaceDE/>
              <w:autoSpaceDN/>
              <w:jc w:val="center"/>
              <w:rPr>
                <w:rFonts w:ascii="Times New Roman" w:eastAsia="Calibri" w:hAnsi="Times New Roman"/>
                <w:bCs/>
              </w:rPr>
            </w:pPr>
            <w:r w:rsidRPr="00897ACB">
              <w:rPr>
                <w:rFonts w:ascii="Times New Roman" w:eastAsia="Calibri" w:hAnsi="Times New Roman"/>
                <w:bCs/>
              </w:rPr>
              <w:t>1,440,400</w:t>
            </w:r>
          </w:p>
        </w:tc>
        <w:tc>
          <w:tcPr>
            <w:tcW w:w="625" w:type="pct"/>
            <w:shd w:val="clear" w:color="auto" w:fill="auto"/>
            <w:vAlign w:val="center"/>
          </w:tcPr>
          <w:p w:rsidR="00CE6AAF" w:rsidRPr="00897ACB" w:rsidP="00AD4634" w14:paraId="2517D4E2" w14:textId="77777777">
            <w:pPr>
              <w:overflowPunct w:val="0"/>
              <w:autoSpaceDE/>
              <w:autoSpaceDN/>
              <w:jc w:val="center"/>
              <w:rPr>
                <w:rFonts w:ascii="Times New Roman" w:eastAsia="Calibri" w:hAnsi="Times New Roman"/>
                <w:bCs/>
              </w:rPr>
            </w:pPr>
            <w:r w:rsidRPr="00897ACB">
              <w:rPr>
                <w:rFonts w:ascii="Times New Roman" w:eastAsia="Calibri" w:hAnsi="Times New Roman"/>
                <w:bCs/>
              </w:rPr>
              <w:t>16/60</w:t>
            </w:r>
          </w:p>
        </w:tc>
        <w:tc>
          <w:tcPr>
            <w:tcW w:w="500" w:type="pct"/>
            <w:shd w:val="clear" w:color="auto" w:fill="auto"/>
            <w:vAlign w:val="center"/>
          </w:tcPr>
          <w:p w:rsidR="00CE6AAF" w:rsidRPr="00897ACB" w:rsidP="00AD4634" w14:paraId="1E4E9E32" w14:textId="3508F2D4">
            <w:pPr>
              <w:overflowPunct w:val="0"/>
              <w:autoSpaceDE/>
              <w:autoSpaceDN/>
              <w:jc w:val="center"/>
              <w:rPr>
                <w:rFonts w:ascii="Times New Roman" w:eastAsia="Calibri" w:hAnsi="Times New Roman"/>
                <w:bCs/>
              </w:rPr>
            </w:pPr>
            <w:r w:rsidRPr="00897ACB">
              <w:rPr>
                <w:rFonts w:ascii="Times New Roman" w:eastAsia="Calibri" w:hAnsi="Times New Roman"/>
                <w:bCs/>
              </w:rPr>
              <w:t>384,10</w:t>
            </w:r>
            <w:r w:rsidR="008C10AA">
              <w:rPr>
                <w:rFonts w:ascii="Times New Roman" w:eastAsia="Calibri" w:hAnsi="Times New Roman"/>
                <w:bCs/>
              </w:rPr>
              <w:t>7</w:t>
            </w:r>
          </w:p>
        </w:tc>
        <w:tc>
          <w:tcPr>
            <w:tcW w:w="501" w:type="pct"/>
            <w:shd w:val="clear" w:color="auto" w:fill="auto"/>
            <w:vAlign w:val="center"/>
          </w:tcPr>
          <w:p w:rsidR="00CE6AAF" w:rsidRPr="00897ACB" w:rsidP="00AD4634" w14:paraId="4917B191" w14:textId="63ACEC14">
            <w:pPr>
              <w:overflowPunct w:val="0"/>
              <w:autoSpaceDE/>
              <w:autoSpaceDN/>
              <w:jc w:val="center"/>
              <w:rPr>
                <w:rFonts w:ascii="Times New Roman" w:eastAsia="Calibri" w:hAnsi="Times New Roman"/>
                <w:bCs/>
              </w:rPr>
            </w:pPr>
            <w:r>
              <w:rPr>
                <w:rFonts w:ascii="Times New Roman" w:eastAsia="Calibri" w:hAnsi="Times New Roman"/>
                <w:bCs/>
              </w:rPr>
              <w:t xml:space="preserve">$31.97 </w:t>
            </w:r>
          </w:p>
        </w:tc>
        <w:tc>
          <w:tcPr>
            <w:tcW w:w="667" w:type="pct"/>
            <w:shd w:val="clear" w:color="auto" w:fill="auto"/>
            <w:vAlign w:val="center"/>
          </w:tcPr>
          <w:p w:rsidR="00CE6AAF" w:rsidRPr="00897ACB" w:rsidP="004E0192" w14:paraId="2D03D381" w14:textId="09ED3193">
            <w:pPr>
              <w:overflowPunct w:val="0"/>
              <w:autoSpaceDE/>
              <w:autoSpaceDN/>
              <w:jc w:val="center"/>
              <w:rPr>
                <w:rFonts w:ascii="Times New Roman" w:eastAsia="Calibri" w:hAnsi="Times New Roman"/>
                <w:bCs/>
              </w:rPr>
            </w:pPr>
            <w:r>
              <w:rPr>
                <w:rFonts w:ascii="Times New Roman" w:eastAsia="Calibri" w:hAnsi="Times New Roman"/>
                <w:bCs/>
              </w:rPr>
              <w:t>$12,279,901</w:t>
            </w:r>
          </w:p>
        </w:tc>
      </w:tr>
      <w:tr w14:paraId="28C9E933" w14:textId="77777777" w:rsidTr="003E7DA1">
        <w:tblPrEx>
          <w:tblW w:w="5773" w:type="pct"/>
          <w:tblLayout w:type="fixed"/>
          <w:tblLook w:val="04A0"/>
        </w:tblPrEx>
        <w:tc>
          <w:tcPr>
            <w:tcW w:w="683" w:type="pct"/>
            <w:shd w:val="clear" w:color="auto" w:fill="FFE599"/>
            <w:vAlign w:val="center"/>
          </w:tcPr>
          <w:p w:rsidR="00CE6AAF" w:rsidRPr="00897ACB" w:rsidP="00366C7E" w14:paraId="536BB7F6" w14:textId="77777777">
            <w:pPr>
              <w:overflowPunct w:val="0"/>
              <w:autoSpaceDE/>
              <w:autoSpaceDN/>
              <w:rPr>
                <w:rFonts w:ascii="Times New Roman" w:eastAsia="Calibri" w:hAnsi="Times New Roman"/>
                <w:b/>
                <w:bCs/>
                <w:kern w:val="28"/>
                <w:sz w:val="22"/>
              </w:rPr>
            </w:pPr>
            <w:r w:rsidRPr="00897ACB">
              <w:rPr>
                <w:rFonts w:ascii="Times New Roman" w:eastAsia="Calibri" w:hAnsi="Times New Roman"/>
                <w:b/>
                <w:bCs/>
                <w:kern w:val="28"/>
                <w:sz w:val="22"/>
              </w:rPr>
              <w:t>GRAND TOTAL</w:t>
            </w:r>
          </w:p>
        </w:tc>
        <w:tc>
          <w:tcPr>
            <w:tcW w:w="734" w:type="pct"/>
            <w:shd w:val="clear" w:color="auto" w:fill="FFE599"/>
            <w:vAlign w:val="center"/>
          </w:tcPr>
          <w:p w:rsidR="00CE6AAF" w:rsidRPr="00897ACB" w:rsidP="009D1C8D" w14:paraId="667D2D42" w14:textId="498A995F">
            <w:pPr>
              <w:overflowPunct w:val="0"/>
              <w:autoSpaceDE/>
              <w:autoSpaceDN/>
              <w:jc w:val="center"/>
              <w:rPr>
                <w:rFonts w:ascii="Times New Roman" w:eastAsia="Calibri" w:hAnsi="Times New Roman"/>
                <w:b/>
                <w:bCs/>
              </w:rPr>
            </w:pPr>
            <w:r>
              <w:rPr>
                <w:rFonts w:ascii="Times New Roman" w:eastAsia="Calibri" w:hAnsi="Times New Roman"/>
                <w:b/>
                <w:bCs/>
              </w:rPr>
              <w:t>--</w:t>
            </w:r>
          </w:p>
        </w:tc>
        <w:tc>
          <w:tcPr>
            <w:tcW w:w="666" w:type="pct"/>
            <w:shd w:val="clear" w:color="auto" w:fill="FFE599"/>
            <w:vAlign w:val="center"/>
          </w:tcPr>
          <w:p w:rsidR="00CE6AAF" w:rsidRPr="00897ACB" w:rsidP="009D1C8D" w14:paraId="6B3E3575" w14:textId="77777777">
            <w:pPr>
              <w:overflowPunct w:val="0"/>
              <w:autoSpaceDE/>
              <w:autoSpaceDN/>
              <w:jc w:val="center"/>
              <w:rPr>
                <w:rFonts w:ascii="Times New Roman" w:eastAsia="Calibri" w:hAnsi="Times New Roman"/>
                <w:b/>
                <w:bCs/>
              </w:rPr>
            </w:pPr>
            <w:r w:rsidRPr="00897ACB">
              <w:rPr>
                <w:rFonts w:ascii="Times New Roman" w:eastAsia="Calibri" w:hAnsi="Times New Roman"/>
                <w:b/>
                <w:bCs/>
              </w:rPr>
              <w:t>--</w:t>
            </w:r>
          </w:p>
        </w:tc>
        <w:tc>
          <w:tcPr>
            <w:tcW w:w="626" w:type="pct"/>
            <w:shd w:val="clear" w:color="auto" w:fill="FFE599"/>
            <w:vAlign w:val="center"/>
          </w:tcPr>
          <w:p w:rsidR="00CE6AAF" w:rsidRPr="00897ACB" w:rsidP="009D1C8D" w14:paraId="4C95CCB4" w14:textId="77777777">
            <w:pPr>
              <w:overflowPunct w:val="0"/>
              <w:autoSpaceDE/>
              <w:autoSpaceDN/>
              <w:jc w:val="center"/>
              <w:rPr>
                <w:rFonts w:ascii="Times New Roman" w:eastAsia="Calibri" w:hAnsi="Times New Roman"/>
                <w:b/>
                <w:bCs/>
              </w:rPr>
            </w:pPr>
            <w:r>
              <w:rPr>
                <w:rFonts w:ascii="Times New Roman" w:eastAsia="Calibri" w:hAnsi="Times New Roman"/>
                <w:b/>
                <w:bCs/>
              </w:rPr>
              <w:t>1,440,400</w:t>
            </w:r>
          </w:p>
        </w:tc>
        <w:tc>
          <w:tcPr>
            <w:tcW w:w="625" w:type="pct"/>
            <w:shd w:val="clear" w:color="auto" w:fill="FFE599"/>
            <w:vAlign w:val="center"/>
          </w:tcPr>
          <w:p w:rsidR="00CE6AAF" w:rsidRPr="00897ACB" w:rsidP="009D1C8D" w14:paraId="29DAF154" w14:textId="77777777">
            <w:pPr>
              <w:overflowPunct w:val="0"/>
              <w:autoSpaceDE/>
              <w:autoSpaceDN/>
              <w:jc w:val="center"/>
              <w:rPr>
                <w:rFonts w:ascii="Times New Roman" w:eastAsia="Calibri" w:hAnsi="Times New Roman"/>
                <w:b/>
                <w:bCs/>
              </w:rPr>
            </w:pPr>
            <w:r w:rsidRPr="00897ACB">
              <w:rPr>
                <w:rFonts w:ascii="Times New Roman" w:eastAsia="Calibri" w:hAnsi="Times New Roman"/>
                <w:b/>
                <w:bCs/>
              </w:rPr>
              <w:t>--</w:t>
            </w:r>
          </w:p>
        </w:tc>
        <w:tc>
          <w:tcPr>
            <w:tcW w:w="500" w:type="pct"/>
            <w:shd w:val="clear" w:color="auto" w:fill="FFE599"/>
            <w:vAlign w:val="center"/>
          </w:tcPr>
          <w:p w:rsidR="00CE6AAF" w:rsidRPr="00897ACB" w:rsidP="009D1C8D" w14:paraId="4F68F87C" w14:textId="7A829EEA">
            <w:pPr>
              <w:overflowPunct w:val="0"/>
              <w:autoSpaceDE/>
              <w:autoSpaceDN/>
              <w:jc w:val="center"/>
              <w:rPr>
                <w:rFonts w:ascii="Times New Roman" w:eastAsia="Calibri" w:hAnsi="Times New Roman"/>
                <w:b/>
                <w:bCs/>
              </w:rPr>
            </w:pPr>
            <w:r>
              <w:rPr>
                <w:rFonts w:ascii="Times New Roman" w:eastAsia="Calibri" w:hAnsi="Times New Roman"/>
                <w:b/>
                <w:bCs/>
              </w:rPr>
              <w:t>384,107</w:t>
            </w:r>
          </w:p>
        </w:tc>
        <w:tc>
          <w:tcPr>
            <w:tcW w:w="501" w:type="pct"/>
            <w:shd w:val="clear" w:color="auto" w:fill="FFE599"/>
            <w:vAlign w:val="center"/>
          </w:tcPr>
          <w:p w:rsidR="00CE6AAF" w:rsidRPr="00897ACB" w:rsidP="009D1C8D" w14:paraId="09118624" w14:textId="77777777">
            <w:pPr>
              <w:overflowPunct w:val="0"/>
              <w:autoSpaceDE/>
              <w:autoSpaceDN/>
              <w:jc w:val="center"/>
              <w:rPr>
                <w:rFonts w:ascii="Times New Roman" w:eastAsia="Calibri" w:hAnsi="Times New Roman"/>
                <w:b/>
                <w:bCs/>
              </w:rPr>
            </w:pPr>
            <w:r w:rsidRPr="00897ACB">
              <w:rPr>
                <w:rFonts w:ascii="Times New Roman" w:eastAsia="Calibri" w:hAnsi="Times New Roman"/>
                <w:b/>
                <w:bCs/>
              </w:rPr>
              <w:t>--</w:t>
            </w:r>
          </w:p>
        </w:tc>
        <w:tc>
          <w:tcPr>
            <w:tcW w:w="667" w:type="pct"/>
            <w:shd w:val="clear" w:color="auto" w:fill="FFE599"/>
            <w:vAlign w:val="center"/>
          </w:tcPr>
          <w:p w:rsidR="00CE6AAF" w:rsidRPr="00897ACB" w:rsidP="009D1C8D" w14:paraId="0053C56F" w14:textId="09E65438">
            <w:pPr>
              <w:overflowPunct w:val="0"/>
              <w:autoSpaceDE/>
              <w:autoSpaceDN/>
              <w:jc w:val="center"/>
              <w:rPr>
                <w:rFonts w:ascii="Times New Roman" w:eastAsia="Calibri" w:hAnsi="Times New Roman"/>
                <w:b/>
                <w:bCs/>
              </w:rPr>
            </w:pPr>
            <w:r>
              <w:rPr>
                <w:rFonts w:ascii="Times New Roman" w:eastAsia="Calibri" w:hAnsi="Times New Roman"/>
                <w:b/>
                <w:bCs/>
              </w:rPr>
              <w:t>$12,279,901</w:t>
            </w:r>
          </w:p>
        </w:tc>
      </w:tr>
    </w:tbl>
    <w:p w:rsidR="007B350F" w:rsidP="00BE5DC2" w14:paraId="6AE12ACC" w14:textId="77777777">
      <w:pPr>
        <w:widowControl/>
        <w:tabs>
          <w:tab w:val="left" w:pos="-990"/>
          <w:tab w:val="left" w:pos="-720"/>
          <w:tab w:val="left" w:pos="0"/>
          <w:tab w:val="left" w:pos="450"/>
          <w:tab w:val="left" w:pos="540"/>
          <w:tab w:val="left" w:pos="72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u w:val="single"/>
        </w:rPr>
      </w:pPr>
    </w:p>
    <w:p w:rsidR="00D851BC" w:rsidRPr="004932B3" w14:paraId="564271A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 xml:space="preserve">13.  </w:t>
      </w:r>
      <w:r w:rsidRPr="004932B3">
        <w:rPr>
          <w:rFonts w:ascii="Times New Roman" w:hAnsi="Times New Roman"/>
          <w:b/>
          <w:bCs/>
          <w:color w:val="000000"/>
        </w:rPr>
        <w:t>Provide an estimate of the total annual cost burden to respondents or recordkeepers resulting from the collection of information.  (Do not include the cost of any hour burden shown in Items 12 and 14.)</w:t>
      </w:r>
    </w:p>
    <w:p w:rsidR="0068680A" w:rsidRPr="004932B3" w:rsidP="0068680A" w14:paraId="4E0E8D99"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b/>
          <w:bCs/>
          <w:color w:val="000000"/>
        </w:rPr>
      </w:pPr>
    </w:p>
    <w:p w:rsidR="00D851BC" w:rsidRPr="004932B3" w:rsidP="0068680A" w14:paraId="1F5B0B70" w14:textId="038BBA11">
      <w:pPr>
        <w:pStyle w:val="Level1"/>
        <w:widowControl/>
        <w:tabs>
          <w:tab w:val="left" w:pos="-99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t>The cost estimate should be split into two components: (a) a total capital and start-up cost component annualized over its expected useful life); and (b) a total operation and maintenance and purchase of service component.  The estimates should take into</w:t>
      </w:r>
      <w:r w:rsidR="003C0109">
        <w:rPr>
          <w:rFonts w:ascii="Times New Roman" w:hAnsi="Times New Roman"/>
          <w:b/>
          <w:bCs/>
          <w:color w:val="000000"/>
        </w:rPr>
        <w:t xml:space="preserve"> </w:t>
      </w:r>
      <w:r w:rsidRPr="004932B3">
        <w:rPr>
          <w:rFonts w:ascii="Times New Roman" w:hAnsi="Times New Roman"/>
          <w:b/>
          <w:bCs/>
          <w:color w:val="000000"/>
        </w:rPr>
        <w:t>account costs associated with generating, maintaining, and disclosing or providing the information.  Include descriptions of methods used to estimate major cost factors including system and technology acquisition, expected useful life of capital equipment,</w:t>
      </w:r>
      <w:r w:rsidRPr="004932B3">
        <w:rPr>
          <w:rFonts w:ascii="Times New Roman" w:hAnsi="Times New Roman"/>
          <w:b/>
          <w:bCs/>
          <w:color w:val="000000"/>
        </w:rPr>
        <w:t xml:space="preserve"> the discount rate(s), and the time</w:t>
      </w:r>
      <w:r w:rsidR="003C0109">
        <w:rPr>
          <w:rFonts w:ascii="Times New Roman" w:hAnsi="Times New Roman"/>
          <w:b/>
          <w:bCs/>
          <w:color w:val="000000"/>
        </w:rPr>
        <w:t>-</w:t>
      </w:r>
      <w:r w:rsidRPr="004932B3">
        <w:rPr>
          <w:rFonts w:ascii="Times New Roman" w:hAnsi="Times New Roman"/>
          <w:b/>
          <w:bCs/>
          <w:color w:val="000000"/>
        </w:rPr>
        <w:t>period over which costs will be incurred.  Capital and start-up costs include, among other items, preparations for collecting information such as purchasing computers and software; monitoring, sampling, drilling</w:t>
      </w:r>
      <w:r w:rsidR="003C0109">
        <w:rPr>
          <w:rFonts w:ascii="Times New Roman" w:hAnsi="Times New Roman"/>
          <w:b/>
          <w:bCs/>
          <w:color w:val="000000"/>
        </w:rPr>
        <w:t>,</w:t>
      </w:r>
      <w:r w:rsidRPr="004932B3">
        <w:rPr>
          <w:rFonts w:ascii="Times New Roman" w:hAnsi="Times New Roman"/>
          <w:b/>
          <w:bCs/>
          <w:color w:val="000000"/>
        </w:rPr>
        <w:t xml:space="preserve"> and testing equipment; and record storage facilities.</w:t>
      </w:r>
    </w:p>
    <w:p w:rsidR="00D851BC" w:rsidRPr="004932B3" w14:paraId="02D28DE6"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BA4B1E" w:rsidRPr="004932B3" w:rsidP="0068680A" w14:paraId="629A6B99" w14:textId="226DC417">
      <w:pPr>
        <w:pStyle w:val="Level1"/>
        <w:widowControl/>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630"/>
        <w:rPr>
          <w:rFonts w:ascii="Times New Roman" w:hAnsi="Times New Roman"/>
          <w:color w:val="000000"/>
        </w:rPr>
      </w:pPr>
      <w:r w:rsidRPr="004932B3">
        <w:rPr>
          <w:rFonts w:ascii="Times New Roman" w:hAnsi="Times New Roman"/>
          <w:b/>
          <w:bCs/>
          <w:color w:val="000000"/>
        </w:rPr>
        <w:tab/>
        <w:t>•</w:t>
      </w:r>
      <w:r w:rsidRPr="004932B3">
        <w:rPr>
          <w:rFonts w:ascii="Times New Roman" w:hAnsi="Times New Roman"/>
          <w:b/>
          <w:bCs/>
          <w:color w:val="000000"/>
        </w:rPr>
        <w:tab/>
      </w:r>
      <w:r w:rsidRPr="004932B3">
        <w:rPr>
          <w:rFonts w:ascii="Times New Roman" w:hAnsi="Times New Roman"/>
          <w:b/>
          <w:bCs/>
          <w:color w:val="000000"/>
        </w:rPr>
        <w:tab/>
      </w:r>
      <w:r w:rsidRPr="002F1B0E" w:rsidR="002F1B0E">
        <w:rPr>
          <w:rFonts w:ascii="Times New Roman" w:hAnsi="Times New Roman"/>
          <w:b/>
          <w:bCs/>
          <w:color w:val="000000"/>
        </w:rPr>
        <w:t>If cost</w:t>
      </w:r>
      <w:r w:rsidRPr="004932B3" w:rsidR="00D851BC">
        <w:rPr>
          <w:rFonts w:ascii="Times New Roman" w:hAnsi="Times New Roman"/>
          <w:b/>
          <w:bCs/>
          <w:color w:val="000000"/>
        </w:rPr>
        <w:t xml:space="preserve">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00173463">
        <w:rPr>
          <w:rFonts w:ascii="Times New Roman" w:hAnsi="Times New Roman"/>
          <w:b/>
          <w:bCs/>
          <w:color w:val="000000"/>
        </w:rPr>
        <w:t>s</w:t>
      </w:r>
      <w:r w:rsidRPr="004932B3" w:rsidR="00D851BC">
        <w:rPr>
          <w:rFonts w:ascii="Times New Roman" w:hAnsi="Times New Roman"/>
          <w:b/>
          <w:bCs/>
          <w:color w:val="000000"/>
        </w:rPr>
        <w:t xml:space="preserve"> (fewer than 10), utilize the 60-day pre-OMB submission public comment process</w:t>
      </w:r>
      <w:r w:rsidR="003C0109">
        <w:rPr>
          <w:rFonts w:ascii="Times New Roman" w:hAnsi="Times New Roman"/>
          <w:b/>
          <w:bCs/>
          <w:color w:val="000000"/>
        </w:rPr>
        <w:t>,</w:t>
      </w:r>
      <w:r w:rsidRPr="004932B3" w:rsidR="00D851BC">
        <w:rPr>
          <w:rFonts w:ascii="Times New Roman" w:hAnsi="Times New Roman"/>
          <w:b/>
          <w:bCs/>
          <w:color w:val="000000"/>
        </w:rPr>
        <w:t xml:space="preserve"> and use existing economic or regulatory impact analysis associated with the rulemaking containing the information collection, as appropriate</w:t>
      </w:r>
      <w:r w:rsidRPr="004932B3" w:rsidR="00D851BC">
        <w:rPr>
          <w:rFonts w:ascii="Times New Roman" w:hAnsi="Times New Roman"/>
          <w:color w:val="000000"/>
        </w:rPr>
        <w:t>.</w:t>
      </w:r>
    </w:p>
    <w:p w:rsidR="00234295" w:rsidRPr="004932B3" w:rsidP="0068680A" w14:paraId="591EAB84" w14:textId="77777777">
      <w:pPr>
        <w:pStyle w:val="Level1"/>
        <w:widowControl/>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630"/>
        <w:rPr>
          <w:rFonts w:ascii="Times New Roman" w:hAnsi="Times New Roman"/>
          <w:color w:val="000000"/>
        </w:rPr>
      </w:pPr>
      <w:r w:rsidRPr="004932B3">
        <w:rPr>
          <w:rFonts w:ascii="Times New Roman" w:hAnsi="Times New Roman"/>
          <w:b/>
          <w:bCs/>
          <w:color w:val="000000"/>
        </w:rPr>
        <w:tab/>
      </w:r>
    </w:p>
    <w:p w:rsidR="00A36043" w:rsidRPr="002F1B0E" w:rsidP="004932B3" w14:paraId="5F8525EE" w14:textId="68087CBF">
      <w:pPr>
        <w:pStyle w:val="Level1"/>
        <w:widowControl/>
        <w:numPr>
          <w:ilvl w:val="0"/>
          <w:numId w:val="4"/>
        </w:numPr>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rsidRPr="004932B3">
        <w:rPr>
          <w:rFonts w:ascii="Times New Roman Bold" w:hAnsi="Times New Roman Bold"/>
          <w:b/>
        </w:rPr>
        <w:t>Generally, estimates should not include purchases of equipment or servic</w:t>
      </w:r>
      <w:r w:rsidRPr="004932B3" w:rsidR="00BA4B1E">
        <w:rPr>
          <w:rFonts w:ascii="Times New Roman Bold" w:hAnsi="Times New Roman Bold"/>
          <w:b/>
        </w:rPr>
        <w:t>es, or</w:t>
      </w:r>
      <w:r w:rsidR="002F1B0E">
        <w:rPr>
          <w:rFonts w:ascii="Times New Roman Bold" w:hAnsi="Times New Roman Bold"/>
          <w:b/>
        </w:rPr>
        <w:t xml:space="preserve"> </w:t>
      </w:r>
      <w:r w:rsidRPr="004932B3" w:rsidR="00BA4B1E">
        <w:rPr>
          <w:rFonts w:ascii="Times New Roman Bold" w:hAnsi="Times New Roman Bold"/>
          <w:b/>
        </w:rPr>
        <w:t>portions thereof, made:</w:t>
      </w:r>
      <w:r w:rsidRPr="004932B3" w:rsidR="005134C5">
        <w:rPr>
          <w:rFonts w:ascii="Times New Roman Bold" w:hAnsi="Times New Roman Bold"/>
          <w:b/>
        </w:rPr>
        <w:t xml:space="preserve"> (</w:t>
      </w:r>
      <w:r w:rsidRPr="004932B3">
        <w:rPr>
          <w:rFonts w:ascii="Times New Roman Bold" w:hAnsi="Times New Roman Bold"/>
          <w:b/>
        </w:rPr>
        <w:t xml:space="preserve">1) prior to October 1, 1995, (2) to achieve regulatory </w:t>
      </w:r>
      <w:r w:rsidRPr="004932B3">
        <w:rPr>
          <w:rFonts w:ascii="Times New Roman Bold" w:hAnsi="Times New Roman Bold"/>
          <w:b/>
        </w:rPr>
        <w:t>compliance with requirements not</w:t>
      </w:r>
      <w:r w:rsidR="002F1B0E">
        <w:rPr>
          <w:rFonts w:ascii="Times New Roman Bold" w:hAnsi="Times New Roman Bold"/>
          <w:b/>
        </w:rPr>
        <w:t xml:space="preserve"> </w:t>
      </w:r>
      <w:r w:rsidRPr="004932B3">
        <w:rPr>
          <w:rFonts w:ascii="Times New Roman Bold" w:hAnsi="Times New Roman Bold"/>
          <w:b/>
        </w:rPr>
        <w:t>associated with the information collection, (3) for reasons other than to provide information or keep</w:t>
      </w:r>
      <w:r w:rsidRPr="004932B3" w:rsidR="00BA4B1E">
        <w:rPr>
          <w:rFonts w:ascii="Times New Roman Bold" w:hAnsi="Times New Roman Bold"/>
          <w:b/>
        </w:rPr>
        <w:t xml:space="preserve"> </w:t>
      </w:r>
      <w:r w:rsidRPr="004932B3">
        <w:rPr>
          <w:rFonts w:ascii="Times New Roman Bold" w:hAnsi="Times New Roman Bold"/>
          <w:b/>
        </w:rPr>
        <w:t>records for the government, or (4) as part of customary and usual business or private practices.</w:t>
      </w:r>
    </w:p>
    <w:p w:rsidR="00A36043" w:rsidRPr="004932B3" w14:paraId="120D0437"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B76AB" w14:paraId="186762E9"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cost determined under Item 12 accounts for the total annual cost burden to respondents or recordkeepers resulting from these collection</w:t>
      </w:r>
      <w:r w:rsidR="00E3301D">
        <w:rPr>
          <w:rFonts w:ascii="Times New Roman" w:hAnsi="Times New Roman"/>
        </w:rPr>
        <w:t>s</w:t>
      </w:r>
      <w:r>
        <w:rPr>
          <w:rFonts w:ascii="Times New Roman" w:hAnsi="Times New Roman"/>
        </w:rPr>
        <w:t xml:space="preserve"> of information requirements.  Therefore, there is no cost to the respondent other than their time. </w:t>
      </w:r>
    </w:p>
    <w:p w:rsidR="00D851BC" w14:paraId="514A4F92"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D851BC" w:rsidRPr="004932B3" w14:paraId="2ADB8675"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4932B3" w:rsidR="00D31EC5">
        <w:rPr>
          <w:rFonts w:ascii="Times New Roman" w:hAnsi="Times New Roman"/>
          <w:b/>
          <w:bCs/>
        </w:rPr>
        <w:t xml:space="preserve">and </w:t>
      </w:r>
      <w:r w:rsidRPr="004932B3">
        <w:rPr>
          <w:rFonts w:ascii="Times New Roman" w:hAnsi="Times New Roman"/>
          <w:b/>
          <w:bCs/>
        </w:rPr>
        <w:t>any other expense that would not have been incurred without this collection of information.  Agencies also may aggregate cost estimates from Items 12, 13, and 14 into a single table.</w:t>
      </w:r>
    </w:p>
    <w:p w:rsidR="00D851BC" w14:paraId="42C1F7F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80016" w:rsidRPr="00B80016" w:rsidP="00B80016" w14:paraId="26539BAC" w14:textId="77777777">
      <w:pPr>
        <w:rPr>
          <w:rFonts w:ascii="Times New Roman" w:hAnsi="Times New Roman"/>
        </w:rPr>
      </w:pPr>
      <w:r w:rsidRPr="00B80016">
        <w:rPr>
          <w:rFonts w:ascii="Times New Roman" w:hAnsi="Times New Roman"/>
        </w:rPr>
        <w:t>There is no cost to the Federal Government</w:t>
      </w:r>
      <w:r w:rsidR="00EB76AB">
        <w:rPr>
          <w:rFonts w:ascii="Times New Roman" w:hAnsi="Times New Roman"/>
        </w:rPr>
        <w:t>.</w:t>
      </w:r>
      <w:r w:rsidR="003B2C16">
        <w:rPr>
          <w:rFonts w:ascii="Times New Roman" w:hAnsi="Times New Roman"/>
        </w:rPr>
        <w:t xml:space="preserve"> </w:t>
      </w:r>
    </w:p>
    <w:p w:rsidR="00B80016" w:rsidRPr="00B80016" w:rsidP="00B80016" w14:paraId="7087EB80" w14:textId="77777777">
      <w:pPr>
        <w:ind w:left="360" w:hanging="360"/>
        <w:rPr>
          <w:rFonts w:ascii="Times New Roman" w:hAnsi="Times New Roman"/>
          <w:b/>
          <w:bCs/>
          <w:sz w:val="20"/>
          <w:szCs w:val="20"/>
        </w:rPr>
      </w:pPr>
    </w:p>
    <w:p w:rsidR="00D851BC" w:rsidRPr="004932B3" w14:paraId="29627B6C"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15.  Explain the reasons for any program changes or adjustments.</w:t>
      </w:r>
    </w:p>
    <w:p w:rsidR="00D851BC" w14:paraId="4225A3B1"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A40F07" w:rsidP="00862F52" w14:paraId="3905A5C0" w14:textId="187106C5">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OSHA</w:t>
      </w:r>
      <w:r w:rsidR="00ED5ABE">
        <w:rPr>
          <w:rFonts w:ascii="Times New Roman" w:hAnsi="Times New Roman"/>
          <w:color w:val="000000"/>
        </w:rPr>
        <w:t xml:space="preserve"> is</w:t>
      </w:r>
      <w:r>
        <w:rPr>
          <w:rFonts w:ascii="Times New Roman" w:hAnsi="Times New Roman"/>
          <w:color w:val="000000"/>
        </w:rPr>
        <w:t xml:space="preserve"> requesting</w:t>
      </w:r>
      <w:r w:rsidR="00ED5ABE">
        <w:rPr>
          <w:rFonts w:ascii="Times New Roman" w:hAnsi="Times New Roman"/>
          <w:color w:val="000000"/>
        </w:rPr>
        <w:t xml:space="preserve"> </w:t>
      </w:r>
      <w:r w:rsidR="008C10AA">
        <w:rPr>
          <w:rFonts w:ascii="Times New Roman" w:hAnsi="Times New Roman"/>
          <w:color w:val="000000"/>
        </w:rPr>
        <w:t xml:space="preserve">that the burden hours of 384,107 hours remain the same. </w:t>
      </w:r>
      <w:r w:rsidR="00A132DD">
        <w:rPr>
          <w:rFonts w:ascii="Times New Roman" w:hAnsi="Times New Roman"/>
          <w:color w:val="000000"/>
        </w:rPr>
        <w:t xml:space="preserve"> </w:t>
      </w:r>
      <w:r w:rsidR="00EC4D8E">
        <w:rPr>
          <w:rFonts w:ascii="Times New Roman" w:hAnsi="Times New Roman"/>
          <w:color w:val="000000"/>
        </w:rPr>
        <w:t>There are no program changes or adjustments.</w:t>
      </w:r>
    </w:p>
    <w:p w:rsidR="00290929" w:rsidP="00862F52" w14:paraId="35D9D635"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3"/>
        <w:gridCol w:w="1056"/>
        <w:gridCol w:w="1283"/>
        <w:gridCol w:w="1534"/>
        <w:gridCol w:w="1216"/>
        <w:gridCol w:w="1271"/>
        <w:gridCol w:w="1772"/>
      </w:tblGrid>
      <w:tr w14:paraId="4C7BB367" w14:textId="77777777" w:rsidTr="0067372A">
        <w:tblPrEx>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000" w:type="pct"/>
            <w:gridSpan w:val="7"/>
            <w:shd w:val="clear" w:color="auto" w:fill="8EAADB"/>
          </w:tcPr>
          <w:p w:rsidR="00290929" w14:paraId="2FC8FC16" w14:textId="77777777">
            <w:pPr>
              <w:jc w:val="center"/>
              <w:rPr>
                <w:rFonts w:ascii="Times New Roman" w:hAnsi="Times New Roman"/>
                <w:b/>
              </w:rPr>
            </w:pPr>
            <w:r>
              <w:rPr>
                <w:rFonts w:ascii="Times New Roman" w:hAnsi="Times New Roman"/>
                <w:b/>
              </w:rPr>
              <w:t xml:space="preserve">Table 3: Requested Burden Hour Adjustments </w:t>
            </w:r>
          </w:p>
        </w:tc>
      </w:tr>
      <w:tr w14:paraId="71D39706" w14:textId="77777777" w:rsidTr="0067372A">
        <w:tblPrEx>
          <w:tblW w:w="5195" w:type="pct"/>
          <w:jc w:val="center"/>
          <w:tblLook w:val="01E0"/>
        </w:tblPrEx>
        <w:trPr>
          <w:jc w:val="center"/>
        </w:trPr>
        <w:tc>
          <w:tcPr>
            <w:tcW w:w="815" w:type="pct"/>
            <w:shd w:val="clear" w:color="auto" w:fill="DEEAF6"/>
          </w:tcPr>
          <w:p w:rsidR="00290929" w:rsidRPr="00CC493B" w14:paraId="409E6756" w14:textId="77777777">
            <w:pPr>
              <w:jc w:val="center"/>
              <w:rPr>
                <w:rFonts w:ascii="Times New Roman" w:hAnsi="Times New Roman"/>
                <w:b/>
              </w:rPr>
            </w:pPr>
            <w:r w:rsidRPr="00CC493B">
              <w:rPr>
                <w:rFonts w:ascii="Times New Roman" w:hAnsi="Times New Roman"/>
                <w:b/>
              </w:rPr>
              <w:t>Information Collection Requirement</w:t>
            </w:r>
          </w:p>
        </w:tc>
        <w:tc>
          <w:tcPr>
            <w:tcW w:w="543" w:type="pct"/>
            <w:shd w:val="clear" w:color="auto" w:fill="DEEAF6"/>
          </w:tcPr>
          <w:p w:rsidR="00290929" w:rsidRPr="00CC493B" w14:paraId="17EF1DD2" w14:textId="77777777">
            <w:pPr>
              <w:jc w:val="center"/>
              <w:rPr>
                <w:rFonts w:ascii="Times New Roman" w:hAnsi="Times New Roman"/>
                <w:b/>
              </w:rPr>
            </w:pPr>
            <w:r w:rsidRPr="00CC493B">
              <w:rPr>
                <w:rFonts w:ascii="Times New Roman" w:hAnsi="Times New Roman"/>
                <w:b/>
              </w:rPr>
              <w:t>Current Burden Hours</w:t>
            </w:r>
          </w:p>
        </w:tc>
        <w:tc>
          <w:tcPr>
            <w:tcW w:w="660" w:type="pct"/>
            <w:shd w:val="clear" w:color="auto" w:fill="DEEAF6"/>
          </w:tcPr>
          <w:p w:rsidR="00290929" w:rsidRPr="00CC493B" w14:paraId="4B57B105" w14:textId="77777777">
            <w:pPr>
              <w:jc w:val="center"/>
              <w:rPr>
                <w:rFonts w:ascii="Times New Roman" w:hAnsi="Times New Roman"/>
                <w:b/>
              </w:rPr>
            </w:pPr>
            <w:r w:rsidRPr="00CC493B">
              <w:rPr>
                <w:rFonts w:ascii="Times New Roman" w:hAnsi="Times New Roman"/>
                <w:b/>
              </w:rPr>
              <w:t>Requested Burden Hours</w:t>
            </w:r>
          </w:p>
        </w:tc>
        <w:tc>
          <w:tcPr>
            <w:tcW w:w="790" w:type="pct"/>
            <w:shd w:val="clear" w:color="auto" w:fill="DEEAF6"/>
          </w:tcPr>
          <w:p w:rsidR="00290929" w:rsidRPr="00CC493B" w14:paraId="7E2EDB56" w14:textId="77777777">
            <w:pPr>
              <w:jc w:val="center"/>
              <w:rPr>
                <w:rFonts w:ascii="Times New Roman" w:hAnsi="Times New Roman"/>
                <w:b/>
              </w:rPr>
            </w:pPr>
            <w:r w:rsidRPr="00CC493B">
              <w:rPr>
                <w:rFonts w:ascii="Times New Roman" w:hAnsi="Times New Roman"/>
                <w:b/>
              </w:rPr>
              <w:t>Adjustments</w:t>
            </w:r>
          </w:p>
        </w:tc>
        <w:tc>
          <w:tcPr>
            <w:tcW w:w="626" w:type="pct"/>
            <w:shd w:val="clear" w:color="auto" w:fill="DEEAF6"/>
          </w:tcPr>
          <w:p w:rsidR="00290929" w:rsidRPr="00CC493B" w14:paraId="66A1803B" w14:textId="77777777">
            <w:pPr>
              <w:jc w:val="center"/>
              <w:rPr>
                <w:rFonts w:ascii="Times New Roman" w:hAnsi="Times New Roman"/>
                <w:b/>
              </w:rPr>
            </w:pPr>
            <w:r w:rsidRPr="00CC493B">
              <w:rPr>
                <w:rFonts w:ascii="Times New Roman" w:hAnsi="Times New Roman"/>
                <w:b/>
              </w:rPr>
              <w:t>Cost under Item 12</w:t>
            </w:r>
          </w:p>
        </w:tc>
        <w:tc>
          <w:tcPr>
            <w:tcW w:w="654" w:type="pct"/>
            <w:shd w:val="clear" w:color="auto" w:fill="DEEAF6"/>
          </w:tcPr>
          <w:p w:rsidR="00290929" w:rsidRPr="00CC493B" w14:paraId="5CC1395D" w14:textId="77777777">
            <w:pPr>
              <w:jc w:val="center"/>
              <w:rPr>
                <w:rFonts w:ascii="Times New Roman" w:hAnsi="Times New Roman"/>
                <w:b/>
              </w:rPr>
            </w:pPr>
            <w:r>
              <w:rPr>
                <w:rFonts w:ascii="Times New Roman" w:hAnsi="Times New Roman"/>
                <w:b/>
              </w:rPr>
              <w:t xml:space="preserve">Number of </w:t>
            </w:r>
            <w:r w:rsidRPr="00CC493B">
              <w:rPr>
                <w:rFonts w:ascii="Times New Roman" w:hAnsi="Times New Roman"/>
                <w:b/>
              </w:rPr>
              <w:t>Responses</w:t>
            </w:r>
          </w:p>
        </w:tc>
        <w:tc>
          <w:tcPr>
            <w:tcW w:w="913" w:type="pct"/>
            <w:shd w:val="clear" w:color="auto" w:fill="DEEAF6"/>
          </w:tcPr>
          <w:p w:rsidR="00290929" w14:paraId="7BC28E22" w14:textId="77777777">
            <w:pPr>
              <w:jc w:val="center"/>
              <w:rPr>
                <w:rFonts w:ascii="Times New Roman" w:hAnsi="Times New Roman"/>
                <w:b/>
              </w:rPr>
            </w:pPr>
            <w:r>
              <w:rPr>
                <w:rFonts w:ascii="Times New Roman" w:hAnsi="Times New Roman"/>
                <w:b/>
              </w:rPr>
              <w:t>Explanation of Adjustments</w:t>
            </w:r>
          </w:p>
        </w:tc>
      </w:tr>
      <w:tr w14:paraId="7F51AA66" w14:textId="77777777" w:rsidTr="0067372A">
        <w:tblPrEx>
          <w:tblW w:w="5195" w:type="pct"/>
          <w:jc w:val="center"/>
          <w:tblLook w:val="01E0"/>
        </w:tblPrEx>
        <w:trPr>
          <w:jc w:val="center"/>
        </w:trPr>
        <w:tc>
          <w:tcPr>
            <w:tcW w:w="815" w:type="pct"/>
            <w:shd w:val="clear" w:color="auto" w:fill="DEEAF6"/>
          </w:tcPr>
          <w:p w:rsidR="00290929" w:rsidRPr="00620C6F" w14:paraId="5D55B7F1" w14:textId="77777777">
            <w:pPr>
              <w:jc w:val="center"/>
              <w:rPr>
                <w:rFonts w:ascii="Times New Roman" w:hAnsi="Times New Roman"/>
                <w:b/>
                <w:bCs/>
                <w:color w:val="000000"/>
                <w:sz w:val="20"/>
                <w:szCs w:val="20"/>
              </w:rPr>
            </w:pPr>
          </w:p>
          <w:p w:rsidR="00290929" w:rsidRPr="004932B3" w14:paraId="3C7E6EA5" w14:textId="77777777">
            <w:pPr>
              <w:jc w:val="center"/>
              <w:rPr>
                <w:rFonts w:ascii="Times New Roman" w:hAnsi="Times New Roman"/>
                <w:b/>
                <w:bCs/>
                <w:color w:val="000000"/>
                <w:sz w:val="20"/>
                <w:szCs w:val="20"/>
              </w:rPr>
            </w:pPr>
            <w:r w:rsidRPr="00620C6F">
              <w:rPr>
                <w:rFonts w:ascii="Times New Roman" w:hAnsi="Times New Roman"/>
                <w:b/>
                <w:bCs/>
                <w:color w:val="000000"/>
                <w:sz w:val="20"/>
                <w:szCs w:val="20"/>
              </w:rPr>
              <w:t>(A</w:t>
            </w:r>
            <w:r w:rsidRPr="00CD63E6">
              <w:rPr>
                <w:rFonts w:ascii="Times New Roman" w:hAnsi="Times New Roman"/>
                <w:b/>
                <w:bCs/>
                <w:color w:val="000000"/>
                <w:sz w:val="20"/>
                <w:szCs w:val="20"/>
              </w:rPr>
              <w:t xml:space="preserve">)  Inspection of Forging Machines, Guards, and </w:t>
            </w:r>
            <w:r w:rsidRPr="00CD63E6">
              <w:rPr>
                <w:rFonts w:ascii="Times New Roman" w:hAnsi="Times New Roman"/>
                <w:b/>
                <w:bCs/>
                <w:color w:val="000000"/>
                <w:sz w:val="20"/>
                <w:szCs w:val="20"/>
              </w:rPr>
              <w:t>Point-of-Operation Protection Devices (paragraphs (a)(2)(i) and (a)(2)(ii))</w:t>
            </w:r>
          </w:p>
        </w:tc>
        <w:tc>
          <w:tcPr>
            <w:tcW w:w="543" w:type="pct"/>
            <w:shd w:val="clear" w:color="auto" w:fill="DEEAF6"/>
            <w:vAlign w:val="center"/>
          </w:tcPr>
          <w:p w:rsidR="00290929" w:rsidRPr="00CC493B" w14:paraId="59677E77" w14:textId="77777777">
            <w:pPr>
              <w:jc w:val="center"/>
              <w:rPr>
                <w:rFonts w:ascii="Times New Roman" w:hAnsi="Times New Roman"/>
                <w:sz w:val="20"/>
                <w:szCs w:val="20"/>
              </w:rPr>
            </w:pPr>
          </w:p>
          <w:p w:rsidR="00290929" w:rsidRPr="00CC493B" w14:paraId="726B82DB" w14:textId="77777777">
            <w:pPr>
              <w:jc w:val="center"/>
              <w:rPr>
                <w:rFonts w:ascii="Times New Roman" w:hAnsi="Times New Roman"/>
                <w:sz w:val="20"/>
                <w:szCs w:val="20"/>
              </w:rPr>
            </w:pPr>
            <w:r>
              <w:rPr>
                <w:rFonts w:ascii="Times New Roman" w:hAnsi="Times New Roman"/>
                <w:sz w:val="20"/>
                <w:szCs w:val="20"/>
              </w:rPr>
              <w:t>384,107</w:t>
            </w:r>
          </w:p>
        </w:tc>
        <w:tc>
          <w:tcPr>
            <w:tcW w:w="660" w:type="pct"/>
            <w:shd w:val="clear" w:color="auto" w:fill="DEEAF6"/>
            <w:vAlign w:val="center"/>
          </w:tcPr>
          <w:p w:rsidR="00290929" w:rsidRPr="00CC493B" w14:paraId="2187ED6B" w14:textId="77777777">
            <w:pPr>
              <w:jc w:val="center"/>
              <w:rPr>
                <w:rFonts w:ascii="Times New Roman" w:hAnsi="Times New Roman"/>
                <w:sz w:val="20"/>
                <w:szCs w:val="20"/>
              </w:rPr>
            </w:pPr>
          </w:p>
          <w:p w:rsidR="00290929" w:rsidRPr="00CC493B" w14:paraId="76ABDE09" w14:textId="77777777">
            <w:pPr>
              <w:jc w:val="center"/>
              <w:rPr>
                <w:rFonts w:ascii="Times New Roman" w:hAnsi="Times New Roman"/>
                <w:sz w:val="20"/>
                <w:szCs w:val="20"/>
              </w:rPr>
            </w:pPr>
            <w:r>
              <w:rPr>
                <w:rFonts w:ascii="Times New Roman" w:hAnsi="Times New Roman"/>
                <w:sz w:val="20"/>
                <w:szCs w:val="20"/>
              </w:rPr>
              <w:t>384,107</w:t>
            </w:r>
          </w:p>
        </w:tc>
        <w:tc>
          <w:tcPr>
            <w:tcW w:w="790" w:type="pct"/>
            <w:shd w:val="clear" w:color="auto" w:fill="DEEAF6"/>
            <w:vAlign w:val="center"/>
          </w:tcPr>
          <w:p w:rsidR="00290929" w:rsidRPr="00CC493B" w14:paraId="3A71FA01" w14:textId="77777777">
            <w:pPr>
              <w:jc w:val="center"/>
              <w:rPr>
                <w:rFonts w:ascii="Times New Roman" w:hAnsi="Times New Roman"/>
                <w:sz w:val="20"/>
                <w:szCs w:val="20"/>
              </w:rPr>
            </w:pPr>
          </w:p>
          <w:p w:rsidR="00290929" w:rsidRPr="00CC493B" w14:paraId="4190C038" w14:textId="77777777">
            <w:pPr>
              <w:jc w:val="center"/>
              <w:rPr>
                <w:rFonts w:ascii="Times New Roman" w:hAnsi="Times New Roman"/>
                <w:sz w:val="20"/>
                <w:szCs w:val="20"/>
              </w:rPr>
            </w:pPr>
            <w:r>
              <w:rPr>
                <w:rFonts w:ascii="Times New Roman" w:hAnsi="Times New Roman"/>
                <w:sz w:val="20"/>
                <w:szCs w:val="20"/>
              </w:rPr>
              <w:t>0</w:t>
            </w:r>
          </w:p>
        </w:tc>
        <w:tc>
          <w:tcPr>
            <w:tcW w:w="626" w:type="pct"/>
            <w:shd w:val="clear" w:color="auto" w:fill="DEEAF6"/>
            <w:vAlign w:val="center"/>
          </w:tcPr>
          <w:p w:rsidR="00290929" w:rsidRPr="00CC493B" w14:paraId="692B0599" w14:textId="77777777">
            <w:pPr>
              <w:jc w:val="center"/>
              <w:rPr>
                <w:rFonts w:ascii="Times New Roman" w:hAnsi="Times New Roman"/>
                <w:sz w:val="20"/>
                <w:szCs w:val="20"/>
              </w:rPr>
            </w:pPr>
          </w:p>
          <w:p w:rsidR="00290929" w:rsidRPr="00CC493B" w14:paraId="3282B5F2" w14:textId="77777777">
            <w:pPr>
              <w:jc w:val="center"/>
              <w:rPr>
                <w:rFonts w:ascii="Times New Roman" w:hAnsi="Times New Roman"/>
                <w:sz w:val="20"/>
                <w:szCs w:val="20"/>
              </w:rPr>
            </w:pPr>
            <w:r w:rsidRPr="000316E3">
              <w:rPr>
                <w:rFonts w:ascii="Times New Roman" w:hAnsi="Times New Roman"/>
                <w:sz w:val="20"/>
                <w:szCs w:val="20"/>
              </w:rPr>
              <w:t>$12,279,901</w:t>
            </w:r>
          </w:p>
        </w:tc>
        <w:tc>
          <w:tcPr>
            <w:tcW w:w="654" w:type="pct"/>
            <w:shd w:val="clear" w:color="auto" w:fill="DEEAF6"/>
            <w:vAlign w:val="center"/>
          </w:tcPr>
          <w:p w:rsidR="00290929" w:rsidRPr="00CC493B" w14:paraId="5B8AC5F3" w14:textId="77777777">
            <w:pPr>
              <w:jc w:val="center"/>
              <w:rPr>
                <w:rFonts w:ascii="Times New Roman" w:hAnsi="Times New Roman"/>
                <w:sz w:val="20"/>
                <w:szCs w:val="20"/>
              </w:rPr>
            </w:pPr>
          </w:p>
          <w:p w:rsidR="00290929" w:rsidRPr="00CC493B" w14:paraId="75D8EE97" w14:textId="77777777">
            <w:pPr>
              <w:jc w:val="center"/>
              <w:rPr>
                <w:rFonts w:ascii="Times New Roman" w:hAnsi="Times New Roman"/>
                <w:sz w:val="20"/>
                <w:szCs w:val="20"/>
              </w:rPr>
            </w:pPr>
            <w:r w:rsidRPr="00CC493B">
              <w:rPr>
                <w:rFonts w:ascii="Times New Roman" w:hAnsi="Times New Roman"/>
                <w:sz w:val="20"/>
                <w:szCs w:val="20"/>
              </w:rPr>
              <w:t>1,440,400</w:t>
            </w:r>
          </w:p>
        </w:tc>
        <w:tc>
          <w:tcPr>
            <w:tcW w:w="913" w:type="pct"/>
            <w:shd w:val="clear" w:color="auto" w:fill="DEEAF6"/>
            <w:vAlign w:val="center"/>
          </w:tcPr>
          <w:p w:rsidR="00290929" w:rsidRPr="00CC493B" w14:paraId="1E46059A" w14:textId="77777777">
            <w:pPr>
              <w:jc w:val="center"/>
              <w:rPr>
                <w:rFonts w:ascii="Times New Roman" w:hAnsi="Times New Roman"/>
                <w:sz w:val="20"/>
                <w:szCs w:val="20"/>
              </w:rPr>
            </w:pPr>
            <w:r>
              <w:rPr>
                <w:rFonts w:ascii="Times New Roman" w:hAnsi="Times New Roman"/>
                <w:sz w:val="20"/>
                <w:szCs w:val="20"/>
              </w:rPr>
              <w:t>No Change.</w:t>
            </w:r>
          </w:p>
        </w:tc>
      </w:tr>
      <w:tr w14:paraId="002A0A0C" w14:textId="77777777" w:rsidTr="0067372A">
        <w:tblPrEx>
          <w:tblW w:w="5195" w:type="pct"/>
          <w:jc w:val="center"/>
          <w:tblLook w:val="01E0"/>
        </w:tblPrEx>
        <w:trPr>
          <w:jc w:val="center"/>
        </w:trPr>
        <w:tc>
          <w:tcPr>
            <w:tcW w:w="815" w:type="pct"/>
            <w:shd w:val="clear" w:color="auto" w:fill="DEEAF6"/>
          </w:tcPr>
          <w:p w:rsidR="00290929" w:rsidRPr="00CC493B" w14:paraId="7B0319DD" w14:textId="77777777">
            <w:pPr>
              <w:jc w:val="center"/>
              <w:rPr>
                <w:rFonts w:ascii="Times New Roman" w:hAnsi="Times New Roman"/>
                <w:b/>
              </w:rPr>
            </w:pPr>
            <w:r w:rsidRPr="00CC493B">
              <w:rPr>
                <w:rFonts w:ascii="Times New Roman" w:hAnsi="Times New Roman"/>
                <w:b/>
              </w:rPr>
              <w:t>TOTALS</w:t>
            </w:r>
          </w:p>
        </w:tc>
        <w:tc>
          <w:tcPr>
            <w:tcW w:w="543" w:type="pct"/>
            <w:shd w:val="clear" w:color="auto" w:fill="DEEAF6"/>
          </w:tcPr>
          <w:p w:rsidR="00290929" w:rsidRPr="00CC493B" w14:paraId="41043B94" w14:textId="77777777">
            <w:pPr>
              <w:jc w:val="center"/>
              <w:rPr>
                <w:rFonts w:ascii="Times New Roman" w:hAnsi="Times New Roman"/>
                <w:b/>
                <w:sz w:val="20"/>
                <w:szCs w:val="20"/>
              </w:rPr>
            </w:pPr>
            <w:r>
              <w:rPr>
                <w:rFonts w:ascii="Times New Roman" w:hAnsi="Times New Roman"/>
                <w:b/>
                <w:sz w:val="20"/>
                <w:szCs w:val="20"/>
              </w:rPr>
              <w:t>384,107</w:t>
            </w:r>
          </w:p>
        </w:tc>
        <w:tc>
          <w:tcPr>
            <w:tcW w:w="660" w:type="pct"/>
            <w:shd w:val="clear" w:color="auto" w:fill="DEEAF6"/>
          </w:tcPr>
          <w:p w:rsidR="00290929" w:rsidRPr="00CC493B" w14:paraId="5A6E8630" w14:textId="77777777">
            <w:pPr>
              <w:jc w:val="center"/>
              <w:rPr>
                <w:rFonts w:ascii="Times New Roman" w:hAnsi="Times New Roman"/>
                <w:b/>
                <w:sz w:val="20"/>
                <w:szCs w:val="20"/>
              </w:rPr>
            </w:pPr>
            <w:r>
              <w:rPr>
                <w:rFonts w:ascii="Times New Roman" w:hAnsi="Times New Roman"/>
                <w:b/>
                <w:sz w:val="20"/>
                <w:szCs w:val="20"/>
              </w:rPr>
              <w:t>384,107</w:t>
            </w:r>
          </w:p>
        </w:tc>
        <w:tc>
          <w:tcPr>
            <w:tcW w:w="790" w:type="pct"/>
            <w:shd w:val="clear" w:color="auto" w:fill="DEEAF6"/>
          </w:tcPr>
          <w:p w:rsidR="00290929" w:rsidRPr="00CC493B" w14:paraId="5D1ECF14" w14:textId="77777777">
            <w:pPr>
              <w:jc w:val="center"/>
              <w:rPr>
                <w:rFonts w:ascii="Times New Roman" w:hAnsi="Times New Roman"/>
                <w:b/>
                <w:sz w:val="20"/>
                <w:szCs w:val="20"/>
              </w:rPr>
            </w:pPr>
            <w:r>
              <w:rPr>
                <w:rFonts w:ascii="Times New Roman" w:hAnsi="Times New Roman"/>
                <w:b/>
                <w:sz w:val="20"/>
                <w:szCs w:val="20"/>
              </w:rPr>
              <w:t>0</w:t>
            </w:r>
          </w:p>
        </w:tc>
        <w:tc>
          <w:tcPr>
            <w:tcW w:w="626" w:type="pct"/>
            <w:shd w:val="clear" w:color="auto" w:fill="DEEAF6"/>
          </w:tcPr>
          <w:p w:rsidR="00290929" w:rsidRPr="00CC493B" w14:paraId="01FB24D6" w14:textId="77777777">
            <w:pPr>
              <w:jc w:val="center"/>
              <w:rPr>
                <w:rFonts w:ascii="Times New Roman" w:hAnsi="Times New Roman"/>
                <w:b/>
                <w:sz w:val="20"/>
                <w:szCs w:val="20"/>
              </w:rPr>
            </w:pPr>
            <w:r w:rsidRPr="000316E3">
              <w:rPr>
                <w:rFonts w:ascii="Times New Roman" w:hAnsi="Times New Roman"/>
                <w:b/>
                <w:sz w:val="20"/>
                <w:szCs w:val="20"/>
              </w:rPr>
              <w:t>$12,279,901</w:t>
            </w:r>
          </w:p>
        </w:tc>
        <w:tc>
          <w:tcPr>
            <w:tcW w:w="654" w:type="pct"/>
            <w:shd w:val="clear" w:color="auto" w:fill="DEEAF6"/>
          </w:tcPr>
          <w:p w:rsidR="00290929" w:rsidRPr="00CC493B" w14:paraId="1AC0CECE" w14:textId="77777777">
            <w:pPr>
              <w:jc w:val="center"/>
              <w:rPr>
                <w:rFonts w:ascii="Times New Roman" w:hAnsi="Times New Roman"/>
                <w:b/>
                <w:sz w:val="20"/>
                <w:szCs w:val="20"/>
              </w:rPr>
            </w:pPr>
            <w:r>
              <w:rPr>
                <w:rFonts w:ascii="Times New Roman" w:hAnsi="Times New Roman"/>
                <w:b/>
                <w:sz w:val="20"/>
                <w:szCs w:val="20"/>
              </w:rPr>
              <w:t>1,440,400</w:t>
            </w:r>
          </w:p>
        </w:tc>
        <w:tc>
          <w:tcPr>
            <w:tcW w:w="913" w:type="pct"/>
            <w:shd w:val="clear" w:color="auto" w:fill="DEEAF6"/>
          </w:tcPr>
          <w:p w:rsidR="00290929" w14:paraId="71CA7CFE" w14:textId="77777777">
            <w:pPr>
              <w:jc w:val="center"/>
              <w:rPr>
                <w:rFonts w:ascii="Times New Roman" w:hAnsi="Times New Roman"/>
                <w:b/>
                <w:sz w:val="20"/>
                <w:szCs w:val="20"/>
              </w:rPr>
            </w:pPr>
          </w:p>
        </w:tc>
      </w:tr>
    </w:tbl>
    <w:p w:rsidR="00290929" w:rsidP="00862F52" w14:paraId="4C9371B8"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10B87" w:rsidP="002A302D" w14:paraId="28B49888" w14:textId="77777777">
      <w:pPr>
        <w:jc w:val="center"/>
        <w:rPr>
          <w:rFonts w:ascii="Times New Roman" w:hAnsi="Times New Roman"/>
          <w:b/>
        </w:rPr>
      </w:pPr>
    </w:p>
    <w:p w:rsidR="008C6ABE" w:rsidRPr="008C6ABE" w14:paraId="7E02C18A" w14:textId="1B249681">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 xml:space="preserve">16.  For collections of information whose results will be </w:t>
      </w:r>
      <w:r w:rsidRPr="004932B3">
        <w:rPr>
          <w:rFonts w:ascii="Times New Roman" w:hAnsi="Times New Roman"/>
          <w:b/>
          <w:bCs/>
        </w:rPr>
        <w:t>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D851BC" w:rsidRPr="004932B3" w14:paraId="3B23FEC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851BC" w14:paraId="6EF2F981"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will not publish the information collected under the Standard.</w:t>
      </w:r>
    </w:p>
    <w:p w:rsidR="00D851BC" w14:paraId="7A5AAD71"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D851BC" w:rsidRPr="004932B3" w14:paraId="03BCB154"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 xml:space="preserve">17.  If seeking approval to not display the expiration date for OMB approval of the information collection, explain the reasons that display would be </w:t>
      </w:r>
      <w:r w:rsidR="00FD2B40">
        <w:rPr>
          <w:rFonts w:ascii="Times New Roman" w:hAnsi="Times New Roman"/>
          <w:b/>
          <w:bCs/>
        </w:rPr>
        <w:t>in</w:t>
      </w:r>
      <w:r w:rsidRPr="004932B3">
        <w:rPr>
          <w:rFonts w:ascii="Times New Roman" w:hAnsi="Times New Roman"/>
          <w:b/>
          <w:bCs/>
        </w:rPr>
        <w:t>appropriate.</w:t>
      </w:r>
    </w:p>
    <w:p w:rsidR="00D851BC" w14:paraId="78EB9EE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6F3301" w:rsidRPr="008C5C7C" w:rsidP="006F3301" w14:paraId="023D123E" w14:textId="77777777">
      <w:pPr>
        <w:pStyle w:val="PlainText"/>
        <w:rPr>
          <w:rFonts w:ascii="Times New Roman" w:hAnsi="Times New Roman"/>
          <w:sz w:val="24"/>
          <w:szCs w:val="24"/>
        </w:rPr>
      </w:pPr>
      <w:r w:rsidRPr="008C5C7C">
        <w:rPr>
          <w:rFonts w:ascii="Times New Roman" w:hAnsi="Times New Roman"/>
          <w:sz w:val="24"/>
          <w:szCs w:val="24"/>
        </w:rPr>
        <w:t xml:space="preserve">OSHA lists current valid control numbers in §§1910.8, 1915.8, 1917.4, 1918.4, and 1926.5 and publishes the expiration date in the Federal Register notice announcing </w:t>
      </w:r>
      <w:r>
        <w:rPr>
          <w:rFonts w:ascii="Times New Roman" w:hAnsi="Times New Roman"/>
          <w:sz w:val="24"/>
          <w:szCs w:val="24"/>
        </w:rPr>
        <w:t xml:space="preserve">OMB approval of the information </w:t>
      </w:r>
      <w:r w:rsidRPr="008C5C7C">
        <w:rPr>
          <w:rFonts w:ascii="Times New Roman" w:hAnsi="Times New Roman"/>
          <w:sz w:val="24"/>
          <w:szCs w:val="24"/>
        </w:rPr>
        <w:t>collection requir</w:t>
      </w:r>
      <w:r>
        <w:rPr>
          <w:rFonts w:ascii="Times New Roman" w:hAnsi="Times New Roman"/>
          <w:sz w:val="24"/>
          <w:szCs w:val="24"/>
        </w:rPr>
        <w:t>ement. (See 5 CFR 1320.3(f)(3)).</w:t>
      </w:r>
      <w:r w:rsidRPr="008C5C7C">
        <w:rPr>
          <w:rFonts w:ascii="Times New Roman" w:hAnsi="Times New Roman"/>
          <w:sz w:val="24"/>
          <w:szCs w:val="24"/>
        </w:rPr>
        <w:t xml:space="preserve"> OSHA believes that this is the most appropriate and accurate mechanism to inform interested parties of these expiration dates.</w:t>
      </w:r>
    </w:p>
    <w:p w:rsidR="006F3301" w14:paraId="7BF178B6"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D851BC" w:rsidRPr="004932B3" w14:paraId="79B0D40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18.  Explain each exception to the certification statement</w:t>
      </w:r>
      <w:r w:rsidRPr="004932B3" w:rsidR="008C67F3">
        <w:rPr>
          <w:rFonts w:ascii="Times New Roman" w:hAnsi="Times New Roman"/>
          <w:b/>
          <w:bCs/>
        </w:rPr>
        <w:t>.</w:t>
      </w:r>
    </w:p>
    <w:p w:rsidR="00D851BC" w14:paraId="0FC40A42"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54158F" w:rsidP="00B23A21" w14:paraId="6ECA527A"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is not seeking an exception to the </w:t>
      </w:r>
      <w:r>
        <w:rPr>
          <w:rFonts w:ascii="Times New Roman" w:hAnsi="Times New Roman"/>
        </w:rPr>
        <w:t>certification statement</w:t>
      </w:r>
      <w:r w:rsidR="008C67F3">
        <w:rPr>
          <w:rFonts w:ascii="Times New Roman" w:hAnsi="Times New Roman"/>
        </w:rPr>
        <w:t>.</w:t>
      </w:r>
    </w:p>
    <w:p w:rsidR="0054158F" w:rsidP="00B23A21" w14:paraId="62CAFD9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85B3E" w:rsidRPr="009A6656" w:rsidP="00885B3E" w14:paraId="20707470" w14:textId="77777777">
      <w:pPr>
        <w:outlineLvl w:val="0"/>
        <w:rPr>
          <w:rFonts w:ascii="Times New Roman" w:hAnsi="Times New Roman"/>
          <w:b/>
        </w:rPr>
      </w:pPr>
      <w:r w:rsidRPr="009A6656">
        <w:rPr>
          <w:rFonts w:ascii="Times New Roman" w:hAnsi="Times New Roman"/>
          <w:b/>
        </w:rPr>
        <w:t>B. COLLECTION OF INFORMATION EMPLOYING STATISTICAL METHODS</w:t>
      </w:r>
    </w:p>
    <w:p w:rsidR="00885B3E" w:rsidRPr="009A6656" w:rsidP="00885B3E" w14:paraId="152F9E98" w14:textId="77777777">
      <w:pPr>
        <w:rPr>
          <w:rFonts w:ascii="Times New Roman" w:hAnsi="Times New Roman"/>
          <w:b/>
        </w:rPr>
      </w:pPr>
    </w:p>
    <w:p w:rsidR="00006396" w:rsidP="00885B3E" w14:paraId="5EE3DFA5" w14:textId="77777777">
      <w:pPr>
        <w:rPr>
          <w:rFonts w:ascii="Times New Roman" w:hAnsi="Times New Roman"/>
        </w:rPr>
      </w:pPr>
      <w:r w:rsidRPr="009A6656">
        <w:rPr>
          <w:rFonts w:ascii="Times New Roman" w:hAnsi="Times New Roman"/>
        </w:rPr>
        <w:t>The supporting statement does not contain any collection of information requirements that employ statistical methods.</w:t>
      </w:r>
    </w:p>
    <w:p w:rsidR="00D93F3B" w:rsidP="004932B3" w14:paraId="2A97982A" w14:textId="77777777">
      <w:pPr>
        <w:rPr>
          <w:rFonts w:ascii="Times New Roman" w:hAnsi="Times New Roman"/>
          <w:b/>
        </w:rPr>
      </w:pPr>
    </w:p>
    <w:p w:rsidR="00885B3E" w14:paraId="7D3F40C7" w14:textId="77777777">
      <w:pPr>
        <w:jc w:val="center"/>
        <w:rPr>
          <w:rFonts w:ascii="Times New Roman" w:hAnsi="Times New Roman"/>
          <w:sz w:val="20"/>
          <w:szCs w:val="20"/>
        </w:rPr>
      </w:pPr>
    </w:p>
    <w:sectPr w:rsidSect="008E593A">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F3B" w:rsidRPr="004932B3" w14:paraId="43DA2449" w14:textId="741A1241">
    <w:pPr>
      <w:pStyle w:val="Footer"/>
      <w:jc w:val="center"/>
      <w:rPr>
        <w:rFonts w:ascii="Times New Roman" w:hAnsi="Times New Roman"/>
      </w:rPr>
    </w:pPr>
    <w:r w:rsidRPr="004932B3">
      <w:rPr>
        <w:rFonts w:ascii="Times New Roman" w:hAnsi="Times New Roman"/>
      </w:rPr>
      <w:fldChar w:fldCharType="begin"/>
    </w:r>
    <w:r w:rsidRPr="004932B3">
      <w:rPr>
        <w:rFonts w:ascii="Times New Roman" w:hAnsi="Times New Roman"/>
      </w:rPr>
      <w:instrText xml:space="preserve"> PAGE   \* MERGEFORMAT </w:instrText>
    </w:r>
    <w:r w:rsidRPr="004932B3">
      <w:rPr>
        <w:rFonts w:ascii="Times New Roman" w:hAnsi="Times New Roman"/>
      </w:rPr>
      <w:fldChar w:fldCharType="separate"/>
    </w:r>
    <w:r w:rsidR="00C33169">
      <w:rPr>
        <w:rFonts w:ascii="Times New Roman" w:hAnsi="Times New Roman"/>
        <w:noProof/>
      </w:rPr>
      <w:t>9</w:t>
    </w:r>
    <w:r w:rsidRPr="004932B3">
      <w:rPr>
        <w:rFonts w:ascii="Times New Roman" w:hAnsi="Times New Roman"/>
        <w:noProof/>
      </w:rPr>
      <w:fldChar w:fldCharType="end"/>
    </w:r>
  </w:p>
  <w:p w:rsidR="0099320B" w14:paraId="48D20AF0" w14:textId="20C11C30"/>
  <w:p w:rsidR="0099320B" w14:paraId="5FD1540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B29" w:rsidRPr="004932B3" w:rsidP="004932B3" w14:paraId="2571758D" w14:textId="77777777">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6543" w14:paraId="089A0516" w14:textId="77777777">
      <w:r>
        <w:separator/>
      </w:r>
    </w:p>
  </w:footnote>
  <w:footnote w:type="continuationSeparator" w:id="1">
    <w:p w:rsidR="00876543" w14:paraId="041C1E1A" w14:textId="77777777">
      <w:r>
        <w:continuationSeparator/>
      </w:r>
    </w:p>
  </w:footnote>
  <w:footnote w:type="continuationNotice" w:id="2">
    <w:p w:rsidR="00876543" w14:paraId="45938ED0" w14:textId="77777777"/>
  </w:footnote>
  <w:footnote w:id="3">
    <w:p w:rsidR="00A36043" w14:paraId="425D7D56" w14:textId="77777777">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 xml:space="preserve">The purpose of this </w:t>
      </w:r>
      <w:r>
        <w:rPr>
          <w:rFonts w:ascii="Times New Roman" w:hAnsi="Times New Roman"/>
          <w:sz w:val="20"/>
          <w:szCs w:val="20"/>
        </w:rPr>
        <w:t>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4">
    <w:p w:rsidR="00B25D14" w:rsidRPr="004932B3" w14:paraId="17F691C6" w14:textId="5E05740F">
      <w:pPr>
        <w:pStyle w:val="FootnoteText"/>
        <w:rPr>
          <w:rFonts w:ascii="Times New Roman" w:hAnsi="Times New Roman"/>
        </w:rPr>
      </w:pPr>
      <w:r>
        <w:rPr>
          <w:rFonts w:ascii="Times New Roman" w:hAnsi="Times New Roman"/>
        </w:rPr>
        <w:tab/>
      </w:r>
      <w:r w:rsidRPr="004932B3">
        <w:rPr>
          <w:rStyle w:val="FootnoteReference"/>
          <w:rFonts w:ascii="Times New Roman" w:hAnsi="Times New Roman"/>
          <w:vertAlign w:val="superscript"/>
        </w:rPr>
        <w:footnoteRef/>
      </w:r>
      <w:r>
        <w:rPr>
          <w:rFonts w:ascii="Times New Roman" w:hAnsi="Times New Roman"/>
        </w:rPr>
        <w:t>The Paperwork Reduction Act regulations at 5 CFR 1320.3(b)(2) exempts “normal and customary” practices from the definition of “burden.”</w:t>
      </w:r>
    </w:p>
  </w:footnote>
  <w:footnote w:id="5">
    <w:p w:rsidR="0045756B" w:rsidP="00F61D73" w14:paraId="179E2316" w14:textId="0C7B55A9">
      <w:pPr>
        <w:ind w:firstLine="720"/>
        <w:rPr>
          <w:rFonts w:ascii="Times New Roman" w:hAnsi="Times New Roman"/>
        </w:rPr>
      </w:pPr>
      <w:r w:rsidRPr="004932B3">
        <w:rPr>
          <w:rStyle w:val="FootnoteReference"/>
          <w:rFonts w:ascii="Times New Roman" w:hAnsi="Times New Roman"/>
          <w:sz w:val="20"/>
          <w:szCs w:val="20"/>
          <w:vertAlign w:val="superscript"/>
        </w:rPr>
        <w:footnoteRef/>
      </w:r>
      <w:r w:rsidRPr="004932B3">
        <w:rPr>
          <w:rFonts w:ascii="Times New Roman" w:hAnsi="Times New Roman"/>
          <w:sz w:val="20"/>
          <w:szCs w:val="20"/>
          <w:vertAlign w:val="superscript"/>
        </w:rPr>
        <w:t xml:space="preserve"> </w:t>
      </w:r>
      <w:r w:rsidRPr="00F61D73" w:rsidR="001A4B0F">
        <w:rPr>
          <w:rFonts w:ascii="Times New Roman" w:hAnsi="Times New Roman"/>
          <w:sz w:val="20"/>
          <w:szCs w:val="20"/>
        </w:rPr>
        <w:t xml:space="preserve">OEWS </w:t>
      </w:r>
      <w:r>
        <w:rPr>
          <w:rFonts w:ascii="Times New Roman" w:hAnsi="Times New Roman"/>
          <w:sz w:val="20"/>
          <w:szCs w:val="20"/>
        </w:rPr>
        <w:t>data is available at</w:t>
      </w:r>
      <w:r w:rsidR="00062787">
        <w:rPr>
          <w:rFonts w:ascii="Times New Roman" w:hAnsi="Times New Roman"/>
          <w:sz w:val="20"/>
          <w:szCs w:val="20"/>
        </w:rPr>
        <w:t>:</w:t>
      </w:r>
      <w:r w:rsidR="001A4B0F">
        <w:rPr>
          <w:rFonts w:ascii="Times New Roman" w:hAnsi="Times New Roman"/>
          <w:sz w:val="20"/>
          <w:szCs w:val="20"/>
        </w:rPr>
        <w:t xml:space="preserve"> www.bls.gov/oes/current/oes</w:t>
      </w:r>
      <w:r w:rsidR="008C10AA">
        <w:rPr>
          <w:rFonts w:ascii="Times New Roman" w:hAnsi="Times New Roman"/>
          <w:sz w:val="20"/>
          <w:szCs w:val="20"/>
        </w:rPr>
        <w:t>_</w:t>
      </w:r>
      <w:r w:rsidR="001A4B0F">
        <w:rPr>
          <w:rFonts w:ascii="Times New Roman" w:hAnsi="Times New Roman"/>
          <w:sz w:val="20"/>
          <w:szCs w:val="20"/>
        </w:rPr>
        <w:t>nat.htm</w:t>
      </w:r>
      <w:r w:rsidR="008C10AA">
        <w:rPr>
          <w:rFonts w:ascii="Times New Roman" w:hAnsi="Times New Roman"/>
          <w:sz w:val="20"/>
          <w:szCs w:val="20"/>
        </w:rPr>
        <w:t>#51.000</w:t>
      </w:r>
      <w:r>
        <w:rPr>
          <w:rFonts w:ascii="Times New Roman" w:hAnsi="Times New Roman"/>
          <w:sz w:val="20"/>
          <w:szCs w:val="20"/>
        </w:rPr>
        <w:t xml:space="preserve">. </w:t>
      </w:r>
      <w:r w:rsidR="005813CD">
        <w:rPr>
          <w:rFonts w:ascii="Times New Roman" w:hAnsi="Times New Roman"/>
          <w:sz w:val="20"/>
          <w:szCs w:val="20"/>
        </w:rPr>
        <w:t xml:space="preserve">To access a wage rate, select the year “Occupational Profiles,” and the Standard Occupational Classification (SOC) Code. </w:t>
      </w:r>
    </w:p>
    <w:p w:rsidR="00B303C3" w:rsidRPr="004932B3" w:rsidP="004932B3" w14:paraId="28B4CA7A" w14:textId="77777777">
      <w:pPr>
        <w:rPr>
          <w:rFonts w:ascii="Times New Roman" w:hAnsi="Times New Roman"/>
        </w:rPr>
      </w:pPr>
      <w:r>
        <w:rPr>
          <w:rFonts w:ascii="Times New Roman" w:hAnsi="Times New Roman"/>
          <w:sz w:val="20"/>
          <w:szCs w:val="20"/>
        </w:rPr>
        <w:t xml:space="preserve"> </w:t>
      </w:r>
    </w:p>
  </w:footnote>
  <w:footnote w:id="6">
    <w:p w:rsidR="00574CD9" w:rsidP="00F61D73" w14:paraId="3AC868BC" w14:textId="105D5C22">
      <w:pPr>
        <w:pStyle w:val="FootnoteText"/>
        <w:ind w:firstLine="720"/>
        <w:rPr>
          <w:rFonts w:ascii="Times New Roman" w:hAnsi="Times New Roman"/>
          <w:sz w:val="18"/>
          <w:szCs w:val="18"/>
        </w:rPr>
      </w:pPr>
      <w:r w:rsidRPr="004932B3">
        <w:rPr>
          <w:rStyle w:val="FootnoteReference"/>
          <w:rFonts w:ascii="Times New Roman" w:hAnsi="Times New Roman"/>
          <w:sz w:val="18"/>
          <w:szCs w:val="18"/>
          <w:vertAlign w:val="superscript"/>
        </w:rPr>
        <w:footnoteRef/>
      </w:r>
      <w:r w:rsidRPr="004932B3">
        <w:rPr>
          <w:rFonts w:ascii="Times New Roman" w:hAnsi="Times New Roman"/>
          <w:sz w:val="18"/>
          <w:szCs w:val="18"/>
        </w:rPr>
        <w:t xml:space="preserve"> </w:t>
      </w:r>
      <w:r>
        <w:rPr>
          <w:rFonts w:ascii="Times New Roman" w:hAnsi="Times New Roman"/>
          <w:sz w:val="18"/>
          <w:szCs w:val="18"/>
        </w:rPr>
        <w:t>BLS fringe benefit data from Table 2 is available at</w:t>
      </w:r>
      <w:r w:rsidR="00062787">
        <w:rPr>
          <w:rFonts w:ascii="Times New Roman" w:hAnsi="Times New Roman"/>
          <w:sz w:val="18"/>
          <w:szCs w:val="18"/>
        </w:rPr>
        <w:t xml:space="preserve">: </w:t>
      </w:r>
      <w:r w:rsidRPr="004101B6" w:rsidR="004101B6">
        <w:rPr>
          <w:rFonts w:ascii="Times New Roman" w:hAnsi="Times New Roman"/>
          <w:sz w:val="18"/>
          <w:szCs w:val="18"/>
        </w:rPr>
        <w:t>https://www.bls.gov/news.release/archives/ecec_03182021.pdf</w:t>
      </w:r>
      <w:r>
        <w:rPr>
          <w:rFonts w:ascii="Times New Roman" w:hAnsi="Times New Roman"/>
          <w:sz w:val="18"/>
          <w:szCs w:val="18"/>
        </w:rPr>
        <w:t xml:space="preserve">. </w:t>
      </w:r>
    </w:p>
    <w:p w:rsidR="008C6ABE" w:rsidRPr="004932B3" w14:paraId="142D8490" w14:textId="77777777">
      <w:pPr>
        <w:pStyle w:val="FootnoteText"/>
        <w:rPr>
          <w:rFonts w:ascii="Times New Roman" w:hAnsi="Times New Roman"/>
          <w:sz w:val="18"/>
          <w:szCs w:val="18"/>
        </w:rPr>
      </w:pPr>
    </w:p>
  </w:footnote>
  <w:footnote w:id="7">
    <w:p w:rsidR="00A36043" w:rsidP="00744CA1" w14:paraId="3566D9E7" w14:textId="55259CE8">
      <w:pPr>
        <w:spacing w:after="72"/>
        <w:ind w:firstLine="720"/>
        <w:rPr>
          <w:rFonts w:ascii="Times New Roman" w:hAnsi="Times New Roman"/>
          <w:sz w:val="20"/>
          <w:szCs w:val="20"/>
        </w:rPr>
      </w:pPr>
      <w:r w:rsidRPr="0068680A">
        <w:rPr>
          <w:rStyle w:val="FootnoteReference"/>
          <w:rFonts w:ascii="Times New Roman" w:hAnsi="Times New Roman"/>
          <w:sz w:val="22"/>
          <w:szCs w:val="22"/>
          <w:vertAlign w:val="superscript"/>
        </w:rPr>
        <w:footnoteRef/>
      </w:r>
      <w:r>
        <w:rPr>
          <w:rFonts w:ascii="Times New Roman" w:hAnsi="Times New Roman"/>
          <w:sz w:val="20"/>
          <w:szCs w:val="20"/>
        </w:rPr>
        <w:t xml:space="preserve">The </w:t>
      </w:r>
      <w:r w:rsidR="00B17364">
        <w:rPr>
          <w:rFonts w:ascii="Times New Roman" w:hAnsi="Times New Roman"/>
          <w:sz w:val="20"/>
          <w:szCs w:val="20"/>
        </w:rPr>
        <w:t>a</w:t>
      </w:r>
      <w:r>
        <w:rPr>
          <w:rFonts w:ascii="Times New Roman" w:hAnsi="Times New Roman"/>
          <w:sz w:val="20"/>
          <w:szCs w:val="20"/>
        </w:rPr>
        <w:t>gency assumes that each forging machine has one guard or point-of-operation protection device, and that employers combine these inspections.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C78" w:rsidRPr="00C33C78" w:rsidP="00C33C78" w14:paraId="0AF01E31" w14:textId="77777777">
    <w:pPr>
      <w:pStyle w:val="Header"/>
      <w:rPr>
        <w:rFonts w:ascii="Times New Roman" w:hAnsi="Times New Roman"/>
        <w:b/>
        <w:bCs/>
        <w:sz w:val="20"/>
        <w:szCs w:val="20"/>
      </w:rPr>
    </w:pPr>
    <w:r w:rsidRPr="00C33C78">
      <w:rPr>
        <w:rFonts w:ascii="Times New Roman" w:hAnsi="Times New Roman"/>
        <w:b/>
        <w:bCs/>
        <w:sz w:val="20"/>
        <w:szCs w:val="20"/>
      </w:rPr>
      <w:t xml:space="preserve">Forging Machines Standard (29 </w:t>
    </w:r>
    <w:r w:rsidRPr="00C33C78">
      <w:rPr>
        <w:rFonts w:ascii="Times New Roman" w:hAnsi="Times New Roman"/>
        <w:b/>
        <w:bCs/>
        <w:sz w:val="20"/>
        <w:szCs w:val="20"/>
      </w:rPr>
      <w:t>CFR 1910.218)</w:t>
    </w:r>
  </w:p>
  <w:p w:rsidR="00C33C78" w:rsidRPr="00C33C78" w:rsidP="00C33C78" w14:paraId="38C2F7DF" w14:textId="77777777">
    <w:pPr>
      <w:pStyle w:val="Header"/>
      <w:rPr>
        <w:rFonts w:ascii="Times New Roman" w:hAnsi="Times New Roman"/>
        <w:b/>
        <w:bCs/>
        <w:sz w:val="20"/>
        <w:szCs w:val="20"/>
      </w:rPr>
    </w:pPr>
    <w:r w:rsidRPr="00C33C78">
      <w:rPr>
        <w:rFonts w:ascii="Times New Roman" w:hAnsi="Times New Roman"/>
        <w:b/>
        <w:bCs/>
        <w:sz w:val="20"/>
        <w:szCs w:val="20"/>
      </w:rPr>
      <w:t>OMB Control Number: 1218-0228</w:t>
    </w:r>
  </w:p>
  <w:p w:rsidR="00C33C78" w:rsidRPr="00C33C78" w:rsidP="00C33C78" w14:paraId="2AABF716" w14:textId="77777777">
    <w:pPr>
      <w:pStyle w:val="Header"/>
      <w:rPr>
        <w:rFonts w:ascii="Times New Roman" w:hAnsi="Times New Roman"/>
        <w:b/>
        <w:bCs/>
        <w:sz w:val="20"/>
        <w:szCs w:val="20"/>
      </w:rPr>
    </w:pPr>
    <w:r w:rsidRPr="00C33C78">
      <w:rPr>
        <w:rFonts w:ascii="Times New Roman" w:hAnsi="Times New Roman"/>
        <w:b/>
        <w:bCs/>
        <w:sz w:val="20"/>
        <w:szCs w:val="20"/>
      </w:rPr>
      <w:t>Expiration Date:  August 31, 2024</w:t>
    </w:r>
  </w:p>
  <w:p w:rsidR="00C33C78" w:rsidRPr="00F94CFB" w:rsidP="00737190" w14:paraId="485E02E7" w14:textId="12F8305A">
    <w:pPr>
      <w:pStyle w:val="Header"/>
      <w:rPr>
        <w:rFonts w:ascii="Times New Roman" w:hAnsi="Times New Roman"/>
        <w:b/>
        <w:bCs/>
        <w:sz w:val="20"/>
        <w:szCs w:val="20"/>
      </w:rPr>
    </w:pPr>
  </w:p>
  <w:p w:rsidR="0099320B" w14:paraId="09B2BB26" w14:textId="426BB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AA3" w14:paraId="740E2036" w14:textId="63965CAF">
    <w:pPr>
      <w:pStyle w:val="Header"/>
      <w:rPr>
        <w:rFonts w:ascii="Times New Roman" w:hAnsi="Times New Roman"/>
        <w:b/>
        <w:bCs/>
        <w:sz w:val="20"/>
        <w:szCs w:val="20"/>
      </w:rPr>
    </w:pPr>
    <w:bookmarkStart w:id="0" w:name="_Hlk169076889"/>
    <w:bookmarkStart w:id="1" w:name="_Hlk169076890"/>
    <w:r>
      <w:rPr>
        <w:rFonts w:ascii="Times New Roman" w:hAnsi="Times New Roman"/>
        <w:b/>
        <w:bCs/>
        <w:sz w:val="20"/>
        <w:szCs w:val="20"/>
      </w:rPr>
      <w:t>Forging Machines Standard (29 CFR 1910.218)</w:t>
    </w:r>
  </w:p>
  <w:p w:rsidR="004050E0" w14:paraId="7EF6525B" w14:textId="5287C94F">
    <w:pPr>
      <w:pStyle w:val="Header"/>
      <w:rPr>
        <w:rFonts w:ascii="Times New Roman" w:hAnsi="Times New Roman"/>
        <w:b/>
        <w:bCs/>
        <w:sz w:val="20"/>
        <w:szCs w:val="20"/>
      </w:rPr>
    </w:pPr>
    <w:r>
      <w:rPr>
        <w:rFonts w:ascii="Times New Roman" w:hAnsi="Times New Roman"/>
        <w:b/>
        <w:bCs/>
        <w:sz w:val="20"/>
        <w:szCs w:val="20"/>
      </w:rPr>
      <w:t>OMB Control Number</w:t>
    </w:r>
    <w:r w:rsidR="00957E71">
      <w:rPr>
        <w:rFonts w:ascii="Times New Roman" w:hAnsi="Times New Roman"/>
        <w:b/>
        <w:bCs/>
        <w:sz w:val="20"/>
        <w:szCs w:val="20"/>
      </w:rPr>
      <w:t xml:space="preserve">: </w:t>
    </w:r>
    <w:r>
      <w:rPr>
        <w:rFonts w:ascii="Times New Roman" w:hAnsi="Times New Roman"/>
        <w:b/>
        <w:bCs/>
        <w:sz w:val="20"/>
        <w:szCs w:val="20"/>
      </w:rPr>
      <w:t>1218-0228</w:t>
    </w:r>
  </w:p>
  <w:p w:rsidR="00EE0B3D" w14:paraId="3BCBF7A0" w14:textId="586F13E8">
    <w:pPr>
      <w:pStyle w:val="Header"/>
      <w:rPr>
        <w:rFonts w:ascii="Times New Roman" w:hAnsi="Times New Roman"/>
        <w:b/>
        <w:bCs/>
        <w:sz w:val="20"/>
        <w:szCs w:val="20"/>
      </w:rPr>
    </w:pPr>
    <w:r>
      <w:rPr>
        <w:rFonts w:ascii="Times New Roman" w:hAnsi="Times New Roman"/>
        <w:b/>
        <w:bCs/>
        <w:sz w:val="20"/>
        <w:szCs w:val="20"/>
      </w:rPr>
      <w:t xml:space="preserve">Expiration Date:  </w:t>
    </w:r>
    <w:r w:rsidR="00BC24C2">
      <w:rPr>
        <w:rFonts w:ascii="Times New Roman" w:hAnsi="Times New Roman"/>
        <w:b/>
        <w:bCs/>
        <w:sz w:val="20"/>
        <w:szCs w:val="20"/>
      </w:rPr>
      <w:t>August 31, 2024</w:t>
    </w:r>
  </w:p>
  <w:bookmarkEnd w:id="0"/>
  <w:bookmarkEnd w:id="1"/>
  <w:p w:rsidR="00C33C78" w:rsidRPr="00F61D73" w14:paraId="642CB8DD" w14:textId="77777777">
    <w:pPr>
      <w:pStyle w:val="Header"/>
      <w:rPr>
        <w:rFonts w:ascii="Times New Roman" w:hAnsi="Times New Roman"/>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874F02A"/>
    <w:lvl w:ilvl="0">
      <w:start w:va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00000A"/>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C"/>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3">
    <w:nsid w:val="0000000D"/>
    <w:multiLevelType w:val="multilevel"/>
    <w:tmpl w:val="00000000"/>
    <w:name w:val="AutoList2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4">
    <w:nsid w:val="0000000E"/>
    <w:multiLevelType w:val="multilevel"/>
    <w:tmpl w:val="00000000"/>
    <w:name w:val="AutoList25"/>
    <w:lvl w:ilvl="0">
      <w:start w:val="1"/>
      <w:numFmt w:val="decimal"/>
      <w:lvlText w:val="·"/>
      <w:lvlJc w:val="left"/>
    </w:lvl>
    <w:lvl w:ilvl="1">
      <w:start w:val="1"/>
      <w:numFmt w:val="decimal"/>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5">
    <w:nsid w:val="0E272302"/>
    <w:multiLevelType w:val="hybridMultilevel"/>
    <w:tmpl w:val="0E181468"/>
    <w:lvl w:ilvl="0">
      <w:start w:val="1"/>
      <w:numFmt w:val="upperRoman"/>
      <w:lvlText w:val="(%1)"/>
      <w:lvlJc w:val="left"/>
      <w:pPr>
        <w:ind w:left="1440" w:hanging="72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1085EF9"/>
    <w:multiLevelType w:val="hybridMultilevel"/>
    <w:tmpl w:val="8F2C0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754541"/>
    <w:multiLevelType w:val="hybridMultilevel"/>
    <w:tmpl w:val="A7A023C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740F52"/>
    <w:multiLevelType w:val="hybridMultilevel"/>
    <w:tmpl w:val="FDB25ED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6252227B"/>
    <w:multiLevelType w:val="hybridMultilevel"/>
    <w:tmpl w:val="E27EBF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0C38B8"/>
    <w:multiLevelType w:val="hybridMultilevel"/>
    <w:tmpl w:val="70B8CA9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FE5090"/>
    <w:multiLevelType w:val="hybridMultilevel"/>
    <w:tmpl w:val="B6765D2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969440850">
    <w:abstractNumId w:val="14"/>
    <w:lvlOverride w:ilvl="0">
      <w:startOverride w:val="1"/>
      <w:lvl w:ilvl="0">
        <w:start w:val="1"/>
        <w:numFmt w:val="decimal"/>
        <w:lvlText w:val="·"/>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26634809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453134806">
    <w:abstractNumId w:val="18"/>
  </w:num>
  <w:num w:numId="4" w16cid:durableId="1928880966">
    <w:abstractNumId w:val="21"/>
  </w:num>
  <w:num w:numId="5" w16cid:durableId="1641885639">
    <w:abstractNumId w:val="16"/>
  </w:num>
  <w:num w:numId="6" w16cid:durableId="1440296715">
    <w:abstractNumId w:val="19"/>
  </w:num>
  <w:num w:numId="7" w16cid:durableId="2633955">
    <w:abstractNumId w:val="15"/>
  </w:num>
  <w:num w:numId="8" w16cid:durableId="1174106255">
    <w:abstractNumId w:val="17"/>
  </w:num>
  <w:num w:numId="9" w16cid:durableId="3537762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BC"/>
    <w:rsid w:val="000000AC"/>
    <w:rsid w:val="0000554F"/>
    <w:rsid w:val="00005FAD"/>
    <w:rsid w:val="00006396"/>
    <w:rsid w:val="0001033C"/>
    <w:rsid w:val="00010A98"/>
    <w:rsid w:val="0001198B"/>
    <w:rsid w:val="00023770"/>
    <w:rsid w:val="00025B71"/>
    <w:rsid w:val="00031155"/>
    <w:rsid w:val="000316E3"/>
    <w:rsid w:val="0003777B"/>
    <w:rsid w:val="0005308D"/>
    <w:rsid w:val="00062787"/>
    <w:rsid w:val="00066D81"/>
    <w:rsid w:val="00076D61"/>
    <w:rsid w:val="00077BCA"/>
    <w:rsid w:val="0008672C"/>
    <w:rsid w:val="00092011"/>
    <w:rsid w:val="00092D8E"/>
    <w:rsid w:val="00097288"/>
    <w:rsid w:val="000A108A"/>
    <w:rsid w:val="000B53A1"/>
    <w:rsid w:val="000C4193"/>
    <w:rsid w:val="000E06F3"/>
    <w:rsid w:val="000F2B02"/>
    <w:rsid w:val="00101034"/>
    <w:rsid w:val="001034A2"/>
    <w:rsid w:val="00110B87"/>
    <w:rsid w:val="001127D7"/>
    <w:rsid w:val="00121C9C"/>
    <w:rsid w:val="00126547"/>
    <w:rsid w:val="001267C6"/>
    <w:rsid w:val="00126DAA"/>
    <w:rsid w:val="0013744E"/>
    <w:rsid w:val="0014522C"/>
    <w:rsid w:val="00154E17"/>
    <w:rsid w:val="001563A6"/>
    <w:rsid w:val="00160E39"/>
    <w:rsid w:val="0016352D"/>
    <w:rsid w:val="00163949"/>
    <w:rsid w:val="0016542C"/>
    <w:rsid w:val="00173463"/>
    <w:rsid w:val="001756DF"/>
    <w:rsid w:val="00182719"/>
    <w:rsid w:val="0018747A"/>
    <w:rsid w:val="0018755D"/>
    <w:rsid w:val="0019164F"/>
    <w:rsid w:val="001959BA"/>
    <w:rsid w:val="00196031"/>
    <w:rsid w:val="001A00C4"/>
    <w:rsid w:val="001A12A5"/>
    <w:rsid w:val="001A34C6"/>
    <w:rsid w:val="001A4B0F"/>
    <w:rsid w:val="001B59E2"/>
    <w:rsid w:val="001D5F80"/>
    <w:rsid w:val="001D6AA0"/>
    <w:rsid w:val="001D78B8"/>
    <w:rsid w:val="001E31FB"/>
    <w:rsid w:val="001F2C1C"/>
    <w:rsid w:val="001F45C3"/>
    <w:rsid w:val="001F5B59"/>
    <w:rsid w:val="002242FC"/>
    <w:rsid w:val="00227611"/>
    <w:rsid w:val="00232412"/>
    <w:rsid w:val="00234295"/>
    <w:rsid w:val="0023636B"/>
    <w:rsid w:val="00246E0E"/>
    <w:rsid w:val="00263555"/>
    <w:rsid w:val="00274CD9"/>
    <w:rsid w:val="00286673"/>
    <w:rsid w:val="00286DEE"/>
    <w:rsid w:val="00290929"/>
    <w:rsid w:val="0029474D"/>
    <w:rsid w:val="00295957"/>
    <w:rsid w:val="00297D15"/>
    <w:rsid w:val="002A302D"/>
    <w:rsid w:val="002B5EE3"/>
    <w:rsid w:val="002C2D90"/>
    <w:rsid w:val="002C30B2"/>
    <w:rsid w:val="002D0DA9"/>
    <w:rsid w:val="002D3140"/>
    <w:rsid w:val="002D4319"/>
    <w:rsid w:val="002E00DB"/>
    <w:rsid w:val="002E4621"/>
    <w:rsid w:val="002E514F"/>
    <w:rsid w:val="002F1B0E"/>
    <w:rsid w:val="002F2AAC"/>
    <w:rsid w:val="002F3F99"/>
    <w:rsid w:val="002F701B"/>
    <w:rsid w:val="0030211D"/>
    <w:rsid w:val="003116B1"/>
    <w:rsid w:val="00313B68"/>
    <w:rsid w:val="00317F4D"/>
    <w:rsid w:val="003261F6"/>
    <w:rsid w:val="00340873"/>
    <w:rsid w:val="00353181"/>
    <w:rsid w:val="00361D90"/>
    <w:rsid w:val="00362AF1"/>
    <w:rsid w:val="0036667F"/>
    <w:rsid w:val="00366C7E"/>
    <w:rsid w:val="00373891"/>
    <w:rsid w:val="00376841"/>
    <w:rsid w:val="0039624A"/>
    <w:rsid w:val="00397971"/>
    <w:rsid w:val="003A5DAD"/>
    <w:rsid w:val="003B2C16"/>
    <w:rsid w:val="003C0109"/>
    <w:rsid w:val="003D1233"/>
    <w:rsid w:val="003D5583"/>
    <w:rsid w:val="003D5C73"/>
    <w:rsid w:val="003E6463"/>
    <w:rsid w:val="003E7DA1"/>
    <w:rsid w:val="003F1E42"/>
    <w:rsid w:val="003F237A"/>
    <w:rsid w:val="003F73FF"/>
    <w:rsid w:val="003F743E"/>
    <w:rsid w:val="0040329F"/>
    <w:rsid w:val="004050E0"/>
    <w:rsid w:val="00407025"/>
    <w:rsid w:val="004101B6"/>
    <w:rsid w:val="00413485"/>
    <w:rsid w:val="0042119F"/>
    <w:rsid w:val="004257C7"/>
    <w:rsid w:val="004262FC"/>
    <w:rsid w:val="00431D6C"/>
    <w:rsid w:val="0043313C"/>
    <w:rsid w:val="00442CB2"/>
    <w:rsid w:val="0045756B"/>
    <w:rsid w:val="004603B9"/>
    <w:rsid w:val="00460DB6"/>
    <w:rsid w:val="00462105"/>
    <w:rsid w:val="0046304A"/>
    <w:rsid w:val="00463664"/>
    <w:rsid w:val="00467D6F"/>
    <w:rsid w:val="00471B34"/>
    <w:rsid w:val="00473C0A"/>
    <w:rsid w:val="00473FD9"/>
    <w:rsid w:val="004831E7"/>
    <w:rsid w:val="004932B3"/>
    <w:rsid w:val="0049534D"/>
    <w:rsid w:val="004A7368"/>
    <w:rsid w:val="004B3E43"/>
    <w:rsid w:val="004B7AC2"/>
    <w:rsid w:val="004D0AF0"/>
    <w:rsid w:val="004D3AD6"/>
    <w:rsid w:val="004E0192"/>
    <w:rsid w:val="004E09E2"/>
    <w:rsid w:val="004E3DFF"/>
    <w:rsid w:val="004E588D"/>
    <w:rsid w:val="004F194B"/>
    <w:rsid w:val="004F2A21"/>
    <w:rsid w:val="004F31B6"/>
    <w:rsid w:val="004F6A10"/>
    <w:rsid w:val="00500BD7"/>
    <w:rsid w:val="00500FD6"/>
    <w:rsid w:val="005134C5"/>
    <w:rsid w:val="00522F75"/>
    <w:rsid w:val="00525498"/>
    <w:rsid w:val="005308B4"/>
    <w:rsid w:val="005376B6"/>
    <w:rsid w:val="0054158F"/>
    <w:rsid w:val="00544F5D"/>
    <w:rsid w:val="005466B0"/>
    <w:rsid w:val="0054754A"/>
    <w:rsid w:val="0055230E"/>
    <w:rsid w:val="005551AB"/>
    <w:rsid w:val="00574CD9"/>
    <w:rsid w:val="00577658"/>
    <w:rsid w:val="005813CD"/>
    <w:rsid w:val="00582D1E"/>
    <w:rsid w:val="00590C6A"/>
    <w:rsid w:val="00592F7B"/>
    <w:rsid w:val="005962A3"/>
    <w:rsid w:val="005A00D2"/>
    <w:rsid w:val="005A013D"/>
    <w:rsid w:val="005A48D8"/>
    <w:rsid w:val="005A51CF"/>
    <w:rsid w:val="005B14F7"/>
    <w:rsid w:val="005B1A3E"/>
    <w:rsid w:val="005B32AA"/>
    <w:rsid w:val="005B6AA3"/>
    <w:rsid w:val="005B6F31"/>
    <w:rsid w:val="005C32B5"/>
    <w:rsid w:val="005D5CE8"/>
    <w:rsid w:val="005D60DF"/>
    <w:rsid w:val="005E1B3E"/>
    <w:rsid w:val="005E6258"/>
    <w:rsid w:val="00604493"/>
    <w:rsid w:val="00604706"/>
    <w:rsid w:val="00610865"/>
    <w:rsid w:val="00610923"/>
    <w:rsid w:val="006135D8"/>
    <w:rsid w:val="00620C6F"/>
    <w:rsid w:val="00620CB5"/>
    <w:rsid w:val="006213BC"/>
    <w:rsid w:val="00623C4E"/>
    <w:rsid w:val="006271F7"/>
    <w:rsid w:val="00631AB5"/>
    <w:rsid w:val="00632216"/>
    <w:rsid w:val="0063467A"/>
    <w:rsid w:val="00635B0F"/>
    <w:rsid w:val="00643102"/>
    <w:rsid w:val="00645315"/>
    <w:rsid w:val="00651A70"/>
    <w:rsid w:val="00652C01"/>
    <w:rsid w:val="00653A03"/>
    <w:rsid w:val="006715FA"/>
    <w:rsid w:val="006723C7"/>
    <w:rsid w:val="00672F52"/>
    <w:rsid w:val="0067372A"/>
    <w:rsid w:val="00673A3C"/>
    <w:rsid w:val="0068680A"/>
    <w:rsid w:val="00690AF8"/>
    <w:rsid w:val="00693414"/>
    <w:rsid w:val="0069723E"/>
    <w:rsid w:val="006A25F1"/>
    <w:rsid w:val="006A5FA1"/>
    <w:rsid w:val="006A78AE"/>
    <w:rsid w:val="006B0373"/>
    <w:rsid w:val="006B53C7"/>
    <w:rsid w:val="006B5648"/>
    <w:rsid w:val="006B5718"/>
    <w:rsid w:val="006C2ED1"/>
    <w:rsid w:val="006D1C5A"/>
    <w:rsid w:val="006D2E6D"/>
    <w:rsid w:val="006D6616"/>
    <w:rsid w:val="006F183F"/>
    <w:rsid w:val="006F3301"/>
    <w:rsid w:val="006F48BA"/>
    <w:rsid w:val="006F62AC"/>
    <w:rsid w:val="006F6F2C"/>
    <w:rsid w:val="00700F36"/>
    <w:rsid w:val="007039C6"/>
    <w:rsid w:val="00704E66"/>
    <w:rsid w:val="007050B1"/>
    <w:rsid w:val="00705B38"/>
    <w:rsid w:val="00713091"/>
    <w:rsid w:val="00717596"/>
    <w:rsid w:val="00721574"/>
    <w:rsid w:val="00723A19"/>
    <w:rsid w:val="007345C6"/>
    <w:rsid w:val="00737190"/>
    <w:rsid w:val="00741150"/>
    <w:rsid w:val="00744CA1"/>
    <w:rsid w:val="007461CE"/>
    <w:rsid w:val="007479FF"/>
    <w:rsid w:val="00747B0B"/>
    <w:rsid w:val="00751CB5"/>
    <w:rsid w:val="00752456"/>
    <w:rsid w:val="00753EA4"/>
    <w:rsid w:val="00756BCC"/>
    <w:rsid w:val="00756F9E"/>
    <w:rsid w:val="00757B40"/>
    <w:rsid w:val="0076053C"/>
    <w:rsid w:val="007621C9"/>
    <w:rsid w:val="00771938"/>
    <w:rsid w:val="00774DB2"/>
    <w:rsid w:val="007751E8"/>
    <w:rsid w:val="007B2762"/>
    <w:rsid w:val="007B350F"/>
    <w:rsid w:val="007B7D67"/>
    <w:rsid w:val="007C100A"/>
    <w:rsid w:val="007C6B29"/>
    <w:rsid w:val="007D328D"/>
    <w:rsid w:val="007D5D80"/>
    <w:rsid w:val="007D5DFD"/>
    <w:rsid w:val="007E1CD9"/>
    <w:rsid w:val="007E39C1"/>
    <w:rsid w:val="007E51DB"/>
    <w:rsid w:val="007E5250"/>
    <w:rsid w:val="007F3259"/>
    <w:rsid w:val="007F325E"/>
    <w:rsid w:val="007F6F32"/>
    <w:rsid w:val="0080284A"/>
    <w:rsid w:val="00802A90"/>
    <w:rsid w:val="008206A3"/>
    <w:rsid w:val="00822409"/>
    <w:rsid w:val="00824533"/>
    <w:rsid w:val="00833C63"/>
    <w:rsid w:val="00862F52"/>
    <w:rsid w:val="008756C3"/>
    <w:rsid w:val="00876543"/>
    <w:rsid w:val="00885B3E"/>
    <w:rsid w:val="00897ACB"/>
    <w:rsid w:val="008B2E52"/>
    <w:rsid w:val="008B3041"/>
    <w:rsid w:val="008B30CF"/>
    <w:rsid w:val="008B6EF3"/>
    <w:rsid w:val="008B712C"/>
    <w:rsid w:val="008C035A"/>
    <w:rsid w:val="008C1062"/>
    <w:rsid w:val="008C10AA"/>
    <w:rsid w:val="008C5C7C"/>
    <w:rsid w:val="008C67F3"/>
    <w:rsid w:val="008C6ABE"/>
    <w:rsid w:val="008D0C36"/>
    <w:rsid w:val="008D320F"/>
    <w:rsid w:val="008D3BE9"/>
    <w:rsid w:val="008D66AD"/>
    <w:rsid w:val="008D675D"/>
    <w:rsid w:val="008E3B0C"/>
    <w:rsid w:val="008E458D"/>
    <w:rsid w:val="008E593A"/>
    <w:rsid w:val="008F1EC1"/>
    <w:rsid w:val="00901F95"/>
    <w:rsid w:val="00902F60"/>
    <w:rsid w:val="00903E80"/>
    <w:rsid w:val="00911133"/>
    <w:rsid w:val="009164B7"/>
    <w:rsid w:val="009204E8"/>
    <w:rsid w:val="009247D6"/>
    <w:rsid w:val="00924CB5"/>
    <w:rsid w:val="009360AB"/>
    <w:rsid w:val="00936A7F"/>
    <w:rsid w:val="0093766E"/>
    <w:rsid w:val="00950490"/>
    <w:rsid w:val="00953BA7"/>
    <w:rsid w:val="00954620"/>
    <w:rsid w:val="009554CD"/>
    <w:rsid w:val="00956921"/>
    <w:rsid w:val="00957E71"/>
    <w:rsid w:val="00962376"/>
    <w:rsid w:val="0096654F"/>
    <w:rsid w:val="009679EA"/>
    <w:rsid w:val="00971BB0"/>
    <w:rsid w:val="0097745D"/>
    <w:rsid w:val="0098346B"/>
    <w:rsid w:val="009846D1"/>
    <w:rsid w:val="00984B94"/>
    <w:rsid w:val="00986A44"/>
    <w:rsid w:val="00986B0C"/>
    <w:rsid w:val="00992434"/>
    <w:rsid w:val="0099320B"/>
    <w:rsid w:val="00996E74"/>
    <w:rsid w:val="00997D03"/>
    <w:rsid w:val="009A48A6"/>
    <w:rsid w:val="009A5BEE"/>
    <w:rsid w:val="009A6656"/>
    <w:rsid w:val="009A7CDE"/>
    <w:rsid w:val="009B6652"/>
    <w:rsid w:val="009B7023"/>
    <w:rsid w:val="009C25D4"/>
    <w:rsid w:val="009D1C8D"/>
    <w:rsid w:val="009D2FF8"/>
    <w:rsid w:val="009D4570"/>
    <w:rsid w:val="009D4971"/>
    <w:rsid w:val="009E2581"/>
    <w:rsid w:val="009F7014"/>
    <w:rsid w:val="009F7C6D"/>
    <w:rsid w:val="00A03464"/>
    <w:rsid w:val="00A132DD"/>
    <w:rsid w:val="00A17FE3"/>
    <w:rsid w:val="00A24307"/>
    <w:rsid w:val="00A270F1"/>
    <w:rsid w:val="00A353B0"/>
    <w:rsid w:val="00A36043"/>
    <w:rsid w:val="00A37F0F"/>
    <w:rsid w:val="00A40F07"/>
    <w:rsid w:val="00A6606F"/>
    <w:rsid w:val="00A71CD2"/>
    <w:rsid w:val="00A903D8"/>
    <w:rsid w:val="00A955CD"/>
    <w:rsid w:val="00AA0214"/>
    <w:rsid w:val="00AB15D5"/>
    <w:rsid w:val="00AB5EC9"/>
    <w:rsid w:val="00AC61B2"/>
    <w:rsid w:val="00AC6DE1"/>
    <w:rsid w:val="00AC70CB"/>
    <w:rsid w:val="00AD29A8"/>
    <w:rsid w:val="00AD4634"/>
    <w:rsid w:val="00AE07E0"/>
    <w:rsid w:val="00AF323A"/>
    <w:rsid w:val="00B0319A"/>
    <w:rsid w:val="00B05B1A"/>
    <w:rsid w:val="00B1137C"/>
    <w:rsid w:val="00B17364"/>
    <w:rsid w:val="00B22E0E"/>
    <w:rsid w:val="00B233A3"/>
    <w:rsid w:val="00B23A21"/>
    <w:rsid w:val="00B25D14"/>
    <w:rsid w:val="00B303C3"/>
    <w:rsid w:val="00B30BA9"/>
    <w:rsid w:val="00B3171C"/>
    <w:rsid w:val="00B6009D"/>
    <w:rsid w:val="00B613FC"/>
    <w:rsid w:val="00B733E4"/>
    <w:rsid w:val="00B80016"/>
    <w:rsid w:val="00B8170F"/>
    <w:rsid w:val="00B83E5D"/>
    <w:rsid w:val="00B84A3B"/>
    <w:rsid w:val="00B86357"/>
    <w:rsid w:val="00B946C6"/>
    <w:rsid w:val="00BA4B1E"/>
    <w:rsid w:val="00BC1C23"/>
    <w:rsid w:val="00BC24C2"/>
    <w:rsid w:val="00BD7B5F"/>
    <w:rsid w:val="00BE162C"/>
    <w:rsid w:val="00BE5DC2"/>
    <w:rsid w:val="00BF237E"/>
    <w:rsid w:val="00C04B92"/>
    <w:rsid w:val="00C122C6"/>
    <w:rsid w:val="00C14C5B"/>
    <w:rsid w:val="00C33169"/>
    <w:rsid w:val="00C33C78"/>
    <w:rsid w:val="00C356E8"/>
    <w:rsid w:val="00C51B95"/>
    <w:rsid w:val="00C52BD2"/>
    <w:rsid w:val="00C550CD"/>
    <w:rsid w:val="00C56491"/>
    <w:rsid w:val="00C61FE0"/>
    <w:rsid w:val="00C64729"/>
    <w:rsid w:val="00C80886"/>
    <w:rsid w:val="00C81929"/>
    <w:rsid w:val="00C85149"/>
    <w:rsid w:val="00C93184"/>
    <w:rsid w:val="00CA5C24"/>
    <w:rsid w:val="00CA7472"/>
    <w:rsid w:val="00CC0112"/>
    <w:rsid w:val="00CC493B"/>
    <w:rsid w:val="00CC6691"/>
    <w:rsid w:val="00CC7B22"/>
    <w:rsid w:val="00CD1A43"/>
    <w:rsid w:val="00CD63E6"/>
    <w:rsid w:val="00CD779F"/>
    <w:rsid w:val="00CE1971"/>
    <w:rsid w:val="00CE6AAF"/>
    <w:rsid w:val="00CF459C"/>
    <w:rsid w:val="00D029EC"/>
    <w:rsid w:val="00D05FC5"/>
    <w:rsid w:val="00D20056"/>
    <w:rsid w:val="00D2207C"/>
    <w:rsid w:val="00D25079"/>
    <w:rsid w:val="00D31EC5"/>
    <w:rsid w:val="00D342A9"/>
    <w:rsid w:val="00D4138C"/>
    <w:rsid w:val="00D4732C"/>
    <w:rsid w:val="00D723B2"/>
    <w:rsid w:val="00D7568C"/>
    <w:rsid w:val="00D800E4"/>
    <w:rsid w:val="00D85135"/>
    <w:rsid w:val="00D851BC"/>
    <w:rsid w:val="00D910F0"/>
    <w:rsid w:val="00D93F3B"/>
    <w:rsid w:val="00DA0D49"/>
    <w:rsid w:val="00DA1354"/>
    <w:rsid w:val="00DA1511"/>
    <w:rsid w:val="00DA4090"/>
    <w:rsid w:val="00DA7983"/>
    <w:rsid w:val="00DC3C7F"/>
    <w:rsid w:val="00DC6DD8"/>
    <w:rsid w:val="00DD1FA1"/>
    <w:rsid w:val="00DE263F"/>
    <w:rsid w:val="00DF0C14"/>
    <w:rsid w:val="00DF18F7"/>
    <w:rsid w:val="00DF4A7E"/>
    <w:rsid w:val="00E04FE3"/>
    <w:rsid w:val="00E11204"/>
    <w:rsid w:val="00E14DBF"/>
    <w:rsid w:val="00E15945"/>
    <w:rsid w:val="00E2123F"/>
    <w:rsid w:val="00E3301D"/>
    <w:rsid w:val="00E351D0"/>
    <w:rsid w:val="00E35C7F"/>
    <w:rsid w:val="00E45B18"/>
    <w:rsid w:val="00E554F5"/>
    <w:rsid w:val="00E61C93"/>
    <w:rsid w:val="00E62A9D"/>
    <w:rsid w:val="00E6300E"/>
    <w:rsid w:val="00E65918"/>
    <w:rsid w:val="00E671FE"/>
    <w:rsid w:val="00E70FB8"/>
    <w:rsid w:val="00E74D50"/>
    <w:rsid w:val="00E80723"/>
    <w:rsid w:val="00E80B4A"/>
    <w:rsid w:val="00E80CD2"/>
    <w:rsid w:val="00E81FB9"/>
    <w:rsid w:val="00E95FFE"/>
    <w:rsid w:val="00E97C32"/>
    <w:rsid w:val="00E97FB0"/>
    <w:rsid w:val="00EA498F"/>
    <w:rsid w:val="00EA4C6C"/>
    <w:rsid w:val="00EA5E60"/>
    <w:rsid w:val="00EB0220"/>
    <w:rsid w:val="00EB48B8"/>
    <w:rsid w:val="00EB76AB"/>
    <w:rsid w:val="00EC0AF9"/>
    <w:rsid w:val="00EC24C8"/>
    <w:rsid w:val="00EC4D8E"/>
    <w:rsid w:val="00EC5423"/>
    <w:rsid w:val="00ED5ABE"/>
    <w:rsid w:val="00EE0B3D"/>
    <w:rsid w:val="00EE3528"/>
    <w:rsid w:val="00EE4A30"/>
    <w:rsid w:val="00EE5134"/>
    <w:rsid w:val="00F0398F"/>
    <w:rsid w:val="00F0732E"/>
    <w:rsid w:val="00F13AC8"/>
    <w:rsid w:val="00F13FC1"/>
    <w:rsid w:val="00F14FC4"/>
    <w:rsid w:val="00F15C04"/>
    <w:rsid w:val="00F24A3C"/>
    <w:rsid w:val="00F2529C"/>
    <w:rsid w:val="00F31069"/>
    <w:rsid w:val="00F40A07"/>
    <w:rsid w:val="00F4233E"/>
    <w:rsid w:val="00F449C9"/>
    <w:rsid w:val="00F613B4"/>
    <w:rsid w:val="00F615A9"/>
    <w:rsid w:val="00F61D73"/>
    <w:rsid w:val="00F65175"/>
    <w:rsid w:val="00F70B15"/>
    <w:rsid w:val="00F75682"/>
    <w:rsid w:val="00F81BF6"/>
    <w:rsid w:val="00F86536"/>
    <w:rsid w:val="00F91ADB"/>
    <w:rsid w:val="00F94CFB"/>
    <w:rsid w:val="00FA4CB2"/>
    <w:rsid w:val="00FA70E8"/>
    <w:rsid w:val="00FA717C"/>
    <w:rsid w:val="00FC0F26"/>
    <w:rsid w:val="00FC38C0"/>
    <w:rsid w:val="00FC3EB6"/>
    <w:rsid w:val="00FC4D22"/>
    <w:rsid w:val="00FC7263"/>
    <w:rsid w:val="00FD2B40"/>
    <w:rsid w:val="00FD6341"/>
    <w:rsid w:val="00FE2421"/>
    <w:rsid w:val="38712C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A18F035"/>
  <w15:chartTrackingRefBased/>
  <w15:docId w15:val="{03878261-F9E8-403F-A19F-0A65A2D3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092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270"/>
    </w:pPr>
  </w:style>
  <w:style w:type="paragraph" w:customStyle="1" w:styleId="Level2">
    <w:name w:val="Level 2"/>
    <w:basedOn w:val="Normal"/>
    <w:pPr>
      <w:numPr>
        <w:ilvl w:val="1"/>
        <w:numId w:val="1"/>
      </w:numPr>
      <w:ind w:left="720" w:hanging="180"/>
      <w:outlineLvl w:val="1"/>
    </w:pPr>
  </w:style>
  <w:style w:type="paragraph" w:styleId="PlainText">
    <w:name w:val="Plain Text"/>
    <w:basedOn w:val="Normal"/>
    <w:link w:val="PlainTextChar"/>
    <w:uiPriority w:val="99"/>
    <w:rsid w:val="007D328D"/>
    <w:pPr>
      <w:widowControl/>
      <w:autoSpaceDE/>
      <w:autoSpaceDN/>
      <w:adjustRightInd/>
    </w:pPr>
    <w:rPr>
      <w:rFonts w:ascii="Courier New" w:hAnsi="Courier New" w:cs="Courier New"/>
      <w:sz w:val="20"/>
      <w:szCs w:val="20"/>
    </w:rPr>
  </w:style>
  <w:style w:type="paragraph" w:styleId="Header">
    <w:name w:val="header"/>
    <w:basedOn w:val="Normal"/>
    <w:link w:val="HeaderChar"/>
    <w:uiPriority w:val="99"/>
    <w:rsid w:val="004603B9"/>
    <w:pPr>
      <w:tabs>
        <w:tab w:val="center" w:pos="4320"/>
        <w:tab w:val="right" w:pos="8640"/>
      </w:tabs>
    </w:pPr>
  </w:style>
  <w:style w:type="paragraph" w:styleId="Footer">
    <w:name w:val="footer"/>
    <w:basedOn w:val="Normal"/>
    <w:link w:val="FooterChar"/>
    <w:uiPriority w:val="99"/>
    <w:rsid w:val="004603B9"/>
    <w:pPr>
      <w:tabs>
        <w:tab w:val="center" w:pos="4320"/>
        <w:tab w:val="right" w:pos="8640"/>
      </w:tabs>
    </w:pPr>
  </w:style>
  <w:style w:type="character" w:styleId="PageNumber">
    <w:name w:val="page number"/>
    <w:basedOn w:val="DefaultParagraphFont"/>
    <w:rsid w:val="00E2123F"/>
  </w:style>
  <w:style w:type="table" w:styleId="TableGrid">
    <w:name w:val="Table Grid"/>
    <w:basedOn w:val="TableNormal"/>
    <w:rsid w:val="00862F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60DB6"/>
    <w:rPr>
      <w:sz w:val="20"/>
      <w:szCs w:val="20"/>
    </w:rPr>
  </w:style>
  <w:style w:type="character" w:customStyle="1" w:styleId="StyleFootnoteReferenceTimesNewRoman11ptBlack">
    <w:name w:val="Style Footnote Reference + Times New Roman 11 pt Black"/>
    <w:rsid w:val="00FE2421"/>
    <w:rPr>
      <w:rFonts w:ascii="Times New Roman" w:hAnsi="Times New Roman"/>
      <w:color w:val="000000"/>
      <w:sz w:val="22"/>
    </w:rPr>
  </w:style>
  <w:style w:type="character" w:styleId="Hyperlink">
    <w:name w:val="Hyperlink"/>
    <w:rsid w:val="00FE2421"/>
    <w:rPr>
      <w:color w:val="0000FF"/>
      <w:u w:val="single"/>
    </w:rPr>
  </w:style>
  <w:style w:type="paragraph" w:styleId="BalloonText">
    <w:name w:val="Balloon Text"/>
    <w:basedOn w:val="Normal"/>
    <w:semiHidden/>
    <w:rsid w:val="00B3171C"/>
    <w:rPr>
      <w:rFonts w:ascii="Tahoma" w:hAnsi="Tahoma" w:cs="Tahoma"/>
      <w:sz w:val="16"/>
      <w:szCs w:val="16"/>
    </w:rPr>
  </w:style>
  <w:style w:type="character" w:customStyle="1" w:styleId="PlainTextChar">
    <w:name w:val="Plain Text Char"/>
    <w:link w:val="PlainText"/>
    <w:uiPriority w:val="99"/>
    <w:rsid w:val="006F3301"/>
    <w:rPr>
      <w:rFonts w:ascii="Courier New" w:hAnsi="Courier New" w:cs="Courier New"/>
    </w:rPr>
  </w:style>
  <w:style w:type="character" w:styleId="CommentReference">
    <w:name w:val="annotation reference"/>
    <w:rsid w:val="00525498"/>
    <w:rPr>
      <w:sz w:val="16"/>
      <w:szCs w:val="16"/>
    </w:rPr>
  </w:style>
  <w:style w:type="paragraph" w:styleId="CommentText">
    <w:name w:val="annotation text"/>
    <w:basedOn w:val="Normal"/>
    <w:link w:val="CommentTextChar"/>
    <w:rsid w:val="00525498"/>
    <w:rPr>
      <w:sz w:val="20"/>
      <w:szCs w:val="20"/>
    </w:rPr>
  </w:style>
  <w:style w:type="character" w:customStyle="1" w:styleId="CommentTextChar">
    <w:name w:val="Comment Text Char"/>
    <w:link w:val="CommentText"/>
    <w:rsid w:val="00525498"/>
    <w:rPr>
      <w:rFonts w:ascii="Courier" w:hAnsi="Courier"/>
    </w:rPr>
  </w:style>
  <w:style w:type="paragraph" w:styleId="CommentSubject">
    <w:name w:val="annotation subject"/>
    <w:basedOn w:val="CommentText"/>
    <w:next w:val="CommentText"/>
    <w:link w:val="CommentSubjectChar"/>
    <w:rsid w:val="00525498"/>
    <w:rPr>
      <w:b/>
      <w:bCs/>
    </w:rPr>
  </w:style>
  <w:style w:type="character" w:customStyle="1" w:styleId="CommentSubjectChar">
    <w:name w:val="Comment Subject Char"/>
    <w:link w:val="CommentSubject"/>
    <w:rsid w:val="00525498"/>
    <w:rPr>
      <w:rFonts w:ascii="Courier" w:hAnsi="Courier"/>
      <w:b/>
      <w:bCs/>
    </w:rPr>
  </w:style>
  <w:style w:type="paragraph" w:styleId="Revision">
    <w:name w:val="Revision"/>
    <w:hidden/>
    <w:uiPriority w:val="99"/>
    <w:semiHidden/>
    <w:rsid w:val="002E514F"/>
    <w:rPr>
      <w:rFonts w:ascii="Courier" w:hAnsi="Courier"/>
      <w:sz w:val="24"/>
      <w:szCs w:val="24"/>
    </w:rPr>
  </w:style>
  <w:style w:type="character" w:customStyle="1" w:styleId="HeaderChar">
    <w:name w:val="Header Char"/>
    <w:link w:val="Header"/>
    <w:uiPriority w:val="99"/>
    <w:rsid w:val="007B7D67"/>
    <w:rPr>
      <w:rFonts w:ascii="Courier" w:hAnsi="Courier"/>
      <w:sz w:val="24"/>
      <w:szCs w:val="24"/>
    </w:rPr>
  </w:style>
  <w:style w:type="table" w:customStyle="1" w:styleId="TableGrid1">
    <w:name w:val="Table Grid1"/>
    <w:basedOn w:val="TableNormal"/>
    <w:next w:val="TableGrid"/>
    <w:uiPriority w:val="59"/>
    <w:rsid w:val="006934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B7023"/>
    <w:rPr>
      <w:color w:val="954F72"/>
      <w:u w:val="single"/>
    </w:rPr>
  </w:style>
  <w:style w:type="character" w:customStyle="1" w:styleId="FooterChar">
    <w:name w:val="Footer Char"/>
    <w:link w:val="Footer"/>
    <w:uiPriority w:val="99"/>
    <w:rsid w:val="00F75682"/>
    <w:rPr>
      <w:rFonts w:ascii="Courier" w:hAnsi="Courier"/>
      <w:sz w:val="24"/>
      <w:szCs w:val="24"/>
    </w:rPr>
  </w:style>
  <w:style w:type="paragraph" w:styleId="ListParagraph">
    <w:name w:val="List Paragraph"/>
    <w:basedOn w:val="Normal"/>
    <w:uiPriority w:val="34"/>
    <w:qFormat/>
    <w:rsid w:val="0042119F"/>
    <w:pPr>
      <w:ind w:left="720"/>
      <w:contextualSpacing/>
    </w:pPr>
  </w:style>
  <w:style w:type="character" w:styleId="UnresolvedMention">
    <w:name w:val="Unresolved Mention"/>
    <w:basedOn w:val="DefaultParagraphFont"/>
    <w:uiPriority w:val="99"/>
    <w:semiHidden/>
    <w:unhideWhenUsed/>
    <w:rsid w:val="001A4B0F"/>
    <w:rPr>
      <w:color w:val="605E5C"/>
      <w:shd w:val="clear" w:color="auto" w:fill="E1DFDD"/>
    </w:rPr>
  </w:style>
  <w:style w:type="paragraph" w:customStyle="1" w:styleId="Default">
    <w:name w:val="Default"/>
    <w:rsid w:val="00A2430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B4A14-2F83-47AC-A37B-9E7DED8AA41C}">
  <ds:schemaRefs>
    <ds:schemaRef ds:uri="http://schemas.openxmlformats.org/officeDocument/2006/bibliography"/>
  </ds:schemaRefs>
</ds:datastoreItem>
</file>

<file path=customXml/itemProps2.xml><?xml version="1.0" encoding="utf-8"?>
<ds:datastoreItem xmlns:ds="http://schemas.openxmlformats.org/officeDocument/2006/customXml" ds:itemID="{F7707BEA-E371-4011-8816-0D96DE44B48D}">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504158EB-731E-44EE-A83D-078096EC953B}">
  <ds:schemaRefs>
    <ds:schemaRef ds:uri="http://schemas.microsoft.com/sharepoint/v3/contenttype/forms"/>
  </ds:schemaRefs>
</ds:datastoreItem>
</file>

<file path=customXml/itemProps4.xml><?xml version="1.0" encoding="utf-8"?>
<ds:datastoreItem xmlns:ds="http://schemas.openxmlformats.org/officeDocument/2006/customXml" ds:itemID="{367B60FC-650F-4E38-8018-230F4F86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3211</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TKenney</dc:creator>
  <cp:lastModifiedBy>Perryman, Seleda M - OSHA</cp:lastModifiedBy>
  <cp:revision>2</cp:revision>
  <cp:lastPrinted>2024-02-20T19:40:00Z</cp:lastPrinted>
  <dcterms:created xsi:type="dcterms:W3CDTF">2024-07-31T00:26:00Z</dcterms:created>
  <dcterms:modified xsi:type="dcterms:W3CDTF">2024-07-31T00:26:00Z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