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2681" w:rsidRPr="00002681" w:rsidP="00002681" w14:paraId="617A73A2" w14:textId="77777777">
      <w:pPr>
        <w:shd w:val="clear" w:color="auto" w:fill="FFFFFF"/>
        <w:spacing w:after="0" w:line="240" w:lineRule="auto"/>
        <w:outlineLvl w:val="0"/>
        <w:rPr>
          <w:rFonts w:ascii="Roboto Slab" w:eastAsia="Times New Roman" w:hAnsi="Roboto Slab" w:cs="Open Sans"/>
          <w:b/>
          <w:bCs/>
          <w:color w:val="575757"/>
          <w:spacing w:val="30"/>
          <w:kern w:val="36"/>
          <w:sz w:val="39"/>
          <w:szCs w:val="39"/>
          <w:lang w:val="en"/>
        </w:rPr>
      </w:pPr>
      <w:r w:rsidRPr="00002681">
        <w:rPr>
          <w:rFonts w:ascii="Roboto Slab" w:eastAsia="Times New Roman" w:hAnsi="Roboto Slab" w:cs="Open Sans"/>
          <w:b/>
          <w:bCs/>
          <w:color w:val="575757"/>
          <w:spacing w:val="30"/>
          <w:kern w:val="36"/>
          <w:sz w:val="39"/>
          <w:szCs w:val="39"/>
          <w:lang w:val="en"/>
        </w:rPr>
        <w:t>Electronic Code of Federal Regulations</w:t>
      </w:r>
    </w:p>
    <w:p w:rsidR="00002681" w:rsidRPr="00002681" w:rsidP="00002681" w14:paraId="31B2FA59" w14:textId="77777777">
      <w:pPr>
        <w:shd w:val="clear" w:color="auto" w:fill="FFFFFF"/>
        <w:spacing w:line="240" w:lineRule="auto"/>
        <w:rPr>
          <w:rFonts w:ascii="Open Sans" w:eastAsia="Times New Roman" w:hAnsi="Open Sans" w:cs="Open Sans"/>
          <w:b/>
          <w:bCs/>
          <w:color w:val="000000"/>
          <w:sz w:val="23"/>
          <w:szCs w:val="23"/>
          <w:lang w:val="en"/>
        </w:rPr>
      </w:pPr>
    </w:p>
    <w:tbl>
      <w:tblPr>
        <w:tblW w:w="4500" w:type="pct"/>
        <w:tblCellSpacing w:w="15" w:type="dxa"/>
        <w:tblCellMar>
          <w:top w:w="15" w:type="dxa"/>
          <w:left w:w="15" w:type="dxa"/>
          <w:bottom w:w="15" w:type="dxa"/>
          <w:right w:w="15" w:type="dxa"/>
        </w:tblCellMar>
        <w:tblLook w:val="04A0"/>
      </w:tblPr>
      <w:tblGrid>
        <w:gridCol w:w="8424"/>
      </w:tblGrid>
      <w:tr w14:paraId="04E622A0" w14:textId="77777777" w:rsidTr="00002681">
        <w:tblPrEx>
          <w:tblW w:w="4500" w:type="pct"/>
          <w:tblCellSpacing w:w="15" w:type="dxa"/>
          <w:tblCellMar>
            <w:top w:w="15" w:type="dxa"/>
            <w:left w:w="15" w:type="dxa"/>
            <w:bottom w:w="15" w:type="dxa"/>
            <w:right w:w="15" w:type="dxa"/>
          </w:tblCellMar>
          <w:tblLook w:val="04A0"/>
        </w:tblPrEx>
        <w:trPr>
          <w:tblCellSpacing w:w="15" w:type="dxa"/>
        </w:trPr>
        <w:tc>
          <w:tcPr>
            <w:tcW w:w="0" w:type="auto"/>
            <w:hideMark/>
          </w:tcPr>
          <w:p w:rsidR="00002681" w:rsidRPr="00002681" w:rsidP="00002681" w14:paraId="3A3B02C5" w14:textId="18AE462F">
            <w:pPr>
              <w:spacing w:before="100" w:beforeAutospacing="1" w:after="100" w:afterAutospacing="1" w:line="240" w:lineRule="auto"/>
              <w:rPr>
                <w:rFonts w:ascii="Arial" w:eastAsia="Times New Roman" w:hAnsi="Arial" w:cs="Arial"/>
                <w:b/>
                <w:bCs/>
                <w:color w:val="575757"/>
                <w:spacing w:val="15"/>
                <w:sz w:val="27"/>
                <w:szCs w:val="27"/>
              </w:rPr>
            </w:pPr>
            <w:r w:rsidRPr="00002681">
              <w:rPr>
                <w:rFonts w:ascii="Arial" w:eastAsia="Times New Roman" w:hAnsi="Arial" w:cs="Arial"/>
                <w:b/>
                <w:bCs/>
                <w:color w:val="575757"/>
                <w:spacing w:val="15"/>
                <w:sz w:val="27"/>
                <w:szCs w:val="27"/>
              </w:rPr>
              <w:t xml:space="preserve">e-CFR data is current as of </w:t>
            </w:r>
            <w:r w:rsidR="00103DFF">
              <w:rPr>
                <w:rFonts w:ascii="Arial" w:eastAsia="Times New Roman" w:hAnsi="Arial" w:cs="Arial"/>
                <w:b/>
                <w:bCs/>
                <w:color w:val="575757"/>
                <w:spacing w:val="15"/>
                <w:sz w:val="27"/>
                <w:szCs w:val="27"/>
              </w:rPr>
              <w:t>May 21, 2024</w:t>
            </w:r>
          </w:p>
        </w:tc>
      </w:tr>
    </w:tbl>
    <w:p w:rsidR="00002681" w:rsidRPr="00002681" w:rsidP="00002681" w14:paraId="0BCB0C8D" w14:textId="77777777">
      <w:pPr>
        <w:shd w:val="clear" w:color="auto" w:fill="FFFFFF"/>
        <w:spacing w:before="200" w:after="100" w:afterAutospacing="1" w:line="240" w:lineRule="auto"/>
        <w:rPr>
          <w:rFonts w:ascii="Open Sans" w:eastAsia="Times New Roman" w:hAnsi="Open Sans" w:cs="Open Sans"/>
          <w:sz w:val="21"/>
          <w:szCs w:val="21"/>
          <w:lang w:val="en"/>
        </w:rPr>
      </w:pPr>
      <w:r w:rsidRPr="00002681">
        <w:rPr>
          <w:rFonts w:ascii="Open Sans" w:eastAsia="Times New Roman" w:hAnsi="Open Sans" w:cs="Open Sans"/>
          <w:sz w:val="21"/>
          <w:szCs w:val="21"/>
          <w:lang w:val="en"/>
        </w:rPr>
        <w:t xml:space="preserve">Title 29: Labor </w:t>
      </w:r>
      <w:r w:rsidRPr="00002681">
        <w:rPr>
          <w:rFonts w:ascii="Open Sans" w:eastAsia="Times New Roman" w:hAnsi="Open Sans" w:cs="Open Sans"/>
          <w:sz w:val="21"/>
          <w:szCs w:val="21"/>
          <w:lang w:val="en"/>
        </w:rPr>
        <w:br/>
      </w:r>
      <w:hyperlink r:id="rId7" w:history="1">
        <w:r w:rsidRPr="00002681">
          <w:rPr>
            <w:rFonts w:ascii="Open Sans" w:eastAsia="Times New Roman" w:hAnsi="Open Sans" w:cs="Open Sans"/>
            <w:color w:val="4278B6"/>
            <w:sz w:val="17"/>
            <w:szCs w:val="17"/>
            <w:lang w:val="en"/>
          </w:rPr>
          <w:t>PART 1915—OCCUPATIONAL SAFETY AND HEALTH STANDARDS FOR SHIPYARD EMPLOYMENT</w:t>
        </w:r>
      </w:hyperlink>
      <w:r w:rsidRPr="00002681">
        <w:rPr>
          <w:rFonts w:ascii="Open Sans" w:eastAsia="Times New Roman" w:hAnsi="Open Sans" w:cs="Open Sans"/>
          <w:sz w:val="21"/>
          <w:szCs w:val="21"/>
          <w:lang w:val="en"/>
        </w:rPr>
        <w:t xml:space="preserve"> </w:t>
      </w:r>
      <w:r w:rsidRPr="00002681">
        <w:rPr>
          <w:rFonts w:ascii="Open Sans" w:eastAsia="Times New Roman" w:hAnsi="Open Sans" w:cs="Open Sans"/>
          <w:sz w:val="21"/>
          <w:szCs w:val="21"/>
          <w:lang w:val="en"/>
        </w:rPr>
        <w:br/>
      </w:r>
      <w:hyperlink r:id="rId8" w:history="1">
        <w:r w:rsidRPr="00002681">
          <w:rPr>
            <w:rFonts w:ascii="Open Sans" w:eastAsia="Times New Roman" w:hAnsi="Open Sans" w:cs="Open Sans"/>
            <w:color w:val="4278B6"/>
            <w:sz w:val="17"/>
            <w:szCs w:val="17"/>
            <w:lang w:val="en"/>
          </w:rPr>
          <w:t>Subpart H—Tools and Related Equipment</w:t>
        </w:r>
      </w:hyperlink>
      <w:r w:rsidRPr="00002681">
        <w:rPr>
          <w:rFonts w:ascii="Open Sans" w:eastAsia="Times New Roman" w:hAnsi="Open Sans" w:cs="Open Sans"/>
          <w:sz w:val="21"/>
          <w:szCs w:val="21"/>
          <w:lang w:val="en"/>
        </w:rPr>
        <w:t xml:space="preserve"> </w:t>
      </w:r>
    </w:p>
    <w:p w:rsidR="00002681" w:rsidRPr="00002681" w:rsidP="00002681" w14:paraId="07AD2816" w14:textId="77777777">
      <w:pPr>
        <w:shd w:val="clear" w:color="auto" w:fill="FFFFFF"/>
        <w:spacing w:after="0" w:line="240" w:lineRule="auto"/>
        <w:rPr>
          <w:rFonts w:ascii="Open Sans" w:eastAsia="Times New Roman" w:hAnsi="Open Sans" w:cs="Open Sans"/>
          <w:sz w:val="21"/>
          <w:szCs w:val="21"/>
          <w:lang w:val="en"/>
        </w:rPr>
      </w:pPr>
      <w:r>
        <w:rPr>
          <w:rFonts w:ascii="Open Sans" w:eastAsia="Times New Roman" w:hAnsi="Open Sans" w:cs="Open Sans"/>
          <w:sz w:val="21"/>
          <w:szCs w:val="21"/>
          <w:lang w:val="en"/>
        </w:rPr>
        <w:pict>
          <v:rect id="_x0000_i1025" style="width:0;height:1.5pt" o:hrstd="t" o:hr="t" fillcolor="#a0a0a0" stroked="f"/>
        </w:pict>
      </w:r>
    </w:p>
    <w:p w:rsidR="00002681" w:rsidRPr="00002681" w:rsidP="00002681" w14:paraId="18E78393" w14:textId="77777777">
      <w:pPr>
        <w:shd w:val="clear" w:color="auto" w:fill="FFFFFF"/>
        <w:spacing w:before="200" w:after="100" w:line="240" w:lineRule="auto"/>
        <w:outlineLvl w:val="1"/>
        <w:rPr>
          <w:rFonts w:ascii="Open Sans" w:eastAsia="Times New Roman" w:hAnsi="Open Sans" w:cs="Open Sans"/>
          <w:b/>
          <w:bCs/>
          <w:sz w:val="21"/>
          <w:szCs w:val="21"/>
          <w:lang w:val="en"/>
        </w:rPr>
      </w:pPr>
      <w:bookmarkStart w:id="0" w:name="_top"/>
      <w:bookmarkEnd w:id="0"/>
      <w:r w:rsidRPr="00002681">
        <w:rPr>
          <w:rFonts w:ascii="Open Sans" w:eastAsia="Times New Roman" w:hAnsi="Open Sans" w:cs="Open Sans"/>
          <w:b/>
          <w:bCs/>
          <w:sz w:val="21"/>
          <w:szCs w:val="21"/>
          <w:lang w:val="en"/>
        </w:rPr>
        <w:t>§1915.131   General precautions.</w:t>
      </w:r>
    </w:p>
    <w:p w:rsidR="00002681" w:rsidRPr="00002681" w:rsidP="00002681" w14:paraId="04AF5EFF"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002681">
        <w:rPr>
          <w:rFonts w:ascii="Open Sans" w:eastAsia="Times New Roman" w:hAnsi="Open Sans" w:cs="Open Sans"/>
          <w:sz w:val="21"/>
          <w:szCs w:val="21"/>
          <w:lang w:val="en"/>
        </w:rPr>
        <w:t>The provisions of this section shall apply to ship repairing, shipbuilding and shipbreaking.</w:t>
      </w:r>
    </w:p>
    <w:p w:rsidR="00002681" w:rsidRPr="00002681" w:rsidP="00002681" w14:paraId="56DBFFC7"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002681">
        <w:rPr>
          <w:rFonts w:ascii="Open Sans" w:eastAsia="Times New Roman" w:hAnsi="Open Sans" w:cs="Open Sans"/>
          <w:sz w:val="21"/>
          <w:szCs w:val="21"/>
          <w:lang w:val="en"/>
        </w:rPr>
        <w:t>(a) Hand lines, slings, tackles of adequate strength, or carriers such as tool bags with shoulder straps shall be provided and used to handle tools, materials, and equipment so that employees will have their hands free when using ship's ladders and access ladders. The use of hose or electric cords for this purpose is prohibited.</w:t>
      </w:r>
    </w:p>
    <w:p w:rsidR="00002681" w:rsidRPr="00002681" w:rsidP="00002681" w14:paraId="50F05666"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002681">
        <w:rPr>
          <w:rFonts w:ascii="Open Sans" w:eastAsia="Times New Roman" w:hAnsi="Open Sans" w:cs="Open Sans"/>
          <w:sz w:val="21"/>
          <w:szCs w:val="21"/>
          <w:lang w:val="en"/>
        </w:rPr>
        <w:t>(b) When air tools of the reciprocating type are not in use, the dies and tools shall be removed.</w:t>
      </w:r>
    </w:p>
    <w:p w:rsidR="00002681" w:rsidRPr="00002681" w:rsidP="00002681" w14:paraId="2F2F707B"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002681">
        <w:rPr>
          <w:rFonts w:ascii="Open Sans" w:eastAsia="Times New Roman" w:hAnsi="Open Sans" w:cs="Open Sans"/>
          <w:sz w:val="21"/>
          <w:szCs w:val="21"/>
          <w:lang w:val="en"/>
        </w:rPr>
        <w:t>(c) All portable, power-driven circular saws shall be equipped with guards above and below the base plate or shoe. The upper guard shall cover the saw to the depth of the teeth, except for the minimum arc required to permit the base to be tilted for bevel cuts. The lower guard shall cover the saw to the depth of the teeth, except for the minimum arc required to allow proper retraction and contact with the work. When the tool is withdrawn from the work, the lower guard shall automatically and instantly return to the covering position.</w:t>
      </w:r>
    </w:p>
    <w:p w:rsidR="00002681" w:rsidRPr="00002681" w:rsidP="00002681" w14:paraId="49FAE7F7"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002681">
        <w:rPr>
          <w:rFonts w:ascii="Open Sans" w:eastAsia="Times New Roman" w:hAnsi="Open Sans" w:cs="Open Sans"/>
          <w:sz w:val="21"/>
          <w:szCs w:val="21"/>
          <w:lang w:val="en"/>
        </w:rPr>
        <w:t>(d) The moving parts of machinery on a dry dock shall be guarded.</w:t>
      </w:r>
    </w:p>
    <w:p w:rsidR="00002681" w:rsidRPr="00002681" w:rsidP="00002681" w14:paraId="39A1BAEF"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002681">
        <w:rPr>
          <w:rFonts w:ascii="Open Sans" w:eastAsia="Times New Roman" w:hAnsi="Open Sans" w:cs="Open Sans"/>
          <w:sz w:val="21"/>
          <w:szCs w:val="21"/>
          <w:lang w:val="en"/>
        </w:rPr>
        <w:t>(e) Before use, pneumatic tools shall be secured to the extension hose or whip by some positive means to prevent the tool from becoming accidentally disconnected from the whip.</w:t>
      </w:r>
    </w:p>
    <w:p w:rsidR="00002681" w:rsidRPr="00002681" w:rsidP="00002681" w14:paraId="0C8D3240"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002681">
        <w:rPr>
          <w:rFonts w:ascii="Open Sans" w:eastAsia="Times New Roman" w:hAnsi="Open Sans" w:cs="Open Sans"/>
          <w:sz w:val="21"/>
          <w:szCs w:val="21"/>
          <w:lang w:val="en"/>
        </w:rPr>
        <w:t>(f) The moving parts of drive mechanisms, such as gearing and belting on large portable tools, shall be adequately guarded.</w:t>
      </w:r>
    </w:p>
    <w:p w:rsidR="00002681" w:rsidRPr="00002681" w:rsidP="00002681" w14:paraId="1FCD8969"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002681">
        <w:rPr>
          <w:rFonts w:ascii="Open Sans" w:eastAsia="Times New Roman" w:hAnsi="Open Sans" w:cs="Open Sans"/>
          <w:sz w:val="21"/>
          <w:szCs w:val="21"/>
          <w:lang w:val="en"/>
        </w:rPr>
        <w:t>(g) Headers, manifolds and widely spaced hose connections on compressed air lines shall bear the word “air” in letters at least 1-inch high, which shall be painted either on the manifolds or separate hose connections, or on signs permanently attached to the manifolds or connections. Grouped air connections may be marked in one location.</w:t>
      </w:r>
    </w:p>
    <w:p w:rsidR="00002681" w:rsidRPr="00002681" w:rsidP="00002681" w14:paraId="2B1D318D" w14:textId="77777777">
      <w:pPr>
        <w:shd w:val="clear" w:color="auto" w:fill="FFFFFF"/>
        <w:spacing w:before="100" w:beforeAutospacing="1" w:after="100" w:afterAutospacing="1" w:line="240" w:lineRule="auto"/>
        <w:ind w:firstLine="480"/>
        <w:rPr>
          <w:rFonts w:ascii="Open Sans" w:eastAsia="Times New Roman" w:hAnsi="Open Sans" w:cs="Open Sans"/>
          <w:sz w:val="21"/>
          <w:szCs w:val="21"/>
          <w:lang w:val="en"/>
        </w:rPr>
      </w:pPr>
      <w:r w:rsidRPr="00002681">
        <w:rPr>
          <w:rFonts w:ascii="Open Sans" w:eastAsia="Times New Roman" w:hAnsi="Open Sans" w:cs="Open Sans"/>
          <w:sz w:val="21"/>
          <w:szCs w:val="21"/>
          <w:lang w:val="en"/>
        </w:rPr>
        <w:t>(h) Before use, compressed air hose shall be examined. Visibly damaged and unsafe hose shall not be used.</w:t>
      </w:r>
    </w:p>
    <w:p w:rsidR="00002681" w:rsidRPr="00002681" w:rsidP="00002681" w14:paraId="1A02AEBD" w14:textId="77777777">
      <w:pPr>
        <w:shd w:val="clear" w:color="auto" w:fill="FFFFFF"/>
        <w:spacing w:before="200" w:after="100" w:afterAutospacing="1" w:line="240" w:lineRule="auto"/>
        <w:rPr>
          <w:rFonts w:ascii="Open Sans" w:eastAsia="Times New Roman" w:hAnsi="Open Sans" w:cs="Open Sans"/>
          <w:sz w:val="18"/>
          <w:szCs w:val="18"/>
          <w:lang w:val="en"/>
        </w:rPr>
      </w:pPr>
      <w:r w:rsidRPr="00002681">
        <w:rPr>
          <w:rFonts w:ascii="Open Sans" w:eastAsia="Times New Roman" w:hAnsi="Open Sans" w:cs="Open Sans"/>
          <w:sz w:val="18"/>
          <w:szCs w:val="18"/>
          <w:lang w:val="en"/>
        </w:rPr>
        <w:t>[47 FR 16986, Apr. 20, 1982, as amended at 67 FR 44543, July 3, 2002]</w:t>
      </w:r>
    </w:p>
    <w:p w:rsidR="00002681" w:rsidRPr="00002681" w:rsidP="00002681" w14:paraId="73F64B32" w14:textId="77777777">
      <w:pPr>
        <w:shd w:val="clear" w:color="auto" w:fill="FFFFFF"/>
        <w:spacing w:before="200" w:after="100" w:afterAutospacing="1" w:line="240" w:lineRule="auto"/>
        <w:rPr>
          <w:rFonts w:ascii="Open Sans" w:eastAsia="Times New Roman" w:hAnsi="Open Sans" w:cs="Open Sans"/>
          <w:sz w:val="21"/>
          <w:szCs w:val="21"/>
          <w:lang w:val="en"/>
        </w:rPr>
      </w:pPr>
      <w:hyperlink r:id="rId9" w:anchor="quest11" w:history="1">
        <w:r w:rsidRPr="00002681">
          <w:rPr>
            <w:rFonts w:ascii="Open Sans" w:eastAsia="Times New Roman" w:hAnsi="Open Sans" w:cs="Open Sans"/>
            <w:color w:val="4278B6"/>
            <w:sz w:val="20"/>
            <w:szCs w:val="20"/>
            <w:lang w:val="en"/>
          </w:rPr>
          <w:t>Need assistance?</w:t>
        </w:r>
      </w:hyperlink>
    </w:p>
    <w:p w:rsidR="00333597" w:rsidP="00002681" w14:paraId="4AAFA26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Slab">
    <w:altName w:val="Times New Roman"/>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81"/>
    <w:rsid w:val="00002681"/>
    <w:rsid w:val="00103DFF"/>
    <w:rsid w:val="003335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B9D60"/>
  <w15:chartTrackingRefBased/>
  <w15:docId w15:val="{71371365-BC01-4493-8DDA-AF2ACB06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02681"/>
    <w:pPr>
      <w:spacing w:before="200" w:after="100" w:line="240" w:lineRule="auto"/>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002681"/>
    <w:pPr>
      <w:spacing w:before="200" w:after="100" w:line="240" w:lineRule="auto"/>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81"/>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002681"/>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002681"/>
    <w:rPr>
      <w:rFonts w:ascii="Open Sans" w:hAnsi="Open Sans" w:cs="Open Sans" w:hint="default"/>
      <w:strike w:val="0"/>
      <w:dstrike w:val="0"/>
      <w:color w:val="4278B6"/>
      <w:sz w:val="17"/>
      <w:szCs w:val="17"/>
      <w:u w:val="none"/>
      <w:effect w:val="none"/>
    </w:rPr>
  </w:style>
  <w:style w:type="paragraph" w:styleId="NormalWeb">
    <w:name w:val="Normal (Web)"/>
    <w:basedOn w:val="Normal"/>
    <w:uiPriority w:val="99"/>
    <w:semiHidden/>
    <w:unhideWhenUsed/>
    <w:rsid w:val="0000268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002681"/>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gpogovinfo">
    <w:name w:val="gpogovinfo"/>
    <w:basedOn w:val="Normal"/>
    <w:rsid w:val="00002681"/>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002681"/>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fp">
    <w:name w:val="fp"/>
    <w:basedOn w:val="Normal"/>
    <w:rsid w:val="00002681"/>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002681"/>
    <w:pPr>
      <w:spacing w:after="100" w:afterAutospacing="1" w:line="240" w:lineRule="auto"/>
    </w:pPr>
    <w:rPr>
      <w:rFonts w:ascii="Times New Roman" w:eastAsia="Times New Roman" w:hAnsi="Times New Roman" w:cs="Times New Roman"/>
      <w:sz w:val="20"/>
      <w:szCs w:val="20"/>
    </w:rPr>
  </w:style>
  <w:style w:type="paragraph" w:customStyle="1" w:styleId="related-resources">
    <w:name w:val="related-resources"/>
    <w:basedOn w:val="Normal"/>
    <w:rsid w:val="00002681"/>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ita">
    <w:name w:val="cita"/>
    <w:basedOn w:val="Normal"/>
    <w:rsid w:val="00002681"/>
    <w:pPr>
      <w:spacing w:before="200" w:after="100" w:afterAutospacing="1" w:line="240" w:lineRule="auto"/>
    </w:pPr>
    <w:rPr>
      <w:rFonts w:ascii="Times New Roman" w:eastAsia="Times New Roman" w:hAnsi="Times New Roman" w:cs="Times New Roman"/>
      <w:sz w:val="18"/>
      <w:szCs w:val="18"/>
    </w:rPr>
  </w:style>
  <w:style w:type="paragraph" w:styleId="HTMLTopofForm">
    <w:name w:val="HTML Top of Form"/>
    <w:basedOn w:val="Normal"/>
    <w:next w:val="Normal"/>
    <w:link w:val="z-TopofFormChar"/>
    <w:hidden/>
    <w:uiPriority w:val="99"/>
    <w:semiHidden/>
    <w:unhideWhenUsed/>
    <w:rsid w:val="000026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002681"/>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0026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002681"/>
    <w:rPr>
      <w:rFonts w:ascii="Arial" w:eastAsia="Times New Roman" w:hAnsi="Arial" w:cs="Arial"/>
      <w:vanish/>
      <w:sz w:val="16"/>
      <w:szCs w:val="16"/>
    </w:rPr>
  </w:style>
  <w:style w:type="paragraph" w:customStyle="1" w:styleId="left-col-subhead">
    <w:name w:val="left-col-subhead"/>
    <w:basedOn w:val="Normal"/>
    <w:rsid w:val="00002681"/>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gi-bin/retrieveECFR?gp=&amp;SID=6011c3d2fe7abd8d99e1ce565b7564b2&amp;mc=true&amp;n=pt29.7.1915&amp;r=PART&amp;ty=HTML" TargetMode="External" /><Relationship Id="rId8" Type="http://schemas.openxmlformats.org/officeDocument/2006/relationships/hyperlink" Target="https://www.ecfr.gov/cgi-bin/retrieveECFR?gp=&amp;SID=6011c3d2fe7abd8d99e1ce565b7564b2&amp;mc=true&amp;n=sp29.7.1915.h&amp;r=SUBPART&amp;ty=HTML" TargetMode="External" /><Relationship Id="rId9" Type="http://schemas.openxmlformats.org/officeDocument/2006/relationships/hyperlink" Target="https://www.ecfr.gov/cgi-bin/ECFR?SID=6011c3d2fe7abd8d99e1ce565b7564b2&amp;mc=true&amp;page=fa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8E338-5035-4F5E-9381-9B650494826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bc354d9-fadb-4d24-8aee-4d27bd933860"/>
    <ds:schemaRef ds:uri="http://www.w3.org/XML/1998/namespace"/>
  </ds:schemaRefs>
</ds:datastoreItem>
</file>

<file path=customXml/itemProps2.xml><?xml version="1.0" encoding="utf-8"?>
<ds:datastoreItem xmlns:ds="http://schemas.openxmlformats.org/officeDocument/2006/customXml" ds:itemID="{0F69FEA3-F3CF-42F0-AE0F-34A3FB4B09F5}">
  <ds:schemaRefs>
    <ds:schemaRef ds:uri="http://schemas.microsoft.com/sharepoint/v3/contenttype/forms"/>
  </ds:schemaRefs>
</ds:datastoreItem>
</file>

<file path=customXml/itemProps3.xml><?xml version="1.0" encoding="utf-8"?>
<ds:datastoreItem xmlns:ds="http://schemas.openxmlformats.org/officeDocument/2006/customXml" ds:itemID="{C875DA81-DE9C-41E4-B74D-16AB38D2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2214</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Electronic Code of Federal Regulations</vt:lpstr>
      <vt:lpstr>    §1915.131   General precautions.</vt:lpstr>
    </vt:vector>
  </TitlesOfParts>
  <Company>Department of Labor</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Andrews, Peter - OSHA</cp:lastModifiedBy>
  <cp:revision>2</cp:revision>
  <dcterms:created xsi:type="dcterms:W3CDTF">2021-05-03T19:43:00Z</dcterms:created>
  <dcterms:modified xsi:type="dcterms:W3CDTF">2024-05-21T13:08:00Z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