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80AEF" w:rsidRPr="0077736D" w:rsidP="00A80AEF" w14:paraId="5936B977" w14:textId="238C7553">
      <w:pPr>
        <w:tabs>
          <w:tab w:val="center" w:pos="4680"/>
        </w:tabs>
        <w:rPr>
          <w:rFonts w:ascii="Times New Roman" w:hAnsi="Times New Roman"/>
          <w:sz w:val="24"/>
        </w:rPr>
      </w:pPr>
      <w:r w:rsidRPr="002E6EAC">
        <w:rPr>
          <w:rFonts w:ascii="Times New Roman" w:hAnsi="Times New Roman"/>
          <w:sz w:val="24"/>
        </w:rPr>
        <w:tab/>
      </w:r>
      <w:r w:rsidRPr="0077736D">
        <w:rPr>
          <w:rFonts w:ascii="Times New Roman" w:hAnsi="Times New Roman"/>
          <w:sz w:val="24"/>
          <w:u w:val="single"/>
        </w:rPr>
        <w:t xml:space="preserve">Supporting Statement </w:t>
      </w:r>
    </w:p>
    <w:p w:rsidR="00A80AEF" w:rsidRPr="0077736D" w:rsidP="00A80AEF" w14:paraId="2375F0E2" w14:textId="44BBF834">
      <w:pPr>
        <w:jc w:val="center"/>
        <w:rPr>
          <w:rFonts w:ascii="Times New Roman" w:hAnsi="Times New Roman"/>
          <w:sz w:val="24"/>
          <w:u w:val="single"/>
        </w:rPr>
      </w:pPr>
      <w:r w:rsidRPr="0077736D">
        <w:rPr>
          <w:rFonts w:ascii="Times New Roman" w:hAnsi="Times New Roman"/>
          <w:sz w:val="24"/>
          <w:u w:val="single"/>
        </w:rPr>
        <w:t>OMB Control Number 1506</w:t>
      </w:r>
      <w:r w:rsidR="003C2153">
        <w:rPr>
          <w:rFonts w:ascii="Times New Roman" w:hAnsi="Times New Roman"/>
          <w:sz w:val="24"/>
          <w:u w:val="single"/>
        </w:rPr>
        <w:t xml:space="preserve"> - XXXX</w:t>
      </w:r>
    </w:p>
    <w:p w:rsidR="00A80AEF" w:rsidRPr="0077736D" w:rsidP="00A80AEF" w14:paraId="7EA6E218" w14:textId="77777777">
      <w:pPr>
        <w:jc w:val="center"/>
        <w:rPr>
          <w:rFonts w:ascii="Times New Roman" w:hAnsi="Times New Roman"/>
          <w:sz w:val="24"/>
          <w:u w:val="single"/>
        </w:rPr>
      </w:pPr>
    </w:p>
    <w:p w:rsidR="00A80AEF" w:rsidRPr="0077736D" w:rsidP="00DA1CB8" w14:paraId="41BC8227" w14:textId="699937E1">
      <w:pPr>
        <w:jc w:val="center"/>
        <w:rPr>
          <w:rFonts w:ascii="Times New Roman" w:hAnsi="Times New Roman"/>
          <w:sz w:val="24"/>
          <w:u w:val="single"/>
        </w:rPr>
      </w:pPr>
      <w:r w:rsidRPr="0077736D">
        <w:rPr>
          <w:rFonts w:ascii="Times New Roman" w:hAnsi="Times New Roman"/>
          <w:bCs/>
          <w:sz w:val="24"/>
          <w:u w:val="single"/>
        </w:rPr>
        <w:t xml:space="preserve">Proposal of </w:t>
      </w:r>
      <w:r w:rsidRPr="0077736D" w:rsidR="000E6650">
        <w:rPr>
          <w:rFonts w:ascii="Times New Roman" w:hAnsi="Times New Roman"/>
          <w:bCs/>
          <w:sz w:val="24"/>
          <w:u w:val="single"/>
        </w:rPr>
        <w:t xml:space="preserve">Customer Identification Programs for Registered Investment Advisers and Exempt Reporting Advisors </w:t>
      </w:r>
    </w:p>
    <w:p w:rsidR="00A37BDD" w:rsidRPr="0077736D" w:rsidP="00A37BDD" w14:paraId="6300157B" w14:textId="77777777">
      <w:pPr>
        <w:rPr>
          <w:rFonts w:ascii="Times New Roman" w:hAnsi="Times New Roman"/>
          <w:sz w:val="24"/>
        </w:rPr>
      </w:pPr>
    </w:p>
    <w:p w:rsidR="00A37BDD" w:rsidRPr="0077736D" w:rsidP="002119D5" w14:paraId="154507A6" w14:textId="598FC9F2">
      <w:pPr>
        <w:rPr>
          <w:rFonts w:ascii="Times New Roman" w:hAnsi="Times New Roman"/>
          <w:sz w:val="24"/>
        </w:rPr>
      </w:pPr>
      <w:r w:rsidRPr="0077736D">
        <w:rPr>
          <w:rFonts w:ascii="Times New Roman" w:hAnsi="Times New Roman"/>
          <w:sz w:val="24"/>
          <w:u w:val="single"/>
        </w:rPr>
        <w:t xml:space="preserve">1. </w:t>
      </w:r>
      <w:r w:rsidRPr="0077736D">
        <w:rPr>
          <w:rFonts w:ascii="Times New Roman" w:hAnsi="Times New Roman"/>
          <w:sz w:val="24"/>
          <w:u w:val="single"/>
        </w:rPr>
        <w:t>Circumstances necessitating collection of information.</w:t>
      </w:r>
      <w:r w:rsidRPr="0077736D">
        <w:rPr>
          <w:rFonts w:ascii="Times New Roman" w:hAnsi="Times New Roman"/>
          <w:sz w:val="24"/>
        </w:rPr>
        <w:t xml:space="preserve"> </w:t>
      </w:r>
    </w:p>
    <w:p w:rsidR="00A37BDD" w:rsidRPr="0077736D" w:rsidP="00DA1CB8" w14:paraId="59A57818" w14:textId="77777777">
      <w:pPr>
        <w:rPr>
          <w:rFonts w:ascii="Times New Roman" w:hAnsi="Times New Roman"/>
          <w:bCs/>
          <w:sz w:val="24"/>
        </w:rPr>
      </w:pPr>
    </w:p>
    <w:p w:rsidR="000E6650" w:rsidRPr="0077736D" w:rsidP="0077736D" w14:paraId="36A73B0F" w14:textId="03523234">
      <w:pPr>
        <w:ind w:firstLine="720"/>
        <w:rPr>
          <w:rFonts w:ascii="Times New Roman" w:hAnsi="Times New Roman"/>
          <w:bCs/>
          <w:sz w:val="24"/>
        </w:rPr>
      </w:pPr>
      <w:r w:rsidRPr="0077736D">
        <w:rPr>
          <w:rFonts w:ascii="Times New Roman" w:hAnsi="Times New Roman"/>
          <w:bCs/>
          <w:sz w:val="24"/>
        </w:rPr>
        <w:t>The Financial Crimes Enforcement Network (FinCEN)</w:t>
      </w:r>
      <w:r w:rsidRPr="0077736D">
        <w:rPr>
          <w:rFonts w:ascii="Times New Roman" w:hAnsi="Times New Roman"/>
          <w:bCs/>
          <w:sz w:val="24"/>
        </w:rPr>
        <w:t xml:space="preserve"> </w:t>
      </w:r>
      <w:r w:rsidRPr="0077736D">
        <w:rPr>
          <w:rFonts w:ascii="Times New Roman" w:hAnsi="Times New Roman"/>
          <w:bCs/>
          <w:sz w:val="24"/>
        </w:rPr>
        <w:t>is issuing this statement to support its request that the Office of Management and Budget (OMB) approve a proposed collection o</w:t>
      </w:r>
      <w:r w:rsidRPr="0077736D" w:rsidR="00754EA4">
        <w:rPr>
          <w:rFonts w:ascii="Times New Roman" w:hAnsi="Times New Roman"/>
          <w:bCs/>
          <w:sz w:val="24"/>
        </w:rPr>
        <w:t>f</w:t>
      </w:r>
      <w:r w:rsidRPr="0077736D">
        <w:rPr>
          <w:rFonts w:ascii="Times New Roman" w:hAnsi="Times New Roman"/>
          <w:bCs/>
          <w:sz w:val="24"/>
        </w:rPr>
        <w:t xml:space="preserve"> information in a notice of proposed rulemaking </w:t>
      </w:r>
      <w:r w:rsidRPr="0077736D" w:rsidR="00B54590">
        <w:rPr>
          <w:rFonts w:ascii="Times New Roman" w:hAnsi="Times New Roman"/>
          <w:bCs/>
          <w:sz w:val="24"/>
        </w:rPr>
        <w:t xml:space="preserve">(NPRM) </w:t>
      </w:r>
      <w:r w:rsidRPr="0077736D">
        <w:rPr>
          <w:rFonts w:ascii="Times New Roman" w:hAnsi="Times New Roman"/>
          <w:bCs/>
          <w:sz w:val="24"/>
        </w:rPr>
        <w:t xml:space="preserve">in support of the </w:t>
      </w:r>
      <w:r w:rsidR="00A823A9">
        <w:rPr>
          <w:rFonts w:ascii="Times New Roman" w:hAnsi="Times New Roman"/>
          <w:bCs/>
          <w:sz w:val="24"/>
        </w:rPr>
        <w:t>Bank Secrecy Act (BSA)</w:t>
      </w:r>
      <w:r w:rsidRPr="0077736D">
        <w:rPr>
          <w:rFonts w:ascii="Times New Roman" w:hAnsi="Times New Roman"/>
          <w:bCs/>
          <w:sz w:val="24"/>
        </w:rPr>
        <w:t xml:space="preserve">. </w:t>
      </w:r>
      <w:r w:rsidRPr="0077736D" w:rsidR="00B54590">
        <w:rPr>
          <w:rFonts w:ascii="Times New Roman" w:hAnsi="Times New Roman"/>
          <w:bCs/>
          <w:sz w:val="24"/>
        </w:rPr>
        <w:t>In this NPRM, FinCEN</w:t>
      </w:r>
      <w:r w:rsidRPr="0077736D">
        <w:rPr>
          <w:rFonts w:ascii="Times New Roman" w:hAnsi="Times New Roman"/>
          <w:bCs/>
          <w:sz w:val="24"/>
        </w:rPr>
        <w:t xml:space="preserve"> and the </w:t>
      </w:r>
      <w:r w:rsidRPr="00020D5C" w:rsidR="00020D5C">
        <w:rPr>
          <w:rFonts w:ascii="Times New Roman" w:hAnsi="Times New Roman"/>
          <w:bCs/>
          <w:sz w:val="24"/>
        </w:rPr>
        <w:t>U.S. Securities and Exchange Commission (</w:t>
      </w:r>
      <w:r w:rsidRPr="0077736D">
        <w:rPr>
          <w:rFonts w:ascii="Times New Roman" w:hAnsi="Times New Roman"/>
          <w:bCs/>
          <w:sz w:val="24"/>
        </w:rPr>
        <w:t>SEC</w:t>
      </w:r>
      <w:r w:rsidR="00020D5C">
        <w:rPr>
          <w:rFonts w:ascii="Times New Roman" w:hAnsi="Times New Roman"/>
          <w:bCs/>
          <w:sz w:val="24"/>
        </w:rPr>
        <w:t>)</w:t>
      </w:r>
      <w:r w:rsidRPr="0077736D">
        <w:rPr>
          <w:rFonts w:ascii="Times New Roman" w:hAnsi="Times New Roman"/>
          <w:bCs/>
          <w:sz w:val="24"/>
        </w:rPr>
        <w:t xml:space="preserve"> have jointly</w:t>
      </w:r>
      <w:r w:rsidRPr="0077736D" w:rsidR="00B54590">
        <w:rPr>
          <w:rFonts w:ascii="Times New Roman" w:hAnsi="Times New Roman"/>
          <w:bCs/>
          <w:sz w:val="24"/>
        </w:rPr>
        <w:t xml:space="preserve"> proposed </w:t>
      </w:r>
      <w:r w:rsidRPr="0077736D" w:rsidR="00364748">
        <w:rPr>
          <w:rFonts w:ascii="Times New Roman" w:hAnsi="Times New Roman"/>
          <w:bCs/>
          <w:sz w:val="24"/>
        </w:rPr>
        <w:t>to require that</w:t>
      </w:r>
      <w:r w:rsidRPr="0077736D" w:rsidR="00B54590">
        <w:rPr>
          <w:rFonts w:ascii="Times New Roman" w:hAnsi="Times New Roman"/>
          <w:bCs/>
          <w:sz w:val="24"/>
        </w:rPr>
        <w:t xml:space="preserve"> </w:t>
      </w:r>
      <w:r w:rsidRPr="0077736D">
        <w:rPr>
          <w:rFonts w:ascii="Times New Roman" w:hAnsi="Times New Roman"/>
          <w:bCs/>
          <w:sz w:val="24"/>
        </w:rPr>
        <w:t xml:space="preserve">SEC-registered investment advisers (RIAs) and exempt reporting advisers (ERAs) implement reasonable procedures to </w:t>
      </w:r>
      <w:r w:rsidR="00B80964">
        <w:rPr>
          <w:rFonts w:ascii="Times New Roman" w:hAnsi="Times New Roman"/>
          <w:bCs/>
          <w:sz w:val="24"/>
        </w:rPr>
        <w:t xml:space="preserve">identify and </w:t>
      </w:r>
      <w:r w:rsidRPr="0077736D">
        <w:rPr>
          <w:rFonts w:ascii="Times New Roman" w:hAnsi="Times New Roman"/>
          <w:bCs/>
          <w:sz w:val="24"/>
        </w:rPr>
        <w:t>verify the identities of their customers</w:t>
      </w:r>
      <w:r w:rsidR="006970CE">
        <w:rPr>
          <w:rFonts w:ascii="Times New Roman" w:hAnsi="Times New Roman"/>
          <w:bCs/>
          <w:sz w:val="24"/>
        </w:rPr>
        <w:t>—</w:t>
      </w:r>
      <w:r w:rsidRPr="0077736D" w:rsidR="00364748">
        <w:rPr>
          <w:rFonts w:ascii="Times New Roman" w:hAnsi="Times New Roman"/>
          <w:bCs/>
          <w:sz w:val="24"/>
        </w:rPr>
        <w:t>among other requirements</w:t>
      </w:r>
      <w:r w:rsidR="006970CE">
        <w:rPr>
          <w:rFonts w:ascii="Times New Roman" w:hAnsi="Times New Roman"/>
          <w:bCs/>
          <w:sz w:val="24"/>
        </w:rPr>
        <w:t>—</w:t>
      </w:r>
      <w:r w:rsidR="00B80964">
        <w:rPr>
          <w:rFonts w:ascii="Times New Roman" w:hAnsi="Times New Roman"/>
          <w:bCs/>
          <w:sz w:val="24"/>
        </w:rPr>
        <w:t>in order to</w:t>
      </w:r>
      <w:r w:rsidR="00B80964">
        <w:rPr>
          <w:rFonts w:ascii="Times New Roman" w:hAnsi="Times New Roman"/>
          <w:bCs/>
          <w:sz w:val="24"/>
        </w:rPr>
        <w:t xml:space="preserve"> form a reasonable belief that RIAs and ERAs know the true identity of their customers</w:t>
      </w:r>
      <w:r w:rsidRPr="0077736D">
        <w:rPr>
          <w:rFonts w:ascii="Times New Roman" w:hAnsi="Times New Roman"/>
          <w:bCs/>
          <w:sz w:val="24"/>
        </w:rPr>
        <w:t>.</w:t>
      </w:r>
      <w:r w:rsidR="00275656">
        <w:rPr>
          <w:rFonts w:ascii="Times New Roman" w:hAnsi="Times New Roman"/>
          <w:bCs/>
          <w:sz w:val="24"/>
        </w:rPr>
        <w:t xml:space="preserve"> These requirements are commonly known as “Customer Identification Programs” (CIPs).</w:t>
      </w:r>
    </w:p>
    <w:p w:rsidR="005276ED" w:rsidP="0077736D" w14:paraId="4AB4FFDC" w14:textId="54A6AE5B">
      <w:pPr>
        <w:pStyle w:val="NormalWeb"/>
        <w:ind w:firstLine="720"/>
      </w:pPr>
      <w:r w:rsidRPr="0077736D">
        <w:rPr>
          <w:bCs/>
        </w:rPr>
        <w:t>The le</w:t>
      </w:r>
      <w:r w:rsidR="0077736D">
        <w:rPr>
          <w:bCs/>
        </w:rPr>
        <w:t>g</w:t>
      </w:r>
      <w:r w:rsidRPr="0077736D">
        <w:rPr>
          <w:bCs/>
        </w:rPr>
        <w:t xml:space="preserve">islative framework generally referred to as the </w:t>
      </w:r>
      <w:r w:rsidR="00A823A9">
        <w:rPr>
          <w:bCs/>
        </w:rPr>
        <w:t>BSA</w:t>
      </w:r>
      <w:r w:rsidRPr="0077736D">
        <w:rPr>
          <w:bCs/>
        </w:rPr>
        <w:t xml:space="preserve"> consists of the Currency and Foreign Transactions Reporting Act of 1970, </w:t>
      </w:r>
      <w:r w:rsidRPr="00742A3F" w:rsidR="00742A3F">
        <w:rPr>
          <w:bCs/>
        </w:rPr>
        <w:t>Pub.</w:t>
      </w:r>
      <w:r w:rsidR="00742A3F">
        <w:rPr>
          <w:bCs/>
        </w:rPr>
        <w:t xml:space="preserve"> </w:t>
      </w:r>
      <w:r w:rsidRPr="00742A3F" w:rsidR="00742A3F">
        <w:rPr>
          <w:bCs/>
        </w:rPr>
        <w:t>L. 91</w:t>
      </w:r>
      <w:r w:rsidR="00742A3F">
        <w:rPr>
          <w:bCs/>
        </w:rPr>
        <w:t>-</w:t>
      </w:r>
      <w:r w:rsidRPr="00742A3F" w:rsidR="00742A3F">
        <w:rPr>
          <w:bCs/>
        </w:rPr>
        <w:t>508</w:t>
      </w:r>
      <w:r w:rsidR="00742A3F">
        <w:rPr>
          <w:bCs/>
        </w:rPr>
        <w:t xml:space="preserve"> (Oct. 26, 1970), </w:t>
      </w:r>
      <w:r w:rsidRPr="0077736D">
        <w:rPr>
          <w:bCs/>
        </w:rPr>
        <w:t xml:space="preserve">as amended by the </w:t>
      </w:r>
      <w:r w:rsidR="00702CE6">
        <w:t>Uniting and Strengthening America by Providing Appropriate Tools Required to Intercept and Obstruct Terrorism (</w:t>
      </w:r>
      <w:r w:rsidRPr="0077736D" w:rsidR="00364748">
        <w:rPr>
          <w:bCs/>
        </w:rPr>
        <w:t>USA PATRIOT</w:t>
      </w:r>
      <w:r w:rsidR="00702CE6">
        <w:rPr>
          <w:bCs/>
        </w:rPr>
        <w:t>)</w:t>
      </w:r>
      <w:r w:rsidRPr="0077736D">
        <w:rPr>
          <w:bCs/>
        </w:rPr>
        <w:t xml:space="preserve"> Act of 2001, </w:t>
      </w:r>
      <w:r w:rsidRPr="0077736D" w:rsidR="005E39DC">
        <w:rPr>
          <w:bCs/>
        </w:rPr>
        <w:t>Pub. L.</w:t>
      </w:r>
      <w:r w:rsidRPr="0077736D">
        <w:rPr>
          <w:bCs/>
        </w:rPr>
        <w:t xml:space="preserve"> 107-56 (</w:t>
      </w:r>
      <w:r w:rsidRPr="0077736D" w:rsidR="005E39DC">
        <w:rPr>
          <w:bCs/>
        </w:rPr>
        <w:t xml:space="preserve">Oct. </w:t>
      </w:r>
      <w:r w:rsidRPr="0077736D">
        <w:rPr>
          <w:bCs/>
        </w:rPr>
        <w:t xml:space="preserve">26, 2001), and other legislation, including the Anti-Money Laundering Act </w:t>
      </w:r>
      <w:r w:rsidRPr="0077736D" w:rsidR="00754EA4">
        <w:rPr>
          <w:bCs/>
        </w:rPr>
        <w:t xml:space="preserve">of 2020 </w:t>
      </w:r>
      <w:r w:rsidRPr="0077736D">
        <w:rPr>
          <w:bCs/>
        </w:rPr>
        <w:t>(AML Act</w:t>
      </w:r>
      <w:r w:rsidRPr="0077736D">
        <w:t>).</w:t>
      </w:r>
      <w:r>
        <w:rPr>
          <w:rFonts w:eastAsia="Calibri"/>
          <w:vertAlign w:val="superscript"/>
        </w:rPr>
        <w:footnoteReference w:id="3"/>
      </w:r>
      <w:r w:rsidRPr="0077736D">
        <w:t xml:space="preserve"> The BSA is codified at 12 U.S.C.1829b, 12 U.S.C. 1951–1960, and 31 U.S.C. 5311–5314 and 5316–5336, and includes notes thereto, with implementing regulations at 31 CFR </w:t>
      </w:r>
      <w:r w:rsidR="00702CE6">
        <w:t>c</w:t>
      </w:r>
      <w:r w:rsidRPr="0077736D">
        <w:t xml:space="preserve">hapter X. </w:t>
      </w:r>
    </w:p>
    <w:p w:rsidR="005276ED" w:rsidRPr="005276ED" w:rsidP="005276ED" w14:paraId="33EE2A7F" w14:textId="1F309D58">
      <w:pPr>
        <w:widowControl/>
        <w:autoSpaceDE/>
        <w:autoSpaceDN/>
        <w:adjustRightInd/>
        <w:ind w:firstLine="720"/>
        <w:rPr>
          <w:rFonts w:ascii="Times New Roman" w:hAnsi="Times New Roman"/>
          <w:sz w:val="24"/>
        </w:rPr>
      </w:pPr>
      <w:r w:rsidRPr="005276ED">
        <w:rPr>
          <w:rFonts w:ascii="Times New Roman" w:hAnsi="Times New Roman"/>
          <w:sz w:val="24"/>
        </w:rPr>
        <w:t xml:space="preserve">The BSA authorizes the Secretary of the Treasury (Secretary) to, </w:t>
      </w:r>
      <w:r w:rsidRPr="005276ED">
        <w:rPr>
          <w:rFonts w:ascii="Times New Roman" w:hAnsi="Times New Roman"/>
          <w:i/>
          <w:sz w:val="24"/>
        </w:rPr>
        <w:t>inter alia</w:t>
      </w:r>
      <w:r w:rsidRPr="005276ED">
        <w:rPr>
          <w:rFonts w:ascii="Times New Roman" w:hAnsi="Times New Roman"/>
          <w:sz w:val="24"/>
        </w:rPr>
        <w:t>, require financial institutions to keep records and file reports that are determined to have a high degree of usefulness in criminal, tax, or regulatory matters, risk assessments or proceedings, or in the conduct of intelligence or counter-intelligence activities to protect against terrorism, and to implement anti-money laundering (AML) programs and compliance procedures.</w:t>
      </w:r>
      <w:r>
        <w:rPr>
          <w:rFonts w:ascii="Times New Roman" w:hAnsi="Times New Roman"/>
          <w:sz w:val="24"/>
          <w:vertAlign w:val="superscript"/>
        </w:rPr>
        <w:footnoteReference w:id="4"/>
      </w:r>
      <w:r w:rsidRPr="005276ED">
        <w:rPr>
          <w:rFonts w:ascii="Times New Roman" w:hAnsi="Times New Roman"/>
          <w:sz w:val="24"/>
          <w:vertAlign w:val="superscript"/>
        </w:rPr>
        <w:t xml:space="preserve"> </w:t>
      </w:r>
      <w:r w:rsidRPr="005276ED">
        <w:rPr>
          <w:rFonts w:ascii="Times New Roman" w:hAnsi="Times New Roman"/>
          <w:sz w:val="24"/>
        </w:rPr>
        <w:t>The authority of the Secretary to administer the BSA has been delegated to the Director of FinCEN.</w:t>
      </w:r>
      <w:r>
        <w:rPr>
          <w:rFonts w:ascii="Times New Roman" w:hAnsi="Times New Roman"/>
          <w:sz w:val="24"/>
          <w:vertAlign w:val="superscript"/>
        </w:rPr>
        <w:footnoteReference w:id="5"/>
      </w:r>
    </w:p>
    <w:p w:rsidR="00392184" w:rsidP="0077736D" w14:paraId="49CE54AA" w14:textId="2E0061C8">
      <w:pPr>
        <w:pStyle w:val="NormalWeb"/>
        <w:ind w:firstLine="720"/>
        <w:rPr>
          <w:shd w:val="clear" w:color="auto" w:fill="FFFFFF"/>
          <w:vertAlign w:val="superscript"/>
        </w:rPr>
      </w:pPr>
      <w:r w:rsidRPr="0077736D">
        <w:t xml:space="preserve">Under section 326 of the USA PATRIOT Act, </w:t>
      </w:r>
      <w:r w:rsidR="00A808B4">
        <w:t xml:space="preserve">which </w:t>
      </w:r>
      <w:r w:rsidRPr="00A808B4" w:rsidR="00A808B4">
        <w:t>added subsection (l) to 31 U.S.C. 5318 of the BSA</w:t>
      </w:r>
      <w:r w:rsidRPr="0077736D">
        <w:t>, the Secretary is required to prescribe regulations “setting forth the minimum standards for financial institutions and their customers regarding the identity of the customer that shall apply in connection with the opening of an account at a financial institution.”</w:t>
      </w:r>
      <w:r>
        <w:rPr>
          <w:rFonts w:eastAsia="Calibri"/>
          <w:vertAlign w:val="superscript"/>
        </w:rPr>
        <w:footnoteReference w:id="6"/>
      </w:r>
      <w:r w:rsidR="0077736D">
        <w:t xml:space="preserve"> </w:t>
      </w:r>
      <w:r w:rsidRPr="00A823A9" w:rsidR="00A823A9">
        <w:rPr>
          <w:shd w:val="clear" w:color="auto" w:fill="FFFFFF"/>
        </w:rPr>
        <w:t>Further, 31 U.S.C. 5318(</w:t>
      </w:r>
      <w:r w:rsidRPr="006636B0" w:rsidR="00A823A9">
        <w:rPr>
          <w:shd w:val="clear" w:color="auto" w:fill="FFFFFF"/>
        </w:rPr>
        <w:t>l</w:t>
      </w:r>
      <w:r w:rsidRPr="00A823A9" w:rsidR="00A823A9">
        <w:rPr>
          <w:shd w:val="clear" w:color="auto" w:fill="FFFFFF"/>
        </w:rPr>
        <w:t xml:space="preserve">)(4) requires that implementing regulations for certain types of financial </w:t>
      </w:r>
      <w:r w:rsidRPr="00A823A9" w:rsidR="00A823A9">
        <w:rPr>
          <w:shd w:val="clear" w:color="auto" w:fill="FFFFFF"/>
        </w:rPr>
        <w:t>institutions</w:t>
      </w:r>
      <w:r w:rsidR="00A823A9">
        <w:rPr>
          <w:shd w:val="clear" w:color="auto" w:fill="FFFFFF"/>
        </w:rPr>
        <w:t xml:space="preserve"> </w:t>
      </w:r>
      <w:r w:rsidRPr="00A823A9" w:rsidR="00A823A9">
        <w:rPr>
          <w:shd w:val="clear" w:color="auto" w:fill="FFFFFF"/>
        </w:rPr>
        <w:t>be prescribed jointly with the appropriate Federal functional regulator (as defined in section 509 of the Gramm-Leach-Bliley Act</w:t>
      </w:r>
      <w:r w:rsidR="00A4144E">
        <w:rPr>
          <w:shd w:val="clear" w:color="auto" w:fill="FFFFFF"/>
        </w:rPr>
        <w:t>, Pub. L. 106-102 (Nov. 12, 1999)</w:t>
      </w:r>
      <w:r w:rsidRPr="00A823A9" w:rsidR="00A823A9">
        <w:rPr>
          <w:shd w:val="clear" w:color="auto" w:fill="FFFFFF"/>
        </w:rPr>
        <w:t>).</w:t>
      </w:r>
      <w:r>
        <w:rPr>
          <w:rStyle w:val="FootnoteReference"/>
          <w:shd w:val="clear" w:color="auto" w:fill="FFFFFF"/>
          <w:vertAlign w:val="superscript"/>
        </w:rPr>
        <w:footnoteReference w:id="7"/>
      </w:r>
      <w:r w:rsidRPr="00A823A9" w:rsidR="00A823A9">
        <w:rPr>
          <w:shd w:val="clear" w:color="auto" w:fill="FFFFFF"/>
          <w:vertAlign w:val="superscript"/>
        </w:rPr>
        <w:t> </w:t>
      </w:r>
    </w:p>
    <w:p w:rsidR="00CD19DC" w:rsidP="00CD19DC" w14:paraId="44731E47" w14:textId="47E96914">
      <w:pPr>
        <w:pStyle w:val="NormalWeb"/>
        <w:ind w:firstLine="720"/>
      </w:pPr>
      <w:r>
        <w:t xml:space="preserve">FinCEN and the SEC </w:t>
      </w:r>
      <w:r w:rsidR="0062479C">
        <w:t>issued</w:t>
      </w:r>
      <w:r>
        <w:t xml:space="preserve"> this joint NPRM following a </w:t>
      </w:r>
      <w:r>
        <w:t xml:space="preserve">separate </w:t>
      </w:r>
      <w:r>
        <w:t>February 2024 NPRM</w:t>
      </w:r>
      <w:r>
        <w:rPr>
          <w:rStyle w:val="FootnoteReference"/>
          <w:vertAlign w:val="superscript"/>
        </w:rPr>
        <w:footnoteReference w:id="8"/>
      </w:r>
      <w:r>
        <w:t xml:space="preserve"> issued by FinCEN that proposed</w:t>
      </w:r>
      <w:r>
        <w:t xml:space="preserve"> to</w:t>
      </w:r>
      <w:r>
        <w:t xml:space="preserve">, among other things, include RIAs and ERAs in the definition of “financial institution” under the BSA, prescribe minimum standards for anti-money laundering/countering the financing of terrorism (AML/CFT) programs to be established by such investment advisers, </w:t>
      </w:r>
      <w:r>
        <w:t xml:space="preserve">and </w:t>
      </w:r>
      <w:r>
        <w:t xml:space="preserve">require such investment advisers to report suspicious activity to FinCEN pursuant to the BSA. </w:t>
      </w:r>
      <w:r>
        <w:t>If</w:t>
      </w:r>
      <w:r>
        <w:t xml:space="preserve"> </w:t>
      </w:r>
      <w:r w:rsidR="002F0FE0">
        <w:t>the February 2024 NPRM is finalized</w:t>
      </w:r>
      <w:r w:rsidR="0050188C">
        <w:t xml:space="preserve"> and RIAs and ERA are thereby included in the definition of “financial institution</w:t>
      </w:r>
      <w:r w:rsidR="002F0FE0">
        <w:t>,</w:t>
      </w:r>
      <w:r w:rsidR="0050188C">
        <w:t>”</w:t>
      </w:r>
      <w:r w:rsidR="002F0FE0">
        <w:t xml:space="preserve"> the </w:t>
      </w:r>
      <w:r w:rsidR="00290B6B">
        <w:t>BSA</w:t>
      </w:r>
      <w:r>
        <w:t xml:space="preserve"> would</w:t>
      </w:r>
      <w:r w:rsidRPr="009B3AF2">
        <w:t xml:space="preserve"> require the Secretary and the</w:t>
      </w:r>
      <w:r>
        <w:t xml:space="preserve"> appropriate Federal functional regulator (which, for RIAs and ERAs, is the SEC)</w:t>
      </w:r>
      <w:r w:rsidRPr="009B3AF2">
        <w:t xml:space="preserve"> to jointly </w:t>
      </w:r>
      <w:r w:rsidR="0050188C">
        <w:t xml:space="preserve">impose </w:t>
      </w:r>
      <w:r>
        <w:t>CIP obligations</w:t>
      </w:r>
      <w:r w:rsidR="0050188C">
        <w:t xml:space="preserve"> on RIAs and ERAs</w:t>
      </w:r>
      <w:r>
        <w:t>.</w:t>
      </w:r>
      <w:r>
        <w:rPr>
          <w:rStyle w:val="FootnoteReference"/>
          <w:vertAlign w:val="superscript"/>
        </w:rPr>
        <w:footnoteReference w:id="9"/>
      </w:r>
      <w:r>
        <w:t xml:space="preserve"> </w:t>
      </w:r>
      <w:r w:rsidR="002F0FE0">
        <w:t xml:space="preserve">The </w:t>
      </w:r>
      <w:r w:rsidR="002A4DC8">
        <w:t xml:space="preserve">proposed </w:t>
      </w:r>
      <w:r>
        <w:t xml:space="preserve">rule </w:t>
      </w:r>
      <w:r w:rsidR="002A4DC8">
        <w:t>related to this statement</w:t>
      </w:r>
      <w:r>
        <w:t xml:space="preserve"> would fulfill this requirement.</w:t>
      </w:r>
    </w:p>
    <w:p w:rsidR="00CD19DC" w:rsidP="00CD19DC" w14:paraId="756A1999" w14:textId="63E69204">
      <w:pPr>
        <w:pStyle w:val="NormalWeb"/>
        <w:ind w:firstLine="720"/>
      </w:pPr>
      <w:r>
        <w:t>CIP obligations are a</w:t>
      </w:r>
      <w:r w:rsidRPr="00B40928">
        <w:t xml:space="preserve"> long-standing foundational component of a financial institution’s </w:t>
      </w:r>
      <w:r>
        <w:t>AML/CFT</w:t>
      </w:r>
      <w:r w:rsidRPr="00B40928">
        <w:t xml:space="preserve"> program requirements. </w:t>
      </w:r>
      <w:r w:rsidRPr="00A94E45">
        <w:t xml:space="preserve">This </w:t>
      </w:r>
      <w:r>
        <w:t>NPRM</w:t>
      </w:r>
      <w:r w:rsidRPr="00A94E45">
        <w:t xml:space="preserve"> is generally consistent with existing </w:t>
      </w:r>
      <w:r w:rsidR="001D0E11">
        <w:t xml:space="preserve">FinCEN </w:t>
      </w:r>
      <w:r w:rsidRPr="00A94E45">
        <w:t xml:space="preserve">rules requiring other </w:t>
      </w:r>
      <w:r w:rsidR="00696BD3">
        <w:t xml:space="preserve">comparable </w:t>
      </w:r>
      <w:r w:rsidRPr="00A94E45">
        <w:t xml:space="preserve">financial institutions, such as </w:t>
      </w:r>
      <w:r>
        <w:t>banks, broker-</w:t>
      </w:r>
      <w:r w:rsidRPr="00A94E45">
        <w:t xml:space="preserve">dealers, mutual funds, </w:t>
      </w:r>
      <w:r w:rsidR="00BA3E4F">
        <w:t>and futures commission merchants and introducing brokers in commodities</w:t>
      </w:r>
      <w:r w:rsidR="007B1D97">
        <w:t xml:space="preserve"> (FCM-IBCs)</w:t>
      </w:r>
      <w:r w:rsidR="00BA3E4F">
        <w:t xml:space="preserve">, </w:t>
      </w:r>
      <w:r w:rsidRPr="00A94E45">
        <w:t>to adopt and implement CIPs.</w:t>
      </w:r>
      <w:r>
        <w:rPr>
          <w:vertAlign w:val="superscript"/>
        </w:rPr>
        <w:footnoteReference w:id="10"/>
      </w:r>
      <w:r>
        <w:t xml:space="preserve"> Consistent with these previous CIP rulemakings and the requirements included in section 326</w:t>
      </w:r>
      <w:r w:rsidR="00587023">
        <w:t xml:space="preserve"> </w:t>
      </w:r>
      <w:r w:rsidRPr="0077736D" w:rsidR="00587023">
        <w:t>of the USA PATRIOT Act</w:t>
      </w:r>
      <w:r>
        <w:t>, RIAs and ERAs</w:t>
      </w:r>
      <w:r w:rsidR="006C7D1E">
        <w:t xml:space="preserve"> </w:t>
      </w:r>
      <w:r>
        <w:t xml:space="preserve">under this NRPM would be required to establish, document, and maintain a written CIP </w:t>
      </w:r>
      <w:r w:rsidR="00146DAE">
        <w:t xml:space="preserve">appropriate for their respective sizes and businesses. The CIP would </w:t>
      </w:r>
      <w:r w:rsidRPr="00146DAE" w:rsidR="00146DAE">
        <w:t xml:space="preserve">include risk-based procedures for verifying the identity of each customer to the extent reasonable and practicable within a reasonable time before or after the customer’s account is opened. The procedures would have to enable the RIA </w:t>
      </w:r>
      <w:r w:rsidR="006C7D1E">
        <w:t>or</w:t>
      </w:r>
      <w:r w:rsidRPr="00146DAE" w:rsidR="00146DAE">
        <w:t xml:space="preserve"> ERA to form a reasonable belief that it knows the </w:t>
      </w:r>
      <w:r w:rsidRPr="00146DAE" w:rsidR="00146DAE">
        <w:t>true identity</w:t>
      </w:r>
      <w:r w:rsidRPr="00146DAE" w:rsidR="00146DAE">
        <w:t xml:space="preserve"> of each customer. RIAs and ERAs would be required to obtain certain identifying information with respect to each customer, such as the customer’s name, date of birth or date of formation, address, and identification number. The proposed rule would also include procedures for, among other things, maintaining records of the information used to verify a customer’s identity</w:t>
      </w:r>
      <w:r w:rsidR="00146DAE">
        <w:t xml:space="preserve">, </w:t>
      </w:r>
      <w:r w:rsidRPr="00146DAE" w:rsidR="00146DAE">
        <w:t>notifying customers that the adviser is requesting information to verify their identities</w:t>
      </w:r>
      <w:r w:rsidR="00146DAE">
        <w:t xml:space="preserve">, and </w:t>
      </w:r>
      <w:r>
        <w:t xml:space="preserve">determining whether a customer appears on any list of known or suspected terrorists or terrorist organizations. </w:t>
      </w:r>
    </w:p>
    <w:p w:rsidR="00DA45F2" w:rsidRPr="0077736D" w:rsidP="00CD19DC" w14:paraId="2B072D0D" w14:textId="262F6DB9">
      <w:pPr>
        <w:pStyle w:val="NormalWeb"/>
        <w:ind w:firstLine="720"/>
      </w:pPr>
      <w:r w:rsidRPr="002A0D7C">
        <w:rPr>
          <w:w w:val="0"/>
        </w:rPr>
        <w:t xml:space="preserve">The similarity between this </w:t>
      </w:r>
      <w:r>
        <w:rPr>
          <w:w w:val="0"/>
        </w:rPr>
        <w:t>NPRM</w:t>
      </w:r>
      <w:r w:rsidRPr="002A0D7C">
        <w:rPr>
          <w:w w:val="0"/>
        </w:rPr>
        <w:t xml:space="preserve"> and </w:t>
      </w:r>
      <w:r>
        <w:rPr>
          <w:w w:val="0"/>
        </w:rPr>
        <w:t>previous CIP</w:t>
      </w:r>
      <w:r w:rsidRPr="002A0D7C">
        <w:rPr>
          <w:w w:val="0"/>
        </w:rPr>
        <w:t xml:space="preserve"> rules reflects the importance that FinCEN and the SEC assign to the harmonization of CIP requirements</w:t>
      </w:r>
      <w:r>
        <w:rPr>
          <w:w w:val="0"/>
        </w:rPr>
        <w:t xml:space="preserve">, </w:t>
      </w:r>
      <w:r w:rsidRPr="002A0D7C">
        <w:rPr>
          <w:w w:val="0"/>
        </w:rPr>
        <w:t>including for the purposes of increasing effectiveness and efficiency for investment advisers that are affiliated with other financial institutions, such as banks, broker-dealers, or mutual funds that are already subject to CIP requirements</w:t>
      </w:r>
      <w:r>
        <w:rPr>
          <w:w w:val="0"/>
        </w:rPr>
        <w:t xml:space="preserve">. Further, to be consistent with the February 2024 NPRM, </w:t>
      </w:r>
      <w:r>
        <w:t xml:space="preserve">this proposal notes that an investment adviser may deem the CIP requirements included herein to be </w:t>
      </w:r>
      <w:r>
        <w:t>satisfied for any mutual fund it advises if the mutual fund has developed and implemented a CIP that is compliant with CIP requirements applicable to mutual funds.</w:t>
      </w:r>
    </w:p>
    <w:p w:rsidR="00266455" w:rsidRPr="0077736D" w:rsidP="00A37BDD" w14:paraId="5538A023" w14:textId="0D4C4556">
      <w:pPr>
        <w:ind w:firstLine="720"/>
        <w:rPr>
          <w:rFonts w:ascii="Times New Roman" w:hAnsi="Times New Roman"/>
          <w:sz w:val="24"/>
        </w:rPr>
      </w:pPr>
      <w:r w:rsidRPr="0077736D">
        <w:rPr>
          <w:rFonts w:ascii="Times New Roman" w:hAnsi="Times New Roman"/>
          <w:sz w:val="24"/>
        </w:rPr>
        <w:t xml:space="preserve">The U.S. Department of the Treasury (Treasury) </w:t>
      </w:r>
      <w:r w:rsidRPr="0077736D">
        <w:rPr>
          <w:rFonts w:ascii="Times New Roman" w:hAnsi="Times New Roman"/>
          <w:sz w:val="24"/>
        </w:rPr>
        <w:t xml:space="preserve">has identified material illicit finance risks involving </w:t>
      </w:r>
      <w:r w:rsidRPr="0077736D" w:rsidR="2F245A27">
        <w:rPr>
          <w:rFonts w:ascii="Times New Roman" w:hAnsi="Times New Roman"/>
          <w:sz w:val="24"/>
        </w:rPr>
        <w:t>investment advisers</w:t>
      </w:r>
      <w:r w:rsidRPr="0077736D">
        <w:rPr>
          <w:rFonts w:ascii="Times New Roman" w:hAnsi="Times New Roman"/>
          <w:sz w:val="24"/>
        </w:rPr>
        <w:t>.</w:t>
      </w:r>
      <w:r w:rsidRPr="0077736D" w:rsidR="009F2222">
        <w:rPr>
          <w:rFonts w:ascii="Times New Roman" w:hAnsi="Times New Roman"/>
          <w:sz w:val="24"/>
        </w:rPr>
        <w:t xml:space="preserve"> </w:t>
      </w:r>
      <w:r w:rsidRPr="0077736D" w:rsidR="2F245A27">
        <w:rPr>
          <w:rFonts w:ascii="Times New Roman" w:hAnsi="Times New Roman"/>
          <w:sz w:val="24"/>
        </w:rPr>
        <w:t xml:space="preserve">Investment advisers, as gatekeepers to the U.S. financial system, have been used as an entry point by criminal actors to invest in U.S. assets, and by foreign adversaries to access sensitive information and technology from early-stage companies. Currently, thousands of investment advisers overseeing tens of trillions of dollars are generally not subject to comprehensive AML/CFT requirements. </w:t>
      </w:r>
      <w:r w:rsidR="00CD19DC">
        <w:rPr>
          <w:rFonts w:ascii="Times New Roman" w:hAnsi="Times New Roman"/>
          <w:sz w:val="24"/>
        </w:rPr>
        <w:t xml:space="preserve">This rulemaking seeks to help prevent illicit finance activity involving the customers of investment advisers, by requiring that certain investment advisers take steps to verify the identifies of their customers. </w:t>
      </w:r>
    </w:p>
    <w:p w:rsidR="00A80AEF" w:rsidRPr="0077736D" w:rsidP="00DB14A3" w14:paraId="28366D85" w14:textId="045E3434">
      <w:pPr>
        <w:rPr>
          <w:rFonts w:ascii="Times New Roman" w:hAnsi="Times New Roman"/>
          <w:sz w:val="24"/>
        </w:rPr>
      </w:pPr>
    </w:p>
    <w:p w:rsidR="00A80AEF" w:rsidRPr="0077736D" w:rsidP="00A80AEF" w14:paraId="4B1455EA" w14:textId="77777777">
      <w:pPr>
        <w:rPr>
          <w:rFonts w:ascii="Times New Roman" w:hAnsi="Times New Roman"/>
          <w:sz w:val="24"/>
          <w:u w:val="single"/>
        </w:rPr>
      </w:pPr>
      <w:r w:rsidRPr="0077736D">
        <w:rPr>
          <w:rFonts w:ascii="Times New Roman" w:hAnsi="Times New Roman"/>
          <w:sz w:val="24"/>
        </w:rPr>
        <w:t xml:space="preserve">2. </w:t>
      </w:r>
      <w:r w:rsidRPr="0077736D">
        <w:rPr>
          <w:rFonts w:ascii="Times New Roman" w:hAnsi="Times New Roman"/>
          <w:sz w:val="24"/>
          <w:u w:val="single"/>
        </w:rPr>
        <w:t>Method of collection and use of data.</w:t>
      </w:r>
    </w:p>
    <w:p w:rsidR="00C24331" w:rsidRPr="0077736D" w:rsidP="00B5485F" w14:paraId="333DA27C" w14:textId="77777777">
      <w:pPr>
        <w:pStyle w:val="BodyTextIndent3"/>
        <w:ind w:left="0"/>
      </w:pPr>
    </w:p>
    <w:p w:rsidR="00BE60E1" w:rsidP="00C24331" w14:paraId="2298BCB5" w14:textId="16773C16">
      <w:pPr>
        <w:pStyle w:val="BodyTextIndent3"/>
        <w:ind w:left="0" w:firstLine="720"/>
        <w:rPr>
          <w:bCs/>
        </w:rPr>
      </w:pPr>
      <w:r w:rsidRPr="0077736D">
        <w:t xml:space="preserve">The proposed rule would require </w:t>
      </w:r>
      <w:r w:rsidRPr="0077736D" w:rsidR="009C1C51">
        <w:t>certain investment advisers</w:t>
      </w:r>
      <w:r w:rsidR="007F287C">
        <w:t xml:space="preserve"> (RIAs and ERAs)</w:t>
      </w:r>
      <w:r w:rsidRPr="0077736D" w:rsidR="34E1DA4F">
        <w:t xml:space="preserve"> to</w:t>
      </w:r>
      <w:r w:rsidRPr="0077736D">
        <w:t xml:space="preserve"> </w:t>
      </w:r>
      <w:r w:rsidRPr="00E71678" w:rsidR="00E71678">
        <w:rPr>
          <w:bCs/>
        </w:rPr>
        <w:t xml:space="preserve">establish, document, and maintain a written CIP as part of </w:t>
      </w:r>
      <w:r>
        <w:rPr>
          <w:bCs/>
        </w:rPr>
        <w:t>their</w:t>
      </w:r>
      <w:r w:rsidRPr="00E71678">
        <w:rPr>
          <w:bCs/>
        </w:rPr>
        <w:t xml:space="preserve"> </w:t>
      </w:r>
      <w:r w:rsidRPr="00E71678" w:rsidR="00E71678">
        <w:rPr>
          <w:bCs/>
        </w:rPr>
        <w:t>AML/CFT program</w:t>
      </w:r>
      <w:r>
        <w:rPr>
          <w:bCs/>
        </w:rPr>
        <w:t>s</w:t>
      </w:r>
      <w:r w:rsidR="00E71678">
        <w:rPr>
          <w:bCs/>
        </w:rPr>
        <w:t xml:space="preserve"> </w:t>
      </w:r>
      <w:r w:rsidRPr="00E71678" w:rsidR="00E71678">
        <w:rPr>
          <w:bCs/>
        </w:rPr>
        <w:t>under 31 U.S.C. 5318(h).</w:t>
      </w:r>
      <w:r w:rsidR="00E71678">
        <w:rPr>
          <w:bCs/>
        </w:rPr>
        <w:t xml:space="preserve"> </w:t>
      </w:r>
      <w:r w:rsidRPr="00E71678" w:rsidR="00E71678">
        <w:rPr>
          <w:bCs/>
        </w:rPr>
        <w:t xml:space="preserve">The proposed rule would require that </w:t>
      </w:r>
      <w:r w:rsidR="00BE1880">
        <w:rPr>
          <w:bCs/>
        </w:rPr>
        <w:t>an investment adviser’s</w:t>
      </w:r>
      <w:r w:rsidRPr="00E71678" w:rsidR="00E71678">
        <w:rPr>
          <w:bCs/>
        </w:rPr>
        <w:t xml:space="preserve"> CIP be appropriate for its size and business </w:t>
      </w:r>
      <w:r w:rsidR="00E71678">
        <w:rPr>
          <w:bCs/>
        </w:rPr>
        <w:t xml:space="preserve">and </w:t>
      </w:r>
      <w:r w:rsidRPr="00E71678" w:rsidR="00E71678">
        <w:rPr>
          <w:bCs/>
        </w:rPr>
        <w:t>that</w:t>
      </w:r>
      <w:r>
        <w:rPr>
          <w:bCs/>
        </w:rPr>
        <w:t xml:space="preserve"> </w:t>
      </w:r>
      <w:r w:rsidR="002E4D8F">
        <w:rPr>
          <w:bCs/>
        </w:rPr>
        <w:t>the CIP</w:t>
      </w:r>
      <w:r w:rsidRPr="00E71678" w:rsidR="00E71678">
        <w:rPr>
          <w:bCs/>
        </w:rPr>
        <w:t>, at a minimum, include</w:t>
      </w:r>
      <w:r>
        <w:rPr>
          <w:bCs/>
        </w:rPr>
        <w:t>:</w:t>
      </w:r>
    </w:p>
    <w:p w:rsidR="00BE60E1" w:rsidP="00C24331" w14:paraId="01BD4A01" w14:textId="77777777">
      <w:pPr>
        <w:pStyle w:val="BodyTextIndent3"/>
        <w:ind w:left="0" w:firstLine="720"/>
        <w:rPr>
          <w:bCs/>
        </w:rPr>
      </w:pPr>
    </w:p>
    <w:p w:rsidR="00BE60E1" w:rsidP="006C7D1E" w14:paraId="337D97F3" w14:textId="5D50D51B">
      <w:pPr>
        <w:pStyle w:val="BodyTextIndent3"/>
        <w:numPr>
          <w:ilvl w:val="0"/>
          <w:numId w:val="4"/>
        </w:numPr>
        <w:ind w:left="720"/>
        <w:rPr>
          <w:bCs/>
        </w:rPr>
      </w:pPr>
      <w:r>
        <w:rPr>
          <w:bCs/>
        </w:rPr>
        <w:t xml:space="preserve">implementing </w:t>
      </w:r>
      <w:r w:rsidR="00E71678">
        <w:rPr>
          <w:bCs/>
        </w:rPr>
        <w:t xml:space="preserve">risk-based procedures for verifying the identify of </w:t>
      </w:r>
      <w:r>
        <w:rPr>
          <w:bCs/>
        </w:rPr>
        <w:t xml:space="preserve">a </w:t>
      </w:r>
      <w:r w:rsidR="00E71678">
        <w:rPr>
          <w:bCs/>
        </w:rPr>
        <w:t>customer</w:t>
      </w:r>
      <w:r w:rsidR="00BE1880">
        <w:rPr>
          <w:bCs/>
        </w:rPr>
        <w:t xml:space="preserve"> within a reasonable time before or after the customer’s account is </w:t>
      </w:r>
      <w:r w:rsidR="00BE1880">
        <w:rPr>
          <w:bCs/>
        </w:rPr>
        <w:t>opened;</w:t>
      </w:r>
    </w:p>
    <w:p w:rsidR="00BE60E1" w:rsidP="006C7D1E" w14:paraId="0000E950" w14:textId="29BBEC8C">
      <w:pPr>
        <w:pStyle w:val="BodyTextIndent3"/>
        <w:numPr>
          <w:ilvl w:val="0"/>
          <w:numId w:val="4"/>
        </w:numPr>
        <w:ind w:left="720"/>
        <w:rPr>
          <w:bCs/>
        </w:rPr>
      </w:pPr>
      <w:r>
        <w:rPr>
          <w:bCs/>
        </w:rPr>
        <w:t>obtaining minimum customer identification information, including (1) name, (2) date of birth</w:t>
      </w:r>
      <w:r w:rsidR="00EC1991">
        <w:rPr>
          <w:bCs/>
        </w:rPr>
        <w:t xml:space="preserve"> for an individual, or date of formation for a person that is not an individual</w:t>
      </w:r>
      <w:r>
        <w:rPr>
          <w:bCs/>
        </w:rPr>
        <w:t xml:space="preserve">, (3) address, </w:t>
      </w:r>
      <w:r>
        <w:rPr>
          <w:bCs/>
        </w:rPr>
        <w:t xml:space="preserve">and </w:t>
      </w:r>
      <w:r>
        <w:rPr>
          <w:bCs/>
        </w:rPr>
        <w:t xml:space="preserve">(4) identification </w:t>
      </w:r>
      <w:r>
        <w:rPr>
          <w:bCs/>
        </w:rPr>
        <w:t>number;</w:t>
      </w:r>
    </w:p>
    <w:p w:rsidR="00BE60E1" w:rsidP="006C7D1E" w14:paraId="2D21CA97" w14:textId="77A59AFB">
      <w:pPr>
        <w:pStyle w:val="BodyTextIndent3"/>
        <w:numPr>
          <w:ilvl w:val="0"/>
          <w:numId w:val="4"/>
        </w:numPr>
        <w:ind w:left="720"/>
        <w:rPr>
          <w:bCs/>
        </w:rPr>
      </w:pPr>
      <w:r>
        <w:rPr>
          <w:bCs/>
        </w:rPr>
        <w:t xml:space="preserve">implementing risk-based procedures for verifying the </w:t>
      </w:r>
      <w:r w:rsidR="00EC1991">
        <w:rPr>
          <w:bCs/>
        </w:rPr>
        <w:t>identity of each customer to the extent reasonable and practicable, such that the investment adviser is able to</w:t>
      </w:r>
      <w:r>
        <w:rPr>
          <w:bCs/>
        </w:rPr>
        <w:t xml:space="preserve"> form a reasonable belief that it knows the true </w:t>
      </w:r>
      <w:r>
        <w:rPr>
          <w:bCs/>
        </w:rPr>
        <w:t>identify</w:t>
      </w:r>
      <w:r>
        <w:rPr>
          <w:bCs/>
        </w:rPr>
        <w:t xml:space="preserve"> of the </w:t>
      </w:r>
      <w:r>
        <w:rPr>
          <w:bCs/>
        </w:rPr>
        <w:t>customer;</w:t>
      </w:r>
    </w:p>
    <w:p w:rsidR="006E489F" w:rsidP="00BE60E1" w14:paraId="3BAAECE3" w14:textId="35BECD51">
      <w:pPr>
        <w:pStyle w:val="BodyTextIndent3"/>
        <w:numPr>
          <w:ilvl w:val="0"/>
          <w:numId w:val="4"/>
        </w:numPr>
        <w:ind w:left="720"/>
        <w:rPr>
          <w:bCs/>
        </w:rPr>
      </w:pPr>
      <w:r>
        <w:rPr>
          <w:bCs/>
        </w:rPr>
        <w:t xml:space="preserve">making and maintaining records relating to customer identity and </w:t>
      </w:r>
      <w:r>
        <w:rPr>
          <w:bCs/>
        </w:rPr>
        <w:t>verification;</w:t>
      </w:r>
      <w:r>
        <w:rPr>
          <w:bCs/>
        </w:rPr>
        <w:t xml:space="preserve"> </w:t>
      </w:r>
    </w:p>
    <w:p w:rsidR="00BE60E1" w:rsidP="006C7D1E" w14:paraId="0BC957E4" w14:textId="1859931B">
      <w:pPr>
        <w:pStyle w:val="BodyTextIndent3"/>
        <w:numPr>
          <w:ilvl w:val="0"/>
          <w:numId w:val="4"/>
        </w:numPr>
        <w:ind w:left="720"/>
        <w:rPr>
          <w:bCs/>
        </w:rPr>
      </w:pPr>
      <w:r>
        <w:rPr>
          <w:bCs/>
        </w:rPr>
        <w:t xml:space="preserve">determining whether </w:t>
      </w:r>
      <w:r w:rsidR="006E489F">
        <w:rPr>
          <w:bCs/>
        </w:rPr>
        <w:t xml:space="preserve">the </w:t>
      </w:r>
      <w:r>
        <w:rPr>
          <w:bCs/>
        </w:rPr>
        <w:t>customer a</w:t>
      </w:r>
      <w:r w:rsidR="007E62C7">
        <w:rPr>
          <w:bCs/>
        </w:rPr>
        <w:t>ppears on any list of known or suspected terrorists or terrorist organizations provided by a government agency; and</w:t>
      </w:r>
    </w:p>
    <w:p w:rsidR="00E71678" w14:paraId="7654C91D" w14:textId="57AC65C7">
      <w:pPr>
        <w:pStyle w:val="BodyTextIndent3"/>
        <w:numPr>
          <w:ilvl w:val="0"/>
          <w:numId w:val="4"/>
        </w:numPr>
        <w:ind w:left="720"/>
      </w:pPr>
      <w:r>
        <w:rPr>
          <w:bCs/>
        </w:rPr>
        <w:t>providing notice to customers regarding these identity verification procedures.</w:t>
      </w:r>
    </w:p>
    <w:p w:rsidR="00A808B4" w:rsidP="00A808B4" w14:paraId="7E576187" w14:textId="77777777">
      <w:pPr>
        <w:pStyle w:val="BodyTextIndent3"/>
        <w:rPr>
          <w:bCs/>
        </w:rPr>
      </w:pPr>
    </w:p>
    <w:p w:rsidR="00A808B4" w:rsidP="00A808B4" w14:paraId="125604BB" w14:textId="60D18655">
      <w:pPr>
        <w:pStyle w:val="BodyTextIndent3"/>
        <w:ind w:left="0" w:firstLine="720"/>
      </w:pPr>
      <w:r w:rsidRPr="00A808B4">
        <w:t xml:space="preserve">The information on the customer’s identification maintained by </w:t>
      </w:r>
      <w:r>
        <w:t xml:space="preserve">RIAs and ERAs </w:t>
      </w:r>
      <w:r w:rsidRPr="00A808B4">
        <w:t xml:space="preserve">is made available to appropriate government authorities only upon request.  Compliance with these requirements will be reviewed by Federal agencies </w:t>
      </w:r>
      <w:r w:rsidRPr="00A808B4">
        <w:t>during the course of</w:t>
      </w:r>
      <w:r w:rsidRPr="00A808B4">
        <w:t xml:space="preserve"> BSA examinations.</w:t>
      </w:r>
    </w:p>
    <w:p w:rsidR="00E71678" w:rsidP="00C24331" w14:paraId="786C30C9" w14:textId="77777777">
      <w:pPr>
        <w:pStyle w:val="BodyTextIndent3"/>
        <w:ind w:left="0" w:firstLine="720"/>
      </w:pPr>
    </w:p>
    <w:p w:rsidR="00A80AEF" w:rsidRPr="0077736D" w:rsidP="00A80AEF" w14:paraId="3D90A7A5" w14:textId="77777777">
      <w:pPr>
        <w:pStyle w:val="BodyTextIndent3"/>
        <w:ind w:left="0"/>
        <w:rPr>
          <w:u w:val="single"/>
        </w:rPr>
      </w:pPr>
      <w:r w:rsidRPr="0077736D">
        <w:t xml:space="preserve">3. </w:t>
      </w:r>
      <w:r w:rsidRPr="0077736D">
        <w:rPr>
          <w:u w:val="single"/>
        </w:rPr>
        <w:t>Use of improved information technology to reduce burden.</w:t>
      </w:r>
    </w:p>
    <w:p w:rsidR="00A80AEF" w:rsidRPr="0077736D" w:rsidP="00A80AEF" w14:paraId="717C3BB5" w14:textId="77777777">
      <w:pPr>
        <w:pStyle w:val="BodyTextIndent3"/>
        <w:ind w:left="0"/>
        <w:rPr>
          <w:u w:val="single"/>
        </w:rPr>
      </w:pPr>
    </w:p>
    <w:p w:rsidR="00845B3E" w:rsidRPr="0077736D" w:rsidP="0002405E" w14:paraId="59E9EE27" w14:textId="27377922">
      <w:pPr>
        <w:pStyle w:val="BodyTextIndent3"/>
        <w:ind w:left="0" w:firstLine="720"/>
      </w:pPr>
      <w:r w:rsidRPr="0077736D">
        <w:t>FinCEN expects that compliance with the proposed requirements would necessitate the use of information technology systems</w:t>
      </w:r>
      <w:r w:rsidR="007E62C7">
        <w:t xml:space="preserve"> to obtain identifying information from customers, verify the </w:t>
      </w:r>
      <w:r w:rsidR="008C674C">
        <w:t>identity of each customer to the extent reasonable and practicable</w:t>
      </w:r>
      <w:r w:rsidR="007E62C7">
        <w:t xml:space="preserve">, make and maintain records </w:t>
      </w:r>
      <w:r w:rsidR="0002405E">
        <w:t>relating to customer identity and verification, and determine whether customers appear on any government-provided lists of known or suspected terrorists or terrorist organizations.</w:t>
      </w:r>
      <w:r w:rsidR="00473705">
        <w:t xml:space="preserve"> </w:t>
      </w:r>
      <w:r w:rsidRPr="00473705" w:rsidR="00473705">
        <w:t xml:space="preserve">There is no specific government mandate to do so.  </w:t>
      </w:r>
    </w:p>
    <w:p w:rsidR="00A80AEF" w:rsidRPr="0077736D" w:rsidP="00A80AEF" w14:paraId="40AC8A77" w14:textId="77777777">
      <w:pPr>
        <w:rPr>
          <w:rFonts w:ascii="Times New Roman" w:hAnsi="Times New Roman"/>
          <w:sz w:val="24"/>
        </w:rPr>
      </w:pPr>
    </w:p>
    <w:p w:rsidR="00A80AEF" w:rsidRPr="0077736D" w14:paraId="6274167F" w14:textId="229FF527">
      <w:pPr>
        <w:rPr>
          <w:rFonts w:ascii="Times New Roman" w:hAnsi="Times New Roman"/>
          <w:sz w:val="24"/>
          <w:u w:val="single"/>
        </w:rPr>
      </w:pPr>
      <w:r w:rsidRPr="0077736D">
        <w:rPr>
          <w:rFonts w:ascii="Times New Roman" w:hAnsi="Times New Roman"/>
          <w:sz w:val="24"/>
        </w:rPr>
        <w:t xml:space="preserve">4. </w:t>
      </w:r>
      <w:r w:rsidRPr="0077736D">
        <w:rPr>
          <w:rFonts w:ascii="Times New Roman" w:hAnsi="Times New Roman"/>
          <w:sz w:val="24"/>
          <w:u w:val="single"/>
        </w:rPr>
        <w:t>Efforts to identify duplication.</w:t>
      </w:r>
    </w:p>
    <w:p w:rsidR="00A80AEF" w:rsidRPr="0077736D" w:rsidP="002E752F" w14:paraId="3A5D687A" w14:textId="4DC013BD">
      <w:pPr>
        <w:ind w:firstLine="720"/>
        <w:rPr>
          <w:rFonts w:ascii="Times New Roman" w:hAnsi="Times New Roman"/>
          <w:sz w:val="24"/>
        </w:rPr>
      </w:pPr>
    </w:p>
    <w:p w:rsidR="00C932AF" w:rsidRPr="0077736D" w:rsidP="007759EC" w14:paraId="4C63C49E" w14:textId="77777777">
      <w:pPr>
        <w:ind w:firstLine="720"/>
        <w:rPr>
          <w:rFonts w:ascii="Times New Roman" w:hAnsi="Times New Roman"/>
          <w:sz w:val="24"/>
        </w:rPr>
      </w:pPr>
      <w:r w:rsidRPr="0077736D">
        <w:rPr>
          <w:rFonts w:ascii="Times New Roman" w:hAnsi="Times New Roman"/>
          <w:sz w:val="24"/>
        </w:rPr>
        <w:t xml:space="preserve">There are no Federal rules that directly and fully duplicate, overlap, or conflict with the proposed rule.  </w:t>
      </w:r>
    </w:p>
    <w:p w:rsidR="00C932AF" w:rsidRPr="0077736D" w:rsidP="007759EC" w14:paraId="4F57C639" w14:textId="77777777">
      <w:pPr>
        <w:ind w:firstLine="720"/>
        <w:rPr>
          <w:rFonts w:ascii="Times New Roman" w:hAnsi="Times New Roman"/>
          <w:sz w:val="24"/>
        </w:rPr>
      </w:pPr>
    </w:p>
    <w:p w:rsidR="0002405E" w:rsidP="007759EC" w14:paraId="4E38A43B" w14:textId="6F66E416">
      <w:pPr>
        <w:ind w:firstLine="720"/>
        <w:rPr>
          <w:rFonts w:ascii="Times New Roman" w:hAnsi="Times New Roman"/>
          <w:sz w:val="24"/>
        </w:rPr>
      </w:pPr>
      <w:r w:rsidRPr="0002405E">
        <w:rPr>
          <w:rFonts w:ascii="Times New Roman" w:hAnsi="Times New Roman"/>
          <w:sz w:val="24"/>
        </w:rPr>
        <w:t xml:space="preserve">While investment advisers are not currently defined as financial institutions under the BSA and are </w:t>
      </w:r>
      <w:r w:rsidR="000F581A">
        <w:rPr>
          <w:rFonts w:ascii="Times New Roman" w:hAnsi="Times New Roman"/>
          <w:sz w:val="24"/>
        </w:rPr>
        <w:t xml:space="preserve">therefore </w:t>
      </w:r>
      <w:r w:rsidRPr="0002405E">
        <w:rPr>
          <w:rFonts w:ascii="Times New Roman" w:hAnsi="Times New Roman"/>
          <w:sz w:val="24"/>
        </w:rPr>
        <w:t>not subject to CIP requirements, certain investment advisers already perform AML/CFT functions, including those associated with a CIP, as a result of existing requirements.</w:t>
      </w:r>
      <w:r>
        <w:rPr>
          <w:rStyle w:val="FootnoteReference"/>
          <w:rFonts w:ascii="Times New Roman" w:hAnsi="Times New Roman"/>
          <w:sz w:val="24"/>
          <w:vertAlign w:val="superscript"/>
        </w:rPr>
        <w:footnoteReference w:id="11"/>
      </w:r>
      <w:r w:rsidRPr="0002405E">
        <w:rPr>
          <w:rFonts w:ascii="Times New Roman" w:hAnsi="Times New Roman"/>
          <w:sz w:val="24"/>
        </w:rPr>
        <w:t xml:space="preserve"> Specifically, </w:t>
      </w:r>
      <w:r w:rsidR="00727FE2">
        <w:rPr>
          <w:rFonts w:ascii="Times New Roman" w:hAnsi="Times New Roman"/>
          <w:sz w:val="24"/>
        </w:rPr>
        <w:t>a</w:t>
      </w:r>
      <w:r w:rsidR="000F581A">
        <w:rPr>
          <w:rFonts w:ascii="Times New Roman" w:hAnsi="Times New Roman"/>
          <w:sz w:val="24"/>
        </w:rPr>
        <w:t>n</w:t>
      </w:r>
      <w:r w:rsidRPr="0002405E" w:rsidR="00727FE2">
        <w:rPr>
          <w:rFonts w:ascii="Times New Roman" w:hAnsi="Times New Roman"/>
          <w:sz w:val="24"/>
        </w:rPr>
        <w:t xml:space="preserve"> </w:t>
      </w:r>
      <w:r w:rsidRPr="0002405E">
        <w:rPr>
          <w:rFonts w:ascii="Times New Roman" w:hAnsi="Times New Roman"/>
          <w:sz w:val="24"/>
        </w:rPr>
        <w:t>RIA</w:t>
      </w:r>
      <w:r w:rsidRPr="0002405E">
        <w:rPr>
          <w:rFonts w:ascii="Times New Roman" w:hAnsi="Times New Roman"/>
          <w:sz w:val="24"/>
        </w:rPr>
        <w:t xml:space="preserve"> </w:t>
      </w:r>
      <w:r w:rsidR="00727FE2">
        <w:rPr>
          <w:rFonts w:ascii="Times New Roman" w:hAnsi="Times New Roman"/>
          <w:sz w:val="24"/>
        </w:rPr>
        <w:t>or</w:t>
      </w:r>
      <w:r w:rsidRPr="0002405E">
        <w:rPr>
          <w:rFonts w:ascii="Times New Roman" w:hAnsi="Times New Roman"/>
          <w:sz w:val="24"/>
        </w:rPr>
        <w:t xml:space="preserve"> ERA may perform certain AML/CFT functions, including those associated with a CIP, if the entity is also a registered broker-dealer or a bank (i.e., a dual registrant), or is an operating subsidiary of a bank</w:t>
      </w:r>
      <w:r w:rsidR="00FB2730">
        <w:rPr>
          <w:rFonts w:ascii="Times New Roman" w:hAnsi="Times New Roman"/>
          <w:sz w:val="24"/>
        </w:rPr>
        <w:t xml:space="preserve">. </w:t>
      </w:r>
      <w:r w:rsidR="007848F5">
        <w:rPr>
          <w:rFonts w:ascii="Times New Roman" w:hAnsi="Times New Roman"/>
          <w:sz w:val="24"/>
        </w:rPr>
        <w:t>O</w:t>
      </w:r>
      <w:r w:rsidRPr="0002405E">
        <w:rPr>
          <w:rFonts w:ascii="Times New Roman" w:hAnsi="Times New Roman"/>
          <w:sz w:val="24"/>
        </w:rPr>
        <w:t>ther investment advisers are affiliates of banks or broker-dealers, which may implement an enterprise-wide CIP-compliant AML/CFT program that would include investment advisers. Some investment advisers perform these functions via contract with a broker-dealer (e.g., if the investment adviser performs CIP functions for joint customers) or other financial institutions.</w:t>
      </w:r>
    </w:p>
    <w:p w:rsidR="0002405E" w:rsidP="007759EC" w14:paraId="3904DFDD" w14:textId="77777777">
      <w:pPr>
        <w:ind w:firstLine="720"/>
        <w:rPr>
          <w:rFonts w:ascii="Times New Roman" w:hAnsi="Times New Roman"/>
          <w:sz w:val="24"/>
        </w:rPr>
      </w:pPr>
    </w:p>
    <w:p w:rsidR="0002405E" w:rsidRPr="0002405E" w:rsidP="007759EC" w14:paraId="09EE649D" w14:textId="50CBB3BF">
      <w:pPr>
        <w:ind w:firstLine="720"/>
        <w:rPr>
          <w:rFonts w:ascii="Times New Roman" w:hAnsi="Times New Roman"/>
          <w:sz w:val="24"/>
        </w:rPr>
      </w:pPr>
      <w:r>
        <w:rPr>
          <w:rFonts w:ascii="Times New Roman" w:hAnsi="Times New Roman"/>
          <w:sz w:val="24"/>
        </w:rPr>
        <w:t>To avoid duplication of requirements, the proposed rule would provide that an i</w:t>
      </w:r>
      <w:r w:rsidRPr="0002405E">
        <w:rPr>
          <w:rFonts w:ascii="Times New Roman" w:hAnsi="Times New Roman"/>
          <w:sz w:val="24"/>
        </w:rPr>
        <w:t>nvestment adviser may deem these requirements satisfied for any mutual fund it advises if the mutual fund has developed and implemented a CIP that is compliant with CIP requirements applicable to mutual funds</w:t>
      </w:r>
      <w:r>
        <w:rPr>
          <w:rFonts w:ascii="Times New Roman" w:hAnsi="Times New Roman"/>
          <w:sz w:val="24"/>
        </w:rPr>
        <w:t>.</w:t>
      </w:r>
    </w:p>
    <w:p w:rsidR="00E84FD8" w:rsidRPr="0077736D" w:rsidP="00A55F86" w14:paraId="18C8EB83" w14:textId="77777777">
      <w:pPr>
        <w:spacing w:before="283"/>
        <w:rPr>
          <w:rFonts w:ascii="Times New Roman" w:hAnsi="Times New Roman"/>
          <w:sz w:val="24"/>
        </w:rPr>
      </w:pPr>
      <w:r w:rsidRPr="0077736D">
        <w:rPr>
          <w:rFonts w:ascii="Times New Roman" w:hAnsi="Times New Roman"/>
          <w:sz w:val="24"/>
        </w:rPr>
        <w:t xml:space="preserve">5. </w:t>
      </w:r>
      <w:r w:rsidRPr="0077736D">
        <w:rPr>
          <w:rFonts w:ascii="Times New Roman" w:hAnsi="Times New Roman"/>
          <w:sz w:val="24"/>
          <w:u w:val="single"/>
        </w:rPr>
        <w:t>Methods to minimize burden on small businesses or other small entities.</w:t>
      </w:r>
      <w:r w:rsidRPr="0077736D">
        <w:rPr>
          <w:rFonts w:ascii="Times New Roman" w:hAnsi="Times New Roman"/>
          <w:sz w:val="24"/>
        </w:rPr>
        <w:t xml:space="preserve"> </w:t>
      </w:r>
    </w:p>
    <w:p w:rsidR="76B28D00" w:rsidRPr="0077736D" w:rsidP="002F1286" w14:paraId="48C53A48" w14:textId="5D1BB72A">
      <w:pPr>
        <w:spacing w:before="283"/>
        <w:ind w:firstLine="720"/>
        <w:rPr>
          <w:rFonts w:ascii="Times New Roman" w:hAnsi="Times New Roman"/>
          <w:color w:val="000000" w:themeColor="text1"/>
          <w:sz w:val="24"/>
          <w:vertAlign w:val="superscript"/>
        </w:rPr>
      </w:pPr>
      <w:r w:rsidRPr="0077736D">
        <w:rPr>
          <w:rFonts w:ascii="Times New Roman" w:hAnsi="Times New Roman"/>
          <w:sz w:val="24"/>
        </w:rPr>
        <w:t xml:space="preserve">By </w:t>
      </w:r>
      <w:r w:rsidRPr="0077736D" w:rsidR="002F1286">
        <w:rPr>
          <w:rFonts w:ascii="Times New Roman" w:hAnsi="Times New Roman"/>
          <w:sz w:val="24"/>
        </w:rPr>
        <w:t xml:space="preserve">choosing to apply the requirements of the proposed rule to </w:t>
      </w:r>
      <w:r w:rsidRPr="0077736D">
        <w:rPr>
          <w:rFonts w:ascii="Times New Roman" w:hAnsi="Times New Roman"/>
          <w:sz w:val="24"/>
        </w:rPr>
        <w:t xml:space="preserve">only </w:t>
      </w:r>
      <w:r w:rsidRPr="0077736D" w:rsidR="002F1286">
        <w:rPr>
          <w:rFonts w:ascii="Times New Roman" w:hAnsi="Times New Roman"/>
          <w:sz w:val="24"/>
        </w:rPr>
        <w:t xml:space="preserve">RIAs and ERAs, FinCEN </w:t>
      </w:r>
      <w:r w:rsidRPr="0077736D">
        <w:rPr>
          <w:rFonts w:ascii="Times New Roman" w:hAnsi="Times New Roman"/>
          <w:sz w:val="24"/>
        </w:rPr>
        <w:t xml:space="preserve">is proposing </w:t>
      </w:r>
      <w:r w:rsidRPr="0077736D" w:rsidR="002F1286">
        <w:rPr>
          <w:rFonts w:ascii="Times New Roman" w:hAnsi="Times New Roman"/>
          <w:sz w:val="24"/>
        </w:rPr>
        <w:t>to cover what are</w:t>
      </w:r>
      <w:r w:rsidRPr="0077736D" w:rsidR="00DA61A5">
        <w:rPr>
          <w:rFonts w:ascii="Times New Roman" w:hAnsi="Times New Roman"/>
          <w:sz w:val="24"/>
        </w:rPr>
        <w:t xml:space="preserve"> </w:t>
      </w:r>
      <w:r w:rsidRPr="0077736D" w:rsidR="002F1286">
        <w:rPr>
          <w:rFonts w:ascii="Times New Roman" w:hAnsi="Times New Roman"/>
          <w:sz w:val="24"/>
        </w:rPr>
        <w:t>considered “larger” investment advisers</w:t>
      </w:r>
      <w:r w:rsidRPr="0077736D" w:rsidR="005A1A78">
        <w:rPr>
          <w:rFonts w:ascii="Times New Roman" w:hAnsi="Times New Roman"/>
          <w:sz w:val="24"/>
        </w:rPr>
        <w:t xml:space="preserve">. Investment advisers who </w:t>
      </w:r>
      <w:r w:rsidRPr="0077736D" w:rsidR="002F1286">
        <w:rPr>
          <w:rFonts w:ascii="Times New Roman" w:hAnsi="Times New Roman"/>
          <w:sz w:val="24"/>
        </w:rPr>
        <w:t>have</w:t>
      </w:r>
      <w:r w:rsidRPr="0077736D">
        <w:rPr>
          <w:rFonts w:ascii="Times New Roman" w:hAnsi="Times New Roman"/>
          <w:sz w:val="24"/>
        </w:rPr>
        <w:t xml:space="preserve"> $110 million or more in regulatory </w:t>
      </w:r>
      <w:r w:rsidR="00A91A32">
        <w:rPr>
          <w:rFonts w:ascii="Times New Roman" w:hAnsi="Times New Roman"/>
          <w:sz w:val="24"/>
        </w:rPr>
        <w:t>assets under management (</w:t>
      </w:r>
      <w:r w:rsidRPr="0077736D">
        <w:rPr>
          <w:rFonts w:ascii="Times New Roman" w:hAnsi="Times New Roman"/>
          <w:sz w:val="24"/>
        </w:rPr>
        <w:t>AUM</w:t>
      </w:r>
      <w:r w:rsidR="00A91A32">
        <w:rPr>
          <w:rFonts w:ascii="Times New Roman" w:hAnsi="Times New Roman"/>
          <w:sz w:val="24"/>
        </w:rPr>
        <w:t>)</w:t>
      </w:r>
      <w:r w:rsidRPr="0077736D" w:rsidR="002F1286">
        <w:rPr>
          <w:rFonts w:ascii="Times New Roman" w:hAnsi="Times New Roman"/>
          <w:sz w:val="24"/>
        </w:rPr>
        <w:t xml:space="preserve"> </w:t>
      </w:r>
      <w:r w:rsidRPr="0077736D">
        <w:rPr>
          <w:rFonts w:ascii="Times New Roman" w:hAnsi="Times New Roman"/>
          <w:sz w:val="24"/>
        </w:rPr>
        <w:t>are</w:t>
      </w:r>
      <w:r w:rsidRPr="0077736D" w:rsidR="005A1A78">
        <w:rPr>
          <w:rFonts w:ascii="Times New Roman" w:hAnsi="Times New Roman"/>
          <w:sz w:val="24"/>
        </w:rPr>
        <w:t xml:space="preserve"> generally</w:t>
      </w:r>
      <w:r w:rsidRPr="0077736D">
        <w:rPr>
          <w:rFonts w:ascii="Times New Roman" w:hAnsi="Times New Roman"/>
          <w:sz w:val="24"/>
        </w:rPr>
        <w:t xml:space="preserve"> required to register with the SEC</w:t>
      </w:r>
      <w:r w:rsidRPr="0077736D" w:rsidR="0087244F">
        <w:rPr>
          <w:rFonts w:ascii="Times New Roman" w:hAnsi="Times New Roman"/>
          <w:sz w:val="24"/>
        </w:rPr>
        <w:t>.</w:t>
      </w:r>
      <w:r>
        <w:rPr>
          <w:rStyle w:val="FootnoteReference"/>
          <w:rFonts w:ascii="Times New Roman" w:hAnsi="Times New Roman"/>
          <w:sz w:val="24"/>
          <w:vertAlign w:val="superscript"/>
        </w:rPr>
        <w:footnoteReference w:id="12"/>
      </w:r>
      <w:r w:rsidRPr="0077736D" w:rsidR="00994FE6">
        <w:rPr>
          <w:rFonts w:ascii="Times New Roman" w:hAnsi="Times New Roman"/>
          <w:sz w:val="24"/>
        </w:rPr>
        <w:t xml:space="preserve"> </w:t>
      </w:r>
      <w:r w:rsidRPr="0077736D" w:rsidR="002F1286">
        <w:rPr>
          <w:rFonts w:ascii="Times New Roman" w:hAnsi="Times New Roman"/>
          <w:sz w:val="24"/>
        </w:rPr>
        <w:t>FinCEN notes that over 70 percent of advisers covered by the proposed rule manage at least $110 million in customer assets.</w:t>
      </w:r>
      <w:r>
        <w:rPr>
          <w:rStyle w:val="FootnoteReference"/>
          <w:rFonts w:ascii="Times New Roman" w:hAnsi="Times New Roman"/>
          <w:sz w:val="24"/>
          <w:vertAlign w:val="superscript"/>
        </w:rPr>
        <w:footnoteReference w:id="13"/>
      </w:r>
      <w:r w:rsidRPr="00030228" w:rsidR="002F1286">
        <w:rPr>
          <w:rFonts w:ascii="Times New Roman" w:hAnsi="Times New Roman"/>
          <w:sz w:val="24"/>
          <w:vertAlign w:val="superscript"/>
        </w:rPr>
        <w:t xml:space="preserve"> </w:t>
      </w:r>
      <w:r w:rsidRPr="0077736D" w:rsidR="00E84FD8">
        <w:rPr>
          <w:rFonts w:ascii="Times New Roman" w:hAnsi="Times New Roman"/>
          <w:sz w:val="24"/>
        </w:rPr>
        <w:t>In contrast, the vast majority of investment advisers</w:t>
      </w:r>
      <w:r w:rsidRPr="0077736D">
        <w:rPr>
          <w:rFonts w:ascii="Times New Roman" w:hAnsi="Times New Roman"/>
          <w:sz w:val="24"/>
        </w:rPr>
        <w:t xml:space="preserve"> that a</w:t>
      </w:r>
      <w:r w:rsidRPr="0077736D" w:rsidR="002F1286">
        <w:rPr>
          <w:rFonts w:ascii="Times New Roman" w:hAnsi="Times New Roman"/>
          <w:sz w:val="24"/>
        </w:rPr>
        <w:t xml:space="preserve">re generally understood to be “smaller” investment advisers </w:t>
      </w:r>
      <w:r w:rsidRPr="0077736D">
        <w:rPr>
          <w:rFonts w:ascii="Times New Roman" w:hAnsi="Times New Roman"/>
          <w:sz w:val="24"/>
        </w:rPr>
        <w:t>are generally registered with one or more state securities authorities and not with the SEC</w:t>
      </w:r>
      <w:r w:rsidRPr="0077736D" w:rsidR="00E84FD8">
        <w:rPr>
          <w:rFonts w:ascii="Times New Roman" w:hAnsi="Times New Roman"/>
          <w:sz w:val="24"/>
        </w:rPr>
        <w:t xml:space="preserve"> and are not covered by the proposed rule.</w:t>
      </w:r>
      <w:r>
        <w:rPr>
          <w:rStyle w:val="FootnoteReference"/>
          <w:rFonts w:ascii="Times New Roman" w:hAnsi="Times New Roman"/>
          <w:sz w:val="24"/>
          <w:vertAlign w:val="superscript"/>
        </w:rPr>
        <w:footnoteReference w:id="14"/>
      </w:r>
    </w:p>
    <w:p w:rsidR="0005631B" w:rsidRPr="0077736D" w:rsidP="00A80AEF" w14:paraId="5E739103" w14:textId="77777777">
      <w:pPr>
        <w:ind w:firstLine="720"/>
        <w:rPr>
          <w:rFonts w:ascii="Times New Roman" w:hAnsi="Times New Roman"/>
          <w:sz w:val="24"/>
        </w:rPr>
      </w:pPr>
    </w:p>
    <w:p w:rsidR="00A80AEF" w:rsidRPr="0077736D" w:rsidP="00A80AEF" w14:paraId="6B86FFB5" w14:textId="56BFD5AD">
      <w:pPr>
        <w:ind w:firstLine="720"/>
        <w:rPr>
          <w:rFonts w:ascii="Times New Roman" w:hAnsi="Times New Roman"/>
          <w:sz w:val="24"/>
        </w:rPr>
      </w:pPr>
      <w:r w:rsidRPr="0077736D">
        <w:rPr>
          <w:rFonts w:ascii="Times New Roman" w:hAnsi="Times New Roman"/>
          <w:sz w:val="24"/>
        </w:rPr>
        <w:t xml:space="preserve">FinCEN notes that the </w:t>
      </w:r>
      <w:r w:rsidRPr="0077736D" w:rsidR="00256550">
        <w:rPr>
          <w:rFonts w:ascii="Times New Roman" w:hAnsi="Times New Roman"/>
          <w:sz w:val="24"/>
        </w:rPr>
        <w:t xml:space="preserve">costs of the CIP </w:t>
      </w:r>
      <w:r w:rsidRPr="0077736D">
        <w:rPr>
          <w:rFonts w:ascii="Times New Roman" w:hAnsi="Times New Roman"/>
          <w:sz w:val="24"/>
        </w:rPr>
        <w:t>requirements in the proposed rule are largely based on factors directly correlated with the size of an investment adviser</w:t>
      </w:r>
      <w:r w:rsidRPr="0077736D" w:rsidR="00E83EA8">
        <w:rPr>
          <w:rFonts w:ascii="Times New Roman" w:hAnsi="Times New Roman"/>
          <w:sz w:val="24"/>
        </w:rPr>
        <w:t xml:space="preserve">, along with the risk </w:t>
      </w:r>
      <w:r w:rsidRPr="0077736D" w:rsidR="0005631B">
        <w:rPr>
          <w:rFonts w:ascii="Times New Roman" w:hAnsi="Times New Roman"/>
          <w:sz w:val="24"/>
        </w:rPr>
        <w:t xml:space="preserve">profile </w:t>
      </w:r>
      <w:r w:rsidRPr="0077736D" w:rsidR="00E83EA8">
        <w:rPr>
          <w:rFonts w:ascii="Times New Roman" w:hAnsi="Times New Roman"/>
          <w:sz w:val="24"/>
        </w:rPr>
        <w:t>of its advisory activities and customers</w:t>
      </w:r>
      <w:r w:rsidRPr="0077736D">
        <w:rPr>
          <w:rFonts w:ascii="Times New Roman" w:hAnsi="Times New Roman"/>
          <w:sz w:val="24"/>
        </w:rPr>
        <w:t>. The requirements of the proposed rule therefore</w:t>
      </w:r>
      <w:r w:rsidRPr="0077736D" w:rsidR="00E83EA8">
        <w:rPr>
          <w:rFonts w:ascii="Times New Roman" w:hAnsi="Times New Roman"/>
          <w:sz w:val="24"/>
        </w:rPr>
        <w:t xml:space="preserve"> have some inherent flexibility whereby small entities serving a smaller number of customers are likely to have lower costs.</w:t>
      </w:r>
      <w:r w:rsidRPr="0077736D">
        <w:rPr>
          <w:rFonts w:ascii="Times New Roman" w:hAnsi="Times New Roman"/>
          <w:sz w:val="24"/>
        </w:rPr>
        <w:t xml:space="preserve"> </w:t>
      </w:r>
    </w:p>
    <w:p w:rsidR="00A80AEF" w:rsidRPr="0077736D" w:rsidP="00A80AEF" w14:paraId="35BB8E83" w14:textId="77777777">
      <w:pPr>
        <w:ind w:firstLine="720"/>
        <w:rPr>
          <w:rFonts w:ascii="Times New Roman" w:hAnsi="Times New Roman"/>
          <w:sz w:val="24"/>
        </w:rPr>
      </w:pPr>
    </w:p>
    <w:p w:rsidR="00A55F86" w:rsidRPr="0077736D" w:rsidP="00A80AEF" w14:paraId="350CC129" w14:textId="77777777">
      <w:pPr>
        <w:ind w:firstLine="720"/>
        <w:rPr>
          <w:rFonts w:ascii="Times New Roman" w:hAnsi="Times New Roman"/>
          <w:sz w:val="24"/>
        </w:rPr>
        <w:sectPr w:rsidSect="00176958">
          <w:headerReference w:type="default" r:id="rId9"/>
          <w:footerReference w:type="default" r:id="rId10"/>
          <w:endnotePr>
            <w:numFmt w:val="decimal"/>
          </w:endnotePr>
          <w:pgSz w:w="12240" w:h="15840"/>
          <w:pgMar w:top="1440" w:right="1440" w:bottom="1440" w:left="1440" w:header="720" w:footer="720" w:gutter="0"/>
          <w:cols w:space="720"/>
          <w:noEndnote/>
          <w:docGrid w:linePitch="272"/>
        </w:sectPr>
      </w:pPr>
    </w:p>
    <w:p w:rsidR="00A80AEF" w:rsidRPr="0077736D" w:rsidP="00A80AEF" w14:paraId="4FFC72BB" w14:textId="470AA1B7">
      <w:pPr>
        <w:rPr>
          <w:rFonts w:ascii="Times New Roman" w:hAnsi="Times New Roman"/>
          <w:sz w:val="24"/>
          <w:u w:val="single"/>
        </w:rPr>
      </w:pPr>
      <w:r w:rsidRPr="0077736D">
        <w:rPr>
          <w:rFonts w:ascii="Times New Roman" w:hAnsi="Times New Roman"/>
          <w:sz w:val="24"/>
        </w:rPr>
        <w:t xml:space="preserve">6. </w:t>
      </w:r>
      <w:r w:rsidRPr="0077736D">
        <w:rPr>
          <w:rFonts w:ascii="Times New Roman" w:hAnsi="Times New Roman"/>
          <w:sz w:val="24"/>
          <w:u w:val="single"/>
        </w:rPr>
        <w:t>Consequences to the Federal government of not collecting the information.</w:t>
      </w:r>
    </w:p>
    <w:p w:rsidR="00AB0327" w:rsidP="00E84FD8" w14:paraId="434C92ED" w14:textId="0106C5A7">
      <w:pPr>
        <w:spacing w:before="283"/>
        <w:ind w:firstLine="720"/>
        <w:rPr>
          <w:rFonts w:ascii="Times New Roman" w:hAnsi="Times New Roman"/>
          <w:sz w:val="24"/>
        </w:rPr>
      </w:pPr>
      <w:r w:rsidRPr="0077736D">
        <w:rPr>
          <w:rFonts w:ascii="Times New Roman" w:hAnsi="Times New Roman"/>
          <w:sz w:val="24"/>
        </w:rPr>
        <w:t>Treasury</w:t>
      </w:r>
      <w:r w:rsidRPr="0077736D" w:rsidR="00E84FD8">
        <w:rPr>
          <w:rFonts w:ascii="Times New Roman" w:hAnsi="Times New Roman"/>
          <w:sz w:val="24"/>
        </w:rPr>
        <w:t xml:space="preserve">’s </w:t>
      </w:r>
      <w:r>
        <w:rPr>
          <w:rFonts w:ascii="Times New Roman" w:hAnsi="Times New Roman"/>
          <w:sz w:val="24"/>
        </w:rPr>
        <w:t>In</w:t>
      </w:r>
      <w:r w:rsidRPr="0077736D" w:rsidR="00E84FD8">
        <w:rPr>
          <w:rFonts w:ascii="Times New Roman" w:hAnsi="Times New Roman"/>
          <w:sz w:val="24"/>
        </w:rPr>
        <w:t xml:space="preserve">vestment </w:t>
      </w:r>
      <w:r>
        <w:rPr>
          <w:rFonts w:ascii="Times New Roman" w:hAnsi="Times New Roman"/>
          <w:sz w:val="24"/>
        </w:rPr>
        <w:t>A</w:t>
      </w:r>
      <w:r w:rsidRPr="0077736D" w:rsidR="00E84FD8">
        <w:rPr>
          <w:rFonts w:ascii="Times New Roman" w:hAnsi="Times New Roman"/>
          <w:sz w:val="24"/>
        </w:rPr>
        <w:t xml:space="preserve">dviser </w:t>
      </w:r>
      <w:r w:rsidR="00E06DE4">
        <w:rPr>
          <w:rFonts w:ascii="Times New Roman" w:hAnsi="Times New Roman"/>
          <w:sz w:val="24"/>
        </w:rPr>
        <w:t>Illicit Finance</w:t>
      </w:r>
      <w:r w:rsidRPr="0077736D" w:rsidR="00E84FD8">
        <w:rPr>
          <w:rFonts w:ascii="Times New Roman" w:hAnsi="Times New Roman"/>
          <w:sz w:val="24"/>
        </w:rPr>
        <w:t xml:space="preserve"> </w:t>
      </w:r>
      <w:r>
        <w:rPr>
          <w:rFonts w:ascii="Times New Roman" w:hAnsi="Times New Roman"/>
          <w:sz w:val="24"/>
        </w:rPr>
        <w:t>R</w:t>
      </w:r>
      <w:r w:rsidRPr="0077736D" w:rsidR="00E84FD8">
        <w:rPr>
          <w:rFonts w:ascii="Times New Roman" w:hAnsi="Times New Roman"/>
          <w:sz w:val="24"/>
        </w:rPr>
        <w:t xml:space="preserve">isk </w:t>
      </w:r>
      <w:r>
        <w:rPr>
          <w:rFonts w:ascii="Times New Roman" w:hAnsi="Times New Roman"/>
          <w:sz w:val="24"/>
        </w:rPr>
        <w:t>A</w:t>
      </w:r>
      <w:r w:rsidRPr="0077736D" w:rsidR="00E84FD8">
        <w:rPr>
          <w:rFonts w:ascii="Times New Roman" w:hAnsi="Times New Roman"/>
          <w:sz w:val="24"/>
        </w:rPr>
        <w:t>ssessment</w:t>
      </w:r>
      <w:r>
        <w:rPr>
          <w:rFonts w:ascii="Times New Roman" w:hAnsi="Times New Roman"/>
          <w:sz w:val="24"/>
        </w:rPr>
        <w:t>,</w:t>
      </w:r>
      <w:r w:rsidRPr="0077736D" w:rsidR="00E84FD8">
        <w:rPr>
          <w:rFonts w:ascii="Times New Roman" w:hAnsi="Times New Roman"/>
          <w:sz w:val="24"/>
        </w:rPr>
        <w:t xml:space="preserve"> along with past </w:t>
      </w:r>
      <w:r w:rsidRPr="0077736D" w:rsidR="006B61B5">
        <w:rPr>
          <w:rFonts w:ascii="Times New Roman" w:hAnsi="Times New Roman"/>
          <w:sz w:val="24"/>
        </w:rPr>
        <w:t>national risk assessments</w:t>
      </w:r>
      <w:r>
        <w:rPr>
          <w:rFonts w:ascii="Times New Roman" w:hAnsi="Times New Roman"/>
          <w:sz w:val="24"/>
        </w:rPr>
        <w:t>,</w:t>
      </w:r>
      <w:r w:rsidRPr="0077736D" w:rsidR="00E84FD8">
        <w:rPr>
          <w:rFonts w:ascii="Times New Roman" w:hAnsi="Times New Roman"/>
          <w:sz w:val="24"/>
        </w:rPr>
        <w:t xml:space="preserve"> have identified the illicit finance </w:t>
      </w:r>
      <w:r>
        <w:rPr>
          <w:rFonts w:ascii="Times New Roman" w:hAnsi="Times New Roman"/>
          <w:sz w:val="24"/>
        </w:rPr>
        <w:t>and national</w:t>
      </w:r>
      <w:r w:rsidRPr="0077736D" w:rsidR="00E84FD8">
        <w:rPr>
          <w:rFonts w:ascii="Times New Roman" w:hAnsi="Times New Roman"/>
          <w:sz w:val="24"/>
        </w:rPr>
        <w:t xml:space="preserve"> </w:t>
      </w:r>
      <w:r w:rsidR="00275656">
        <w:rPr>
          <w:rFonts w:ascii="Times New Roman" w:hAnsi="Times New Roman"/>
          <w:sz w:val="24"/>
        </w:rPr>
        <w:t xml:space="preserve">security risks </w:t>
      </w:r>
      <w:r w:rsidRPr="0077736D" w:rsidR="00E84FD8">
        <w:rPr>
          <w:rFonts w:ascii="Times New Roman" w:hAnsi="Times New Roman"/>
          <w:sz w:val="24"/>
        </w:rPr>
        <w:t>associated with</w:t>
      </w:r>
      <w:r w:rsidRPr="0077736D">
        <w:rPr>
          <w:rFonts w:ascii="Times New Roman" w:hAnsi="Times New Roman"/>
          <w:sz w:val="24"/>
        </w:rPr>
        <w:t xml:space="preserve"> </w:t>
      </w:r>
      <w:r w:rsidRPr="0077736D">
        <w:rPr>
          <w:rFonts w:ascii="Times New Roman" w:hAnsi="Times New Roman"/>
          <w:sz w:val="24"/>
        </w:rPr>
        <w:t>RIAs and ERAs.</w:t>
      </w:r>
      <w:r>
        <w:rPr>
          <w:rStyle w:val="FootnoteReference"/>
          <w:rFonts w:ascii="Times New Roman" w:hAnsi="Times New Roman"/>
          <w:sz w:val="24"/>
          <w:vertAlign w:val="superscript"/>
        </w:rPr>
        <w:footnoteReference w:id="15"/>
      </w:r>
      <w:r w:rsidRPr="0077736D">
        <w:rPr>
          <w:rFonts w:ascii="Times New Roman" w:hAnsi="Times New Roman"/>
          <w:sz w:val="24"/>
          <w:vertAlign w:val="superscript"/>
        </w:rPr>
        <w:t xml:space="preserve"> </w:t>
      </w:r>
      <w:r w:rsidR="00275656">
        <w:rPr>
          <w:rFonts w:ascii="Times New Roman" w:hAnsi="Times New Roman"/>
          <w:sz w:val="24"/>
        </w:rPr>
        <w:t>The</w:t>
      </w:r>
      <w:r>
        <w:rPr>
          <w:rFonts w:ascii="Times New Roman" w:hAnsi="Times New Roman"/>
          <w:sz w:val="24"/>
        </w:rPr>
        <w:t xml:space="preserve"> risk assessment notes that</w:t>
      </w:r>
      <w:r w:rsidR="00275656">
        <w:rPr>
          <w:rFonts w:ascii="Times New Roman" w:hAnsi="Times New Roman"/>
          <w:sz w:val="24"/>
        </w:rPr>
        <w:t>, first,</w:t>
      </w:r>
      <w:r>
        <w:rPr>
          <w:rFonts w:ascii="Times New Roman" w:hAnsi="Times New Roman"/>
          <w:sz w:val="24"/>
        </w:rPr>
        <w:t xml:space="preserve"> </w:t>
      </w:r>
      <w:r w:rsidRPr="00AB0327">
        <w:rPr>
          <w:rFonts w:ascii="Times New Roman" w:hAnsi="Times New Roman"/>
          <w:sz w:val="24"/>
        </w:rPr>
        <w:t>the investment adviser industry has served as an entry point into the U.S. market for illicit proceeds associated with foreign corruption, fraud, and tax evasion. Second, certain advisers manage billions of dollars ultimately controlled by sanctioned entities including Russian oligarchs and their associates who help facilitate Russia’s illegal and unprovoked war of aggression against Ukraine. Third, certain RIAs and ERAs and the private funds that they advise are also being used by foreign states</w:t>
      </w:r>
      <w:r w:rsidR="00030228">
        <w:rPr>
          <w:rFonts w:ascii="Times New Roman" w:hAnsi="Times New Roman"/>
          <w:sz w:val="24"/>
        </w:rPr>
        <w:t>—</w:t>
      </w:r>
      <w:r w:rsidRPr="00AB0327">
        <w:rPr>
          <w:rFonts w:ascii="Times New Roman" w:hAnsi="Times New Roman"/>
          <w:sz w:val="24"/>
        </w:rPr>
        <w:t>most notably the People’s Republic of China (PRC) and Russia</w:t>
      </w:r>
      <w:r w:rsidR="00030228">
        <w:rPr>
          <w:rFonts w:ascii="Times New Roman" w:hAnsi="Times New Roman"/>
          <w:sz w:val="24"/>
        </w:rPr>
        <w:t>—</w:t>
      </w:r>
      <w:r w:rsidRPr="00AB0327">
        <w:rPr>
          <w:rFonts w:ascii="Times New Roman" w:hAnsi="Times New Roman"/>
          <w:sz w:val="24"/>
        </w:rPr>
        <w:t>to access certain technology and services with long-term national security implications through investments in early</w:t>
      </w:r>
      <w:r>
        <w:rPr>
          <w:rFonts w:ascii="Times New Roman" w:hAnsi="Times New Roman"/>
          <w:sz w:val="24"/>
        </w:rPr>
        <w:t>-</w:t>
      </w:r>
      <w:r w:rsidRPr="00AB0327">
        <w:rPr>
          <w:rFonts w:ascii="Times New Roman" w:hAnsi="Times New Roman"/>
          <w:sz w:val="24"/>
        </w:rPr>
        <w:t>stage companies.</w:t>
      </w:r>
      <w:r>
        <w:rPr>
          <w:rFonts w:ascii="Times New Roman" w:hAnsi="Times New Roman"/>
          <w:sz w:val="24"/>
        </w:rPr>
        <w:t xml:space="preserve"> This rulemaking aims to help prevent </w:t>
      </w:r>
      <w:r w:rsidR="000A3F6A">
        <w:rPr>
          <w:rFonts w:ascii="Times New Roman" w:hAnsi="Times New Roman"/>
          <w:sz w:val="24"/>
        </w:rPr>
        <w:t>and mitigate</w:t>
      </w:r>
      <w:r>
        <w:rPr>
          <w:rFonts w:ascii="Times New Roman" w:hAnsi="Times New Roman"/>
          <w:sz w:val="24"/>
        </w:rPr>
        <w:t xml:space="preserve"> this illicit finance activity by requiring that RIAs and ERAs take minimum</w:t>
      </w:r>
      <w:r w:rsidR="00275656">
        <w:rPr>
          <w:rFonts w:ascii="Times New Roman" w:hAnsi="Times New Roman"/>
          <w:sz w:val="24"/>
        </w:rPr>
        <w:t xml:space="preserve"> steps to </w:t>
      </w:r>
      <w:r w:rsidR="000A3F6A">
        <w:rPr>
          <w:rFonts w:ascii="Times New Roman" w:hAnsi="Times New Roman"/>
          <w:sz w:val="24"/>
        </w:rPr>
        <w:t>identify and</w:t>
      </w:r>
      <w:r w:rsidR="00275656">
        <w:rPr>
          <w:rFonts w:ascii="Times New Roman" w:hAnsi="Times New Roman"/>
          <w:sz w:val="24"/>
        </w:rPr>
        <w:t xml:space="preserve"> verify the identities of their customers</w:t>
      </w:r>
      <w:r w:rsidR="00030228">
        <w:rPr>
          <w:rFonts w:ascii="Times New Roman" w:hAnsi="Times New Roman"/>
          <w:sz w:val="24"/>
        </w:rPr>
        <w:t>—</w:t>
      </w:r>
      <w:r w:rsidR="00275656">
        <w:rPr>
          <w:rFonts w:ascii="Times New Roman" w:hAnsi="Times New Roman"/>
          <w:sz w:val="24"/>
        </w:rPr>
        <w:t>among other requirements</w:t>
      </w:r>
      <w:r w:rsidR="00030228">
        <w:rPr>
          <w:rFonts w:ascii="Times New Roman" w:hAnsi="Times New Roman"/>
          <w:sz w:val="24"/>
        </w:rPr>
        <w:t>—</w:t>
      </w:r>
      <w:r w:rsidR="000A3F6A">
        <w:rPr>
          <w:rFonts w:ascii="Times New Roman" w:hAnsi="Times New Roman"/>
          <w:bCs/>
          <w:sz w:val="24"/>
        </w:rPr>
        <w:t>in order to</w:t>
      </w:r>
      <w:r w:rsidR="000A3F6A">
        <w:rPr>
          <w:rFonts w:ascii="Times New Roman" w:hAnsi="Times New Roman"/>
          <w:bCs/>
          <w:sz w:val="24"/>
        </w:rPr>
        <w:t xml:space="preserve"> form a reasonable belief that RIAs and ERAs know the true identity of their customers</w:t>
      </w:r>
      <w:r w:rsidR="00275656">
        <w:rPr>
          <w:rFonts w:ascii="Times New Roman" w:hAnsi="Times New Roman"/>
          <w:sz w:val="24"/>
        </w:rPr>
        <w:t>.</w:t>
      </w:r>
    </w:p>
    <w:p w:rsidR="00A80AEF" w:rsidRPr="0077736D" w:rsidP="00275656" w14:paraId="47882B10" w14:textId="269CB26B">
      <w:pPr>
        <w:pStyle w:val="NormalWeb"/>
      </w:pPr>
      <w:r>
        <w:tab/>
        <w:t xml:space="preserve">As proposed, the information obtained under an investment adviser’s CIP would be important predicates for other core AML/CFT practices and requirements, including the customer due diligence (CDD) requirement to identify and verify the beneficial owners of legal entity customer accounts. The February 2024 NPRM did not extend to RIAs and ERAs this obligation to identify the beneficial owners of legal entity customers </w:t>
      </w:r>
      <w:r>
        <w:t>in light of</w:t>
      </w:r>
      <w:r>
        <w:t xml:space="preserve"> the anticipated forthcoming changes to the CDD </w:t>
      </w:r>
      <w:r w:rsidR="005E3BF7">
        <w:t>regulations</w:t>
      </w:r>
      <w:r>
        <w:t xml:space="preserve"> required by section 6403 the </w:t>
      </w:r>
      <w:r w:rsidR="005E3BF7">
        <w:t>AML Act</w:t>
      </w:r>
      <w:r w:rsidR="0001109F">
        <w:t>.</w:t>
      </w:r>
      <w:r>
        <w:rPr>
          <w:rStyle w:val="FootnoteReference"/>
          <w:vertAlign w:val="superscript"/>
        </w:rPr>
        <w:footnoteReference w:id="16"/>
      </w:r>
      <w:r>
        <w:t xml:space="preserve"> FinCEN is working to revise </w:t>
      </w:r>
      <w:r w:rsidR="0001109F">
        <w:t xml:space="preserve">these regulations </w:t>
      </w:r>
      <w:r w:rsidR="000F581A">
        <w:t>in line with the statutory requirement</w:t>
      </w:r>
      <w:r>
        <w:t>.</w:t>
      </w:r>
    </w:p>
    <w:p w:rsidR="00E3421E" w:rsidRPr="0077736D" w:rsidP="00030228" w14:paraId="098DE945" w14:textId="3DDE3643">
      <w:pPr>
        <w:pStyle w:val="NormalWeb"/>
        <w:ind w:firstLine="720"/>
      </w:pPr>
      <w:r w:rsidRPr="00E3421E">
        <w:t>The Federal government requires reporting of this information only upon request.</w:t>
      </w:r>
    </w:p>
    <w:p w:rsidR="00A80AEF" w:rsidRPr="0077736D" w:rsidP="00A80AEF" w14:paraId="4DE8EF6F" w14:textId="77777777">
      <w:pPr>
        <w:rPr>
          <w:rFonts w:ascii="Times New Roman" w:hAnsi="Times New Roman"/>
          <w:sz w:val="24"/>
          <w:u w:val="single"/>
        </w:rPr>
      </w:pPr>
      <w:r w:rsidRPr="0077736D">
        <w:rPr>
          <w:rFonts w:ascii="Times New Roman" w:hAnsi="Times New Roman"/>
          <w:sz w:val="24"/>
        </w:rPr>
        <w:t xml:space="preserve">7. </w:t>
      </w:r>
      <w:r w:rsidRPr="0077736D">
        <w:rPr>
          <w:rFonts w:ascii="Times New Roman" w:hAnsi="Times New Roman"/>
          <w:sz w:val="24"/>
          <w:u w:val="single"/>
        </w:rPr>
        <w:t xml:space="preserve">Special circumstances requiring data collection to be inconsistent with guidelines. </w:t>
      </w:r>
    </w:p>
    <w:p w:rsidR="00A80AEF" w:rsidRPr="0077736D" w:rsidP="00A80AEF" w14:paraId="7C36615E" w14:textId="77777777">
      <w:pPr>
        <w:rPr>
          <w:rFonts w:ascii="Times New Roman" w:hAnsi="Times New Roman"/>
          <w:sz w:val="24"/>
        </w:rPr>
      </w:pPr>
      <w:r w:rsidRPr="0077736D">
        <w:rPr>
          <w:rFonts w:ascii="Times New Roman" w:hAnsi="Times New Roman"/>
          <w:sz w:val="24"/>
          <w:u w:val="single"/>
        </w:rPr>
        <w:t xml:space="preserve"> </w:t>
      </w:r>
    </w:p>
    <w:p w:rsidR="00DC37F8" w:rsidRPr="0077736D" w:rsidP="00DC37F8" w14:paraId="27946424" w14:textId="272CE188">
      <w:pPr>
        <w:ind w:right="-90"/>
        <w:rPr>
          <w:rFonts w:ascii="Times New Roman" w:hAnsi="Times New Roman"/>
          <w:sz w:val="24"/>
        </w:rPr>
      </w:pPr>
      <w:r w:rsidRPr="0077736D">
        <w:rPr>
          <w:rFonts w:ascii="Times New Roman" w:hAnsi="Times New Roman"/>
          <w:sz w:val="24"/>
        </w:rPr>
        <w:tab/>
        <w:t>Under 31 CFR 1010.430(d</w:t>
      </w:r>
      <w:r w:rsidRPr="0077736D" w:rsidR="007A3CD4">
        <w:rPr>
          <w:rFonts w:ascii="Times New Roman" w:hAnsi="Times New Roman"/>
          <w:sz w:val="24"/>
        </w:rPr>
        <w:t>)</w:t>
      </w:r>
      <w:r w:rsidRPr="0077736D">
        <w:rPr>
          <w:rFonts w:ascii="Times New Roman" w:hAnsi="Times New Roman"/>
          <w:sz w:val="24"/>
        </w:rPr>
        <w:t xml:space="preserve">, all records that are required to be retained must </w:t>
      </w:r>
      <w:r w:rsidRPr="0077736D" w:rsidR="00732822">
        <w:rPr>
          <w:rFonts w:ascii="Times New Roman" w:hAnsi="Times New Roman"/>
          <w:sz w:val="24"/>
        </w:rPr>
        <w:t xml:space="preserve">be </w:t>
      </w:r>
      <w:r w:rsidRPr="0077736D">
        <w:rPr>
          <w:rFonts w:ascii="Times New Roman" w:hAnsi="Times New Roman"/>
          <w:sz w:val="24"/>
        </w:rPr>
        <w:t xml:space="preserve">retained for a period of five years. </w:t>
      </w:r>
      <w:r w:rsidRPr="0077736D" w:rsidR="007A3CD4">
        <w:rPr>
          <w:rFonts w:ascii="Times New Roman" w:hAnsi="Times New Roman"/>
          <w:sz w:val="24"/>
        </w:rPr>
        <w:t xml:space="preserve">The records required by the proposed rule would be subject to this five-year retention period. </w:t>
      </w:r>
      <w:r w:rsidRPr="0077736D">
        <w:rPr>
          <w:rFonts w:ascii="Times New Roman" w:hAnsi="Times New Roman"/>
          <w:sz w:val="24"/>
          <w:lang w:val="en"/>
        </w:rPr>
        <w:t xml:space="preserve">This retention period is necessary </w:t>
      </w:r>
      <w:r w:rsidRPr="0077736D">
        <w:rPr>
          <w:rFonts w:ascii="Times New Roman" w:hAnsi="Times New Roman"/>
          <w:sz w:val="24"/>
        </w:rPr>
        <w:t>to allow for verification of compliance with the re</w:t>
      </w:r>
      <w:r w:rsidR="00605B42">
        <w:rPr>
          <w:rFonts w:ascii="Times New Roman" w:hAnsi="Times New Roman"/>
          <w:sz w:val="24"/>
        </w:rPr>
        <w:t>cordkeeping</w:t>
      </w:r>
      <w:r w:rsidRPr="0077736D">
        <w:rPr>
          <w:rFonts w:ascii="Times New Roman" w:hAnsi="Times New Roman"/>
          <w:sz w:val="24"/>
        </w:rPr>
        <w:t xml:space="preserve"> requirement and </w:t>
      </w:r>
      <w:r w:rsidR="00605B42">
        <w:rPr>
          <w:rFonts w:ascii="Times New Roman" w:hAnsi="Times New Roman"/>
          <w:sz w:val="24"/>
        </w:rPr>
        <w:t xml:space="preserve">because such records </w:t>
      </w:r>
      <w:r w:rsidRPr="0077736D">
        <w:rPr>
          <w:rFonts w:ascii="Times New Roman" w:hAnsi="Times New Roman"/>
          <w:sz w:val="24"/>
        </w:rPr>
        <w:t xml:space="preserve">may </w:t>
      </w:r>
      <w:r w:rsidR="00605B42">
        <w:rPr>
          <w:rFonts w:ascii="Times New Roman" w:hAnsi="Times New Roman"/>
          <w:sz w:val="24"/>
        </w:rPr>
        <w:t xml:space="preserve">relate to </w:t>
      </w:r>
      <w:r w:rsidRPr="0077736D">
        <w:rPr>
          <w:rFonts w:ascii="Times New Roman" w:hAnsi="Times New Roman"/>
          <w:sz w:val="24"/>
        </w:rPr>
        <w:t>statutes of limitation longer than three years.</w:t>
      </w:r>
    </w:p>
    <w:p w:rsidR="00C80C19" w:rsidRPr="0077736D" w:rsidP="00A80AEF" w14:paraId="0138FBF9" w14:textId="77777777">
      <w:pPr>
        <w:rPr>
          <w:rFonts w:ascii="Times New Roman" w:hAnsi="Times New Roman"/>
          <w:sz w:val="24"/>
        </w:rPr>
      </w:pPr>
    </w:p>
    <w:p w:rsidR="00A80AEF" w:rsidRPr="0077736D" w:rsidP="00A80AEF" w14:paraId="0A269891" w14:textId="64D481FA">
      <w:pPr>
        <w:rPr>
          <w:rFonts w:ascii="Times New Roman" w:hAnsi="Times New Roman"/>
          <w:sz w:val="24"/>
        </w:rPr>
      </w:pPr>
      <w:r w:rsidRPr="0077736D">
        <w:rPr>
          <w:rFonts w:ascii="Times New Roman" w:hAnsi="Times New Roman"/>
          <w:sz w:val="24"/>
        </w:rPr>
        <w:t xml:space="preserve">8. </w:t>
      </w:r>
      <w:r w:rsidRPr="0077736D">
        <w:rPr>
          <w:rFonts w:ascii="Times New Roman" w:hAnsi="Times New Roman"/>
          <w:sz w:val="24"/>
          <w:u w:val="single"/>
        </w:rPr>
        <w:t>Consultation with individuals outside of the agency on availability of data</w:t>
      </w:r>
      <w:r w:rsidRPr="0077736D" w:rsidR="00176545">
        <w:rPr>
          <w:rFonts w:ascii="Times New Roman" w:hAnsi="Times New Roman"/>
          <w:sz w:val="24"/>
          <w:u w:val="single"/>
        </w:rPr>
        <w:t>,</w:t>
      </w:r>
      <w:r w:rsidRPr="0077736D">
        <w:rPr>
          <w:rFonts w:ascii="Times New Roman" w:hAnsi="Times New Roman"/>
          <w:sz w:val="24"/>
          <w:u w:val="single"/>
        </w:rPr>
        <w:t xml:space="preserve"> frequency of collection, clarity of </w:t>
      </w:r>
      <w:r w:rsidR="00E3421E">
        <w:rPr>
          <w:rFonts w:ascii="Times New Roman" w:hAnsi="Times New Roman"/>
          <w:sz w:val="24"/>
          <w:u w:val="single"/>
        </w:rPr>
        <w:t>i</w:t>
      </w:r>
      <w:r w:rsidRPr="0077736D" w:rsidR="00E3421E">
        <w:rPr>
          <w:rFonts w:ascii="Times New Roman" w:hAnsi="Times New Roman"/>
          <w:sz w:val="24"/>
          <w:u w:val="single"/>
        </w:rPr>
        <w:t xml:space="preserve">nstructions </w:t>
      </w:r>
      <w:r w:rsidRPr="0077736D">
        <w:rPr>
          <w:rFonts w:ascii="Times New Roman" w:hAnsi="Times New Roman"/>
          <w:sz w:val="24"/>
          <w:u w:val="single"/>
        </w:rPr>
        <w:t>and forms, and data elements.</w:t>
      </w:r>
      <w:r w:rsidRPr="0077736D">
        <w:rPr>
          <w:rFonts w:ascii="Times New Roman" w:hAnsi="Times New Roman"/>
          <w:sz w:val="24"/>
        </w:rPr>
        <w:t xml:space="preserve"> </w:t>
      </w:r>
    </w:p>
    <w:p w:rsidR="00AD43DE" w:rsidRPr="0077736D" w:rsidP="00AD43DE" w14:paraId="38659DA9" w14:textId="77777777">
      <w:pPr>
        <w:rPr>
          <w:rFonts w:ascii="Times New Roman" w:hAnsi="Times New Roman"/>
          <w:sz w:val="24"/>
        </w:rPr>
      </w:pPr>
    </w:p>
    <w:p w:rsidR="00AD43DE" w:rsidRPr="0077736D" w:rsidP="00057CB4" w14:paraId="1316E4AD" w14:textId="336BE9BF">
      <w:pPr>
        <w:ind w:firstLine="720"/>
        <w:rPr>
          <w:rFonts w:ascii="Times New Roman" w:hAnsi="Times New Roman"/>
          <w:sz w:val="24"/>
        </w:rPr>
      </w:pPr>
      <w:r w:rsidRPr="0077736D">
        <w:rPr>
          <w:rFonts w:ascii="Times New Roman" w:hAnsi="Times New Roman"/>
          <w:sz w:val="24"/>
        </w:rPr>
        <w:t xml:space="preserve">During the preparation of the Treasury </w:t>
      </w:r>
      <w:r w:rsidR="00552C10">
        <w:rPr>
          <w:rFonts w:ascii="Times New Roman" w:hAnsi="Times New Roman"/>
          <w:sz w:val="24"/>
        </w:rPr>
        <w:t>I</w:t>
      </w:r>
      <w:r w:rsidRPr="0077736D">
        <w:rPr>
          <w:rFonts w:ascii="Times New Roman" w:hAnsi="Times New Roman"/>
          <w:sz w:val="24"/>
        </w:rPr>
        <w:t xml:space="preserve">nvestment </w:t>
      </w:r>
      <w:r w:rsidR="00552C10">
        <w:rPr>
          <w:rFonts w:ascii="Times New Roman" w:hAnsi="Times New Roman"/>
          <w:sz w:val="24"/>
        </w:rPr>
        <w:t>A</w:t>
      </w:r>
      <w:r w:rsidRPr="0077736D">
        <w:rPr>
          <w:rFonts w:ascii="Times New Roman" w:hAnsi="Times New Roman"/>
          <w:sz w:val="24"/>
        </w:rPr>
        <w:t xml:space="preserve">dviser </w:t>
      </w:r>
      <w:r w:rsidR="00552C10">
        <w:rPr>
          <w:rFonts w:ascii="Times New Roman" w:hAnsi="Times New Roman"/>
          <w:sz w:val="24"/>
        </w:rPr>
        <w:t>I</w:t>
      </w:r>
      <w:r w:rsidR="00E240E1">
        <w:rPr>
          <w:rFonts w:ascii="Times New Roman" w:hAnsi="Times New Roman"/>
          <w:sz w:val="24"/>
        </w:rPr>
        <w:t xml:space="preserve">llicit </w:t>
      </w:r>
      <w:r w:rsidR="00552C10">
        <w:rPr>
          <w:rFonts w:ascii="Times New Roman" w:hAnsi="Times New Roman"/>
          <w:sz w:val="24"/>
        </w:rPr>
        <w:t>F</w:t>
      </w:r>
      <w:r w:rsidR="00E240E1">
        <w:rPr>
          <w:rFonts w:ascii="Times New Roman" w:hAnsi="Times New Roman"/>
          <w:sz w:val="24"/>
        </w:rPr>
        <w:t xml:space="preserve">inance </w:t>
      </w:r>
      <w:r w:rsidR="00552C10">
        <w:rPr>
          <w:rFonts w:ascii="Times New Roman" w:hAnsi="Times New Roman"/>
          <w:sz w:val="24"/>
        </w:rPr>
        <w:t>R</w:t>
      </w:r>
      <w:r w:rsidRPr="0077736D">
        <w:rPr>
          <w:rFonts w:ascii="Times New Roman" w:hAnsi="Times New Roman"/>
          <w:sz w:val="24"/>
        </w:rPr>
        <w:t xml:space="preserve">isk </w:t>
      </w:r>
      <w:r w:rsidR="00552C10">
        <w:rPr>
          <w:rFonts w:ascii="Times New Roman" w:hAnsi="Times New Roman"/>
          <w:sz w:val="24"/>
        </w:rPr>
        <w:t>A</w:t>
      </w:r>
      <w:r w:rsidRPr="0077736D">
        <w:rPr>
          <w:rFonts w:ascii="Times New Roman" w:hAnsi="Times New Roman"/>
          <w:sz w:val="24"/>
        </w:rPr>
        <w:t>ssessment, Treasury</w:t>
      </w:r>
      <w:r w:rsidR="004F5D85">
        <w:rPr>
          <w:rFonts w:ascii="Times New Roman" w:hAnsi="Times New Roman"/>
          <w:sz w:val="24"/>
        </w:rPr>
        <w:t>—</w:t>
      </w:r>
      <w:r w:rsidRPr="0077736D">
        <w:rPr>
          <w:rFonts w:ascii="Times New Roman" w:hAnsi="Times New Roman"/>
          <w:sz w:val="24"/>
        </w:rPr>
        <w:t>in coordination with the Federal Bureau of Invest</w:t>
      </w:r>
      <w:r w:rsidRPr="0077736D" w:rsidR="00A07299">
        <w:rPr>
          <w:rFonts w:ascii="Times New Roman" w:hAnsi="Times New Roman"/>
          <w:sz w:val="24"/>
        </w:rPr>
        <w:t>igation</w:t>
      </w:r>
      <w:r w:rsidR="004F5D85">
        <w:rPr>
          <w:rFonts w:ascii="Times New Roman" w:hAnsi="Times New Roman"/>
          <w:sz w:val="24"/>
        </w:rPr>
        <w:t>—</w:t>
      </w:r>
      <w:r w:rsidRPr="0077736D">
        <w:rPr>
          <w:rFonts w:ascii="Times New Roman" w:hAnsi="Times New Roman"/>
          <w:sz w:val="24"/>
        </w:rPr>
        <w:t>conducted an analysis of certain BSA reports filed between 2013 and 2021. That analysis reviewed certain BSA reports associated with or referencing an RIA or ERA</w:t>
      </w:r>
      <w:r w:rsidRPr="0077736D" w:rsidR="00A07299">
        <w:rPr>
          <w:rFonts w:ascii="Times New Roman" w:hAnsi="Times New Roman"/>
          <w:sz w:val="24"/>
        </w:rPr>
        <w:t xml:space="preserve">, and the extent to which AML/CFT obligations on banks, broker-dealers, and other BSA-defined financial institutions were already collecting </w:t>
      </w:r>
      <w:r w:rsidR="003A14EC">
        <w:rPr>
          <w:rFonts w:ascii="Times New Roman" w:hAnsi="Times New Roman"/>
          <w:sz w:val="24"/>
        </w:rPr>
        <w:t xml:space="preserve">and reporting </w:t>
      </w:r>
      <w:r w:rsidRPr="0077736D" w:rsidR="00A07299">
        <w:rPr>
          <w:rFonts w:ascii="Times New Roman" w:hAnsi="Times New Roman"/>
          <w:sz w:val="24"/>
        </w:rPr>
        <w:t>information on illicit finance activity associated with investment advisers.</w:t>
      </w:r>
      <w:r w:rsidRPr="0077736D">
        <w:rPr>
          <w:rFonts w:ascii="Times New Roman" w:hAnsi="Times New Roman"/>
          <w:sz w:val="24"/>
        </w:rPr>
        <w:t xml:space="preserve">  </w:t>
      </w:r>
    </w:p>
    <w:p w:rsidR="00AD43DE" w:rsidRPr="0077736D" w:rsidP="00057CB4" w14:paraId="14EF184B" w14:textId="77777777">
      <w:pPr>
        <w:ind w:firstLine="720"/>
        <w:rPr>
          <w:rFonts w:ascii="Times New Roman" w:hAnsi="Times New Roman"/>
          <w:sz w:val="24"/>
        </w:rPr>
      </w:pPr>
    </w:p>
    <w:p w:rsidR="00AD43DE" w:rsidRPr="0077736D" w:rsidP="00057CB4" w14:paraId="5D84EC06" w14:textId="6DC1ED88">
      <w:pPr>
        <w:ind w:firstLine="720"/>
        <w:rPr>
          <w:rFonts w:ascii="Times New Roman" w:hAnsi="Times New Roman"/>
          <w:sz w:val="24"/>
        </w:rPr>
      </w:pPr>
      <w:r w:rsidRPr="0077736D">
        <w:rPr>
          <w:rFonts w:ascii="Times New Roman" w:hAnsi="Times New Roman"/>
          <w:sz w:val="24"/>
        </w:rPr>
        <w:t xml:space="preserve">Treasury also consulted with the SEC on </w:t>
      </w:r>
      <w:r w:rsidRPr="0077736D" w:rsidR="0035367A">
        <w:rPr>
          <w:rFonts w:ascii="Times New Roman" w:hAnsi="Times New Roman"/>
          <w:sz w:val="24"/>
        </w:rPr>
        <w:t>the information provided by RIAs and ERAs</w:t>
      </w:r>
      <w:r w:rsidRPr="0077736D" w:rsidR="00A07299">
        <w:rPr>
          <w:rFonts w:ascii="Times New Roman" w:hAnsi="Times New Roman"/>
          <w:sz w:val="24"/>
        </w:rPr>
        <w:t xml:space="preserve"> on Form ADV. Form ADV collects certain information about the adviser, including (depending on the adviser’s registration status) its AUM, ownership, number of clients, number of employees, business practices, custodians of client funds, </w:t>
      </w:r>
      <w:r w:rsidR="00866374">
        <w:rPr>
          <w:rFonts w:ascii="Times New Roman" w:hAnsi="Times New Roman"/>
          <w:sz w:val="24"/>
        </w:rPr>
        <w:t>private funds managed by the IA,</w:t>
      </w:r>
      <w:r w:rsidRPr="0077736D" w:rsidR="00A07299">
        <w:rPr>
          <w:rFonts w:ascii="Times New Roman" w:hAnsi="Times New Roman"/>
          <w:sz w:val="24"/>
        </w:rPr>
        <w:t xml:space="preserve"> affiliations, as well as certain disciplinary or material events of the adviser or its employees. ERAs who are not registered with the SEC or a state securities regulator are only required to file an abbreviated version of Form ADV—they are required to answer fewer client-related questions and provide less information about the services they provide. Form ADV does not require investment advisers to disclose the names of individual clients or investors.</w:t>
      </w:r>
    </w:p>
    <w:p w:rsidR="00E05FBA" w:rsidP="00057CB4" w14:paraId="2D730D1B" w14:textId="77777777">
      <w:pPr>
        <w:ind w:firstLine="720"/>
        <w:rPr>
          <w:rFonts w:ascii="Times New Roman" w:hAnsi="Times New Roman"/>
          <w:sz w:val="24"/>
        </w:rPr>
      </w:pPr>
    </w:p>
    <w:p w:rsidR="00E05FBA" w:rsidRPr="0077736D" w:rsidP="00057CB4" w14:paraId="4C579F2A" w14:textId="25B6E9BF">
      <w:pPr>
        <w:ind w:firstLine="720"/>
        <w:rPr>
          <w:rFonts w:ascii="Times New Roman" w:hAnsi="Times New Roman"/>
          <w:sz w:val="24"/>
        </w:rPr>
      </w:pPr>
      <w:r>
        <w:rPr>
          <w:rFonts w:ascii="Times New Roman" w:hAnsi="Times New Roman"/>
          <w:sz w:val="24"/>
        </w:rPr>
        <w:t>FinCEN and the SEC are seeking public comment on these and other related topics in the NPRM, which was published in the Federal Register on May 21, 2024.</w:t>
      </w:r>
      <w:r>
        <w:rPr>
          <w:rStyle w:val="FootnoteReference"/>
          <w:rFonts w:ascii="Times New Roman" w:hAnsi="Times New Roman"/>
          <w:sz w:val="24"/>
          <w:vertAlign w:val="superscript"/>
        </w:rPr>
        <w:footnoteReference w:id="17"/>
      </w:r>
      <w:r>
        <w:rPr>
          <w:rFonts w:ascii="Times New Roman" w:hAnsi="Times New Roman"/>
          <w:sz w:val="24"/>
        </w:rPr>
        <w:t xml:space="preserve"> The comment period ends on July 22, 2024. FinCEN and the SEC intend to incorporate </w:t>
      </w:r>
      <w:r w:rsidR="00D30E31">
        <w:rPr>
          <w:rFonts w:ascii="Times New Roman" w:hAnsi="Times New Roman"/>
          <w:sz w:val="24"/>
        </w:rPr>
        <w:t xml:space="preserve">into a final rule any </w:t>
      </w:r>
      <w:r>
        <w:rPr>
          <w:rFonts w:ascii="Times New Roman" w:hAnsi="Times New Roman"/>
          <w:sz w:val="24"/>
        </w:rPr>
        <w:t>pertinent information from comments received</w:t>
      </w:r>
      <w:r w:rsidR="00D30E31">
        <w:rPr>
          <w:rFonts w:ascii="Times New Roman" w:hAnsi="Times New Roman"/>
          <w:sz w:val="24"/>
        </w:rPr>
        <w:t>.</w:t>
      </w:r>
      <w:r>
        <w:rPr>
          <w:rFonts w:ascii="Times New Roman" w:hAnsi="Times New Roman"/>
          <w:sz w:val="24"/>
        </w:rPr>
        <w:t xml:space="preserve"> </w:t>
      </w:r>
    </w:p>
    <w:p w:rsidR="00C80C19" w:rsidRPr="0077736D" w:rsidP="008219BA" w14:paraId="30CEF1D3" w14:textId="77777777">
      <w:pPr>
        <w:ind w:firstLine="720"/>
        <w:rPr>
          <w:rFonts w:ascii="Times New Roman" w:hAnsi="Times New Roman"/>
          <w:sz w:val="24"/>
        </w:rPr>
      </w:pPr>
    </w:p>
    <w:p w:rsidR="00A80AEF" w:rsidRPr="0077736D" w:rsidP="00A80AEF" w14:paraId="241A0926" w14:textId="77777777">
      <w:pPr>
        <w:rPr>
          <w:rFonts w:ascii="Times New Roman" w:hAnsi="Times New Roman"/>
          <w:sz w:val="24"/>
          <w:u w:val="single"/>
        </w:rPr>
      </w:pPr>
      <w:r w:rsidRPr="0077736D">
        <w:rPr>
          <w:rFonts w:ascii="Times New Roman" w:hAnsi="Times New Roman"/>
          <w:sz w:val="24"/>
        </w:rPr>
        <w:t xml:space="preserve">9. </w:t>
      </w:r>
      <w:r w:rsidRPr="0077736D">
        <w:rPr>
          <w:rFonts w:ascii="Times New Roman" w:hAnsi="Times New Roman"/>
          <w:sz w:val="24"/>
          <w:u w:val="single"/>
        </w:rPr>
        <w:t>Explanation of decision to provide any payment or gift to respondents.</w:t>
      </w:r>
    </w:p>
    <w:p w:rsidR="00A80AEF" w:rsidRPr="0077736D" w:rsidP="00A80AEF" w14:paraId="15DDBEBD" w14:textId="77777777">
      <w:pPr>
        <w:rPr>
          <w:rFonts w:ascii="Times New Roman" w:hAnsi="Times New Roman"/>
          <w:sz w:val="24"/>
        </w:rPr>
      </w:pPr>
    </w:p>
    <w:p w:rsidR="00A80AEF" w:rsidRPr="0077736D" w:rsidP="00A80AEF" w14:paraId="76EB1A85" w14:textId="77777777">
      <w:pPr>
        <w:ind w:firstLine="720"/>
        <w:rPr>
          <w:rFonts w:ascii="Times New Roman" w:hAnsi="Times New Roman"/>
          <w:sz w:val="24"/>
        </w:rPr>
      </w:pPr>
      <w:r w:rsidRPr="0077736D">
        <w:rPr>
          <w:rFonts w:ascii="Times New Roman" w:hAnsi="Times New Roman"/>
          <w:sz w:val="24"/>
        </w:rPr>
        <w:t>No payments or gifts were made to respondents.</w:t>
      </w:r>
    </w:p>
    <w:p w:rsidR="00A80AEF" w:rsidRPr="0077736D" w:rsidP="00A80AEF" w14:paraId="3465538F" w14:textId="77777777">
      <w:pPr>
        <w:tabs>
          <w:tab w:val="left" w:pos="0"/>
        </w:tabs>
        <w:rPr>
          <w:rFonts w:ascii="Times New Roman" w:hAnsi="Times New Roman"/>
          <w:sz w:val="24"/>
        </w:rPr>
      </w:pPr>
    </w:p>
    <w:p w:rsidR="00A80AEF" w:rsidRPr="0077736D" w:rsidP="00A80AEF" w14:paraId="2E435683" w14:textId="77777777">
      <w:pPr>
        <w:tabs>
          <w:tab w:val="left" w:pos="0"/>
        </w:tabs>
        <w:rPr>
          <w:rFonts w:ascii="Times New Roman" w:hAnsi="Times New Roman"/>
          <w:sz w:val="24"/>
          <w:u w:val="single"/>
        </w:rPr>
      </w:pPr>
      <w:r w:rsidRPr="0077736D">
        <w:rPr>
          <w:rFonts w:ascii="Times New Roman" w:hAnsi="Times New Roman"/>
          <w:sz w:val="24"/>
        </w:rPr>
        <w:t xml:space="preserve">10. </w:t>
      </w:r>
      <w:r w:rsidRPr="0077736D">
        <w:rPr>
          <w:rFonts w:ascii="Times New Roman" w:hAnsi="Times New Roman"/>
          <w:sz w:val="24"/>
          <w:u w:val="single"/>
        </w:rPr>
        <w:t>Assurance of confidentiality of responses.</w:t>
      </w:r>
    </w:p>
    <w:p w:rsidR="00A80AEF" w:rsidRPr="0077736D" w:rsidP="00A80AEF" w14:paraId="685AB6F4" w14:textId="77777777">
      <w:pPr>
        <w:tabs>
          <w:tab w:val="left" w:pos="0"/>
        </w:tabs>
        <w:rPr>
          <w:rFonts w:ascii="Times New Roman" w:hAnsi="Times New Roman"/>
          <w:sz w:val="24"/>
          <w:u w:val="single"/>
        </w:rPr>
      </w:pPr>
    </w:p>
    <w:p w:rsidR="009E41BA" w:rsidRPr="0077736D" w:rsidP="00FE41B9" w14:paraId="01B259FE" w14:textId="79853CD8">
      <w:pPr>
        <w:spacing w:after="240"/>
        <w:ind w:firstLine="720"/>
        <w:rPr>
          <w:rFonts w:ascii="Times New Roman" w:hAnsi="Times New Roman"/>
          <w:sz w:val="24"/>
        </w:rPr>
      </w:pPr>
      <w:r w:rsidRPr="009E41BA">
        <w:rPr>
          <w:rFonts w:ascii="Times New Roman" w:hAnsi="Times New Roman"/>
          <w:sz w:val="24"/>
        </w:rPr>
        <w:t>Information collected under 31 U.S.C. 5318(l)(2) may be made available to FinCEN and other appropriate law enforcement and supervisory agencies.</w:t>
      </w:r>
    </w:p>
    <w:p w:rsidR="00A80AEF" w:rsidRPr="0077736D" w:rsidP="00AD5C95" w14:paraId="07F4B3DA" w14:textId="77777777">
      <w:pPr>
        <w:spacing w:before="264"/>
        <w:rPr>
          <w:rFonts w:ascii="Times New Roman" w:hAnsi="Times New Roman"/>
          <w:sz w:val="24"/>
        </w:rPr>
      </w:pPr>
      <w:r w:rsidRPr="0077736D">
        <w:rPr>
          <w:rFonts w:ascii="Times New Roman" w:hAnsi="Times New Roman"/>
          <w:sz w:val="24"/>
        </w:rPr>
        <w:t xml:space="preserve">11. </w:t>
      </w:r>
      <w:r w:rsidRPr="0077736D">
        <w:rPr>
          <w:rFonts w:ascii="Times New Roman" w:hAnsi="Times New Roman"/>
          <w:sz w:val="24"/>
          <w:u w:val="single"/>
        </w:rPr>
        <w:t>Justification of sensitive questions.</w:t>
      </w:r>
      <w:r w:rsidRPr="0077736D">
        <w:rPr>
          <w:rFonts w:ascii="Times New Roman" w:hAnsi="Times New Roman"/>
          <w:sz w:val="24"/>
        </w:rPr>
        <w:t xml:space="preserve"> </w:t>
      </w:r>
    </w:p>
    <w:p w:rsidR="00A80AEF" w:rsidRPr="0077736D" w:rsidP="00A80AEF" w14:paraId="51A4740E" w14:textId="77777777">
      <w:pPr>
        <w:tabs>
          <w:tab w:val="left" w:pos="0"/>
        </w:tabs>
        <w:rPr>
          <w:rFonts w:ascii="Times New Roman" w:hAnsi="Times New Roman"/>
          <w:sz w:val="24"/>
        </w:rPr>
      </w:pPr>
    </w:p>
    <w:p w:rsidR="00A80AEF" w:rsidRPr="0077736D" w:rsidP="00A80AEF" w14:paraId="2D053054" w14:textId="11E4DFCA">
      <w:pPr>
        <w:tabs>
          <w:tab w:val="left" w:pos="0"/>
        </w:tabs>
        <w:rPr>
          <w:rFonts w:ascii="Times New Roman" w:hAnsi="Times New Roman"/>
          <w:color w:val="1F497D"/>
          <w:sz w:val="24"/>
        </w:rPr>
      </w:pPr>
      <w:r w:rsidRPr="0077736D">
        <w:rPr>
          <w:rFonts w:ascii="Times New Roman" w:hAnsi="Times New Roman"/>
          <w:sz w:val="24"/>
        </w:rPr>
        <w:tab/>
      </w:r>
      <w:r w:rsidRPr="000413D0" w:rsidR="00A45A02">
        <w:rPr>
          <w:rFonts w:ascii="Times New Roman" w:hAnsi="Times New Roman"/>
          <w:sz w:val="24"/>
        </w:rPr>
        <w:t>CIP</w:t>
      </w:r>
      <w:r w:rsidR="00A45A02">
        <w:rPr>
          <w:rFonts w:ascii="Times New Roman" w:hAnsi="Times New Roman"/>
          <w:sz w:val="24"/>
        </w:rPr>
        <w:t xml:space="preserve"> requirements</w:t>
      </w:r>
      <w:r w:rsidRPr="000413D0" w:rsidR="00A45A02">
        <w:rPr>
          <w:rFonts w:ascii="Times New Roman" w:hAnsi="Times New Roman"/>
          <w:sz w:val="24"/>
        </w:rPr>
        <w:t xml:space="preserve"> </w:t>
      </w:r>
      <w:r w:rsidRPr="005F37FB" w:rsidR="00A45A02">
        <w:rPr>
          <w:rFonts w:ascii="Times New Roman" w:hAnsi="Times New Roman"/>
          <w:sz w:val="24"/>
        </w:rPr>
        <w:t>include</w:t>
      </w:r>
      <w:r w:rsidR="005F37FB">
        <w:rPr>
          <w:rFonts w:ascii="Times New Roman" w:hAnsi="Times New Roman"/>
          <w:sz w:val="24"/>
        </w:rPr>
        <w:t>—</w:t>
      </w:r>
      <w:r w:rsidRPr="005F37FB" w:rsidR="00A45A02">
        <w:rPr>
          <w:rFonts w:ascii="Times New Roman" w:hAnsi="Times New Roman"/>
          <w:sz w:val="24"/>
        </w:rPr>
        <w:t>among other requirements</w:t>
      </w:r>
      <w:r w:rsidR="005F37FB">
        <w:rPr>
          <w:rFonts w:ascii="Times New Roman" w:hAnsi="Times New Roman"/>
          <w:sz w:val="24"/>
        </w:rPr>
        <w:t>—</w:t>
      </w:r>
      <w:r w:rsidRPr="005F37FB" w:rsidR="00A45A02">
        <w:rPr>
          <w:rFonts w:ascii="Times New Roman" w:hAnsi="Times New Roman"/>
          <w:sz w:val="24"/>
        </w:rPr>
        <w:t>identity verification procedures for customers, including procedures for collecting identifying information for each customer</w:t>
      </w:r>
      <w:r w:rsidR="009A446F">
        <w:rPr>
          <w:rFonts w:ascii="Times New Roman" w:hAnsi="Times New Roman"/>
          <w:sz w:val="24"/>
        </w:rPr>
        <w:t>,</w:t>
      </w:r>
      <w:r w:rsidRPr="005F37FB" w:rsidR="00A45A02">
        <w:rPr>
          <w:rFonts w:ascii="Times New Roman" w:hAnsi="Times New Roman"/>
          <w:sz w:val="24"/>
        </w:rPr>
        <w:t xml:space="preserve"> </w:t>
      </w:r>
      <w:r w:rsidR="000A0291">
        <w:rPr>
          <w:rFonts w:ascii="Times New Roman" w:hAnsi="Times New Roman"/>
          <w:sz w:val="24"/>
        </w:rPr>
        <w:t xml:space="preserve">and </w:t>
      </w:r>
      <w:r w:rsidRPr="005F37FB" w:rsidR="00A45A02">
        <w:rPr>
          <w:rFonts w:ascii="Times New Roman" w:hAnsi="Times New Roman"/>
          <w:sz w:val="24"/>
        </w:rPr>
        <w:t>recordkeeping procedures relating to customer identification and verification</w:t>
      </w:r>
      <w:r w:rsidR="000A0291">
        <w:rPr>
          <w:rFonts w:ascii="Times New Roman" w:hAnsi="Times New Roman"/>
          <w:sz w:val="24"/>
        </w:rPr>
        <w:t xml:space="preserve">. </w:t>
      </w:r>
      <w:r w:rsidRPr="009A446F" w:rsidR="000A0291">
        <w:rPr>
          <w:rFonts w:ascii="Times New Roman" w:hAnsi="Times New Roman"/>
          <w:sz w:val="24"/>
        </w:rPr>
        <w:t>Personally identifiable information, such as name, address, date of birth, and taxpayer identification number, are necessary to</w:t>
      </w:r>
      <w:r w:rsidR="000A0291">
        <w:rPr>
          <w:rFonts w:ascii="Times New Roman" w:hAnsi="Times New Roman"/>
          <w:sz w:val="24"/>
        </w:rPr>
        <w:t xml:space="preserve"> </w:t>
      </w:r>
      <w:r w:rsidR="007A1E50">
        <w:rPr>
          <w:rFonts w:ascii="Times New Roman" w:hAnsi="Times New Roman"/>
          <w:sz w:val="24"/>
        </w:rPr>
        <w:t xml:space="preserve">identify and </w:t>
      </w:r>
      <w:r w:rsidR="000A0291">
        <w:rPr>
          <w:rFonts w:ascii="Times New Roman" w:hAnsi="Times New Roman"/>
          <w:sz w:val="24"/>
        </w:rPr>
        <w:t>verify the identi</w:t>
      </w:r>
      <w:r w:rsidR="004E7D80">
        <w:rPr>
          <w:rFonts w:ascii="Times New Roman" w:hAnsi="Times New Roman"/>
          <w:sz w:val="24"/>
        </w:rPr>
        <w:t>t</w:t>
      </w:r>
      <w:r w:rsidR="000A0291">
        <w:rPr>
          <w:rFonts w:ascii="Times New Roman" w:hAnsi="Times New Roman"/>
          <w:sz w:val="24"/>
        </w:rPr>
        <w:t>y of a customer</w:t>
      </w:r>
      <w:r w:rsidR="00FB2730">
        <w:rPr>
          <w:rFonts w:ascii="Times New Roman" w:hAnsi="Times New Roman"/>
          <w:sz w:val="24"/>
        </w:rPr>
        <w:t xml:space="preserve">. </w:t>
      </w:r>
      <w:r w:rsidRPr="0077736D">
        <w:rPr>
          <w:rFonts w:ascii="Times New Roman" w:hAnsi="Times New Roman"/>
          <w:sz w:val="24"/>
        </w:rPr>
        <w:t>Any personally identifiable information collected under the BSA is strictly controlled as outlined in FinCEN’s Privacy Act Systems of Records Notice</w:t>
      </w:r>
      <w:r w:rsidRPr="0077736D">
        <w:rPr>
          <w:rFonts w:ascii="Times New Roman" w:hAnsi="Times New Roman"/>
          <w:color w:val="1F497D"/>
          <w:sz w:val="24"/>
        </w:rPr>
        <w:t>.</w:t>
      </w:r>
      <w:r>
        <w:rPr>
          <w:rStyle w:val="FootnoteReference"/>
          <w:rFonts w:ascii="Times New Roman" w:hAnsi="Times New Roman" w:eastAsiaTheme="majorEastAsia"/>
          <w:sz w:val="24"/>
          <w:vertAlign w:val="superscript"/>
        </w:rPr>
        <w:footnoteReference w:id="18"/>
      </w:r>
    </w:p>
    <w:p w:rsidR="00A80AEF" w:rsidRPr="0077736D" w:rsidP="00A80AEF" w14:paraId="3B1BC7EE" w14:textId="77777777">
      <w:pPr>
        <w:tabs>
          <w:tab w:val="left" w:pos="0"/>
        </w:tabs>
        <w:rPr>
          <w:rFonts w:ascii="Times New Roman" w:hAnsi="Times New Roman"/>
          <w:color w:val="1F497D"/>
          <w:sz w:val="24"/>
        </w:rPr>
      </w:pPr>
    </w:p>
    <w:p w:rsidR="003F50F2" w:rsidRPr="0077736D" w:rsidP="003F50F2" w14:paraId="24D1AD69" w14:textId="061EFC46">
      <w:pPr>
        <w:spacing w:after="240"/>
        <w:rPr>
          <w:rFonts w:ascii="Times New Roman" w:hAnsi="Times New Roman"/>
          <w:color w:val="FF0000"/>
          <w:sz w:val="24"/>
        </w:rPr>
      </w:pPr>
      <w:r w:rsidRPr="0077736D">
        <w:rPr>
          <w:rFonts w:ascii="Times New Roman" w:hAnsi="Times New Roman"/>
          <w:sz w:val="24"/>
        </w:rPr>
        <w:t xml:space="preserve">12. </w:t>
      </w:r>
      <w:r w:rsidRPr="0077736D">
        <w:rPr>
          <w:rFonts w:ascii="Times New Roman" w:hAnsi="Times New Roman"/>
          <w:sz w:val="24"/>
          <w:u w:val="single"/>
        </w:rPr>
        <w:t xml:space="preserve">Estimated burden. </w:t>
      </w:r>
    </w:p>
    <w:p w:rsidR="003F50F2" w:rsidRPr="0077736D" w:rsidP="003F50F2" w14:paraId="1AF667F1" w14:textId="77777777">
      <w:pPr>
        <w:pStyle w:val="PlainText"/>
        <w:spacing w:after="240"/>
        <w:ind w:left="720"/>
        <w:rPr>
          <w:rFonts w:ascii="Times New Roman" w:eastAsia="MS Mincho" w:hAnsi="Times New Roman" w:cs="Times New Roman"/>
          <w:sz w:val="24"/>
          <w:szCs w:val="24"/>
        </w:rPr>
      </w:pPr>
      <w:r w:rsidRPr="0077736D">
        <w:rPr>
          <w:rFonts w:ascii="Times New Roman" w:eastAsia="MS Mincho" w:hAnsi="Times New Roman" w:cs="Times New Roman"/>
          <w:sz w:val="24"/>
          <w:szCs w:val="24"/>
          <w:u w:val="single"/>
        </w:rPr>
        <w:t>Frequency:</w:t>
      </w:r>
      <w:r w:rsidRPr="0077736D">
        <w:rPr>
          <w:rFonts w:ascii="Times New Roman" w:eastAsia="MS Mincho" w:hAnsi="Times New Roman" w:cs="Times New Roman"/>
          <w:sz w:val="24"/>
          <w:szCs w:val="24"/>
        </w:rPr>
        <w:t xml:space="preserve">  As required; varies depending on the requirement.</w:t>
      </w:r>
    </w:p>
    <w:p w:rsidR="003F50F2" w:rsidRPr="0077736D" w:rsidP="003F50F2" w14:paraId="6ADFB3D5" w14:textId="433E025D">
      <w:pPr>
        <w:spacing w:after="240"/>
        <w:ind w:left="720"/>
        <w:rPr>
          <w:rFonts w:ascii="Times New Roman" w:eastAsia="MS Mincho" w:hAnsi="Times New Roman"/>
          <w:sz w:val="24"/>
        </w:rPr>
      </w:pPr>
      <w:r w:rsidRPr="0077736D">
        <w:rPr>
          <w:rFonts w:ascii="Times New Roman" w:eastAsia="MS Mincho" w:hAnsi="Times New Roman"/>
          <w:sz w:val="24"/>
          <w:u w:val="single"/>
        </w:rPr>
        <w:t>Estimated Burden per Respondent:</w:t>
      </w:r>
      <w:r w:rsidRPr="0077736D">
        <w:rPr>
          <w:rFonts w:ascii="Times New Roman" w:eastAsia="MS Mincho" w:hAnsi="Times New Roman"/>
          <w:sz w:val="24"/>
        </w:rPr>
        <w:t xml:space="preserve"> FinCEN estimates that the annual burden </w:t>
      </w:r>
      <w:r w:rsidRPr="0077736D" w:rsidR="0011241A">
        <w:rPr>
          <w:rFonts w:ascii="Times New Roman" w:eastAsia="MS Mincho" w:hAnsi="Times New Roman"/>
          <w:sz w:val="24"/>
        </w:rPr>
        <w:t>per respondent will be</w:t>
      </w:r>
      <w:r w:rsidRPr="0077736D">
        <w:rPr>
          <w:rFonts w:ascii="Times New Roman" w:eastAsia="MS Mincho" w:hAnsi="Times New Roman"/>
          <w:sz w:val="24"/>
        </w:rPr>
        <w:t xml:space="preserve"> approximately </w:t>
      </w:r>
      <w:r w:rsidR="00D1063F">
        <w:rPr>
          <w:rFonts w:ascii="Times New Roman" w:eastAsia="MS Mincho" w:hAnsi="Times New Roman"/>
          <w:sz w:val="24"/>
        </w:rPr>
        <w:t>185.8</w:t>
      </w:r>
      <w:r w:rsidRPr="0077736D">
        <w:rPr>
          <w:rFonts w:ascii="Times New Roman" w:eastAsia="MS Mincho" w:hAnsi="Times New Roman"/>
          <w:sz w:val="24"/>
        </w:rPr>
        <w:t xml:space="preserve"> hours.</w:t>
      </w:r>
      <w:r>
        <w:rPr>
          <w:rStyle w:val="FootnoteReference"/>
          <w:rFonts w:ascii="Times New Roman" w:eastAsia="MS Mincho" w:hAnsi="Times New Roman"/>
          <w:sz w:val="24"/>
          <w:vertAlign w:val="superscript"/>
        </w:rPr>
        <w:footnoteReference w:id="19"/>
      </w:r>
      <w:r w:rsidRPr="007F2BE9" w:rsidR="0011241A">
        <w:rPr>
          <w:rFonts w:ascii="Times New Roman" w:eastAsia="MS Mincho" w:hAnsi="Times New Roman"/>
          <w:sz w:val="24"/>
          <w:vertAlign w:val="superscript"/>
        </w:rPr>
        <w:t xml:space="preserve"> </w:t>
      </w:r>
    </w:p>
    <w:p w:rsidR="00497806" w:rsidRPr="0077736D" w:rsidP="00497806" w14:paraId="7140CB8E" w14:textId="1DCC4A05">
      <w:pPr>
        <w:pStyle w:val="PlainText"/>
        <w:spacing w:after="240"/>
        <w:ind w:left="720"/>
        <w:rPr>
          <w:rFonts w:ascii="Times New Roman" w:eastAsia="MS Mincho" w:hAnsi="Times New Roman" w:cs="Times New Roman"/>
          <w:sz w:val="24"/>
          <w:szCs w:val="24"/>
        </w:rPr>
      </w:pPr>
      <w:r w:rsidRPr="0077736D">
        <w:rPr>
          <w:rFonts w:ascii="Times New Roman" w:eastAsia="MS Mincho" w:hAnsi="Times New Roman" w:cs="Times New Roman"/>
          <w:sz w:val="24"/>
          <w:szCs w:val="24"/>
          <w:u w:val="single"/>
        </w:rPr>
        <w:t>Estimated Number of Respondents:</w:t>
      </w:r>
      <w:r w:rsidRPr="0077736D">
        <w:rPr>
          <w:rFonts w:ascii="Times New Roman" w:eastAsia="MS Mincho" w:hAnsi="Times New Roman" w:cs="Times New Roman"/>
          <w:sz w:val="24"/>
          <w:szCs w:val="24"/>
        </w:rPr>
        <w:t xml:space="preserve"> </w:t>
      </w:r>
      <w:r w:rsidR="00D1063F">
        <w:rPr>
          <w:rFonts w:ascii="Times New Roman" w:eastAsia="MS Mincho" w:hAnsi="Times New Roman" w:cs="Times New Roman"/>
          <w:sz w:val="24"/>
          <w:szCs w:val="24"/>
        </w:rPr>
        <w:t>20,460</w:t>
      </w:r>
      <w:r w:rsidRPr="0077736D">
        <w:rPr>
          <w:rFonts w:ascii="Times New Roman" w:eastAsia="MS Mincho" w:hAnsi="Times New Roman" w:cs="Times New Roman"/>
          <w:sz w:val="24"/>
          <w:szCs w:val="24"/>
        </w:rPr>
        <w:t xml:space="preserve"> investment advisers. Of these, there are an estimated </w:t>
      </w:r>
      <w:r w:rsidR="00537F11">
        <w:rPr>
          <w:rFonts w:ascii="Times New Roman" w:eastAsia="MS Mincho" w:hAnsi="Times New Roman" w:cs="Times New Roman"/>
          <w:sz w:val="24"/>
          <w:szCs w:val="24"/>
        </w:rPr>
        <w:t>14,914</w:t>
      </w:r>
      <w:r w:rsidRPr="0077736D">
        <w:rPr>
          <w:rFonts w:ascii="Times New Roman" w:eastAsia="MS Mincho" w:hAnsi="Times New Roman" w:cs="Times New Roman"/>
          <w:sz w:val="24"/>
          <w:szCs w:val="24"/>
        </w:rPr>
        <w:t xml:space="preserve"> SEC-registered investment advisers</w:t>
      </w:r>
      <w:r>
        <w:rPr>
          <w:rStyle w:val="FootnoteReference"/>
          <w:rFonts w:ascii="Times New Roman" w:eastAsia="MS Mincho" w:hAnsi="Times New Roman" w:cs="Times New Roman"/>
          <w:sz w:val="24"/>
          <w:szCs w:val="24"/>
          <w:vertAlign w:val="superscript"/>
        </w:rPr>
        <w:footnoteReference w:id="20"/>
      </w:r>
      <w:r w:rsidRPr="0077736D">
        <w:rPr>
          <w:rFonts w:ascii="Times New Roman" w:eastAsia="MS Mincho" w:hAnsi="Times New Roman" w:cs="Times New Roman"/>
          <w:sz w:val="24"/>
          <w:szCs w:val="24"/>
        </w:rPr>
        <w:t xml:space="preserve"> and 5,</w:t>
      </w:r>
      <w:r w:rsidR="00537F11">
        <w:rPr>
          <w:rFonts w:ascii="Times New Roman" w:eastAsia="MS Mincho" w:hAnsi="Times New Roman" w:cs="Times New Roman"/>
          <w:sz w:val="24"/>
          <w:szCs w:val="24"/>
        </w:rPr>
        <w:t>546</w:t>
      </w:r>
      <w:r w:rsidRPr="0077736D">
        <w:rPr>
          <w:rFonts w:ascii="Times New Roman" w:eastAsia="MS Mincho" w:hAnsi="Times New Roman" w:cs="Times New Roman"/>
          <w:sz w:val="24"/>
          <w:szCs w:val="24"/>
        </w:rPr>
        <w:t xml:space="preserve"> exempt reporting advisers.</w:t>
      </w:r>
      <w:r>
        <w:rPr>
          <w:rStyle w:val="FootnoteReference"/>
          <w:rFonts w:ascii="Times New Roman" w:eastAsia="MS Mincho" w:hAnsi="Times New Roman" w:cs="Times New Roman"/>
          <w:sz w:val="24"/>
          <w:szCs w:val="24"/>
          <w:vertAlign w:val="superscript"/>
        </w:rPr>
        <w:footnoteReference w:id="21"/>
      </w:r>
      <w:r w:rsidRPr="0077736D">
        <w:rPr>
          <w:rFonts w:ascii="Times New Roman" w:eastAsia="MS Mincho" w:hAnsi="Times New Roman" w:cs="Times New Roman"/>
          <w:sz w:val="24"/>
          <w:szCs w:val="24"/>
        </w:rPr>
        <w:t xml:space="preserve"> </w:t>
      </w:r>
    </w:p>
    <w:p w:rsidR="00497806" w:rsidRPr="0077736D" w:rsidP="00B03C57" w14:paraId="046E2E22" w14:textId="597CB3E5">
      <w:pPr>
        <w:pStyle w:val="PlainText"/>
        <w:spacing w:after="240"/>
        <w:ind w:left="720"/>
        <w:rPr>
          <w:rFonts w:ascii="Times New Roman" w:eastAsia="MS Mincho" w:hAnsi="Times New Roman" w:cs="Times New Roman"/>
          <w:sz w:val="24"/>
          <w:szCs w:val="24"/>
        </w:rPr>
      </w:pPr>
      <w:r w:rsidRPr="0077736D">
        <w:rPr>
          <w:rFonts w:ascii="Times New Roman" w:eastAsia="MS Mincho" w:hAnsi="Times New Roman" w:cs="Times New Roman"/>
          <w:sz w:val="24"/>
          <w:szCs w:val="24"/>
          <w:u w:val="single"/>
        </w:rPr>
        <w:t>Estimated Total Annual Burden Hours:</w:t>
      </w:r>
      <w:r w:rsidRPr="0077736D">
        <w:rPr>
          <w:rFonts w:ascii="Times New Roman" w:eastAsia="MS Mincho" w:hAnsi="Times New Roman" w:cs="Times New Roman"/>
          <w:sz w:val="24"/>
          <w:szCs w:val="24"/>
        </w:rPr>
        <w:t xml:space="preserve"> FinCEN estimates that the annual burden will be </w:t>
      </w:r>
      <w:r w:rsidR="00407CD1">
        <w:rPr>
          <w:rFonts w:ascii="Times New Roman" w:eastAsia="MS Mincho" w:hAnsi="Times New Roman" w:cs="Times New Roman"/>
          <w:sz w:val="24"/>
          <w:szCs w:val="24"/>
        </w:rPr>
        <w:t>3,800,990</w:t>
      </w:r>
      <w:r w:rsidRPr="0077736D">
        <w:rPr>
          <w:rFonts w:ascii="Times New Roman" w:eastAsia="MS Mincho" w:hAnsi="Times New Roman" w:cs="Times New Roman"/>
          <w:sz w:val="24"/>
          <w:szCs w:val="24"/>
        </w:rPr>
        <w:t xml:space="preserve"> hours for investment advisers.</w:t>
      </w:r>
      <w:r>
        <w:rPr>
          <w:rStyle w:val="FootnoteReference"/>
          <w:rFonts w:ascii="Times New Roman" w:eastAsia="MS Mincho" w:hAnsi="Times New Roman" w:cs="Times New Roman"/>
          <w:sz w:val="24"/>
          <w:szCs w:val="24"/>
          <w:vertAlign w:val="superscript"/>
        </w:rPr>
        <w:footnoteReference w:id="22"/>
      </w:r>
      <w:r w:rsidRPr="0077736D">
        <w:rPr>
          <w:rFonts w:ascii="Times New Roman" w:eastAsia="MS Mincho" w:hAnsi="Times New Roman" w:cs="Times New Roman"/>
          <w:sz w:val="24"/>
          <w:szCs w:val="24"/>
        </w:rPr>
        <w:t xml:space="preserve"> </w:t>
      </w:r>
    </w:p>
    <w:p w:rsidR="003F50F2" w:rsidRPr="0077736D" w:rsidP="003F50F2" w14:paraId="58A0199E" w14:textId="178611A9">
      <w:pPr>
        <w:spacing w:after="240"/>
        <w:rPr>
          <w:rFonts w:ascii="Times New Roman" w:eastAsia="MS Mincho" w:hAnsi="Times New Roman"/>
          <w:sz w:val="24"/>
          <w:u w:val="single"/>
        </w:rPr>
      </w:pPr>
      <w:r w:rsidRPr="0077736D">
        <w:rPr>
          <w:rFonts w:ascii="Times New Roman" w:eastAsia="MS Mincho" w:hAnsi="Times New Roman"/>
          <w:sz w:val="24"/>
        </w:rPr>
        <w:t xml:space="preserve">13. </w:t>
      </w:r>
      <w:r w:rsidRPr="0077736D">
        <w:rPr>
          <w:rFonts w:ascii="Times New Roman" w:eastAsia="MS Mincho" w:hAnsi="Times New Roman"/>
          <w:sz w:val="24"/>
          <w:u w:val="single"/>
        </w:rPr>
        <w:t xml:space="preserve">Estimated total annual cost burden. </w:t>
      </w:r>
    </w:p>
    <w:tbl>
      <w:tblPr>
        <w:tblW w:w="9656" w:type="dxa"/>
        <w:tblLook w:val="04A0"/>
      </w:tblPr>
      <w:tblGrid>
        <w:gridCol w:w="817"/>
        <w:gridCol w:w="1523"/>
        <w:gridCol w:w="1797"/>
        <w:gridCol w:w="1536"/>
        <w:gridCol w:w="1980"/>
        <w:gridCol w:w="2095"/>
      </w:tblGrid>
      <w:tr w14:paraId="5630961E" w14:textId="77777777" w:rsidTr="004F5D85">
        <w:tblPrEx>
          <w:tblW w:w="9656" w:type="dxa"/>
          <w:tblLook w:val="04A0"/>
        </w:tblPrEx>
        <w:trPr>
          <w:trHeight w:val="300"/>
        </w:trPr>
        <w:tc>
          <w:tcPr>
            <w:tcW w:w="8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36D4" w:rsidRPr="004F5D85" w:rsidP="00FB36D4" w14:paraId="36681743" w14:textId="77777777">
            <w:pPr>
              <w:widowControl/>
              <w:autoSpaceDE/>
              <w:autoSpaceDN/>
              <w:adjustRightInd/>
              <w:rPr>
                <w:rFonts w:ascii="Times New Roman" w:hAnsi="Times New Roman"/>
                <w:color w:val="000000"/>
                <w:sz w:val="24"/>
              </w:rPr>
            </w:pPr>
            <w:r w:rsidRPr="004F5D85">
              <w:rPr>
                <w:rFonts w:ascii="Times New Roman" w:hAnsi="Times New Roman"/>
                <w:color w:val="000000"/>
                <w:sz w:val="24"/>
              </w:rPr>
              <w:t> </w:t>
            </w:r>
          </w:p>
        </w:tc>
        <w:tc>
          <w:tcPr>
            <w:tcW w:w="1443" w:type="dxa"/>
            <w:tcBorders>
              <w:top w:val="single" w:sz="4" w:space="0" w:color="auto"/>
              <w:left w:val="nil"/>
              <w:bottom w:val="single" w:sz="4" w:space="0" w:color="auto"/>
              <w:right w:val="single" w:sz="4" w:space="0" w:color="auto"/>
            </w:tcBorders>
            <w:shd w:val="clear" w:color="auto" w:fill="auto"/>
            <w:noWrap/>
            <w:vAlign w:val="bottom"/>
            <w:hideMark/>
          </w:tcPr>
          <w:p w:rsidR="00FB36D4" w:rsidRPr="004F5D85" w:rsidP="004F5D85" w14:paraId="5251361D" w14:textId="77777777">
            <w:pPr>
              <w:widowControl/>
              <w:autoSpaceDE/>
              <w:autoSpaceDN/>
              <w:adjustRightInd/>
              <w:jc w:val="center"/>
              <w:rPr>
                <w:rFonts w:ascii="Times New Roman" w:hAnsi="Times New Roman"/>
                <w:b/>
                <w:color w:val="000000"/>
                <w:sz w:val="24"/>
              </w:rPr>
            </w:pPr>
            <w:r w:rsidRPr="004F5D85">
              <w:rPr>
                <w:rFonts w:ascii="Times New Roman" w:hAnsi="Times New Roman"/>
                <w:b/>
                <w:color w:val="000000"/>
                <w:sz w:val="24"/>
              </w:rPr>
              <w:t>Number of Respondents</w:t>
            </w:r>
          </w:p>
        </w:tc>
        <w:tc>
          <w:tcPr>
            <w:tcW w:w="1797" w:type="dxa"/>
            <w:tcBorders>
              <w:top w:val="single" w:sz="4" w:space="0" w:color="auto"/>
              <w:left w:val="nil"/>
              <w:bottom w:val="single" w:sz="4" w:space="0" w:color="auto"/>
              <w:right w:val="single" w:sz="4" w:space="0" w:color="auto"/>
            </w:tcBorders>
            <w:shd w:val="clear" w:color="auto" w:fill="auto"/>
            <w:noWrap/>
            <w:vAlign w:val="bottom"/>
            <w:hideMark/>
          </w:tcPr>
          <w:p w:rsidR="00FB36D4" w:rsidRPr="004F5D85" w:rsidP="004F5D85" w14:paraId="1095C909" w14:textId="77777777">
            <w:pPr>
              <w:widowControl/>
              <w:autoSpaceDE/>
              <w:autoSpaceDN/>
              <w:adjustRightInd/>
              <w:jc w:val="center"/>
              <w:rPr>
                <w:rFonts w:ascii="Times New Roman" w:hAnsi="Times New Roman"/>
                <w:b/>
                <w:color w:val="000000"/>
                <w:sz w:val="24"/>
              </w:rPr>
            </w:pPr>
            <w:r w:rsidRPr="004F5D85">
              <w:rPr>
                <w:rFonts w:ascii="Times New Roman" w:hAnsi="Times New Roman"/>
                <w:b/>
                <w:color w:val="000000"/>
                <w:sz w:val="24"/>
              </w:rPr>
              <w:t>New Aggregate Annual Internal Hours Burden</w:t>
            </w:r>
          </w:p>
        </w:tc>
        <w:tc>
          <w:tcPr>
            <w:tcW w:w="1536" w:type="dxa"/>
            <w:tcBorders>
              <w:top w:val="single" w:sz="4" w:space="0" w:color="auto"/>
              <w:left w:val="nil"/>
              <w:bottom w:val="single" w:sz="4" w:space="0" w:color="auto"/>
              <w:right w:val="single" w:sz="4" w:space="0" w:color="auto"/>
            </w:tcBorders>
            <w:shd w:val="clear" w:color="auto" w:fill="auto"/>
            <w:noWrap/>
            <w:vAlign w:val="bottom"/>
            <w:hideMark/>
          </w:tcPr>
          <w:p w:rsidR="00FB36D4" w:rsidRPr="004F5D85" w:rsidP="004F5D85" w14:paraId="5D4E1138" w14:textId="77777777">
            <w:pPr>
              <w:widowControl/>
              <w:autoSpaceDE/>
              <w:autoSpaceDN/>
              <w:adjustRightInd/>
              <w:jc w:val="center"/>
              <w:rPr>
                <w:rFonts w:ascii="Times New Roman" w:hAnsi="Times New Roman"/>
                <w:b/>
                <w:color w:val="000000"/>
                <w:sz w:val="24"/>
              </w:rPr>
            </w:pPr>
            <w:r w:rsidRPr="004F5D85">
              <w:rPr>
                <w:rFonts w:ascii="Times New Roman" w:hAnsi="Times New Roman"/>
                <w:b/>
                <w:color w:val="000000"/>
                <w:sz w:val="24"/>
              </w:rPr>
              <w:t>Wage Rate</w:t>
            </w:r>
          </w:p>
        </w:tc>
        <w:tc>
          <w:tcPr>
            <w:tcW w:w="1980" w:type="dxa"/>
            <w:tcBorders>
              <w:top w:val="single" w:sz="4" w:space="0" w:color="auto"/>
              <w:left w:val="nil"/>
              <w:bottom w:val="single" w:sz="4" w:space="0" w:color="auto"/>
              <w:right w:val="single" w:sz="4" w:space="0" w:color="auto"/>
            </w:tcBorders>
            <w:shd w:val="clear" w:color="auto" w:fill="auto"/>
            <w:noWrap/>
            <w:vAlign w:val="bottom"/>
            <w:hideMark/>
          </w:tcPr>
          <w:p w:rsidR="00FB36D4" w:rsidRPr="004F5D85" w:rsidP="004F5D85" w14:paraId="16F77EF7" w14:textId="77777777">
            <w:pPr>
              <w:widowControl/>
              <w:autoSpaceDE/>
              <w:autoSpaceDN/>
              <w:adjustRightInd/>
              <w:jc w:val="center"/>
              <w:rPr>
                <w:rFonts w:ascii="Times New Roman" w:hAnsi="Times New Roman"/>
                <w:b/>
                <w:color w:val="000000"/>
                <w:sz w:val="24"/>
              </w:rPr>
            </w:pPr>
            <w:r w:rsidRPr="004F5D85">
              <w:rPr>
                <w:rFonts w:ascii="Times New Roman" w:hAnsi="Times New Roman"/>
                <w:b/>
                <w:color w:val="000000"/>
                <w:sz w:val="24"/>
              </w:rPr>
              <w:t>Internal Time Costs</w:t>
            </w:r>
          </w:p>
        </w:tc>
        <w:tc>
          <w:tcPr>
            <w:tcW w:w="2095" w:type="dxa"/>
            <w:tcBorders>
              <w:top w:val="single" w:sz="4" w:space="0" w:color="auto"/>
              <w:left w:val="nil"/>
              <w:bottom w:val="single" w:sz="4" w:space="0" w:color="auto"/>
              <w:right w:val="single" w:sz="4" w:space="0" w:color="auto"/>
            </w:tcBorders>
            <w:shd w:val="clear" w:color="auto" w:fill="auto"/>
            <w:noWrap/>
            <w:vAlign w:val="bottom"/>
            <w:hideMark/>
          </w:tcPr>
          <w:p w:rsidR="00FB36D4" w:rsidRPr="004F5D85" w:rsidP="004F5D85" w14:paraId="2FCE999B" w14:textId="77777777">
            <w:pPr>
              <w:widowControl/>
              <w:autoSpaceDE/>
              <w:autoSpaceDN/>
              <w:adjustRightInd/>
              <w:jc w:val="center"/>
              <w:rPr>
                <w:rFonts w:ascii="Times New Roman" w:hAnsi="Times New Roman"/>
                <w:b/>
                <w:color w:val="000000"/>
                <w:sz w:val="24"/>
              </w:rPr>
            </w:pPr>
            <w:r w:rsidRPr="004F5D85">
              <w:rPr>
                <w:rFonts w:ascii="Times New Roman" w:hAnsi="Times New Roman"/>
                <w:b/>
                <w:color w:val="000000"/>
                <w:sz w:val="24"/>
              </w:rPr>
              <w:t>Annual External Cost</w:t>
            </w:r>
          </w:p>
        </w:tc>
      </w:tr>
      <w:tr w14:paraId="3C818723" w14:textId="77777777" w:rsidTr="00FB36D4">
        <w:tblPrEx>
          <w:tblW w:w="9656" w:type="dxa"/>
          <w:tblLook w:val="04A0"/>
        </w:tblPrEx>
        <w:trPr>
          <w:trHeight w:val="300"/>
        </w:trPr>
        <w:tc>
          <w:tcPr>
            <w:tcW w:w="805" w:type="dxa"/>
            <w:tcBorders>
              <w:top w:val="nil"/>
              <w:left w:val="single" w:sz="4" w:space="0" w:color="auto"/>
              <w:bottom w:val="single" w:sz="4" w:space="0" w:color="auto"/>
              <w:right w:val="single" w:sz="4" w:space="0" w:color="auto"/>
            </w:tcBorders>
            <w:shd w:val="clear" w:color="auto" w:fill="auto"/>
            <w:noWrap/>
            <w:vAlign w:val="bottom"/>
            <w:hideMark/>
          </w:tcPr>
          <w:p w:rsidR="00FB36D4" w:rsidRPr="004F5D85" w:rsidP="00FB36D4" w14:paraId="072EC10D" w14:textId="77777777">
            <w:pPr>
              <w:widowControl/>
              <w:autoSpaceDE/>
              <w:autoSpaceDN/>
              <w:adjustRightInd/>
              <w:rPr>
                <w:rFonts w:ascii="Times New Roman" w:hAnsi="Times New Roman"/>
                <w:b/>
                <w:color w:val="000000"/>
                <w:sz w:val="24"/>
              </w:rPr>
            </w:pPr>
            <w:r w:rsidRPr="004F5D85">
              <w:rPr>
                <w:rFonts w:ascii="Times New Roman" w:hAnsi="Times New Roman"/>
                <w:b/>
                <w:color w:val="000000"/>
                <w:sz w:val="24"/>
              </w:rPr>
              <w:t>RIAs</w:t>
            </w:r>
          </w:p>
        </w:tc>
        <w:tc>
          <w:tcPr>
            <w:tcW w:w="1443" w:type="dxa"/>
            <w:tcBorders>
              <w:top w:val="nil"/>
              <w:left w:val="nil"/>
              <w:bottom w:val="single" w:sz="4" w:space="0" w:color="auto"/>
              <w:right w:val="single" w:sz="4" w:space="0" w:color="auto"/>
            </w:tcBorders>
            <w:shd w:val="clear" w:color="auto" w:fill="auto"/>
            <w:noWrap/>
            <w:vAlign w:val="bottom"/>
            <w:hideMark/>
          </w:tcPr>
          <w:p w:rsidR="00FB36D4" w:rsidRPr="004F5D85" w:rsidP="00FB36D4" w14:paraId="27B0D27C" w14:textId="77777777">
            <w:pPr>
              <w:widowControl/>
              <w:autoSpaceDE/>
              <w:autoSpaceDN/>
              <w:adjustRightInd/>
              <w:jc w:val="right"/>
              <w:rPr>
                <w:rFonts w:ascii="Times New Roman" w:hAnsi="Times New Roman"/>
                <w:color w:val="000000"/>
                <w:sz w:val="24"/>
              </w:rPr>
            </w:pPr>
            <w:r w:rsidRPr="004F5D85">
              <w:rPr>
                <w:rFonts w:ascii="Times New Roman" w:hAnsi="Times New Roman"/>
                <w:color w:val="000000"/>
                <w:sz w:val="24"/>
              </w:rPr>
              <w:t>14,914</w:t>
            </w:r>
          </w:p>
        </w:tc>
        <w:tc>
          <w:tcPr>
            <w:tcW w:w="1797" w:type="dxa"/>
            <w:tcBorders>
              <w:top w:val="nil"/>
              <w:left w:val="nil"/>
              <w:bottom w:val="single" w:sz="4" w:space="0" w:color="auto"/>
              <w:right w:val="single" w:sz="4" w:space="0" w:color="auto"/>
            </w:tcBorders>
            <w:shd w:val="clear" w:color="auto" w:fill="auto"/>
            <w:noWrap/>
            <w:vAlign w:val="bottom"/>
            <w:hideMark/>
          </w:tcPr>
          <w:p w:rsidR="00FB36D4" w:rsidRPr="004F5D85" w:rsidP="00FB36D4" w14:paraId="4587B2D1" w14:textId="77777777">
            <w:pPr>
              <w:widowControl/>
              <w:autoSpaceDE/>
              <w:autoSpaceDN/>
              <w:adjustRightInd/>
              <w:jc w:val="right"/>
              <w:rPr>
                <w:rFonts w:ascii="Times New Roman" w:hAnsi="Times New Roman"/>
                <w:color w:val="000000"/>
                <w:sz w:val="24"/>
              </w:rPr>
            </w:pPr>
            <w:r w:rsidRPr="004F5D85">
              <w:rPr>
                <w:rFonts w:ascii="Times New Roman" w:hAnsi="Times New Roman"/>
                <w:color w:val="000000"/>
                <w:sz w:val="24"/>
              </w:rPr>
              <w:t>249</w:t>
            </w:r>
          </w:p>
        </w:tc>
        <w:tc>
          <w:tcPr>
            <w:tcW w:w="1536" w:type="dxa"/>
            <w:tcBorders>
              <w:top w:val="nil"/>
              <w:left w:val="nil"/>
              <w:bottom w:val="single" w:sz="4" w:space="0" w:color="auto"/>
              <w:right w:val="single" w:sz="4" w:space="0" w:color="auto"/>
            </w:tcBorders>
            <w:shd w:val="clear" w:color="auto" w:fill="auto"/>
            <w:noWrap/>
            <w:vAlign w:val="bottom"/>
            <w:hideMark/>
          </w:tcPr>
          <w:p w:rsidR="00FB36D4" w:rsidRPr="004F5D85" w:rsidP="00FB36D4" w14:paraId="01E3D89E" w14:textId="77777777">
            <w:pPr>
              <w:widowControl/>
              <w:autoSpaceDE/>
              <w:autoSpaceDN/>
              <w:adjustRightInd/>
              <w:jc w:val="right"/>
              <w:rPr>
                <w:rFonts w:ascii="Times New Roman" w:hAnsi="Times New Roman"/>
                <w:color w:val="000000"/>
                <w:sz w:val="24"/>
              </w:rPr>
            </w:pPr>
            <w:r w:rsidRPr="004F5D85">
              <w:rPr>
                <w:rFonts w:ascii="Times New Roman" w:hAnsi="Times New Roman"/>
                <w:color w:val="000000"/>
                <w:sz w:val="24"/>
              </w:rPr>
              <w:t>$106.30</w:t>
            </w:r>
          </w:p>
        </w:tc>
        <w:tc>
          <w:tcPr>
            <w:tcW w:w="1980" w:type="dxa"/>
            <w:tcBorders>
              <w:top w:val="nil"/>
              <w:left w:val="nil"/>
              <w:bottom w:val="single" w:sz="4" w:space="0" w:color="auto"/>
              <w:right w:val="single" w:sz="4" w:space="0" w:color="auto"/>
            </w:tcBorders>
            <w:shd w:val="clear" w:color="auto" w:fill="auto"/>
            <w:noWrap/>
            <w:vAlign w:val="bottom"/>
            <w:hideMark/>
          </w:tcPr>
          <w:p w:rsidR="00FB36D4" w:rsidRPr="004F5D85" w:rsidP="00FB36D4" w14:paraId="1CF9CCF7" w14:textId="77777777">
            <w:pPr>
              <w:widowControl/>
              <w:autoSpaceDE/>
              <w:autoSpaceDN/>
              <w:adjustRightInd/>
              <w:jc w:val="right"/>
              <w:rPr>
                <w:rFonts w:ascii="Times New Roman" w:hAnsi="Times New Roman"/>
                <w:color w:val="000000"/>
                <w:sz w:val="24"/>
              </w:rPr>
            </w:pPr>
            <w:r w:rsidRPr="004F5D85">
              <w:rPr>
                <w:rFonts w:ascii="Times New Roman" w:hAnsi="Times New Roman"/>
                <w:color w:val="000000"/>
                <w:sz w:val="24"/>
              </w:rPr>
              <w:t>$394,754,191.80</w:t>
            </w:r>
          </w:p>
        </w:tc>
        <w:tc>
          <w:tcPr>
            <w:tcW w:w="2095" w:type="dxa"/>
            <w:tcBorders>
              <w:top w:val="nil"/>
              <w:left w:val="nil"/>
              <w:bottom w:val="single" w:sz="4" w:space="0" w:color="auto"/>
              <w:right w:val="single" w:sz="4" w:space="0" w:color="auto"/>
            </w:tcBorders>
            <w:shd w:val="clear" w:color="auto" w:fill="auto"/>
            <w:noWrap/>
            <w:vAlign w:val="bottom"/>
            <w:hideMark/>
          </w:tcPr>
          <w:p w:rsidR="00FB36D4" w:rsidRPr="004F5D85" w:rsidP="00FB36D4" w14:paraId="3638CF9D" w14:textId="77777777">
            <w:pPr>
              <w:widowControl/>
              <w:autoSpaceDE/>
              <w:autoSpaceDN/>
              <w:adjustRightInd/>
              <w:jc w:val="right"/>
              <w:rPr>
                <w:rFonts w:ascii="Times New Roman" w:hAnsi="Times New Roman"/>
                <w:color w:val="000000"/>
                <w:sz w:val="24"/>
              </w:rPr>
            </w:pPr>
            <w:r w:rsidRPr="004F5D85">
              <w:rPr>
                <w:rFonts w:ascii="Times New Roman" w:hAnsi="Times New Roman"/>
                <w:color w:val="000000"/>
                <w:sz w:val="24"/>
              </w:rPr>
              <w:t>$45,726,324.00</w:t>
            </w:r>
          </w:p>
        </w:tc>
      </w:tr>
      <w:tr w14:paraId="39A9A426" w14:textId="77777777" w:rsidTr="00FB36D4">
        <w:tblPrEx>
          <w:tblW w:w="9656" w:type="dxa"/>
          <w:tblLook w:val="04A0"/>
        </w:tblPrEx>
        <w:trPr>
          <w:trHeight w:val="300"/>
        </w:trPr>
        <w:tc>
          <w:tcPr>
            <w:tcW w:w="805" w:type="dxa"/>
            <w:tcBorders>
              <w:top w:val="nil"/>
              <w:left w:val="single" w:sz="4" w:space="0" w:color="auto"/>
              <w:bottom w:val="single" w:sz="4" w:space="0" w:color="auto"/>
              <w:right w:val="single" w:sz="4" w:space="0" w:color="auto"/>
            </w:tcBorders>
            <w:shd w:val="clear" w:color="auto" w:fill="auto"/>
            <w:noWrap/>
            <w:vAlign w:val="bottom"/>
            <w:hideMark/>
          </w:tcPr>
          <w:p w:rsidR="00FB36D4" w:rsidRPr="004F5D85" w:rsidP="00FB36D4" w14:paraId="502A2008" w14:textId="77777777">
            <w:pPr>
              <w:widowControl/>
              <w:autoSpaceDE/>
              <w:autoSpaceDN/>
              <w:adjustRightInd/>
              <w:rPr>
                <w:rFonts w:ascii="Times New Roman" w:hAnsi="Times New Roman"/>
                <w:b/>
                <w:color w:val="000000"/>
                <w:sz w:val="24"/>
              </w:rPr>
            </w:pPr>
            <w:r w:rsidRPr="004F5D85">
              <w:rPr>
                <w:rFonts w:ascii="Times New Roman" w:hAnsi="Times New Roman"/>
                <w:b/>
                <w:color w:val="000000"/>
                <w:sz w:val="24"/>
              </w:rPr>
              <w:t>ERAs</w:t>
            </w:r>
          </w:p>
        </w:tc>
        <w:tc>
          <w:tcPr>
            <w:tcW w:w="1443" w:type="dxa"/>
            <w:tcBorders>
              <w:top w:val="nil"/>
              <w:left w:val="nil"/>
              <w:bottom w:val="single" w:sz="4" w:space="0" w:color="auto"/>
              <w:right w:val="single" w:sz="4" w:space="0" w:color="auto"/>
            </w:tcBorders>
            <w:shd w:val="clear" w:color="auto" w:fill="auto"/>
            <w:noWrap/>
            <w:vAlign w:val="bottom"/>
            <w:hideMark/>
          </w:tcPr>
          <w:p w:rsidR="00FB36D4" w:rsidRPr="004F5D85" w:rsidP="00FB36D4" w14:paraId="7B1BB655" w14:textId="77777777">
            <w:pPr>
              <w:widowControl/>
              <w:autoSpaceDE/>
              <w:autoSpaceDN/>
              <w:adjustRightInd/>
              <w:jc w:val="right"/>
              <w:rPr>
                <w:rFonts w:ascii="Times New Roman" w:hAnsi="Times New Roman"/>
                <w:color w:val="000000"/>
                <w:sz w:val="24"/>
              </w:rPr>
            </w:pPr>
            <w:r w:rsidRPr="004F5D85">
              <w:rPr>
                <w:rFonts w:ascii="Times New Roman" w:hAnsi="Times New Roman"/>
                <w:color w:val="000000"/>
                <w:sz w:val="24"/>
              </w:rPr>
              <w:t>5,546</w:t>
            </w:r>
          </w:p>
        </w:tc>
        <w:tc>
          <w:tcPr>
            <w:tcW w:w="1797" w:type="dxa"/>
            <w:tcBorders>
              <w:top w:val="nil"/>
              <w:left w:val="nil"/>
              <w:bottom w:val="single" w:sz="4" w:space="0" w:color="auto"/>
              <w:right w:val="single" w:sz="4" w:space="0" w:color="auto"/>
            </w:tcBorders>
            <w:shd w:val="clear" w:color="auto" w:fill="auto"/>
            <w:noWrap/>
            <w:vAlign w:val="bottom"/>
            <w:hideMark/>
          </w:tcPr>
          <w:p w:rsidR="00FB36D4" w:rsidRPr="004F5D85" w:rsidP="00FB36D4" w14:paraId="712EDC81" w14:textId="77777777">
            <w:pPr>
              <w:widowControl/>
              <w:autoSpaceDE/>
              <w:autoSpaceDN/>
              <w:adjustRightInd/>
              <w:jc w:val="right"/>
              <w:rPr>
                <w:rFonts w:ascii="Times New Roman" w:hAnsi="Times New Roman"/>
                <w:color w:val="000000"/>
                <w:sz w:val="24"/>
              </w:rPr>
            </w:pPr>
            <w:r w:rsidRPr="004F5D85">
              <w:rPr>
                <w:rFonts w:ascii="Times New Roman" w:hAnsi="Times New Roman"/>
                <w:color w:val="000000"/>
                <w:sz w:val="24"/>
              </w:rPr>
              <w:t>15.76</w:t>
            </w:r>
          </w:p>
        </w:tc>
        <w:tc>
          <w:tcPr>
            <w:tcW w:w="1536" w:type="dxa"/>
            <w:tcBorders>
              <w:top w:val="nil"/>
              <w:left w:val="nil"/>
              <w:bottom w:val="single" w:sz="4" w:space="0" w:color="auto"/>
              <w:right w:val="single" w:sz="4" w:space="0" w:color="auto"/>
            </w:tcBorders>
            <w:shd w:val="clear" w:color="auto" w:fill="auto"/>
            <w:noWrap/>
            <w:vAlign w:val="bottom"/>
            <w:hideMark/>
          </w:tcPr>
          <w:p w:rsidR="00FB36D4" w:rsidRPr="004F5D85" w:rsidP="00FB36D4" w14:paraId="2DCE23FF" w14:textId="77777777">
            <w:pPr>
              <w:widowControl/>
              <w:autoSpaceDE/>
              <w:autoSpaceDN/>
              <w:adjustRightInd/>
              <w:jc w:val="right"/>
              <w:rPr>
                <w:rFonts w:ascii="Times New Roman" w:hAnsi="Times New Roman"/>
                <w:color w:val="000000"/>
                <w:sz w:val="24"/>
              </w:rPr>
            </w:pPr>
            <w:r w:rsidRPr="004F5D85">
              <w:rPr>
                <w:rFonts w:ascii="Times New Roman" w:hAnsi="Times New Roman"/>
                <w:color w:val="000000"/>
                <w:sz w:val="24"/>
              </w:rPr>
              <w:t>$106.30</w:t>
            </w:r>
          </w:p>
        </w:tc>
        <w:tc>
          <w:tcPr>
            <w:tcW w:w="1980" w:type="dxa"/>
            <w:tcBorders>
              <w:top w:val="nil"/>
              <w:left w:val="nil"/>
              <w:bottom w:val="single" w:sz="4" w:space="0" w:color="auto"/>
              <w:right w:val="single" w:sz="4" w:space="0" w:color="auto"/>
            </w:tcBorders>
            <w:shd w:val="clear" w:color="auto" w:fill="auto"/>
            <w:noWrap/>
            <w:vAlign w:val="bottom"/>
            <w:hideMark/>
          </w:tcPr>
          <w:p w:rsidR="00FB36D4" w:rsidRPr="004F5D85" w:rsidP="00FB36D4" w14:paraId="5847AD1A" w14:textId="77777777">
            <w:pPr>
              <w:widowControl/>
              <w:autoSpaceDE/>
              <w:autoSpaceDN/>
              <w:adjustRightInd/>
              <w:jc w:val="right"/>
              <w:rPr>
                <w:rFonts w:ascii="Times New Roman" w:hAnsi="Times New Roman"/>
                <w:color w:val="000000"/>
                <w:sz w:val="24"/>
              </w:rPr>
            </w:pPr>
            <w:r w:rsidRPr="004F5D85">
              <w:rPr>
                <w:rFonts w:ascii="Times New Roman" w:hAnsi="Times New Roman"/>
                <w:color w:val="000000"/>
                <w:sz w:val="24"/>
              </w:rPr>
              <w:t>$9,291,147.25</w:t>
            </w:r>
          </w:p>
        </w:tc>
        <w:tc>
          <w:tcPr>
            <w:tcW w:w="2095" w:type="dxa"/>
            <w:tcBorders>
              <w:top w:val="nil"/>
              <w:left w:val="nil"/>
              <w:bottom w:val="single" w:sz="4" w:space="0" w:color="auto"/>
              <w:right w:val="single" w:sz="4" w:space="0" w:color="auto"/>
            </w:tcBorders>
            <w:shd w:val="clear" w:color="auto" w:fill="auto"/>
            <w:noWrap/>
            <w:vAlign w:val="bottom"/>
            <w:hideMark/>
          </w:tcPr>
          <w:p w:rsidR="00FB36D4" w:rsidRPr="004F5D85" w:rsidP="00FB36D4" w14:paraId="50C89284" w14:textId="77777777">
            <w:pPr>
              <w:widowControl/>
              <w:autoSpaceDE/>
              <w:autoSpaceDN/>
              <w:adjustRightInd/>
              <w:jc w:val="right"/>
              <w:rPr>
                <w:rFonts w:ascii="Times New Roman" w:hAnsi="Times New Roman"/>
                <w:color w:val="000000"/>
                <w:sz w:val="24"/>
              </w:rPr>
            </w:pPr>
            <w:r w:rsidRPr="004F5D85">
              <w:rPr>
                <w:rFonts w:ascii="Times New Roman" w:hAnsi="Times New Roman"/>
                <w:color w:val="000000"/>
                <w:sz w:val="24"/>
              </w:rPr>
              <w:t>$2,720,645.76</w:t>
            </w:r>
          </w:p>
        </w:tc>
      </w:tr>
      <w:tr w14:paraId="712003E6" w14:textId="77777777" w:rsidTr="00FB36D4">
        <w:tblPrEx>
          <w:tblW w:w="9656" w:type="dxa"/>
          <w:tblLook w:val="04A0"/>
        </w:tblPrEx>
        <w:trPr>
          <w:trHeight w:val="300"/>
        </w:trPr>
        <w:tc>
          <w:tcPr>
            <w:tcW w:w="805" w:type="dxa"/>
            <w:tcBorders>
              <w:top w:val="nil"/>
              <w:left w:val="single" w:sz="4" w:space="0" w:color="auto"/>
              <w:bottom w:val="single" w:sz="4" w:space="0" w:color="auto"/>
              <w:right w:val="single" w:sz="4" w:space="0" w:color="auto"/>
            </w:tcBorders>
            <w:shd w:val="clear" w:color="auto" w:fill="auto"/>
            <w:noWrap/>
            <w:vAlign w:val="bottom"/>
            <w:hideMark/>
          </w:tcPr>
          <w:p w:rsidR="00FB36D4" w:rsidRPr="004F5D85" w:rsidP="00FB36D4" w14:paraId="3C0B299C" w14:textId="2373779E">
            <w:pPr>
              <w:widowControl/>
              <w:autoSpaceDE/>
              <w:autoSpaceDN/>
              <w:adjustRightInd/>
              <w:rPr>
                <w:rFonts w:ascii="Times New Roman" w:hAnsi="Times New Roman"/>
                <w:b/>
                <w:color w:val="000000"/>
                <w:sz w:val="24"/>
              </w:rPr>
            </w:pPr>
            <w:r w:rsidRPr="004F5D85">
              <w:rPr>
                <w:rFonts w:ascii="Times New Roman" w:hAnsi="Times New Roman"/>
                <w:b/>
                <w:color w:val="000000"/>
                <w:sz w:val="24"/>
              </w:rPr>
              <w:t>Total IAs</w:t>
            </w:r>
          </w:p>
        </w:tc>
        <w:tc>
          <w:tcPr>
            <w:tcW w:w="1443" w:type="dxa"/>
            <w:tcBorders>
              <w:top w:val="nil"/>
              <w:left w:val="nil"/>
              <w:bottom w:val="single" w:sz="4" w:space="0" w:color="auto"/>
              <w:right w:val="single" w:sz="4" w:space="0" w:color="auto"/>
            </w:tcBorders>
            <w:shd w:val="clear" w:color="auto" w:fill="auto"/>
            <w:noWrap/>
            <w:vAlign w:val="bottom"/>
            <w:hideMark/>
          </w:tcPr>
          <w:p w:rsidR="00FB36D4" w:rsidRPr="004F5D85" w:rsidP="00FB36D4" w14:paraId="13481D6A" w14:textId="77777777">
            <w:pPr>
              <w:widowControl/>
              <w:autoSpaceDE/>
              <w:autoSpaceDN/>
              <w:adjustRightInd/>
              <w:jc w:val="right"/>
              <w:rPr>
                <w:rFonts w:ascii="Times New Roman" w:hAnsi="Times New Roman"/>
                <w:color w:val="000000"/>
                <w:sz w:val="24"/>
              </w:rPr>
            </w:pPr>
            <w:r w:rsidRPr="004F5D85">
              <w:rPr>
                <w:rFonts w:ascii="Times New Roman" w:hAnsi="Times New Roman"/>
                <w:color w:val="000000"/>
                <w:sz w:val="24"/>
              </w:rPr>
              <w:t>20,460</w:t>
            </w:r>
          </w:p>
        </w:tc>
        <w:tc>
          <w:tcPr>
            <w:tcW w:w="1797" w:type="dxa"/>
            <w:tcBorders>
              <w:top w:val="nil"/>
              <w:left w:val="nil"/>
              <w:bottom w:val="single" w:sz="4" w:space="0" w:color="auto"/>
              <w:right w:val="single" w:sz="4" w:space="0" w:color="auto"/>
            </w:tcBorders>
            <w:shd w:val="clear" w:color="auto" w:fill="auto"/>
            <w:noWrap/>
            <w:vAlign w:val="bottom"/>
            <w:hideMark/>
          </w:tcPr>
          <w:p w:rsidR="00FB36D4" w:rsidRPr="004F5D85" w:rsidP="00FB36D4" w14:paraId="509D39E2" w14:textId="6C646CDB">
            <w:pPr>
              <w:widowControl/>
              <w:autoSpaceDE/>
              <w:autoSpaceDN/>
              <w:adjustRightInd/>
              <w:jc w:val="right"/>
              <w:rPr>
                <w:rFonts w:ascii="Times New Roman" w:hAnsi="Times New Roman"/>
                <w:color w:val="000000"/>
                <w:sz w:val="24"/>
              </w:rPr>
            </w:pPr>
            <w:r>
              <w:rPr>
                <w:rFonts w:ascii="Times New Roman" w:hAnsi="Times New Roman"/>
                <w:color w:val="000000"/>
                <w:sz w:val="24"/>
              </w:rPr>
              <w:t>185.7</w:t>
            </w:r>
          </w:p>
        </w:tc>
        <w:tc>
          <w:tcPr>
            <w:tcW w:w="1536" w:type="dxa"/>
            <w:tcBorders>
              <w:top w:val="nil"/>
              <w:left w:val="nil"/>
              <w:bottom w:val="single" w:sz="4" w:space="0" w:color="auto"/>
              <w:right w:val="single" w:sz="4" w:space="0" w:color="auto"/>
            </w:tcBorders>
            <w:shd w:val="clear" w:color="auto" w:fill="auto"/>
            <w:noWrap/>
            <w:vAlign w:val="bottom"/>
            <w:hideMark/>
          </w:tcPr>
          <w:p w:rsidR="00FB36D4" w:rsidRPr="004F5D85" w:rsidP="00FB36D4" w14:paraId="3AC26CCB" w14:textId="77777777">
            <w:pPr>
              <w:widowControl/>
              <w:autoSpaceDE/>
              <w:autoSpaceDN/>
              <w:adjustRightInd/>
              <w:jc w:val="right"/>
              <w:rPr>
                <w:rFonts w:ascii="Times New Roman" w:hAnsi="Times New Roman"/>
                <w:color w:val="000000"/>
                <w:sz w:val="24"/>
              </w:rPr>
            </w:pPr>
            <w:r w:rsidRPr="004F5D85">
              <w:rPr>
                <w:rFonts w:ascii="Times New Roman" w:hAnsi="Times New Roman"/>
                <w:color w:val="000000"/>
                <w:sz w:val="24"/>
              </w:rPr>
              <w:t>$106.30</w:t>
            </w:r>
          </w:p>
        </w:tc>
        <w:tc>
          <w:tcPr>
            <w:tcW w:w="1980" w:type="dxa"/>
            <w:tcBorders>
              <w:top w:val="nil"/>
              <w:left w:val="nil"/>
              <w:bottom w:val="single" w:sz="4" w:space="0" w:color="auto"/>
              <w:right w:val="single" w:sz="4" w:space="0" w:color="auto"/>
            </w:tcBorders>
            <w:shd w:val="clear" w:color="auto" w:fill="auto"/>
            <w:noWrap/>
            <w:vAlign w:val="bottom"/>
            <w:hideMark/>
          </w:tcPr>
          <w:p w:rsidR="00FB36D4" w:rsidRPr="004F5D85" w:rsidP="00FB36D4" w14:paraId="4FD46B7B" w14:textId="77777777">
            <w:pPr>
              <w:widowControl/>
              <w:autoSpaceDE/>
              <w:autoSpaceDN/>
              <w:adjustRightInd/>
              <w:jc w:val="right"/>
              <w:rPr>
                <w:rFonts w:ascii="Times New Roman" w:hAnsi="Times New Roman"/>
                <w:color w:val="000000"/>
                <w:sz w:val="24"/>
              </w:rPr>
            </w:pPr>
            <w:r w:rsidRPr="004F5D85">
              <w:rPr>
                <w:rFonts w:ascii="Times New Roman" w:hAnsi="Times New Roman"/>
                <w:color w:val="000000"/>
                <w:sz w:val="24"/>
              </w:rPr>
              <w:t>$404,045,339.05</w:t>
            </w:r>
          </w:p>
        </w:tc>
        <w:tc>
          <w:tcPr>
            <w:tcW w:w="2095" w:type="dxa"/>
            <w:tcBorders>
              <w:top w:val="nil"/>
              <w:left w:val="nil"/>
              <w:bottom w:val="single" w:sz="4" w:space="0" w:color="auto"/>
              <w:right w:val="single" w:sz="4" w:space="0" w:color="auto"/>
            </w:tcBorders>
            <w:shd w:val="clear" w:color="auto" w:fill="auto"/>
            <w:noWrap/>
            <w:vAlign w:val="bottom"/>
            <w:hideMark/>
          </w:tcPr>
          <w:p w:rsidR="00FB36D4" w:rsidRPr="004F5D85" w:rsidP="00FB36D4" w14:paraId="232C2F51" w14:textId="77777777">
            <w:pPr>
              <w:widowControl/>
              <w:autoSpaceDE/>
              <w:autoSpaceDN/>
              <w:adjustRightInd/>
              <w:jc w:val="right"/>
              <w:rPr>
                <w:rFonts w:ascii="Times New Roman" w:hAnsi="Times New Roman"/>
                <w:color w:val="000000"/>
                <w:sz w:val="24"/>
              </w:rPr>
            </w:pPr>
            <w:r w:rsidRPr="004F5D85">
              <w:rPr>
                <w:rFonts w:ascii="Times New Roman" w:hAnsi="Times New Roman"/>
                <w:color w:val="000000"/>
                <w:sz w:val="24"/>
              </w:rPr>
              <w:t>$48,446,969.76</w:t>
            </w:r>
          </w:p>
        </w:tc>
      </w:tr>
      <w:tr w14:paraId="1E0D2CFA" w14:textId="77777777" w:rsidTr="004F5D85">
        <w:tblPrEx>
          <w:tblW w:w="9656" w:type="dxa"/>
          <w:tblLook w:val="04A0"/>
        </w:tblPrEx>
        <w:trPr>
          <w:trHeight w:val="300"/>
        </w:trPr>
        <w:tc>
          <w:tcPr>
            <w:tcW w:w="805" w:type="dxa"/>
            <w:tcBorders>
              <w:top w:val="nil"/>
              <w:left w:val="nil"/>
              <w:bottom w:val="nil"/>
              <w:right w:val="nil"/>
            </w:tcBorders>
            <w:shd w:val="clear" w:color="auto" w:fill="auto"/>
            <w:noWrap/>
            <w:vAlign w:val="bottom"/>
            <w:hideMark/>
          </w:tcPr>
          <w:p w:rsidR="00FB36D4" w:rsidRPr="004F5D85" w:rsidP="004F5D85" w14:paraId="744287B6" w14:textId="77777777">
            <w:pPr>
              <w:widowControl/>
              <w:autoSpaceDE/>
              <w:autoSpaceDN/>
              <w:adjustRightInd/>
              <w:jc w:val="center"/>
              <w:rPr>
                <w:rFonts w:ascii="Times New Roman" w:hAnsi="Times New Roman"/>
                <w:color w:val="000000"/>
                <w:sz w:val="24"/>
              </w:rPr>
            </w:pPr>
          </w:p>
        </w:tc>
        <w:tc>
          <w:tcPr>
            <w:tcW w:w="1443" w:type="dxa"/>
            <w:tcBorders>
              <w:top w:val="nil"/>
              <w:left w:val="nil"/>
              <w:bottom w:val="nil"/>
              <w:right w:val="nil"/>
            </w:tcBorders>
            <w:shd w:val="clear" w:color="auto" w:fill="auto"/>
            <w:noWrap/>
            <w:vAlign w:val="bottom"/>
            <w:hideMark/>
          </w:tcPr>
          <w:p w:rsidR="00FB36D4" w:rsidRPr="004F5D85" w:rsidP="00FB36D4" w14:paraId="375D4661" w14:textId="77777777">
            <w:pPr>
              <w:widowControl/>
              <w:autoSpaceDE/>
              <w:autoSpaceDN/>
              <w:adjustRightInd/>
              <w:rPr>
                <w:rFonts w:ascii="Times New Roman" w:hAnsi="Times New Roman"/>
                <w:sz w:val="24"/>
              </w:rPr>
            </w:pPr>
          </w:p>
        </w:tc>
        <w:tc>
          <w:tcPr>
            <w:tcW w:w="1797" w:type="dxa"/>
            <w:tcBorders>
              <w:top w:val="nil"/>
              <w:left w:val="nil"/>
              <w:bottom w:val="nil"/>
              <w:right w:val="nil"/>
            </w:tcBorders>
            <w:shd w:val="clear" w:color="auto" w:fill="auto"/>
            <w:noWrap/>
            <w:vAlign w:val="bottom"/>
            <w:hideMark/>
          </w:tcPr>
          <w:p w:rsidR="00FB36D4" w:rsidRPr="004F5D85" w:rsidP="00FB36D4" w14:paraId="1061DB6C" w14:textId="77777777">
            <w:pPr>
              <w:widowControl/>
              <w:autoSpaceDE/>
              <w:autoSpaceDN/>
              <w:adjustRightInd/>
              <w:rPr>
                <w:rFonts w:ascii="Times New Roman" w:hAnsi="Times New Roman"/>
                <w:sz w:val="24"/>
              </w:rPr>
            </w:pPr>
          </w:p>
        </w:tc>
        <w:tc>
          <w:tcPr>
            <w:tcW w:w="1536" w:type="dxa"/>
            <w:tcBorders>
              <w:top w:val="nil"/>
              <w:left w:val="single" w:sz="4" w:space="0" w:color="auto"/>
              <w:bottom w:val="single" w:sz="4" w:space="0" w:color="auto"/>
              <w:right w:val="single" w:sz="4" w:space="0" w:color="auto"/>
            </w:tcBorders>
            <w:shd w:val="clear" w:color="auto" w:fill="auto"/>
            <w:noWrap/>
            <w:vAlign w:val="bottom"/>
            <w:hideMark/>
          </w:tcPr>
          <w:p w:rsidR="00FB36D4" w:rsidRPr="004F5D85" w:rsidP="00FB36D4" w14:paraId="152B6C18" w14:textId="0206CB01">
            <w:pPr>
              <w:widowControl/>
              <w:autoSpaceDE/>
              <w:autoSpaceDN/>
              <w:adjustRightInd/>
              <w:rPr>
                <w:rFonts w:ascii="Times New Roman" w:hAnsi="Times New Roman"/>
                <w:b/>
                <w:color w:val="000000"/>
                <w:sz w:val="24"/>
              </w:rPr>
            </w:pPr>
            <w:r w:rsidRPr="004F5D85">
              <w:rPr>
                <w:rFonts w:ascii="Times New Roman" w:hAnsi="Times New Roman"/>
                <w:b/>
                <w:color w:val="000000"/>
                <w:sz w:val="24"/>
              </w:rPr>
              <w:t>Total Labor Costs</w:t>
            </w:r>
            <w:r>
              <w:rPr>
                <w:rStyle w:val="FootnoteReference"/>
                <w:rFonts w:ascii="Times New Roman" w:hAnsi="Times New Roman"/>
                <w:color w:val="000000"/>
                <w:sz w:val="24"/>
                <w:vertAlign w:val="superscript"/>
              </w:rPr>
              <w:footnoteReference w:id="23"/>
            </w:r>
          </w:p>
        </w:tc>
        <w:tc>
          <w:tcPr>
            <w:tcW w:w="4075" w:type="dxa"/>
            <w:gridSpan w:val="2"/>
            <w:tcBorders>
              <w:top w:val="single" w:sz="4" w:space="0" w:color="auto"/>
              <w:left w:val="nil"/>
              <w:bottom w:val="single" w:sz="4" w:space="0" w:color="auto"/>
              <w:right w:val="single" w:sz="4" w:space="0" w:color="auto"/>
            </w:tcBorders>
            <w:shd w:val="clear" w:color="auto" w:fill="auto"/>
            <w:noWrap/>
            <w:vAlign w:val="bottom"/>
            <w:hideMark/>
          </w:tcPr>
          <w:p w:rsidR="00FB36D4" w:rsidRPr="004F5D85" w:rsidP="00FB36D4" w14:paraId="3DDE8E7D" w14:textId="71E065C7">
            <w:pPr>
              <w:widowControl/>
              <w:autoSpaceDE/>
              <w:autoSpaceDN/>
              <w:adjustRightInd/>
              <w:jc w:val="center"/>
              <w:rPr>
                <w:rFonts w:ascii="Times New Roman" w:hAnsi="Times New Roman"/>
                <w:color w:val="000000"/>
                <w:sz w:val="24"/>
              </w:rPr>
            </w:pPr>
            <w:r w:rsidRPr="004F5D85">
              <w:rPr>
                <w:rFonts w:ascii="Times New Roman" w:hAnsi="Times New Roman"/>
                <w:color w:val="000000"/>
                <w:sz w:val="24"/>
              </w:rPr>
              <w:t>$452,492,308.81</w:t>
            </w:r>
          </w:p>
        </w:tc>
      </w:tr>
    </w:tbl>
    <w:p w:rsidR="00FB36D4" w:rsidRPr="00FB36D4" w:rsidP="003F50F2" w14:paraId="6C4CB777" w14:textId="07D23EC3">
      <w:pPr>
        <w:spacing w:after="240"/>
        <w:rPr>
          <w:rFonts w:ascii="Times New Roman" w:eastAsia="MS Mincho" w:hAnsi="Times New Roman"/>
          <w:sz w:val="24"/>
          <w:u w:val="single"/>
        </w:rPr>
      </w:pPr>
    </w:p>
    <w:p w:rsidR="004A59DC" w:rsidRPr="0077736D" w:rsidP="0051126E" w14:paraId="3ADFFC50" w14:textId="67F75C08">
      <w:pPr>
        <w:spacing w:after="240"/>
        <w:ind w:firstLine="720"/>
        <w:rPr>
          <w:rFonts w:ascii="Times New Roman" w:hAnsi="Times New Roman"/>
          <w:sz w:val="24"/>
        </w:rPr>
      </w:pPr>
      <w:r>
        <w:rPr>
          <w:rFonts w:ascii="Times New Roman" w:hAnsi="Times New Roman"/>
          <w:sz w:val="24"/>
        </w:rPr>
        <w:t xml:space="preserve">As described in the above table, </w:t>
      </w:r>
      <w:r w:rsidRPr="0077736D" w:rsidR="003F50F2">
        <w:rPr>
          <w:rFonts w:ascii="Times New Roman" w:hAnsi="Times New Roman"/>
          <w:sz w:val="24"/>
        </w:rPr>
        <w:t xml:space="preserve">FinCEN estimates that </w:t>
      </w:r>
      <w:r w:rsidRPr="0077736D" w:rsidR="00A41E1F">
        <w:rPr>
          <w:rFonts w:ascii="Times New Roman" w:hAnsi="Times New Roman"/>
          <w:sz w:val="24"/>
        </w:rPr>
        <w:t xml:space="preserve">the annual cost burden will be </w:t>
      </w:r>
      <w:r w:rsidR="00FB36D4">
        <w:rPr>
          <w:rFonts w:ascii="Times New Roman" w:hAnsi="Times New Roman"/>
          <w:sz w:val="24"/>
        </w:rPr>
        <w:t>approximately</w:t>
      </w:r>
      <w:r w:rsidRPr="0077736D" w:rsidR="00A41E1F">
        <w:rPr>
          <w:rFonts w:ascii="Times New Roman" w:hAnsi="Times New Roman"/>
          <w:sz w:val="24"/>
        </w:rPr>
        <w:t xml:space="preserve"> $</w:t>
      </w:r>
      <w:r w:rsidR="003C1D80">
        <w:rPr>
          <w:rFonts w:ascii="Times New Roman" w:hAnsi="Times New Roman"/>
          <w:sz w:val="24"/>
        </w:rPr>
        <w:t>452.5</w:t>
      </w:r>
      <w:r w:rsidRPr="0077736D" w:rsidR="00A41E1F">
        <w:rPr>
          <w:rFonts w:ascii="Times New Roman" w:hAnsi="Times New Roman"/>
          <w:sz w:val="24"/>
        </w:rPr>
        <w:t xml:space="preserve"> million for investment advisers.</w:t>
      </w:r>
    </w:p>
    <w:p w:rsidR="004A59DC" w:rsidRPr="0077736D" w14:paraId="3DDF5C3C" w14:textId="77777777">
      <w:pPr>
        <w:rPr>
          <w:rFonts w:ascii="Times New Roman" w:hAnsi="Times New Roman"/>
          <w:sz w:val="24"/>
        </w:rPr>
      </w:pPr>
      <w:r w:rsidRPr="0077736D">
        <w:rPr>
          <w:rFonts w:ascii="Times New Roman" w:hAnsi="Times New Roman"/>
          <w:sz w:val="24"/>
        </w:rPr>
        <w:t xml:space="preserve">14. </w:t>
      </w:r>
      <w:r w:rsidRPr="0077736D">
        <w:rPr>
          <w:rFonts w:ascii="Times New Roman" w:hAnsi="Times New Roman"/>
          <w:sz w:val="24"/>
          <w:u w:val="single"/>
        </w:rPr>
        <w:t>Estimated annual cost to the Federal government.</w:t>
      </w:r>
      <w:r w:rsidRPr="0077736D">
        <w:rPr>
          <w:rFonts w:ascii="Times New Roman" w:hAnsi="Times New Roman"/>
          <w:sz w:val="24"/>
        </w:rPr>
        <w:t xml:space="preserve"> </w:t>
      </w:r>
    </w:p>
    <w:p w:rsidR="004A59DC" w:rsidRPr="0077736D" w:rsidP="004A59DC" w14:paraId="665218F2" w14:textId="77777777">
      <w:pPr>
        <w:ind w:firstLine="720"/>
        <w:rPr>
          <w:rFonts w:ascii="Times New Roman" w:hAnsi="Times New Roman"/>
          <w:sz w:val="24"/>
        </w:rPr>
      </w:pPr>
    </w:p>
    <w:p w:rsidR="004A59DC" w:rsidRPr="0077736D" w:rsidP="1AB2B056" w14:paraId="11852B3E" w14:textId="4C7B11F1">
      <w:pPr>
        <w:ind w:firstLine="720"/>
        <w:rPr>
          <w:rFonts w:ascii="Times New Roman" w:hAnsi="Times New Roman"/>
          <w:sz w:val="24"/>
        </w:rPr>
      </w:pPr>
      <w:r>
        <w:rPr>
          <w:rFonts w:ascii="Times New Roman" w:hAnsi="Times New Roman"/>
          <w:sz w:val="24"/>
        </w:rPr>
        <w:t>The proposed rule does not foresee significant annual costs to the Federal government associated with this proposed rulemaking.</w:t>
      </w:r>
    </w:p>
    <w:p w:rsidR="004A59DC" w:rsidRPr="0077736D" w:rsidP="004A59DC" w14:paraId="3CD893A2" w14:textId="77777777">
      <w:pPr>
        <w:ind w:firstLine="720"/>
        <w:rPr>
          <w:rFonts w:ascii="Times New Roman" w:hAnsi="Times New Roman"/>
          <w:sz w:val="24"/>
        </w:rPr>
      </w:pPr>
      <w:r w:rsidRPr="0077736D">
        <w:rPr>
          <w:rFonts w:ascii="Times New Roman" w:hAnsi="Times New Roman"/>
          <w:sz w:val="24"/>
        </w:rPr>
        <w:t xml:space="preserve"> </w:t>
      </w:r>
    </w:p>
    <w:p w:rsidR="00A80AEF" w:rsidRPr="0077736D" w:rsidP="003F50F2" w14:paraId="72A7F7C5" w14:textId="316EF966">
      <w:pPr>
        <w:spacing w:after="240"/>
        <w:rPr>
          <w:rFonts w:ascii="Times New Roman" w:hAnsi="Times New Roman"/>
          <w:sz w:val="24"/>
        </w:rPr>
      </w:pPr>
      <w:r w:rsidRPr="0077736D">
        <w:rPr>
          <w:rFonts w:ascii="Times New Roman" w:hAnsi="Times New Roman"/>
          <w:sz w:val="24"/>
        </w:rPr>
        <w:t xml:space="preserve">15. </w:t>
      </w:r>
      <w:r w:rsidRPr="0077736D">
        <w:rPr>
          <w:rFonts w:ascii="Times New Roman" w:hAnsi="Times New Roman"/>
          <w:sz w:val="24"/>
          <w:u w:val="single"/>
        </w:rPr>
        <w:t>Reason for change in burden.</w:t>
      </w:r>
    </w:p>
    <w:p w:rsidR="00895885" w:rsidRPr="0077736D" w:rsidP="00A80AEF" w14:paraId="7782C016" w14:textId="12DBCEEE">
      <w:pPr>
        <w:rPr>
          <w:rFonts w:ascii="Times New Roman" w:hAnsi="Times New Roman"/>
          <w:sz w:val="24"/>
        </w:rPr>
      </w:pPr>
      <w:r w:rsidRPr="0077736D">
        <w:rPr>
          <w:rFonts w:ascii="Times New Roman" w:hAnsi="Times New Roman"/>
          <w:sz w:val="24"/>
        </w:rPr>
        <w:tab/>
        <w:t xml:space="preserve">This is new </w:t>
      </w:r>
      <w:r w:rsidR="00726DA6">
        <w:rPr>
          <w:rFonts w:ascii="Times New Roman" w:hAnsi="Times New Roman"/>
          <w:sz w:val="24"/>
        </w:rPr>
        <w:t xml:space="preserve">proposed </w:t>
      </w:r>
      <w:r w:rsidRPr="0077736D">
        <w:rPr>
          <w:rFonts w:ascii="Times New Roman" w:hAnsi="Times New Roman"/>
          <w:sz w:val="24"/>
        </w:rPr>
        <w:t>collection</w:t>
      </w:r>
      <w:r w:rsidR="00726DA6">
        <w:rPr>
          <w:rFonts w:ascii="Times New Roman" w:hAnsi="Times New Roman"/>
          <w:sz w:val="24"/>
        </w:rPr>
        <w:t xml:space="preserve"> of information</w:t>
      </w:r>
      <w:r w:rsidRPr="0077736D">
        <w:rPr>
          <w:rFonts w:ascii="Times New Roman" w:hAnsi="Times New Roman"/>
          <w:sz w:val="24"/>
        </w:rPr>
        <w:t>.</w:t>
      </w:r>
    </w:p>
    <w:p w:rsidR="009C0580" w:rsidRPr="0077736D" w:rsidP="00A80AEF" w14:paraId="010DD38F" w14:textId="77777777">
      <w:pPr>
        <w:ind w:firstLine="720"/>
        <w:rPr>
          <w:rFonts w:ascii="Times New Roman" w:hAnsi="Times New Roman"/>
          <w:sz w:val="24"/>
        </w:rPr>
      </w:pPr>
    </w:p>
    <w:p w:rsidR="00A80AEF" w:rsidRPr="0077736D" w:rsidP="00A80AEF" w14:paraId="679A99FE" w14:textId="77777777">
      <w:pPr>
        <w:rPr>
          <w:rFonts w:ascii="Times New Roman" w:hAnsi="Times New Roman"/>
          <w:sz w:val="24"/>
        </w:rPr>
      </w:pPr>
      <w:r w:rsidRPr="0077736D">
        <w:rPr>
          <w:rFonts w:ascii="Times New Roman" w:hAnsi="Times New Roman"/>
          <w:sz w:val="24"/>
        </w:rPr>
        <w:t xml:space="preserve">16. </w:t>
      </w:r>
      <w:r w:rsidRPr="0077736D">
        <w:rPr>
          <w:rFonts w:ascii="Times New Roman" w:hAnsi="Times New Roman"/>
          <w:sz w:val="24"/>
          <w:u w:val="single"/>
        </w:rPr>
        <w:t>Plans for tabulation, statistical analysis, and publication.</w:t>
      </w:r>
      <w:r w:rsidRPr="0077736D">
        <w:rPr>
          <w:rFonts w:ascii="Times New Roman" w:hAnsi="Times New Roman"/>
          <w:sz w:val="24"/>
        </w:rPr>
        <w:t xml:space="preserve"> </w:t>
      </w:r>
    </w:p>
    <w:p w:rsidR="00A80AEF" w:rsidRPr="0077736D" w:rsidP="00A80AEF" w14:paraId="31129092" w14:textId="0A79BCE4">
      <w:pPr>
        <w:spacing w:before="283"/>
        <w:ind w:firstLine="720"/>
        <w:rPr>
          <w:rFonts w:ascii="Times New Roman" w:hAnsi="Times New Roman"/>
          <w:sz w:val="24"/>
        </w:rPr>
      </w:pPr>
      <w:r w:rsidRPr="0077736D">
        <w:rPr>
          <w:rFonts w:ascii="Times New Roman" w:hAnsi="Times New Roman"/>
          <w:sz w:val="24"/>
        </w:rPr>
        <w:t>The information will not be tabulated or compiled for publication.</w:t>
      </w:r>
    </w:p>
    <w:p w:rsidR="00A80AEF" w:rsidRPr="0077736D" w:rsidP="00A80AEF" w14:paraId="30410F13" w14:textId="77777777">
      <w:pPr>
        <w:spacing w:before="283"/>
        <w:rPr>
          <w:rFonts w:ascii="Times New Roman" w:hAnsi="Times New Roman"/>
          <w:sz w:val="24"/>
          <w:u w:val="single"/>
        </w:rPr>
      </w:pPr>
      <w:r w:rsidRPr="0077736D">
        <w:rPr>
          <w:rFonts w:ascii="Times New Roman" w:hAnsi="Times New Roman"/>
          <w:sz w:val="24"/>
        </w:rPr>
        <w:t xml:space="preserve">17. </w:t>
      </w:r>
      <w:r w:rsidRPr="0077736D">
        <w:rPr>
          <w:rFonts w:ascii="Times New Roman" w:hAnsi="Times New Roman"/>
          <w:sz w:val="24"/>
          <w:u w:val="single"/>
        </w:rPr>
        <w:t>Request not to display the expiration date of the OMB control number.</w:t>
      </w:r>
    </w:p>
    <w:p w:rsidR="00A80AEF" w:rsidRPr="0077736D" w:rsidP="00A80AEF" w14:paraId="4AEC242B" w14:textId="77777777">
      <w:pPr>
        <w:rPr>
          <w:rFonts w:ascii="Times New Roman" w:hAnsi="Times New Roman"/>
          <w:sz w:val="24"/>
          <w:u w:val="single"/>
        </w:rPr>
      </w:pPr>
    </w:p>
    <w:p w:rsidR="00A80AEF" w:rsidRPr="0077736D" w:rsidP="00A80AEF" w14:paraId="60345E69" w14:textId="691785A8">
      <w:pPr>
        <w:ind w:firstLine="720"/>
        <w:rPr>
          <w:rFonts w:ascii="Times New Roman" w:hAnsi="Times New Roman"/>
          <w:sz w:val="24"/>
        </w:rPr>
      </w:pPr>
      <w:r w:rsidRPr="0077736D">
        <w:rPr>
          <w:rFonts w:ascii="Times New Roman" w:hAnsi="Times New Roman"/>
          <w:sz w:val="24"/>
        </w:rPr>
        <w:t xml:space="preserve">FinCEN requests that </w:t>
      </w:r>
      <w:r w:rsidRPr="0077736D" w:rsidR="009C0580">
        <w:rPr>
          <w:rFonts w:ascii="Times New Roman" w:hAnsi="Times New Roman"/>
          <w:sz w:val="24"/>
        </w:rPr>
        <w:t xml:space="preserve">it not be required to display the expiration date so that the regulations will not have to be amended for the new expiration date every three years.  </w:t>
      </w:r>
    </w:p>
    <w:p w:rsidR="00A80AEF" w:rsidRPr="0077736D" w:rsidP="00A80AEF" w14:paraId="5416C559" w14:textId="77777777">
      <w:pPr>
        <w:rPr>
          <w:rFonts w:ascii="Times New Roman" w:hAnsi="Times New Roman"/>
          <w:sz w:val="24"/>
        </w:rPr>
      </w:pPr>
    </w:p>
    <w:p w:rsidR="00A80AEF" w:rsidRPr="0077736D" w:rsidP="00A80AEF" w14:paraId="089DD40F" w14:textId="77777777">
      <w:pPr>
        <w:rPr>
          <w:rFonts w:ascii="Times New Roman" w:hAnsi="Times New Roman"/>
          <w:sz w:val="24"/>
          <w:u w:val="single"/>
        </w:rPr>
      </w:pPr>
      <w:r w:rsidRPr="0077736D">
        <w:rPr>
          <w:rFonts w:ascii="Times New Roman" w:hAnsi="Times New Roman"/>
          <w:sz w:val="24"/>
        </w:rPr>
        <w:t xml:space="preserve">18. </w:t>
      </w:r>
      <w:r w:rsidRPr="0077736D">
        <w:rPr>
          <w:rFonts w:ascii="Times New Roman" w:hAnsi="Times New Roman"/>
          <w:sz w:val="24"/>
          <w:u w:val="single"/>
        </w:rPr>
        <w:t>Exceptions to the certification statement.</w:t>
      </w:r>
    </w:p>
    <w:p w:rsidR="009A74DA" w:rsidRPr="0077736D" w:rsidP="00A80AEF" w14:paraId="4EA7571C" w14:textId="77777777">
      <w:pPr>
        <w:rPr>
          <w:rFonts w:ascii="Times New Roman" w:hAnsi="Times New Roman"/>
          <w:sz w:val="24"/>
          <w:u w:val="single"/>
        </w:rPr>
      </w:pPr>
    </w:p>
    <w:p w:rsidR="002B2D3F" w:rsidRPr="0077736D" w14:paraId="164CF977" w14:textId="48E743F7">
      <w:pPr>
        <w:rPr>
          <w:rFonts w:ascii="Times New Roman" w:hAnsi="Times New Roman"/>
          <w:sz w:val="24"/>
        </w:rPr>
      </w:pPr>
      <w:r w:rsidRPr="0077736D">
        <w:rPr>
          <w:rFonts w:ascii="Times New Roman" w:hAnsi="Times New Roman"/>
          <w:sz w:val="24"/>
        </w:rPr>
        <w:tab/>
        <w:t>There are no exceptions to the certification statement.</w:t>
      </w:r>
    </w:p>
    <w:sectPr w:rsidSect="00176958">
      <w:endnotePr>
        <w:numFmt w:val="decimal"/>
      </w:endnotePr>
      <w:type w:val="continuous"/>
      <w:pgSz w:w="12240" w:h="15840"/>
      <w:pgMar w:top="1440" w:right="1440" w:bottom="1440" w:left="1440" w:header="720" w:footer="72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46814729"/>
      <w:docPartObj>
        <w:docPartGallery w:val="Page Numbers (Bottom of Page)"/>
        <w:docPartUnique/>
      </w:docPartObj>
    </w:sdtPr>
    <w:sdtEndPr>
      <w:rPr>
        <w:noProof/>
        <w:sz w:val="24"/>
      </w:rPr>
    </w:sdtEndPr>
    <w:sdtContent>
      <w:p w:rsidR="00A80AEF" w:rsidRPr="00263667" w:rsidP="0051126E" w14:paraId="7BD1DA61" w14:textId="414A9C5B">
        <w:pPr>
          <w:pStyle w:val="Footer"/>
          <w:jc w:val="center"/>
          <w:rPr>
            <w:rFonts w:ascii="Times New Roman" w:hAnsi="Times New Roman"/>
          </w:rPr>
        </w:pPr>
        <w:r w:rsidRPr="007C2AE9">
          <w:rPr>
            <w:rFonts w:ascii="Times New Roman" w:hAnsi="Times New Roman"/>
            <w:sz w:val="24"/>
          </w:rPr>
          <w:fldChar w:fldCharType="begin"/>
        </w:r>
        <w:r w:rsidRPr="007C2AE9">
          <w:rPr>
            <w:rFonts w:ascii="Times New Roman" w:hAnsi="Times New Roman"/>
            <w:sz w:val="24"/>
          </w:rPr>
          <w:instrText xml:space="preserve"> PAGE   \* MERGEFORMAT </w:instrText>
        </w:r>
        <w:r w:rsidRPr="007C2AE9">
          <w:rPr>
            <w:rFonts w:ascii="Times New Roman" w:hAnsi="Times New Roman"/>
            <w:sz w:val="24"/>
          </w:rPr>
          <w:fldChar w:fldCharType="separate"/>
        </w:r>
        <w:r w:rsidRPr="007C2AE9">
          <w:rPr>
            <w:rFonts w:ascii="Times New Roman" w:hAnsi="Times New Roman"/>
            <w:noProof/>
            <w:sz w:val="24"/>
          </w:rPr>
          <w:t>6</w:t>
        </w:r>
        <w:r w:rsidRPr="007C2AE9">
          <w:rPr>
            <w:rFonts w:ascii="Times New Roman" w:hAnsi="Times New Roman"/>
            <w:noProof/>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76958" w:rsidP="00A80AEF" w14:paraId="117D07F1" w14:textId="77777777">
      <w:r>
        <w:separator/>
      </w:r>
    </w:p>
  </w:footnote>
  <w:footnote w:type="continuationSeparator" w:id="1">
    <w:p w:rsidR="00176958" w:rsidP="00A80AEF" w14:paraId="7D088B81" w14:textId="77777777">
      <w:r>
        <w:continuationSeparator/>
      </w:r>
    </w:p>
  </w:footnote>
  <w:footnote w:type="continuationNotice" w:id="2">
    <w:p w:rsidR="00176958" w14:paraId="721C5DC8" w14:textId="77777777"/>
  </w:footnote>
  <w:footnote w:id="3">
    <w:p w:rsidR="00864323" w:rsidRPr="00275656" w:rsidP="00864323" w14:paraId="77D50926" w14:textId="77777777">
      <w:pPr>
        <w:pStyle w:val="FootnoteText"/>
        <w:rPr>
          <w:rFonts w:ascii="Times New Roman" w:hAnsi="Times New Roman"/>
        </w:rPr>
      </w:pPr>
      <w:r w:rsidRPr="00275656">
        <w:rPr>
          <w:rStyle w:val="FootnoteReference"/>
          <w:rFonts w:ascii="Times New Roman" w:hAnsi="Times New Roman"/>
          <w:vertAlign w:val="superscript"/>
        </w:rPr>
        <w:footnoteRef/>
      </w:r>
      <w:r w:rsidRPr="00275656">
        <w:rPr>
          <w:rFonts w:ascii="Times New Roman" w:hAnsi="Times New Roman"/>
          <w:vertAlign w:val="superscript"/>
        </w:rPr>
        <w:t xml:space="preserve"> </w:t>
      </w:r>
      <w:r w:rsidRPr="00275656">
        <w:rPr>
          <w:rFonts w:ascii="Times New Roman" w:hAnsi="Times New Roman"/>
        </w:rPr>
        <w:t>The AML Act was enacted as Division F, §§ 6001-6511, of the William M. (Mac) Thornberry National</w:t>
      </w:r>
    </w:p>
    <w:p w:rsidR="00864323" w:rsidRPr="00275656" w:rsidP="00864323" w14:paraId="42CCEF5D" w14:textId="2ABFBA6C">
      <w:pPr>
        <w:pStyle w:val="FootnoteText"/>
        <w:rPr>
          <w:rFonts w:ascii="Times New Roman" w:hAnsi="Times New Roman"/>
        </w:rPr>
      </w:pPr>
      <w:r w:rsidRPr="00275656">
        <w:rPr>
          <w:rFonts w:ascii="Times New Roman" w:hAnsi="Times New Roman"/>
        </w:rPr>
        <w:t>Defense Authorization Act for Fiscal Year 2021, Pub. L. 116-283</w:t>
      </w:r>
      <w:r w:rsidR="002A4DC8">
        <w:rPr>
          <w:rFonts w:ascii="Times New Roman" w:hAnsi="Times New Roman"/>
        </w:rPr>
        <w:t xml:space="preserve"> </w:t>
      </w:r>
      <w:r w:rsidRPr="00275656">
        <w:rPr>
          <w:rFonts w:ascii="Times New Roman" w:hAnsi="Times New Roman"/>
        </w:rPr>
        <w:t>(</w:t>
      </w:r>
      <w:r w:rsidR="00460C18">
        <w:rPr>
          <w:rFonts w:ascii="Times New Roman" w:hAnsi="Times New Roman"/>
        </w:rPr>
        <w:t xml:space="preserve">Jan. 1, </w:t>
      </w:r>
      <w:r w:rsidRPr="00275656">
        <w:rPr>
          <w:rFonts w:ascii="Times New Roman" w:hAnsi="Times New Roman"/>
        </w:rPr>
        <w:t>2021).</w:t>
      </w:r>
    </w:p>
  </w:footnote>
  <w:footnote w:id="4">
    <w:p w:rsidR="005276ED" w:rsidRPr="005276ED" w:rsidP="005276ED" w14:paraId="52E129BF" w14:textId="77777777">
      <w:pPr>
        <w:pStyle w:val="FootnoteText"/>
        <w:rPr>
          <w:rFonts w:ascii="Times New Roman" w:hAnsi="Times New Roman"/>
        </w:rPr>
      </w:pPr>
      <w:r w:rsidRPr="00AD4A83">
        <w:rPr>
          <w:rStyle w:val="FootnoteReference"/>
          <w:rFonts w:ascii="Times New Roman" w:hAnsi="Times New Roman"/>
          <w:vertAlign w:val="superscript"/>
        </w:rPr>
        <w:footnoteRef/>
      </w:r>
      <w:r w:rsidRPr="005276ED">
        <w:rPr>
          <w:rFonts w:ascii="Times New Roman" w:hAnsi="Times New Roman"/>
        </w:rPr>
        <w:t xml:space="preserve"> Section 358 of the USA PATRIOT Act expanded the purpose of the BSA by including a reference to reports and records “that have a high degree of usefulness in intelligence or counterintelligence activities to protect against international terrorism.”  </w:t>
      </w:r>
      <w:r w:rsidRPr="005276ED">
        <w:rPr>
          <w:rFonts w:ascii="Times New Roman" w:hAnsi="Times New Roman"/>
          <w:i/>
          <w:iCs/>
        </w:rPr>
        <w:t>See</w:t>
      </w:r>
      <w:r w:rsidRPr="005276ED">
        <w:rPr>
          <w:rFonts w:ascii="Times New Roman" w:hAnsi="Times New Roman"/>
        </w:rPr>
        <w:t xml:space="preserve"> 12 U.S.C. 1829b(a).  Section 6101 of the AML Act further expanded the purpose of the BSA to cover such matters as preventing money laundering, tracking illicit funds, assessing risk, and establishing appropriate frameworks for information sharing.  </w:t>
      </w:r>
      <w:r w:rsidRPr="005276ED">
        <w:rPr>
          <w:rFonts w:ascii="Times New Roman" w:hAnsi="Times New Roman"/>
          <w:i/>
          <w:iCs/>
        </w:rPr>
        <w:t>See</w:t>
      </w:r>
      <w:r w:rsidRPr="005276ED">
        <w:rPr>
          <w:rFonts w:ascii="Times New Roman" w:hAnsi="Times New Roman"/>
        </w:rPr>
        <w:t xml:space="preserve"> 31 U.S.C. 5311.</w:t>
      </w:r>
    </w:p>
  </w:footnote>
  <w:footnote w:id="5">
    <w:p w:rsidR="005276ED" w:rsidRPr="00750696" w:rsidP="005276ED" w14:paraId="230B5589" w14:textId="77777777">
      <w:pPr>
        <w:rPr>
          <w:szCs w:val="20"/>
        </w:rPr>
      </w:pPr>
      <w:r w:rsidRPr="00AD4A83">
        <w:rPr>
          <w:rStyle w:val="FootnoteReference"/>
          <w:rFonts w:ascii="Times New Roman" w:hAnsi="Times New Roman"/>
          <w:szCs w:val="20"/>
          <w:vertAlign w:val="superscript"/>
        </w:rPr>
        <w:footnoteRef/>
      </w:r>
      <w:r w:rsidRPr="005276ED">
        <w:rPr>
          <w:rFonts w:ascii="Times New Roman" w:hAnsi="Times New Roman"/>
          <w:szCs w:val="20"/>
        </w:rPr>
        <w:t xml:space="preserve"> Treasury Order 180-01 (Jan. 14, 2020).</w:t>
      </w:r>
    </w:p>
  </w:footnote>
  <w:footnote w:id="6">
    <w:p w:rsidR="0077736D" w:rsidRPr="00275656" w14:paraId="4762A5A0" w14:textId="4C26DC11">
      <w:pPr>
        <w:pStyle w:val="FootnoteText"/>
        <w:rPr>
          <w:rFonts w:ascii="Times New Roman" w:hAnsi="Times New Roman"/>
        </w:rPr>
      </w:pPr>
      <w:r w:rsidRPr="00275656">
        <w:rPr>
          <w:rStyle w:val="FootnoteReference"/>
          <w:rFonts w:ascii="Times New Roman" w:hAnsi="Times New Roman"/>
          <w:vertAlign w:val="superscript"/>
        </w:rPr>
        <w:footnoteRef/>
      </w:r>
      <w:r w:rsidRPr="00275656">
        <w:rPr>
          <w:rFonts w:ascii="Times New Roman" w:hAnsi="Times New Roman"/>
        </w:rPr>
        <w:t xml:space="preserve"> 31 U.S.C. 5318(</w:t>
      </w:r>
      <w:r w:rsidRPr="006636B0">
        <w:rPr>
          <w:rFonts w:ascii="Times New Roman" w:hAnsi="Times New Roman"/>
        </w:rPr>
        <w:t>l</w:t>
      </w:r>
      <w:r w:rsidRPr="00275656">
        <w:rPr>
          <w:rFonts w:ascii="Times New Roman" w:hAnsi="Times New Roman"/>
        </w:rPr>
        <w:t>)(</w:t>
      </w:r>
      <w:r w:rsidRPr="006636B0" w:rsidR="006636B0">
        <w:rPr>
          <w:rFonts w:ascii="Times New Roman" w:hAnsi="Times New Roman"/>
        </w:rPr>
        <w:t>1</w:t>
      </w:r>
      <w:r w:rsidRPr="00275656">
        <w:rPr>
          <w:rFonts w:ascii="Times New Roman" w:hAnsi="Times New Roman"/>
        </w:rPr>
        <w:t>).</w:t>
      </w:r>
    </w:p>
  </w:footnote>
  <w:footnote w:id="7">
    <w:p w:rsidR="00392184" w:rsidRPr="00275656" w14:paraId="6D9F5773" w14:textId="56E4BD74">
      <w:pPr>
        <w:pStyle w:val="FootnoteText"/>
        <w:rPr>
          <w:rFonts w:ascii="Times New Roman" w:hAnsi="Times New Roman"/>
        </w:rPr>
      </w:pPr>
      <w:r w:rsidRPr="0001109F">
        <w:rPr>
          <w:rStyle w:val="FootnoteReference"/>
          <w:rFonts w:ascii="Times New Roman" w:hAnsi="Times New Roman"/>
          <w:vertAlign w:val="superscript"/>
        </w:rPr>
        <w:footnoteRef/>
      </w:r>
      <w:r w:rsidRPr="0001109F">
        <w:rPr>
          <w:rFonts w:ascii="Times New Roman" w:hAnsi="Times New Roman"/>
          <w:vertAlign w:val="superscript"/>
        </w:rPr>
        <w:t xml:space="preserve"> </w:t>
      </w:r>
      <w:r w:rsidRPr="00BA3E4F">
        <w:rPr>
          <w:rFonts w:ascii="Times New Roman" w:hAnsi="Times New Roman"/>
          <w:shd w:val="clear" w:color="auto" w:fill="FFFFFF"/>
        </w:rPr>
        <w:t> 31 U.S.C. 5318(l)(4) requires that any CIP requirement for financial institutions that engage in financial activities described in section 4(k) of the Bank Holding Company Act be prescribed jointly with each Federal functional regulator.</w:t>
      </w:r>
    </w:p>
  </w:footnote>
  <w:footnote w:id="8">
    <w:p w:rsidR="00392184" w:rsidRPr="00275656" w:rsidP="00392184" w14:paraId="509C851F" w14:textId="77777777">
      <w:pPr>
        <w:pStyle w:val="FootnoteText"/>
        <w:rPr>
          <w:rFonts w:ascii="Times New Roman" w:hAnsi="Times New Roman"/>
        </w:rPr>
      </w:pPr>
      <w:r w:rsidRPr="00275656">
        <w:rPr>
          <w:rStyle w:val="FootnoteReference"/>
          <w:rFonts w:ascii="Times New Roman" w:hAnsi="Times New Roman"/>
          <w:vertAlign w:val="superscript"/>
        </w:rPr>
        <w:footnoteRef/>
      </w:r>
      <w:r w:rsidRPr="00275656">
        <w:rPr>
          <w:rFonts w:ascii="Times New Roman" w:eastAsia="Yu Gothic" w:hAnsi="Times New Roman"/>
          <w:i/>
          <w:color w:val="000000"/>
          <w:bdr w:val="none" w:sz="0" w:space="0" w:color="auto" w:frame="1"/>
          <w:shd w:val="clear" w:color="auto" w:fill="FFFFFF"/>
        </w:rPr>
        <w:t xml:space="preserve"> See</w:t>
      </w:r>
      <w:r w:rsidRPr="00275656">
        <w:rPr>
          <w:rFonts w:ascii="Times New Roman" w:eastAsia="Yu Gothic" w:hAnsi="Times New Roman"/>
          <w:color w:val="000000"/>
          <w:bdr w:val="none" w:sz="0" w:space="0" w:color="auto" w:frame="1"/>
          <w:shd w:val="clear" w:color="auto" w:fill="FFFFFF"/>
        </w:rPr>
        <w:t> FinCEN, Anti-Money Laundering/Countering the Financing of Terrorism Program and Suspicious Activity Report Filing Requirements for Registered Investment Advisers and Exempt Reporting Advisers, Notice of Proposed Rulemaking, 89 FR 12108</w:t>
      </w:r>
      <w:r w:rsidRPr="00275656">
        <w:rPr>
          <w:rFonts w:ascii="Times New Roman" w:eastAsia="Yu Gothic" w:hAnsi="Times New Roman"/>
          <w:color w:val="000000"/>
          <w:shd w:val="clear" w:color="auto" w:fill="FFFFFF"/>
        </w:rPr>
        <w:t xml:space="preserve"> (Feb. 15, 2024) (hereinafter, the “February 2024 NPRM”).</w:t>
      </w:r>
    </w:p>
  </w:footnote>
  <w:footnote w:id="9">
    <w:p w:rsidR="00CD19DC" w:rsidRPr="00275656" w:rsidP="00CD19DC" w14:paraId="0BEF5919" w14:textId="77777777">
      <w:pPr>
        <w:pStyle w:val="FootnoteText"/>
        <w:rPr>
          <w:rFonts w:ascii="Times New Roman" w:hAnsi="Times New Roman"/>
        </w:rPr>
      </w:pPr>
      <w:r w:rsidRPr="00275656">
        <w:rPr>
          <w:rStyle w:val="FootnoteReference"/>
          <w:rFonts w:ascii="Times New Roman" w:hAnsi="Times New Roman"/>
          <w:vertAlign w:val="superscript"/>
        </w:rPr>
        <w:footnoteRef/>
      </w:r>
      <w:r w:rsidRPr="00275656">
        <w:rPr>
          <w:rFonts w:ascii="Times New Roman" w:hAnsi="Times New Roman"/>
        </w:rPr>
        <w:t xml:space="preserve"> </w:t>
      </w:r>
      <w:hyperlink r:id="rId1" w:tgtFrame="_blank" w:history="1">
        <w:r w:rsidRPr="00275656">
          <w:rPr>
            <w:rFonts w:ascii="Times New Roman" w:eastAsia="Yu Gothic" w:hAnsi="Times New Roman"/>
            <w:w w:val="0"/>
          </w:rPr>
          <w:t>31 U.S.C. 5318</w:t>
        </w:r>
      </w:hyperlink>
      <w:r w:rsidRPr="00275656">
        <w:rPr>
          <w:rFonts w:ascii="Times New Roman" w:eastAsia="Yu Gothic" w:hAnsi="Times New Roman"/>
        </w:rPr>
        <w:t>(</w:t>
      </w:r>
      <w:r w:rsidRPr="00275656">
        <w:rPr>
          <w:rFonts w:ascii="Times New Roman" w:eastAsia="Yu Gothic" w:hAnsi="Times New Roman"/>
          <w:i/>
          <w:iCs/>
        </w:rPr>
        <w:t>l</w:t>
      </w:r>
      <w:r w:rsidRPr="00275656">
        <w:rPr>
          <w:rFonts w:ascii="Times New Roman" w:eastAsia="Yu Gothic" w:hAnsi="Times New Roman"/>
        </w:rPr>
        <w:t>)(2).</w:t>
      </w:r>
    </w:p>
  </w:footnote>
  <w:footnote w:id="10">
    <w:p w:rsidR="00CD19DC" w:rsidRPr="00275656" w:rsidP="00CD19DC" w14:paraId="75966874" w14:textId="77777777">
      <w:pPr>
        <w:rPr>
          <w:rFonts w:ascii="Times New Roman" w:eastAsia="Yu Gothic" w:hAnsi="Times New Roman"/>
          <w:szCs w:val="20"/>
        </w:rPr>
      </w:pPr>
      <w:r w:rsidRPr="00BA3E4F">
        <w:rPr>
          <w:rStyle w:val="FootnoteReference"/>
          <w:rFonts w:ascii="Times New Roman" w:eastAsia="Yu Gothic" w:hAnsi="Times New Roman"/>
          <w:vertAlign w:val="superscript"/>
        </w:rPr>
        <w:footnoteRef/>
      </w:r>
      <w:r w:rsidRPr="00275656">
        <w:rPr>
          <w:rFonts w:ascii="Times New Roman" w:eastAsia="Yu Gothic" w:hAnsi="Times New Roman"/>
          <w:szCs w:val="20"/>
        </w:rPr>
        <w:t xml:space="preserve"> </w:t>
      </w:r>
      <w:r w:rsidRPr="00275656">
        <w:rPr>
          <w:rFonts w:ascii="Times New Roman" w:eastAsia="Yu Gothic" w:hAnsi="Times New Roman"/>
          <w:i/>
          <w:szCs w:val="20"/>
        </w:rPr>
        <w:t>See, e.g.,</w:t>
      </w:r>
      <w:r w:rsidRPr="00275656">
        <w:rPr>
          <w:rFonts w:ascii="Times New Roman" w:eastAsia="Yu Gothic" w:hAnsi="Times New Roman"/>
          <w:szCs w:val="20"/>
        </w:rPr>
        <w:t xml:space="preserve"> 31 CFR 1020.220, 1023.220, 1024.220, 1026.220.</w:t>
      </w:r>
    </w:p>
  </w:footnote>
  <w:footnote w:id="11">
    <w:p w:rsidR="001A04AB" w:rsidRPr="000413D0" w14:paraId="221C5744" w14:textId="184A5C1F">
      <w:pPr>
        <w:pStyle w:val="FootnoteText"/>
        <w:rPr>
          <w:rFonts w:ascii="Times New Roman" w:hAnsi="Times New Roman"/>
        </w:rPr>
      </w:pPr>
      <w:r w:rsidRPr="0087202A">
        <w:rPr>
          <w:rStyle w:val="FootnoteReference"/>
          <w:rFonts w:ascii="Times New Roman" w:hAnsi="Times New Roman"/>
          <w:vertAlign w:val="superscript"/>
        </w:rPr>
        <w:footnoteRef/>
      </w:r>
      <w:r w:rsidRPr="0087202A">
        <w:rPr>
          <w:rFonts w:ascii="Times New Roman" w:hAnsi="Times New Roman"/>
        </w:rPr>
        <w:t xml:space="preserve"> See 89 FR at 12112 (circumstances where some investment advisers implement AML/CFT measures).</w:t>
      </w:r>
    </w:p>
  </w:footnote>
  <w:footnote w:id="12">
    <w:p w:rsidR="002A13AF" w:rsidRPr="00030228" w:rsidP="002A13AF" w14:paraId="76B5E997" w14:textId="6D5D4CAC">
      <w:pPr>
        <w:pStyle w:val="FootnoteText"/>
        <w:rPr>
          <w:rFonts w:ascii="Times New Roman" w:hAnsi="Times New Roman"/>
        </w:rPr>
      </w:pPr>
      <w:r w:rsidRPr="00030228">
        <w:rPr>
          <w:rFonts w:ascii="Times New Roman" w:hAnsi="Times New Roman"/>
          <w:vertAlign w:val="superscript"/>
        </w:rPr>
        <w:footnoteRef/>
      </w:r>
      <w:r w:rsidRPr="00030228">
        <w:rPr>
          <w:rFonts w:ascii="Times New Roman" w:hAnsi="Times New Roman"/>
        </w:rPr>
        <w:t xml:space="preserve"> </w:t>
      </w:r>
      <w:r w:rsidRPr="00030228">
        <w:rPr>
          <w:rFonts w:ascii="Times New Roman" w:hAnsi="Times New Roman"/>
          <w:i/>
        </w:rPr>
        <w:t>See</w:t>
      </w:r>
      <w:r w:rsidRPr="00673CA3">
        <w:rPr>
          <w:rFonts w:ascii="Times New Roman" w:hAnsi="Times New Roman"/>
        </w:rPr>
        <w:t xml:space="preserve"> </w:t>
      </w:r>
      <w:r w:rsidRPr="00030228">
        <w:rPr>
          <w:rFonts w:ascii="Times New Roman" w:hAnsi="Times New Roman"/>
        </w:rPr>
        <w:t>17 CFR 275.203A-1</w:t>
      </w:r>
      <w:r w:rsidRPr="00673CA3">
        <w:rPr>
          <w:rFonts w:ascii="Times New Roman" w:hAnsi="Times New Roman"/>
        </w:rPr>
        <w:t>.</w:t>
      </w:r>
    </w:p>
  </w:footnote>
  <w:footnote w:id="13">
    <w:p w:rsidR="00673CA3" w:rsidRPr="00030228" w14:paraId="1966B682" w14:textId="49C376B6">
      <w:pPr>
        <w:pStyle w:val="FootnoteText"/>
        <w:rPr>
          <w:rFonts w:ascii="Times New Roman" w:hAnsi="Times New Roman"/>
        </w:rPr>
      </w:pPr>
      <w:r w:rsidRPr="00030228">
        <w:rPr>
          <w:rStyle w:val="FootnoteReference"/>
          <w:rFonts w:ascii="Times New Roman" w:hAnsi="Times New Roman"/>
          <w:vertAlign w:val="superscript"/>
        </w:rPr>
        <w:footnoteRef/>
      </w:r>
      <w:r w:rsidRPr="00030228">
        <w:rPr>
          <w:rFonts w:ascii="Times New Roman" w:hAnsi="Times New Roman"/>
        </w:rPr>
        <w:t xml:space="preserve"> Based on a Treasury review of Form ADV data filed as of July 31, 2023. </w:t>
      </w:r>
    </w:p>
  </w:footnote>
  <w:footnote w:id="14">
    <w:p w:rsidR="00673CA3" w:rsidRPr="00030228" w14:paraId="2F677CC7" w14:textId="4BC7740B">
      <w:pPr>
        <w:pStyle w:val="FootnoteText"/>
        <w:rPr>
          <w:rFonts w:ascii="Times New Roman" w:hAnsi="Times New Roman"/>
        </w:rPr>
      </w:pPr>
      <w:r w:rsidRPr="00030228">
        <w:rPr>
          <w:rStyle w:val="FootnoteReference"/>
          <w:rFonts w:ascii="Times New Roman" w:hAnsi="Times New Roman"/>
          <w:vertAlign w:val="superscript"/>
        </w:rPr>
        <w:footnoteRef/>
      </w:r>
      <w:r w:rsidRPr="00030228">
        <w:rPr>
          <w:rFonts w:ascii="Times New Roman" w:hAnsi="Times New Roman"/>
        </w:rPr>
        <w:t xml:space="preserve"> See 89 FR at 44592.</w:t>
      </w:r>
    </w:p>
  </w:footnote>
  <w:footnote w:id="15">
    <w:p w:rsidR="00E84FD8" w:rsidRPr="00275656" w14:paraId="32EC48CA" w14:textId="0B23D735">
      <w:pPr>
        <w:pStyle w:val="FootnoteText"/>
        <w:rPr>
          <w:rFonts w:ascii="Times New Roman" w:hAnsi="Times New Roman"/>
          <w:i/>
          <w:iCs/>
        </w:rPr>
      </w:pPr>
      <w:r w:rsidRPr="00673CA3">
        <w:rPr>
          <w:rStyle w:val="FootnoteReference"/>
          <w:rFonts w:ascii="Times New Roman" w:hAnsi="Times New Roman"/>
          <w:vertAlign w:val="superscript"/>
        </w:rPr>
        <w:footnoteRef/>
      </w:r>
      <w:bookmarkStart w:id="0" w:name="_Hlk154736699"/>
      <w:r w:rsidRPr="00673CA3">
        <w:rPr>
          <w:rFonts w:ascii="Times New Roman" w:hAnsi="Times New Roman"/>
        </w:rPr>
        <w:t xml:space="preserve"> </w:t>
      </w:r>
      <w:r w:rsidRPr="00673CA3">
        <w:rPr>
          <w:rFonts w:ascii="Times New Roman" w:hAnsi="Times New Roman"/>
          <w:i/>
          <w:iCs/>
        </w:rPr>
        <w:t xml:space="preserve">See </w:t>
      </w:r>
      <w:r w:rsidRPr="00673CA3">
        <w:rPr>
          <w:rFonts w:ascii="Times New Roman" w:hAnsi="Times New Roman"/>
        </w:rPr>
        <w:t xml:space="preserve">Treasury, </w:t>
      </w:r>
      <w:r w:rsidRPr="00673CA3">
        <w:rPr>
          <w:rFonts w:ascii="Times New Roman" w:hAnsi="Times New Roman"/>
          <w:i/>
          <w:iCs/>
        </w:rPr>
        <w:t>Investment Adviser Illicit Finance Risk Assessment</w:t>
      </w:r>
      <w:r w:rsidRPr="00673CA3">
        <w:rPr>
          <w:rFonts w:ascii="Times New Roman" w:hAnsi="Times New Roman"/>
        </w:rPr>
        <w:t xml:space="preserve">, </w:t>
      </w:r>
      <w:hyperlink r:id="rId2" w:history="1">
        <w:r w:rsidRPr="00673CA3" w:rsidR="00994FE6">
          <w:rPr>
            <w:rStyle w:val="Hyperlink"/>
            <w:rFonts w:ascii="Times New Roman" w:hAnsi="Times New Roman"/>
          </w:rPr>
          <w:t>https://home.treasury.gov/system/files/136/US-Sectoral-Illicit-Finance-Risk-Assessment-Investment-Advisers.pdf</w:t>
        </w:r>
        <w:bookmarkEnd w:id="0"/>
      </w:hyperlink>
      <w:r w:rsidRPr="00673CA3" w:rsidR="00994FE6">
        <w:rPr>
          <w:rFonts w:ascii="Times New Roman" w:hAnsi="Times New Roman"/>
        </w:rPr>
        <w:t>;</w:t>
      </w:r>
      <w:r w:rsidRPr="00673CA3">
        <w:rPr>
          <w:rFonts w:ascii="Times New Roman" w:hAnsi="Times New Roman"/>
        </w:rPr>
        <w:t xml:space="preserve"> </w:t>
      </w:r>
      <w:r w:rsidRPr="00673CA3">
        <w:rPr>
          <w:rFonts w:ascii="Times New Roman" w:hAnsi="Times New Roman"/>
          <w:i/>
          <w:iCs/>
        </w:rPr>
        <w:t xml:space="preserve">see also </w:t>
      </w:r>
      <w:r w:rsidRPr="00673CA3">
        <w:rPr>
          <w:rFonts w:ascii="Times New Roman" w:hAnsi="Times New Roman"/>
        </w:rPr>
        <w:t xml:space="preserve">Treasury, </w:t>
      </w:r>
      <w:r w:rsidRPr="00673CA3">
        <w:rPr>
          <w:rFonts w:ascii="Times New Roman" w:hAnsi="Times New Roman"/>
          <w:i/>
          <w:iCs/>
        </w:rPr>
        <w:t>2022 National Money Laundering Risk Assessment</w:t>
      </w:r>
      <w:r w:rsidRPr="00673CA3">
        <w:rPr>
          <w:rFonts w:ascii="Times New Roman" w:hAnsi="Times New Roman"/>
        </w:rPr>
        <w:t xml:space="preserve"> 63-66, </w:t>
      </w:r>
      <w:hyperlink r:id="rId3" w:history="1">
        <w:r w:rsidRPr="00673CA3">
          <w:rPr>
            <w:rStyle w:val="Hyperlink"/>
            <w:rFonts w:ascii="Times New Roman" w:hAnsi="Times New Roman"/>
          </w:rPr>
          <w:t>https://home.treasury.gov/system/files/136/2022-National-Money-Laundering-Risk-Assessment.pdf</w:t>
        </w:r>
      </w:hyperlink>
      <w:r w:rsidRPr="00275656">
        <w:rPr>
          <w:rFonts w:ascii="Times New Roman" w:hAnsi="Times New Roman"/>
        </w:rPr>
        <w:t xml:space="preserve">. </w:t>
      </w:r>
    </w:p>
  </w:footnote>
  <w:footnote w:id="16">
    <w:p w:rsidR="00275656" w:rsidRPr="00275656" w:rsidP="00275656" w14:paraId="499314DE" w14:textId="01CC670E">
      <w:pPr>
        <w:pStyle w:val="FootnoteText"/>
        <w:rPr>
          <w:rFonts w:ascii="Times New Roman" w:hAnsi="Times New Roman"/>
        </w:rPr>
      </w:pPr>
      <w:r w:rsidRPr="000413D0">
        <w:rPr>
          <w:rStyle w:val="FootnoteReference"/>
          <w:rFonts w:ascii="Times New Roman" w:hAnsi="Times New Roman"/>
          <w:vertAlign w:val="superscript"/>
        </w:rPr>
        <w:footnoteRef/>
      </w:r>
      <w:r w:rsidRPr="00275656">
        <w:rPr>
          <w:rFonts w:ascii="Times New Roman" w:hAnsi="Times New Roman"/>
        </w:rPr>
        <w:t xml:space="preserve"> The </w:t>
      </w:r>
      <w:r w:rsidR="005E3BF7">
        <w:rPr>
          <w:rFonts w:ascii="Times New Roman" w:hAnsi="Times New Roman"/>
        </w:rPr>
        <w:t xml:space="preserve">requirement to update FinCEN’s CDD regulations </w:t>
      </w:r>
      <w:r w:rsidRPr="00275656">
        <w:rPr>
          <w:rFonts w:ascii="Times New Roman" w:hAnsi="Times New Roman"/>
        </w:rPr>
        <w:t>is codified as a note to 31 U</w:t>
      </w:r>
      <w:r w:rsidR="005E3BF7">
        <w:rPr>
          <w:rFonts w:ascii="Times New Roman" w:hAnsi="Times New Roman"/>
        </w:rPr>
        <w:t>.</w:t>
      </w:r>
      <w:r w:rsidRPr="00275656">
        <w:rPr>
          <w:rFonts w:ascii="Times New Roman" w:hAnsi="Times New Roman"/>
        </w:rPr>
        <w:t>S</w:t>
      </w:r>
      <w:r w:rsidR="005E3BF7">
        <w:rPr>
          <w:rFonts w:ascii="Times New Roman" w:hAnsi="Times New Roman"/>
        </w:rPr>
        <w:t>.</w:t>
      </w:r>
      <w:r w:rsidRPr="00275656">
        <w:rPr>
          <w:rFonts w:ascii="Times New Roman" w:hAnsi="Times New Roman"/>
        </w:rPr>
        <w:t>C</w:t>
      </w:r>
      <w:r w:rsidR="005E3BF7">
        <w:rPr>
          <w:rFonts w:ascii="Times New Roman" w:hAnsi="Times New Roman"/>
        </w:rPr>
        <w:t>.</w:t>
      </w:r>
      <w:r w:rsidRPr="00275656">
        <w:rPr>
          <w:rFonts w:ascii="Times New Roman" w:hAnsi="Times New Roman"/>
        </w:rPr>
        <w:t xml:space="preserve"> 5311.</w:t>
      </w:r>
    </w:p>
  </w:footnote>
  <w:footnote w:id="17">
    <w:p w:rsidR="005F37FB" w:rsidRPr="000413D0" w14:paraId="7531FA8F" w14:textId="046752A9">
      <w:pPr>
        <w:pStyle w:val="FootnoteText"/>
        <w:rPr>
          <w:rFonts w:ascii="Times New Roman" w:hAnsi="Times New Roman"/>
        </w:rPr>
      </w:pPr>
      <w:r w:rsidRPr="000413D0">
        <w:rPr>
          <w:rStyle w:val="FootnoteReference"/>
          <w:rFonts w:ascii="Times New Roman" w:hAnsi="Times New Roman"/>
          <w:vertAlign w:val="superscript"/>
        </w:rPr>
        <w:footnoteRef/>
      </w:r>
      <w:r w:rsidRPr="000413D0">
        <w:rPr>
          <w:rFonts w:ascii="Times New Roman" w:hAnsi="Times New Roman"/>
          <w:vertAlign w:val="superscript"/>
        </w:rPr>
        <w:t xml:space="preserve"> </w:t>
      </w:r>
      <w:r w:rsidRPr="00275656">
        <w:rPr>
          <w:rFonts w:ascii="Times New Roman" w:eastAsia="Yu Gothic" w:hAnsi="Times New Roman"/>
          <w:i/>
          <w:color w:val="000000"/>
          <w:bdr w:val="none" w:sz="0" w:space="0" w:color="auto" w:frame="1"/>
          <w:shd w:val="clear" w:color="auto" w:fill="FFFFFF"/>
        </w:rPr>
        <w:t>See</w:t>
      </w:r>
      <w:r w:rsidRPr="00275656">
        <w:rPr>
          <w:rFonts w:ascii="Times New Roman" w:eastAsia="Yu Gothic" w:hAnsi="Times New Roman"/>
          <w:color w:val="000000"/>
          <w:bdr w:val="none" w:sz="0" w:space="0" w:color="auto" w:frame="1"/>
          <w:shd w:val="clear" w:color="auto" w:fill="FFFFFF"/>
        </w:rPr>
        <w:t xml:space="preserve"> FinCEN, </w:t>
      </w:r>
      <w:r>
        <w:rPr>
          <w:rFonts w:ascii="Times New Roman" w:eastAsia="Yu Gothic" w:hAnsi="Times New Roman"/>
          <w:color w:val="000000"/>
          <w:bdr w:val="none" w:sz="0" w:space="0" w:color="auto" w:frame="1"/>
          <w:shd w:val="clear" w:color="auto" w:fill="FFFFFF"/>
        </w:rPr>
        <w:t>Customer Identification Programs for</w:t>
      </w:r>
      <w:r w:rsidRPr="00275656">
        <w:rPr>
          <w:rFonts w:ascii="Times New Roman" w:eastAsia="Yu Gothic" w:hAnsi="Times New Roman"/>
          <w:color w:val="000000"/>
          <w:bdr w:val="none" w:sz="0" w:space="0" w:color="auto" w:frame="1"/>
          <w:shd w:val="clear" w:color="auto" w:fill="FFFFFF"/>
        </w:rPr>
        <w:t xml:space="preserve"> Registered Investment Advisers and Exempt Reporting Advisers, Notice of Proposed Rulemaking, 89 FR 12108</w:t>
      </w:r>
      <w:r w:rsidRPr="00275656">
        <w:rPr>
          <w:rFonts w:ascii="Times New Roman" w:eastAsia="Yu Gothic" w:hAnsi="Times New Roman"/>
          <w:color w:val="000000"/>
          <w:shd w:val="clear" w:color="auto" w:fill="FFFFFF"/>
        </w:rPr>
        <w:t xml:space="preserve"> (</w:t>
      </w:r>
      <w:r>
        <w:rPr>
          <w:rFonts w:ascii="Times New Roman" w:eastAsia="Yu Gothic" w:hAnsi="Times New Roman"/>
          <w:color w:val="000000"/>
          <w:shd w:val="clear" w:color="auto" w:fill="FFFFFF"/>
        </w:rPr>
        <w:t>May</w:t>
      </w:r>
      <w:r w:rsidRPr="00275656">
        <w:rPr>
          <w:rFonts w:ascii="Times New Roman" w:eastAsia="Yu Gothic" w:hAnsi="Times New Roman"/>
          <w:color w:val="000000"/>
          <w:shd w:val="clear" w:color="auto" w:fill="FFFFFF"/>
        </w:rPr>
        <w:t xml:space="preserve"> </w:t>
      </w:r>
      <w:r>
        <w:rPr>
          <w:rFonts w:ascii="Times New Roman" w:eastAsia="Yu Gothic" w:hAnsi="Times New Roman"/>
          <w:color w:val="000000"/>
          <w:shd w:val="clear" w:color="auto" w:fill="FFFFFF"/>
        </w:rPr>
        <w:t>21</w:t>
      </w:r>
      <w:r w:rsidRPr="00275656">
        <w:rPr>
          <w:rFonts w:ascii="Times New Roman" w:eastAsia="Yu Gothic" w:hAnsi="Times New Roman"/>
          <w:color w:val="000000"/>
          <w:shd w:val="clear" w:color="auto" w:fill="FFFFFF"/>
        </w:rPr>
        <w:t>, 2024) (hereinafter, the “</w:t>
      </w:r>
      <w:r>
        <w:rPr>
          <w:rFonts w:ascii="Times New Roman" w:eastAsia="Yu Gothic" w:hAnsi="Times New Roman"/>
          <w:color w:val="000000"/>
          <w:shd w:val="clear" w:color="auto" w:fill="FFFFFF"/>
        </w:rPr>
        <w:t>May</w:t>
      </w:r>
      <w:r w:rsidRPr="00275656">
        <w:rPr>
          <w:rFonts w:ascii="Times New Roman" w:eastAsia="Yu Gothic" w:hAnsi="Times New Roman"/>
          <w:color w:val="000000"/>
          <w:shd w:val="clear" w:color="auto" w:fill="FFFFFF"/>
        </w:rPr>
        <w:t xml:space="preserve"> 2024 NPRM”).</w:t>
      </w:r>
    </w:p>
  </w:footnote>
  <w:footnote w:id="18">
    <w:p w:rsidR="00A80AEF" w:rsidRPr="00275656" w:rsidP="00A80AEF" w14:paraId="75CD035B" w14:textId="58237BEA">
      <w:pPr>
        <w:pStyle w:val="FootnoteText"/>
        <w:rPr>
          <w:rFonts w:ascii="Times New Roman" w:hAnsi="Times New Roman"/>
        </w:rPr>
      </w:pPr>
      <w:r w:rsidRPr="00275656">
        <w:rPr>
          <w:rStyle w:val="FootnoteReference"/>
          <w:rFonts w:ascii="Times New Roman" w:hAnsi="Times New Roman" w:eastAsiaTheme="majorEastAsia"/>
          <w:vertAlign w:val="superscript"/>
        </w:rPr>
        <w:footnoteRef/>
      </w:r>
      <w:r w:rsidRPr="00275656">
        <w:rPr>
          <w:rFonts w:ascii="Times New Roman" w:hAnsi="Times New Roman"/>
        </w:rPr>
        <w:t xml:space="preserve"> </w:t>
      </w:r>
      <w:r w:rsidRPr="00275656" w:rsidR="003C721B">
        <w:rPr>
          <w:rFonts w:ascii="Times New Roman" w:hAnsi="Times New Roman"/>
        </w:rPr>
        <w:t>FinCEN, Privacy Act of 1974, as Amended; System of Records Notice, 79 FR 20969 (Apr. 14, 2014).</w:t>
      </w:r>
    </w:p>
  </w:footnote>
  <w:footnote w:id="19">
    <w:p w:rsidR="00200235" w:rsidRPr="00EC7799" w14:paraId="377F9BF3" w14:textId="23BFF46F">
      <w:pPr>
        <w:pStyle w:val="FootnoteText"/>
        <w:rPr>
          <w:rFonts w:ascii="Times New Roman" w:hAnsi="Times New Roman"/>
        </w:rPr>
      </w:pPr>
      <w:r w:rsidRPr="00EC7799">
        <w:rPr>
          <w:rStyle w:val="FootnoteReference"/>
          <w:rFonts w:ascii="Times New Roman" w:hAnsi="Times New Roman"/>
          <w:vertAlign w:val="superscript"/>
        </w:rPr>
        <w:footnoteRef/>
      </w:r>
      <w:r w:rsidRPr="00EC7799">
        <w:rPr>
          <w:rFonts w:ascii="Times New Roman" w:hAnsi="Times New Roman"/>
        </w:rPr>
        <w:t xml:space="preserve"> Estimates herein assume that (1) the median number of customers per exempt reporting adviser is two and (2) the median number of customers per registered investment adviser is 100. These estimates were made based on </w:t>
      </w:r>
      <w:r w:rsidR="00407CD1">
        <w:rPr>
          <w:rFonts w:ascii="Times New Roman" w:hAnsi="Times New Roman"/>
        </w:rPr>
        <w:t>the number of private funds reported by exempt reporting advisers in Schedule D, Section 7.B.1 of Form ADV and the number of clients reported by registered investment advisers in Item 5.D of Form ADV. The estimates were made using data current as of October 5, 2023.</w:t>
      </w:r>
    </w:p>
  </w:footnote>
  <w:footnote w:id="20">
    <w:p w:rsidR="00537F11" w:rsidRPr="00EC7799" w14:paraId="5D99DCA7" w14:textId="6850D455">
      <w:pPr>
        <w:pStyle w:val="FootnoteText"/>
        <w:rPr>
          <w:rFonts w:ascii="Times New Roman" w:hAnsi="Times New Roman"/>
        </w:rPr>
      </w:pPr>
      <w:r w:rsidRPr="00EC7799">
        <w:rPr>
          <w:rStyle w:val="FootnoteReference"/>
          <w:rFonts w:ascii="Times New Roman" w:hAnsi="Times New Roman"/>
          <w:vertAlign w:val="superscript"/>
        </w:rPr>
        <w:footnoteRef/>
      </w:r>
      <w:r w:rsidRPr="00EC7799">
        <w:rPr>
          <w:rFonts w:ascii="Times New Roman" w:hAnsi="Times New Roman"/>
        </w:rPr>
        <w:t xml:space="preserve"> This number is an estimate of all registered investment advis</w:t>
      </w:r>
      <w:r w:rsidRPr="00EC7799" w:rsidR="00D1063F">
        <w:rPr>
          <w:rFonts w:ascii="Times New Roman" w:hAnsi="Times New Roman"/>
        </w:rPr>
        <w:t>e</w:t>
      </w:r>
      <w:r w:rsidRPr="00EC7799">
        <w:rPr>
          <w:rFonts w:ascii="Times New Roman" w:hAnsi="Times New Roman"/>
        </w:rPr>
        <w:t>rs with at least one client, based on responses to Item 5.D of Form ADV, as of October 5, 2023.</w:t>
      </w:r>
    </w:p>
  </w:footnote>
  <w:footnote w:id="21">
    <w:p w:rsidR="00537F11" w:rsidRPr="00EC7799" w14:paraId="0EA98C57" w14:textId="523E3472">
      <w:pPr>
        <w:pStyle w:val="FootnoteText"/>
        <w:rPr>
          <w:rFonts w:ascii="Times New Roman" w:hAnsi="Times New Roman"/>
        </w:rPr>
      </w:pPr>
      <w:r w:rsidRPr="00EC7799">
        <w:rPr>
          <w:rStyle w:val="FootnoteReference"/>
          <w:rFonts w:ascii="Times New Roman" w:hAnsi="Times New Roman"/>
          <w:vertAlign w:val="superscript"/>
        </w:rPr>
        <w:footnoteRef/>
      </w:r>
      <w:r w:rsidRPr="00EC7799">
        <w:rPr>
          <w:rFonts w:ascii="Times New Roman" w:hAnsi="Times New Roman"/>
        </w:rPr>
        <w:t xml:space="preserve"> This number is an estimate of all exempt reporting advisers</w:t>
      </w:r>
      <w:r w:rsidRPr="00EC7799" w:rsidR="00D1063F">
        <w:rPr>
          <w:rFonts w:ascii="Times New Roman" w:hAnsi="Times New Roman"/>
        </w:rPr>
        <w:t xml:space="preserve"> with at least one client, based on responses to Item 2.B of Form ADV, as of October 5, 2023.</w:t>
      </w:r>
    </w:p>
  </w:footnote>
  <w:footnote w:id="22">
    <w:p w:rsidR="00407CD1" w:rsidRPr="009A446F" w14:paraId="4F9AB601" w14:textId="71A8BDC2">
      <w:pPr>
        <w:pStyle w:val="FootnoteText"/>
        <w:rPr>
          <w:rFonts w:ascii="Times New Roman" w:hAnsi="Times New Roman"/>
        </w:rPr>
      </w:pPr>
      <w:r w:rsidRPr="00EC7799">
        <w:rPr>
          <w:rStyle w:val="FootnoteReference"/>
          <w:rFonts w:ascii="Times New Roman" w:hAnsi="Times New Roman"/>
          <w:vertAlign w:val="superscript"/>
        </w:rPr>
        <w:footnoteRef/>
      </w:r>
      <w:r w:rsidRPr="00EC7799">
        <w:rPr>
          <w:rFonts w:ascii="Times New Roman" w:hAnsi="Times New Roman"/>
        </w:rPr>
        <w:t xml:space="preserve"> This </w:t>
      </w:r>
      <w:r>
        <w:rPr>
          <w:rFonts w:ascii="Times New Roman" w:hAnsi="Times New Roman"/>
        </w:rPr>
        <w:t>total includes</w:t>
      </w:r>
      <w:r w:rsidRPr="00EC7799">
        <w:rPr>
          <w:rFonts w:ascii="Times New Roman" w:hAnsi="Times New Roman"/>
        </w:rPr>
        <w:t xml:space="preserve"> the </w:t>
      </w:r>
      <w:r>
        <w:rPr>
          <w:rFonts w:ascii="Times New Roman" w:hAnsi="Times New Roman"/>
        </w:rPr>
        <w:t xml:space="preserve">estimated </w:t>
      </w:r>
      <w:r w:rsidRPr="00EC7799">
        <w:rPr>
          <w:rFonts w:ascii="Times New Roman" w:hAnsi="Times New Roman"/>
        </w:rPr>
        <w:t>time required to comply with 1032.220(a)(1)</w:t>
      </w:r>
      <w:r>
        <w:rPr>
          <w:rFonts w:ascii="Times New Roman" w:hAnsi="Times New Roman"/>
        </w:rPr>
        <w:softHyphen/>
      </w:r>
      <w:r>
        <w:rPr>
          <w:rFonts w:ascii="Times New Roman" w:hAnsi="Times New Roman"/>
        </w:rPr>
        <w:t>–</w:t>
      </w:r>
      <w:r w:rsidRPr="00EC7799">
        <w:rPr>
          <w:rFonts w:ascii="Times New Roman" w:hAnsi="Times New Roman"/>
        </w:rPr>
        <w:t>(</w:t>
      </w:r>
      <w:r w:rsidRPr="00EC7799">
        <w:rPr>
          <w:rFonts w:ascii="Times New Roman" w:hAnsi="Times New Roman"/>
        </w:rPr>
        <w:t>6).</w:t>
      </w:r>
      <w:r w:rsidR="00D01FFE">
        <w:rPr>
          <w:rFonts w:ascii="Times New Roman" w:hAnsi="Times New Roman"/>
        </w:rPr>
        <w:t xml:space="preserve">  </w:t>
      </w:r>
      <w:r w:rsidRPr="009A446F" w:rsidR="00D01FFE">
        <w:rPr>
          <w:rFonts w:ascii="Times New Roman" w:hAnsi="Times New Roman"/>
          <w:i/>
        </w:rPr>
        <w:t>See</w:t>
      </w:r>
      <w:r w:rsidRPr="009A446F" w:rsidR="00D01FFE">
        <w:rPr>
          <w:rStyle w:val="ui-provider"/>
          <w:rFonts w:ascii="Times New Roman" w:hAnsi="Times New Roman"/>
        </w:rPr>
        <w:t xml:space="preserve"> Table 1: PRA Estimates at FinCEN and SEC, </w:t>
      </w:r>
      <w:r w:rsidRPr="009A446F" w:rsidR="00D01FFE">
        <w:rPr>
          <w:rStyle w:val="ui-provider"/>
          <w:rFonts w:ascii="Times New Roman" w:hAnsi="Times New Roman"/>
          <w:i/>
        </w:rPr>
        <w:t>Customer Identification Program for Registered Investment Adviser and Exempt Reporting Advisers Joint Notice of Proposed Rulemaking</w:t>
      </w:r>
      <w:r w:rsidRPr="009A446F" w:rsidR="00D01FFE">
        <w:rPr>
          <w:rStyle w:val="ui-provider"/>
          <w:rFonts w:ascii="Times New Roman" w:hAnsi="Times New Roman"/>
        </w:rPr>
        <w:t>,</w:t>
      </w:r>
      <w:r w:rsidR="00D01FFE">
        <w:rPr>
          <w:rStyle w:val="ui-provider"/>
          <w:rFonts w:ascii="Times New Roman" w:hAnsi="Times New Roman"/>
        </w:rPr>
        <w:t xml:space="preserve"> </w:t>
      </w:r>
      <w:hyperlink r:id="rId4" w:history="1">
        <w:r w:rsidR="00D01FFE">
          <w:rPr>
            <w:rStyle w:val="Hyperlink"/>
            <w:rFonts w:ascii="Times New Roman" w:hAnsi="Times New Roman"/>
          </w:rPr>
          <w:t>89 FR 44590</w:t>
        </w:r>
      </w:hyperlink>
      <w:r w:rsidR="00D01FFE">
        <w:rPr>
          <w:rStyle w:val="ui-provider"/>
          <w:rFonts w:ascii="Times New Roman" w:hAnsi="Times New Roman"/>
        </w:rPr>
        <w:t xml:space="preserve"> </w:t>
      </w:r>
      <w:r w:rsidRPr="009A446F" w:rsidR="00D01FFE">
        <w:rPr>
          <w:rStyle w:val="ui-provider"/>
          <w:rFonts w:ascii="Times New Roman" w:hAnsi="Times New Roman"/>
        </w:rPr>
        <w:t>(May 21, 2024).</w:t>
      </w:r>
    </w:p>
  </w:footnote>
  <w:footnote w:id="23">
    <w:p w:rsidR="006F5419" w:rsidRPr="000413D0" w:rsidP="006F5419" w14:paraId="59A6947E" w14:textId="0E91A8B7">
      <w:pPr>
        <w:pStyle w:val="FootnoteText"/>
        <w:rPr>
          <w:rFonts w:ascii="Times New Roman" w:hAnsi="Times New Roman"/>
        </w:rPr>
      </w:pPr>
      <w:r w:rsidRPr="000413D0">
        <w:rPr>
          <w:rStyle w:val="FootnoteReference"/>
          <w:rFonts w:ascii="Times New Roman" w:hAnsi="Times New Roman"/>
          <w:vertAlign w:val="superscript"/>
        </w:rPr>
        <w:footnoteRef/>
      </w:r>
      <w:r w:rsidRPr="000413D0">
        <w:rPr>
          <w:rFonts w:ascii="Times New Roman" w:hAnsi="Times New Roman"/>
        </w:rPr>
        <w:t xml:space="preserve"> For further explanatory data and note</w:t>
      </w:r>
      <w:r w:rsidR="003820E1">
        <w:rPr>
          <w:rFonts w:ascii="Times New Roman" w:hAnsi="Times New Roman"/>
        </w:rPr>
        <w:t>s</w:t>
      </w:r>
      <w:r w:rsidRPr="000413D0">
        <w:rPr>
          <w:rFonts w:ascii="Times New Roman" w:hAnsi="Times New Roman"/>
        </w:rPr>
        <w:t xml:space="preserve">, </w:t>
      </w:r>
      <w:r w:rsidRPr="000413D0">
        <w:rPr>
          <w:rFonts w:ascii="Times New Roman" w:hAnsi="Times New Roman"/>
          <w:i/>
          <w:iCs/>
        </w:rPr>
        <w:t>see</w:t>
      </w:r>
      <w:r w:rsidRPr="000413D0">
        <w:rPr>
          <w:rFonts w:ascii="Times New Roman" w:hAnsi="Times New Roman"/>
        </w:rPr>
        <w:t xml:space="preserve"> </w:t>
      </w:r>
      <w:r w:rsidRPr="006F5419">
        <w:rPr>
          <w:rStyle w:val="ui-provider"/>
          <w:rFonts w:ascii="Times New Roman" w:hAnsi="Times New Roman"/>
        </w:rPr>
        <w:t xml:space="preserve">Table 1: PRA Estimates at FinCEN and SEC, </w:t>
      </w:r>
      <w:r w:rsidRPr="006F5419">
        <w:rPr>
          <w:rStyle w:val="ui-provider"/>
          <w:rFonts w:ascii="Times New Roman" w:hAnsi="Times New Roman"/>
          <w:i/>
          <w:iCs/>
        </w:rPr>
        <w:t>Customer Identification Program for Registered Investment Adviser and Exempt Reporting Advisers Joint Notice of Proposed Rulemaking</w:t>
      </w:r>
      <w:r w:rsidRPr="006F5419">
        <w:rPr>
          <w:rStyle w:val="ui-provider"/>
          <w:rFonts w:ascii="Times New Roman" w:hAnsi="Times New Roman"/>
        </w:rPr>
        <w:t xml:space="preserve">, </w:t>
      </w:r>
      <w:hyperlink r:id="rId4" w:history="1">
        <w:r w:rsidRPr="006F5419">
          <w:rPr>
            <w:rStyle w:val="Hyperlink"/>
            <w:rFonts w:ascii="Times New Roman" w:hAnsi="Times New Roman"/>
          </w:rPr>
          <w:t>89 FR 4</w:t>
        </w:r>
        <w:r w:rsidRPr="006F5419">
          <w:rPr>
            <w:rStyle w:val="Hyperlink"/>
            <w:rFonts w:ascii="Times New Roman" w:hAnsi="Times New Roman"/>
          </w:rPr>
          <w:t>4</w:t>
        </w:r>
        <w:r w:rsidRPr="006F5419">
          <w:rPr>
            <w:rStyle w:val="Hyperlink"/>
            <w:rFonts w:ascii="Times New Roman" w:hAnsi="Times New Roman"/>
          </w:rPr>
          <w:t>590</w:t>
        </w:r>
      </w:hyperlink>
      <w:r w:rsidRPr="006F5419">
        <w:rPr>
          <w:rStyle w:val="ui-provider"/>
          <w:rFonts w:ascii="Times New Roman" w:hAnsi="Times New Roman"/>
        </w:rPr>
        <w:t xml:space="preserve"> (May 21,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44E2" w:rsidP="000334D3" w14:paraId="085147E6" w14:textId="77777777">
    <w:pPr>
      <w:tabs>
        <w:tab w:val="center" w:pos="4680"/>
      </w:tabs>
      <w:rPr>
        <w:sz w:val="24"/>
      </w:rPr>
    </w:pPr>
  </w:p>
  <w:p w:rsidR="00A80AEF" w:rsidRPr="00AD5C95" w:rsidP="002E6EAC" w14:paraId="2A03AF7D" w14:textId="735BCB20">
    <w:pPr>
      <w:tabs>
        <w:tab w:val="center" w:pos="4680"/>
      </w:tabs>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EB95625"/>
    <w:multiLevelType w:val="hybridMultilevel"/>
    <w:tmpl w:val="C0A404C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16707F6"/>
    <w:multiLevelType w:val="hybridMultilevel"/>
    <w:tmpl w:val="1676149A"/>
    <w:lvl w:ilvl="0">
      <w:start w:val="1"/>
      <w:numFmt w:val="decimal"/>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295090B"/>
    <w:multiLevelType w:val="hybridMultilevel"/>
    <w:tmpl w:val="11A6805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5AF41E3D"/>
    <w:multiLevelType w:val="hybridMultilevel"/>
    <w:tmpl w:val="878ECD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41833702">
    <w:abstractNumId w:val="1"/>
  </w:num>
  <w:num w:numId="2" w16cid:durableId="455293260">
    <w:abstractNumId w:val="3"/>
  </w:num>
  <w:num w:numId="3" w16cid:durableId="433400423">
    <w:abstractNumId w:val="0"/>
  </w:num>
  <w:num w:numId="4" w16cid:durableId="7991126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AEF"/>
    <w:rsid w:val="00001D6B"/>
    <w:rsid w:val="0001109F"/>
    <w:rsid w:val="000122F1"/>
    <w:rsid w:val="00012FF2"/>
    <w:rsid w:val="00016920"/>
    <w:rsid w:val="000178B4"/>
    <w:rsid w:val="000208D1"/>
    <w:rsid w:val="00020D5C"/>
    <w:rsid w:val="00020E02"/>
    <w:rsid w:val="0002405E"/>
    <w:rsid w:val="00026341"/>
    <w:rsid w:val="00027109"/>
    <w:rsid w:val="00030228"/>
    <w:rsid w:val="000319CC"/>
    <w:rsid w:val="000334D3"/>
    <w:rsid w:val="00035076"/>
    <w:rsid w:val="000413D0"/>
    <w:rsid w:val="00046DB1"/>
    <w:rsid w:val="000478E0"/>
    <w:rsid w:val="00047AB8"/>
    <w:rsid w:val="00054358"/>
    <w:rsid w:val="0005631B"/>
    <w:rsid w:val="00057AE3"/>
    <w:rsid w:val="00057CB4"/>
    <w:rsid w:val="00072C9A"/>
    <w:rsid w:val="00076642"/>
    <w:rsid w:val="00077B80"/>
    <w:rsid w:val="0008235C"/>
    <w:rsid w:val="000830D6"/>
    <w:rsid w:val="00091603"/>
    <w:rsid w:val="00095954"/>
    <w:rsid w:val="000A0291"/>
    <w:rsid w:val="000A3F6A"/>
    <w:rsid w:val="000B1EB9"/>
    <w:rsid w:val="000E6650"/>
    <w:rsid w:val="000E6D61"/>
    <w:rsid w:val="000F581A"/>
    <w:rsid w:val="000F74F8"/>
    <w:rsid w:val="00101BD4"/>
    <w:rsid w:val="001065FA"/>
    <w:rsid w:val="00107983"/>
    <w:rsid w:val="0011241A"/>
    <w:rsid w:val="00122C90"/>
    <w:rsid w:val="001259DA"/>
    <w:rsid w:val="00146DAE"/>
    <w:rsid w:val="001472B6"/>
    <w:rsid w:val="0015314D"/>
    <w:rsid w:val="00161B36"/>
    <w:rsid w:val="00163AEE"/>
    <w:rsid w:val="00164841"/>
    <w:rsid w:val="001749CE"/>
    <w:rsid w:val="00175E58"/>
    <w:rsid w:val="00176545"/>
    <w:rsid w:val="00176958"/>
    <w:rsid w:val="00177C3F"/>
    <w:rsid w:val="001814E8"/>
    <w:rsid w:val="00186D0D"/>
    <w:rsid w:val="00190423"/>
    <w:rsid w:val="001A04AB"/>
    <w:rsid w:val="001A605A"/>
    <w:rsid w:val="001A64C1"/>
    <w:rsid w:val="001B5840"/>
    <w:rsid w:val="001C5324"/>
    <w:rsid w:val="001D0E11"/>
    <w:rsid w:val="001D49F5"/>
    <w:rsid w:val="001E0263"/>
    <w:rsid w:val="001E14A4"/>
    <w:rsid w:val="001E21F0"/>
    <w:rsid w:val="001E741A"/>
    <w:rsid w:val="001F3E45"/>
    <w:rsid w:val="00200235"/>
    <w:rsid w:val="002119D5"/>
    <w:rsid w:val="0021642F"/>
    <w:rsid w:val="00216C8A"/>
    <w:rsid w:val="00236554"/>
    <w:rsid w:val="002461A6"/>
    <w:rsid w:val="00250546"/>
    <w:rsid w:val="00256550"/>
    <w:rsid w:val="002622F8"/>
    <w:rsid w:val="00263667"/>
    <w:rsid w:val="002644B9"/>
    <w:rsid w:val="00264B17"/>
    <w:rsid w:val="00266455"/>
    <w:rsid w:val="002679D9"/>
    <w:rsid w:val="00267D3E"/>
    <w:rsid w:val="00275656"/>
    <w:rsid w:val="00277F84"/>
    <w:rsid w:val="00284FC5"/>
    <w:rsid w:val="00290B6B"/>
    <w:rsid w:val="002A0D7C"/>
    <w:rsid w:val="002A13AF"/>
    <w:rsid w:val="002A4DB3"/>
    <w:rsid w:val="002A4DC8"/>
    <w:rsid w:val="002B2D3F"/>
    <w:rsid w:val="002C38BD"/>
    <w:rsid w:val="002C69E6"/>
    <w:rsid w:val="002C6F8C"/>
    <w:rsid w:val="002C7AC2"/>
    <w:rsid w:val="002D55A4"/>
    <w:rsid w:val="002D5D5F"/>
    <w:rsid w:val="002D62AD"/>
    <w:rsid w:val="002E0142"/>
    <w:rsid w:val="002E4D8F"/>
    <w:rsid w:val="002E6EAC"/>
    <w:rsid w:val="002E752F"/>
    <w:rsid w:val="002F0FE0"/>
    <w:rsid w:val="002F1286"/>
    <w:rsid w:val="002F2BC5"/>
    <w:rsid w:val="002F7510"/>
    <w:rsid w:val="003163B5"/>
    <w:rsid w:val="00323D87"/>
    <w:rsid w:val="00337B31"/>
    <w:rsid w:val="00342FFE"/>
    <w:rsid w:val="00347F22"/>
    <w:rsid w:val="0035367A"/>
    <w:rsid w:val="003542F7"/>
    <w:rsid w:val="00362334"/>
    <w:rsid w:val="00364152"/>
    <w:rsid w:val="00364748"/>
    <w:rsid w:val="003733E2"/>
    <w:rsid w:val="003820E1"/>
    <w:rsid w:val="00392184"/>
    <w:rsid w:val="0039286D"/>
    <w:rsid w:val="003A09A6"/>
    <w:rsid w:val="003A14E7"/>
    <w:rsid w:val="003A14EC"/>
    <w:rsid w:val="003A1E08"/>
    <w:rsid w:val="003A3979"/>
    <w:rsid w:val="003B5774"/>
    <w:rsid w:val="003C1D80"/>
    <w:rsid w:val="003C2153"/>
    <w:rsid w:val="003C6A7E"/>
    <w:rsid w:val="003C721B"/>
    <w:rsid w:val="003D60DD"/>
    <w:rsid w:val="003D6FD4"/>
    <w:rsid w:val="003E257A"/>
    <w:rsid w:val="003E4A43"/>
    <w:rsid w:val="003E65A2"/>
    <w:rsid w:val="003F50F2"/>
    <w:rsid w:val="003F7717"/>
    <w:rsid w:val="00404AE3"/>
    <w:rsid w:val="00405CF0"/>
    <w:rsid w:val="00407CD1"/>
    <w:rsid w:val="00412EB7"/>
    <w:rsid w:val="00416844"/>
    <w:rsid w:val="0042406A"/>
    <w:rsid w:val="004276D5"/>
    <w:rsid w:val="0043490F"/>
    <w:rsid w:val="00440A87"/>
    <w:rsid w:val="00443AC9"/>
    <w:rsid w:val="004549BA"/>
    <w:rsid w:val="00460C18"/>
    <w:rsid w:val="0046169F"/>
    <w:rsid w:val="00464615"/>
    <w:rsid w:val="0046562E"/>
    <w:rsid w:val="00473705"/>
    <w:rsid w:val="00474726"/>
    <w:rsid w:val="00480BBD"/>
    <w:rsid w:val="00497806"/>
    <w:rsid w:val="004A4112"/>
    <w:rsid w:val="004A59DC"/>
    <w:rsid w:val="004B047A"/>
    <w:rsid w:val="004B1FD4"/>
    <w:rsid w:val="004B2CF5"/>
    <w:rsid w:val="004B4404"/>
    <w:rsid w:val="004B7F9E"/>
    <w:rsid w:val="004C5820"/>
    <w:rsid w:val="004D07DF"/>
    <w:rsid w:val="004D2DA6"/>
    <w:rsid w:val="004E6F48"/>
    <w:rsid w:val="004E7D80"/>
    <w:rsid w:val="004F091C"/>
    <w:rsid w:val="004F5D85"/>
    <w:rsid w:val="0050188C"/>
    <w:rsid w:val="0051126E"/>
    <w:rsid w:val="0052276C"/>
    <w:rsid w:val="00522E18"/>
    <w:rsid w:val="00524070"/>
    <w:rsid w:val="005276ED"/>
    <w:rsid w:val="0053178A"/>
    <w:rsid w:val="00537F11"/>
    <w:rsid w:val="005400C1"/>
    <w:rsid w:val="00551187"/>
    <w:rsid w:val="00552C10"/>
    <w:rsid w:val="0055540E"/>
    <w:rsid w:val="00561678"/>
    <w:rsid w:val="005720E5"/>
    <w:rsid w:val="00576F5C"/>
    <w:rsid w:val="005802AF"/>
    <w:rsid w:val="00582C97"/>
    <w:rsid w:val="00586FCE"/>
    <w:rsid w:val="00587023"/>
    <w:rsid w:val="005933F8"/>
    <w:rsid w:val="005A1A78"/>
    <w:rsid w:val="005A491E"/>
    <w:rsid w:val="005B2E92"/>
    <w:rsid w:val="005C40DC"/>
    <w:rsid w:val="005C6B9B"/>
    <w:rsid w:val="005D69F2"/>
    <w:rsid w:val="005E39DC"/>
    <w:rsid w:val="005E3BF7"/>
    <w:rsid w:val="005F37FB"/>
    <w:rsid w:val="00605B42"/>
    <w:rsid w:val="0062479C"/>
    <w:rsid w:val="00642C9B"/>
    <w:rsid w:val="00643F82"/>
    <w:rsid w:val="0065432D"/>
    <w:rsid w:val="00656CB8"/>
    <w:rsid w:val="006636B0"/>
    <w:rsid w:val="00672F91"/>
    <w:rsid w:val="00673CA3"/>
    <w:rsid w:val="0067454C"/>
    <w:rsid w:val="00685569"/>
    <w:rsid w:val="00696BD3"/>
    <w:rsid w:val="006970CE"/>
    <w:rsid w:val="006A0590"/>
    <w:rsid w:val="006B61B5"/>
    <w:rsid w:val="006C0866"/>
    <w:rsid w:val="006C7D1E"/>
    <w:rsid w:val="006D206D"/>
    <w:rsid w:val="006D418A"/>
    <w:rsid w:val="006E489F"/>
    <w:rsid w:val="006E53A2"/>
    <w:rsid w:val="006F0A3C"/>
    <w:rsid w:val="006F5419"/>
    <w:rsid w:val="006F652A"/>
    <w:rsid w:val="00702CE6"/>
    <w:rsid w:val="00704C79"/>
    <w:rsid w:val="007251F4"/>
    <w:rsid w:val="00726A5D"/>
    <w:rsid w:val="00726DA6"/>
    <w:rsid w:val="00727FE2"/>
    <w:rsid w:val="00732822"/>
    <w:rsid w:val="00741820"/>
    <w:rsid w:val="00742A3F"/>
    <w:rsid w:val="00750696"/>
    <w:rsid w:val="00754EA4"/>
    <w:rsid w:val="00756C73"/>
    <w:rsid w:val="007703FE"/>
    <w:rsid w:val="007759EC"/>
    <w:rsid w:val="0077736D"/>
    <w:rsid w:val="0078057B"/>
    <w:rsid w:val="007835F8"/>
    <w:rsid w:val="007848F5"/>
    <w:rsid w:val="007A1E50"/>
    <w:rsid w:val="007A3704"/>
    <w:rsid w:val="007A3CD4"/>
    <w:rsid w:val="007B1D97"/>
    <w:rsid w:val="007B3734"/>
    <w:rsid w:val="007B3AAA"/>
    <w:rsid w:val="007C2AE9"/>
    <w:rsid w:val="007C5057"/>
    <w:rsid w:val="007D0DE0"/>
    <w:rsid w:val="007D12AF"/>
    <w:rsid w:val="007D56A3"/>
    <w:rsid w:val="007E59FE"/>
    <w:rsid w:val="007E62C7"/>
    <w:rsid w:val="007E7C59"/>
    <w:rsid w:val="007E7C8C"/>
    <w:rsid w:val="007F287C"/>
    <w:rsid w:val="007F2BE9"/>
    <w:rsid w:val="007F4A0E"/>
    <w:rsid w:val="00811CE9"/>
    <w:rsid w:val="008219BA"/>
    <w:rsid w:val="00835103"/>
    <w:rsid w:val="00845B3E"/>
    <w:rsid w:val="00855673"/>
    <w:rsid w:val="00861CF0"/>
    <w:rsid w:val="00864323"/>
    <w:rsid w:val="00866374"/>
    <w:rsid w:val="0087202A"/>
    <w:rsid w:val="0087244F"/>
    <w:rsid w:val="008840B7"/>
    <w:rsid w:val="008859D0"/>
    <w:rsid w:val="00887EFB"/>
    <w:rsid w:val="00895885"/>
    <w:rsid w:val="008A58FE"/>
    <w:rsid w:val="008A797E"/>
    <w:rsid w:val="008C1C02"/>
    <w:rsid w:val="008C38D8"/>
    <w:rsid w:val="008C674C"/>
    <w:rsid w:val="008C78D3"/>
    <w:rsid w:val="008D1420"/>
    <w:rsid w:val="008D2E46"/>
    <w:rsid w:val="008E690B"/>
    <w:rsid w:val="008E6A4A"/>
    <w:rsid w:val="008E7797"/>
    <w:rsid w:val="00913D6B"/>
    <w:rsid w:val="00916A5C"/>
    <w:rsid w:val="0093152D"/>
    <w:rsid w:val="00935E1E"/>
    <w:rsid w:val="009429AE"/>
    <w:rsid w:val="009438A5"/>
    <w:rsid w:val="00950E50"/>
    <w:rsid w:val="00956919"/>
    <w:rsid w:val="009600FF"/>
    <w:rsid w:val="00963F77"/>
    <w:rsid w:val="00964F5B"/>
    <w:rsid w:val="00967A31"/>
    <w:rsid w:val="00970BEB"/>
    <w:rsid w:val="00970E70"/>
    <w:rsid w:val="00971E6B"/>
    <w:rsid w:val="00977476"/>
    <w:rsid w:val="00981F15"/>
    <w:rsid w:val="0098387D"/>
    <w:rsid w:val="009879A8"/>
    <w:rsid w:val="00994FE6"/>
    <w:rsid w:val="009A446F"/>
    <w:rsid w:val="009A74DA"/>
    <w:rsid w:val="009B3AF2"/>
    <w:rsid w:val="009C0580"/>
    <w:rsid w:val="009C1C51"/>
    <w:rsid w:val="009C24F4"/>
    <w:rsid w:val="009C7F83"/>
    <w:rsid w:val="009D2381"/>
    <w:rsid w:val="009D446C"/>
    <w:rsid w:val="009E41BA"/>
    <w:rsid w:val="009E76FB"/>
    <w:rsid w:val="009F2222"/>
    <w:rsid w:val="009F4054"/>
    <w:rsid w:val="009F64E6"/>
    <w:rsid w:val="00A07299"/>
    <w:rsid w:val="00A1001D"/>
    <w:rsid w:val="00A10931"/>
    <w:rsid w:val="00A10E1E"/>
    <w:rsid w:val="00A15E8C"/>
    <w:rsid w:val="00A37BDD"/>
    <w:rsid w:val="00A412FA"/>
    <w:rsid w:val="00A4144E"/>
    <w:rsid w:val="00A41E1F"/>
    <w:rsid w:val="00A44865"/>
    <w:rsid w:val="00A45A02"/>
    <w:rsid w:val="00A52FA2"/>
    <w:rsid w:val="00A55F86"/>
    <w:rsid w:val="00A62013"/>
    <w:rsid w:val="00A65A8D"/>
    <w:rsid w:val="00A727E6"/>
    <w:rsid w:val="00A729B5"/>
    <w:rsid w:val="00A808B4"/>
    <w:rsid w:val="00A80AEF"/>
    <w:rsid w:val="00A823A9"/>
    <w:rsid w:val="00A82571"/>
    <w:rsid w:val="00A91A32"/>
    <w:rsid w:val="00A91C95"/>
    <w:rsid w:val="00A94E45"/>
    <w:rsid w:val="00AA04A7"/>
    <w:rsid w:val="00AA63DC"/>
    <w:rsid w:val="00AB0327"/>
    <w:rsid w:val="00AC60FE"/>
    <w:rsid w:val="00AC67BA"/>
    <w:rsid w:val="00AC7B66"/>
    <w:rsid w:val="00AD43DE"/>
    <w:rsid w:val="00AD4A83"/>
    <w:rsid w:val="00AD5C95"/>
    <w:rsid w:val="00AF179B"/>
    <w:rsid w:val="00AF454E"/>
    <w:rsid w:val="00AF7304"/>
    <w:rsid w:val="00B01A04"/>
    <w:rsid w:val="00B03C57"/>
    <w:rsid w:val="00B052FA"/>
    <w:rsid w:val="00B152C4"/>
    <w:rsid w:val="00B23A97"/>
    <w:rsid w:val="00B26C2E"/>
    <w:rsid w:val="00B3204C"/>
    <w:rsid w:val="00B40928"/>
    <w:rsid w:val="00B435C0"/>
    <w:rsid w:val="00B54590"/>
    <w:rsid w:val="00B5485F"/>
    <w:rsid w:val="00B6400D"/>
    <w:rsid w:val="00B726B0"/>
    <w:rsid w:val="00B80964"/>
    <w:rsid w:val="00B92D1B"/>
    <w:rsid w:val="00BA3E4F"/>
    <w:rsid w:val="00BB1248"/>
    <w:rsid w:val="00BC28C9"/>
    <w:rsid w:val="00BC7A28"/>
    <w:rsid w:val="00BD252F"/>
    <w:rsid w:val="00BD4862"/>
    <w:rsid w:val="00BE1880"/>
    <w:rsid w:val="00BE25CF"/>
    <w:rsid w:val="00BE2E11"/>
    <w:rsid w:val="00BE3F23"/>
    <w:rsid w:val="00BE4A9C"/>
    <w:rsid w:val="00BE60E1"/>
    <w:rsid w:val="00BE6966"/>
    <w:rsid w:val="00BF2396"/>
    <w:rsid w:val="00BF2F7D"/>
    <w:rsid w:val="00BF60A2"/>
    <w:rsid w:val="00C20123"/>
    <w:rsid w:val="00C20431"/>
    <w:rsid w:val="00C20C96"/>
    <w:rsid w:val="00C24331"/>
    <w:rsid w:val="00C338C2"/>
    <w:rsid w:val="00C507FB"/>
    <w:rsid w:val="00C543CB"/>
    <w:rsid w:val="00C626C1"/>
    <w:rsid w:val="00C76464"/>
    <w:rsid w:val="00C76A92"/>
    <w:rsid w:val="00C80C19"/>
    <w:rsid w:val="00C87CEF"/>
    <w:rsid w:val="00C910D0"/>
    <w:rsid w:val="00C932AF"/>
    <w:rsid w:val="00C944E2"/>
    <w:rsid w:val="00CA4DC8"/>
    <w:rsid w:val="00CA6147"/>
    <w:rsid w:val="00CB459A"/>
    <w:rsid w:val="00CC0414"/>
    <w:rsid w:val="00CC31E2"/>
    <w:rsid w:val="00CC3DB3"/>
    <w:rsid w:val="00CC4122"/>
    <w:rsid w:val="00CC520C"/>
    <w:rsid w:val="00CD0C57"/>
    <w:rsid w:val="00CD19DC"/>
    <w:rsid w:val="00CE4AE0"/>
    <w:rsid w:val="00CE631F"/>
    <w:rsid w:val="00CF2E03"/>
    <w:rsid w:val="00CF3C5B"/>
    <w:rsid w:val="00D01FFE"/>
    <w:rsid w:val="00D1063F"/>
    <w:rsid w:val="00D11017"/>
    <w:rsid w:val="00D203F9"/>
    <w:rsid w:val="00D209B8"/>
    <w:rsid w:val="00D24228"/>
    <w:rsid w:val="00D2790A"/>
    <w:rsid w:val="00D30E31"/>
    <w:rsid w:val="00D32310"/>
    <w:rsid w:val="00D324AE"/>
    <w:rsid w:val="00D367D6"/>
    <w:rsid w:val="00D41529"/>
    <w:rsid w:val="00D50716"/>
    <w:rsid w:val="00D512DA"/>
    <w:rsid w:val="00D525C4"/>
    <w:rsid w:val="00D74BA5"/>
    <w:rsid w:val="00D751F0"/>
    <w:rsid w:val="00D76DF7"/>
    <w:rsid w:val="00D836A7"/>
    <w:rsid w:val="00D93654"/>
    <w:rsid w:val="00D94AFF"/>
    <w:rsid w:val="00DA1C1F"/>
    <w:rsid w:val="00DA1CB8"/>
    <w:rsid w:val="00DA45F2"/>
    <w:rsid w:val="00DA5707"/>
    <w:rsid w:val="00DA61A5"/>
    <w:rsid w:val="00DB14A3"/>
    <w:rsid w:val="00DB1A98"/>
    <w:rsid w:val="00DB24B7"/>
    <w:rsid w:val="00DC080D"/>
    <w:rsid w:val="00DC37F8"/>
    <w:rsid w:val="00DC4535"/>
    <w:rsid w:val="00DD4660"/>
    <w:rsid w:val="00DD7829"/>
    <w:rsid w:val="00DDCD7F"/>
    <w:rsid w:val="00E039B0"/>
    <w:rsid w:val="00E05FBA"/>
    <w:rsid w:val="00E06DE4"/>
    <w:rsid w:val="00E11252"/>
    <w:rsid w:val="00E22ABF"/>
    <w:rsid w:val="00E240E1"/>
    <w:rsid w:val="00E3421E"/>
    <w:rsid w:val="00E365D9"/>
    <w:rsid w:val="00E4175C"/>
    <w:rsid w:val="00E41A4F"/>
    <w:rsid w:val="00E50802"/>
    <w:rsid w:val="00E52114"/>
    <w:rsid w:val="00E71678"/>
    <w:rsid w:val="00E75D89"/>
    <w:rsid w:val="00E76D06"/>
    <w:rsid w:val="00E8016B"/>
    <w:rsid w:val="00E81492"/>
    <w:rsid w:val="00E83EA8"/>
    <w:rsid w:val="00E84FD8"/>
    <w:rsid w:val="00E97898"/>
    <w:rsid w:val="00E97BDE"/>
    <w:rsid w:val="00EA181A"/>
    <w:rsid w:val="00EA2456"/>
    <w:rsid w:val="00EA61A5"/>
    <w:rsid w:val="00EB3F95"/>
    <w:rsid w:val="00EB50E2"/>
    <w:rsid w:val="00EC1991"/>
    <w:rsid w:val="00EC442D"/>
    <w:rsid w:val="00EC7799"/>
    <w:rsid w:val="00ED7BC5"/>
    <w:rsid w:val="00EE27E1"/>
    <w:rsid w:val="00EF3C94"/>
    <w:rsid w:val="00F11363"/>
    <w:rsid w:val="00F13541"/>
    <w:rsid w:val="00F13884"/>
    <w:rsid w:val="00F16182"/>
    <w:rsid w:val="00F26972"/>
    <w:rsid w:val="00F34C67"/>
    <w:rsid w:val="00F43D5D"/>
    <w:rsid w:val="00F4574B"/>
    <w:rsid w:val="00F73DDB"/>
    <w:rsid w:val="00F80C49"/>
    <w:rsid w:val="00F834F9"/>
    <w:rsid w:val="00F83993"/>
    <w:rsid w:val="00F87DD3"/>
    <w:rsid w:val="00FA2079"/>
    <w:rsid w:val="00FB2730"/>
    <w:rsid w:val="00FB36D4"/>
    <w:rsid w:val="00FB465E"/>
    <w:rsid w:val="00FB4A8B"/>
    <w:rsid w:val="00FB6A8F"/>
    <w:rsid w:val="00FC0150"/>
    <w:rsid w:val="00FC0AC9"/>
    <w:rsid w:val="00FC27F4"/>
    <w:rsid w:val="00FD7AB2"/>
    <w:rsid w:val="00FD7DB3"/>
    <w:rsid w:val="00FE41B9"/>
    <w:rsid w:val="03414D62"/>
    <w:rsid w:val="04A6D1F5"/>
    <w:rsid w:val="08EB9F8D"/>
    <w:rsid w:val="0D9588D8"/>
    <w:rsid w:val="0DB6C0E1"/>
    <w:rsid w:val="0E0B753B"/>
    <w:rsid w:val="0FEA5FF8"/>
    <w:rsid w:val="1957588D"/>
    <w:rsid w:val="1AB2B056"/>
    <w:rsid w:val="1B259553"/>
    <w:rsid w:val="1B296A24"/>
    <w:rsid w:val="1B6C68D5"/>
    <w:rsid w:val="1C794797"/>
    <w:rsid w:val="1D1807B4"/>
    <w:rsid w:val="1F564B45"/>
    <w:rsid w:val="1FA4A5B0"/>
    <w:rsid w:val="203A0156"/>
    <w:rsid w:val="23DC0EA5"/>
    <w:rsid w:val="2451BF5E"/>
    <w:rsid w:val="24FEC4FA"/>
    <w:rsid w:val="273FEBD5"/>
    <w:rsid w:val="27604EFD"/>
    <w:rsid w:val="2782BA13"/>
    <w:rsid w:val="278740A4"/>
    <w:rsid w:val="2A6EBB7B"/>
    <w:rsid w:val="2EDEE866"/>
    <w:rsid w:val="2F245A27"/>
    <w:rsid w:val="3271AE04"/>
    <w:rsid w:val="34E1DA4F"/>
    <w:rsid w:val="34EAC3F4"/>
    <w:rsid w:val="35184FB9"/>
    <w:rsid w:val="372D7531"/>
    <w:rsid w:val="37730398"/>
    <w:rsid w:val="385F0978"/>
    <w:rsid w:val="38E171D0"/>
    <w:rsid w:val="391DB1EB"/>
    <w:rsid w:val="3AE5CBB0"/>
    <w:rsid w:val="3D1B4242"/>
    <w:rsid w:val="3E650D5F"/>
    <w:rsid w:val="410D8D0A"/>
    <w:rsid w:val="435C7D2F"/>
    <w:rsid w:val="4395C7F2"/>
    <w:rsid w:val="4697A5A9"/>
    <w:rsid w:val="4806084E"/>
    <w:rsid w:val="4969B983"/>
    <w:rsid w:val="498CB179"/>
    <w:rsid w:val="4AA3AF4B"/>
    <w:rsid w:val="4B55581E"/>
    <w:rsid w:val="4C92259D"/>
    <w:rsid w:val="4ECEAD5E"/>
    <w:rsid w:val="5270BAAD"/>
    <w:rsid w:val="5501AEC7"/>
    <w:rsid w:val="562A4697"/>
    <w:rsid w:val="57A88B87"/>
    <w:rsid w:val="59871913"/>
    <w:rsid w:val="59FA56BC"/>
    <w:rsid w:val="5A32C206"/>
    <w:rsid w:val="5A8FAD4A"/>
    <w:rsid w:val="5AD32D48"/>
    <w:rsid w:val="5D1E2E54"/>
    <w:rsid w:val="5DA0AE96"/>
    <w:rsid w:val="5E798522"/>
    <w:rsid w:val="621DA0DA"/>
    <w:rsid w:val="67301241"/>
    <w:rsid w:val="67480E0C"/>
    <w:rsid w:val="68436E13"/>
    <w:rsid w:val="6954F107"/>
    <w:rsid w:val="6CA8BB79"/>
    <w:rsid w:val="6CFFD750"/>
    <w:rsid w:val="6DB5D641"/>
    <w:rsid w:val="6E1471C2"/>
    <w:rsid w:val="7130E751"/>
    <w:rsid w:val="713DC172"/>
    <w:rsid w:val="724ADC3A"/>
    <w:rsid w:val="76B28D00"/>
    <w:rsid w:val="771EFA05"/>
    <w:rsid w:val="78CD8E3C"/>
    <w:rsid w:val="7ADEF76C"/>
    <w:rsid w:val="7BACFA6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E710F5D"/>
  <w15:chartTrackingRefBased/>
  <w15:docId w15:val="{A8A7F02A-1DB0-4376-A067-C7F9522C5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0AEF"/>
    <w:pPr>
      <w:widowControl w:val="0"/>
      <w:autoSpaceDE w:val="0"/>
      <w:autoSpaceDN w:val="0"/>
      <w:adjustRightInd w:val="0"/>
      <w:spacing w:after="0" w:line="240" w:lineRule="auto"/>
    </w:pPr>
    <w:rPr>
      <w:rFonts w:ascii="Courier" w:eastAsia="Times New Roman" w:hAnsi="Courier" w:cs="Times New Roman"/>
      <w:kern w:val="0"/>
      <w:sz w:val="20"/>
      <w:szCs w:val="24"/>
      <w14:ligatures w14:val="none"/>
    </w:rPr>
  </w:style>
  <w:style w:type="paragraph" w:styleId="Heading3">
    <w:name w:val="heading 3"/>
    <w:basedOn w:val="Normal"/>
    <w:next w:val="Normal"/>
    <w:link w:val="Heading3Char"/>
    <w:semiHidden/>
    <w:unhideWhenUsed/>
    <w:qFormat/>
    <w:rsid w:val="00A80AEF"/>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A80AEF"/>
    <w:rPr>
      <w:rFonts w:asciiTheme="majorHAnsi" w:eastAsiaTheme="majorEastAsia" w:hAnsiTheme="majorHAnsi" w:cstheme="majorBidi"/>
      <w:color w:val="1F3763" w:themeColor="accent1" w:themeShade="7F"/>
      <w:kern w:val="0"/>
      <w:sz w:val="24"/>
      <w:szCs w:val="24"/>
      <w14:ligatures w14:val="none"/>
    </w:rPr>
  </w:style>
  <w:style w:type="character" w:styleId="FootnoteReference">
    <w:name w:val="footnote reference"/>
    <w:aliases w:val=" BVI fnr,(Footnote Reference),12,Appel note de bas de p,BVI fnr,EN Footnote Reference,Footnote,Footnote Reference Superscript,Footnote reference number,Footnote symbol,Nota,SUPERS,Style 16,Style 19,Voetnootverwijzing,fr,note TESI"/>
    <w:uiPriority w:val="99"/>
    <w:qFormat/>
    <w:rsid w:val="00A80AEF"/>
  </w:style>
  <w:style w:type="paragraph" w:styleId="BodyTextIndent">
    <w:name w:val="Body Text Indent"/>
    <w:basedOn w:val="Normal"/>
    <w:link w:val="BodyTextIndentChar"/>
    <w:rsid w:val="00A80AEF"/>
    <w:pPr>
      <w:spacing w:line="229" w:lineRule="exact"/>
    </w:pPr>
    <w:rPr>
      <w:color w:val="00FFFF"/>
      <w:sz w:val="24"/>
    </w:rPr>
  </w:style>
  <w:style w:type="character" w:customStyle="1" w:styleId="BodyTextIndentChar">
    <w:name w:val="Body Text Indent Char"/>
    <w:basedOn w:val="DefaultParagraphFont"/>
    <w:link w:val="BodyTextIndent"/>
    <w:rsid w:val="00A80AEF"/>
    <w:rPr>
      <w:rFonts w:ascii="Courier" w:eastAsia="Times New Roman" w:hAnsi="Courier" w:cs="Times New Roman"/>
      <w:color w:val="00FFFF"/>
      <w:kern w:val="0"/>
      <w:sz w:val="24"/>
      <w:szCs w:val="24"/>
      <w14:ligatures w14:val="none"/>
    </w:rPr>
  </w:style>
  <w:style w:type="paragraph" w:styleId="BodyTextIndent3">
    <w:name w:val="Body Text Indent 3"/>
    <w:basedOn w:val="Normal"/>
    <w:link w:val="BodyTextIndent3Char"/>
    <w:rsid w:val="00A80AEF"/>
    <w:pPr>
      <w:ind w:left="720"/>
    </w:pPr>
    <w:rPr>
      <w:rFonts w:ascii="Times New Roman" w:hAnsi="Times New Roman"/>
      <w:sz w:val="24"/>
    </w:rPr>
  </w:style>
  <w:style w:type="character" w:customStyle="1" w:styleId="BodyTextIndent3Char">
    <w:name w:val="Body Text Indent 3 Char"/>
    <w:basedOn w:val="DefaultParagraphFont"/>
    <w:link w:val="BodyTextIndent3"/>
    <w:rsid w:val="00A80AEF"/>
    <w:rPr>
      <w:rFonts w:ascii="Times New Roman" w:eastAsia="Times New Roman" w:hAnsi="Times New Roman" w:cs="Times New Roman"/>
      <w:kern w:val="0"/>
      <w:sz w:val="24"/>
      <w:szCs w:val="24"/>
      <w14:ligatures w14:val="none"/>
    </w:rPr>
  </w:style>
  <w:style w:type="paragraph" w:styleId="FootnoteText">
    <w:name w:val="footnote text"/>
    <w:aliases w:val="Footnote Text Char Char Char,Footnote Text Char Char Char Char Char,Footnote Text Char1,Footnote Text Char1 Char,Footnote Text Char1 Char Char,Footnote Text Char1 Char Char Char,Footnote Text Char1 Char Char Char Char Char,Style 15,fn,ft"/>
    <w:basedOn w:val="Normal"/>
    <w:link w:val="FootnoteTextChar"/>
    <w:uiPriority w:val="99"/>
    <w:qFormat/>
    <w:rsid w:val="00A80AEF"/>
    <w:rPr>
      <w:szCs w:val="20"/>
    </w:rPr>
  </w:style>
  <w:style w:type="character" w:customStyle="1" w:styleId="FootnoteTextChar">
    <w:name w:val="Footnote Text Char"/>
    <w:aliases w:val="Footnote Text Char Char Char Char,Footnote Text Char Char Char Char Char Char,Footnote Text Char1 Char Char Char Char,Footnote Text Char1 Char Char Char Char Char Char,Footnote Text Char1 Char Char Char1,Footnote Text Char1 Char Char1"/>
    <w:basedOn w:val="DefaultParagraphFont"/>
    <w:link w:val="FootnoteText"/>
    <w:uiPriority w:val="99"/>
    <w:rsid w:val="00A80AEF"/>
    <w:rPr>
      <w:rFonts w:ascii="Courier" w:eastAsia="Times New Roman" w:hAnsi="Courier" w:cs="Times New Roman"/>
      <w:kern w:val="0"/>
      <w:sz w:val="20"/>
      <w:szCs w:val="20"/>
      <w14:ligatures w14:val="none"/>
    </w:rPr>
  </w:style>
  <w:style w:type="paragraph" w:styleId="Footer">
    <w:name w:val="footer"/>
    <w:basedOn w:val="Normal"/>
    <w:link w:val="FooterChar"/>
    <w:uiPriority w:val="99"/>
    <w:rsid w:val="00A80AEF"/>
    <w:pPr>
      <w:tabs>
        <w:tab w:val="center" w:pos="4680"/>
        <w:tab w:val="right" w:pos="9360"/>
      </w:tabs>
    </w:pPr>
  </w:style>
  <w:style w:type="character" w:customStyle="1" w:styleId="FooterChar">
    <w:name w:val="Footer Char"/>
    <w:basedOn w:val="DefaultParagraphFont"/>
    <w:link w:val="Footer"/>
    <w:uiPriority w:val="99"/>
    <w:rsid w:val="00A80AEF"/>
    <w:rPr>
      <w:rFonts w:ascii="Courier" w:eastAsia="Times New Roman" w:hAnsi="Courier" w:cs="Times New Roman"/>
      <w:kern w:val="0"/>
      <w:sz w:val="20"/>
      <w:szCs w:val="24"/>
      <w14:ligatures w14:val="none"/>
    </w:rPr>
  </w:style>
  <w:style w:type="character" w:styleId="CommentReference">
    <w:name w:val="annotation reference"/>
    <w:uiPriority w:val="99"/>
    <w:rsid w:val="00A80AEF"/>
    <w:rPr>
      <w:sz w:val="16"/>
      <w:szCs w:val="16"/>
    </w:rPr>
  </w:style>
  <w:style w:type="paragraph" w:styleId="CommentText">
    <w:name w:val="annotation text"/>
    <w:basedOn w:val="Normal"/>
    <w:link w:val="CommentTextChar"/>
    <w:uiPriority w:val="99"/>
    <w:rsid w:val="00A80AEF"/>
    <w:rPr>
      <w:szCs w:val="20"/>
    </w:rPr>
  </w:style>
  <w:style w:type="character" w:customStyle="1" w:styleId="CommentTextChar">
    <w:name w:val="Comment Text Char"/>
    <w:basedOn w:val="DefaultParagraphFont"/>
    <w:link w:val="CommentText"/>
    <w:uiPriority w:val="99"/>
    <w:rsid w:val="00A80AEF"/>
    <w:rPr>
      <w:rFonts w:ascii="Courier" w:eastAsia="Times New Roman" w:hAnsi="Courier" w:cs="Times New Roman"/>
      <w:kern w:val="0"/>
      <w:sz w:val="20"/>
      <w:szCs w:val="20"/>
      <w14:ligatures w14:val="none"/>
    </w:rPr>
  </w:style>
  <w:style w:type="paragraph" w:styleId="ListParagraph">
    <w:name w:val="List Paragraph"/>
    <w:basedOn w:val="Normal"/>
    <w:uiPriority w:val="34"/>
    <w:qFormat/>
    <w:rsid w:val="00A80AEF"/>
    <w:pPr>
      <w:ind w:left="720"/>
    </w:pPr>
  </w:style>
  <w:style w:type="character" w:styleId="Hyperlink">
    <w:name w:val="Hyperlink"/>
    <w:unhideWhenUsed/>
    <w:rsid w:val="00A80AEF"/>
    <w:rPr>
      <w:color w:val="0563C1"/>
      <w:u w:val="single"/>
    </w:rPr>
  </w:style>
  <w:style w:type="paragraph" w:styleId="PlainText">
    <w:name w:val="Plain Text"/>
    <w:basedOn w:val="Normal"/>
    <w:link w:val="PlainTextChar"/>
    <w:uiPriority w:val="99"/>
    <w:rsid w:val="00A80AEF"/>
    <w:pPr>
      <w:widowControl/>
      <w:autoSpaceDE/>
      <w:autoSpaceDN/>
      <w:adjustRightInd/>
    </w:pPr>
    <w:rPr>
      <w:rFonts w:ascii="Courier New" w:hAnsi="Courier New" w:cs="Courier New"/>
      <w:szCs w:val="20"/>
    </w:rPr>
  </w:style>
  <w:style w:type="character" w:customStyle="1" w:styleId="PlainTextChar">
    <w:name w:val="Plain Text Char"/>
    <w:basedOn w:val="DefaultParagraphFont"/>
    <w:link w:val="PlainText"/>
    <w:uiPriority w:val="99"/>
    <w:rsid w:val="00A80AEF"/>
    <w:rPr>
      <w:rFonts w:ascii="Courier New" w:eastAsia="Times New Roman" w:hAnsi="Courier New" w:cs="Courier New"/>
      <w:kern w:val="0"/>
      <w:sz w:val="20"/>
      <w:szCs w:val="20"/>
      <w14:ligatures w14:val="none"/>
    </w:rPr>
  </w:style>
  <w:style w:type="paragraph" w:styleId="HTMLPreformatted">
    <w:name w:val="HTML Preformatted"/>
    <w:basedOn w:val="Normal"/>
    <w:link w:val="HTMLPreformattedChar"/>
    <w:unhideWhenUsed/>
    <w:rsid w:val="00A80AEF"/>
    <w:rPr>
      <w:rFonts w:ascii="Consolas" w:hAnsi="Consolas" w:cs="Consolas"/>
      <w:szCs w:val="20"/>
    </w:rPr>
  </w:style>
  <w:style w:type="character" w:customStyle="1" w:styleId="HTMLPreformattedChar">
    <w:name w:val="HTML Preformatted Char"/>
    <w:basedOn w:val="DefaultParagraphFont"/>
    <w:link w:val="HTMLPreformatted"/>
    <w:rsid w:val="00A80AEF"/>
    <w:rPr>
      <w:rFonts w:ascii="Consolas" w:eastAsia="Times New Roman" w:hAnsi="Consolas" w:cs="Consolas"/>
      <w:kern w:val="0"/>
      <w:sz w:val="20"/>
      <w:szCs w:val="20"/>
      <w14:ligatures w14:val="none"/>
    </w:rPr>
  </w:style>
  <w:style w:type="paragraph" w:customStyle="1" w:styleId="Default">
    <w:name w:val="Default"/>
    <w:rsid w:val="00A80AEF"/>
    <w:pPr>
      <w:autoSpaceDE w:val="0"/>
      <w:autoSpaceDN w:val="0"/>
      <w:adjustRightInd w:val="0"/>
      <w:spacing w:after="0" w:line="240" w:lineRule="auto"/>
    </w:pPr>
    <w:rPr>
      <w:rFonts w:ascii="Segoe UI" w:eastAsia="Times New Roman" w:hAnsi="Segoe UI" w:cs="Segoe UI"/>
      <w:color w:val="000000"/>
      <w:kern w:val="0"/>
      <w:sz w:val="24"/>
      <w:szCs w:val="24"/>
      <w14:ligatures w14:val="none"/>
    </w:rPr>
  </w:style>
  <w:style w:type="paragraph" w:styleId="CommentSubject">
    <w:name w:val="annotation subject"/>
    <w:basedOn w:val="CommentText"/>
    <w:next w:val="CommentText"/>
    <w:link w:val="CommentSubjectChar"/>
    <w:uiPriority w:val="99"/>
    <w:semiHidden/>
    <w:unhideWhenUsed/>
    <w:rsid w:val="00DA45F2"/>
    <w:rPr>
      <w:b/>
      <w:bCs/>
    </w:rPr>
  </w:style>
  <w:style w:type="character" w:customStyle="1" w:styleId="CommentSubjectChar">
    <w:name w:val="Comment Subject Char"/>
    <w:basedOn w:val="CommentTextChar"/>
    <w:link w:val="CommentSubject"/>
    <w:uiPriority w:val="99"/>
    <w:semiHidden/>
    <w:rsid w:val="00DA45F2"/>
    <w:rPr>
      <w:rFonts w:ascii="Courier" w:eastAsia="Times New Roman" w:hAnsi="Courier" w:cs="Times New Roman"/>
      <w:b/>
      <w:bCs/>
      <w:kern w:val="0"/>
      <w:sz w:val="20"/>
      <w:szCs w:val="20"/>
      <w14:ligatures w14:val="none"/>
    </w:rPr>
  </w:style>
  <w:style w:type="paragraph" w:styleId="Header">
    <w:name w:val="header"/>
    <w:basedOn w:val="Normal"/>
    <w:link w:val="HeaderChar"/>
    <w:uiPriority w:val="99"/>
    <w:unhideWhenUsed/>
    <w:rsid w:val="007C2AE9"/>
    <w:pPr>
      <w:tabs>
        <w:tab w:val="center" w:pos="4680"/>
        <w:tab w:val="right" w:pos="9360"/>
      </w:tabs>
    </w:pPr>
  </w:style>
  <w:style w:type="character" w:customStyle="1" w:styleId="HeaderChar">
    <w:name w:val="Header Char"/>
    <w:basedOn w:val="DefaultParagraphFont"/>
    <w:link w:val="Header"/>
    <w:uiPriority w:val="99"/>
    <w:rsid w:val="007C2AE9"/>
    <w:rPr>
      <w:rFonts w:ascii="Courier" w:eastAsia="Times New Roman" w:hAnsi="Courier" w:cs="Times New Roman"/>
      <w:kern w:val="0"/>
      <w:sz w:val="20"/>
      <w:szCs w:val="24"/>
      <w14:ligatures w14:val="none"/>
    </w:rPr>
  </w:style>
  <w:style w:type="character" w:styleId="Emphasis">
    <w:name w:val="Emphasis"/>
    <w:basedOn w:val="DefaultParagraphFont"/>
    <w:uiPriority w:val="20"/>
    <w:qFormat/>
    <w:rsid w:val="0015314D"/>
    <w:rPr>
      <w:i/>
      <w:iCs/>
    </w:rPr>
  </w:style>
  <w:style w:type="character" w:customStyle="1" w:styleId="normaltextrun">
    <w:name w:val="normaltextrun"/>
    <w:basedOn w:val="DefaultParagraphFont"/>
    <w:rsid w:val="00EA181A"/>
  </w:style>
  <w:style w:type="character" w:customStyle="1" w:styleId="findhit">
    <w:name w:val="findhit"/>
    <w:basedOn w:val="DefaultParagraphFont"/>
    <w:rsid w:val="00EA181A"/>
  </w:style>
  <w:style w:type="character" w:customStyle="1" w:styleId="eop">
    <w:name w:val="eop"/>
    <w:basedOn w:val="DefaultParagraphFont"/>
    <w:rsid w:val="00EA181A"/>
  </w:style>
  <w:style w:type="paragraph" w:styleId="Revision">
    <w:name w:val="Revision"/>
    <w:hidden/>
    <w:uiPriority w:val="99"/>
    <w:semiHidden/>
    <w:rsid w:val="00C944E2"/>
    <w:pPr>
      <w:spacing w:after="0" w:line="240" w:lineRule="auto"/>
    </w:pPr>
    <w:rPr>
      <w:rFonts w:ascii="Courier" w:eastAsia="Times New Roman" w:hAnsi="Courier" w:cs="Times New Roman"/>
      <w:kern w:val="0"/>
      <w:sz w:val="20"/>
      <w:szCs w:val="24"/>
      <w14:ligatures w14:val="none"/>
    </w:rPr>
  </w:style>
  <w:style w:type="character" w:styleId="UnresolvedMention">
    <w:name w:val="Unresolved Mention"/>
    <w:basedOn w:val="DefaultParagraphFont"/>
    <w:uiPriority w:val="99"/>
    <w:semiHidden/>
    <w:unhideWhenUsed/>
    <w:rsid w:val="00DC4535"/>
    <w:rPr>
      <w:color w:val="605E5C"/>
      <w:shd w:val="clear" w:color="auto" w:fill="E1DFDD"/>
    </w:rPr>
  </w:style>
  <w:style w:type="paragraph" w:styleId="BodyText">
    <w:name w:val="Body Text"/>
    <w:basedOn w:val="Normal"/>
    <w:link w:val="BodyTextChar"/>
    <w:uiPriority w:val="99"/>
    <w:semiHidden/>
    <w:unhideWhenUsed/>
    <w:rsid w:val="007759EC"/>
    <w:pPr>
      <w:spacing w:after="120"/>
    </w:pPr>
  </w:style>
  <w:style w:type="character" w:customStyle="1" w:styleId="BodyTextChar">
    <w:name w:val="Body Text Char"/>
    <w:basedOn w:val="DefaultParagraphFont"/>
    <w:link w:val="BodyText"/>
    <w:uiPriority w:val="99"/>
    <w:semiHidden/>
    <w:rsid w:val="007759EC"/>
    <w:rPr>
      <w:rFonts w:ascii="Courier" w:eastAsia="Times New Roman" w:hAnsi="Courier" w:cs="Times New Roman"/>
      <w:kern w:val="0"/>
      <w:sz w:val="20"/>
      <w:szCs w:val="24"/>
      <w14:ligatures w14:val="none"/>
    </w:rPr>
  </w:style>
  <w:style w:type="paragraph" w:styleId="NormalWeb">
    <w:name w:val="Normal (Web)"/>
    <w:basedOn w:val="Normal"/>
    <w:rsid w:val="0077736D"/>
    <w:pPr>
      <w:widowControl/>
      <w:autoSpaceDE/>
      <w:autoSpaceDN/>
      <w:adjustRightInd/>
      <w:spacing w:before="100" w:beforeAutospacing="1" w:after="100" w:afterAutospacing="1"/>
    </w:pPr>
    <w:rPr>
      <w:rFonts w:ascii="Times New Roman" w:hAnsi="Times New Roman"/>
      <w:sz w:val="24"/>
    </w:rPr>
  </w:style>
  <w:style w:type="character" w:customStyle="1" w:styleId="ui-provider">
    <w:name w:val="ui-provider"/>
    <w:basedOn w:val="DefaultParagraphFont"/>
    <w:rsid w:val="00B01A04"/>
  </w:style>
  <w:style w:type="character" w:styleId="FollowedHyperlink">
    <w:name w:val="FollowedHyperlink"/>
    <w:basedOn w:val="DefaultParagraphFont"/>
    <w:uiPriority w:val="99"/>
    <w:semiHidden/>
    <w:unhideWhenUsed/>
    <w:rsid w:val="00B01A0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govinfo.gov/link/uscode/31/5318" TargetMode="External" /><Relationship Id="rId2" Type="http://schemas.openxmlformats.org/officeDocument/2006/relationships/hyperlink" Target="https://home.treasury.gov/system/files/136/US-Sectoral-Illicit-Finance-Risk-Assessment-Investment-Advisers.pdf" TargetMode="External" /><Relationship Id="rId3" Type="http://schemas.openxmlformats.org/officeDocument/2006/relationships/hyperlink" Target="https://home.treasury.gov/system/files/136/2022-National-Money-Laundering-Risk-Assessment.pdf" TargetMode="External" /><Relationship Id="rId4" Type="http://schemas.openxmlformats.org/officeDocument/2006/relationships/hyperlink" Target="https://www.federalregister.gov/documents/2024/05/21/2024-10738/customer-identification-programs-for-registered-investment-advisers-and-exempt-reporting-adviser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D94D210C4FF7408496B4F181D90B6F" ma:contentTypeVersion="4" ma:contentTypeDescription="Create a new document." ma:contentTypeScope="" ma:versionID="7c45ce8513759880461cabb432c47cd9">
  <xsd:schema xmlns:xsd="http://www.w3.org/2001/XMLSchema" xmlns:xs="http://www.w3.org/2001/XMLSchema" xmlns:p="http://schemas.microsoft.com/office/2006/metadata/properties" xmlns:ns2="4d600419-741d-460b-b6a1-08527ceb2395" xmlns:ns3="91882c98-ad7c-457b-bb99-16138be0c2aa" targetNamespace="http://schemas.microsoft.com/office/2006/metadata/properties" ma:root="true" ma:fieldsID="a135e2d35d68894ca24f3da3810e7a0d" ns2:_="" ns3:_="">
    <xsd:import namespace="4d600419-741d-460b-b6a1-08527ceb2395"/>
    <xsd:import namespace="91882c98-ad7c-457b-bb99-16138be0c2aa"/>
    <xsd:element name="properties">
      <xsd:complexType>
        <xsd:sequence>
          <xsd:element name="documentManagement">
            <xsd:complexType>
              <xsd:all>
                <xsd:element ref="ns2:Category" minOccurs="0"/>
                <xsd:element ref="ns2:DocID" minOccurs="0"/>
                <xsd:element ref="ns2:Case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600419-741d-460b-b6a1-08527ceb2395"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Choice">
          <xsd:enumeration value="Final"/>
          <xsd:enumeration value="Draft"/>
          <xsd:enumeration value="IC"/>
        </xsd:restriction>
      </xsd:simpleType>
    </xsd:element>
    <xsd:element name="DocID" ma:index="9" nillable="true" ma:displayName="DocID" ma:internalName="DocID">
      <xsd:simpleType>
        <xsd:restriction base="dms:Text"/>
      </xsd:simpleType>
    </xsd:element>
    <xsd:element name="CaseID" ma:index="10" nillable="true" ma:displayName="CaseID" ma:internalName="Case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882c98-ad7c-457b-bb99-16138be0c2a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CaseID xmlns="4d600419-741d-460b-b6a1-08527ceb2395">20245-TFI-6300</CaseID>
    <Category xmlns="4d600419-741d-460b-b6a1-08527ceb2395">Final</Category>
    <DocID xmlns="4d600419-741d-460b-b6a1-08527ceb2395">d86f4a77-abb1-4705-93bc-49a70331d0b4</DocID>
    <SharedWithUsers xmlns="91882c98-ad7c-457b-bb99-16138be0c2aa">
      <UserInfo>
        <DisplayName>Elliott, April</DisplayName>
        <AccountId>4850</AccountId>
        <AccountType/>
      </UserInfo>
    </SharedWithUsers>
  </documentManagement>
</p:properties>
</file>

<file path=customXml/itemProps1.xml><?xml version="1.0" encoding="utf-8"?>
<ds:datastoreItem xmlns:ds="http://schemas.openxmlformats.org/officeDocument/2006/customXml" ds:itemID="{1A14476D-3A6B-46B7-BD23-0BD785B72F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600419-741d-460b-b6a1-08527ceb2395"/>
    <ds:schemaRef ds:uri="91882c98-ad7c-457b-bb99-16138be0c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BFFA15-60FF-48A1-9172-348625C2E1E5}">
  <ds:schemaRefs>
    <ds:schemaRef ds:uri="http://schemas.microsoft.com/sharepoint/v3/contenttype/forms"/>
  </ds:schemaRefs>
</ds:datastoreItem>
</file>

<file path=customXml/itemProps3.xml><?xml version="1.0" encoding="utf-8"?>
<ds:datastoreItem xmlns:ds="http://schemas.openxmlformats.org/officeDocument/2006/customXml" ds:itemID="{25A4B224-B105-47BC-9021-61A2373A9591}">
  <ds:schemaRefs>
    <ds:schemaRef ds:uri="http://schemas.openxmlformats.org/officeDocument/2006/bibliography"/>
  </ds:schemaRefs>
</ds:datastoreItem>
</file>

<file path=customXml/itemProps4.xml><?xml version="1.0" encoding="utf-8"?>
<ds:datastoreItem xmlns:ds="http://schemas.openxmlformats.org/officeDocument/2006/customXml" ds:itemID="{4842930C-C0D1-46CF-9046-87EC9215D303}">
  <ds:schemaRefs>
    <ds:schemaRef ds:uri="http://schemas.microsoft.com/office/2006/metadata/properties"/>
    <ds:schemaRef ds:uri="http://schemas.microsoft.com/office/infopath/2007/PartnerControls"/>
    <ds:schemaRef ds:uri="4d600419-741d-460b-b6a1-08527ceb2395"/>
    <ds:schemaRef ds:uri="91882c98-ad7c-457b-bb99-16138be0c2a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2741</Words>
  <Characters>15625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FinCEN</Company>
  <LinksUpToDate>false</LinksUpToDate>
  <CharactersWithSpaces>18330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Mizzi, Shannon</dc:creator>
  <cp:lastModifiedBy>Clark, Spencer</cp:lastModifiedBy>
  <cp:revision>2</cp:revision>
  <dcterms:created xsi:type="dcterms:W3CDTF">2024-06-12T20:24:00Z</dcterms:created>
  <dcterms:modified xsi:type="dcterms:W3CDTF">2024-06-12T20:24:00Z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0x01010079D94D210C4FF7408496B4F181D90B6F</vt:lpwstr>
  </property>
  <property fmtid="{D5CDD505-2E9C-101B-9397-08002B2CF9AE}" pid="3" name="_dlc_DocId">
    <vt:lpwstr>DOTFI-1213743947-4215</vt:lpwstr>
  </property>
  <property fmtid="{D5CDD505-2E9C-101B-9397-08002B2CF9AE}" pid="4" name="_dlc_DocIdItemGuid">
    <vt:lpwstr>05dde963-ea25-48e1-8965-830019911267</vt:lpwstr>
  </property>
  <property fmtid="{D5CDD505-2E9C-101B-9397-08002B2CF9AE}" pid="5" name="_dlc_DocIdUrl">
    <vt:lpwstr>https://my.treasury.gov/Collab/TFI/tficollaboration/tffc/_layouts/15/DocIdRedir.aspx?ID=DOTFI-1213743947-4215, DOTFI-1213743947-4215</vt:lpwstr>
  </property>
</Properties>
</file>