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33BA" w:rsidRPr="003420FC" w:rsidP="00406BA2" w14:paraId="4FAB12ED" w14:textId="77777777">
      <w:pPr>
        <w:pStyle w:val="PlainText"/>
        <w:jc w:val="center"/>
        <w:rPr>
          <w:rFonts w:ascii="Times New Roman" w:eastAsia="MS Mincho" w:hAnsi="Times New Roman" w:cs="Times New Roman"/>
          <w:sz w:val="24"/>
          <w:u w:val="single"/>
        </w:rPr>
      </w:pPr>
      <w:r w:rsidRPr="003420FC">
        <w:rPr>
          <w:rFonts w:ascii="Times New Roman" w:eastAsia="MS Mincho" w:hAnsi="Times New Roman" w:cs="Times New Roman"/>
          <w:sz w:val="24"/>
          <w:u w:val="single"/>
        </w:rPr>
        <w:t>Supporting Statement</w:t>
      </w:r>
    </w:p>
    <w:p w:rsidR="005A33BA" w:rsidRPr="003420FC" w:rsidP="00406BA2" w14:paraId="7101ED07" w14:textId="734F9766">
      <w:pPr>
        <w:pStyle w:val="PlainText"/>
        <w:jc w:val="center"/>
        <w:rPr>
          <w:rFonts w:ascii="Times New Roman" w:eastAsia="MS Mincho" w:hAnsi="Times New Roman" w:cs="Times New Roman"/>
          <w:sz w:val="24"/>
          <w:u w:val="single"/>
        </w:rPr>
      </w:pPr>
      <w:r w:rsidRPr="003420FC">
        <w:rPr>
          <w:rFonts w:ascii="Times New Roman" w:eastAsia="MS Mincho" w:hAnsi="Times New Roman" w:cs="Times New Roman"/>
          <w:sz w:val="24"/>
          <w:u w:val="single"/>
        </w:rPr>
        <w:t xml:space="preserve">OMB </w:t>
      </w:r>
      <w:r w:rsidRPr="003420FC">
        <w:rPr>
          <w:rFonts w:ascii="Times New Roman" w:eastAsia="MS Mincho" w:hAnsi="Times New Roman" w:cs="Times New Roman"/>
          <w:sz w:val="24"/>
          <w:u w:val="single"/>
        </w:rPr>
        <w:t>Control Number 1506-00</w:t>
      </w:r>
      <w:r w:rsidRPr="003420FC" w:rsidR="00373BF6">
        <w:rPr>
          <w:rFonts w:ascii="Times New Roman" w:eastAsia="MS Mincho" w:hAnsi="Times New Roman" w:cs="Times New Roman"/>
          <w:sz w:val="24"/>
          <w:u w:val="single"/>
        </w:rPr>
        <w:t>20</w:t>
      </w:r>
    </w:p>
    <w:p w:rsidR="005A33BA" w:rsidRPr="003420FC" w:rsidP="00217303" w14:paraId="71EF2B10" w14:textId="77777777">
      <w:pPr>
        <w:pStyle w:val="PlainText"/>
        <w:rPr>
          <w:rFonts w:ascii="Times New Roman" w:eastAsia="MS Mincho" w:hAnsi="Times New Roman" w:cs="Times New Roman"/>
          <w:sz w:val="24"/>
        </w:rPr>
      </w:pPr>
    </w:p>
    <w:p w:rsidR="007A24B0" w:rsidRPr="003420FC" w:rsidP="00F041A6" w14:paraId="7F53F906" w14:textId="7D088A86">
      <w:pPr>
        <w:pStyle w:val="PlainText"/>
        <w:ind w:right="270"/>
        <w:rPr>
          <w:rFonts w:ascii="Times New Roman" w:eastAsia="MS Mincho" w:hAnsi="Times New Roman" w:cs="Times New Roman"/>
          <w:bCs/>
          <w:sz w:val="24"/>
          <w:u w:val="single"/>
        </w:rPr>
      </w:pPr>
      <w:r w:rsidRPr="003420FC">
        <w:rPr>
          <w:rFonts w:ascii="Times New Roman" w:eastAsia="MS Mincho" w:hAnsi="Times New Roman" w:cs="Times New Roman"/>
          <w:bCs/>
          <w:sz w:val="24"/>
          <w:u w:val="single"/>
        </w:rPr>
        <w:t xml:space="preserve">Anti-Money Laundering Programs for </w:t>
      </w:r>
      <w:r w:rsidRPr="003420FC" w:rsidR="00373BF6">
        <w:rPr>
          <w:rFonts w:ascii="Times New Roman" w:eastAsia="MS Mincho" w:hAnsi="Times New Roman" w:cs="Times New Roman"/>
          <w:bCs/>
          <w:sz w:val="24"/>
          <w:u w:val="single"/>
        </w:rPr>
        <w:t>Money Services Businesses, Mutual Funds, and Operators of Credit Card Systems</w:t>
      </w:r>
    </w:p>
    <w:p w:rsidR="005A33BA" w:rsidRPr="003420FC" w:rsidP="00217303" w14:paraId="538550E4" w14:textId="77777777">
      <w:pPr>
        <w:pStyle w:val="PlainText"/>
        <w:ind w:right="270"/>
        <w:rPr>
          <w:rFonts w:ascii="Times New Roman" w:eastAsia="MS Mincho" w:hAnsi="Times New Roman" w:cs="Times New Roman"/>
          <w:bCs/>
          <w:sz w:val="24"/>
        </w:rPr>
      </w:pPr>
    </w:p>
    <w:p w:rsidR="00CC2569" w:rsidRPr="003420FC" w:rsidP="00217303" w14:paraId="3C7D2274" w14:textId="77777777">
      <w:pPr>
        <w:pStyle w:val="PlainText"/>
        <w:rPr>
          <w:rFonts w:ascii="Times New Roman" w:eastAsia="MS Mincho" w:hAnsi="Times New Roman" w:cs="Times New Roman"/>
          <w:sz w:val="24"/>
        </w:rPr>
      </w:pPr>
      <w:r w:rsidRPr="003420FC">
        <w:rPr>
          <w:rFonts w:ascii="Times New Roman" w:eastAsia="MS Mincho" w:hAnsi="Times New Roman" w:cs="Times New Roman"/>
          <w:sz w:val="24"/>
        </w:rPr>
        <w:t xml:space="preserve">1. </w:t>
      </w:r>
      <w:r w:rsidRPr="003420FC" w:rsidR="00667451">
        <w:rPr>
          <w:rFonts w:ascii="Times New Roman" w:hAnsi="Times New Roman" w:cs="Times New Roman"/>
          <w:sz w:val="24"/>
          <w:szCs w:val="22"/>
          <w:u w:val="single"/>
        </w:rPr>
        <w:t>Circumstances n</w:t>
      </w:r>
      <w:r w:rsidRPr="003420FC" w:rsidR="009C4404">
        <w:rPr>
          <w:rFonts w:ascii="Times New Roman" w:hAnsi="Times New Roman" w:cs="Times New Roman"/>
          <w:sz w:val="24"/>
          <w:szCs w:val="22"/>
          <w:u w:val="single"/>
        </w:rPr>
        <w:t>ecessitating collection of information.</w:t>
      </w:r>
      <w:r w:rsidRPr="003420FC" w:rsidR="009C4404">
        <w:rPr>
          <w:rFonts w:ascii="Times New Roman" w:eastAsia="MS Mincho" w:hAnsi="Times New Roman" w:cs="Times New Roman"/>
          <w:sz w:val="24"/>
        </w:rPr>
        <w:tab/>
      </w:r>
    </w:p>
    <w:p w:rsidR="00CC2569" w:rsidRPr="003420FC" w:rsidP="00217303" w14:paraId="279F9E00" w14:textId="77777777">
      <w:pPr>
        <w:pStyle w:val="PlainText"/>
        <w:rPr>
          <w:rFonts w:ascii="Times New Roman" w:eastAsia="MS Mincho" w:hAnsi="Times New Roman" w:cs="Times New Roman"/>
          <w:sz w:val="24"/>
        </w:rPr>
      </w:pPr>
    </w:p>
    <w:p w:rsidR="00C2785E" w:rsidRPr="00CD4AE1" w:rsidP="00C2785E" w14:paraId="6DBD9542" w14:textId="75C13863">
      <w:pPr>
        <w:pStyle w:val="BodyTextIndent"/>
        <w:spacing w:after="0"/>
        <w:ind w:left="0" w:firstLine="720"/>
      </w:pPr>
      <w:r w:rsidRPr="00CD4AE1">
        <w:t>The legislative framework generally referred to as the Bank Secrecy Act (BSA) consists of the Currency and Foreign Transactions Reporting Act of 1970, as amended by the Uniting and Strengthening America by Providing Appropriate Tools Required to Intercept and Obstruct Terrorism Act of 2001 (USA PATRIOT Act)</w:t>
      </w:r>
      <w:r>
        <w:rPr>
          <w:rStyle w:val="FootnoteReference"/>
        </w:rPr>
        <w:footnoteReference w:id="2"/>
      </w:r>
      <w:r w:rsidRPr="00CD4AE1">
        <w:t xml:space="preserve"> and other legislation, including the </w:t>
      </w:r>
      <w:r w:rsidR="000742E5">
        <w:t>Anti-Money Laundering Act of 2020 (</w:t>
      </w:r>
      <w:r w:rsidRPr="00CD4AE1">
        <w:t>AML Act</w:t>
      </w:r>
      <w:r w:rsidR="000742E5">
        <w:t>)</w:t>
      </w:r>
      <w:r w:rsidRPr="00CD4AE1">
        <w:t>.</w:t>
      </w:r>
      <w:r>
        <w:rPr>
          <w:rStyle w:val="FootnoteReference"/>
        </w:rPr>
        <w:footnoteReference w:id="3"/>
      </w:r>
      <w:r w:rsidRPr="00CD4AE1">
        <w:t xml:space="preserve">  The BSA is codified at 12 U.S.C. 1829b</w:t>
      </w:r>
      <w:r>
        <w:t xml:space="preserve"> and </w:t>
      </w:r>
      <w:r w:rsidRPr="00CD4AE1">
        <w:t xml:space="preserve">1951–1960 and 31 U.S.C. 5311–5314 and 5316–5336, and notes thereto, with implementing regulations at 31 CFR Chapter X.   </w:t>
      </w:r>
    </w:p>
    <w:p w:rsidR="00C2785E" w:rsidP="00C2785E" w14:paraId="1D14057B" w14:textId="77777777"/>
    <w:p w:rsidR="00C2785E" w:rsidRPr="00CD4AE1" w:rsidP="00C2785E" w14:paraId="242306F1" w14:textId="77777777">
      <w:pPr>
        <w:ind w:firstLine="720"/>
      </w:pPr>
      <w:r w:rsidRPr="00CD4AE1">
        <w:t>The BSA authorizes the Secretary of the Treasury (Secretary)</w:t>
      </w:r>
      <w:r>
        <w:t xml:space="preserve"> to</w:t>
      </w:r>
      <w:r w:rsidRPr="00CD4AE1">
        <w:t xml:space="preserve">, </w:t>
      </w:r>
      <w:r w:rsidRPr="00037491">
        <w:rPr>
          <w:i/>
        </w:rPr>
        <w:t>inter alia</w:t>
      </w:r>
      <w:r w:rsidRPr="00CD4AE1">
        <w:t>, require financial institutions to keep records and file reports that are determined to have a high degree of usefulness in criminal, tax, or regulatory matters, risk assessments or proceedings, or in the conduct of intelligence or counter-intelligence activities to protect against terrorism, and to implement</w:t>
      </w:r>
      <w:r>
        <w:t xml:space="preserve"> anti-money laundering/countering the financing of terrorism</w:t>
      </w:r>
      <w:r w:rsidRPr="00CD4AE1">
        <w:t xml:space="preserve"> </w:t>
      </w:r>
      <w:r>
        <w:t>(</w:t>
      </w:r>
      <w:r w:rsidRPr="00CD4AE1">
        <w:t>AML</w:t>
      </w:r>
      <w:r>
        <w:t>/CFT)</w:t>
      </w:r>
      <w:r w:rsidRPr="00CD4AE1">
        <w:t xml:space="preserve"> programs and compliance procedures.</w:t>
      </w:r>
      <w:r>
        <w:rPr>
          <w:rStyle w:val="FootnoteReference"/>
        </w:rPr>
        <w:footnoteReference w:id="4"/>
      </w:r>
      <w:r w:rsidRPr="00CD4AE1">
        <w:t xml:space="preserve">  The authority of the Secretary to administer the BSA has been delegated to the Director of FinCEN.</w:t>
      </w:r>
      <w:r>
        <w:rPr>
          <w:rStyle w:val="FootnoteReference"/>
        </w:rPr>
        <w:footnoteReference w:id="5"/>
      </w:r>
    </w:p>
    <w:p w:rsidR="00C2785E" w:rsidP="00C2785E" w14:paraId="6ECE1B6C" w14:textId="77777777">
      <w:pPr>
        <w:pStyle w:val="PlainText"/>
        <w:ind w:firstLine="720"/>
        <w:rPr>
          <w:rFonts w:ascii="Times New Roman" w:hAnsi="Times New Roman" w:cs="Times New Roman"/>
          <w:sz w:val="24"/>
          <w:szCs w:val="24"/>
        </w:rPr>
      </w:pPr>
    </w:p>
    <w:p w:rsidR="00C2785E" w:rsidP="00C2785E" w14:paraId="73FEF033" w14:textId="67A37D77">
      <w:pPr>
        <w:pStyle w:val="PlainText"/>
        <w:ind w:firstLine="720"/>
        <w:rPr>
          <w:rFonts w:ascii="Times New Roman" w:hAnsi="Times New Roman"/>
          <w:sz w:val="24"/>
        </w:rPr>
      </w:pPr>
      <w:r w:rsidRPr="00547A4A">
        <w:rPr>
          <w:rFonts w:ascii="Times New Roman" w:eastAsia="MS Mincho" w:hAnsi="Times New Roman" w:cs="Times New Roman"/>
          <w:sz w:val="24"/>
        </w:rPr>
        <w:t>31 U.S.C.</w:t>
      </w:r>
      <w:r>
        <w:rPr>
          <w:rFonts w:ascii="Times New Roman" w:eastAsia="MS Mincho" w:hAnsi="Times New Roman" w:cs="Times New Roman"/>
          <w:sz w:val="24"/>
        </w:rPr>
        <w:t xml:space="preserve"> 5318(h)(1) of the BSA mandates that financial institutions establish </w:t>
      </w:r>
      <w:r w:rsidRPr="00E878AD">
        <w:rPr>
          <w:rFonts w:ascii="Times New Roman" w:eastAsia="MS Mincho" w:hAnsi="Times New Roman" w:cs="Times New Roman"/>
          <w:sz w:val="24"/>
        </w:rPr>
        <w:t>AML/CFT programs to guard against money laundering and the financing of terrorism</w:t>
      </w:r>
      <w:r>
        <w:rPr>
          <w:rFonts w:ascii="Times New Roman" w:eastAsia="MS Mincho" w:hAnsi="Times New Roman" w:cs="Times New Roman"/>
          <w:sz w:val="24"/>
        </w:rPr>
        <w:t>.</w:t>
      </w:r>
      <w:r>
        <w:rPr>
          <w:rStyle w:val="FootnoteReference"/>
          <w:rFonts w:ascii="Times New Roman" w:hAnsi="Times New Roman"/>
          <w:sz w:val="24"/>
        </w:rPr>
        <w:footnoteReference w:id="6"/>
      </w:r>
      <w:r>
        <w:rPr>
          <w:rFonts w:ascii="Times New Roman" w:hAnsi="Times New Roman"/>
          <w:sz w:val="24"/>
        </w:rPr>
        <w:t xml:space="preserve">  Such programs must include, at a minimum: (a) </w:t>
      </w:r>
      <w:r>
        <w:rPr>
          <w:rFonts w:ascii="Times New Roman" w:hAnsi="Times New Roman"/>
          <w:sz w:val="24"/>
        </w:rPr>
        <w:t xml:space="preserve">the </w:t>
      </w:r>
      <w:r>
        <w:rPr>
          <w:rFonts w:ascii="Times New Roman" w:hAnsi="Times New Roman"/>
          <w:sz w:val="24"/>
        </w:rPr>
        <w:t xml:space="preserve">development of internal policies, procedures, and controls, (b) </w:t>
      </w:r>
      <w:r>
        <w:rPr>
          <w:rFonts w:ascii="Times New Roman" w:hAnsi="Times New Roman"/>
          <w:sz w:val="24"/>
        </w:rPr>
        <w:t xml:space="preserve">the </w:t>
      </w:r>
      <w:r>
        <w:rPr>
          <w:rFonts w:ascii="Times New Roman" w:hAnsi="Times New Roman"/>
          <w:sz w:val="24"/>
        </w:rPr>
        <w:t>designation of a compliance officer, (c) an ongoing employee training program, and (d) an independent audit function to test programs.</w:t>
      </w:r>
      <w:r>
        <w:rPr>
          <w:rStyle w:val="FootnoteReference"/>
          <w:rFonts w:ascii="Times New Roman" w:hAnsi="Times New Roman"/>
          <w:sz w:val="24"/>
        </w:rPr>
        <w:footnoteReference w:id="7"/>
      </w:r>
      <w:r>
        <w:rPr>
          <w:rFonts w:ascii="Times New Roman" w:hAnsi="Times New Roman"/>
          <w:sz w:val="24"/>
        </w:rPr>
        <w:t xml:space="preserve">  </w:t>
      </w:r>
      <w:r w:rsidRPr="00DF7D21">
        <w:rPr>
          <w:rFonts w:ascii="Times New Roman" w:hAnsi="Times New Roman"/>
          <w:sz w:val="24"/>
        </w:rPr>
        <w:t>Pursuant to 31 U.S.C. 5318(h)</w:t>
      </w:r>
      <w:r>
        <w:rPr>
          <w:rFonts w:ascii="Times New Roman" w:hAnsi="Times New Roman"/>
          <w:sz w:val="24"/>
        </w:rPr>
        <w:t>(2)</w:t>
      </w:r>
      <w:r w:rsidRPr="00DF7D21">
        <w:rPr>
          <w:rFonts w:ascii="Times New Roman" w:hAnsi="Times New Roman"/>
          <w:sz w:val="24"/>
        </w:rPr>
        <w:t xml:space="preserve">, FinCEN issued regulations requiring banks lacking a Federal functional regulator (31 CFR 1020.210(b)), </w:t>
      </w:r>
      <w:r w:rsidRPr="00DF7D21">
        <w:rPr>
          <w:rFonts w:ascii="Times New Roman" w:eastAsia="MS Mincho" w:hAnsi="Times New Roman" w:cs="Times New Roman"/>
          <w:sz w:val="24"/>
        </w:rPr>
        <w:t xml:space="preserve">money services businesses (MSBs) (31 CFR 1022.210), mutual funds (31 CFR 1024.210), insurance companies (31 CFR </w:t>
      </w:r>
      <w:r w:rsidRPr="00DF7D21">
        <w:rPr>
          <w:rFonts w:ascii="Times New Roman" w:eastAsia="MS Mincho" w:hAnsi="Times New Roman" w:cs="Times New Roman"/>
          <w:sz w:val="24"/>
        </w:rPr>
        <w:t>1025.210), dealers in precious metals, precious stones, or jewels (31 CFR 1027.210), operators of credit card systems (31 CFR 1028.210), and loan or finance companies (31 C</w:t>
      </w:r>
      <w:r>
        <w:rPr>
          <w:rFonts w:ascii="Times New Roman" w:eastAsia="MS Mincho" w:hAnsi="Times New Roman" w:cs="Times New Roman"/>
          <w:sz w:val="24"/>
        </w:rPr>
        <w:t>F</w:t>
      </w:r>
      <w:r w:rsidRPr="00DF7D21">
        <w:rPr>
          <w:rFonts w:ascii="Times New Roman" w:eastAsia="MS Mincho" w:hAnsi="Times New Roman" w:cs="Times New Roman"/>
          <w:sz w:val="24"/>
        </w:rPr>
        <w:t xml:space="preserve">R 1029.210) </w:t>
      </w:r>
      <w:r w:rsidRPr="00DF7D21">
        <w:rPr>
          <w:rFonts w:ascii="Times New Roman" w:hAnsi="Times New Roman"/>
          <w:sz w:val="24"/>
        </w:rPr>
        <w:t>to develop and implement written AML programs</w:t>
      </w:r>
      <w:r>
        <w:rPr>
          <w:rFonts w:ascii="Times New Roman" w:hAnsi="Times New Roman"/>
          <w:sz w:val="24"/>
        </w:rPr>
        <w:t>.</w:t>
      </w:r>
      <w:r w:rsidR="00332B58">
        <w:rPr>
          <w:rFonts w:ascii="Times New Roman" w:hAnsi="Times New Roman"/>
          <w:sz w:val="24"/>
        </w:rPr>
        <w:t xml:space="preserve">  This supporting statement covers the AML program requirements for MSBs, mutual funds, and operators of credit card systems. </w:t>
      </w:r>
    </w:p>
    <w:p w:rsidR="00E53938" w:rsidRPr="003420FC" w:rsidP="00217303" w14:paraId="390FC219" w14:textId="77777777">
      <w:r w:rsidRPr="003420FC">
        <w:t xml:space="preserve">         </w:t>
      </w:r>
    </w:p>
    <w:p w:rsidR="00CC2569" w:rsidRPr="003420FC" w:rsidP="00217303" w14:paraId="2C96195E" w14:textId="77777777">
      <w:r w:rsidRPr="003420FC">
        <w:t xml:space="preserve">2. </w:t>
      </w:r>
      <w:r w:rsidRPr="003420FC" w:rsidR="009C4404">
        <w:rPr>
          <w:u w:val="single"/>
        </w:rPr>
        <w:t>Method of collection and use of data.</w:t>
      </w:r>
      <w:r w:rsidRPr="003420FC" w:rsidR="009C4404">
        <w:t xml:space="preserve"> </w:t>
      </w:r>
    </w:p>
    <w:p w:rsidR="00CC2569" w:rsidRPr="003420FC" w:rsidP="00217303" w14:paraId="1557EE4A" w14:textId="77777777">
      <w:pPr>
        <w:widowControl w:val="0"/>
        <w:autoSpaceDE w:val="0"/>
        <w:autoSpaceDN w:val="0"/>
        <w:adjustRightInd w:val="0"/>
        <w:spacing w:line="244" w:lineRule="exact"/>
        <w:ind w:firstLine="715"/>
      </w:pPr>
    </w:p>
    <w:p w:rsidR="00CC2569" w:rsidRPr="003420FC" w:rsidP="001218BB" w14:paraId="695D36C4" w14:textId="1CB95CC5">
      <w:pPr>
        <w:pStyle w:val="BodyTextIndent"/>
        <w:ind w:left="0" w:firstLine="720"/>
      </w:pPr>
      <w:r w:rsidRPr="003420FC">
        <w:t>AML</w:t>
      </w:r>
      <w:r w:rsidRPr="003420FC">
        <w:t xml:space="preserve"> program</w:t>
      </w:r>
      <w:r w:rsidRPr="003420FC" w:rsidR="000C1837">
        <w:t>s</w:t>
      </w:r>
      <w:r w:rsidRPr="003420FC">
        <w:t xml:space="preserve"> </w:t>
      </w:r>
      <w:r w:rsidRPr="003420FC" w:rsidR="000C1837">
        <w:t xml:space="preserve">help to ensure that </w:t>
      </w:r>
      <w:r w:rsidRPr="003420FC" w:rsidR="00373BF6">
        <w:t>MSBs, mutual funds, and operators of credit card systems</w:t>
      </w:r>
      <w:r w:rsidRPr="003420FC" w:rsidR="00DC75C5">
        <w:t xml:space="preserve"> </w:t>
      </w:r>
      <w:r w:rsidR="000D08C5">
        <w:t xml:space="preserve">comply with </w:t>
      </w:r>
      <w:r w:rsidR="00D20AAE">
        <w:t>the BSA</w:t>
      </w:r>
      <w:r w:rsidR="00957324">
        <w:t>, including requirements related to retention and maintenance of</w:t>
      </w:r>
      <w:r w:rsidR="00011168">
        <w:t xml:space="preserve"> reports and</w:t>
      </w:r>
      <w:r w:rsidR="00957324">
        <w:t xml:space="preserve"> records,</w:t>
      </w:r>
      <w:r w:rsidR="00D20AAE">
        <w:t xml:space="preserve"> and</w:t>
      </w:r>
      <w:r w:rsidR="000D08C5">
        <w:t xml:space="preserve"> ensure</w:t>
      </w:r>
      <w:r w:rsidR="00D20AAE">
        <w:t xml:space="preserve"> that such institutions are not used to facilitate money laundering or terrorist financing.  </w:t>
      </w:r>
      <w:r w:rsidR="009B2F74">
        <w:rPr>
          <w:rFonts w:eastAsia="MS Mincho"/>
        </w:rPr>
        <w:t>These requirements will assist law enforcement in financial investigations, protect against terrorism and strengthen national security, improve financial institutions’ ability to assess and mitigate risk, help prevent evasion of financial sanctions, facilitate tax compliance, enhance financial transparency of legal entities, and advance U.S. compliance with international standards and commitments.</w:t>
      </w:r>
      <w:r w:rsidR="009B2F74">
        <w:t xml:space="preserve">  Compliance with these requirements will be reviewed by Federal agencies during BSA examinations.</w:t>
      </w:r>
    </w:p>
    <w:p w:rsidR="00CC2569" w:rsidRPr="003420FC" w:rsidP="00217303" w14:paraId="380AEBA6" w14:textId="77777777">
      <w:pPr>
        <w:spacing w:before="273"/>
        <w:rPr>
          <w:szCs w:val="22"/>
        </w:rPr>
      </w:pPr>
      <w:r w:rsidRPr="003420FC">
        <w:rPr>
          <w:szCs w:val="22"/>
        </w:rPr>
        <w:t xml:space="preserve">3. </w:t>
      </w:r>
      <w:r w:rsidRPr="003420FC" w:rsidR="009E0A49">
        <w:rPr>
          <w:szCs w:val="22"/>
          <w:u w:val="single"/>
        </w:rPr>
        <w:t>Use of improved information technology to reduce burden.</w:t>
      </w:r>
      <w:r w:rsidRPr="003420FC" w:rsidR="009E0A49">
        <w:rPr>
          <w:szCs w:val="22"/>
        </w:rPr>
        <w:t xml:space="preserve"> </w:t>
      </w:r>
    </w:p>
    <w:p w:rsidR="00CC2569" w:rsidRPr="003420FC" w:rsidP="00217303" w14:paraId="15FF0F1B" w14:textId="0E28AB7D">
      <w:pPr>
        <w:spacing w:before="273"/>
        <w:ind w:firstLine="720"/>
        <w:rPr>
          <w:szCs w:val="22"/>
        </w:rPr>
      </w:pPr>
      <w:r>
        <w:rPr>
          <w:szCs w:val="22"/>
        </w:rPr>
        <w:t>MSBs, mutual funds, and operators of credit card systems</w:t>
      </w:r>
      <w:r w:rsidRPr="003420FC">
        <w:rPr>
          <w:szCs w:val="22"/>
        </w:rPr>
        <w:t xml:space="preserve"> </w:t>
      </w:r>
      <w:r w:rsidRPr="003420FC">
        <w:rPr>
          <w:szCs w:val="22"/>
        </w:rPr>
        <w:t xml:space="preserve">are permitted to automate their </w:t>
      </w:r>
      <w:r w:rsidRPr="003420FC" w:rsidR="006A05AD">
        <w:rPr>
          <w:szCs w:val="22"/>
        </w:rPr>
        <w:t>AML</w:t>
      </w:r>
      <w:r w:rsidRPr="003420FC">
        <w:rPr>
          <w:szCs w:val="22"/>
        </w:rPr>
        <w:t xml:space="preserve"> program to meet their requirements.  There is no specific government mandate to do so.  </w:t>
      </w:r>
    </w:p>
    <w:p w:rsidR="00CC2569" w:rsidRPr="003420FC" w:rsidP="00217303" w14:paraId="74F34371" w14:textId="77777777">
      <w:pPr>
        <w:spacing w:before="283"/>
        <w:rPr>
          <w:szCs w:val="22"/>
          <w:u w:val="single"/>
        </w:rPr>
      </w:pPr>
      <w:r w:rsidRPr="003420FC">
        <w:rPr>
          <w:szCs w:val="22"/>
        </w:rPr>
        <w:t xml:space="preserve">4. </w:t>
      </w:r>
      <w:r w:rsidRPr="003420FC" w:rsidR="009E0A49">
        <w:rPr>
          <w:szCs w:val="22"/>
          <w:u w:val="single"/>
        </w:rPr>
        <w:t xml:space="preserve">Efforts to identify duplication. </w:t>
      </w:r>
    </w:p>
    <w:p w:rsidR="00CC2569" w:rsidRPr="003420FC" w:rsidP="00217303" w14:paraId="336F2E94" w14:textId="178E9BDB">
      <w:pPr>
        <w:spacing w:before="283"/>
        <w:ind w:firstLine="720"/>
        <w:rPr>
          <w:szCs w:val="22"/>
        </w:rPr>
      </w:pPr>
      <w:r w:rsidRPr="003420FC">
        <w:rPr>
          <w:szCs w:val="22"/>
        </w:rPr>
        <w:t>There is no similar information available; thus</w:t>
      </w:r>
      <w:r w:rsidR="004077AE">
        <w:rPr>
          <w:szCs w:val="22"/>
        </w:rPr>
        <w:t>,</w:t>
      </w:r>
      <w:r w:rsidRPr="003420FC">
        <w:rPr>
          <w:szCs w:val="22"/>
        </w:rPr>
        <w:t xml:space="preserve"> there is no duplication. </w:t>
      </w:r>
    </w:p>
    <w:p w:rsidR="009E0A49" w:rsidRPr="003420FC" w:rsidP="00217303" w14:paraId="4B5AA63A" w14:textId="77777777">
      <w:pPr>
        <w:ind w:firstLine="720"/>
        <w:rPr>
          <w:szCs w:val="22"/>
        </w:rPr>
      </w:pPr>
    </w:p>
    <w:p w:rsidR="00CC2569" w:rsidRPr="003420FC" w:rsidP="00217303" w14:paraId="6FA7DD54" w14:textId="77777777">
      <w:pPr>
        <w:rPr>
          <w:szCs w:val="22"/>
          <w:u w:val="single"/>
        </w:rPr>
      </w:pPr>
      <w:r w:rsidRPr="003420FC">
        <w:rPr>
          <w:szCs w:val="22"/>
        </w:rPr>
        <w:t xml:space="preserve">5. </w:t>
      </w:r>
      <w:r w:rsidRPr="003420FC" w:rsidR="009E0A49">
        <w:rPr>
          <w:szCs w:val="22"/>
          <w:u w:val="single"/>
        </w:rPr>
        <w:t>Methods to minimize burden on small businesses or other small entities.</w:t>
      </w:r>
    </w:p>
    <w:p w:rsidR="009E0A49" w:rsidRPr="003420FC" w:rsidP="00217303" w14:paraId="15E2CCB0" w14:textId="77777777">
      <w:pPr>
        <w:rPr>
          <w:szCs w:val="22"/>
          <w:u w:val="single"/>
        </w:rPr>
      </w:pPr>
    </w:p>
    <w:p w:rsidR="00CC2569" w:rsidRPr="003420FC" w:rsidP="00217303" w14:paraId="38D34871" w14:textId="49479D8C">
      <w:pPr>
        <w:ind w:firstLine="720"/>
        <w:rPr>
          <w:szCs w:val="22"/>
        </w:rPr>
      </w:pPr>
      <w:r>
        <w:rPr>
          <w:szCs w:val="22"/>
        </w:rPr>
        <w:t>MSBs, mutual funds, and operators of credit card systems</w:t>
      </w:r>
      <w:r w:rsidRPr="003420FC">
        <w:rPr>
          <w:szCs w:val="22"/>
        </w:rPr>
        <w:t xml:space="preserve"> are required to document their </w:t>
      </w:r>
      <w:r w:rsidRPr="003420FC" w:rsidR="00111E68">
        <w:rPr>
          <w:szCs w:val="22"/>
        </w:rPr>
        <w:t>AML</w:t>
      </w:r>
      <w:r w:rsidRPr="003420FC">
        <w:rPr>
          <w:szCs w:val="22"/>
        </w:rPr>
        <w:t xml:space="preserve"> program</w:t>
      </w:r>
      <w:r w:rsidRPr="003420FC" w:rsidR="009A2D55">
        <w:rPr>
          <w:szCs w:val="22"/>
        </w:rPr>
        <w:t>s</w:t>
      </w:r>
      <w:r w:rsidRPr="003420FC">
        <w:rPr>
          <w:szCs w:val="22"/>
        </w:rPr>
        <w:t xml:space="preserve"> and are permitted to use the method most suitable to their requirement</w:t>
      </w:r>
      <w:r w:rsidRPr="003420FC" w:rsidR="009A2D55">
        <w:rPr>
          <w:szCs w:val="22"/>
        </w:rPr>
        <w:t>s</w:t>
      </w:r>
      <w:r w:rsidRPr="003420FC">
        <w:rPr>
          <w:szCs w:val="22"/>
        </w:rPr>
        <w:t>.</w:t>
      </w:r>
    </w:p>
    <w:p w:rsidR="009E0A49" w:rsidRPr="003420FC" w:rsidP="00217303" w14:paraId="1C8EDBFD" w14:textId="77777777">
      <w:pPr>
        <w:ind w:firstLine="720"/>
        <w:rPr>
          <w:szCs w:val="22"/>
        </w:rPr>
      </w:pPr>
    </w:p>
    <w:p w:rsidR="009E0A49" w:rsidRPr="003420FC" w:rsidP="00217303" w14:paraId="2F9A3095" w14:textId="77777777">
      <w:pPr>
        <w:rPr>
          <w:szCs w:val="22"/>
        </w:rPr>
      </w:pPr>
      <w:r w:rsidRPr="003420FC">
        <w:rPr>
          <w:szCs w:val="22"/>
        </w:rPr>
        <w:t xml:space="preserve">6. </w:t>
      </w:r>
      <w:r w:rsidRPr="003420FC">
        <w:rPr>
          <w:szCs w:val="22"/>
          <w:u w:val="single"/>
        </w:rPr>
        <w:t xml:space="preserve">Consequences to the </w:t>
      </w:r>
      <w:r w:rsidRPr="003420FC" w:rsidR="00F041A6">
        <w:rPr>
          <w:szCs w:val="22"/>
          <w:u w:val="single"/>
        </w:rPr>
        <w:t xml:space="preserve">Federal </w:t>
      </w:r>
      <w:r w:rsidRPr="003420FC">
        <w:rPr>
          <w:szCs w:val="22"/>
          <w:u w:val="single"/>
        </w:rPr>
        <w:t>government of not collecting the information.</w:t>
      </w:r>
    </w:p>
    <w:p w:rsidR="009E0A49" w:rsidRPr="003420FC" w:rsidP="00217303" w14:paraId="49469C65" w14:textId="777E24E6">
      <w:pPr>
        <w:widowControl w:val="0"/>
        <w:autoSpaceDE w:val="0"/>
        <w:autoSpaceDN w:val="0"/>
        <w:adjustRightInd w:val="0"/>
        <w:spacing w:before="244" w:line="235" w:lineRule="exact"/>
        <w:ind w:firstLine="720"/>
        <w:rPr>
          <w:szCs w:val="22"/>
        </w:rPr>
      </w:pPr>
      <w:r>
        <w:rPr>
          <w:szCs w:val="22"/>
        </w:rPr>
        <w:t xml:space="preserve">A copy of the AML program must be maintained in writing and made </w:t>
      </w:r>
      <w:r>
        <w:t xml:space="preserve">available for inspection to </w:t>
      </w:r>
      <w:r w:rsidR="0004005D">
        <w:t xml:space="preserve">the Department of the Treasury or </w:t>
      </w:r>
      <w:r w:rsidR="00522671">
        <w:t>appropriate regulatory agencies</w:t>
      </w:r>
      <w:r>
        <w:t xml:space="preserve"> upon request.</w:t>
      </w:r>
    </w:p>
    <w:p w:rsidR="009E0A49" w:rsidRPr="003420FC" w:rsidP="00217303" w14:paraId="34EAA77C" w14:textId="77777777">
      <w:pPr>
        <w:ind w:firstLine="720"/>
        <w:rPr>
          <w:szCs w:val="22"/>
        </w:rPr>
      </w:pPr>
    </w:p>
    <w:p w:rsidR="009E0A49" w:rsidRPr="003420FC" w:rsidP="00F041A6" w14:paraId="2927FCE4" w14:textId="77777777">
      <w:r w:rsidRPr="003420FC">
        <w:rPr>
          <w:szCs w:val="22"/>
        </w:rPr>
        <w:t xml:space="preserve">7. </w:t>
      </w:r>
      <w:r w:rsidRPr="003420FC">
        <w:rPr>
          <w:u w:val="single"/>
        </w:rPr>
        <w:t>Special circumstances requiring data collection to be inconsistent with guidelines in 5 CFR 1320.5(d)(2).</w:t>
      </w:r>
      <w:r w:rsidRPr="003420FC">
        <w:t xml:space="preserve">  </w:t>
      </w:r>
    </w:p>
    <w:p w:rsidR="009E0A49" w:rsidRPr="003420FC" w14:paraId="7E1D7D2F" w14:textId="77777777">
      <w:pPr>
        <w:ind w:left="450"/>
      </w:pPr>
    </w:p>
    <w:p w:rsidR="00CC2569" w:rsidRPr="003420FC" w:rsidP="00E53938" w14:paraId="4C58636B" w14:textId="14677039">
      <w:pPr>
        <w:ind w:firstLine="720"/>
        <w:rPr>
          <w:szCs w:val="4"/>
        </w:rPr>
      </w:pPr>
      <w:r w:rsidRPr="003420FC">
        <w:rPr>
          <w:szCs w:val="4"/>
        </w:rPr>
        <w:t>Und</w:t>
      </w:r>
      <w:r w:rsidRPr="003420FC">
        <w:t xml:space="preserve">er 31 CFR 1010.430(d), </w:t>
      </w:r>
      <w:r w:rsidRPr="003420FC">
        <w:rPr>
          <w:lang w:val="en"/>
        </w:rPr>
        <w:t>all records that are required to be retained by 31 CFR Chapter X</w:t>
      </w:r>
      <w:r w:rsidR="009029BC">
        <w:rPr>
          <w:lang w:val="en"/>
        </w:rPr>
        <w:t>, including a written copy of the AML</w:t>
      </w:r>
      <w:r w:rsidR="004B461A">
        <w:rPr>
          <w:lang w:val="en"/>
        </w:rPr>
        <w:t xml:space="preserve"> </w:t>
      </w:r>
      <w:r w:rsidR="009029BC">
        <w:rPr>
          <w:lang w:val="en"/>
        </w:rPr>
        <w:t>program,</w:t>
      </w:r>
      <w:r w:rsidRPr="003420FC">
        <w:rPr>
          <w:lang w:val="en"/>
        </w:rPr>
        <w:t xml:space="preserve"> must be retained for a period of five years. </w:t>
      </w:r>
      <w:r w:rsidRPr="003420FC" w:rsidR="00CB56DD">
        <w:rPr>
          <w:lang w:val="en"/>
        </w:rPr>
        <w:t xml:space="preserve"> </w:t>
      </w:r>
      <w:r w:rsidR="009029BC">
        <w:rPr>
          <w:lang w:val="en"/>
        </w:rPr>
        <w:t xml:space="preserve">Records </w:t>
      </w:r>
      <w:r w:rsidRPr="003420FC">
        <w:t>must</w:t>
      </w:r>
      <w:r w:rsidR="009029BC">
        <w:t xml:space="preserve"> also</w:t>
      </w:r>
      <w:r w:rsidRPr="003420FC">
        <w:t xml:space="preserve"> be kept for five years </w:t>
      </w:r>
      <w:r w:rsidRPr="003420FC" w:rsidR="00E43E41">
        <w:t xml:space="preserve">to verify compliance with the </w:t>
      </w:r>
      <w:r w:rsidRPr="003420FC" w:rsidR="00E43E41">
        <w:t>requirement to maintain such a program</w:t>
      </w:r>
      <w:r w:rsidR="00776D05">
        <w:t>,</w:t>
      </w:r>
      <w:r w:rsidRPr="003420FC" w:rsidR="00E43E41">
        <w:t xml:space="preserve"> as </w:t>
      </w:r>
      <w:r w:rsidRPr="003420FC">
        <w:t xml:space="preserve">such record may relate to </w:t>
      </w:r>
      <w:r w:rsidRPr="003420FC" w:rsidR="00E43E41">
        <w:t>civil penalty actions</w:t>
      </w:r>
      <w:r w:rsidRPr="003420FC">
        <w:t xml:space="preserve"> that are subject to statutes of limitation longer than three years</w:t>
      </w:r>
      <w:r w:rsidR="00776D05">
        <w:t>.</w:t>
      </w:r>
      <w:r w:rsidRPr="003420FC" w:rsidR="008D3060">
        <w:t xml:space="preserve"> </w:t>
      </w:r>
    </w:p>
    <w:p w:rsidR="00CC2569" w:rsidRPr="003420FC" w:rsidP="00217303" w14:paraId="75EAD6B6" w14:textId="77777777">
      <w:pPr>
        <w:rPr>
          <w:szCs w:val="22"/>
        </w:rPr>
      </w:pPr>
    </w:p>
    <w:p w:rsidR="00CC2569" w:rsidRPr="003420FC" w:rsidP="00217303" w14:paraId="4D3BF1F6" w14:textId="77777777">
      <w:pPr>
        <w:rPr>
          <w:szCs w:val="22"/>
        </w:rPr>
      </w:pPr>
      <w:r w:rsidRPr="003420FC">
        <w:rPr>
          <w:szCs w:val="22"/>
        </w:rPr>
        <w:t xml:space="preserve">8. </w:t>
      </w:r>
      <w:r w:rsidRPr="003420FC" w:rsidR="009E0A49">
        <w:rPr>
          <w:szCs w:val="22"/>
          <w:u w:val="single"/>
        </w:rPr>
        <w:t>Consultation with individuals outside of the agency on availability of data.  Frequency of collection, clarity of instructions and forms, and data elements.</w:t>
      </w:r>
      <w:r w:rsidRPr="003420FC" w:rsidR="009E0A49">
        <w:rPr>
          <w:szCs w:val="22"/>
        </w:rPr>
        <w:t xml:space="preserve"> </w:t>
      </w:r>
    </w:p>
    <w:p w:rsidR="00AF7352" w:rsidRPr="003420FC" w14:paraId="0FBE4F4D" w14:textId="77777777">
      <w:pPr>
        <w:widowControl w:val="0"/>
        <w:autoSpaceDE w:val="0"/>
        <w:autoSpaceDN w:val="0"/>
        <w:adjustRightInd w:val="0"/>
        <w:spacing w:line="240" w:lineRule="exact"/>
        <w:ind w:right="220" w:firstLine="720"/>
      </w:pPr>
    </w:p>
    <w:p w:rsidR="00CF6787" w:rsidP="003F3447" w14:paraId="29884A59" w14:textId="24BEF8E9">
      <w:pPr>
        <w:ind w:firstLine="720"/>
      </w:pPr>
      <w:r>
        <w:t>O</w:t>
      </w:r>
      <w:r w:rsidRPr="00DB4B30">
        <w:t xml:space="preserve">n </w:t>
      </w:r>
      <w:r>
        <w:t>April 22, 2024, FinCEN published in the Federal Register a notice and request for comments concerning its intention to renew, without change, information collection requirements related to AML program regulations</w:t>
      </w:r>
      <w:r w:rsidRPr="003420FC">
        <w:t>.</w:t>
      </w:r>
      <w:r>
        <w:rPr>
          <w:rStyle w:val="FootnoteReference"/>
        </w:rPr>
        <w:footnoteReference w:id="8"/>
      </w:r>
      <w:r w:rsidRPr="00DB4B30">
        <w:t xml:space="preserve">  </w:t>
      </w:r>
      <w:r>
        <w:t xml:space="preserve">The comment period closed on June 21, 2024.  FinCEN received </w:t>
      </w:r>
      <w:r w:rsidR="0098519E">
        <w:t>three</w:t>
      </w:r>
      <w:r>
        <w:t xml:space="preserve"> relevant comments in response to the notice.</w:t>
      </w:r>
    </w:p>
    <w:p w:rsidR="001A6CE5" w:rsidP="003F3447" w14:paraId="62934BB1" w14:textId="77777777">
      <w:pPr>
        <w:ind w:firstLine="720"/>
      </w:pPr>
    </w:p>
    <w:p w:rsidR="001A6CE5" w:rsidP="001A6CE5" w14:paraId="6B863ECC" w14:textId="1F484483">
      <w:pPr>
        <w:ind w:firstLine="720"/>
      </w:pPr>
      <w:r>
        <w:t>One commenter noted that understanding financial operations enhances risk mitigation and propose</w:t>
      </w:r>
      <w:r w:rsidR="00976EC7">
        <w:t>d</w:t>
      </w:r>
      <w:r>
        <w:t xml:space="preserve"> leveraging advanced technology for streamlining compliance with AML program regulatory requirements.  Another commenter noted that non-banks should be required to maintain BSA programs like banks.  FinCEN clarifies that certain non-bank financial institutions are required to implement AML programs, as described in the 60-day notice.</w:t>
      </w:r>
      <w:r>
        <w:rPr>
          <w:rStyle w:val="FootnoteReference"/>
        </w:rPr>
        <w:footnoteReference w:id="9"/>
      </w:r>
      <w:r>
        <w:t xml:space="preserve">  A third commenter noted that additional regulation o</w:t>
      </w:r>
      <w:r w:rsidR="00976EC7">
        <w:t>f</w:t>
      </w:r>
      <w:r>
        <w:t xml:space="preserve"> the financial industry may not create greater safety, particularly for small businesses. </w:t>
      </w:r>
    </w:p>
    <w:p w:rsidR="001A6CE5" w:rsidP="003F3447" w14:paraId="2A69DBC4" w14:textId="77777777">
      <w:pPr>
        <w:ind w:firstLine="720"/>
      </w:pPr>
    </w:p>
    <w:p w:rsidR="00CD78D2" w:rsidRPr="003420FC" w:rsidP="00C424AE" w14:paraId="031A0648" w14:textId="4B82A869">
      <w:pPr>
        <w:ind w:firstLine="720"/>
      </w:pPr>
      <w:r>
        <w:t>FinCEN appreciates the feedback provided by these commenters and will take these recommendations into consideration as part of the future rulemaking.  In addition,</w:t>
      </w:r>
      <w:r>
        <w:rPr>
          <w:rStyle w:val="cf01"/>
          <w:rFonts w:ascii="Times New Roman" w:hAnsi="Times New Roman" w:cs="Times New Roman"/>
          <w:sz w:val="24"/>
          <w:szCs w:val="24"/>
        </w:rPr>
        <w:t xml:space="preserve"> a</w:t>
      </w:r>
      <w:r w:rsidRPr="00681D2F">
        <w:rPr>
          <w:rStyle w:val="cf01"/>
          <w:rFonts w:ascii="Times New Roman" w:hAnsi="Times New Roman" w:cs="Times New Roman"/>
          <w:sz w:val="24"/>
          <w:szCs w:val="24"/>
        </w:rPr>
        <w:t xml:space="preserve">s noted in the 60-day notice to renew this information collection, in connection with a variety of initiatives FinCEN is undertaking to implement the AML Act, FinCEN intends to conduct, in the future, additional assessments of the </w:t>
      </w:r>
      <w:r w:rsidR="00E13B65">
        <w:rPr>
          <w:rStyle w:val="cf01"/>
          <w:rFonts w:ascii="Times New Roman" w:hAnsi="Times New Roman" w:cs="Times New Roman"/>
          <w:sz w:val="24"/>
          <w:szCs w:val="24"/>
        </w:rPr>
        <w:t>Paperwork Reduction Act (</w:t>
      </w:r>
      <w:r w:rsidRPr="00681D2F">
        <w:rPr>
          <w:rStyle w:val="cf01"/>
          <w:rFonts w:ascii="Times New Roman" w:hAnsi="Times New Roman" w:cs="Times New Roman"/>
          <w:sz w:val="24"/>
          <w:szCs w:val="24"/>
        </w:rPr>
        <w:t>PRA</w:t>
      </w:r>
      <w:r w:rsidR="00E13B65">
        <w:rPr>
          <w:rStyle w:val="cf01"/>
          <w:rFonts w:ascii="Times New Roman" w:hAnsi="Times New Roman" w:cs="Times New Roman"/>
          <w:sz w:val="24"/>
          <w:szCs w:val="24"/>
        </w:rPr>
        <w:t>)</w:t>
      </w:r>
      <w:r w:rsidRPr="00681D2F">
        <w:rPr>
          <w:rStyle w:val="cf01"/>
          <w:rFonts w:ascii="Times New Roman" w:hAnsi="Times New Roman" w:cs="Times New Roman"/>
          <w:sz w:val="24"/>
          <w:szCs w:val="24"/>
        </w:rPr>
        <w:t xml:space="preserve"> burden associated with BSA requirements.  </w:t>
      </w:r>
      <w:r w:rsidRPr="00CD78D2">
        <w:rPr>
          <w:rFonts w:eastAsia="Calibri"/>
        </w:rPr>
        <w:t xml:space="preserve">This supporting statement does not address requirements that may be imposed under section 6101(b) of the AML Act.  Paperwork and respondent burden for those requirements will be addressed in a separate notice of proposed rulemaking (NPRM).  </w:t>
      </w:r>
    </w:p>
    <w:p w:rsidR="00E1090A" w:rsidRPr="003420FC" w14:paraId="3D3FA1D0" w14:textId="77777777">
      <w:pPr>
        <w:widowControl w:val="0"/>
        <w:autoSpaceDE w:val="0"/>
        <w:autoSpaceDN w:val="0"/>
        <w:adjustRightInd w:val="0"/>
        <w:spacing w:line="240" w:lineRule="exact"/>
        <w:ind w:right="220" w:firstLine="720"/>
      </w:pPr>
    </w:p>
    <w:p w:rsidR="00CC2569" w:rsidRPr="003420FC" w14:paraId="4D2F8D31" w14:textId="77777777">
      <w:pPr>
        <w:widowControl w:val="0"/>
        <w:autoSpaceDE w:val="0"/>
        <w:autoSpaceDN w:val="0"/>
        <w:adjustRightInd w:val="0"/>
        <w:spacing w:line="240" w:lineRule="exact"/>
        <w:ind w:right="220"/>
        <w:rPr>
          <w:szCs w:val="22"/>
        </w:rPr>
      </w:pPr>
      <w:r w:rsidRPr="003420FC">
        <w:t xml:space="preserve">9.   </w:t>
      </w:r>
      <w:r w:rsidRPr="003420FC" w:rsidR="009E0A49">
        <w:rPr>
          <w:u w:val="single"/>
        </w:rPr>
        <w:t>Explanation of decision to provide any payment or gift to respondents.</w:t>
      </w:r>
      <w:r w:rsidRPr="003420FC" w:rsidR="009E0A49">
        <w:t xml:space="preserve">  </w:t>
      </w:r>
    </w:p>
    <w:p w:rsidR="00CC2569" w:rsidRPr="00D37498" w:rsidP="00217303" w14:paraId="34486878" w14:textId="77777777">
      <w:pPr>
        <w:spacing w:before="283"/>
        <w:ind w:firstLine="720"/>
        <w:rPr>
          <w:szCs w:val="22"/>
        </w:rPr>
      </w:pPr>
      <w:r w:rsidRPr="00D37498">
        <w:rPr>
          <w:szCs w:val="22"/>
        </w:rPr>
        <w:t xml:space="preserve">No payments or gifts were made to respondents. </w:t>
      </w:r>
    </w:p>
    <w:p w:rsidR="00CC2569" w:rsidRPr="00D37498" w:rsidP="00217303" w14:paraId="58DC8B00" w14:textId="77777777">
      <w:pPr>
        <w:pStyle w:val="BodyText"/>
        <w:rPr>
          <w:sz w:val="24"/>
        </w:rPr>
      </w:pPr>
      <w:r w:rsidRPr="00D37498">
        <w:rPr>
          <w:sz w:val="24"/>
        </w:rPr>
        <w:t xml:space="preserve">10. </w:t>
      </w:r>
      <w:r w:rsidRPr="00D37498" w:rsidR="009C4404">
        <w:rPr>
          <w:sz w:val="24"/>
          <w:u w:val="single"/>
        </w:rPr>
        <w:t>Assurance of confidentiality of responses.</w:t>
      </w:r>
      <w:r w:rsidRPr="00D37498" w:rsidR="009C4404">
        <w:rPr>
          <w:sz w:val="24"/>
        </w:rPr>
        <w:t xml:space="preserve"> </w:t>
      </w:r>
    </w:p>
    <w:p w:rsidR="00CC2569" w:rsidRPr="00D37498" w:rsidP="00217303" w14:paraId="1FCD5CD0" w14:textId="578B5F91">
      <w:pPr>
        <w:widowControl w:val="0"/>
        <w:autoSpaceDE w:val="0"/>
        <w:autoSpaceDN w:val="0"/>
        <w:adjustRightInd w:val="0"/>
        <w:spacing w:before="244" w:line="235" w:lineRule="exact"/>
        <w:ind w:firstLine="720"/>
        <w:rPr>
          <w:szCs w:val="22"/>
        </w:rPr>
      </w:pPr>
      <w:r w:rsidRPr="00D37498">
        <w:rPr>
          <w:szCs w:val="22"/>
        </w:rPr>
        <w:t>Information collected under</w:t>
      </w:r>
      <w:r w:rsidR="00724EC7">
        <w:rPr>
          <w:szCs w:val="22"/>
        </w:rPr>
        <w:t xml:space="preserve"> an AML program established pursuant to</w:t>
      </w:r>
      <w:r w:rsidRPr="00D37498">
        <w:rPr>
          <w:szCs w:val="22"/>
        </w:rPr>
        <w:t xml:space="preserve"> 31 U.S.C. 5318(h) may be made available to </w:t>
      </w:r>
      <w:r w:rsidR="00B72D6A">
        <w:rPr>
          <w:szCs w:val="22"/>
        </w:rPr>
        <w:t>appropriate law enforcement agencies and supervisory agencies.</w:t>
      </w:r>
    </w:p>
    <w:p w:rsidR="00B9027A" w:rsidP="00217303" w14:paraId="7EA63002" w14:textId="77777777">
      <w:pPr>
        <w:spacing w:before="264"/>
        <w:rPr>
          <w:szCs w:val="22"/>
        </w:rPr>
      </w:pPr>
    </w:p>
    <w:p w:rsidR="00B9027A" w:rsidP="00217303" w14:paraId="58A65A50" w14:textId="77777777">
      <w:pPr>
        <w:spacing w:before="264"/>
        <w:rPr>
          <w:szCs w:val="22"/>
        </w:rPr>
      </w:pPr>
    </w:p>
    <w:p w:rsidR="00CC2569" w:rsidRPr="00D37498" w:rsidP="00217303" w14:paraId="246E5AED" w14:textId="488CB270">
      <w:pPr>
        <w:spacing w:before="264"/>
        <w:rPr>
          <w:szCs w:val="22"/>
        </w:rPr>
      </w:pPr>
      <w:r w:rsidRPr="00D37498">
        <w:rPr>
          <w:szCs w:val="22"/>
        </w:rPr>
        <w:t xml:space="preserve">11. </w:t>
      </w:r>
      <w:r w:rsidRPr="00D37498" w:rsidR="009C4404">
        <w:rPr>
          <w:szCs w:val="22"/>
          <w:u w:val="single"/>
        </w:rPr>
        <w:t>Justification of sensitive questions.</w:t>
      </w:r>
      <w:r w:rsidRPr="00D37498" w:rsidR="009C4404">
        <w:rPr>
          <w:szCs w:val="22"/>
        </w:rPr>
        <w:t xml:space="preserve"> </w:t>
      </w:r>
    </w:p>
    <w:p w:rsidR="00CC2569" w:rsidRPr="003420FC" w:rsidP="0061668D" w14:paraId="38A2F4E3" w14:textId="2EFED9D3">
      <w:pPr>
        <w:spacing w:before="254"/>
        <w:ind w:firstLine="720"/>
      </w:pPr>
      <w:r w:rsidRPr="00537765">
        <w:t xml:space="preserve">There are no questions of a sensitive nature in the collection of information.  Any </w:t>
      </w:r>
      <w:r>
        <w:t>personally identifiable</w:t>
      </w:r>
      <w:r w:rsidRPr="00537765">
        <w:t xml:space="preserve"> information collected under the B</w:t>
      </w:r>
      <w:r>
        <w:t>SA</w:t>
      </w:r>
      <w:r w:rsidRPr="00537765">
        <w:t xml:space="preserve"> is strictly controlled as outlined in FinCEN’s Systems of Records</w:t>
      </w:r>
      <w:r>
        <w:t xml:space="preserve"> </w:t>
      </w:r>
      <w:r w:rsidRPr="00537765">
        <w:t>Notice</w:t>
      </w:r>
      <w:hyperlink w:history="1"/>
      <w:r w:rsidRPr="008B26BD">
        <w:t>.</w:t>
      </w:r>
      <w:r>
        <w:rPr>
          <w:rStyle w:val="FootnoteReference"/>
        </w:rPr>
        <w:footnoteReference w:id="10"/>
      </w:r>
      <w:r>
        <w:t xml:space="preserve"> </w:t>
      </w:r>
      <w:r w:rsidRPr="003420FC">
        <w:rPr>
          <w:szCs w:val="22"/>
        </w:rPr>
        <w:t xml:space="preserve"> </w:t>
      </w:r>
    </w:p>
    <w:p w:rsidR="009E0A49" w:rsidRPr="00D37498" w:rsidP="00217303" w14:paraId="5E998A8B" w14:textId="77777777">
      <w:pPr>
        <w:ind w:firstLine="720"/>
        <w:rPr>
          <w:szCs w:val="22"/>
        </w:rPr>
      </w:pPr>
    </w:p>
    <w:p w:rsidR="009E0A49" w:rsidP="00F041A6" w14:paraId="4364EDC8" w14:textId="04179279">
      <w:pPr>
        <w:rPr>
          <w:u w:val="single"/>
        </w:rPr>
      </w:pPr>
      <w:r w:rsidRPr="00D37498">
        <w:t>12</w:t>
      </w:r>
      <w:r w:rsidR="00361F4A">
        <w:t xml:space="preserve">. </w:t>
      </w:r>
      <w:r w:rsidRPr="00D37498">
        <w:rPr>
          <w:u w:val="single"/>
        </w:rPr>
        <w:t>Estimated burden</w:t>
      </w:r>
      <w:r w:rsidR="007176C0">
        <w:rPr>
          <w:u w:val="single"/>
        </w:rPr>
        <w:t xml:space="preserve"> </w:t>
      </w:r>
      <w:r w:rsidRPr="00D37498">
        <w:rPr>
          <w:u w:val="single"/>
        </w:rPr>
        <w:t>of information collection.</w:t>
      </w:r>
    </w:p>
    <w:p w:rsidR="00B47AB0" w:rsidP="00B47AB0" w14:paraId="475312FF" w14:textId="77777777">
      <w:pPr>
        <w:spacing w:before="254"/>
        <w:rPr>
          <w:szCs w:val="22"/>
        </w:rPr>
      </w:pPr>
      <w:r w:rsidRPr="006C00EC">
        <w:rPr>
          <w:szCs w:val="22"/>
          <w:u w:val="single"/>
        </w:rPr>
        <w:t>Frequency</w:t>
      </w:r>
      <w:r>
        <w:rPr>
          <w:szCs w:val="22"/>
        </w:rPr>
        <w:t xml:space="preserve">:  As required. </w:t>
      </w:r>
    </w:p>
    <w:p w:rsidR="00B47AB0" w:rsidP="00B47AB0" w14:paraId="590C8AAA" w14:textId="77777777">
      <w:pPr>
        <w:widowControl w:val="0"/>
        <w:autoSpaceDE w:val="0"/>
        <w:autoSpaceDN w:val="0"/>
        <w:adjustRightInd w:val="0"/>
        <w:spacing w:line="273" w:lineRule="exact"/>
        <w:ind w:left="720"/>
        <w:jc w:val="both"/>
        <w:rPr>
          <w:szCs w:val="22"/>
        </w:rPr>
      </w:pPr>
    </w:p>
    <w:p w:rsidR="00794300" w:rsidP="00F041A6" w14:paraId="21B32221" w14:textId="677920F3">
      <w:pPr>
        <w:rPr>
          <w:u w:val="single"/>
        </w:rPr>
      </w:pPr>
      <w:r w:rsidRPr="006C00EC">
        <w:rPr>
          <w:szCs w:val="22"/>
          <w:u w:val="single"/>
        </w:rPr>
        <w:t>Estimated Number of Respondents</w:t>
      </w:r>
      <w:r>
        <w:rPr>
          <w:szCs w:val="22"/>
        </w:rPr>
        <w:t xml:space="preserve">:  </w:t>
      </w:r>
      <w:r w:rsidR="00986010">
        <w:t>258,065</w:t>
      </w:r>
      <w:r>
        <w:t xml:space="preserve"> f</w:t>
      </w:r>
      <w:r w:rsidRPr="00A57241">
        <w:t>inancial institutions</w:t>
      </w:r>
      <w:r w:rsidR="004D4845">
        <w:t>, specifically</w:t>
      </w:r>
      <w:r w:rsidR="005A37FF">
        <w:t>,</w:t>
      </w:r>
      <w:r w:rsidR="00146999">
        <w:t xml:space="preserve"> MSBs, mutual funds, and operators of credit card systems</w:t>
      </w:r>
      <w:r w:rsidRPr="00A57241">
        <w:t>.</w:t>
      </w:r>
      <w:r>
        <w:rPr>
          <w:rStyle w:val="FootnoteReference"/>
        </w:rPr>
        <w:footnoteReference w:id="11"/>
      </w:r>
    </w:p>
    <w:p w:rsidR="00794300" w:rsidP="00F041A6" w14:paraId="00663D33" w14:textId="77777777">
      <w:pPr>
        <w:rPr>
          <w:u w:val="single"/>
        </w:rPr>
      </w:pPr>
    </w:p>
    <w:tbl>
      <w:tblPr>
        <w:tblW w:w="8204" w:type="dxa"/>
        <w:tblLook w:val="04A0"/>
      </w:tblPr>
      <w:tblGrid>
        <w:gridCol w:w="224"/>
        <w:gridCol w:w="4820"/>
        <w:gridCol w:w="928"/>
        <w:gridCol w:w="2232"/>
      </w:tblGrid>
      <w:tr w14:paraId="4AD1FD06" w14:textId="77777777" w:rsidTr="00FE0FB5">
        <w:tblPrEx>
          <w:tblW w:w="8204" w:type="dxa"/>
          <w:tblLook w:val="04A0"/>
        </w:tblPrEx>
        <w:trPr>
          <w:trHeight w:val="315"/>
        </w:trPr>
        <w:tc>
          <w:tcPr>
            <w:tcW w:w="8204" w:type="dxa"/>
            <w:gridSpan w:val="4"/>
            <w:tcBorders>
              <w:top w:val="nil"/>
              <w:left w:val="nil"/>
              <w:bottom w:val="single" w:sz="8" w:space="0" w:color="auto"/>
              <w:right w:val="nil"/>
            </w:tcBorders>
            <w:shd w:val="clear" w:color="auto" w:fill="auto"/>
            <w:noWrap/>
            <w:vAlign w:val="bottom"/>
            <w:hideMark/>
          </w:tcPr>
          <w:p w:rsidR="000559E0" w:rsidRPr="003060C8" w:rsidP="00F10F13" w14:paraId="60878A50" w14:textId="4449EE3F">
            <w:pPr>
              <w:rPr>
                <w:b/>
                <w:bCs/>
                <w:color w:val="000000"/>
                <w:sz w:val="22"/>
                <w:szCs w:val="22"/>
              </w:rPr>
            </w:pPr>
            <w:r w:rsidRPr="003060C8">
              <w:rPr>
                <w:b/>
                <w:color w:val="000000" w:themeColor="text1"/>
                <w:sz w:val="22"/>
                <w:szCs w:val="22"/>
                <w:lang w:val="en-GB"/>
              </w:rPr>
              <w:t>Table 1. Number of Covered Financial Institutions</w:t>
            </w:r>
            <w:r w:rsidRPr="003060C8" w:rsidR="004B64DD">
              <w:rPr>
                <w:b/>
                <w:color w:val="000000" w:themeColor="text1"/>
                <w:sz w:val="22"/>
                <w:szCs w:val="22"/>
                <w:lang w:val="en-GB"/>
              </w:rPr>
              <w:t>,</w:t>
            </w:r>
            <w:r w:rsidRPr="003060C8">
              <w:rPr>
                <w:b/>
                <w:color w:val="000000" w:themeColor="text1"/>
                <w:sz w:val="22"/>
                <w:szCs w:val="22"/>
                <w:lang w:val="en-GB"/>
              </w:rPr>
              <w:t xml:space="preserve"> by Type</w:t>
            </w:r>
            <w:r w:rsidRPr="003060C8" w:rsidR="004B64DD">
              <w:rPr>
                <w:b/>
                <w:color w:val="000000" w:themeColor="text1"/>
                <w:sz w:val="22"/>
                <w:szCs w:val="22"/>
                <w:lang w:val="en-GB"/>
              </w:rPr>
              <w:t>,</w:t>
            </w:r>
            <w:r w:rsidRPr="003060C8" w:rsidR="00FF3950">
              <w:rPr>
                <w:b/>
                <w:color w:val="000000" w:themeColor="text1"/>
                <w:sz w:val="22"/>
                <w:szCs w:val="22"/>
                <w:lang w:val="en-GB"/>
              </w:rPr>
              <w:t xml:space="preserve"> </w:t>
            </w:r>
            <w:r w:rsidRPr="003060C8" w:rsidR="0068442B">
              <w:rPr>
                <w:b/>
                <w:color w:val="000000" w:themeColor="text1"/>
                <w:sz w:val="22"/>
                <w:szCs w:val="22"/>
                <w:lang w:val="en-GB"/>
              </w:rPr>
              <w:t>i</w:t>
            </w:r>
            <w:r w:rsidRPr="003060C8" w:rsidR="00352326">
              <w:rPr>
                <w:b/>
                <w:color w:val="000000" w:themeColor="text1"/>
                <w:sz w:val="22"/>
                <w:szCs w:val="22"/>
                <w:lang w:val="en-GB"/>
              </w:rPr>
              <w:t xml:space="preserve">ncluded </w:t>
            </w:r>
            <w:r w:rsidRPr="003060C8" w:rsidR="0068442B">
              <w:rPr>
                <w:b/>
                <w:color w:val="000000" w:themeColor="text1"/>
                <w:sz w:val="22"/>
                <w:szCs w:val="22"/>
                <w:lang w:val="en-GB"/>
              </w:rPr>
              <w:t>u</w:t>
            </w:r>
            <w:r w:rsidRPr="003060C8" w:rsidR="00352326">
              <w:rPr>
                <w:b/>
                <w:color w:val="000000" w:themeColor="text1"/>
                <w:sz w:val="22"/>
                <w:szCs w:val="22"/>
                <w:lang w:val="en-GB"/>
              </w:rPr>
              <w:t>nder</w:t>
            </w:r>
            <w:r w:rsidRPr="003060C8" w:rsidR="00FF3950">
              <w:rPr>
                <w:b/>
                <w:color w:val="000000" w:themeColor="text1"/>
                <w:sz w:val="22"/>
                <w:szCs w:val="22"/>
                <w:lang w:val="en-GB"/>
              </w:rPr>
              <w:t xml:space="preserve"> </w:t>
            </w:r>
            <w:r w:rsidRPr="003060C8" w:rsidR="0068442B">
              <w:rPr>
                <w:b/>
                <w:color w:val="000000" w:themeColor="text1"/>
                <w:sz w:val="22"/>
                <w:szCs w:val="22"/>
                <w:lang w:val="en-GB"/>
              </w:rPr>
              <w:t>t</w:t>
            </w:r>
            <w:r w:rsidRPr="003060C8" w:rsidR="00FF3950">
              <w:rPr>
                <w:b/>
                <w:color w:val="000000" w:themeColor="text1"/>
                <w:sz w:val="22"/>
                <w:szCs w:val="22"/>
                <w:lang w:val="en-GB"/>
              </w:rPr>
              <w:t>his OMB Control Number</w:t>
            </w:r>
          </w:p>
        </w:tc>
      </w:tr>
      <w:tr w14:paraId="0685CB45" w14:textId="77777777" w:rsidTr="00FE0FB5">
        <w:tblPrEx>
          <w:tblW w:w="8204" w:type="dxa"/>
          <w:tblLook w:val="04A0"/>
        </w:tblPrEx>
        <w:trPr>
          <w:trHeight w:val="870"/>
        </w:trPr>
        <w:tc>
          <w:tcPr>
            <w:tcW w:w="5972" w:type="dxa"/>
            <w:gridSpan w:val="3"/>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rsidR="000559E0" w:rsidP="00F10F13" w14:paraId="74E4A079" w14:textId="77777777">
            <w:pPr>
              <w:rPr>
                <w:b/>
                <w:bCs/>
                <w:color w:val="000000"/>
                <w:sz w:val="22"/>
                <w:szCs w:val="22"/>
              </w:rPr>
            </w:pPr>
            <w:r>
              <w:rPr>
                <w:b/>
                <w:bCs/>
                <w:color w:val="000000"/>
                <w:sz w:val="22"/>
                <w:szCs w:val="22"/>
                <w:lang w:val="en-GB"/>
              </w:rPr>
              <w:t>Type of financial institution</w:t>
            </w:r>
          </w:p>
        </w:tc>
        <w:tc>
          <w:tcPr>
            <w:tcW w:w="2232" w:type="dxa"/>
            <w:tcBorders>
              <w:top w:val="nil"/>
              <w:left w:val="nil"/>
              <w:bottom w:val="single" w:sz="8" w:space="0" w:color="auto"/>
              <w:right w:val="single" w:sz="8" w:space="0" w:color="auto"/>
            </w:tcBorders>
            <w:shd w:val="clear" w:color="auto" w:fill="auto"/>
            <w:vAlign w:val="center"/>
            <w:hideMark/>
          </w:tcPr>
          <w:p w:rsidR="000559E0" w:rsidP="00F10F13" w14:paraId="01ED453C" w14:textId="77777777">
            <w:pPr>
              <w:jc w:val="center"/>
              <w:rPr>
                <w:b/>
                <w:bCs/>
                <w:color w:val="000000"/>
                <w:sz w:val="22"/>
                <w:szCs w:val="22"/>
              </w:rPr>
            </w:pPr>
            <w:r>
              <w:rPr>
                <w:b/>
                <w:bCs/>
                <w:color w:val="000000"/>
                <w:sz w:val="22"/>
                <w:szCs w:val="22"/>
                <w:lang w:val="en-GB"/>
              </w:rPr>
              <w:t>Number of financial institutions</w:t>
            </w:r>
          </w:p>
        </w:tc>
      </w:tr>
      <w:tr w14:paraId="05AB40A5" w14:textId="77777777" w:rsidTr="00FE0FB5">
        <w:tblPrEx>
          <w:tblW w:w="8204" w:type="dxa"/>
          <w:tblLook w:val="04A0"/>
        </w:tblPrEx>
        <w:trPr>
          <w:trHeight w:val="420"/>
        </w:trPr>
        <w:tc>
          <w:tcPr>
            <w:tcW w:w="5972"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559E0" w:rsidP="00F10F13" w14:paraId="0C7E2360" w14:textId="2B7DDC24">
            <w:pPr>
              <w:rPr>
                <w:color w:val="000000"/>
                <w:sz w:val="22"/>
                <w:szCs w:val="22"/>
              </w:rPr>
            </w:pPr>
            <w:r>
              <w:rPr>
                <w:color w:val="000000"/>
                <w:sz w:val="22"/>
                <w:szCs w:val="22"/>
                <w:lang w:val="en-GB"/>
              </w:rPr>
              <w:t xml:space="preserve">Principal </w:t>
            </w:r>
            <w:r>
              <w:rPr>
                <w:color w:val="000000"/>
                <w:sz w:val="22"/>
                <w:szCs w:val="22"/>
                <w:lang w:val="en-GB"/>
              </w:rPr>
              <w:t>MSBs</w:t>
            </w:r>
            <w:r w:rsidRPr="001C4BCC" w:rsidR="00D916A6">
              <w:rPr>
                <w:color w:val="000000"/>
                <w:sz w:val="22"/>
                <w:szCs w:val="22"/>
                <w:vertAlign w:val="superscript"/>
                <w:lang w:val="en-GB"/>
              </w:rPr>
              <w:t>a</w:t>
            </w:r>
          </w:p>
        </w:tc>
        <w:tc>
          <w:tcPr>
            <w:tcW w:w="22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59E0" w:rsidP="00F10F13" w14:paraId="5E1FD13F" w14:textId="2D55040E">
            <w:pPr>
              <w:jc w:val="center"/>
              <w:rPr>
                <w:color w:val="000000"/>
                <w:sz w:val="22"/>
                <w:szCs w:val="22"/>
              </w:rPr>
            </w:pPr>
            <w:r>
              <w:rPr>
                <w:color w:val="000000"/>
                <w:sz w:val="22"/>
                <w:szCs w:val="22"/>
                <w:lang w:val="en-GB"/>
              </w:rPr>
              <w:t>27,500</w:t>
            </w:r>
            <w:r w:rsidRPr="001C4BCC" w:rsidR="00224B92">
              <w:rPr>
                <w:color w:val="000000"/>
                <w:sz w:val="22"/>
                <w:szCs w:val="22"/>
                <w:vertAlign w:val="superscript"/>
                <w:lang w:val="en-GB"/>
              </w:rPr>
              <w:t>b</w:t>
            </w:r>
          </w:p>
        </w:tc>
      </w:tr>
      <w:tr w14:paraId="1BC03E12" w14:textId="77777777" w:rsidTr="00FE0FB5">
        <w:tblPrEx>
          <w:tblW w:w="8204" w:type="dxa"/>
          <w:tblLook w:val="04A0"/>
        </w:tblPrEx>
        <w:trPr>
          <w:trHeight w:val="420"/>
        </w:trPr>
        <w:tc>
          <w:tcPr>
            <w:tcW w:w="2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59E0" w:rsidP="00F10F13" w14:paraId="15DBBCDB" w14:textId="77777777">
            <w:pPr>
              <w:rPr>
                <w:color w:val="000000"/>
                <w:sz w:val="22"/>
                <w:szCs w:val="22"/>
              </w:rPr>
            </w:pPr>
          </w:p>
        </w:tc>
        <w:tc>
          <w:tcPr>
            <w:tcW w:w="4820" w:type="dxa"/>
            <w:tcBorders>
              <w:top w:val="nil"/>
              <w:left w:val="single" w:sz="4" w:space="0" w:color="auto"/>
              <w:bottom w:val="single" w:sz="4" w:space="0" w:color="auto"/>
              <w:right w:val="single" w:sz="8" w:space="0" w:color="auto"/>
            </w:tcBorders>
            <w:shd w:val="clear" w:color="auto" w:fill="auto"/>
            <w:noWrap/>
            <w:vAlign w:val="center"/>
            <w:hideMark/>
          </w:tcPr>
          <w:p w:rsidR="000559E0" w:rsidP="00F10F13" w14:paraId="29E8D8E7" w14:textId="77777777">
            <w:pPr>
              <w:rPr>
                <w:color w:val="000000"/>
                <w:sz w:val="22"/>
                <w:szCs w:val="22"/>
              </w:rPr>
            </w:pPr>
            <w:r>
              <w:rPr>
                <w:color w:val="000000"/>
                <w:sz w:val="22"/>
                <w:szCs w:val="22"/>
                <w:lang w:val="en-GB"/>
              </w:rPr>
              <w:t>Providers or sellers of prepaid access</w:t>
            </w:r>
          </w:p>
        </w:tc>
        <w:tc>
          <w:tcPr>
            <w:tcW w:w="928" w:type="dxa"/>
            <w:tcBorders>
              <w:top w:val="nil"/>
              <w:left w:val="nil"/>
              <w:bottom w:val="single" w:sz="8" w:space="0" w:color="auto"/>
              <w:right w:val="single" w:sz="4" w:space="0" w:color="auto"/>
            </w:tcBorders>
            <w:shd w:val="clear" w:color="auto" w:fill="auto"/>
            <w:noWrap/>
            <w:vAlign w:val="center"/>
            <w:hideMark/>
          </w:tcPr>
          <w:p w:rsidR="000559E0" w:rsidP="00F10F13" w14:paraId="64D5EA5C" w14:textId="77777777">
            <w:pPr>
              <w:rPr>
                <w:color w:val="000000"/>
                <w:sz w:val="22"/>
                <w:szCs w:val="22"/>
              </w:rPr>
            </w:pPr>
            <w:r>
              <w:rPr>
                <w:color w:val="000000"/>
                <w:sz w:val="22"/>
                <w:szCs w:val="22"/>
                <w:lang w:val="en-GB"/>
              </w:rPr>
              <w:t>2,605</w:t>
            </w:r>
          </w:p>
        </w:tc>
        <w:tc>
          <w:tcPr>
            <w:tcW w:w="2232" w:type="dxa"/>
            <w:vMerge/>
            <w:tcBorders>
              <w:top w:val="single" w:sz="4" w:space="0" w:color="auto"/>
              <w:left w:val="single" w:sz="4" w:space="0" w:color="auto"/>
              <w:bottom w:val="single" w:sz="4" w:space="0" w:color="auto"/>
              <w:right w:val="single" w:sz="4" w:space="0" w:color="auto"/>
            </w:tcBorders>
            <w:vAlign w:val="center"/>
            <w:hideMark/>
          </w:tcPr>
          <w:p w:rsidR="000559E0" w:rsidP="00F10F13" w14:paraId="7D8CC075" w14:textId="77777777">
            <w:pPr>
              <w:jc w:val="center"/>
              <w:rPr>
                <w:color w:val="000000"/>
                <w:sz w:val="22"/>
                <w:szCs w:val="22"/>
              </w:rPr>
            </w:pPr>
          </w:p>
        </w:tc>
      </w:tr>
      <w:tr w14:paraId="01B1EB3B" w14:textId="77777777" w:rsidTr="00FE0FB5">
        <w:tblPrEx>
          <w:tblW w:w="8204" w:type="dxa"/>
          <w:tblLook w:val="04A0"/>
        </w:tblPrEx>
        <w:trPr>
          <w:trHeight w:val="420"/>
        </w:trPr>
        <w:tc>
          <w:tcPr>
            <w:tcW w:w="224" w:type="dxa"/>
            <w:vMerge/>
            <w:tcBorders>
              <w:top w:val="single" w:sz="4" w:space="0" w:color="auto"/>
              <w:left w:val="single" w:sz="4" w:space="0" w:color="auto"/>
              <w:bottom w:val="single" w:sz="4" w:space="0" w:color="auto"/>
              <w:right w:val="single" w:sz="4" w:space="0" w:color="auto"/>
            </w:tcBorders>
            <w:vAlign w:val="center"/>
            <w:hideMark/>
          </w:tcPr>
          <w:p w:rsidR="000559E0" w:rsidP="00F10F13" w14:paraId="3919EBDE" w14:textId="77777777">
            <w:pPr>
              <w:rPr>
                <w:color w:val="000000"/>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59E0" w:rsidP="00F10F13" w14:paraId="327A6763" w14:textId="77777777">
            <w:pPr>
              <w:rPr>
                <w:color w:val="000000"/>
                <w:sz w:val="22"/>
                <w:szCs w:val="22"/>
              </w:rPr>
            </w:pPr>
            <w:r>
              <w:rPr>
                <w:color w:val="000000"/>
                <w:sz w:val="22"/>
                <w:szCs w:val="22"/>
                <w:lang w:val="en-GB"/>
              </w:rPr>
              <w:t>Other types of principal MSBs</w:t>
            </w:r>
          </w:p>
        </w:tc>
        <w:tc>
          <w:tcPr>
            <w:tcW w:w="928" w:type="dxa"/>
            <w:tcBorders>
              <w:top w:val="nil"/>
              <w:left w:val="single" w:sz="4" w:space="0" w:color="auto"/>
              <w:bottom w:val="single" w:sz="8" w:space="0" w:color="auto"/>
              <w:right w:val="single" w:sz="4" w:space="0" w:color="auto"/>
            </w:tcBorders>
            <w:shd w:val="clear" w:color="auto" w:fill="auto"/>
            <w:noWrap/>
            <w:vAlign w:val="center"/>
            <w:hideMark/>
          </w:tcPr>
          <w:p w:rsidR="000559E0" w:rsidP="00F10F13" w14:paraId="1CDCFC3C" w14:textId="77777777">
            <w:pPr>
              <w:rPr>
                <w:color w:val="000000"/>
                <w:sz w:val="22"/>
                <w:szCs w:val="22"/>
              </w:rPr>
            </w:pPr>
            <w:r>
              <w:rPr>
                <w:color w:val="000000"/>
                <w:sz w:val="22"/>
                <w:szCs w:val="22"/>
                <w:lang w:val="en-GB"/>
              </w:rPr>
              <w:t>24,895</w:t>
            </w:r>
          </w:p>
        </w:tc>
        <w:tc>
          <w:tcPr>
            <w:tcW w:w="2232" w:type="dxa"/>
            <w:vMerge/>
            <w:tcBorders>
              <w:top w:val="single" w:sz="4" w:space="0" w:color="auto"/>
              <w:left w:val="single" w:sz="4" w:space="0" w:color="auto"/>
              <w:bottom w:val="single" w:sz="4" w:space="0" w:color="auto"/>
              <w:right w:val="single" w:sz="4" w:space="0" w:color="auto"/>
            </w:tcBorders>
            <w:vAlign w:val="center"/>
            <w:hideMark/>
          </w:tcPr>
          <w:p w:rsidR="000559E0" w:rsidP="00F10F13" w14:paraId="64C55745" w14:textId="77777777">
            <w:pPr>
              <w:jc w:val="center"/>
              <w:rPr>
                <w:color w:val="000000"/>
                <w:sz w:val="22"/>
                <w:szCs w:val="22"/>
              </w:rPr>
            </w:pPr>
          </w:p>
        </w:tc>
      </w:tr>
      <w:tr w14:paraId="18C682E5" w14:textId="77777777" w:rsidTr="00FE0FB5">
        <w:tblPrEx>
          <w:tblW w:w="8204" w:type="dxa"/>
          <w:tblLook w:val="04A0"/>
        </w:tblPrEx>
        <w:trPr>
          <w:trHeight w:val="420"/>
        </w:trPr>
        <w:tc>
          <w:tcPr>
            <w:tcW w:w="5972" w:type="dxa"/>
            <w:gridSpan w:val="3"/>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rsidR="000559E0" w:rsidP="00F10F13" w14:paraId="2199DEE6" w14:textId="77777777">
            <w:pPr>
              <w:rPr>
                <w:color w:val="000000"/>
                <w:sz w:val="22"/>
                <w:szCs w:val="22"/>
              </w:rPr>
            </w:pPr>
            <w:r>
              <w:rPr>
                <w:color w:val="000000"/>
                <w:sz w:val="22"/>
                <w:szCs w:val="22"/>
                <w:lang w:val="en-GB"/>
              </w:rPr>
              <w:t>Agent MSBs</w:t>
            </w:r>
          </w:p>
        </w:tc>
        <w:tc>
          <w:tcPr>
            <w:tcW w:w="2232" w:type="dxa"/>
            <w:tcBorders>
              <w:top w:val="single" w:sz="4" w:space="0" w:color="auto"/>
              <w:left w:val="nil"/>
              <w:bottom w:val="single" w:sz="8" w:space="0" w:color="auto"/>
              <w:right w:val="single" w:sz="8" w:space="0" w:color="auto"/>
            </w:tcBorders>
            <w:shd w:val="clear" w:color="auto" w:fill="auto"/>
            <w:noWrap/>
            <w:vAlign w:val="center"/>
            <w:hideMark/>
          </w:tcPr>
          <w:p w:rsidR="000559E0" w:rsidP="00F10F13" w14:paraId="2708D455" w14:textId="7E047110">
            <w:pPr>
              <w:jc w:val="center"/>
              <w:rPr>
                <w:color w:val="000000"/>
                <w:sz w:val="22"/>
                <w:szCs w:val="22"/>
              </w:rPr>
            </w:pPr>
            <w:r>
              <w:rPr>
                <w:color w:val="000000"/>
                <w:sz w:val="22"/>
                <w:szCs w:val="22"/>
                <w:lang w:val="en-GB"/>
              </w:rPr>
              <w:t>229,161</w:t>
            </w:r>
            <w:r w:rsidRPr="001C4BCC" w:rsidR="00B51C69">
              <w:rPr>
                <w:color w:val="000000"/>
                <w:sz w:val="22"/>
                <w:szCs w:val="22"/>
                <w:vertAlign w:val="superscript"/>
                <w:lang w:val="en-GB"/>
              </w:rPr>
              <w:t>c</w:t>
            </w:r>
          </w:p>
        </w:tc>
      </w:tr>
      <w:tr w14:paraId="07CA60B8" w14:textId="77777777" w:rsidTr="00FE0FB5">
        <w:tblPrEx>
          <w:tblW w:w="8204" w:type="dxa"/>
          <w:tblLook w:val="04A0"/>
        </w:tblPrEx>
        <w:trPr>
          <w:trHeight w:val="420"/>
        </w:trPr>
        <w:tc>
          <w:tcPr>
            <w:tcW w:w="5972" w:type="dxa"/>
            <w:gridSpan w:val="3"/>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rsidR="000559E0" w:rsidP="00F10F13" w14:paraId="12983FA5" w14:textId="77777777">
            <w:pPr>
              <w:rPr>
                <w:color w:val="000000"/>
                <w:sz w:val="22"/>
                <w:szCs w:val="22"/>
              </w:rPr>
            </w:pPr>
            <w:r>
              <w:rPr>
                <w:color w:val="000000"/>
                <w:sz w:val="22"/>
                <w:szCs w:val="22"/>
                <w:lang w:val="en-GB"/>
              </w:rPr>
              <w:t>Mutual funds</w:t>
            </w:r>
          </w:p>
        </w:tc>
        <w:tc>
          <w:tcPr>
            <w:tcW w:w="2232" w:type="dxa"/>
            <w:tcBorders>
              <w:top w:val="nil"/>
              <w:left w:val="nil"/>
              <w:bottom w:val="single" w:sz="8" w:space="0" w:color="auto"/>
              <w:right w:val="single" w:sz="8" w:space="0" w:color="auto"/>
            </w:tcBorders>
            <w:shd w:val="clear" w:color="auto" w:fill="auto"/>
            <w:noWrap/>
            <w:vAlign w:val="center"/>
            <w:hideMark/>
          </w:tcPr>
          <w:p w:rsidR="000559E0" w:rsidP="00F10F13" w14:paraId="75CE561C" w14:textId="5D1C1208">
            <w:pPr>
              <w:jc w:val="center"/>
              <w:rPr>
                <w:color w:val="000000"/>
                <w:sz w:val="22"/>
                <w:szCs w:val="22"/>
              </w:rPr>
            </w:pPr>
            <w:r>
              <w:rPr>
                <w:color w:val="000000"/>
                <w:sz w:val="22"/>
                <w:szCs w:val="22"/>
                <w:lang w:val="en-GB"/>
              </w:rPr>
              <w:t>1,400</w:t>
            </w:r>
            <w:r w:rsidRPr="001C4BCC" w:rsidR="00D1249E">
              <w:rPr>
                <w:color w:val="000000"/>
                <w:sz w:val="22"/>
                <w:szCs w:val="22"/>
                <w:vertAlign w:val="superscript"/>
                <w:lang w:val="en-GB"/>
              </w:rPr>
              <w:t>d</w:t>
            </w:r>
          </w:p>
        </w:tc>
      </w:tr>
      <w:tr w14:paraId="18833ED6" w14:textId="77777777" w:rsidTr="00FE0FB5">
        <w:tblPrEx>
          <w:tblW w:w="8204" w:type="dxa"/>
          <w:tblLook w:val="04A0"/>
        </w:tblPrEx>
        <w:trPr>
          <w:trHeight w:val="420"/>
        </w:trPr>
        <w:tc>
          <w:tcPr>
            <w:tcW w:w="5972" w:type="dxa"/>
            <w:gridSpan w:val="3"/>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rsidR="000559E0" w:rsidP="00F10F13" w14:paraId="1E64DB2F" w14:textId="77777777">
            <w:pPr>
              <w:rPr>
                <w:color w:val="000000"/>
                <w:sz w:val="22"/>
                <w:szCs w:val="22"/>
              </w:rPr>
            </w:pPr>
            <w:r>
              <w:rPr>
                <w:color w:val="000000"/>
                <w:sz w:val="22"/>
                <w:szCs w:val="22"/>
                <w:lang w:val="en-GB"/>
              </w:rPr>
              <w:t>Operators of credit card systems</w:t>
            </w:r>
          </w:p>
        </w:tc>
        <w:tc>
          <w:tcPr>
            <w:tcW w:w="2232" w:type="dxa"/>
            <w:tcBorders>
              <w:top w:val="nil"/>
              <w:left w:val="nil"/>
              <w:bottom w:val="single" w:sz="8" w:space="0" w:color="auto"/>
              <w:right w:val="single" w:sz="8" w:space="0" w:color="auto"/>
            </w:tcBorders>
            <w:shd w:val="clear" w:color="auto" w:fill="auto"/>
            <w:noWrap/>
            <w:vAlign w:val="center"/>
            <w:hideMark/>
          </w:tcPr>
          <w:p w:rsidR="000559E0" w:rsidP="00F10F13" w14:paraId="1E39551F" w14:textId="64308B18">
            <w:pPr>
              <w:jc w:val="center"/>
              <w:rPr>
                <w:color w:val="000000"/>
                <w:sz w:val="22"/>
                <w:szCs w:val="22"/>
              </w:rPr>
            </w:pPr>
            <w:r>
              <w:rPr>
                <w:color w:val="000000"/>
                <w:sz w:val="22"/>
                <w:szCs w:val="22"/>
                <w:lang w:val="en-GB"/>
              </w:rPr>
              <w:t>4</w:t>
            </w:r>
            <w:r w:rsidRPr="001C4BCC" w:rsidR="00C0054B">
              <w:rPr>
                <w:color w:val="000000"/>
                <w:sz w:val="22"/>
                <w:szCs w:val="22"/>
                <w:vertAlign w:val="superscript"/>
                <w:lang w:val="en-GB"/>
              </w:rPr>
              <w:t>e</w:t>
            </w:r>
          </w:p>
        </w:tc>
      </w:tr>
      <w:tr w14:paraId="7F8D9668" w14:textId="77777777" w:rsidTr="00FE0FB5">
        <w:tblPrEx>
          <w:tblW w:w="8204" w:type="dxa"/>
          <w:tblLook w:val="04A0"/>
        </w:tblPrEx>
        <w:trPr>
          <w:trHeight w:val="420"/>
        </w:trPr>
        <w:tc>
          <w:tcPr>
            <w:tcW w:w="5972" w:type="dxa"/>
            <w:gridSpan w:val="3"/>
            <w:tcBorders>
              <w:top w:val="single" w:sz="8" w:space="0" w:color="auto"/>
              <w:left w:val="single" w:sz="8" w:space="0" w:color="auto"/>
              <w:bottom w:val="single" w:sz="8" w:space="0" w:color="auto"/>
              <w:right w:val="nil"/>
            </w:tcBorders>
            <w:shd w:val="clear" w:color="auto" w:fill="auto"/>
            <w:noWrap/>
            <w:vAlign w:val="center"/>
            <w:hideMark/>
          </w:tcPr>
          <w:p w:rsidR="000559E0" w:rsidP="00F10F13" w14:paraId="008D91F7" w14:textId="77777777">
            <w:pPr>
              <w:rPr>
                <w:b/>
                <w:bCs/>
                <w:color w:val="000000"/>
                <w:sz w:val="22"/>
                <w:szCs w:val="22"/>
              </w:rPr>
            </w:pPr>
            <w:r>
              <w:rPr>
                <w:b/>
                <w:bCs/>
                <w:color w:val="000000"/>
                <w:sz w:val="22"/>
                <w:szCs w:val="22"/>
                <w:lang w:val="en-GB"/>
              </w:rPr>
              <w:t>Total</w:t>
            </w:r>
          </w:p>
        </w:tc>
        <w:tc>
          <w:tcPr>
            <w:tcW w:w="2232" w:type="dxa"/>
            <w:tcBorders>
              <w:top w:val="single" w:sz="8" w:space="0" w:color="auto"/>
              <w:left w:val="nil"/>
              <w:bottom w:val="single" w:sz="8" w:space="0" w:color="auto"/>
              <w:right w:val="single" w:sz="8" w:space="0" w:color="auto"/>
            </w:tcBorders>
            <w:shd w:val="clear" w:color="auto" w:fill="auto"/>
            <w:noWrap/>
            <w:vAlign w:val="center"/>
            <w:hideMark/>
          </w:tcPr>
          <w:p w:rsidR="000559E0" w:rsidP="00F10F13" w14:paraId="52256481" w14:textId="26A09B1F">
            <w:pPr>
              <w:jc w:val="right"/>
              <w:rPr>
                <w:b/>
                <w:bCs/>
                <w:color w:val="000000"/>
                <w:sz w:val="22"/>
                <w:szCs w:val="22"/>
              </w:rPr>
            </w:pPr>
            <w:r>
              <w:rPr>
                <w:b/>
                <w:bCs/>
                <w:color w:val="000000"/>
                <w:sz w:val="22"/>
                <w:szCs w:val="22"/>
                <w:lang w:val="en-GB"/>
              </w:rPr>
              <w:t>2</w:t>
            </w:r>
            <w:r w:rsidR="003A2707">
              <w:rPr>
                <w:b/>
                <w:bCs/>
                <w:color w:val="000000"/>
                <w:sz w:val="22"/>
                <w:szCs w:val="22"/>
                <w:lang w:val="en-GB"/>
              </w:rPr>
              <w:t>58,</w:t>
            </w:r>
            <w:r w:rsidR="009F5E97">
              <w:rPr>
                <w:b/>
                <w:bCs/>
                <w:color w:val="000000"/>
                <w:sz w:val="22"/>
                <w:szCs w:val="22"/>
                <w:lang w:val="en-GB"/>
              </w:rPr>
              <w:t>065</w:t>
            </w:r>
            <w:r>
              <w:rPr>
                <w:color w:val="000000"/>
                <w:sz w:val="16"/>
                <w:szCs w:val="16"/>
                <w:lang w:val="en-GB"/>
              </w:rPr>
              <w:t>   </w:t>
            </w:r>
          </w:p>
        </w:tc>
      </w:tr>
      <w:tr w14:paraId="49C9A5CF" w14:textId="77777777" w:rsidTr="00FE0FB5">
        <w:tblPrEx>
          <w:tblW w:w="8204" w:type="dxa"/>
          <w:tblLook w:val="04A0"/>
        </w:tblPrEx>
        <w:trPr>
          <w:trHeight w:val="340"/>
        </w:trPr>
        <w:tc>
          <w:tcPr>
            <w:tcW w:w="8204" w:type="dxa"/>
            <w:gridSpan w:val="4"/>
            <w:tcBorders>
              <w:top w:val="single" w:sz="8" w:space="0" w:color="auto"/>
              <w:left w:val="nil"/>
              <w:bottom w:val="nil"/>
              <w:right w:val="nil"/>
            </w:tcBorders>
            <w:shd w:val="clear" w:color="auto" w:fill="auto"/>
            <w:vAlign w:val="bottom"/>
            <w:hideMark/>
          </w:tcPr>
          <w:p w:rsidR="000559E0" w:rsidRPr="000E449C" w:rsidP="00F10F13" w14:paraId="75D00E83" w14:textId="5C1C04DC">
            <w:pPr>
              <w:rPr>
                <w:color w:val="000000"/>
                <w:sz w:val="20"/>
                <w:szCs w:val="20"/>
              </w:rPr>
            </w:pPr>
          </w:p>
        </w:tc>
      </w:tr>
      <w:tr w14:paraId="675B545F" w14:textId="77777777" w:rsidTr="00FE0FB5">
        <w:tblPrEx>
          <w:tblW w:w="8204" w:type="dxa"/>
          <w:tblLook w:val="04A0"/>
        </w:tblPrEx>
        <w:trPr>
          <w:trHeight w:val="1278"/>
        </w:trPr>
        <w:tc>
          <w:tcPr>
            <w:tcW w:w="8204" w:type="dxa"/>
            <w:gridSpan w:val="4"/>
            <w:tcBorders>
              <w:top w:val="nil"/>
              <w:left w:val="nil"/>
              <w:bottom w:val="nil"/>
              <w:right w:val="nil"/>
            </w:tcBorders>
            <w:shd w:val="clear" w:color="auto" w:fill="auto"/>
            <w:vAlign w:val="bottom"/>
            <w:hideMark/>
          </w:tcPr>
          <w:p w:rsidR="000559E0" w:rsidRPr="000E449C" w:rsidP="00F10F13" w14:paraId="57EAD788" w14:textId="2E28CE79">
            <w:pPr>
              <w:rPr>
                <w:color w:val="000000"/>
                <w:sz w:val="20"/>
                <w:szCs w:val="20"/>
              </w:rPr>
            </w:pPr>
            <w:r w:rsidRPr="001C4BCC">
              <w:rPr>
                <w:color w:val="000000"/>
                <w:sz w:val="20"/>
                <w:szCs w:val="20"/>
                <w:vertAlign w:val="superscript"/>
              </w:rPr>
              <w:t>a</w:t>
            </w:r>
            <w:r w:rsidRPr="000E449C">
              <w:rPr>
                <w:color w:val="000000"/>
                <w:sz w:val="20"/>
                <w:szCs w:val="20"/>
              </w:rPr>
              <w:t xml:space="preserve"> </w:t>
            </w:r>
            <w:r w:rsidRPr="000E449C">
              <w:rPr>
                <w:color w:val="000000"/>
                <w:sz w:val="20"/>
                <w:szCs w:val="20"/>
              </w:rPr>
              <w:t>The</w:t>
            </w:r>
            <w:r w:rsidRPr="000E449C">
              <w:rPr>
                <w:color w:val="000000"/>
                <w:sz w:val="20"/>
                <w:szCs w:val="20"/>
              </w:rPr>
              <w:t xml:space="preserve"> definition of MSB covers both principal MSBs and agents.  Under 31 CFR 1022.210(d)(1)(iii), a person that is an MSB solely because it is an agent for another MSB and the MSB for which it serves as an agent (the principal MSB) may by agreement allocate between themselves responsibility for developing policies, procedures, and internal controls. </w:t>
            </w:r>
            <w:r w:rsidRPr="000E449C">
              <w:rPr>
                <w:sz w:val="20"/>
                <w:szCs w:val="20"/>
              </w:rPr>
              <w:t xml:space="preserve"> However, neither the agent nor the principal MSB can avoid liability for failing to establish or maintain an effective AML program by pointing to a contract assigning the responsibility to the other party.</w:t>
            </w:r>
          </w:p>
        </w:tc>
      </w:tr>
      <w:tr w14:paraId="3A587013" w14:textId="77777777" w:rsidTr="00FE0FB5">
        <w:tblPrEx>
          <w:tblW w:w="8204" w:type="dxa"/>
          <w:tblLook w:val="04A0"/>
        </w:tblPrEx>
        <w:trPr>
          <w:trHeight w:val="621"/>
        </w:trPr>
        <w:tc>
          <w:tcPr>
            <w:tcW w:w="8204" w:type="dxa"/>
            <w:gridSpan w:val="4"/>
            <w:tcBorders>
              <w:top w:val="nil"/>
              <w:left w:val="nil"/>
              <w:bottom w:val="nil"/>
              <w:right w:val="nil"/>
            </w:tcBorders>
            <w:shd w:val="clear" w:color="auto" w:fill="auto"/>
            <w:vAlign w:val="bottom"/>
            <w:hideMark/>
          </w:tcPr>
          <w:p w:rsidR="000559E0" w:rsidRPr="003F6FB9" w:rsidP="00F10F13" w14:paraId="35C0A3CB" w14:textId="24868942">
            <w:pPr>
              <w:rPr>
                <w:color w:val="000000"/>
                <w:sz w:val="20"/>
                <w:szCs w:val="22"/>
              </w:rPr>
            </w:pPr>
            <w:r w:rsidRPr="001C4BCC">
              <w:rPr>
                <w:color w:val="000000"/>
                <w:sz w:val="20"/>
                <w:szCs w:val="22"/>
                <w:vertAlign w:val="superscript"/>
              </w:rPr>
              <w:t>b</w:t>
            </w:r>
            <w:r w:rsidRPr="003F6FB9">
              <w:rPr>
                <w:color w:val="000000"/>
                <w:sz w:val="20"/>
                <w:szCs w:val="22"/>
              </w:rPr>
              <w:t xml:space="preserve"> </w:t>
            </w:r>
            <w:r w:rsidRPr="000E449C">
              <w:rPr>
                <w:color w:val="000000"/>
                <w:sz w:val="20"/>
                <w:szCs w:val="20"/>
              </w:rPr>
              <w:t xml:space="preserve">This value represents the number of uniquely identifiable principal MSBs with indicia of ongoing operations as of year-end 2023. </w:t>
            </w:r>
            <w:r w:rsidR="00206640">
              <w:rPr>
                <w:color w:val="000000"/>
                <w:sz w:val="20"/>
                <w:szCs w:val="20"/>
              </w:rPr>
              <w:t xml:space="preserve"> </w:t>
            </w:r>
            <w:r w:rsidRPr="000E449C">
              <w:rPr>
                <w:color w:val="000000"/>
                <w:sz w:val="20"/>
                <w:szCs w:val="20"/>
              </w:rPr>
              <w:t>The estimate is derived from FinCEN’s publicly available MSB data available at https://www.fincen.gov/msb-registrant-search, accessed February 28, 2024.</w:t>
            </w:r>
          </w:p>
        </w:tc>
      </w:tr>
      <w:tr w14:paraId="6B4408E7" w14:textId="77777777" w:rsidTr="00FE0FB5">
        <w:tblPrEx>
          <w:tblW w:w="8204" w:type="dxa"/>
          <w:tblLook w:val="04A0"/>
        </w:tblPrEx>
        <w:trPr>
          <w:trHeight w:val="1062"/>
        </w:trPr>
        <w:tc>
          <w:tcPr>
            <w:tcW w:w="8204" w:type="dxa"/>
            <w:gridSpan w:val="4"/>
            <w:tcBorders>
              <w:top w:val="nil"/>
              <w:left w:val="nil"/>
              <w:bottom w:val="nil"/>
              <w:right w:val="nil"/>
            </w:tcBorders>
            <w:shd w:val="clear" w:color="auto" w:fill="auto"/>
            <w:vAlign w:val="bottom"/>
            <w:hideMark/>
          </w:tcPr>
          <w:p w:rsidR="000559E0" w:rsidRPr="000E449C" w:rsidP="00F10F13" w14:paraId="6DD04DC2" w14:textId="727EC2B2">
            <w:pPr>
              <w:rPr>
                <w:color w:val="000000"/>
                <w:sz w:val="20"/>
                <w:szCs w:val="20"/>
              </w:rPr>
            </w:pPr>
            <w:r w:rsidRPr="001C4BCC">
              <w:rPr>
                <w:color w:val="000000"/>
                <w:sz w:val="20"/>
                <w:szCs w:val="20"/>
                <w:vertAlign w:val="superscript"/>
              </w:rPr>
              <w:t>c</w:t>
            </w:r>
            <w:r w:rsidRPr="000E449C">
              <w:rPr>
                <w:color w:val="000000"/>
                <w:sz w:val="20"/>
                <w:szCs w:val="20"/>
              </w:rPr>
              <w:t xml:space="preserve"> </w:t>
            </w:r>
            <w:r w:rsidRPr="000E449C">
              <w:rPr>
                <w:color w:val="000000"/>
                <w:sz w:val="20"/>
                <w:szCs w:val="20"/>
              </w:rPr>
              <w:t>In</w:t>
            </w:r>
            <w:r w:rsidRPr="000E449C">
              <w:rPr>
                <w:color w:val="000000"/>
                <w:sz w:val="20"/>
                <w:szCs w:val="20"/>
              </w:rPr>
              <w:t xml:space="preserve"> the absence of public comments in prior renewals of the OMB control number applicable to this regulatory requirement, FinCEN considers it reasonable to continue to rely upon its previous estimate that the number of agent MSBs remains approximately 229,161. </w:t>
            </w:r>
            <w:r w:rsidR="00206640">
              <w:rPr>
                <w:color w:val="000000"/>
                <w:sz w:val="20"/>
                <w:szCs w:val="20"/>
              </w:rPr>
              <w:t xml:space="preserve"> </w:t>
            </w:r>
            <w:r w:rsidRPr="000E449C">
              <w:rPr>
                <w:color w:val="000000"/>
                <w:sz w:val="20"/>
                <w:szCs w:val="20"/>
              </w:rPr>
              <w:t>This value was previously published in the 2020 notice to renew OMB control numbers 1506-0020, 1506-0030, and 1506-0035 (85 CFR 49420 (Aug. 13, 2020)).</w:t>
            </w:r>
          </w:p>
        </w:tc>
      </w:tr>
      <w:tr w14:paraId="778BA05A" w14:textId="77777777" w:rsidTr="00FE0FB5">
        <w:tblPrEx>
          <w:tblW w:w="8204" w:type="dxa"/>
          <w:tblLook w:val="04A0"/>
        </w:tblPrEx>
        <w:trPr>
          <w:trHeight w:val="729"/>
        </w:trPr>
        <w:tc>
          <w:tcPr>
            <w:tcW w:w="8204" w:type="dxa"/>
            <w:gridSpan w:val="4"/>
            <w:tcBorders>
              <w:top w:val="nil"/>
              <w:left w:val="nil"/>
              <w:bottom w:val="nil"/>
              <w:right w:val="nil"/>
            </w:tcBorders>
            <w:shd w:val="clear" w:color="auto" w:fill="auto"/>
            <w:vAlign w:val="bottom"/>
            <w:hideMark/>
          </w:tcPr>
          <w:p w:rsidR="000559E0" w:rsidRPr="000E449C" w:rsidP="00F10F13" w14:paraId="2C1688D2" w14:textId="79FDAA22">
            <w:pPr>
              <w:rPr>
                <w:color w:val="000000"/>
                <w:sz w:val="20"/>
                <w:szCs w:val="20"/>
              </w:rPr>
            </w:pPr>
            <w:r w:rsidRPr="001C4BCC">
              <w:rPr>
                <w:color w:val="000000"/>
                <w:sz w:val="20"/>
                <w:szCs w:val="20"/>
                <w:vertAlign w:val="superscript"/>
              </w:rPr>
              <w:t>d</w:t>
            </w:r>
            <w:r w:rsidRPr="000E449C">
              <w:rPr>
                <w:color w:val="000000"/>
                <w:sz w:val="20"/>
                <w:szCs w:val="20"/>
              </w:rPr>
              <w:t xml:space="preserve"> This estimate of the number of active mutual funds as of year-end 2023 is based on Form N-CEN filings received by the U.S. Securities and Exchange Commission</w:t>
            </w:r>
            <w:r w:rsidR="005670CB">
              <w:rPr>
                <w:color w:val="000000"/>
                <w:sz w:val="20"/>
                <w:szCs w:val="20"/>
              </w:rPr>
              <w:t xml:space="preserve"> (SEC)</w:t>
            </w:r>
            <w:r w:rsidRPr="000E449C">
              <w:rPr>
                <w:color w:val="000000"/>
                <w:sz w:val="20"/>
                <w:szCs w:val="20"/>
              </w:rPr>
              <w:t xml:space="preserve"> through January 20, 2023, as represented by data downloaded from SEC Open Data (https://www.sec.gov/dera/data/form-ncen-data-sets), accessed February 29, 2024.</w:t>
            </w:r>
          </w:p>
        </w:tc>
      </w:tr>
      <w:tr w14:paraId="08377F14" w14:textId="77777777" w:rsidTr="00FE0FB5">
        <w:tblPrEx>
          <w:tblW w:w="8204" w:type="dxa"/>
          <w:tblLook w:val="04A0"/>
        </w:tblPrEx>
        <w:trPr>
          <w:trHeight w:val="270"/>
        </w:trPr>
        <w:tc>
          <w:tcPr>
            <w:tcW w:w="8204" w:type="dxa"/>
            <w:gridSpan w:val="4"/>
            <w:tcBorders>
              <w:top w:val="nil"/>
              <w:left w:val="nil"/>
              <w:bottom w:val="nil"/>
              <w:right w:val="nil"/>
            </w:tcBorders>
            <w:shd w:val="clear" w:color="auto" w:fill="auto"/>
            <w:vAlign w:val="bottom"/>
            <w:hideMark/>
          </w:tcPr>
          <w:p w:rsidR="000559E0" w:rsidRPr="000E449C" w:rsidP="00F10F13" w14:paraId="47043A25" w14:textId="6E286FD6">
            <w:pPr>
              <w:rPr>
                <w:color w:val="000000"/>
                <w:sz w:val="20"/>
                <w:szCs w:val="20"/>
              </w:rPr>
            </w:pPr>
            <w:r w:rsidRPr="001C4BCC">
              <w:rPr>
                <w:color w:val="000000"/>
                <w:sz w:val="20"/>
                <w:szCs w:val="20"/>
                <w:vertAlign w:val="superscript"/>
              </w:rPr>
              <w:t>e</w:t>
            </w:r>
            <w:r w:rsidRPr="000E449C">
              <w:rPr>
                <w:color w:val="000000"/>
                <w:sz w:val="20"/>
                <w:szCs w:val="20"/>
              </w:rPr>
              <w:t xml:space="preserve"> This value is based on FinCEN review of active, U.S. based market participants at year end 2023.</w:t>
            </w:r>
          </w:p>
        </w:tc>
      </w:tr>
    </w:tbl>
    <w:p w:rsidR="000559E0" w:rsidP="00F041A6" w14:paraId="25A1B353" w14:textId="77777777">
      <w:pPr>
        <w:rPr>
          <w:u w:val="single"/>
        </w:rPr>
      </w:pPr>
    </w:p>
    <w:p w:rsidR="006F052B" w:rsidRPr="00914E7A" w:rsidP="00F041A6" w14:paraId="2EE4D595" w14:textId="4AD96E43">
      <w:pPr>
        <w:rPr>
          <w:b/>
          <w:bCs/>
          <w:sz w:val="22"/>
          <w:szCs w:val="22"/>
        </w:rPr>
      </w:pPr>
      <w:r w:rsidRPr="003060C8">
        <w:rPr>
          <w:b/>
          <w:bCs/>
          <w:sz w:val="22"/>
          <w:szCs w:val="22"/>
        </w:rPr>
        <w:t xml:space="preserve">Table 2. </w:t>
      </w:r>
      <w:r w:rsidRPr="003060C8" w:rsidR="00FF3950">
        <w:rPr>
          <w:b/>
          <w:bCs/>
          <w:sz w:val="22"/>
          <w:szCs w:val="22"/>
        </w:rPr>
        <w:t xml:space="preserve">Burden Associated with Each </w:t>
      </w:r>
      <w:r w:rsidRPr="003060C8" w:rsidR="00C257DD">
        <w:rPr>
          <w:b/>
          <w:bCs/>
          <w:sz w:val="22"/>
          <w:szCs w:val="22"/>
        </w:rPr>
        <w:t xml:space="preserve">Action of the Annual PRA Burden for MSBs, Mutual </w:t>
      </w:r>
      <w:r w:rsidRPr="003060C8" w:rsidR="00211332">
        <w:rPr>
          <w:b/>
          <w:bCs/>
          <w:sz w:val="22"/>
          <w:szCs w:val="22"/>
        </w:rPr>
        <w:t>F</w:t>
      </w:r>
      <w:r w:rsidRPr="00914E7A" w:rsidR="00C257DD">
        <w:rPr>
          <w:b/>
          <w:bCs/>
          <w:sz w:val="22"/>
          <w:szCs w:val="22"/>
        </w:rPr>
        <w:t>unds, and Operators of Credit Card Systems</w:t>
      </w:r>
    </w:p>
    <w:tbl>
      <w:tblPr>
        <w:tblStyle w:val="TableGrid"/>
        <w:tblW w:w="8725" w:type="dxa"/>
        <w:tblLook w:val="04A0"/>
      </w:tblPr>
      <w:tblGrid>
        <w:gridCol w:w="2171"/>
        <w:gridCol w:w="1342"/>
        <w:gridCol w:w="1123"/>
        <w:gridCol w:w="1380"/>
        <w:gridCol w:w="1619"/>
        <w:gridCol w:w="1090"/>
      </w:tblGrid>
      <w:tr w14:paraId="72644439" w14:textId="77777777" w:rsidTr="00F10F13">
        <w:tblPrEx>
          <w:tblW w:w="8725" w:type="dxa"/>
          <w:tblLook w:val="04A0"/>
        </w:tblPrEx>
        <w:trPr>
          <w:tblHeader/>
        </w:trPr>
        <w:tc>
          <w:tcPr>
            <w:tcW w:w="2171" w:type="dxa"/>
            <w:vAlign w:val="center"/>
          </w:tcPr>
          <w:p w:rsidR="00464054" w:rsidRPr="00A7428E" w:rsidP="00F10F13" w14:paraId="52007458" w14:textId="77777777">
            <w:pPr>
              <w:rPr>
                <w:b/>
                <w:sz w:val="22"/>
                <w:szCs w:val="22"/>
              </w:rPr>
            </w:pPr>
            <w:r w:rsidRPr="00A7428E">
              <w:rPr>
                <w:b/>
                <w:sz w:val="22"/>
                <w:szCs w:val="22"/>
              </w:rPr>
              <w:t>Action</w:t>
            </w:r>
          </w:p>
        </w:tc>
        <w:tc>
          <w:tcPr>
            <w:tcW w:w="1342" w:type="dxa"/>
            <w:vAlign w:val="center"/>
          </w:tcPr>
          <w:p w:rsidR="00464054" w:rsidRPr="00A7428E" w:rsidP="00F10F13" w14:paraId="767C36F2" w14:textId="77777777">
            <w:pPr>
              <w:rPr>
                <w:b/>
                <w:sz w:val="22"/>
                <w:szCs w:val="22"/>
              </w:rPr>
            </w:pPr>
            <w:r w:rsidRPr="00A7428E">
              <w:rPr>
                <w:b/>
                <w:sz w:val="22"/>
                <w:szCs w:val="22"/>
              </w:rPr>
              <w:t>Instances per year</w:t>
            </w:r>
          </w:p>
        </w:tc>
        <w:tc>
          <w:tcPr>
            <w:tcW w:w="1123" w:type="dxa"/>
            <w:vAlign w:val="center"/>
          </w:tcPr>
          <w:p w:rsidR="00464054" w:rsidRPr="00A7428E" w:rsidP="00F10F13" w14:paraId="1654E019" w14:textId="77777777">
            <w:pPr>
              <w:rPr>
                <w:b/>
                <w:sz w:val="22"/>
                <w:szCs w:val="22"/>
              </w:rPr>
            </w:pPr>
            <w:r w:rsidRPr="00A7428E">
              <w:rPr>
                <w:b/>
                <w:sz w:val="22"/>
                <w:szCs w:val="22"/>
              </w:rPr>
              <w:t>Time per instance</w:t>
            </w:r>
          </w:p>
        </w:tc>
        <w:tc>
          <w:tcPr>
            <w:tcW w:w="1380" w:type="dxa"/>
          </w:tcPr>
          <w:p w:rsidR="00464054" w:rsidRPr="00A7428E" w:rsidP="00F10F13" w14:paraId="5125CE10" w14:textId="77777777">
            <w:pPr>
              <w:rPr>
                <w:b/>
                <w:sz w:val="22"/>
                <w:szCs w:val="22"/>
              </w:rPr>
            </w:pPr>
            <w:r w:rsidRPr="00A7428E">
              <w:rPr>
                <w:b/>
                <w:sz w:val="22"/>
                <w:szCs w:val="22"/>
              </w:rPr>
              <w:t>Type of financial institution</w:t>
            </w:r>
          </w:p>
        </w:tc>
        <w:tc>
          <w:tcPr>
            <w:tcW w:w="1619" w:type="dxa"/>
            <w:vAlign w:val="center"/>
          </w:tcPr>
          <w:p w:rsidR="00464054" w:rsidRPr="00A7428E" w:rsidP="00F10F13" w14:paraId="325F1162" w14:textId="77777777">
            <w:pPr>
              <w:rPr>
                <w:b/>
                <w:sz w:val="22"/>
                <w:szCs w:val="22"/>
              </w:rPr>
            </w:pPr>
            <w:r w:rsidRPr="00A7428E">
              <w:rPr>
                <w:b/>
                <w:sz w:val="22"/>
                <w:szCs w:val="22"/>
              </w:rPr>
              <w:t xml:space="preserve">Number of financial </w:t>
            </w:r>
            <w:r w:rsidRPr="674EC935">
              <w:rPr>
                <w:b/>
                <w:bCs/>
                <w:sz w:val="22"/>
                <w:szCs w:val="22"/>
              </w:rPr>
              <w:t xml:space="preserve">institutions </w:t>
            </w:r>
            <w:r w:rsidRPr="674EC935">
              <w:rPr>
                <w:sz w:val="22"/>
                <w:szCs w:val="22"/>
                <w:vertAlign w:val="superscript"/>
              </w:rPr>
              <w:t>a</w:t>
            </w:r>
          </w:p>
        </w:tc>
        <w:tc>
          <w:tcPr>
            <w:tcW w:w="1090" w:type="dxa"/>
            <w:vAlign w:val="center"/>
          </w:tcPr>
          <w:p w:rsidR="00464054" w:rsidRPr="00A7428E" w:rsidP="00F10F13" w14:paraId="042AA0B7" w14:textId="77777777">
            <w:pPr>
              <w:rPr>
                <w:b/>
                <w:sz w:val="22"/>
                <w:szCs w:val="22"/>
              </w:rPr>
            </w:pPr>
            <w:r w:rsidRPr="00A7428E">
              <w:rPr>
                <w:b/>
                <w:sz w:val="22"/>
                <w:szCs w:val="22"/>
              </w:rPr>
              <w:t xml:space="preserve">Total </w:t>
            </w:r>
            <w:r>
              <w:rPr>
                <w:b/>
                <w:sz w:val="22"/>
                <w:szCs w:val="22"/>
              </w:rPr>
              <w:t xml:space="preserve">hourly </w:t>
            </w:r>
            <w:r w:rsidRPr="00A7428E">
              <w:rPr>
                <w:b/>
                <w:sz w:val="22"/>
                <w:szCs w:val="22"/>
              </w:rPr>
              <w:t xml:space="preserve">burden </w:t>
            </w:r>
          </w:p>
        </w:tc>
      </w:tr>
      <w:tr w14:paraId="6249CB06" w14:textId="77777777" w:rsidTr="00F10F13">
        <w:tblPrEx>
          <w:tblW w:w="8725" w:type="dxa"/>
          <w:tblLook w:val="04A0"/>
        </w:tblPrEx>
        <w:tc>
          <w:tcPr>
            <w:tcW w:w="2171" w:type="dxa"/>
            <w:vAlign w:val="center"/>
          </w:tcPr>
          <w:p w:rsidR="00464054" w:rsidRPr="00A7428E" w:rsidP="00464054" w14:paraId="0B9A444F" w14:textId="77777777">
            <w:pPr>
              <w:pStyle w:val="ListParagraph"/>
              <w:numPr>
                <w:ilvl w:val="0"/>
                <w:numId w:val="5"/>
              </w:numPr>
              <w:spacing w:after="0" w:line="240" w:lineRule="auto"/>
              <w:rPr>
                <w:rFonts w:ascii="Times New Roman" w:hAnsi="Times New Roman"/>
              </w:rPr>
            </w:pPr>
            <w:r w:rsidRPr="00A7428E">
              <w:rPr>
                <w:rFonts w:ascii="Times New Roman" w:hAnsi="Times New Roman" w:eastAsiaTheme="minorHAnsi"/>
              </w:rPr>
              <w:t>Maintaining and updating the</w:t>
            </w:r>
            <w:r>
              <w:rPr>
                <w:rFonts w:ascii="Times New Roman" w:hAnsi="Times New Roman" w:eastAsiaTheme="minorHAnsi"/>
              </w:rPr>
              <w:t xml:space="preserve"> written</w:t>
            </w:r>
            <w:r w:rsidRPr="00A7428E">
              <w:rPr>
                <w:rFonts w:ascii="Times New Roman" w:hAnsi="Times New Roman" w:eastAsiaTheme="minorHAnsi"/>
              </w:rPr>
              <w:t xml:space="preserve"> AML program</w:t>
            </w:r>
          </w:p>
        </w:tc>
        <w:tc>
          <w:tcPr>
            <w:tcW w:w="1342" w:type="dxa"/>
            <w:vAlign w:val="center"/>
          </w:tcPr>
          <w:p w:rsidR="00464054" w:rsidRPr="00A7428E" w:rsidP="00F10F13" w14:paraId="383B3915" w14:textId="77777777">
            <w:pPr>
              <w:jc w:val="center"/>
              <w:rPr>
                <w:sz w:val="22"/>
                <w:szCs w:val="22"/>
              </w:rPr>
            </w:pPr>
            <w:r w:rsidRPr="00A7428E">
              <w:rPr>
                <w:sz w:val="22"/>
                <w:szCs w:val="22"/>
              </w:rPr>
              <w:t>1 per financial institution</w:t>
            </w:r>
          </w:p>
        </w:tc>
        <w:tc>
          <w:tcPr>
            <w:tcW w:w="1123" w:type="dxa"/>
            <w:vAlign w:val="center"/>
          </w:tcPr>
          <w:p w:rsidR="00464054" w:rsidRPr="00A7428E" w:rsidP="00F10F13" w14:paraId="53099ED0" w14:textId="77777777">
            <w:pPr>
              <w:jc w:val="center"/>
              <w:rPr>
                <w:sz w:val="22"/>
                <w:szCs w:val="22"/>
              </w:rPr>
            </w:pPr>
            <w:r w:rsidRPr="00A7428E">
              <w:rPr>
                <w:sz w:val="22"/>
                <w:szCs w:val="22"/>
              </w:rPr>
              <w:t>1 hour</w:t>
            </w:r>
          </w:p>
        </w:tc>
        <w:tc>
          <w:tcPr>
            <w:tcW w:w="1380" w:type="dxa"/>
            <w:vAlign w:val="center"/>
          </w:tcPr>
          <w:p w:rsidR="00464054" w:rsidRPr="00A7428E" w:rsidP="00F10F13" w14:paraId="331E76A4" w14:textId="77777777">
            <w:pPr>
              <w:jc w:val="center"/>
              <w:rPr>
                <w:sz w:val="22"/>
                <w:szCs w:val="22"/>
              </w:rPr>
            </w:pPr>
            <w:r w:rsidRPr="00A7428E">
              <w:rPr>
                <w:sz w:val="22"/>
                <w:szCs w:val="22"/>
              </w:rPr>
              <w:t>All except agent MSBs</w:t>
            </w:r>
          </w:p>
        </w:tc>
        <w:tc>
          <w:tcPr>
            <w:tcW w:w="1619" w:type="dxa"/>
            <w:vAlign w:val="center"/>
          </w:tcPr>
          <w:p w:rsidR="00464054" w:rsidRPr="00757BD1" w:rsidP="00F10F13" w14:paraId="32BA4CB1" w14:textId="4A9400E2">
            <w:pPr>
              <w:jc w:val="center"/>
              <w:rPr>
                <w:sz w:val="22"/>
                <w:szCs w:val="22"/>
              </w:rPr>
            </w:pPr>
            <w:r>
              <w:rPr>
                <w:sz w:val="22"/>
                <w:szCs w:val="22"/>
              </w:rPr>
              <w:t>28,904</w:t>
            </w:r>
          </w:p>
        </w:tc>
        <w:tc>
          <w:tcPr>
            <w:tcW w:w="1090" w:type="dxa"/>
            <w:vAlign w:val="center"/>
          </w:tcPr>
          <w:p w:rsidR="00464054" w:rsidRPr="00757BD1" w:rsidP="00F10F13" w14:paraId="301CF758" w14:textId="19496C2C">
            <w:pPr>
              <w:jc w:val="center"/>
              <w:rPr>
                <w:sz w:val="22"/>
                <w:szCs w:val="22"/>
              </w:rPr>
            </w:pPr>
            <w:r>
              <w:rPr>
                <w:sz w:val="22"/>
                <w:szCs w:val="22"/>
              </w:rPr>
              <w:t>28,904</w:t>
            </w:r>
          </w:p>
        </w:tc>
      </w:tr>
      <w:tr w14:paraId="4066A136" w14:textId="77777777" w:rsidTr="00F10F13">
        <w:tblPrEx>
          <w:tblW w:w="8725" w:type="dxa"/>
          <w:tblLook w:val="04A0"/>
        </w:tblPrEx>
        <w:tc>
          <w:tcPr>
            <w:tcW w:w="2171" w:type="dxa"/>
            <w:vAlign w:val="center"/>
          </w:tcPr>
          <w:p w:rsidR="00464054" w:rsidRPr="00A7428E" w:rsidP="00464054" w14:paraId="43FEA023" w14:textId="77777777">
            <w:pPr>
              <w:pStyle w:val="ListParagraph"/>
              <w:numPr>
                <w:ilvl w:val="0"/>
                <w:numId w:val="5"/>
              </w:numPr>
              <w:spacing w:after="0" w:line="240" w:lineRule="auto"/>
              <w:rPr>
                <w:rFonts w:ascii="Times New Roman" w:hAnsi="Times New Roman"/>
              </w:rPr>
            </w:pPr>
            <w:r w:rsidRPr="00A7428E">
              <w:rPr>
                <w:rFonts w:ascii="Times New Roman" w:hAnsi="Times New Roman" w:eastAsiaTheme="minorHAnsi"/>
              </w:rPr>
              <w:t xml:space="preserve">Storing the </w:t>
            </w:r>
            <w:r>
              <w:rPr>
                <w:rFonts w:ascii="Times New Roman" w:hAnsi="Times New Roman" w:eastAsiaTheme="minorHAnsi"/>
              </w:rPr>
              <w:t xml:space="preserve">written </w:t>
            </w:r>
            <w:r w:rsidRPr="00A7428E">
              <w:rPr>
                <w:rFonts w:ascii="Times New Roman" w:hAnsi="Times New Roman" w:eastAsiaTheme="minorHAnsi"/>
              </w:rPr>
              <w:t xml:space="preserve">AML program </w:t>
            </w:r>
          </w:p>
        </w:tc>
        <w:tc>
          <w:tcPr>
            <w:tcW w:w="1342" w:type="dxa"/>
            <w:vAlign w:val="center"/>
          </w:tcPr>
          <w:p w:rsidR="00464054" w:rsidRPr="00A7428E" w:rsidP="00F10F13" w14:paraId="1A523B54" w14:textId="77777777">
            <w:pPr>
              <w:jc w:val="center"/>
              <w:rPr>
                <w:sz w:val="22"/>
                <w:szCs w:val="22"/>
              </w:rPr>
            </w:pPr>
            <w:r w:rsidRPr="00A7428E">
              <w:rPr>
                <w:sz w:val="22"/>
                <w:szCs w:val="22"/>
              </w:rPr>
              <w:t>1 per financial institution</w:t>
            </w:r>
          </w:p>
        </w:tc>
        <w:tc>
          <w:tcPr>
            <w:tcW w:w="1123" w:type="dxa"/>
            <w:vAlign w:val="center"/>
          </w:tcPr>
          <w:p w:rsidR="00464054" w:rsidRPr="00A7428E" w:rsidP="00F10F13" w14:paraId="5FBACC79" w14:textId="77777777">
            <w:pPr>
              <w:jc w:val="center"/>
              <w:rPr>
                <w:sz w:val="22"/>
                <w:szCs w:val="22"/>
              </w:rPr>
            </w:pPr>
            <w:r w:rsidRPr="00A7428E">
              <w:rPr>
                <w:sz w:val="22"/>
                <w:szCs w:val="22"/>
              </w:rPr>
              <w:t>5 minutes</w:t>
            </w:r>
          </w:p>
        </w:tc>
        <w:tc>
          <w:tcPr>
            <w:tcW w:w="1380" w:type="dxa"/>
            <w:vAlign w:val="center"/>
          </w:tcPr>
          <w:p w:rsidR="00464054" w:rsidRPr="00A7428E" w:rsidP="00F10F13" w14:paraId="1C431853" w14:textId="77777777">
            <w:pPr>
              <w:jc w:val="center"/>
              <w:rPr>
                <w:sz w:val="22"/>
                <w:szCs w:val="22"/>
              </w:rPr>
            </w:pPr>
            <w:r w:rsidRPr="00A7428E">
              <w:rPr>
                <w:sz w:val="22"/>
                <w:szCs w:val="22"/>
              </w:rPr>
              <w:t>All</w:t>
            </w:r>
          </w:p>
        </w:tc>
        <w:tc>
          <w:tcPr>
            <w:tcW w:w="1619" w:type="dxa"/>
            <w:vAlign w:val="center"/>
          </w:tcPr>
          <w:p w:rsidR="00464054" w:rsidRPr="00757BD1" w:rsidP="00F10F13" w14:paraId="5508DDE0" w14:textId="77777777">
            <w:pPr>
              <w:jc w:val="center"/>
              <w:rPr>
                <w:sz w:val="22"/>
                <w:szCs w:val="22"/>
              </w:rPr>
            </w:pPr>
          </w:p>
          <w:p w:rsidR="00464054" w:rsidRPr="00757BD1" w:rsidP="00F10F13" w14:paraId="5034BD48" w14:textId="05ED82B1">
            <w:pPr>
              <w:jc w:val="center"/>
              <w:rPr>
                <w:sz w:val="22"/>
                <w:szCs w:val="22"/>
              </w:rPr>
            </w:pPr>
            <w:r>
              <w:rPr>
                <w:sz w:val="22"/>
                <w:szCs w:val="22"/>
              </w:rPr>
              <w:t>258</w:t>
            </w:r>
            <w:r w:rsidR="00BD3A04">
              <w:rPr>
                <w:sz w:val="22"/>
                <w:szCs w:val="22"/>
              </w:rPr>
              <w:t>,065</w:t>
            </w:r>
          </w:p>
          <w:p w:rsidR="00464054" w:rsidRPr="00757BD1" w:rsidP="00F10F13" w14:paraId="124E4402" w14:textId="77777777">
            <w:pPr>
              <w:jc w:val="center"/>
              <w:rPr>
                <w:sz w:val="22"/>
                <w:szCs w:val="22"/>
              </w:rPr>
            </w:pPr>
          </w:p>
        </w:tc>
        <w:tc>
          <w:tcPr>
            <w:tcW w:w="1090" w:type="dxa"/>
            <w:vAlign w:val="center"/>
          </w:tcPr>
          <w:p w:rsidR="00464054" w:rsidRPr="00757BD1" w:rsidP="00F10F13" w14:paraId="5F93B3D3" w14:textId="597B7125">
            <w:pPr>
              <w:jc w:val="center"/>
              <w:rPr>
                <w:sz w:val="22"/>
                <w:szCs w:val="22"/>
              </w:rPr>
            </w:pPr>
            <w:r>
              <w:rPr>
                <w:sz w:val="22"/>
                <w:szCs w:val="22"/>
              </w:rPr>
              <w:t>21,505</w:t>
            </w:r>
          </w:p>
        </w:tc>
      </w:tr>
      <w:tr w14:paraId="42923051" w14:textId="77777777" w:rsidTr="00F10F13">
        <w:tblPrEx>
          <w:tblW w:w="8725" w:type="dxa"/>
          <w:tblLook w:val="04A0"/>
        </w:tblPrEx>
        <w:tc>
          <w:tcPr>
            <w:tcW w:w="2171" w:type="dxa"/>
            <w:vAlign w:val="center"/>
          </w:tcPr>
          <w:p w:rsidR="00464054" w:rsidRPr="00A7428E" w:rsidP="00464054" w14:paraId="3C435C40" w14:textId="77777777">
            <w:pPr>
              <w:pStyle w:val="ListParagraph"/>
              <w:numPr>
                <w:ilvl w:val="0"/>
                <w:numId w:val="5"/>
              </w:numPr>
              <w:spacing w:after="0" w:line="240" w:lineRule="auto"/>
              <w:rPr>
                <w:rFonts w:ascii="Times New Roman" w:hAnsi="Times New Roman"/>
              </w:rPr>
            </w:pPr>
            <w:r w:rsidRPr="00A7428E">
              <w:rPr>
                <w:rFonts w:ascii="Times New Roman" w:hAnsi="Times New Roman" w:eastAsiaTheme="minorHAnsi"/>
              </w:rPr>
              <w:t>Producing the AML program upon request</w:t>
            </w:r>
          </w:p>
        </w:tc>
        <w:tc>
          <w:tcPr>
            <w:tcW w:w="1342" w:type="dxa"/>
            <w:vAlign w:val="center"/>
          </w:tcPr>
          <w:p w:rsidR="00464054" w:rsidRPr="00A7428E" w:rsidP="00F10F13" w14:paraId="7F36CF99" w14:textId="77777777">
            <w:pPr>
              <w:jc w:val="center"/>
              <w:rPr>
                <w:sz w:val="22"/>
                <w:szCs w:val="22"/>
              </w:rPr>
            </w:pPr>
            <w:r w:rsidRPr="00A7428E">
              <w:rPr>
                <w:sz w:val="22"/>
                <w:szCs w:val="22"/>
              </w:rPr>
              <w:t>1 per financial institution</w:t>
            </w:r>
          </w:p>
        </w:tc>
        <w:tc>
          <w:tcPr>
            <w:tcW w:w="1123" w:type="dxa"/>
            <w:vAlign w:val="center"/>
          </w:tcPr>
          <w:p w:rsidR="00464054" w:rsidRPr="00A7428E" w:rsidP="00F10F13" w14:paraId="74C7244E" w14:textId="77777777">
            <w:pPr>
              <w:jc w:val="center"/>
              <w:rPr>
                <w:sz w:val="22"/>
                <w:szCs w:val="22"/>
              </w:rPr>
            </w:pPr>
            <w:r w:rsidRPr="00A7428E">
              <w:rPr>
                <w:sz w:val="22"/>
                <w:szCs w:val="22"/>
              </w:rPr>
              <w:t>5 minutes</w:t>
            </w:r>
          </w:p>
        </w:tc>
        <w:tc>
          <w:tcPr>
            <w:tcW w:w="1380" w:type="dxa"/>
            <w:vAlign w:val="center"/>
          </w:tcPr>
          <w:p w:rsidR="00464054" w:rsidRPr="00A7428E" w:rsidP="00F10F13" w14:paraId="16C8AAC4" w14:textId="77777777">
            <w:pPr>
              <w:jc w:val="center"/>
              <w:rPr>
                <w:sz w:val="22"/>
                <w:szCs w:val="22"/>
              </w:rPr>
            </w:pPr>
            <w:r w:rsidRPr="00A7428E">
              <w:rPr>
                <w:sz w:val="22"/>
                <w:szCs w:val="22"/>
              </w:rPr>
              <w:t>All</w:t>
            </w:r>
          </w:p>
        </w:tc>
        <w:tc>
          <w:tcPr>
            <w:tcW w:w="1619" w:type="dxa"/>
            <w:vAlign w:val="center"/>
          </w:tcPr>
          <w:p w:rsidR="00464054" w:rsidRPr="00757BD1" w:rsidP="00F10F13" w14:paraId="2B4BE05F" w14:textId="77777777">
            <w:pPr>
              <w:jc w:val="center"/>
              <w:rPr>
                <w:sz w:val="22"/>
                <w:szCs w:val="22"/>
              </w:rPr>
            </w:pPr>
          </w:p>
          <w:p w:rsidR="00464054" w:rsidRPr="00757BD1" w:rsidP="00F10F13" w14:paraId="18EB54B6" w14:textId="59ACBE41">
            <w:pPr>
              <w:jc w:val="center"/>
              <w:rPr>
                <w:sz w:val="22"/>
                <w:szCs w:val="22"/>
              </w:rPr>
            </w:pPr>
            <w:r>
              <w:rPr>
                <w:sz w:val="22"/>
                <w:szCs w:val="22"/>
              </w:rPr>
              <w:t>258,065</w:t>
            </w:r>
          </w:p>
          <w:p w:rsidR="00464054" w:rsidRPr="00757BD1" w:rsidP="00F10F13" w14:paraId="171D8670" w14:textId="77777777">
            <w:pPr>
              <w:jc w:val="center"/>
              <w:rPr>
                <w:sz w:val="22"/>
                <w:szCs w:val="22"/>
              </w:rPr>
            </w:pPr>
          </w:p>
        </w:tc>
        <w:tc>
          <w:tcPr>
            <w:tcW w:w="1090" w:type="dxa"/>
            <w:vAlign w:val="center"/>
          </w:tcPr>
          <w:p w:rsidR="00464054" w:rsidRPr="00757BD1" w:rsidP="00F10F13" w14:paraId="62BB32A1" w14:textId="0BCE9107">
            <w:pPr>
              <w:jc w:val="center"/>
              <w:rPr>
                <w:sz w:val="22"/>
                <w:szCs w:val="22"/>
              </w:rPr>
            </w:pPr>
            <w:r>
              <w:rPr>
                <w:sz w:val="22"/>
                <w:szCs w:val="22"/>
              </w:rPr>
              <w:t>21,</w:t>
            </w:r>
            <w:r w:rsidR="00B45ED1">
              <w:rPr>
                <w:sz w:val="22"/>
                <w:szCs w:val="22"/>
              </w:rPr>
              <w:t>505</w:t>
            </w:r>
          </w:p>
        </w:tc>
      </w:tr>
      <w:tr w14:paraId="7792DF3B" w14:textId="77777777" w:rsidTr="00F10F13">
        <w:tblPrEx>
          <w:tblW w:w="8725" w:type="dxa"/>
          <w:tblLook w:val="04A0"/>
        </w:tblPrEx>
        <w:tc>
          <w:tcPr>
            <w:tcW w:w="2171" w:type="dxa"/>
            <w:vAlign w:val="center"/>
          </w:tcPr>
          <w:p w:rsidR="00464054" w:rsidRPr="00A7428E" w:rsidP="00464054" w14:paraId="7D54677E" w14:textId="77777777">
            <w:pPr>
              <w:pStyle w:val="ListParagraph"/>
              <w:numPr>
                <w:ilvl w:val="0"/>
                <w:numId w:val="5"/>
              </w:numPr>
              <w:spacing w:after="0" w:line="240" w:lineRule="auto"/>
              <w:rPr>
                <w:rFonts w:ascii="Times New Roman" w:hAnsi="Times New Roman" w:eastAsiaTheme="minorHAnsi"/>
              </w:rPr>
            </w:pPr>
            <w:r w:rsidRPr="00A7428E">
              <w:rPr>
                <w:rFonts w:ascii="Times New Roman" w:hAnsi="Times New Roman" w:eastAsiaTheme="minorHAnsi"/>
              </w:rPr>
              <w:t>Board of directors/</w:t>
            </w:r>
            <w:r w:rsidRPr="00A7428E">
              <w:rPr>
                <w:rFonts w:ascii="Times New Roman" w:hAnsi="Times New Roman" w:eastAsiaTheme="minorHAnsi"/>
              </w:rPr>
              <w:t>trustees</w:t>
            </w:r>
            <w:r w:rsidRPr="00A7428E">
              <w:rPr>
                <w:rFonts w:ascii="Times New Roman" w:hAnsi="Times New Roman" w:eastAsiaTheme="minorHAnsi"/>
              </w:rPr>
              <w:t xml:space="preserve"> approval of the </w:t>
            </w:r>
            <w:r>
              <w:rPr>
                <w:rFonts w:ascii="Times New Roman" w:hAnsi="Times New Roman" w:eastAsiaTheme="minorHAnsi"/>
              </w:rPr>
              <w:t xml:space="preserve">AML </w:t>
            </w:r>
            <w:r w:rsidRPr="00A7428E">
              <w:rPr>
                <w:rFonts w:ascii="Times New Roman" w:hAnsi="Times New Roman" w:eastAsiaTheme="minorHAnsi"/>
              </w:rPr>
              <w:t>program</w:t>
            </w:r>
          </w:p>
        </w:tc>
        <w:tc>
          <w:tcPr>
            <w:tcW w:w="1342" w:type="dxa"/>
            <w:vAlign w:val="center"/>
          </w:tcPr>
          <w:p w:rsidR="00464054" w:rsidRPr="00A7428E" w:rsidP="00F10F13" w14:paraId="2A134556" w14:textId="77777777">
            <w:pPr>
              <w:jc w:val="center"/>
              <w:rPr>
                <w:sz w:val="22"/>
                <w:szCs w:val="22"/>
              </w:rPr>
            </w:pPr>
            <w:r w:rsidRPr="00A7428E">
              <w:rPr>
                <w:sz w:val="22"/>
                <w:szCs w:val="22"/>
              </w:rPr>
              <w:t>1 per financial institution</w:t>
            </w:r>
          </w:p>
        </w:tc>
        <w:tc>
          <w:tcPr>
            <w:tcW w:w="1123" w:type="dxa"/>
            <w:vAlign w:val="center"/>
          </w:tcPr>
          <w:p w:rsidR="00464054" w:rsidRPr="00A7428E" w:rsidP="00F10F13" w14:paraId="4057B1C2" w14:textId="77777777">
            <w:pPr>
              <w:jc w:val="center"/>
              <w:rPr>
                <w:sz w:val="22"/>
                <w:szCs w:val="22"/>
              </w:rPr>
            </w:pPr>
            <w:r w:rsidRPr="00A7428E">
              <w:rPr>
                <w:sz w:val="22"/>
                <w:szCs w:val="22"/>
              </w:rPr>
              <w:t>1 hour</w:t>
            </w:r>
          </w:p>
        </w:tc>
        <w:tc>
          <w:tcPr>
            <w:tcW w:w="1380" w:type="dxa"/>
            <w:vAlign w:val="center"/>
          </w:tcPr>
          <w:p w:rsidR="00464054" w:rsidRPr="00A7428E" w:rsidP="00F10F13" w14:paraId="7F4B3E2F" w14:textId="2568BE57">
            <w:pPr>
              <w:jc w:val="center"/>
              <w:rPr>
                <w:sz w:val="22"/>
                <w:szCs w:val="22"/>
              </w:rPr>
            </w:pPr>
            <w:r>
              <w:rPr>
                <w:sz w:val="22"/>
                <w:szCs w:val="22"/>
              </w:rPr>
              <w:t>M</w:t>
            </w:r>
            <w:r w:rsidRPr="00A7428E">
              <w:rPr>
                <w:sz w:val="22"/>
                <w:szCs w:val="22"/>
              </w:rPr>
              <w:t>utual funds</w:t>
            </w:r>
          </w:p>
        </w:tc>
        <w:tc>
          <w:tcPr>
            <w:tcW w:w="1619" w:type="dxa"/>
            <w:vAlign w:val="center"/>
          </w:tcPr>
          <w:p w:rsidR="00464054" w:rsidRPr="00757BD1" w:rsidP="00F10F13" w14:paraId="049D81B2" w14:textId="1ED87E54">
            <w:pPr>
              <w:jc w:val="center"/>
              <w:rPr>
                <w:sz w:val="22"/>
                <w:szCs w:val="22"/>
              </w:rPr>
            </w:pPr>
            <w:r>
              <w:rPr>
                <w:sz w:val="22"/>
                <w:szCs w:val="22"/>
              </w:rPr>
              <w:t>1,400</w:t>
            </w:r>
          </w:p>
        </w:tc>
        <w:tc>
          <w:tcPr>
            <w:tcW w:w="1090" w:type="dxa"/>
            <w:vAlign w:val="center"/>
          </w:tcPr>
          <w:p w:rsidR="00464054" w:rsidRPr="00757BD1" w:rsidP="00F10F13" w14:paraId="29853D71" w14:textId="42B41321">
            <w:pPr>
              <w:jc w:val="center"/>
              <w:rPr>
                <w:sz w:val="22"/>
                <w:szCs w:val="22"/>
              </w:rPr>
            </w:pPr>
            <w:r>
              <w:rPr>
                <w:sz w:val="22"/>
                <w:szCs w:val="22"/>
              </w:rPr>
              <w:t>1,400</w:t>
            </w:r>
          </w:p>
        </w:tc>
      </w:tr>
      <w:tr w14:paraId="3DCA722A" w14:textId="77777777" w:rsidTr="00F10F13">
        <w:tblPrEx>
          <w:tblW w:w="8725" w:type="dxa"/>
          <w:tblLook w:val="04A0"/>
        </w:tblPrEx>
        <w:trPr>
          <w:trHeight w:val="1556"/>
        </w:trPr>
        <w:tc>
          <w:tcPr>
            <w:tcW w:w="2171" w:type="dxa"/>
            <w:tcBorders>
              <w:bottom w:val="single" w:sz="12" w:space="0" w:color="auto"/>
            </w:tcBorders>
            <w:vAlign w:val="center"/>
          </w:tcPr>
          <w:p w:rsidR="00464054" w:rsidRPr="00A7428E" w:rsidP="00464054" w14:paraId="588AC9B3" w14:textId="77777777">
            <w:pPr>
              <w:pStyle w:val="ListParagraph"/>
              <w:numPr>
                <w:ilvl w:val="0"/>
                <w:numId w:val="5"/>
              </w:numPr>
              <w:spacing w:after="0" w:line="240" w:lineRule="auto"/>
              <w:rPr>
                <w:rFonts w:ascii="Times New Roman" w:hAnsi="Times New Roman"/>
              </w:rPr>
            </w:pPr>
            <w:r w:rsidRPr="00A7428E">
              <w:rPr>
                <w:rFonts w:ascii="Times New Roman" w:hAnsi="Times New Roman" w:eastAsiaTheme="minorHAnsi"/>
              </w:rPr>
              <w:t>Obtaining, verifying, and storing cardholder identifying information</w:t>
            </w:r>
          </w:p>
        </w:tc>
        <w:tc>
          <w:tcPr>
            <w:tcW w:w="1342" w:type="dxa"/>
            <w:tcBorders>
              <w:bottom w:val="single" w:sz="12" w:space="0" w:color="auto"/>
            </w:tcBorders>
            <w:vAlign w:val="center"/>
          </w:tcPr>
          <w:p w:rsidR="00464054" w:rsidRPr="00A7428E" w:rsidP="00F10F13" w14:paraId="5F68CE30" w14:textId="77777777">
            <w:pPr>
              <w:jc w:val="center"/>
              <w:rPr>
                <w:sz w:val="22"/>
                <w:szCs w:val="22"/>
              </w:rPr>
            </w:pPr>
            <w:r w:rsidRPr="00A7428E">
              <w:rPr>
                <w:sz w:val="22"/>
                <w:szCs w:val="22"/>
              </w:rPr>
              <w:t>2.6 million (once per card)</w:t>
            </w:r>
          </w:p>
        </w:tc>
        <w:tc>
          <w:tcPr>
            <w:tcW w:w="1123" w:type="dxa"/>
            <w:tcBorders>
              <w:bottom w:val="single" w:sz="12" w:space="0" w:color="auto"/>
            </w:tcBorders>
            <w:vAlign w:val="center"/>
          </w:tcPr>
          <w:p w:rsidR="00464054" w:rsidRPr="00A7428E" w:rsidP="00F10F13" w14:paraId="52BAF26F" w14:textId="77777777">
            <w:pPr>
              <w:jc w:val="center"/>
              <w:rPr>
                <w:sz w:val="22"/>
                <w:szCs w:val="22"/>
              </w:rPr>
            </w:pPr>
            <w:r w:rsidRPr="00A7428E">
              <w:rPr>
                <w:sz w:val="22"/>
                <w:szCs w:val="22"/>
              </w:rPr>
              <w:t>2 minutes</w:t>
            </w:r>
          </w:p>
        </w:tc>
        <w:tc>
          <w:tcPr>
            <w:tcW w:w="1380" w:type="dxa"/>
            <w:tcBorders>
              <w:bottom w:val="single" w:sz="12" w:space="0" w:color="auto"/>
            </w:tcBorders>
            <w:vAlign w:val="center"/>
          </w:tcPr>
          <w:p w:rsidR="00464054" w:rsidRPr="00A7428E" w:rsidP="00F10F13" w14:paraId="68F374D9" w14:textId="77777777">
            <w:pPr>
              <w:jc w:val="center"/>
              <w:rPr>
                <w:sz w:val="22"/>
                <w:szCs w:val="22"/>
              </w:rPr>
            </w:pPr>
            <w:r w:rsidRPr="00A7428E">
              <w:rPr>
                <w:sz w:val="22"/>
                <w:szCs w:val="22"/>
              </w:rPr>
              <w:t>Providers or sellers of prepaid access</w:t>
            </w:r>
          </w:p>
        </w:tc>
        <w:tc>
          <w:tcPr>
            <w:tcW w:w="1619" w:type="dxa"/>
            <w:tcBorders>
              <w:bottom w:val="single" w:sz="12" w:space="0" w:color="auto"/>
            </w:tcBorders>
            <w:vAlign w:val="center"/>
          </w:tcPr>
          <w:p w:rsidR="00464054" w:rsidRPr="00A7428E" w:rsidP="00F10F13" w14:paraId="5ED69195" w14:textId="77777777">
            <w:pPr>
              <w:jc w:val="center"/>
              <w:rPr>
                <w:sz w:val="22"/>
                <w:szCs w:val="22"/>
              </w:rPr>
            </w:pPr>
            <w:r>
              <w:rPr>
                <w:sz w:val="22"/>
                <w:szCs w:val="22"/>
              </w:rPr>
              <w:t>2,605</w:t>
            </w:r>
          </w:p>
        </w:tc>
        <w:tc>
          <w:tcPr>
            <w:tcW w:w="1090" w:type="dxa"/>
            <w:tcBorders>
              <w:bottom w:val="single" w:sz="12" w:space="0" w:color="auto"/>
            </w:tcBorders>
            <w:vAlign w:val="center"/>
          </w:tcPr>
          <w:p w:rsidR="00464054" w:rsidRPr="00E42ACF" w:rsidP="00F10F13" w14:paraId="689BD86B" w14:textId="77777777">
            <w:pPr>
              <w:jc w:val="center"/>
              <w:rPr>
                <w:sz w:val="22"/>
                <w:szCs w:val="22"/>
              </w:rPr>
            </w:pPr>
            <w:r w:rsidRPr="00E42ACF">
              <w:rPr>
                <w:sz w:val="22"/>
                <w:szCs w:val="22"/>
              </w:rPr>
              <w:t>86,667</w:t>
            </w:r>
          </w:p>
        </w:tc>
      </w:tr>
      <w:tr w14:paraId="764F409E" w14:textId="77777777" w:rsidTr="00F10F13">
        <w:tblPrEx>
          <w:tblW w:w="8725" w:type="dxa"/>
          <w:tblLook w:val="04A0"/>
        </w:tblPrEx>
        <w:trPr>
          <w:trHeight w:val="458"/>
        </w:trPr>
        <w:tc>
          <w:tcPr>
            <w:tcW w:w="7635" w:type="dxa"/>
            <w:gridSpan w:val="5"/>
            <w:tcBorders>
              <w:top w:val="single" w:sz="12" w:space="0" w:color="auto"/>
              <w:left w:val="single" w:sz="12" w:space="0" w:color="auto"/>
              <w:bottom w:val="single" w:sz="4" w:space="0" w:color="auto"/>
              <w:right w:val="single" w:sz="6" w:space="0" w:color="auto"/>
            </w:tcBorders>
            <w:vAlign w:val="center"/>
          </w:tcPr>
          <w:p w:rsidR="00464054" w:rsidRPr="00052EF2" w:rsidP="00F10F13" w14:paraId="1A8A8150" w14:textId="77777777">
            <w:pPr>
              <w:rPr>
                <w:b/>
                <w:sz w:val="22"/>
                <w:szCs w:val="22"/>
              </w:rPr>
            </w:pPr>
            <w:r w:rsidRPr="00052EF2">
              <w:rPr>
                <w:b/>
                <w:sz w:val="22"/>
                <w:szCs w:val="22"/>
              </w:rPr>
              <w:t>Total Hourly Burden</w:t>
            </w:r>
          </w:p>
        </w:tc>
        <w:tc>
          <w:tcPr>
            <w:tcW w:w="1090" w:type="dxa"/>
            <w:tcBorders>
              <w:top w:val="single" w:sz="12" w:space="0" w:color="auto"/>
              <w:left w:val="single" w:sz="6" w:space="0" w:color="auto"/>
              <w:bottom w:val="single" w:sz="4" w:space="0" w:color="auto"/>
              <w:right w:val="single" w:sz="12" w:space="0" w:color="auto"/>
            </w:tcBorders>
            <w:vAlign w:val="center"/>
          </w:tcPr>
          <w:p w:rsidR="00464054" w:rsidRPr="00E42ACF" w:rsidP="00F10F13" w14:paraId="4E8F9B8D" w14:textId="3FA41839">
            <w:pPr>
              <w:jc w:val="right"/>
              <w:rPr>
                <w:b/>
                <w:bCs/>
                <w:sz w:val="22"/>
                <w:szCs w:val="22"/>
              </w:rPr>
            </w:pPr>
            <w:r w:rsidRPr="00757BD1">
              <w:rPr>
                <w:b/>
                <w:bCs/>
                <w:sz w:val="22"/>
                <w:szCs w:val="22"/>
              </w:rPr>
              <w:t>1</w:t>
            </w:r>
            <w:r w:rsidR="00AF287E">
              <w:rPr>
                <w:b/>
                <w:bCs/>
                <w:sz w:val="22"/>
                <w:szCs w:val="22"/>
              </w:rPr>
              <w:t>59,982</w:t>
            </w:r>
          </w:p>
        </w:tc>
      </w:tr>
      <w:tr w14:paraId="4336B45D" w14:textId="77777777" w:rsidTr="00F10F13">
        <w:tblPrEx>
          <w:tblW w:w="8725" w:type="dxa"/>
          <w:tblLook w:val="04A0"/>
        </w:tblPrEx>
        <w:trPr>
          <w:trHeight w:val="458"/>
        </w:trPr>
        <w:tc>
          <w:tcPr>
            <w:tcW w:w="7635" w:type="dxa"/>
            <w:gridSpan w:val="5"/>
            <w:tcBorders>
              <w:top w:val="single" w:sz="4" w:space="0" w:color="auto"/>
              <w:left w:val="nil"/>
              <w:bottom w:val="nil"/>
              <w:right w:val="nil"/>
            </w:tcBorders>
            <w:shd w:val="clear" w:color="auto" w:fill="auto"/>
            <w:vAlign w:val="center"/>
          </w:tcPr>
          <w:p w:rsidR="00464054" w:rsidRPr="00C85839" w:rsidP="00F10F13" w14:paraId="596EE9C7" w14:textId="77777777">
            <w:pPr>
              <w:rPr>
                <w:b/>
                <w:sz w:val="20"/>
                <w:szCs w:val="20"/>
              </w:rPr>
            </w:pPr>
            <w:r w:rsidRPr="00C85839">
              <w:rPr>
                <w:bCs/>
                <w:sz w:val="20"/>
                <w:szCs w:val="20"/>
                <w:vertAlign w:val="superscript"/>
              </w:rPr>
              <w:t>a</w:t>
            </w:r>
            <w:r w:rsidRPr="00C85839">
              <w:rPr>
                <w:b/>
                <w:sz w:val="20"/>
                <w:szCs w:val="20"/>
              </w:rPr>
              <w:t xml:space="preserve"> </w:t>
            </w:r>
            <w:r w:rsidRPr="00C85839">
              <w:rPr>
                <w:sz w:val="20"/>
                <w:szCs w:val="20"/>
              </w:rPr>
              <w:t>As</w:t>
            </w:r>
            <w:r w:rsidRPr="00C85839">
              <w:rPr>
                <w:sz w:val="20"/>
                <w:szCs w:val="20"/>
              </w:rPr>
              <w:t xml:space="preserve"> set out in Table 1 above.</w:t>
            </w:r>
          </w:p>
        </w:tc>
        <w:tc>
          <w:tcPr>
            <w:tcW w:w="1090" w:type="dxa"/>
            <w:tcBorders>
              <w:top w:val="single" w:sz="4" w:space="0" w:color="auto"/>
              <w:left w:val="nil"/>
              <w:bottom w:val="nil"/>
              <w:right w:val="nil"/>
            </w:tcBorders>
            <w:shd w:val="clear" w:color="auto" w:fill="auto"/>
            <w:vAlign w:val="center"/>
          </w:tcPr>
          <w:p w:rsidR="00464054" w:rsidRPr="00757BD1" w:rsidP="00F10F13" w14:paraId="0F0B6537" w14:textId="77777777">
            <w:pPr>
              <w:jc w:val="right"/>
              <w:rPr>
                <w:b/>
                <w:bCs/>
                <w:sz w:val="22"/>
                <w:szCs w:val="22"/>
              </w:rPr>
            </w:pPr>
          </w:p>
        </w:tc>
      </w:tr>
    </w:tbl>
    <w:p w:rsidR="00AF7352" w:rsidRPr="00D37498" w:rsidP="00F041A6" w14:paraId="1202F218" w14:textId="77777777">
      <w:pPr>
        <w:rPr>
          <w:u w:val="single"/>
        </w:rPr>
      </w:pPr>
    </w:p>
    <w:p w:rsidR="004724F4" w:rsidP="004724F4" w14:paraId="2C6B831E" w14:textId="3EDE364F">
      <w:pPr>
        <w:rPr>
          <w:snapToGrid w:val="0"/>
        </w:rPr>
      </w:pPr>
      <w:r w:rsidRPr="00FE0FB5">
        <w:rPr>
          <w:bCs/>
          <w:snapToGrid w:val="0"/>
          <w:u w:val="single"/>
        </w:rPr>
        <w:t>Estimated Total Burden Hours</w:t>
      </w:r>
      <w:r w:rsidR="00E164D0">
        <w:rPr>
          <w:bCs/>
          <w:snapToGrid w:val="0"/>
        </w:rPr>
        <w:t>:</w:t>
      </w:r>
      <w:r w:rsidR="00E73A37">
        <w:rPr>
          <w:bCs/>
          <w:snapToGrid w:val="0"/>
        </w:rPr>
        <w:t xml:space="preserve">  </w:t>
      </w:r>
      <w:r w:rsidR="0020357C">
        <w:rPr>
          <w:snapToGrid w:val="0"/>
        </w:rPr>
        <w:t>159,982</w:t>
      </w:r>
      <w:r w:rsidR="00FE2A26">
        <w:rPr>
          <w:snapToGrid w:val="0"/>
        </w:rPr>
        <w:t xml:space="preserve"> hours.</w:t>
      </w:r>
    </w:p>
    <w:p w:rsidR="00A21D97" w:rsidP="004724F4" w14:paraId="14CC3C03" w14:textId="77777777">
      <w:pPr>
        <w:rPr>
          <w:snapToGrid w:val="0"/>
        </w:rPr>
      </w:pPr>
    </w:p>
    <w:p w:rsidR="00A21D97" w:rsidP="00A21D97" w14:paraId="175A196B" w14:textId="77777777">
      <w:pPr>
        <w:widowControl w:val="0"/>
        <w:autoSpaceDE w:val="0"/>
        <w:autoSpaceDN w:val="0"/>
        <w:adjustRightInd w:val="0"/>
        <w:spacing w:line="240" w:lineRule="exact"/>
        <w:jc w:val="both"/>
      </w:pPr>
      <w:r>
        <w:rPr>
          <w:snapToGrid w:val="0"/>
        </w:rPr>
        <w:t xml:space="preserve">13. </w:t>
      </w:r>
      <w:r>
        <w:rPr>
          <w:u w:val="single"/>
        </w:rPr>
        <w:t>Estimated total annual cost burden of information collection.</w:t>
      </w:r>
      <w:r>
        <w:t xml:space="preserve"> </w:t>
      </w:r>
    </w:p>
    <w:p w:rsidR="00A21D97" w:rsidP="00A21D97" w14:paraId="768DE666" w14:textId="77777777">
      <w:pPr>
        <w:rPr>
          <w:u w:val="single"/>
        </w:rPr>
      </w:pPr>
    </w:p>
    <w:p w:rsidR="00A21D97" w:rsidP="00A21D97" w14:paraId="3CCCD0AA" w14:textId="77777777">
      <w:pPr>
        <w:rPr>
          <w:u w:val="single"/>
        </w:rPr>
      </w:pPr>
      <w:r w:rsidRPr="006C00EC">
        <w:rPr>
          <w:u w:val="single"/>
        </w:rPr>
        <w:t xml:space="preserve">Estimated Total Annual Recordkeeping Cost:  </w:t>
      </w:r>
    </w:p>
    <w:p w:rsidR="00DE00A6" w:rsidP="00A21D97" w14:paraId="240F8F03" w14:textId="77777777">
      <w:pPr>
        <w:rPr>
          <w:u w:val="single"/>
        </w:rPr>
      </w:pPr>
    </w:p>
    <w:p w:rsidR="00B9027A" w:rsidP="004724F4" w14:paraId="22B12581" w14:textId="77777777">
      <w:pPr>
        <w:rPr>
          <w:b/>
          <w:bCs/>
          <w:snapToGrid w:val="0"/>
          <w:sz w:val="22"/>
          <w:szCs w:val="22"/>
        </w:rPr>
      </w:pPr>
    </w:p>
    <w:p w:rsidR="00B9027A" w:rsidP="004724F4" w14:paraId="576DAF1D" w14:textId="77777777">
      <w:pPr>
        <w:rPr>
          <w:b/>
          <w:bCs/>
          <w:snapToGrid w:val="0"/>
          <w:sz w:val="22"/>
          <w:szCs w:val="22"/>
        </w:rPr>
      </w:pPr>
    </w:p>
    <w:p w:rsidR="00B9027A" w:rsidP="004724F4" w14:paraId="2E376F97" w14:textId="77777777">
      <w:pPr>
        <w:rPr>
          <w:b/>
          <w:bCs/>
          <w:snapToGrid w:val="0"/>
          <w:sz w:val="22"/>
          <w:szCs w:val="22"/>
        </w:rPr>
      </w:pPr>
    </w:p>
    <w:p w:rsidR="00B9027A" w:rsidP="004724F4" w14:paraId="404FD1FA" w14:textId="77777777">
      <w:pPr>
        <w:rPr>
          <w:b/>
          <w:bCs/>
          <w:snapToGrid w:val="0"/>
          <w:sz w:val="22"/>
          <w:szCs w:val="22"/>
        </w:rPr>
      </w:pPr>
    </w:p>
    <w:p w:rsidR="00B9027A" w:rsidP="004724F4" w14:paraId="4FF1C64E" w14:textId="77777777">
      <w:pPr>
        <w:rPr>
          <w:b/>
          <w:bCs/>
          <w:snapToGrid w:val="0"/>
          <w:sz w:val="22"/>
          <w:szCs w:val="22"/>
        </w:rPr>
      </w:pPr>
    </w:p>
    <w:p w:rsidR="00B9027A" w:rsidP="004724F4" w14:paraId="189B4412" w14:textId="77777777">
      <w:pPr>
        <w:rPr>
          <w:b/>
          <w:bCs/>
          <w:snapToGrid w:val="0"/>
          <w:sz w:val="22"/>
          <w:szCs w:val="22"/>
        </w:rPr>
      </w:pPr>
    </w:p>
    <w:p w:rsidR="00B9027A" w:rsidP="004724F4" w14:paraId="689DD4D9" w14:textId="77777777">
      <w:pPr>
        <w:rPr>
          <w:b/>
          <w:bCs/>
          <w:snapToGrid w:val="0"/>
          <w:sz w:val="22"/>
          <w:szCs w:val="22"/>
        </w:rPr>
      </w:pPr>
    </w:p>
    <w:p w:rsidR="00A21D97" w:rsidRPr="003060C8" w:rsidP="004724F4" w14:paraId="5EF97080" w14:textId="178F1ED0">
      <w:pPr>
        <w:rPr>
          <w:b/>
          <w:bCs/>
          <w:sz w:val="22"/>
          <w:szCs w:val="22"/>
        </w:rPr>
      </w:pPr>
      <w:r w:rsidRPr="003060C8">
        <w:rPr>
          <w:b/>
          <w:bCs/>
          <w:snapToGrid w:val="0"/>
          <w:sz w:val="22"/>
          <w:szCs w:val="22"/>
        </w:rPr>
        <w:t>Table 3</w:t>
      </w:r>
      <w:r w:rsidRPr="003060C8" w:rsidR="00211332">
        <w:rPr>
          <w:b/>
          <w:bCs/>
          <w:snapToGrid w:val="0"/>
          <w:sz w:val="22"/>
          <w:szCs w:val="22"/>
        </w:rPr>
        <w:t xml:space="preserve">. Total Cost of the Annual PRA Burden for </w:t>
      </w:r>
      <w:r w:rsidRPr="003060C8" w:rsidR="00211332">
        <w:rPr>
          <w:b/>
          <w:bCs/>
          <w:sz w:val="22"/>
          <w:szCs w:val="22"/>
        </w:rPr>
        <w:t>MSBs, Mutual Funds, and Operators of Credit Card Systems</w:t>
      </w:r>
    </w:p>
    <w:tbl>
      <w:tblPr>
        <w:tblStyle w:val="TableGrid"/>
        <w:tblW w:w="9577" w:type="dxa"/>
        <w:tblInd w:w="-5" w:type="dxa"/>
        <w:tblLook w:val="04A0"/>
      </w:tblPr>
      <w:tblGrid>
        <w:gridCol w:w="3691"/>
        <w:gridCol w:w="1302"/>
        <w:gridCol w:w="1316"/>
        <w:gridCol w:w="1023"/>
        <w:gridCol w:w="2245"/>
      </w:tblGrid>
      <w:tr w14:paraId="73A74F25" w14:textId="77777777" w:rsidTr="00F10F13">
        <w:tblPrEx>
          <w:tblW w:w="9577" w:type="dxa"/>
          <w:tblInd w:w="-5" w:type="dxa"/>
          <w:tblLook w:val="04A0"/>
        </w:tblPrEx>
        <w:trPr>
          <w:tblHeader/>
        </w:trPr>
        <w:tc>
          <w:tcPr>
            <w:tcW w:w="3691" w:type="dxa"/>
            <w:vMerge w:val="restart"/>
            <w:vAlign w:val="center"/>
          </w:tcPr>
          <w:p w:rsidR="00EE75E3" w:rsidRPr="001A1511" w:rsidP="00F10F13" w14:paraId="1D588219" w14:textId="77777777">
            <w:pPr>
              <w:rPr>
                <w:b/>
                <w:sz w:val="22"/>
                <w:szCs w:val="22"/>
              </w:rPr>
            </w:pPr>
            <w:r w:rsidRPr="001A1511">
              <w:rPr>
                <w:b/>
                <w:sz w:val="22"/>
                <w:szCs w:val="22"/>
              </w:rPr>
              <w:t>Action</w:t>
            </w:r>
          </w:p>
        </w:tc>
        <w:tc>
          <w:tcPr>
            <w:tcW w:w="1302" w:type="dxa"/>
            <w:vAlign w:val="center"/>
          </w:tcPr>
          <w:p w:rsidR="00EE75E3" w:rsidRPr="001A1511" w:rsidP="00F10F13" w14:paraId="6783AB5B" w14:textId="77777777">
            <w:pPr>
              <w:rPr>
                <w:b/>
                <w:sz w:val="22"/>
                <w:szCs w:val="22"/>
              </w:rPr>
            </w:pPr>
            <w:r w:rsidRPr="001A1511">
              <w:rPr>
                <w:b/>
                <w:sz w:val="22"/>
                <w:szCs w:val="22"/>
              </w:rPr>
              <w:t>Total burden in hours</w:t>
            </w:r>
          </w:p>
        </w:tc>
        <w:tc>
          <w:tcPr>
            <w:tcW w:w="2339" w:type="dxa"/>
            <w:gridSpan w:val="2"/>
            <w:vAlign w:val="center"/>
          </w:tcPr>
          <w:p w:rsidR="00EE75E3" w:rsidRPr="001A1511" w:rsidP="00F10F13" w14:paraId="4151BDB1" w14:textId="77777777">
            <w:pPr>
              <w:rPr>
                <w:b/>
                <w:sz w:val="22"/>
                <w:szCs w:val="22"/>
              </w:rPr>
            </w:pPr>
            <w:r w:rsidRPr="001A1511">
              <w:rPr>
                <w:b/>
                <w:sz w:val="22"/>
                <w:szCs w:val="22"/>
              </w:rPr>
              <w:t>Hourly cost</w:t>
            </w:r>
          </w:p>
        </w:tc>
        <w:tc>
          <w:tcPr>
            <w:tcW w:w="2245" w:type="dxa"/>
            <w:vMerge w:val="restart"/>
            <w:vAlign w:val="center"/>
          </w:tcPr>
          <w:p w:rsidR="00EE75E3" w:rsidRPr="001A1511" w:rsidP="00F10F13" w14:paraId="77E6FDE6" w14:textId="77777777">
            <w:pPr>
              <w:rPr>
                <w:b/>
                <w:sz w:val="22"/>
                <w:szCs w:val="22"/>
              </w:rPr>
            </w:pPr>
            <w:r w:rsidRPr="001A1511">
              <w:rPr>
                <w:b/>
                <w:sz w:val="22"/>
                <w:szCs w:val="22"/>
              </w:rPr>
              <w:t>Total cost</w:t>
            </w:r>
          </w:p>
        </w:tc>
      </w:tr>
      <w:tr w14:paraId="4EBA485B" w14:textId="77777777" w:rsidTr="00F10F13">
        <w:tblPrEx>
          <w:tblW w:w="9577" w:type="dxa"/>
          <w:tblInd w:w="-5" w:type="dxa"/>
          <w:tblLook w:val="04A0"/>
        </w:tblPrEx>
        <w:tc>
          <w:tcPr>
            <w:tcW w:w="3691" w:type="dxa"/>
            <w:vMerge/>
            <w:vAlign w:val="center"/>
          </w:tcPr>
          <w:p w:rsidR="00EE75E3" w:rsidRPr="001A1511" w:rsidP="00F10F13" w14:paraId="74944289" w14:textId="77777777">
            <w:pPr>
              <w:rPr>
                <w:sz w:val="22"/>
                <w:szCs w:val="22"/>
              </w:rPr>
            </w:pPr>
          </w:p>
        </w:tc>
        <w:tc>
          <w:tcPr>
            <w:tcW w:w="1302" w:type="dxa"/>
            <w:vAlign w:val="center"/>
          </w:tcPr>
          <w:p w:rsidR="00EE75E3" w:rsidRPr="001A1511" w:rsidP="00F10F13" w14:paraId="76C98AF6" w14:textId="77777777">
            <w:pPr>
              <w:rPr>
                <w:sz w:val="22"/>
                <w:szCs w:val="22"/>
              </w:rPr>
            </w:pPr>
            <w:r w:rsidRPr="001A1511">
              <w:rPr>
                <w:sz w:val="22"/>
                <w:szCs w:val="22"/>
              </w:rPr>
              <w:t>(Table 2)</w:t>
            </w:r>
          </w:p>
        </w:tc>
        <w:tc>
          <w:tcPr>
            <w:tcW w:w="1316" w:type="dxa"/>
            <w:vAlign w:val="center"/>
          </w:tcPr>
          <w:p w:rsidR="00EE75E3" w:rsidRPr="001A1511" w:rsidP="00F10F13" w14:paraId="2CE4EFB0" w14:textId="77777777">
            <w:pPr>
              <w:rPr>
                <w:sz w:val="22"/>
                <w:szCs w:val="22"/>
              </w:rPr>
            </w:pPr>
            <w:r w:rsidRPr="001A1511">
              <w:rPr>
                <w:sz w:val="22"/>
                <w:szCs w:val="22"/>
              </w:rPr>
              <w:t>$</w:t>
            </w:r>
          </w:p>
        </w:tc>
        <w:tc>
          <w:tcPr>
            <w:tcW w:w="1023" w:type="dxa"/>
            <w:vAlign w:val="center"/>
          </w:tcPr>
          <w:p w:rsidR="00EE75E3" w:rsidRPr="001A1511" w:rsidP="00F10F13" w14:paraId="65CBF133" w14:textId="71FAFE33">
            <w:pPr>
              <w:rPr>
                <w:sz w:val="22"/>
                <w:szCs w:val="22"/>
              </w:rPr>
            </w:pPr>
            <w:r w:rsidRPr="001A1511">
              <w:rPr>
                <w:sz w:val="22"/>
                <w:szCs w:val="22"/>
              </w:rPr>
              <w:t>Source</w:t>
            </w:r>
            <w:r>
              <w:rPr>
                <w:rStyle w:val="FootnoteReference"/>
                <w:sz w:val="22"/>
                <w:szCs w:val="22"/>
              </w:rPr>
              <w:footnoteReference w:id="12"/>
            </w:r>
          </w:p>
        </w:tc>
        <w:tc>
          <w:tcPr>
            <w:tcW w:w="2245" w:type="dxa"/>
            <w:vMerge/>
            <w:vAlign w:val="center"/>
          </w:tcPr>
          <w:p w:rsidR="00EE75E3" w:rsidRPr="001A1511" w:rsidP="00F10F13" w14:paraId="5BF12F8E" w14:textId="77777777">
            <w:pPr>
              <w:rPr>
                <w:sz w:val="22"/>
                <w:szCs w:val="22"/>
              </w:rPr>
            </w:pPr>
          </w:p>
        </w:tc>
      </w:tr>
      <w:tr w14:paraId="580F29EF" w14:textId="77777777" w:rsidTr="00F10F13">
        <w:tblPrEx>
          <w:tblW w:w="9577" w:type="dxa"/>
          <w:tblInd w:w="-5" w:type="dxa"/>
          <w:tblLook w:val="04A0"/>
        </w:tblPrEx>
        <w:tc>
          <w:tcPr>
            <w:tcW w:w="3691" w:type="dxa"/>
            <w:vAlign w:val="center"/>
          </w:tcPr>
          <w:p w:rsidR="00EE75E3" w:rsidRPr="001A1511" w:rsidP="00EE75E3" w14:paraId="5B76A8DE" w14:textId="77777777">
            <w:pPr>
              <w:pStyle w:val="ListParagraph"/>
              <w:numPr>
                <w:ilvl w:val="0"/>
                <w:numId w:val="6"/>
              </w:numPr>
              <w:spacing w:after="0" w:line="240" w:lineRule="auto"/>
              <w:rPr>
                <w:rFonts w:ascii="Times New Roman" w:hAnsi="Times New Roman"/>
              </w:rPr>
            </w:pPr>
            <w:r w:rsidRPr="001A1511">
              <w:rPr>
                <w:rFonts w:ascii="Times New Roman" w:hAnsi="Times New Roman" w:eastAsiaTheme="minorHAnsi"/>
              </w:rPr>
              <w:t xml:space="preserve">Maintaining and updating the </w:t>
            </w:r>
            <w:r>
              <w:rPr>
                <w:rFonts w:ascii="Times New Roman" w:hAnsi="Times New Roman" w:eastAsiaTheme="minorHAnsi"/>
              </w:rPr>
              <w:t xml:space="preserve">written </w:t>
            </w:r>
            <w:r w:rsidRPr="001A1511">
              <w:rPr>
                <w:rFonts w:ascii="Times New Roman" w:hAnsi="Times New Roman" w:eastAsiaTheme="minorHAnsi"/>
              </w:rPr>
              <w:t>AML program</w:t>
            </w:r>
          </w:p>
        </w:tc>
        <w:tc>
          <w:tcPr>
            <w:tcW w:w="1302" w:type="dxa"/>
            <w:vAlign w:val="center"/>
          </w:tcPr>
          <w:p w:rsidR="00EE75E3" w:rsidRPr="006A144C" w:rsidP="00F10F13" w14:paraId="7239365F" w14:textId="4EFB9BC7">
            <w:pPr>
              <w:jc w:val="right"/>
              <w:rPr>
                <w:sz w:val="22"/>
                <w:szCs w:val="22"/>
              </w:rPr>
            </w:pPr>
            <w:r>
              <w:rPr>
                <w:sz w:val="22"/>
                <w:szCs w:val="22"/>
              </w:rPr>
              <w:t>28,904</w:t>
            </w:r>
          </w:p>
        </w:tc>
        <w:tc>
          <w:tcPr>
            <w:tcW w:w="1316" w:type="dxa"/>
            <w:vAlign w:val="center"/>
          </w:tcPr>
          <w:p w:rsidR="00EE75E3" w:rsidRPr="006A144C" w:rsidP="00F10F13" w14:paraId="17E7BFAB" w14:textId="77777777">
            <w:pPr>
              <w:jc w:val="right"/>
              <w:rPr>
                <w:sz w:val="22"/>
                <w:szCs w:val="22"/>
              </w:rPr>
            </w:pPr>
          </w:p>
          <w:p w:rsidR="00EE75E3" w:rsidRPr="006A144C" w:rsidP="00F10F13" w14:paraId="30B0BEFD" w14:textId="77777777">
            <w:pPr>
              <w:jc w:val="right"/>
              <w:rPr>
                <w:sz w:val="22"/>
                <w:szCs w:val="22"/>
              </w:rPr>
            </w:pPr>
            <w:r w:rsidRPr="006A144C">
              <w:rPr>
                <w:sz w:val="22"/>
                <w:szCs w:val="22"/>
              </w:rPr>
              <w:t>$49</w:t>
            </w:r>
          </w:p>
          <w:p w:rsidR="00EE75E3" w:rsidRPr="006A144C" w:rsidP="00F10F13" w14:paraId="079BCEC6" w14:textId="77777777">
            <w:pPr>
              <w:jc w:val="right"/>
              <w:rPr>
                <w:sz w:val="22"/>
                <w:szCs w:val="22"/>
              </w:rPr>
            </w:pPr>
          </w:p>
        </w:tc>
        <w:tc>
          <w:tcPr>
            <w:tcW w:w="1023" w:type="dxa"/>
            <w:vAlign w:val="center"/>
          </w:tcPr>
          <w:p w:rsidR="00EE75E3" w:rsidRPr="006A144C" w:rsidP="00F10F13" w14:paraId="7F5833C1" w14:textId="77777777">
            <w:pPr>
              <w:rPr>
                <w:sz w:val="22"/>
                <w:szCs w:val="22"/>
              </w:rPr>
            </w:pPr>
            <w:r w:rsidRPr="006A144C">
              <w:rPr>
                <w:sz w:val="22"/>
                <w:szCs w:val="22"/>
              </w:rPr>
              <w:t>Table 4</w:t>
            </w:r>
          </w:p>
        </w:tc>
        <w:tc>
          <w:tcPr>
            <w:tcW w:w="2245" w:type="dxa"/>
            <w:vAlign w:val="center"/>
          </w:tcPr>
          <w:p w:rsidR="00EE75E3" w:rsidRPr="006A144C" w:rsidP="00F10F13" w14:paraId="75C66B4C" w14:textId="0F73327A">
            <w:pPr>
              <w:jc w:val="right"/>
              <w:rPr>
                <w:sz w:val="22"/>
                <w:szCs w:val="22"/>
              </w:rPr>
            </w:pPr>
            <w:r w:rsidRPr="006A144C">
              <w:rPr>
                <w:sz w:val="22"/>
                <w:szCs w:val="22"/>
              </w:rPr>
              <w:t>$</w:t>
            </w:r>
            <w:r w:rsidR="00751433">
              <w:rPr>
                <w:sz w:val="22"/>
                <w:szCs w:val="22"/>
              </w:rPr>
              <w:t>1,416</w:t>
            </w:r>
            <w:r w:rsidR="008951BB">
              <w:rPr>
                <w:sz w:val="22"/>
                <w:szCs w:val="22"/>
              </w:rPr>
              <w:t>,296.00</w:t>
            </w:r>
          </w:p>
        </w:tc>
      </w:tr>
      <w:tr w14:paraId="4B269E2F" w14:textId="77777777" w:rsidTr="00F10F13">
        <w:tblPrEx>
          <w:tblW w:w="9577" w:type="dxa"/>
          <w:tblInd w:w="-5" w:type="dxa"/>
          <w:tblLook w:val="04A0"/>
        </w:tblPrEx>
        <w:tc>
          <w:tcPr>
            <w:tcW w:w="3691" w:type="dxa"/>
            <w:vAlign w:val="center"/>
          </w:tcPr>
          <w:p w:rsidR="00EE75E3" w:rsidRPr="001A1511" w:rsidP="00EE75E3" w14:paraId="58C8A23F" w14:textId="77777777">
            <w:pPr>
              <w:pStyle w:val="ListParagraph"/>
              <w:numPr>
                <w:ilvl w:val="0"/>
                <w:numId w:val="6"/>
              </w:numPr>
              <w:spacing w:after="0" w:line="240" w:lineRule="auto"/>
              <w:rPr>
                <w:rFonts w:ascii="Times New Roman" w:hAnsi="Times New Roman"/>
              </w:rPr>
            </w:pPr>
            <w:r w:rsidRPr="001A1511">
              <w:rPr>
                <w:rFonts w:ascii="Times New Roman" w:hAnsi="Times New Roman" w:eastAsiaTheme="minorHAnsi"/>
              </w:rPr>
              <w:t xml:space="preserve">Storing the </w:t>
            </w:r>
            <w:r>
              <w:rPr>
                <w:rFonts w:ascii="Times New Roman" w:hAnsi="Times New Roman" w:eastAsiaTheme="minorHAnsi"/>
              </w:rPr>
              <w:t xml:space="preserve">written </w:t>
            </w:r>
            <w:r w:rsidRPr="001A1511">
              <w:rPr>
                <w:rFonts w:ascii="Times New Roman" w:hAnsi="Times New Roman" w:eastAsiaTheme="minorHAnsi"/>
              </w:rPr>
              <w:t xml:space="preserve">AML program </w:t>
            </w:r>
          </w:p>
        </w:tc>
        <w:tc>
          <w:tcPr>
            <w:tcW w:w="1302" w:type="dxa"/>
            <w:vAlign w:val="center"/>
          </w:tcPr>
          <w:p w:rsidR="00EE75E3" w:rsidRPr="004619FF" w:rsidP="00F10F13" w14:paraId="24051E5C" w14:textId="18316665">
            <w:pPr>
              <w:jc w:val="right"/>
              <w:rPr>
                <w:sz w:val="22"/>
                <w:szCs w:val="22"/>
              </w:rPr>
            </w:pPr>
            <w:r>
              <w:rPr>
                <w:sz w:val="22"/>
                <w:szCs w:val="22"/>
              </w:rPr>
              <w:t>21,505</w:t>
            </w:r>
          </w:p>
        </w:tc>
        <w:tc>
          <w:tcPr>
            <w:tcW w:w="1316" w:type="dxa"/>
            <w:vAlign w:val="center"/>
          </w:tcPr>
          <w:p w:rsidR="00EE75E3" w:rsidRPr="006A144C" w:rsidP="00F10F13" w14:paraId="736A703B" w14:textId="77777777">
            <w:pPr>
              <w:jc w:val="right"/>
              <w:rPr>
                <w:sz w:val="22"/>
                <w:szCs w:val="22"/>
              </w:rPr>
            </w:pPr>
            <w:r w:rsidRPr="006A144C">
              <w:rPr>
                <w:sz w:val="22"/>
                <w:szCs w:val="22"/>
              </w:rPr>
              <w:t>$34</w:t>
            </w:r>
          </w:p>
        </w:tc>
        <w:tc>
          <w:tcPr>
            <w:tcW w:w="1023" w:type="dxa"/>
            <w:vAlign w:val="center"/>
          </w:tcPr>
          <w:p w:rsidR="00EE75E3" w:rsidRPr="006A144C" w:rsidP="00F10F13" w14:paraId="55608C35" w14:textId="77777777">
            <w:pPr>
              <w:rPr>
                <w:sz w:val="22"/>
                <w:szCs w:val="22"/>
              </w:rPr>
            </w:pPr>
            <w:r w:rsidRPr="006A144C">
              <w:rPr>
                <w:sz w:val="22"/>
                <w:szCs w:val="22"/>
              </w:rPr>
              <w:t>Table 5</w:t>
            </w:r>
          </w:p>
        </w:tc>
        <w:tc>
          <w:tcPr>
            <w:tcW w:w="2245" w:type="dxa"/>
            <w:vAlign w:val="center"/>
          </w:tcPr>
          <w:p w:rsidR="00EE75E3" w:rsidRPr="004619FF" w:rsidP="00F10F13" w14:paraId="73EFA1FF" w14:textId="2873D68D">
            <w:pPr>
              <w:jc w:val="right"/>
              <w:rPr>
                <w:sz w:val="22"/>
                <w:szCs w:val="22"/>
              </w:rPr>
            </w:pPr>
            <w:r w:rsidRPr="004619FF">
              <w:rPr>
                <w:sz w:val="22"/>
                <w:szCs w:val="22"/>
              </w:rPr>
              <w:t>$</w:t>
            </w:r>
            <w:r w:rsidR="008951BB">
              <w:rPr>
                <w:sz w:val="22"/>
                <w:szCs w:val="22"/>
              </w:rPr>
              <w:t>731,170.00</w:t>
            </w:r>
          </w:p>
        </w:tc>
      </w:tr>
      <w:tr w14:paraId="55CBE16A" w14:textId="77777777" w:rsidTr="00F10F13">
        <w:tblPrEx>
          <w:tblW w:w="9577" w:type="dxa"/>
          <w:tblInd w:w="-5" w:type="dxa"/>
          <w:tblLook w:val="04A0"/>
        </w:tblPrEx>
        <w:tc>
          <w:tcPr>
            <w:tcW w:w="3691" w:type="dxa"/>
            <w:vAlign w:val="center"/>
          </w:tcPr>
          <w:p w:rsidR="00EE75E3" w:rsidRPr="001A1511" w:rsidP="00EE75E3" w14:paraId="238F564E" w14:textId="77777777">
            <w:pPr>
              <w:pStyle w:val="ListParagraph"/>
              <w:numPr>
                <w:ilvl w:val="0"/>
                <w:numId w:val="6"/>
              </w:numPr>
              <w:spacing w:after="0" w:line="240" w:lineRule="auto"/>
              <w:rPr>
                <w:rFonts w:ascii="Times New Roman" w:hAnsi="Times New Roman"/>
              </w:rPr>
            </w:pPr>
            <w:r w:rsidRPr="001A1511">
              <w:rPr>
                <w:rFonts w:ascii="Times New Roman" w:hAnsi="Times New Roman" w:eastAsiaTheme="minorHAnsi"/>
              </w:rPr>
              <w:t xml:space="preserve">Producing the </w:t>
            </w:r>
            <w:r>
              <w:rPr>
                <w:rFonts w:ascii="Times New Roman" w:hAnsi="Times New Roman" w:eastAsiaTheme="minorHAnsi"/>
              </w:rPr>
              <w:t xml:space="preserve">written </w:t>
            </w:r>
            <w:r w:rsidRPr="001A1511">
              <w:rPr>
                <w:rFonts w:ascii="Times New Roman" w:hAnsi="Times New Roman" w:eastAsiaTheme="minorHAnsi"/>
              </w:rPr>
              <w:t>AML program upon request</w:t>
            </w:r>
          </w:p>
        </w:tc>
        <w:tc>
          <w:tcPr>
            <w:tcW w:w="1302" w:type="dxa"/>
            <w:vAlign w:val="center"/>
          </w:tcPr>
          <w:p w:rsidR="00EE75E3" w:rsidRPr="004619FF" w:rsidP="00F10F13" w14:paraId="4CEEB106" w14:textId="0ED6CE5D">
            <w:pPr>
              <w:jc w:val="right"/>
              <w:rPr>
                <w:sz w:val="22"/>
                <w:szCs w:val="22"/>
              </w:rPr>
            </w:pPr>
            <w:r w:rsidRPr="004619FF">
              <w:rPr>
                <w:sz w:val="22"/>
                <w:szCs w:val="22"/>
              </w:rPr>
              <w:t>2</w:t>
            </w:r>
            <w:r w:rsidR="00751433">
              <w:rPr>
                <w:sz w:val="22"/>
                <w:szCs w:val="22"/>
              </w:rPr>
              <w:t>1,505</w:t>
            </w:r>
          </w:p>
        </w:tc>
        <w:tc>
          <w:tcPr>
            <w:tcW w:w="1316" w:type="dxa"/>
            <w:vAlign w:val="center"/>
          </w:tcPr>
          <w:p w:rsidR="00EE75E3" w:rsidRPr="006A144C" w:rsidP="00F10F13" w14:paraId="7C09FFFA" w14:textId="77777777">
            <w:pPr>
              <w:jc w:val="right"/>
              <w:rPr>
                <w:sz w:val="22"/>
                <w:szCs w:val="22"/>
              </w:rPr>
            </w:pPr>
            <w:r w:rsidRPr="006A144C">
              <w:rPr>
                <w:sz w:val="22"/>
                <w:szCs w:val="22"/>
              </w:rPr>
              <w:t>$34</w:t>
            </w:r>
          </w:p>
        </w:tc>
        <w:tc>
          <w:tcPr>
            <w:tcW w:w="1023" w:type="dxa"/>
            <w:vAlign w:val="center"/>
          </w:tcPr>
          <w:p w:rsidR="00EE75E3" w:rsidRPr="006A144C" w:rsidP="00F10F13" w14:paraId="26AE20FE" w14:textId="77777777">
            <w:pPr>
              <w:rPr>
                <w:sz w:val="22"/>
                <w:szCs w:val="22"/>
              </w:rPr>
            </w:pPr>
            <w:r w:rsidRPr="006A144C">
              <w:rPr>
                <w:sz w:val="22"/>
                <w:szCs w:val="22"/>
              </w:rPr>
              <w:t>Table 5</w:t>
            </w:r>
          </w:p>
        </w:tc>
        <w:tc>
          <w:tcPr>
            <w:tcW w:w="2245" w:type="dxa"/>
            <w:vAlign w:val="center"/>
          </w:tcPr>
          <w:p w:rsidR="00EE75E3" w:rsidRPr="004619FF" w:rsidP="00F10F13" w14:paraId="01347DD4" w14:textId="5A370FC5">
            <w:pPr>
              <w:jc w:val="right"/>
              <w:rPr>
                <w:sz w:val="22"/>
                <w:szCs w:val="22"/>
              </w:rPr>
            </w:pPr>
            <w:r w:rsidRPr="004619FF">
              <w:rPr>
                <w:sz w:val="22"/>
                <w:szCs w:val="22"/>
              </w:rPr>
              <w:t>$</w:t>
            </w:r>
            <w:r w:rsidR="008951BB">
              <w:rPr>
                <w:sz w:val="22"/>
                <w:szCs w:val="22"/>
              </w:rPr>
              <w:t>731,170.00</w:t>
            </w:r>
          </w:p>
        </w:tc>
      </w:tr>
      <w:tr w14:paraId="3D7464DA" w14:textId="77777777" w:rsidTr="00F10F13">
        <w:tblPrEx>
          <w:tblW w:w="9577" w:type="dxa"/>
          <w:tblInd w:w="-5" w:type="dxa"/>
          <w:tblLook w:val="04A0"/>
        </w:tblPrEx>
        <w:tc>
          <w:tcPr>
            <w:tcW w:w="3691" w:type="dxa"/>
          </w:tcPr>
          <w:p w:rsidR="00EE75E3" w:rsidRPr="001A1511" w:rsidP="00EE75E3" w14:paraId="09939094" w14:textId="77777777">
            <w:pPr>
              <w:pStyle w:val="ListParagraph"/>
              <w:numPr>
                <w:ilvl w:val="0"/>
                <w:numId w:val="6"/>
              </w:numPr>
              <w:spacing w:after="0" w:line="240" w:lineRule="auto"/>
              <w:rPr>
                <w:rFonts w:ascii="Times New Roman" w:hAnsi="Times New Roman"/>
              </w:rPr>
            </w:pPr>
            <w:r w:rsidRPr="001A1511">
              <w:rPr>
                <w:rFonts w:ascii="Times New Roman" w:hAnsi="Times New Roman" w:eastAsiaTheme="minorHAnsi"/>
              </w:rPr>
              <w:t>Board of directors/</w:t>
            </w:r>
            <w:r w:rsidRPr="001A1511">
              <w:rPr>
                <w:rFonts w:ascii="Times New Roman" w:hAnsi="Times New Roman" w:eastAsiaTheme="minorHAnsi"/>
              </w:rPr>
              <w:t>trustees</w:t>
            </w:r>
            <w:r w:rsidRPr="001A1511">
              <w:rPr>
                <w:rFonts w:ascii="Times New Roman" w:hAnsi="Times New Roman" w:eastAsiaTheme="minorHAnsi"/>
              </w:rPr>
              <w:t xml:space="preserve"> approval of the </w:t>
            </w:r>
            <w:r>
              <w:rPr>
                <w:rFonts w:ascii="Times New Roman" w:hAnsi="Times New Roman" w:eastAsiaTheme="minorHAnsi"/>
              </w:rPr>
              <w:t xml:space="preserve">AML </w:t>
            </w:r>
            <w:r w:rsidRPr="001A1511">
              <w:rPr>
                <w:rFonts w:ascii="Times New Roman" w:hAnsi="Times New Roman" w:eastAsiaTheme="minorHAnsi"/>
              </w:rPr>
              <w:t>program</w:t>
            </w:r>
          </w:p>
        </w:tc>
        <w:tc>
          <w:tcPr>
            <w:tcW w:w="1302" w:type="dxa"/>
          </w:tcPr>
          <w:p w:rsidR="00EE75E3" w:rsidRPr="004619FF" w:rsidP="00F10F13" w14:paraId="7D1E4060" w14:textId="28E414C9">
            <w:pPr>
              <w:jc w:val="right"/>
              <w:rPr>
                <w:sz w:val="22"/>
                <w:szCs w:val="22"/>
              </w:rPr>
            </w:pPr>
            <w:r>
              <w:rPr>
                <w:sz w:val="22"/>
                <w:szCs w:val="22"/>
              </w:rPr>
              <w:t>1,400</w:t>
            </w:r>
          </w:p>
        </w:tc>
        <w:tc>
          <w:tcPr>
            <w:tcW w:w="1316" w:type="dxa"/>
          </w:tcPr>
          <w:p w:rsidR="00EE75E3" w:rsidRPr="006A144C" w:rsidP="00F10F13" w14:paraId="0C988F13" w14:textId="77777777">
            <w:pPr>
              <w:jc w:val="right"/>
              <w:rPr>
                <w:sz w:val="22"/>
                <w:szCs w:val="22"/>
              </w:rPr>
            </w:pPr>
            <w:r w:rsidRPr="006A144C">
              <w:rPr>
                <w:sz w:val="22"/>
                <w:szCs w:val="22"/>
              </w:rPr>
              <w:t>$129</w:t>
            </w:r>
          </w:p>
        </w:tc>
        <w:tc>
          <w:tcPr>
            <w:tcW w:w="1023" w:type="dxa"/>
          </w:tcPr>
          <w:p w:rsidR="00EE75E3" w:rsidRPr="006A144C" w:rsidP="00F10F13" w14:paraId="53B58A77" w14:textId="77777777">
            <w:pPr>
              <w:rPr>
                <w:sz w:val="22"/>
                <w:szCs w:val="22"/>
              </w:rPr>
            </w:pPr>
            <w:r w:rsidRPr="006A144C">
              <w:rPr>
                <w:sz w:val="22"/>
                <w:szCs w:val="22"/>
              </w:rPr>
              <w:t>Table 3</w:t>
            </w:r>
          </w:p>
        </w:tc>
        <w:tc>
          <w:tcPr>
            <w:tcW w:w="2245" w:type="dxa"/>
          </w:tcPr>
          <w:p w:rsidR="00EE75E3" w:rsidRPr="004619FF" w:rsidP="00F10F13" w14:paraId="768DEAC4" w14:textId="25CEA37A">
            <w:pPr>
              <w:jc w:val="right"/>
              <w:rPr>
                <w:sz w:val="22"/>
                <w:szCs w:val="22"/>
              </w:rPr>
            </w:pPr>
            <w:r w:rsidRPr="004619FF">
              <w:rPr>
                <w:sz w:val="22"/>
                <w:szCs w:val="22"/>
              </w:rPr>
              <w:t>$</w:t>
            </w:r>
            <w:r w:rsidR="008951BB">
              <w:rPr>
                <w:sz w:val="22"/>
                <w:szCs w:val="22"/>
              </w:rPr>
              <w:t>180,600.00</w:t>
            </w:r>
          </w:p>
        </w:tc>
      </w:tr>
      <w:tr w14:paraId="1C7DD57E" w14:textId="77777777" w:rsidTr="00F10F13">
        <w:tblPrEx>
          <w:tblW w:w="9577" w:type="dxa"/>
          <w:tblInd w:w="-5" w:type="dxa"/>
          <w:tblLook w:val="04A0"/>
        </w:tblPrEx>
        <w:tc>
          <w:tcPr>
            <w:tcW w:w="3691" w:type="dxa"/>
            <w:tcBorders>
              <w:bottom w:val="single" w:sz="12" w:space="0" w:color="auto"/>
            </w:tcBorders>
            <w:vAlign w:val="center"/>
          </w:tcPr>
          <w:p w:rsidR="00EE75E3" w:rsidRPr="001A1511" w:rsidP="00EE75E3" w14:paraId="354DDE94" w14:textId="77777777">
            <w:pPr>
              <w:pStyle w:val="ListParagraph"/>
              <w:numPr>
                <w:ilvl w:val="0"/>
                <w:numId w:val="6"/>
              </w:numPr>
              <w:spacing w:after="0" w:line="240" w:lineRule="auto"/>
              <w:rPr>
                <w:rFonts w:ascii="Times New Roman" w:hAnsi="Times New Roman"/>
              </w:rPr>
            </w:pPr>
            <w:r w:rsidRPr="001A1511">
              <w:rPr>
                <w:rFonts w:ascii="Times New Roman" w:hAnsi="Times New Roman" w:eastAsiaTheme="minorHAnsi"/>
              </w:rPr>
              <w:t xml:space="preserve">Obtaining, verifying, and storing prepaid access </w:t>
            </w:r>
            <w:r>
              <w:rPr>
                <w:rFonts w:ascii="Times New Roman" w:hAnsi="Times New Roman" w:eastAsiaTheme="minorHAnsi"/>
              </w:rPr>
              <w:t>customer</w:t>
            </w:r>
            <w:r w:rsidRPr="001A1511">
              <w:rPr>
                <w:rFonts w:ascii="Times New Roman" w:hAnsi="Times New Roman" w:eastAsiaTheme="minorHAnsi"/>
              </w:rPr>
              <w:t xml:space="preserve"> identifying information</w:t>
            </w:r>
          </w:p>
        </w:tc>
        <w:tc>
          <w:tcPr>
            <w:tcW w:w="1302" w:type="dxa"/>
            <w:tcBorders>
              <w:bottom w:val="single" w:sz="12" w:space="0" w:color="auto"/>
            </w:tcBorders>
            <w:vAlign w:val="center"/>
          </w:tcPr>
          <w:p w:rsidR="00EE75E3" w:rsidRPr="001A1511" w:rsidP="00F10F13" w14:paraId="0760B660" w14:textId="77777777">
            <w:pPr>
              <w:jc w:val="right"/>
              <w:rPr>
                <w:sz w:val="22"/>
                <w:szCs w:val="22"/>
              </w:rPr>
            </w:pPr>
            <w:r w:rsidRPr="001A1511">
              <w:rPr>
                <w:sz w:val="22"/>
                <w:szCs w:val="22"/>
              </w:rPr>
              <w:t>86,66</w:t>
            </w:r>
            <w:r>
              <w:rPr>
                <w:sz w:val="22"/>
                <w:szCs w:val="22"/>
              </w:rPr>
              <w:t>7</w:t>
            </w:r>
          </w:p>
        </w:tc>
        <w:tc>
          <w:tcPr>
            <w:tcW w:w="1316" w:type="dxa"/>
            <w:tcBorders>
              <w:bottom w:val="single" w:sz="12" w:space="0" w:color="auto"/>
            </w:tcBorders>
            <w:vAlign w:val="center"/>
          </w:tcPr>
          <w:p w:rsidR="00EE75E3" w:rsidRPr="001A1511" w:rsidP="00F10F13" w14:paraId="244135DA" w14:textId="77777777">
            <w:pPr>
              <w:jc w:val="right"/>
              <w:rPr>
                <w:sz w:val="22"/>
                <w:szCs w:val="22"/>
              </w:rPr>
            </w:pPr>
            <w:r w:rsidRPr="001A1511">
              <w:rPr>
                <w:sz w:val="22"/>
                <w:szCs w:val="22"/>
              </w:rPr>
              <w:t>$</w:t>
            </w:r>
            <w:r>
              <w:rPr>
                <w:sz w:val="22"/>
                <w:szCs w:val="22"/>
              </w:rPr>
              <w:t>34</w:t>
            </w:r>
          </w:p>
        </w:tc>
        <w:tc>
          <w:tcPr>
            <w:tcW w:w="1023" w:type="dxa"/>
            <w:tcBorders>
              <w:bottom w:val="single" w:sz="12" w:space="0" w:color="auto"/>
            </w:tcBorders>
            <w:vAlign w:val="center"/>
          </w:tcPr>
          <w:p w:rsidR="00EE75E3" w:rsidRPr="001A1511" w:rsidP="00F10F13" w14:paraId="74BBAFC7" w14:textId="77777777">
            <w:pPr>
              <w:rPr>
                <w:sz w:val="22"/>
                <w:szCs w:val="22"/>
              </w:rPr>
            </w:pPr>
            <w:r w:rsidRPr="001A1511">
              <w:rPr>
                <w:sz w:val="22"/>
                <w:szCs w:val="22"/>
              </w:rPr>
              <w:t>Table 5</w:t>
            </w:r>
          </w:p>
        </w:tc>
        <w:tc>
          <w:tcPr>
            <w:tcW w:w="2245" w:type="dxa"/>
            <w:tcBorders>
              <w:bottom w:val="single" w:sz="12" w:space="0" w:color="auto"/>
            </w:tcBorders>
            <w:vAlign w:val="center"/>
          </w:tcPr>
          <w:p w:rsidR="00EE75E3" w:rsidRPr="001A1511" w:rsidP="00F10F13" w14:paraId="5F535F59" w14:textId="0D092F2B">
            <w:pPr>
              <w:jc w:val="right"/>
              <w:rPr>
                <w:sz w:val="22"/>
                <w:szCs w:val="22"/>
              </w:rPr>
            </w:pPr>
            <w:r w:rsidRPr="001A1511">
              <w:rPr>
                <w:sz w:val="22"/>
                <w:szCs w:val="22"/>
              </w:rPr>
              <w:t>$</w:t>
            </w:r>
            <w:r>
              <w:rPr>
                <w:sz w:val="22"/>
                <w:szCs w:val="22"/>
              </w:rPr>
              <w:t>2,946,678</w:t>
            </w:r>
            <w:r w:rsidR="00B47E1E">
              <w:rPr>
                <w:sz w:val="22"/>
                <w:szCs w:val="22"/>
              </w:rPr>
              <w:t>.00</w:t>
            </w:r>
          </w:p>
        </w:tc>
      </w:tr>
      <w:tr w14:paraId="3C679854" w14:textId="77777777" w:rsidTr="00F10F13">
        <w:tblPrEx>
          <w:tblW w:w="9577" w:type="dxa"/>
          <w:tblInd w:w="-5" w:type="dxa"/>
          <w:tblLook w:val="04A0"/>
        </w:tblPrEx>
        <w:trPr>
          <w:trHeight w:val="413"/>
        </w:trPr>
        <w:tc>
          <w:tcPr>
            <w:tcW w:w="7332" w:type="dxa"/>
            <w:gridSpan w:val="4"/>
            <w:tcBorders>
              <w:top w:val="single" w:sz="12" w:space="0" w:color="auto"/>
              <w:left w:val="single" w:sz="12" w:space="0" w:color="auto"/>
              <w:bottom w:val="single" w:sz="12" w:space="0" w:color="auto"/>
              <w:right w:val="nil"/>
            </w:tcBorders>
            <w:vAlign w:val="center"/>
          </w:tcPr>
          <w:p w:rsidR="00EE75E3" w:rsidRPr="002B5076" w:rsidP="00F10F13" w14:paraId="2273F56D" w14:textId="77777777">
            <w:pPr>
              <w:rPr>
                <w:b/>
                <w:sz w:val="22"/>
                <w:szCs w:val="22"/>
              </w:rPr>
            </w:pPr>
            <w:r w:rsidRPr="002B5076">
              <w:rPr>
                <w:b/>
                <w:sz w:val="22"/>
                <w:szCs w:val="22"/>
              </w:rPr>
              <w:t xml:space="preserve">Total </w:t>
            </w:r>
            <w:r>
              <w:rPr>
                <w:b/>
                <w:sz w:val="22"/>
                <w:szCs w:val="22"/>
              </w:rPr>
              <w:t>Cost</w:t>
            </w:r>
          </w:p>
        </w:tc>
        <w:tc>
          <w:tcPr>
            <w:tcW w:w="2245" w:type="dxa"/>
            <w:tcBorders>
              <w:top w:val="single" w:sz="12" w:space="0" w:color="auto"/>
              <w:left w:val="nil"/>
              <w:bottom w:val="single" w:sz="12" w:space="0" w:color="auto"/>
              <w:right w:val="single" w:sz="12" w:space="0" w:color="auto"/>
            </w:tcBorders>
            <w:vAlign w:val="center"/>
          </w:tcPr>
          <w:p w:rsidR="00EE75E3" w:rsidRPr="006F57C4" w:rsidP="00F10F13" w14:paraId="559B2858" w14:textId="585E30B9">
            <w:pPr>
              <w:jc w:val="right"/>
              <w:rPr>
                <w:b/>
                <w:sz w:val="22"/>
                <w:szCs w:val="22"/>
              </w:rPr>
            </w:pPr>
            <w:r w:rsidRPr="004619FF">
              <w:rPr>
                <w:b/>
                <w:sz w:val="22"/>
                <w:szCs w:val="22"/>
              </w:rPr>
              <w:t>$</w:t>
            </w:r>
            <w:r w:rsidR="00B47E1E">
              <w:rPr>
                <w:b/>
                <w:sz w:val="22"/>
                <w:szCs w:val="22"/>
              </w:rPr>
              <w:t>6,005,914.00</w:t>
            </w:r>
          </w:p>
        </w:tc>
      </w:tr>
    </w:tbl>
    <w:p w:rsidR="006619D4" w:rsidRPr="00D37498" w14:paraId="4E929F9A" w14:textId="77777777"/>
    <w:p w:rsidR="00E832E0" w:rsidRPr="00B443AA" w:rsidP="002D3319" w14:paraId="09AEF5E5" w14:textId="100E8678">
      <w:pPr>
        <w:pStyle w:val="PlainText"/>
        <w:spacing w:line="480" w:lineRule="auto"/>
        <w:rPr>
          <w:rFonts w:ascii="Times New Roman" w:hAnsi="Times New Roman" w:cs="Times New Roman"/>
          <w:sz w:val="24"/>
          <w:szCs w:val="24"/>
        </w:rPr>
      </w:pPr>
      <w:r w:rsidRPr="00E03EB2">
        <w:rPr>
          <w:rFonts w:ascii="Times New Roman" w:hAnsi="Times New Roman" w:cs="Times New Roman"/>
          <w:bCs/>
          <w:snapToGrid w:val="0"/>
          <w:sz w:val="24"/>
          <w:szCs w:val="24"/>
          <w:u w:val="single"/>
        </w:rPr>
        <w:t>Estimated Total Cost</w:t>
      </w:r>
      <w:r w:rsidRPr="00E03EB2">
        <w:rPr>
          <w:rFonts w:ascii="Times New Roman" w:hAnsi="Times New Roman" w:cs="Times New Roman"/>
          <w:bCs/>
          <w:snapToGrid w:val="0"/>
          <w:sz w:val="24"/>
          <w:szCs w:val="24"/>
        </w:rPr>
        <w:t>:</w:t>
      </w:r>
      <w:r w:rsidRPr="00E03EB2">
        <w:rPr>
          <w:rFonts w:ascii="Times New Roman" w:hAnsi="Times New Roman" w:cs="Times New Roman"/>
          <w:snapToGrid w:val="0"/>
          <w:sz w:val="24"/>
          <w:szCs w:val="24"/>
        </w:rPr>
        <w:t xml:space="preserve">  $6,005,914.00</w:t>
      </w:r>
    </w:p>
    <w:p w:rsidR="002D3319" w:rsidRPr="00D37498" w:rsidP="002D3319" w14:paraId="6A01C2C4" w14:textId="220DE24A">
      <w:pPr>
        <w:pStyle w:val="PlainText"/>
        <w:spacing w:line="480" w:lineRule="auto"/>
        <w:rPr>
          <w:rFonts w:ascii="Times New Roman" w:hAnsi="Times New Roman" w:cs="Times New Roman"/>
          <w:sz w:val="24"/>
          <w:szCs w:val="22"/>
        </w:rPr>
      </w:pPr>
      <w:r w:rsidRPr="00D37498">
        <w:rPr>
          <w:rFonts w:ascii="Times New Roman" w:hAnsi="Times New Roman" w:cs="Times New Roman"/>
          <w:sz w:val="24"/>
          <w:szCs w:val="22"/>
        </w:rPr>
        <w:t xml:space="preserve">14. </w:t>
      </w:r>
      <w:r w:rsidRPr="00D37498" w:rsidR="009C4404">
        <w:rPr>
          <w:rFonts w:ascii="Times New Roman" w:hAnsi="Times New Roman" w:cs="Times New Roman"/>
          <w:sz w:val="24"/>
          <w:szCs w:val="22"/>
          <w:u w:val="single"/>
        </w:rPr>
        <w:t xml:space="preserve">Estimated annual cost to the </w:t>
      </w:r>
      <w:r w:rsidRPr="00D37498" w:rsidR="00C04081">
        <w:rPr>
          <w:rFonts w:ascii="Times New Roman" w:hAnsi="Times New Roman" w:cs="Times New Roman"/>
          <w:sz w:val="24"/>
          <w:szCs w:val="22"/>
          <w:u w:val="single"/>
        </w:rPr>
        <w:t xml:space="preserve">Federal </w:t>
      </w:r>
      <w:r w:rsidRPr="00D37498" w:rsidR="009C4404">
        <w:rPr>
          <w:rFonts w:ascii="Times New Roman" w:hAnsi="Times New Roman" w:cs="Times New Roman"/>
          <w:sz w:val="24"/>
          <w:szCs w:val="22"/>
          <w:u w:val="single"/>
        </w:rPr>
        <w:t>government.</w:t>
      </w:r>
      <w:r w:rsidRPr="00D37498" w:rsidR="009C4404">
        <w:rPr>
          <w:rFonts w:ascii="Times New Roman" w:hAnsi="Times New Roman" w:cs="Times New Roman"/>
          <w:sz w:val="24"/>
          <w:szCs w:val="22"/>
        </w:rPr>
        <w:t xml:space="preserve"> </w:t>
      </w:r>
    </w:p>
    <w:p w:rsidR="00754DAE" w:rsidRPr="003420FC" w:rsidP="002D3319" w14:paraId="6099C1A7" w14:textId="0B597916">
      <w:pPr>
        <w:pStyle w:val="PlainText"/>
        <w:ind w:firstLine="720"/>
        <w:rPr>
          <w:rFonts w:ascii="Times New Roman" w:hAnsi="Times New Roman" w:cs="Times New Roman"/>
          <w:sz w:val="24"/>
          <w:szCs w:val="24"/>
        </w:rPr>
      </w:pPr>
      <w:r w:rsidRPr="00D37498">
        <w:rPr>
          <w:rFonts w:ascii="Times New Roman" w:hAnsi="Times New Roman" w:cs="Times New Roman"/>
          <w:sz w:val="24"/>
          <w:szCs w:val="24"/>
        </w:rPr>
        <w:t>The Federal government requires reporting of a</w:t>
      </w:r>
      <w:r w:rsidR="00DF4FF4">
        <w:rPr>
          <w:rFonts w:ascii="Times New Roman" w:hAnsi="Times New Roman" w:cs="Times New Roman"/>
          <w:sz w:val="24"/>
          <w:szCs w:val="24"/>
        </w:rPr>
        <w:t xml:space="preserve">n </w:t>
      </w:r>
      <w:r w:rsidRPr="00D37498">
        <w:rPr>
          <w:rFonts w:ascii="Times New Roman" w:hAnsi="Times New Roman" w:cs="Times New Roman"/>
          <w:sz w:val="24"/>
          <w:szCs w:val="24"/>
        </w:rPr>
        <w:t xml:space="preserve">AML program </w:t>
      </w:r>
      <w:r w:rsidR="00DF4FF4">
        <w:rPr>
          <w:rFonts w:ascii="Times New Roman" w:hAnsi="Times New Roman" w:cs="Times New Roman"/>
          <w:sz w:val="24"/>
          <w:szCs w:val="24"/>
        </w:rPr>
        <w:t>maintained by</w:t>
      </w:r>
      <w:r w:rsidRPr="00DF4FF4" w:rsidR="00DF4FF4">
        <w:rPr>
          <w:rFonts w:ascii="Times New Roman" w:hAnsi="Times New Roman" w:cs="Times New Roman"/>
          <w:sz w:val="24"/>
          <w:szCs w:val="22"/>
        </w:rPr>
        <w:t xml:space="preserve"> </w:t>
      </w:r>
      <w:r w:rsidRPr="00DF4FF4" w:rsidR="00DF4FF4">
        <w:rPr>
          <w:rFonts w:ascii="Times New Roman" w:hAnsi="Times New Roman" w:cs="Times New Roman"/>
          <w:sz w:val="24"/>
          <w:szCs w:val="24"/>
        </w:rPr>
        <w:t>MSBs, mutual funds, and operators of credit card systems</w:t>
      </w:r>
      <w:r w:rsidR="00DF4FF4">
        <w:rPr>
          <w:rFonts w:ascii="Times New Roman" w:hAnsi="Times New Roman" w:cs="Times New Roman"/>
          <w:sz w:val="24"/>
          <w:szCs w:val="24"/>
        </w:rPr>
        <w:t xml:space="preserve"> </w:t>
      </w:r>
      <w:r w:rsidRPr="00D37498">
        <w:rPr>
          <w:rFonts w:ascii="Times New Roman" w:hAnsi="Times New Roman" w:cs="Times New Roman"/>
          <w:sz w:val="24"/>
          <w:szCs w:val="24"/>
        </w:rPr>
        <w:t>only upon request of</w:t>
      </w:r>
      <w:r w:rsidR="0004005D">
        <w:rPr>
          <w:rFonts w:ascii="Times New Roman" w:hAnsi="Times New Roman" w:cs="Times New Roman"/>
          <w:sz w:val="24"/>
          <w:szCs w:val="24"/>
        </w:rPr>
        <w:t xml:space="preserve"> the Department of the Treasury or</w:t>
      </w:r>
      <w:r w:rsidRPr="00D37498">
        <w:rPr>
          <w:rFonts w:ascii="Times New Roman" w:hAnsi="Times New Roman" w:cs="Times New Roman"/>
          <w:sz w:val="24"/>
          <w:szCs w:val="24"/>
        </w:rPr>
        <w:t xml:space="preserve"> appropriate supervisory agencies; therefore, the estimated annual cost to the Federal government is $0.</w:t>
      </w:r>
    </w:p>
    <w:p w:rsidR="00CC2569" w:rsidRPr="00D37498" w14:paraId="05A70574" w14:textId="77777777"/>
    <w:p w:rsidR="00CC2569" w:rsidRPr="00D37498" w14:paraId="7388E830" w14:textId="77777777">
      <w:r w:rsidRPr="00D37498">
        <w:t xml:space="preserve">15. </w:t>
      </w:r>
      <w:r w:rsidRPr="00D37498" w:rsidR="009C4404">
        <w:rPr>
          <w:u w:val="single"/>
        </w:rPr>
        <w:t>Reason for change in burden.</w:t>
      </w:r>
      <w:r w:rsidRPr="00D37498" w:rsidR="009C4404">
        <w:t xml:space="preserve"> </w:t>
      </w:r>
    </w:p>
    <w:p w:rsidR="007F2597" w:rsidRPr="00D37498" w:rsidP="007F2597" w14:paraId="66406A5A" w14:textId="77777777">
      <w:pPr>
        <w:pStyle w:val="BodyTextIndent"/>
        <w:spacing w:after="0"/>
        <w:ind w:left="0" w:firstLine="576"/>
      </w:pPr>
    </w:p>
    <w:p w:rsidR="007F2597" w:rsidRPr="00D03E09" w:rsidP="007F2597" w14:paraId="503CF4B5" w14:textId="66B1A13D">
      <w:pPr>
        <w:pStyle w:val="FootnoteText"/>
        <w:ind w:firstLine="720"/>
        <w:rPr>
          <w:sz w:val="24"/>
          <w:szCs w:val="24"/>
        </w:rPr>
      </w:pPr>
      <w:r w:rsidRPr="00D03E09">
        <w:rPr>
          <w:sz w:val="24"/>
          <w:szCs w:val="24"/>
        </w:rPr>
        <w:t>The</w:t>
      </w:r>
      <w:r w:rsidRPr="00D03E09" w:rsidR="008852E2">
        <w:rPr>
          <w:sz w:val="24"/>
          <w:szCs w:val="24"/>
        </w:rPr>
        <w:t xml:space="preserve"> increase</w:t>
      </w:r>
      <w:r w:rsidRPr="00D03E09">
        <w:rPr>
          <w:sz w:val="24"/>
          <w:szCs w:val="24"/>
        </w:rPr>
        <w:t xml:space="preserve"> in burden</w:t>
      </w:r>
      <w:r w:rsidRPr="00D03E09" w:rsidR="009A07B2">
        <w:rPr>
          <w:sz w:val="24"/>
          <w:szCs w:val="24"/>
        </w:rPr>
        <w:t xml:space="preserve"> from 155,076 hours to </w:t>
      </w:r>
      <w:r w:rsidRPr="00E03EB2" w:rsidR="009A07B2">
        <w:rPr>
          <w:sz w:val="24"/>
          <w:szCs w:val="24"/>
        </w:rPr>
        <w:t>159,982 hours</w:t>
      </w:r>
      <w:r w:rsidRPr="00D03E09">
        <w:rPr>
          <w:sz w:val="24"/>
          <w:szCs w:val="24"/>
        </w:rPr>
        <w:t xml:space="preserve"> is due to a</w:t>
      </w:r>
      <w:r w:rsidRPr="00D03E09" w:rsidR="008852E2">
        <w:rPr>
          <w:sz w:val="24"/>
          <w:szCs w:val="24"/>
        </w:rPr>
        <w:t xml:space="preserve">n increase </w:t>
      </w:r>
      <w:r w:rsidRPr="00D03E09">
        <w:rPr>
          <w:sz w:val="24"/>
          <w:szCs w:val="24"/>
        </w:rPr>
        <w:t xml:space="preserve">in </w:t>
      </w:r>
      <w:r w:rsidR="002375D6">
        <w:rPr>
          <w:sz w:val="24"/>
          <w:szCs w:val="24"/>
        </w:rPr>
        <w:t xml:space="preserve">estimate of </w:t>
      </w:r>
      <w:r w:rsidRPr="00D03E09">
        <w:rPr>
          <w:sz w:val="24"/>
          <w:szCs w:val="24"/>
        </w:rPr>
        <w:t>the</w:t>
      </w:r>
      <w:r w:rsidR="005837FD">
        <w:rPr>
          <w:sz w:val="24"/>
          <w:szCs w:val="24"/>
        </w:rPr>
        <w:t xml:space="preserve"> total</w:t>
      </w:r>
      <w:r w:rsidRPr="00D03E09">
        <w:rPr>
          <w:sz w:val="24"/>
          <w:szCs w:val="24"/>
        </w:rPr>
        <w:t xml:space="preserve"> number of financial institutions</w:t>
      </w:r>
      <w:r w:rsidRPr="00D03E09" w:rsidR="001A20F2">
        <w:rPr>
          <w:sz w:val="24"/>
          <w:szCs w:val="24"/>
        </w:rPr>
        <w:t xml:space="preserve"> impacted by the AML program regulat</w:t>
      </w:r>
      <w:r w:rsidR="00D03E09">
        <w:rPr>
          <w:sz w:val="24"/>
          <w:szCs w:val="24"/>
        </w:rPr>
        <w:t>ory requirements</w:t>
      </w:r>
      <w:r w:rsidR="005837FD">
        <w:rPr>
          <w:sz w:val="24"/>
          <w:szCs w:val="24"/>
        </w:rPr>
        <w:t xml:space="preserve"> under this OMB control number</w:t>
      </w:r>
      <w:r w:rsidRPr="00D03E09" w:rsidR="001A20F2">
        <w:rPr>
          <w:sz w:val="24"/>
          <w:szCs w:val="24"/>
        </w:rPr>
        <w:t xml:space="preserve">.  In </w:t>
      </w:r>
      <w:r w:rsidRPr="00D03E09" w:rsidR="008852E2">
        <w:rPr>
          <w:sz w:val="24"/>
          <w:szCs w:val="24"/>
        </w:rPr>
        <w:t>20</w:t>
      </w:r>
      <w:r w:rsidRPr="00D03E09" w:rsidR="005C1338">
        <w:rPr>
          <w:sz w:val="24"/>
          <w:szCs w:val="24"/>
        </w:rPr>
        <w:t>20</w:t>
      </w:r>
      <w:r w:rsidRPr="00D03E09" w:rsidR="001A20F2">
        <w:rPr>
          <w:sz w:val="24"/>
          <w:szCs w:val="24"/>
        </w:rPr>
        <w:t xml:space="preserve">, </w:t>
      </w:r>
      <w:r w:rsidRPr="00D03E09" w:rsidR="005C1338">
        <w:rPr>
          <w:sz w:val="24"/>
          <w:szCs w:val="24"/>
        </w:rPr>
        <w:t>FinCEN</w:t>
      </w:r>
      <w:r w:rsidRPr="00D03E09" w:rsidR="001A20F2">
        <w:rPr>
          <w:sz w:val="24"/>
          <w:szCs w:val="24"/>
        </w:rPr>
        <w:t xml:space="preserve"> estimated that there were </w:t>
      </w:r>
      <w:r w:rsidRPr="00D03E09" w:rsidR="004E5E75">
        <w:rPr>
          <w:sz w:val="24"/>
          <w:szCs w:val="24"/>
        </w:rPr>
        <w:t>253,697</w:t>
      </w:r>
      <w:r w:rsidRPr="00D03E09" w:rsidR="001A20F2">
        <w:rPr>
          <w:sz w:val="24"/>
          <w:szCs w:val="24"/>
        </w:rPr>
        <w:t xml:space="preserve"> respondents</w:t>
      </w:r>
      <w:r w:rsidRPr="00D03E09" w:rsidR="008274CF">
        <w:rPr>
          <w:sz w:val="24"/>
          <w:szCs w:val="24"/>
        </w:rPr>
        <w:t>, as compared to 258,065 respondents in this renewal</w:t>
      </w:r>
      <w:r w:rsidRPr="00D03E09" w:rsidR="001A20F2">
        <w:rPr>
          <w:sz w:val="24"/>
          <w:szCs w:val="24"/>
        </w:rPr>
        <w:t xml:space="preserve">.  </w:t>
      </w:r>
    </w:p>
    <w:p w:rsidR="00CC2569" w:rsidRPr="00D37498" w:rsidP="00217303" w14:paraId="4D84A0D0" w14:textId="77777777">
      <w:pPr>
        <w:spacing w:before="283"/>
        <w:rPr>
          <w:szCs w:val="22"/>
        </w:rPr>
      </w:pPr>
      <w:r w:rsidRPr="00D37498">
        <w:rPr>
          <w:szCs w:val="22"/>
        </w:rPr>
        <w:t xml:space="preserve">16. </w:t>
      </w:r>
      <w:r w:rsidRPr="00D37498" w:rsidR="009C4404">
        <w:rPr>
          <w:szCs w:val="22"/>
          <w:u w:val="single"/>
        </w:rPr>
        <w:t>Plans for tabulation, statistical analysis, and publication.</w:t>
      </w:r>
      <w:r w:rsidRPr="00D37498" w:rsidR="009C4404">
        <w:rPr>
          <w:szCs w:val="22"/>
        </w:rPr>
        <w:t xml:space="preserve"> </w:t>
      </w:r>
    </w:p>
    <w:p w:rsidR="00CC2569" w:rsidRPr="00D37498" w:rsidP="002E2B25" w14:paraId="741A3C54" w14:textId="3143D14D">
      <w:pPr>
        <w:spacing w:before="283"/>
        <w:ind w:firstLine="720"/>
        <w:rPr>
          <w:szCs w:val="22"/>
        </w:rPr>
      </w:pPr>
      <w:r w:rsidRPr="00D37498">
        <w:t xml:space="preserve">The </w:t>
      </w:r>
      <w:r w:rsidR="003B3564">
        <w:t xml:space="preserve">collection of </w:t>
      </w:r>
      <w:r w:rsidRPr="00D37498">
        <w:t>information will not be tabulated or compiled for publication.</w:t>
      </w:r>
      <w:r w:rsidRPr="00D37498">
        <w:rPr>
          <w:szCs w:val="22"/>
        </w:rPr>
        <w:t xml:space="preserve"> </w:t>
      </w:r>
    </w:p>
    <w:p w:rsidR="00B9027A" w:rsidP="00F041A6" w14:paraId="0CABEAA9" w14:textId="77777777">
      <w:pPr>
        <w:spacing w:before="244" w:line="292" w:lineRule="exact"/>
        <w:rPr>
          <w:szCs w:val="22"/>
        </w:rPr>
      </w:pPr>
    </w:p>
    <w:p w:rsidR="00B9027A" w:rsidP="00F041A6" w14:paraId="103AB4B9" w14:textId="77777777">
      <w:pPr>
        <w:spacing w:before="244" w:line="292" w:lineRule="exact"/>
        <w:rPr>
          <w:szCs w:val="22"/>
        </w:rPr>
      </w:pPr>
    </w:p>
    <w:p w:rsidR="0019731C" w:rsidRPr="00D37498" w:rsidP="00F041A6" w14:paraId="2D894A84" w14:textId="3A55FF94">
      <w:pPr>
        <w:spacing w:before="244" w:line="292" w:lineRule="exact"/>
        <w:rPr>
          <w:szCs w:val="22"/>
          <w:u w:val="single"/>
        </w:rPr>
      </w:pPr>
      <w:r w:rsidRPr="00D37498">
        <w:rPr>
          <w:szCs w:val="22"/>
        </w:rPr>
        <w:t>17.</w:t>
      </w:r>
      <w:r w:rsidRPr="00D37498">
        <w:rPr>
          <w:szCs w:val="22"/>
          <w:u w:val="single"/>
        </w:rPr>
        <w:t xml:space="preserve"> Request not to display the OMB expiration date. </w:t>
      </w:r>
    </w:p>
    <w:p w:rsidR="0019731C" w:rsidRPr="00D37498" w:rsidP="00F041A6" w14:paraId="06FC884B" w14:textId="47839539">
      <w:pPr>
        <w:spacing w:before="244" w:line="292" w:lineRule="exact"/>
        <w:rPr>
          <w:szCs w:val="22"/>
        </w:rPr>
      </w:pPr>
      <w:r w:rsidRPr="00D37498">
        <w:rPr>
          <w:szCs w:val="22"/>
        </w:rPr>
        <w:tab/>
      </w:r>
      <w:r w:rsidR="00266D84">
        <w:rPr>
          <w:szCs w:val="22"/>
        </w:rPr>
        <w:t xml:space="preserve">FinCEN requests that it not be required to display the expiration date so that the regulations will not have to be amended for the new expiration date every three years.  </w:t>
      </w:r>
      <w:r w:rsidRPr="001F7618" w:rsidR="00266D84">
        <w:t xml:space="preserve">This request will not affect the normal </w:t>
      </w:r>
      <w:r w:rsidR="00266D84">
        <w:t>three</w:t>
      </w:r>
      <w:r w:rsidRPr="001F7618" w:rsidR="00266D84">
        <w:t>-year PRA renewal process.</w:t>
      </w:r>
    </w:p>
    <w:p w:rsidR="0019731C" w:rsidRPr="00D37498" w14:paraId="21054CA9" w14:textId="77777777">
      <w:pPr>
        <w:spacing w:before="244" w:line="292" w:lineRule="exact"/>
        <w:rPr>
          <w:u w:val="single"/>
        </w:rPr>
      </w:pPr>
      <w:r w:rsidRPr="00D37498">
        <w:t xml:space="preserve">18. </w:t>
      </w:r>
      <w:r w:rsidRPr="00D37498">
        <w:rPr>
          <w:u w:val="single"/>
        </w:rPr>
        <w:t>Exceptions to the certification statement.</w:t>
      </w:r>
      <w:r w:rsidRPr="00D37498">
        <w:t xml:space="preserve"> </w:t>
      </w:r>
    </w:p>
    <w:p w:rsidR="00CC2569" w:rsidRPr="00105737" w:rsidP="002D3319" w14:paraId="635AB7B3" w14:textId="77777777">
      <w:pPr>
        <w:spacing w:before="182" w:line="292" w:lineRule="exact"/>
        <w:rPr>
          <w:rFonts w:eastAsia="MS Mincho"/>
        </w:rPr>
      </w:pPr>
      <w:r w:rsidRPr="00D37498">
        <w:tab/>
        <w:t>There are no exceptions</w:t>
      </w:r>
      <w:r w:rsidRPr="00D37498" w:rsidR="008B4E52">
        <w:t xml:space="preserve"> to the certification statement</w:t>
      </w:r>
      <w:r w:rsidRPr="00D37498">
        <w:t>.</w:t>
      </w:r>
      <w:r>
        <w:t xml:space="preserve"> </w:t>
      </w:r>
      <w:r>
        <w:rPr>
          <w:szCs w:val="50"/>
        </w:rPr>
        <w:t xml:space="preserve"> </w:t>
      </w:r>
      <w:r>
        <w:rPr>
          <w:rFonts w:eastAsia="MS Mincho"/>
        </w:rPr>
        <w:t xml:space="preserve">    </w:t>
      </w:r>
    </w:p>
    <w:sectPr>
      <w:headerReference w:type="default" r:id="rId6"/>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70051987"/>
      <w:docPartObj>
        <w:docPartGallery w:val="Page Numbers (Bottom of Page)"/>
        <w:docPartUnique/>
      </w:docPartObj>
    </w:sdtPr>
    <w:sdtEndPr>
      <w:rPr>
        <w:noProof/>
      </w:rPr>
    </w:sdtEndPr>
    <w:sdtContent>
      <w:p w:rsidR="00616AA9" w14:paraId="1DC001F6" w14:textId="038AA825">
        <w:pPr>
          <w:pStyle w:val="Footer"/>
          <w:jc w:val="center"/>
        </w:pPr>
        <w:r>
          <w:fldChar w:fldCharType="begin"/>
        </w:r>
        <w:r>
          <w:instrText xml:space="preserve"> PAGE   \* MERGEFORMAT </w:instrText>
        </w:r>
        <w:r>
          <w:fldChar w:fldCharType="separate"/>
        </w:r>
        <w:r w:rsidR="00D37498">
          <w:rPr>
            <w:noProof/>
          </w:rPr>
          <w:t>4</w:t>
        </w:r>
        <w:r>
          <w:rPr>
            <w:noProof/>
          </w:rPr>
          <w:fldChar w:fldCharType="end"/>
        </w:r>
      </w:p>
    </w:sdtContent>
  </w:sdt>
  <w:p w:rsidR="00616AA9" w14:paraId="6A18097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A20D8" w14:paraId="2DF5F6B8" w14:textId="77777777">
      <w:r>
        <w:separator/>
      </w:r>
    </w:p>
  </w:footnote>
  <w:footnote w:type="continuationSeparator" w:id="1">
    <w:p w:rsidR="00EA20D8" w14:paraId="2AD1E457" w14:textId="77777777">
      <w:r>
        <w:continuationSeparator/>
      </w:r>
    </w:p>
  </w:footnote>
  <w:footnote w:id="2">
    <w:p w:rsidR="00C2785E" w:rsidP="00C2785E" w14:paraId="58334B88" w14:textId="77777777">
      <w:pPr>
        <w:pStyle w:val="FootnoteText"/>
      </w:pPr>
      <w:r>
        <w:rPr>
          <w:rStyle w:val="FootnoteReference"/>
        </w:rPr>
        <w:footnoteRef/>
      </w:r>
      <w:r>
        <w:t xml:space="preserve"> USA PATRIOT Act, </w:t>
      </w:r>
      <w:r w:rsidRPr="00CD4AE1">
        <w:t>Pub</w:t>
      </w:r>
      <w:r>
        <w:t>.</w:t>
      </w:r>
      <w:r w:rsidRPr="00CD4AE1">
        <w:t xml:space="preserve"> L</w:t>
      </w:r>
      <w:r>
        <w:t>.</w:t>
      </w:r>
      <w:r w:rsidRPr="00CD4AE1">
        <w:t xml:space="preserve"> 107–56</w:t>
      </w:r>
      <w:r>
        <w:t>.</w:t>
      </w:r>
    </w:p>
  </w:footnote>
  <w:footnote w:id="3">
    <w:p w:rsidR="00C2785E" w:rsidP="00C2785E" w14:paraId="42E57706" w14:textId="77777777">
      <w:pPr>
        <w:pStyle w:val="FootnoteText"/>
      </w:pPr>
      <w:r>
        <w:rPr>
          <w:rStyle w:val="FootnoteReference"/>
        </w:rPr>
        <w:footnoteRef/>
      </w:r>
      <w:r>
        <w:t xml:space="preserve"> </w:t>
      </w:r>
      <w:r w:rsidRPr="00382338">
        <w:t xml:space="preserve">The AML Act was enacted as Division F, </w:t>
      </w:r>
      <w:r>
        <w:t>sections</w:t>
      </w:r>
      <w:r w:rsidRPr="00382338">
        <w:t xml:space="preserve"> 6001-6511, of the William M. (Mac) Thornberry National</w:t>
      </w:r>
      <w:r>
        <w:t xml:space="preserve"> </w:t>
      </w:r>
      <w:r w:rsidRPr="00382338">
        <w:t>Defense Authorization Act for Fiscal Year 2021, Pub. L. 116-283, 134 Stat</w:t>
      </w:r>
      <w:r>
        <w:t>.</w:t>
      </w:r>
      <w:r w:rsidRPr="00382338">
        <w:t xml:space="preserve"> 3388 </w:t>
      </w:r>
      <w:r>
        <w:t>(NDAA)</w:t>
      </w:r>
      <w:r w:rsidRPr="00382338">
        <w:t>.</w:t>
      </w:r>
    </w:p>
  </w:footnote>
  <w:footnote w:id="4">
    <w:p w:rsidR="00C2785E" w:rsidRPr="00A24EC2" w:rsidP="00C2785E" w14:paraId="7813FA1E" w14:textId="77777777">
      <w:pPr>
        <w:pStyle w:val="FootnoteText"/>
      </w:pPr>
      <w:r w:rsidRPr="00703709">
        <w:rPr>
          <w:rStyle w:val="FootnoteReference"/>
        </w:rPr>
        <w:footnoteRef/>
      </w:r>
      <w:r w:rsidRPr="00703709">
        <w:t xml:space="preserve"> </w:t>
      </w:r>
      <w:r w:rsidRPr="000B6D65">
        <w:t xml:space="preserve">Section 358 of the USA PATRIOT Act expanded the </w:t>
      </w:r>
      <w:r>
        <w:t>purpose</w:t>
      </w:r>
      <w:r w:rsidRPr="000B6D65">
        <w:t xml:space="preserve"> of the BSA by including a reference to reports and records “that have a high degree of usefulness in intelligence or counterintelligence activities to protect against international terrorism.”</w:t>
      </w:r>
      <w:r>
        <w:t xml:space="preserve">  </w:t>
      </w:r>
      <w:r>
        <w:rPr>
          <w:i/>
          <w:iCs/>
        </w:rPr>
        <w:t>See</w:t>
      </w:r>
      <w:r>
        <w:t xml:space="preserve"> 12 U.S.C. 1829b(a).</w:t>
      </w:r>
      <w:r w:rsidRPr="00703709">
        <w:t xml:space="preserve"> </w:t>
      </w:r>
      <w:r>
        <w:t xml:space="preserve"> </w:t>
      </w:r>
      <w:r w:rsidRPr="00120B54">
        <w:t>Section 6101 of the</w:t>
      </w:r>
      <w:r>
        <w:t xml:space="preserve"> AML Act</w:t>
      </w:r>
      <w:r w:rsidRPr="00120B54">
        <w:t xml:space="preserve"> </w:t>
      </w:r>
      <w:r>
        <w:t>further expanded the purpose</w:t>
      </w:r>
      <w:r w:rsidRPr="00120B54">
        <w:t xml:space="preserve"> of the BSA</w:t>
      </w:r>
      <w:r>
        <w:t xml:space="preserve"> to cover such matters as preventing money laundering, tracking illicit funds, assessing risk, and establishing appropriate frameworks for information sharing.</w:t>
      </w:r>
      <w:r w:rsidRPr="00120B54">
        <w:t xml:space="preserve">  </w:t>
      </w:r>
      <w:r>
        <w:rPr>
          <w:i/>
          <w:iCs/>
        </w:rPr>
        <w:t>See</w:t>
      </w:r>
      <w:r>
        <w:t xml:space="preserve"> 31 U.S.C. 5311.</w:t>
      </w:r>
    </w:p>
  </w:footnote>
  <w:footnote w:id="5">
    <w:p w:rsidR="00C2785E" w:rsidRPr="000330A4" w:rsidP="00C2785E" w14:paraId="316F420B" w14:textId="77777777">
      <w:pPr>
        <w:autoSpaceDE w:val="0"/>
        <w:autoSpaceDN w:val="0"/>
        <w:adjustRightInd w:val="0"/>
        <w:rPr>
          <w:sz w:val="20"/>
        </w:rPr>
      </w:pPr>
      <w:r w:rsidRPr="000330A4">
        <w:rPr>
          <w:rStyle w:val="FootnoteReference"/>
          <w:sz w:val="20"/>
        </w:rPr>
        <w:footnoteRef/>
      </w:r>
      <w:r w:rsidRPr="000330A4">
        <w:rPr>
          <w:sz w:val="20"/>
        </w:rPr>
        <w:t xml:space="preserve"> Treasury Order 180-01 (Jan. 14, 2020).</w:t>
      </w:r>
    </w:p>
  </w:footnote>
  <w:footnote w:id="6">
    <w:p w:rsidR="00C2785E" w:rsidP="00C2785E" w14:paraId="14455E44" w14:textId="77777777">
      <w:pPr>
        <w:pStyle w:val="FootnoteText"/>
      </w:pPr>
      <w:r>
        <w:rPr>
          <w:rStyle w:val="FootnoteReference"/>
        </w:rPr>
        <w:footnoteRef/>
      </w:r>
      <w:r>
        <w:t xml:space="preserve"> The provision was added to the BSA through Section 352 of the USA PATRIOT Act.  Section 6101(b) of the AML Act amended the provision to include explicit references to terrorism finance.</w:t>
      </w:r>
    </w:p>
  </w:footnote>
  <w:footnote w:id="7">
    <w:p w:rsidR="00C2785E" w:rsidP="00C2785E" w14:paraId="443E0802" w14:textId="77777777">
      <w:pPr>
        <w:pStyle w:val="FootnoteText"/>
      </w:pPr>
      <w:r>
        <w:rPr>
          <w:rStyle w:val="FootnoteReference"/>
        </w:rPr>
        <w:footnoteRef/>
      </w:r>
      <w:r>
        <w:t xml:space="preserve"> The provision, which was added to the BSA through Section 352 of the USA PATRIOT Act, authorized FinCEN to prescribe minimum standards for AML programs and to exempt certain financial institutions from application of those standards.  Section 6101(b) of the AML Act amended the provision to specify the factors that FinCEN must consider in prescribing minimum standards.</w:t>
      </w:r>
    </w:p>
  </w:footnote>
  <w:footnote w:id="8">
    <w:p w:rsidR="003F3447" w:rsidRPr="006F052B" w:rsidP="003F3447" w14:paraId="1AE7BBA0" w14:textId="6FF5B08E">
      <w:pPr>
        <w:pStyle w:val="FootnoteText"/>
      </w:pPr>
      <w:r w:rsidRPr="006F052B">
        <w:rPr>
          <w:rStyle w:val="FootnoteReference"/>
        </w:rPr>
        <w:footnoteRef/>
      </w:r>
      <w:r w:rsidRPr="006F052B">
        <w:t xml:space="preserve"> </w:t>
      </w:r>
      <w:r w:rsidRPr="006F052B">
        <w:rPr>
          <w:i/>
          <w:iCs/>
        </w:rPr>
        <w:t xml:space="preserve">See </w:t>
      </w:r>
      <w:r w:rsidRPr="006F052B">
        <w:t xml:space="preserve">FinCEN, </w:t>
      </w:r>
      <w:r w:rsidRPr="006F052B">
        <w:rPr>
          <w:i/>
          <w:iCs/>
        </w:rPr>
        <w:t>Agency Information Collection Activities; Proposed Renewal; Comment Request: Renewal Without Change of Anti-Money Laundering Programs for Certain Financial Institutions</w:t>
      </w:r>
      <w:r w:rsidRPr="006F052B">
        <w:t xml:space="preserve">, </w:t>
      </w:r>
      <w:hyperlink r:id="rId1" w:history="1">
        <w:r w:rsidRPr="006F052B">
          <w:rPr>
            <w:rStyle w:val="Hyperlink"/>
          </w:rPr>
          <w:t>89 FR 29427</w:t>
        </w:r>
      </w:hyperlink>
      <w:r w:rsidRPr="006F052B">
        <w:t xml:space="preserve"> (Apr. 22, 2024).</w:t>
      </w:r>
    </w:p>
  </w:footnote>
  <w:footnote w:id="9">
    <w:p w:rsidR="001A6CE5" w:rsidP="001A6CE5" w14:paraId="18240715" w14:textId="77777777">
      <w:pPr>
        <w:pStyle w:val="FootnoteText"/>
      </w:pPr>
      <w:r>
        <w:rPr>
          <w:rStyle w:val="FootnoteReference"/>
        </w:rPr>
        <w:footnoteRef/>
      </w:r>
      <w:r>
        <w:t xml:space="preserve"> Ibid.</w:t>
      </w:r>
    </w:p>
  </w:footnote>
  <w:footnote w:id="10">
    <w:p w:rsidR="006F0482" w:rsidRPr="00FE0FB5" w:rsidP="006F0482" w14:paraId="6162939B" w14:textId="77777777">
      <w:pPr>
        <w:pStyle w:val="HTMLPreformatted"/>
        <w:shd w:val="clear" w:color="auto" w:fill="FFFFFF"/>
        <w:rPr>
          <w:rFonts w:ascii="Times New Roman" w:hAnsi="Times New Roman" w:cs="Times New Roman"/>
        </w:rPr>
      </w:pPr>
      <w:r w:rsidRPr="00FE0FB5">
        <w:rPr>
          <w:rStyle w:val="FootnoteReference"/>
          <w:rFonts w:ascii="Times New Roman" w:hAnsi="Times New Roman" w:cs="Times New Roman"/>
        </w:rPr>
        <w:footnoteRef/>
      </w:r>
      <w:r w:rsidRPr="00FE0FB5">
        <w:rPr>
          <w:rFonts w:ascii="Times New Roman" w:hAnsi="Times New Roman" w:cs="Times New Roman"/>
        </w:rPr>
        <w:t xml:space="preserve"> </w:t>
      </w:r>
      <w:r w:rsidRPr="006F052B">
        <w:rPr>
          <w:rFonts w:ascii="Times New Roman" w:eastAsia="Courier New" w:hAnsi="Times New Roman" w:cs="Times New Roman"/>
          <w:i/>
          <w:lang w:val="x-none"/>
        </w:rPr>
        <w:t>See</w:t>
      </w:r>
      <w:r w:rsidRPr="006F052B">
        <w:rPr>
          <w:rFonts w:ascii="Times New Roman" w:eastAsia="Courier New" w:hAnsi="Times New Roman" w:cs="Times New Roman"/>
          <w:lang w:eastAsia="x-none"/>
        </w:rPr>
        <w:t xml:space="preserve"> </w:t>
      </w:r>
      <w:r w:rsidRPr="006F052B">
        <w:rPr>
          <w:rFonts w:ascii="Times New Roman" w:eastAsia="Courier New" w:hAnsi="Times New Roman" w:cs="Times New Roman"/>
          <w:color w:val="000000"/>
          <w:lang w:val="x-none" w:eastAsia="x-none"/>
        </w:rPr>
        <w:t>FinCEN</w:t>
      </w:r>
      <w:r w:rsidRPr="006F052B">
        <w:rPr>
          <w:rFonts w:ascii="Times New Roman" w:eastAsia="Courier New" w:hAnsi="Times New Roman" w:cs="Times New Roman"/>
          <w:color w:val="000000"/>
          <w:lang w:eastAsia="x-none"/>
        </w:rPr>
        <w:t xml:space="preserve">, </w:t>
      </w:r>
      <w:r w:rsidRPr="006F052B">
        <w:rPr>
          <w:rFonts w:ascii="Times New Roman" w:eastAsia="Courier New" w:hAnsi="Times New Roman" w:cs="Times New Roman"/>
          <w:i/>
          <w:iCs/>
          <w:color w:val="000000"/>
          <w:lang w:eastAsia="x-none"/>
        </w:rPr>
        <w:t>Privacy Act of 1974, Systems</w:t>
      </w:r>
      <w:r w:rsidRPr="006F052B">
        <w:rPr>
          <w:rFonts w:ascii="Times New Roman" w:eastAsia="Courier New" w:hAnsi="Times New Roman" w:cs="Times New Roman"/>
          <w:i/>
          <w:color w:val="000000"/>
        </w:rPr>
        <w:t xml:space="preserve"> of Records Notice</w:t>
      </w:r>
      <w:r w:rsidRPr="006F052B">
        <w:rPr>
          <w:rFonts w:ascii="Times New Roman" w:eastAsia="Courier New" w:hAnsi="Times New Roman" w:cs="Times New Roman"/>
          <w:color w:val="000000"/>
          <w:lang w:eastAsia="x-none"/>
        </w:rPr>
        <w:t>,</w:t>
      </w:r>
      <w:r w:rsidRPr="006F052B">
        <w:rPr>
          <w:rFonts w:ascii="Times New Roman" w:eastAsia="Courier New" w:hAnsi="Times New Roman" w:cs="Times New Roman"/>
          <w:lang w:eastAsia="x-none"/>
        </w:rPr>
        <w:t xml:space="preserve"> </w:t>
      </w:r>
      <w:hyperlink r:id="rId2" w:history="1">
        <w:r w:rsidRPr="006F052B">
          <w:rPr>
            <w:rFonts w:ascii="Times New Roman" w:eastAsia="Courier New" w:hAnsi="Times New Roman" w:cs="Times New Roman"/>
            <w:color w:val="0000FF"/>
            <w:u w:val="single"/>
            <w:lang w:val="x-none" w:eastAsia="x-none"/>
          </w:rPr>
          <w:t>79 FR 20969</w:t>
        </w:r>
      </w:hyperlink>
      <w:r w:rsidRPr="006F052B">
        <w:rPr>
          <w:rFonts w:ascii="Times New Roman" w:eastAsia="Courier New" w:hAnsi="Times New Roman" w:cs="Times New Roman"/>
          <w:color w:val="0000FF"/>
          <w:lang w:eastAsia="x-none"/>
        </w:rPr>
        <w:t xml:space="preserve"> </w:t>
      </w:r>
      <w:r w:rsidRPr="006F052B">
        <w:rPr>
          <w:rFonts w:ascii="Times New Roman" w:eastAsia="Courier New" w:hAnsi="Times New Roman" w:cs="Times New Roman"/>
          <w:lang w:eastAsia="x-none"/>
        </w:rPr>
        <w:t>(Apr. 14, 2014).</w:t>
      </w:r>
    </w:p>
  </w:footnote>
  <w:footnote w:id="11">
    <w:p w:rsidR="00A8515F" w:rsidP="00A8515F" w14:paraId="083ACB78" w14:textId="39210EEC">
      <w:pPr>
        <w:pStyle w:val="FootnoteText"/>
      </w:pPr>
      <w:r w:rsidRPr="006F052B">
        <w:rPr>
          <w:rStyle w:val="FootnoteReference"/>
        </w:rPr>
        <w:footnoteRef/>
      </w:r>
      <w:r w:rsidRPr="006F052B">
        <w:t xml:space="preserve"> Table 1 below breaks down the types of financial institutions covered by </w:t>
      </w:r>
      <w:r w:rsidR="00B95102">
        <w:t>under this OMB control number</w:t>
      </w:r>
      <w:r w:rsidRPr="006F052B">
        <w:t xml:space="preserve">. </w:t>
      </w:r>
      <w:r>
        <w:t xml:space="preserve"> </w:t>
      </w:r>
      <w:r>
        <w:t>Note the number of respondents is a summation of the number of financial institutions that are required to update their AML programs (</w:t>
      </w:r>
      <w:r w:rsidR="005B2D4C">
        <w:t>258,065</w:t>
      </w:r>
      <w:r>
        <w:t>) and the number of prepaid cards verified annually (2,600,000) for a total of 2,858,065</w:t>
      </w:r>
      <w:r w:rsidR="009073C7">
        <w:t xml:space="preserve"> respondents</w:t>
      </w:r>
      <w:r>
        <w:t>.</w:t>
      </w:r>
    </w:p>
    <w:p w:rsidR="00B47AB0" w:rsidRPr="006F052B" w:rsidP="00B47AB0" w14:paraId="4DC2A1BC" w14:textId="529C60E2">
      <w:pPr>
        <w:pStyle w:val="CommentText"/>
      </w:pPr>
    </w:p>
  </w:footnote>
  <w:footnote w:id="12">
    <w:p w:rsidR="00D936A6" w:rsidRPr="006F052B" w:rsidP="00D936A6" w14:paraId="15D60176" w14:textId="35600007">
      <w:pPr>
        <w:pStyle w:val="FootnoteText"/>
      </w:pPr>
      <w:r>
        <w:rPr>
          <w:rStyle w:val="FootnoteReference"/>
        </w:rPr>
        <w:footnoteRef/>
      </w:r>
      <w:r>
        <w:t xml:space="preserve"> </w:t>
      </w:r>
      <w:r w:rsidRPr="006D42B9">
        <w:rPr>
          <w:i/>
          <w:iCs/>
        </w:rPr>
        <w:t>See</w:t>
      </w:r>
      <w:r>
        <w:t xml:space="preserve"> Tables </w:t>
      </w:r>
      <w:r>
        <w:t>3 through 5</w:t>
      </w:r>
      <w:r w:rsidR="00DD04CF">
        <w:t>,</w:t>
      </w:r>
      <w:r>
        <w:t xml:space="preserve"> included in </w:t>
      </w:r>
      <w:r w:rsidRPr="006F052B">
        <w:t xml:space="preserve">FinCEN, </w:t>
      </w:r>
      <w:r w:rsidRPr="006F052B">
        <w:rPr>
          <w:i/>
          <w:iCs/>
        </w:rPr>
        <w:t>Agency Information Collection Activities; Proposed Renewal; Comment Request: Renewal Without Change of Anti-Money Laundering Programs for Certain Financial Institutions</w:t>
      </w:r>
      <w:r w:rsidRPr="006F052B">
        <w:t xml:space="preserve">, </w:t>
      </w:r>
      <w:hyperlink r:id="rId1" w:history="1">
        <w:r w:rsidRPr="006F052B">
          <w:rPr>
            <w:rStyle w:val="Hyperlink"/>
          </w:rPr>
          <w:t>89 FR 29427</w:t>
        </w:r>
      </w:hyperlink>
      <w:r w:rsidRPr="006F052B">
        <w:t xml:space="preserve"> (Apr. 22, 2024).</w:t>
      </w:r>
    </w:p>
    <w:p w:rsidR="0082330B" w14:paraId="44F6D0BB" w14:textId="4E02D04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55F7" w14:paraId="65010E3F" w14:textId="395F6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9D6251"/>
    <w:multiLevelType w:val="hybridMultilevel"/>
    <w:tmpl w:val="678E323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2EC263C"/>
    <w:multiLevelType w:val="hybridMultilevel"/>
    <w:tmpl w:val="2806F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CF3424"/>
    <w:multiLevelType w:val="hybridMultilevel"/>
    <w:tmpl w:val="92762A3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8486D00"/>
    <w:multiLevelType w:val="hybridMultilevel"/>
    <w:tmpl w:val="AF8AC05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3C6D6133"/>
    <w:multiLevelType w:val="hybridMultilevel"/>
    <w:tmpl w:val="81228D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77607A23"/>
    <w:multiLevelType w:val="hybridMultilevel"/>
    <w:tmpl w:val="BE4036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07346838">
    <w:abstractNumId w:val="1"/>
  </w:num>
  <w:num w:numId="2" w16cid:durableId="545920394">
    <w:abstractNumId w:val="4"/>
  </w:num>
  <w:num w:numId="3" w16cid:durableId="215048330">
    <w:abstractNumId w:val="3"/>
  </w:num>
  <w:num w:numId="4" w16cid:durableId="1824539321">
    <w:abstractNumId w:val="5"/>
  </w:num>
  <w:num w:numId="5" w16cid:durableId="1964967946">
    <w:abstractNumId w:val="0"/>
  </w:num>
  <w:num w:numId="6" w16cid:durableId="985820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406"/>
    <w:rsid w:val="0000707E"/>
    <w:rsid w:val="00011168"/>
    <w:rsid w:val="0002745B"/>
    <w:rsid w:val="000316F0"/>
    <w:rsid w:val="000330A4"/>
    <w:rsid w:val="00037491"/>
    <w:rsid w:val="0003793B"/>
    <w:rsid w:val="0004005D"/>
    <w:rsid w:val="00042AF2"/>
    <w:rsid w:val="00052EF2"/>
    <w:rsid w:val="000559E0"/>
    <w:rsid w:val="00060FB1"/>
    <w:rsid w:val="00063553"/>
    <w:rsid w:val="0007329B"/>
    <w:rsid w:val="000742E5"/>
    <w:rsid w:val="00083680"/>
    <w:rsid w:val="000A1078"/>
    <w:rsid w:val="000A3736"/>
    <w:rsid w:val="000B6D65"/>
    <w:rsid w:val="000C1837"/>
    <w:rsid w:val="000D08C5"/>
    <w:rsid w:val="000D0F98"/>
    <w:rsid w:val="000D2425"/>
    <w:rsid w:val="000D79C8"/>
    <w:rsid w:val="000E449C"/>
    <w:rsid w:val="000F0202"/>
    <w:rsid w:val="000F13E5"/>
    <w:rsid w:val="00102075"/>
    <w:rsid w:val="00104A8D"/>
    <w:rsid w:val="00105737"/>
    <w:rsid w:val="00105BA8"/>
    <w:rsid w:val="00110090"/>
    <w:rsid w:val="00111E68"/>
    <w:rsid w:val="00120B54"/>
    <w:rsid w:val="001218BB"/>
    <w:rsid w:val="00121938"/>
    <w:rsid w:val="001427CB"/>
    <w:rsid w:val="00146999"/>
    <w:rsid w:val="00152E36"/>
    <w:rsid w:val="001561A3"/>
    <w:rsid w:val="00175E1D"/>
    <w:rsid w:val="00176A61"/>
    <w:rsid w:val="00177FA2"/>
    <w:rsid w:val="0019731C"/>
    <w:rsid w:val="001A1511"/>
    <w:rsid w:val="001A20F2"/>
    <w:rsid w:val="001A2C9D"/>
    <w:rsid w:val="001A6CE5"/>
    <w:rsid w:val="001B636B"/>
    <w:rsid w:val="001C4BCC"/>
    <w:rsid w:val="001D47EB"/>
    <w:rsid w:val="001E2F53"/>
    <w:rsid w:val="001F71C2"/>
    <w:rsid w:val="001F7618"/>
    <w:rsid w:val="0020357C"/>
    <w:rsid w:val="00206640"/>
    <w:rsid w:val="00211332"/>
    <w:rsid w:val="00217303"/>
    <w:rsid w:val="0022259A"/>
    <w:rsid w:val="00222B47"/>
    <w:rsid w:val="00224B92"/>
    <w:rsid w:val="002369B8"/>
    <w:rsid w:val="002375D6"/>
    <w:rsid w:val="00247127"/>
    <w:rsid w:val="00266D84"/>
    <w:rsid w:val="002924FB"/>
    <w:rsid w:val="00293DE1"/>
    <w:rsid w:val="002B5076"/>
    <w:rsid w:val="002C7884"/>
    <w:rsid w:val="002D3319"/>
    <w:rsid w:val="002E2B25"/>
    <w:rsid w:val="002F0B1E"/>
    <w:rsid w:val="002F1728"/>
    <w:rsid w:val="002F4990"/>
    <w:rsid w:val="002F6BD1"/>
    <w:rsid w:val="003060C8"/>
    <w:rsid w:val="00330CD2"/>
    <w:rsid w:val="00330DDE"/>
    <w:rsid w:val="00332B58"/>
    <w:rsid w:val="003420FC"/>
    <w:rsid w:val="003422B5"/>
    <w:rsid w:val="0034408B"/>
    <w:rsid w:val="00346406"/>
    <w:rsid w:val="00350081"/>
    <w:rsid w:val="00352326"/>
    <w:rsid w:val="00361F4A"/>
    <w:rsid w:val="00366123"/>
    <w:rsid w:val="00367ED4"/>
    <w:rsid w:val="0037144A"/>
    <w:rsid w:val="00373BF6"/>
    <w:rsid w:val="003750D8"/>
    <w:rsid w:val="00382338"/>
    <w:rsid w:val="003865D4"/>
    <w:rsid w:val="00394F15"/>
    <w:rsid w:val="003A2707"/>
    <w:rsid w:val="003B28C0"/>
    <w:rsid w:val="003B3564"/>
    <w:rsid w:val="003E0D88"/>
    <w:rsid w:val="003F3447"/>
    <w:rsid w:val="003F6FB9"/>
    <w:rsid w:val="00403ADD"/>
    <w:rsid w:val="00406BA2"/>
    <w:rsid w:val="004077AE"/>
    <w:rsid w:val="004122C0"/>
    <w:rsid w:val="004210F8"/>
    <w:rsid w:val="00444C11"/>
    <w:rsid w:val="004619FF"/>
    <w:rsid w:val="00464054"/>
    <w:rsid w:val="00467070"/>
    <w:rsid w:val="00472448"/>
    <w:rsid w:val="004724F4"/>
    <w:rsid w:val="00473CFC"/>
    <w:rsid w:val="00473DC4"/>
    <w:rsid w:val="004937FC"/>
    <w:rsid w:val="00495879"/>
    <w:rsid w:val="004A2860"/>
    <w:rsid w:val="004A4207"/>
    <w:rsid w:val="004B461A"/>
    <w:rsid w:val="004B64DD"/>
    <w:rsid w:val="004C293D"/>
    <w:rsid w:val="004D0507"/>
    <w:rsid w:val="004D0939"/>
    <w:rsid w:val="004D43FC"/>
    <w:rsid w:val="004D44E6"/>
    <w:rsid w:val="004D4845"/>
    <w:rsid w:val="004E2F50"/>
    <w:rsid w:val="004E5E75"/>
    <w:rsid w:val="0050229E"/>
    <w:rsid w:val="005139B1"/>
    <w:rsid w:val="005205F7"/>
    <w:rsid w:val="00522671"/>
    <w:rsid w:val="00522FF7"/>
    <w:rsid w:val="00534FC5"/>
    <w:rsid w:val="00537765"/>
    <w:rsid w:val="00547A4A"/>
    <w:rsid w:val="00551458"/>
    <w:rsid w:val="005557B0"/>
    <w:rsid w:val="005670CB"/>
    <w:rsid w:val="005707A0"/>
    <w:rsid w:val="005837FD"/>
    <w:rsid w:val="005A2913"/>
    <w:rsid w:val="005A33BA"/>
    <w:rsid w:val="005A37FF"/>
    <w:rsid w:val="005B2D4C"/>
    <w:rsid w:val="005B7C8A"/>
    <w:rsid w:val="005C1338"/>
    <w:rsid w:val="005D325D"/>
    <w:rsid w:val="00601BEF"/>
    <w:rsid w:val="00615359"/>
    <w:rsid w:val="0061668D"/>
    <w:rsid w:val="00616AA9"/>
    <w:rsid w:val="00622001"/>
    <w:rsid w:val="006619D4"/>
    <w:rsid w:val="00667451"/>
    <w:rsid w:val="00681D2F"/>
    <w:rsid w:val="00683103"/>
    <w:rsid w:val="0068442B"/>
    <w:rsid w:val="00685ED1"/>
    <w:rsid w:val="00694FC6"/>
    <w:rsid w:val="006A05AD"/>
    <w:rsid w:val="006A144C"/>
    <w:rsid w:val="006C00EC"/>
    <w:rsid w:val="006C52DF"/>
    <w:rsid w:val="006C7F1C"/>
    <w:rsid w:val="006D0A53"/>
    <w:rsid w:val="006D42B9"/>
    <w:rsid w:val="006E4474"/>
    <w:rsid w:val="006F0482"/>
    <w:rsid w:val="006F052B"/>
    <w:rsid w:val="006F57C4"/>
    <w:rsid w:val="00703709"/>
    <w:rsid w:val="007176C0"/>
    <w:rsid w:val="007246A9"/>
    <w:rsid w:val="00724EC7"/>
    <w:rsid w:val="00734881"/>
    <w:rsid w:val="00735C52"/>
    <w:rsid w:val="00751433"/>
    <w:rsid w:val="00753759"/>
    <w:rsid w:val="00754DAE"/>
    <w:rsid w:val="00757BD1"/>
    <w:rsid w:val="0076007C"/>
    <w:rsid w:val="007603C8"/>
    <w:rsid w:val="00775621"/>
    <w:rsid w:val="007756FD"/>
    <w:rsid w:val="00776D05"/>
    <w:rsid w:val="00794300"/>
    <w:rsid w:val="00797C8C"/>
    <w:rsid w:val="007A24B0"/>
    <w:rsid w:val="007B5251"/>
    <w:rsid w:val="007C61EB"/>
    <w:rsid w:val="007C64AA"/>
    <w:rsid w:val="007C79F4"/>
    <w:rsid w:val="007D4C12"/>
    <w:rsid w:val="007D64C8"/>
    <w:rsid w:val="007D7EE6"/>
    <w:rsid w:val="007F2597"/>
    <w:rsid w:val="0081190A"/>
    <w:rsid w:val="0082330B"/>
    <w:rsid w:val="008274CF"/>
    <w:rsid w:val="00850A6B"/>
    <w:rsid w:val="00876E77"/>
    <w:rsid w:val="0088070B"/>
    <w:rsid w:val="008852E2"/>
    <w:rsid w:val="008870DD"/>
    <w:rsid w:val="00887CBA"/>
    <w:rsid w:val="008951BB"/>
    <w:rsid w:val="008973F1"/>
    <w:rsid w:val="008B26BD"/>
    <w:rsid w:val="008B4E52"/>
    <w:rsid w:val="008C0E25"/>
    <w:rsid w:val="008D3060"/>
    <w:rsid w:val="008E40FB"/>
    <w:rsid w:val="008F4373"/>
    <w:rsid w:val="009029BC"/>
    <w:rsid w:val="009042F6"/>
    <w:rsid w:val="00904F19"/>
    <w:rsid w:val="00907129"/>
    <w:rsid w:val="009073C7"/>
    <w:rsid w:val="00914E7A"/>
    <w:rsid w:val="00933A54"/>
    <w:rsid w:val="00937757"/>
    <w:rsid w:val="0094736B"/>
    <w:rsid w:val="00950BCF"/>
    <w:rsid w:val="00950C80"/>
    <w:rsid w:val="00952CDA"/>
    <w:rsid w:val="00953533"/>
    <w:rsid w:val="00957324"/>
    <w:rsid w:val="0096370F"/>
    <w:rsid w:val="0096396F"/>
    <w:rsid w:val="009665C1"/>
    <w:rsid w:val="00976EC7"/>
    <w:rsid w:val="009808D5"/>
    <w:rsid w:val="0098519E"/>
    <w:rsid w:val="00986010"/>
    <w:rsid w:val="00987B4E"/>
    <w:rsid w:val="009A07B2"/>
    <w:rsid w:val="009A161D"/>
    <w:rsid w:val="009A2D55"/>
    <w:rsid w:val="009B2F74"/>
    <w:rsid w:val="009C4404"/>
    <w:rsid w:val="009D4813"/>
    <w:rsid w:val="009E0A49"/>
    <w:rsid w:val="009E6B06"/>
    <w:rsid w:val="009F5E97"/>
    <w:rsid w:val="00A07C35"/>
    <w:rsid w:val="00A21D97"/>
    <w:rsid w:val="00A24EC2"/>
    <w:rsid w:val="00A27F78"/>
    <w:rsid w:val="00A35440"/>
    <w:rsid w:val="00A35783"/>
    <w:rsid w:val="00A4498C"/>
    <w:rsid w:val="00A44B35"/>
    <w:rsid w:val="00A47261"/>
    <w:rsid w:val="00A517D5"/>
    <w:rsid w:val="00A55CCA"/>
    <w:rsid w:val="00A57241"/>
    <w:rsid w:val="00A61403"/>
    <w:rsid w:val="00A6418A"/>
    <w:rsid w:val="00A655E9"/>
    <w:rsid w:val="00A65700"/>
    <w:rsid w:val="00A7428E"/>
    <w:rsid w:val="00A75B82"/>
    <w:rsid w:val="00A776A9"/>
    <w:rsid w:val="00A849B8"/>
    <w:rsid w:val="00A8515F"/>
    <w:rsid w:val="00A96DD5"/>
    <w:rsid w:val="00AA481D"/>
    <w:rsid w:val="00AA55F7"/>
    <w:rsid w:val="00AA6BA4"/>
    <w:rsid w:val="00AB5E1D"/>
    <w:rsid w:val="00AB6648"/>
    <w:rsid w:val="00AC5659"/>
    <w:rsid w:val="00AC574D"/>
    <w:rsid w:val="00AC7BD4"/>
    <w:rsid w:val="00AD2122"/>
    <w:rsid w:val="00AE0F4E"/>
    <w:rsid w:val="00AE60BB"/>
    <w:rsid w:val="00AE7210"/>
    <w:rsid w:val="00AF2306"/>
    <w:rsid w:val="00AF287E"/>
    <w:rsid w:val="00AF719A"/>
    <w:rsid w:val="00AF7352"/>
    <w:rsid w:val="00B12581"/>
    <w:rsid w:val="00B3155B"/>
    <w:rsid w:val="00B3446C"/>
    <w:rsid w:val="00B41EAA"/>
    <w:rsid w:val="00B424F0"/>
    <w:rsid w:val="00B43FFD"/>
    <w:rsid w:val="00B443AA"/>
    <w:rsid w:val="00B459C3"/>
    <w:rsid w:val="00B45ED1"/>
    <w:rsid w:val="00B47AB0"/>
    <w:rsid w:val="00B47E1E"/>
    <w:rsid w:val="00B51C69"/>
    <w:rsid w:val="00B54875"/>
    <w:rsid w:val="00B616C2"/>
    <w:rsid w:val="00B72D6A"/>
    <w:rsid w:val="00B84F5E"/>
    <w:rsid w:val="00B9027A"/>
    <w:rsid w:val="00B95102"/>
    <w:rsid w:val="00BA3AE9"/>
    <w:rsid w:val="00BA6CFB"/>
    <w:rsid w:val="00BB1561"/>
    <w:rsid w:val="00BB1DDA"/>
    <w:rsid w:val="00BB2FCB"/>
    <w:rsid w:val="00BC0456"/>
    <w:rsid w:val="00BD3A04"/>
    <w:rsid w:val="00BE20F9"/>
    <w:rsid w:val="00BE51CD"/>
    <w:rsid w:val="00BF01F0"/>
    <w:rsid w:val="00BF0CB6"/>
    <w:rsid w:val="00C0054B"/>
    <w:rsid w:val="00C00C77"/>
    <w:rsid w:val="00C04081"/>
    <w:rsid w:val="00C070B1"/>
    <w:rsid w:val="00C257DD"/>
    <w:rsid w:val="00C261D7"/>
    <w:rsid w:val="00C2785E"/>
    <w:rsid w:val="00C410B4"/>
    <w:rsid w:val="00C424AE"/>
    <w:rsid w:val="00C43BE5"/>
    <w:rsid w:val="00C541CE"/>
    <w:rsid w:val="00C65DD8"/>
    <w:rsid w:val="00C7547B"/>
    <w:rsid w:val="00C85839"/>
    <w:rsid w:val="00C86E4B"/>
    <w:rsid w:val="00C97F68"/>
    <w:rsid w:val="00CB56DD"/>
    <w:rsid w:val="00CC2569"/>
    <w:rsid w:val="00CD4241"/>
    <w:rsid w:val="00CD4AE1"/>
    <w:rsid w:val="00CD67EF"/>
    <w:rsid w:val="00CD78D2"/>
    <w:rsid w:val="00CE07E5"/>
    <w:rsid w:val="00CE153D"/>
    <w:rsid w:val="00CE7D2E"/>
    <w:rsid w:val="00CF6787"/>
    <w:rsid w:val="00D03E09"/>
    <w:rsid w:val="00D1249E"/>
    <w:rsid w:val="00D17A29"/>
    <w:rsid w:val="00D20AAE"/>
    <w:rsid w:val="00D32EEC"/>
    <w:rsid w:val="00D35FC9"/>
    <w:rsid w:val="00D37498"/>
    <w:rsid w:val="00D37575"/>
    <w:rsid w:val="00D617F2"/>
    <w:rsid w:val="00D70469"/>
    <w:rsid w:val="00D752AF"/>
    <w:rsid w:val="00D765E3"/>
    <w:rsid w:val="00D870AE"/>
    <w:rsid w:val="00D916A6"/>
    <w:rsid w:val="00D92D8C"/>
    <w:rsid w:val="00D936A6"/>
    <w:rsid w:val="00D93A4A"/>
    <w:rsid w:val="00DB2EAD"/>
    <w:rsid w:val="00DB3CD8"/>
    <w:rsid w:val="00DB4B30"/>
    <w:rsid w:val="00DC75C5"/>
    <w:rsid w:val="00DD04CF"/>
    <w:rsid w:val="00DD4651"/>
    <w:rsid w:val="00DE00A6"/>
    <w:rsid w:val="00DF028E"/>
    <w:rsid w:val="00DF4246"/>
    <w:rsid w:val="00DF4FF4"/>
    <w:rsid w:val="00DF7146"/>
    <w:rsid w:val="00DF7D21"/>
    <w:rsid w:val="00E03EB2"/>
    <w:rsid w:val="00E1090A"/>
    <w:rsid w:val="00E127AE"/>
    <w:rsid w:val="00E13B65"/>
    <w:rsid w:val="00E163DC"/>
    <w:rsid w:val="00E164D0"/>
    <w:rsid w:val="00E42ACF"/>
    <w:rsid w:val="00E43E41"/>
    <w:rsid w:val="00E458E7"/>
    <w:rsid w:val="00E53938"/>
    <w:rsid w:val="00E55743"/>
    <w:rsid w:val="00E63A7E"/>
    <w:rsid w:val="00E670DC"/>
    <w:rsid w:val="00E73A37"/>
    <w:rsid w:val="00E743A8"/>
    <w:rsid w:val="00E74999"/>
    <w:rsid w:val="00E75030"/>
    <w:rsid w:val="00E832E0"/>
    <w:rsid w:val="00E848D3"/>
    <w:rsid w:val="00E878AD"/>
    <w:rsid w:val="00EA20D8"/>
    <w:rsid w:val="00EA25B4"/>
    <w:rsid w:val="00EA5327"/>
    <w:rsid w:val="00EB30F0"/>
    <w:rsid w:val="00ED0A8D"/>
    <w:rsid w:val="00ED378C"/>
    <w:rsid w:val="00EE0EDC"/>
    <w:rsid w:val="00EE364F"/>
    <w:rsid w:val="00EE75E3"/>
    <w:rsid w:val="00EF289F"/>
    <w:rsid w:val="00EF2E0B"/>
    <w:rsid w:val="00EF4BF3"/>
    <w:rsid w:val="00EF7645"/>
    <w:rsid w:val="00F01616"/>
    <w:rsid w:val="00F041A6"/>
    <w:rsid w:val="00F10F13"/>
    <w:rsid w:val="00F33776"/>
    <w:rsid w:val="00F3639A"/>
    <w:rsid w:val="00F417D9"/>
    <w:rsid w:val="00F5395A"/>
    <w:rsid w:val="00F751FD"/>
    <w:rsid w:val="00FA10EF"/>
    <w:rsid w:val="00FA5332"/>
    <w:rsid w:val="00FB59AC"/>
    <w:rsid w:val="00FD2E30"/>
    <w:rsid w:val="00FD672E"/>
    <w:rsid w:val="00FE0FB5"/>
    <w:rsid w:val="00FE2A26"/>
    <w:rsid w:val="00FF3950"/>
    <w:rsid w:val="00FF586B"/>
    <w:rsid w:val="674EC93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E228FB6"/>
  <w15:docId w15:val="{E0E05E2C-B48E-4722-A344-CD5EF737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367ED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FootnoteText">
    <w:name w:val="footnote text"/>
    <w:aliases w:val=" Char,Car,Char,Footnote Text Char Char Char,Footnote Text Char Char Char Char Char,Footnote Text Char1,Footnote Text Char1 Char,Footnote Text Char1 Char Char,Footnote Text Char1 Char Char Char,Footnote Text Char1 Char Char Char Char Char,f"/>
    <w:basedOn w:val="Normal"/>
    <w:link w:val="FootnoteTextChar"/>
    <w:uiPriority w:val="99"/>
    <w:qFormat/>
    <w:rsid w:val="00EE0EDC"/>
    <w:rPr>
      <w:sz w:val="20"/>
      <w:szCs w:val="20"/>
    </w:rPr>
  </w:style>
  <w:style w:type="character" w:customStyle="1" w:styleId="FootnoteTextChar">
    <w:name w:val="Footnote Text Char"/>
    <w:aliases w:val="Footnote Text Char Char Char Char,Footnote Text Char Char Char Char Char Char,Footnote Text Char1 Char Char Char Char,Footnote Text Char1 Char Char Char Char Char Char,Footnote Text Char1 Char Char Char1,Footnote Text Char1 Char Char1"/>
    <w:basedOn w:val="DefaultParagraphFont"/>
    <w:link w:val="FootnoteText"/>
    <w:uiPriority w:val="99"/>
    <w:rsid w:val="00EE0EDC"/>
  </w:style>
  <w:style w:type="character" w:styleId="Hyperlink">
    <w:name w:val="Hyperlink"/>
    <w:rsid w:val="00953533"/>
    <w:rPr>
      <w:color w:val="0000FF"/>
      <w:u w:val="single"/>
    </w:rPr>
  </w:style>
  <w:style w:type="character" w:styleId="CommentReference">
    <w:name w:val="annotation reference"/>
    <w:rsid w:val="00111E68"/>
    <w:rPr>
      <w:sz w:val="16"/>
      <w:szCs w:val="16"/>
    </w:rPr>
  </w:style>
  <w:style w:type="paragraph" w:styleId="CommentText">
    <w:name w:val="annotation text"/>
    <w:basedOn w:val="Normal"/>
    <w:link w:val="CommentTextChar"/>
    <w:uiPriority w:val="99"/>
    <w:rsid w:val="00111E68"/>
    <w:rPr>
      <w:sz w:val="20"/>
      <w:szCs w:val="20"/>
    </w:rPr>
  </w:style>
  <w:style w:type="character" w:customStyle="1" w:styleId="CommentTextChar">
    <w:name w:val="Comment Text Char"/>
    <w:basedOn w:val="DefaultParagraphFont"/>
    <w:link w:val="CommentText"/>
    <w:uiPriority w:val="99"/>
    <w:rsid w:val="00111E68"/>
  </w:style>
  <w:style w:type="paragraph" w:styleId="CommentSubject">
    <w:name w:val="annotation subject"/>
    <w:basedOn w:val="CommentText"/>
    <w:next w:val="CommentText"/>
    <w:link w:val="CommentSubjectChar"/>
    <w:rsid w:val="00111E68"/>
    <w:rPr>
      <w:b/>
      <w:bCs/>
    </w:rPr>
  </w:style>
  <w:style w:type="character" w:customStyle="1" w:styleId="CommentSubjectChar">
    <w:name w:val="Comment Subject Char"/>
    <w:link w:val="CommentSubject"/>
    <w:rsid w:val="00111E68"/>
    <w:rPr>
      <w:b/>
      <w:bCs/>
    </w:rPr>
  </w:style>
  <w:style w:type="character" w:customStyle="1" w:styleId="PlainTextChar">
    <w:name w:val="Plain Text Char"/>
    <w:link w:val="PlainText"/>
    <w:rsid w:val="007A24B0"/>
    <w:rPr>
      <w:rFonts w:ascii="Courier New" w:hAnsi="Courier New" w:cs="Courier New"/>
    </w:rPr>
  </w:style>
  <w:style w:type="table" w:styleId="TableGrid">
    <w:name w:val="Table Grid"/>
    <w:basedOn w:val="TableNormal"/>
    <w:uiPriority w:val="39"/>
    <w:rsid w:val="009E0A4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67ED4"/>
    <w:rPr>
      <w:b/>
      <w:bCs/>
      <w:sz w:val="27"/>
      <w:szCs w:val="27"/>
      <w:lang w:eastAsia="en-US"/>
    </w:rPr>
  </w:style>
  <w:style w:type="paragraph" w:styleId="Header">
    <w:name w:val="header"/>
    <w:basedOn w:val="Normal"/>
    <w:link w:val="HeaderChar"/>
    <w:unhideWhenUsed/>
    <w:rsid w:val="00616AA9"/>
    <w:pPr>
      <w:tabs>
        <w:tab w:val="center" w:pos="4680"/>
        <w:tab w:val="right" w:pos="9360"/>
      </w:tabs>
    </w:pPr>
  </w:style>
  <w:style w:type="character" w:customStyle="1" w:styleId="HeaderChar">
    <w:name w:val="Header Char"/>
    <w:basedOn w:val="DefaultParagraphFont"/>
    <w:link w:val="Header"/>
    <w:rsid w:val="00616AA9"/>
    <w:rPr>
      <w:sz w:val="24"/>
      <w:szCs w:val="24"/>
      <w:lang w:eastAsia="en-US"/>
    </w:rPr>
  </w:style>
  <w:style w:type="paragraph" w:styleId="Footer">
    <w:name w:val="footer"/>
    <w:basedOn w:val="Normal"/>
    <w:link w:val="FooterChar"/>
    <w:uiPriority w:val="99"/>
    <w:unhideWhenUsed/>
    <w:rsid w:val="00616AA9"/>
    <w:pPr>
      <w:tabs>
        <w:tab w:val="center" w:pos="4680"/>
        <w:tab w:val="right" w:pos="9360"/>
      </w:tabs>
    </w:pPr>
  </w:style>
  <w:style w:type="character" w:customStyle="1" w:styleId="FooterChar">
    <w:name w:val="Footer Char"/>
    <w:basedOn w:val="DefaultParagraphFont"/>
    <w:link w:val="Footer"/>
    <w:uiPriority w:val="99"/>
    <w:rsid w:val="00616AA9"/>
    <w:rPr>
      <w:sz w:val="24"/>
      <w:szCs w:val="24"/>
      <w:lang w:eastAsia="en-US"/>
    </w:rPr>
  </w:style>
  <w:style w:type="paragraph" w:styleId="ListParagraph">
    <w:name w:val="List Paragraph"/>
    <w:basedOn w:val="Normal"/>
    <w:uiPriority w:val="34"/>
    <w:qFormat/>
    <w:rsid w:val="005707A0"/>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AE0F4E"/>
    <w:rPr>
      <w:sz w:val="24"/>
      <w:szCs w:val="24"/>
      <w:lang w:eastAsia="en-US"/>
    </w:rPr>
  </w:style>
  <w:style w:type="character" w:customStyle="1" w:styleId="cf01">
    <w:name w:val="cf01"/>
    <w:basedOn w:val="DefaultParagraphFont"/>
    <w:rsid w:val="00CD78D2"/>
    <w:rPr>
      <w:rFonts w:ascii="Segoe UI" w:hAnsi="Segoe UI" w:cs="Segoe UI" w:hint="default"/>
      <w:sz w:val="18"/>
      <w:szCs w:val="18"/>
    </w:rPr>
  </w:style>
  <w:style w:type="paragraph" w:styleId="HTMLPreformatted">
    <w:name w:val="HTML Preformatted"/>
    <w:basedOn w:val="Normal"/>
    <w:link w:val="HTMLPreformattedChar"/>
    <w:unhideWhenUsed/>
    <w:rsid w:val="006F0482"/>
    <w:pPr>
      <w:widowControl w:val="0"/>
      <w:autoSpaceDE w:val="0"/>
      <w:autoSpaceDN w:val="0"/>
      <w:adjustRightInd w:val="0"/>
    </w:pPr>
    <w:rPr>
      <w:rFonts w:ascii="Consolas" w:hAnsi="Consolas" w:cs="Consolas"/>
      <w:sz w:val="20"/>
      <w:szCs w:val="20"/>
    </w:rPr>
  </w:style>
  <w:style w:type="character" w:customStyle="1" w:styleId="HTMLPreformattedChar">
    <w:name w:val="HTML Preformatted Char"/>
    <w:basedOn w:val="DefaultParagraphFont"/>
    <w:link w:val="HTMLPreformatted"/>
    <w:rsid w:val="006F0482"/>
    <w:rPr>
      <w:rFonts w:ascii="Consolas" w:hAnsi="Consolas" w:cs="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4/04/22/2024-08529/agency-information-collection-activities-proposed-renewal-comment-request-renewal-without-change-of" TargetMode="External" /><Relationship Id="rId2" Type="http://schemas.openxmlformats.org/officeDocument/2006/relationships/hyperlink" Target="https://www.federalregister.gov/documents/2014/04/14/2014-08254/privacy-act-of-1974-as-amended-system-of-records-noti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3D2DB-E699-463A-982A-5874A196A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1827</Words>
  <Characters>10547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creator>StephR</dc:creator>
  <cp:lastModifiedBy>Stewart, Jaclyn</cp:lastModifiedBy>
  <cp:revision>2</cp:revision>
  <cp:lastPrinted>2005-08-23T17:23:00Z</cp:lastPrinted>
  <dcterms:created xsi:type="dcterms:W3CDTF">2024-06-27T16:20:00Z</dcterms:created>
  <dcterms:modified xsi:type="dcterms:W3CDTF">2024-06-27T16:20:00Z</dcterms:modified>
</cp:coreProperties>
</file>