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376E" w:rsidRPr="0072376E" w:rsidP="0072376E" w14:paraId="15BA9710" w14:textId="77777777">
      <w:pPr>
        <w:pStyle w:val="BodyText"/>
        <w:spacing w:before="76"/>
        <w:ind w:left="2381" w:right="2366"/>
        <w:jc w:val="center"/>
        <w:rPr>
          <w:b/>
          <w:bCs/>
        </w:rPr>
      </w:pPr>
      <w:r w:rsidRPr="0072376E">
        <w:rPr>
          <w:b/>
          <w:bCs/>
        </w:rPr>
        <w:t xml:space="preserve">SUPPORTING STATEMENT FOR UNAUTHORIZED ENTRY IN TO CUBAN TERRITORIAL WATERS OMB </w:t>
      </w:r>
      <w:r w:rsidRPr="0072376E">
        <w:rPr>
          <w:b/>
          <w:bCs/>
        </w:rPr>
        <w:br/>
      </w:r>
    </w:p>
    <w:p w:rsidR="009C2D55" w:rsidRPr="0072376E" w:rsidP="0072376E" w14:paraId="1D4F0AE7" w14:textId="4B339A7D">
      <w:pPr>
        <w:pStyle w:val="BodyText"/>
        <w:spacing w:before="76"/>
        <w:ind w:left="2381" w:right="2366"/>
        <w:jc w:val="center"/>
        <w:rPr>
          <w:b/>
          <w:bCs/>
        </w:rPr>
      </w:pPr>
      <w:r w:rsidRPr="0072376E">
        <w:rPr>
          <w:b/>
          <w:bCs/>
        </w:rPr>
        <w:t>Control No.: 1625-0106</w:t>
      </w:r>
    </w:p>
    <w:p w:rsidR="009C2D55" w14:paraId="7C620EBD" w14:textId="77777777">
      <w:pPr>
        <w:pStyle w:val="BodyText"/>
        <w:spacing w:before="8"/>
        <w:rPr>
          <w:sz w:val="17"/>
        </w:rPr>
      </w:pPr>
    </w:p>
    <w:p w:rsidR="009C2D55" w14:paraId="58DC6C28" w14:textId="77777777">
      <w:pPr>
        <w:pStyle w:val="BodyText"/>
        <w:spacing w:before="90"/>
        <w:ind w:left="580"/>
      </w:pPr>
      <w:r>
        <w:t>A.</w:t>
      </w:r>
      <w:r>
        <w:rPr>
          <w:spacing w:val="55"/>
        </w:rPr>
        <w:t xml:space="preserve"> </w:t>
      </w:r>
      <w:r>
        <w:rPr>
          <w:spacing w:val="-2"/>
          <w:u w:val="single"/>
        </w:rPr>
        <w:t>JUSTIFICATION</w:t>
      </w:r>
    </w:p>
    <w:p w:rsidR="009C2D55" w14:paraId="1B2E3258" w14:textId="77777777">
      <w:pPr>
        <w:pStyle w:val="BodyText"/>
        <w:spacing w:before="4"/>
        <w:rPr>
          <w:sz w:val="17"/>
        </w:rPr>
      </w:pPr>
    </w:p>
    <w:p w:rsidR="009C2D55" w14:paraId="564E1E74" w14:textId="77777777">
      <w:pPr>
        <w:pStyle w:val="ListParagraph"/>
        <w:numPr>
          <w:ilvl w:val="0"/>
          <w:numId w:val="1"/>
        </w:numPr>
        <w:tabs>
          <w:tab w:val="left" w:pos="1301"/>
        </w:tabs>
        <w:spacing w:before="90"/>
        <w:rPr>
          <w:sz w:val="24"/>
        </w:rPr>
      </w:pPr>
      <w:r>
        <w:rPr>
          <w:sz w:val="24"/>
          <w:u w:val="single"/>
        </w:rPr>
        <w:t>Need</w:t>
      </w:r>
      <w:r>
        <w:rPr>
          <w:spacing w:val="-4"/>
          <w:sz w:val="24"/>
          <w:u w:val="single"/>
        </w:rPr>
        <w:t xml:space="preserve"> </w:t>
      </w:r>
      <w:r>
        <w:rPr>
          <w:sz w:val="24"/>
          <w:u w:val="single"/>
        </w:rPr>
        <w:t>for the Information</w:t>
      </w:r>
      <w:r>
        <w:rPr>
          <w:spacing w:val="-9"/>
          <w:sz w:val="24"/>
          <w:u w:val="single"/>
        </w:rPr>
        <w:t xml:space="preserve"> </w:t>
      </w:r>
      <w:r>
        <w:rPr>
          <w:spacing w:val="-2"/>
          <w:sz w:val="24"/>
          <w:u w:val="single"/>
        </w:rPr>
        <w:t>Collection</w:t>
      </w:r>
    </w:p>
    <w:p w:rsidR="009C2D55" w14:paraId="0DF322BB" w14:textId="77777777">
      <w:pPr>
        <w:pStyle w:val="BodyText"/>
        <w:spacing w:before="9"/>
        <w:rPr>
          <w:sz w:val="17"/>
        </w:rPr>
      </w:pPr>
    </w:p>
    <w:p w:rsidR="00425423" w:rsidP="00425423" w14:paraId="694E2979" w14:textId="77777777">
      <w:pPr>
        <w:pStyle w:val="BodyText"/>
        <w:spacing w:before="5"/>
      </w:pPr>
      <w:r>
        <w:t>The President, by proclamation, and the Secretary of Homeland Security, by order, have directed and authorized the U.S. Coast Guard to regulate the anchorage and movement of certain U.S vessels, and vessels without nationality, located within the territorial waters of the United States, that thereafter enter Cuban territorial waters or evidence intent to enter Cuban territorial waters. This rule is necessary to provide for the safety of United States citizens and residents, to improve enforcement of economic sanctions as part of the embargo against the Government of Cuba, and to prevent a threatened disturbance of the international relations of the United States.</w:t>
      </w:r>
    </w:p>
    <w:p w:rsidR="00425423" w:rsidP="00425423" w14:paraId="0759EE2B" w14:textId="77777777">
      <w:pPr>
        <w:pStyle w:val="BodyText"/>
        <w:spacing w:before="5"/>
      </w:pPr>
    </w:p>
    <w:p w:rsidR="00425423" w:rsidP="00425423" w14:paraId="769A076B" w14:textId="77777777">
      <w:pPr>
        <w:pStyle w:val="BodyText"/>
        <w:spacing w:before="5"/>
      </w:pPr>
      <w:r>
        <w:t>The Coast Guard issued a final rule requiring all U.S. registered vessels, and vessels without nationality, less than 100 meters in length to apply for and receive a permit to enter Cuban territorial waters. This permit requirement is necessary to preclude covered vessels from departing U.S. waters and thereafter entering Cuban waters, unless such vessels hold the licenses from other government agencies that allow them to engage in exports to and transactions with Cuba. Pursuant to the Department of Commerce's new regulation, "Restricting the Temporary Sojourn of Aircraft and Vessels to Cuba" published on June 5, 2019, Coast Guard District 7 will only accept Applications to Enter Cuban Territorial Seas (form CG-3300) that are accompanied by an approved special license from the Department of Commerce.</w:t>
      </w:r>
    </w:p>
    <w:p w:rsidR="00425423" w:rsidP="00425423" w14:paraId="0E1B9128" w14:textId="77777777">
      <w:pPr>
        <w:pStyle w:val="BodyText"/>
        <w:spacing w:before="5"/>
      </w:pPr>
      <w:r>
        <w:t>Permit applicants must provide certain information to the Coast Guard in order for the regulation to be effective and enforceable.</w:t>
      </w:r>
    </w:p>
    <w:p w:rsidR="00425423" w:rsidP="00425423" w14:paraId="5A487AF0" w14:textId="77777777">
      <w:pPr>
        <w:pStyle w:val="BodyText"/>
        <w:spacing w:before="5"/>
      </w:pPr>
    </w:p>
    <w:p w:rsidR="00ED3156" w:rsidP="00425423" w14:paraId="085988D8" w14:textId="529C539E">
      <w:pPr>
        <w:pStyle w:val="BodyText"/>
        <w:spacing w:before="5"/>
      </w:pPr>
      <w:r>
        <w:t>Collection of this information is authorized by 33 C.F.R. Part 107, implemented under the authority of 46 U.S.C. 70051, 46 U.S.C. 70052, 46 U.S.C. 70053, 50 U.S.C. 195, 14 U.S.C. 701; Presidential Proclamations 6867, 7757, 9398, and 9699; and Secretary of Homeland Security Order 2004-001.</w:t>
      </w:r>
    </w:p>
    <w:p w:rsidR="00425423" w:rsidP="00425423" w14:paraId="29F6E51B" w14:textId="77777777">
      <w:pPr>
        <w:pStyle w:val="BodyText"/>
        <w:spacing w:before="5"/>
      </w:pPr>
    </w:p>
    <w:p w:rsidR="009C2D55" w14:paraId="5DA7734E" w14:textId="77777777">
      <w:pPr>
        <w:pStyle w:val="ListParagraph"/>
        <w:numPr>
          <w:ilvl w:val="0"/>
          <w:numId w:val="1"/>
        </w:numPr>
        <w:tabs>
          <w:tab w:val="left" w:pos="1301"/>
        </w:tabs>
        <w:rPr>
          <w:sz w:val="24"/>
        </w:rPr>
      </w:pPr>
      <w:r>
        <w:rPr>
          <w:sz w:val="24"/>
          <w:u w:val="single"/>
        </w:rPr>
        <w:t>Use</w:t>
      </w:r>
      <w:r>
        <w:rPr>
          <w:spacing w:val="-3"/>
          <w:sz w:val="24"/>
          <w:u w:val="single"/>
        </w:rPr>
        <w:t xml:space="preserve"> </w:t>
      </w:r>
      <w:r>
        <w:rPr>
          <w:sz w:val="24"/>
          <w:u w:val="single"/>
        </w:rPr>
        <w:t>of</w:t>
      </w:r>
      <w:r>
        <w:rPr>
          <w:spacing w:val="-5"/>
          <w:sz w:val="24"/>
          <w:u w:val="single"/>
        </w:rPr>
        <w:t xml:space="preserve"> </w:t>
      </w:r>
      <w:r>
        <w:rPr>
          <w:sz w:val="24"/>
          <w:u w:val="single"/>
        </w:rPr>
        <w:t>the</w:t>
      </w:r>
      <w:r>
        <w:rPr>
          <w:spacing w:val="3"/>
          <w:sz w:val="24"/>
          <w:u w:val="single"/>
        </w:rPr>
        <w:t xml:space="preserve"> </w:t>
      </w:r>
      <w:r>
        <w:rPr>
          <w:spacing w:val="-2"/>
          <w:sz w:val="24"/>
          <w:u w:val="single"/>
        </w:rPr>
        <w:t>Information</w:t>
      </w:r>
    </w:p>
    <w:p w:rsidR="009C2D55" w14:paraId="7BFF5B83" w14:textId="77777777">
      <w:pPr>
        <w:pStyle w:val="BodyText"/>
        <w:spacing w:before="3"/>
        <w:rPr>
          <w:sz w:val="17"/>
        </w:rPr>
      </w:pPr>
    </w:p>
    <w:p w:rsidR="00A2585E" w:rsidP="00A2585E" w14:paraId="399E3ECC" w14:textId="77777777">
      <w:pPr>
        <w:pStyle w:val="BodyText"/>
        <w:spacing w:before="8"/>
      </w:pPr>
      <w:r>
        <w:t>The information is collected to regulate departure from U.S. territorial waters of U.S. vessels, and vessels without nationality, and entry thereafter into Cuban territorial waters. The need to regulate this vessel traffic supports ongoing efforts to enforce the Cuban embargo, which is designed to bring about an end to the current government and a peaceful transition to democracy. Accordingly, only applicants that demonstrate prior U.S. government approval for exports to and transactions with Cuba will be issued a Coast Guard permit.</w:t>
      </w:r>
    </w:p>
    <w:p w:rsidR="00A2585E" w:rsidP="00A2585E" w14:paraId="6841B750" w14:textId="77777777">
      <w:pPr>
        <w:pStyle w:val="BodyText"/>
        <w:spacing w:before="8"/>
      </w:pPr>
    </w:p>
    <w:p w:rsidR="009C2D55" w:rsidP="00A2585E" w14:paraId="13C1971F" w14:textId="5C6AB9EC">
      <w:pPr>
        <w:pStyle w:val="BodyText"/>
        <w:spacing w:before="8"/>
      </w:pPr>
      <w:r>
        <w:t xml:space="preserve">The permit regulations require that applicants possess licenses from the U.S. Department of </w:t>
      </w:r>
      <w:r>
        <w:t xml:space="preserve">Commerce’s Bureau of Industry and Security (BIS), and the U.S. Department of Treasury’s Office of Foreign Assets Control (OFAC) that permit exports to, and transactions with Cuba. The CG permit process thus allows the agency to collect information from applicants regarding their status of the BIS and OFAC licenses, and monitor compliance with BIS and OFAC regulations. BIS and OFAC administer statutes and regulations that proscribe exports to, and transactions with Cuba, respectively. Accordingly, in order to assist BIS and OFAC in the </w:t>
      </w:r>
      <w:r w:rsidRPr="00A2585E">
        <w:t>enforcement of these license requirements, as directed by the President and the Secretary of Homeland Security, the CG is requiring certain U.S. vessels, and vessels without nationality, to procure and submit these licenses before they depart for Cuban waters.</w:t>
      </w:r>
    </w:p>
    <w:p w:rsidR="00A2585E" w:rsidP="00A2585E" w14:paraId="75DED7E4" w14:textId="77777777">
      <w:pPr>
        <w:pStyle w:val="BodyText"/>
        <w:spacing w:before="8"/>
      </w:pPr>
    </w:p>
    <w:p w:rsidR="009C2D55" w14:paraId="04CF3577" w14:textId="77777777">
      <w:pPr>
        <w:pStyle w:val="ListParagraph"/>
        <w:numPr>
          <w:ilvl w:val="0"/>
          <w:numId w:val="1"/>
        </w:numPr>
        <w:tabs>
          <w:tab w:val="left" w:pos="1301"/>
        </w:tabs>
        <w:spacing w:before="1"/>
        <w:rPr>
          <w:sz w:val="24"/>
        </w:rPr>
      </w:pPr>
      <w:r>
        <w:rPr>
          <w:sz w:val="24"/>
          <w:u w:val="single"/>
        </w:rPr>
        <w:t>Use</w:t>
      </w:r>
      <w:r>
        <w:rPr>
          <w:spacing w:val="-3"/>
          <w:sz w:val="24"/>
          <w:u w:val="single"/>
        </w:rPr>
        <w:t xml:space="preserve"> </w:t>
      </w:r>
      <w:r>
        <w:rPr>
          <w:sz w:val="24"/>
          <w:u w:val="single"/>
        </w:rPr>
        <w:t>of Information</w:t>
      </w:r>
      <w:r>
        <w:rPr>
          <w:spacing w:val="-6"/>
          <w:sz w:val="24"/>
          <w:u w:val="single"/>
        </w:rPr>
        <w:t xml:space="preserve"> </w:t>
      </w:r>
      <w:r>
        <w:rPr>
          <w:spacing w:val="-2"/>
          <w:sz w:val="24"/>
          <w:u w:val="single"/>
        </w:rPr>
        <w:t>Technology</w:t>
      </w:r>
    </w:p>
    <w:p w:rsidR="009C2D55" w14:paraId="1C42C85C" w14:textId="77777777">
      <w:pPr>
        <w:pStyle w:val="BodyText"/>
        <w:spacing w:before="4"/>
        <w:rPr>
          <w:sz w:val="17"/>
        </w:rPr>
      </w:pPr>
    </w:p>
    <w:p w:rsidR="006C46BC" w:rsidP="006C46BC" w14:paraId="2C879A98" w14:textId="77777777">
      <w:pPr>
        <w:pStyle w:val="BodyText"/>
        <w:spacing w:before="11"/>
      </w:pPr>
      <w:r>
        <w:t>Information to assist the respondent and the required form, Application for Permit to Enter Cuban Territorial Seas (CG-3300), will be available online at: https://www.atlanticarea.uscg.mil/Our-Organization/District-7/Useful-Information/.</w:t>
      </w:r>
    </w:p>
    <w:p w:rsidR="009C2D55" w:rsidP="006C46BC" w14:paraId="1B471AF5" w14:textId="69428545">
      <w:pPr>
        <w:pStyle w:val="BodyText"/>
        <w:spacing w:before="11"/>
      </w:pPr>
      <w:r>
        <w:t>Once completed, respondents must fax the form to the Seventh Coast Guard District in Miami, FL at (305) 415-6809.</w:t>
      </w:r>
    </w:p>
    <w:p w:rsidR="006C46BC" w:rsidP="006C46BC" w14:paraId="669E9B0C" w14:textId="77777777">
      <w:pPr>
        <w:pStyle w:val="BodyText"/>
        <w:spacing w:before="11"/>
      </w:pPr>
    </w:p>
    <w:p w:rsidR="00455E4D" w:rsidP="006C46BC" w14:paraId="586E973C" w14:textId="25BB1D55">
      <w:pPr>
        <w:pStyle w:val="BodyText"/>
        <w:spacing w:before="11"/>
      </w:pPr>
      <w:r w:rsidRPr="00455E4D">
        <w:t xml:space="preserve">The CG Office of </w:t>
      </w:r>
      <w:r w:rsidR="00BA53FF">
        <w:t>Law Enforcement Interdiction Division</w:t>
      </w:r>
      <w:r w:rsidRPr="00455E4D">
        <w:t xml:space="preserve"> (CG-MLE-3) conducted </w:t>
      </w:r>
      <w:r w:rsidR="00BA53FF">
        <w:t>U</w:t>
      </w:r>
      <w:r w:rsidRPr="00455E4D">
        <w:t xml:space="preserve">sability </w:t>
      </w:r>
      <w:r w:rsidR="00BA53FF">
        <w:t>t</w:t>
      </w:r>
      <w:r w:rsidRPr="00455E4D">
        <w:t>esting to determine if the CG-Form</w:t>
      </w:r>
      <w:r w:rsidR="001E0148">
        <w:t xml:space="preserve"> and the Instruction</w:t>
      </w:r>
      <w:r w:rsidRPr="00455E4D">
        <w:t xml:space="preserve"> associated </w:t>
      </w:r>
      <w:r w:rsidR="001E0148">
        <w:t>with</w:t>
      </w:r>
      <w:r w:rsidRPr="00455E4D">
        <w:t xml:space="preserve"> this collection used plain language. All participants were members of the United States Coast Guard but were not affiliated with the program office.</w:t>
      </w:r>
      <w:r w:rsidR="00BA53FF">
        <w:t xml:space="preserve"> </w:t>
      </w:r>
      <w:r w:rsidRPr="00455E4D">
        <w:t xml:space="preserve">CG-MLE-3 found that respondents understood the </w:t>
      </w:r>
      <w:r w:rsidR="001E0148">
        <w:t xml:space="preserve">instruction and </w:t>
      </w:r>
      <w:r w:rsidRPr="00455E4D">
        <w:t>form and had no questions regarding the content. As such, no changes were made to the collection.</w:t>
      </w:r>
    </w:p>
    <w:p w:rsidR="00455E4D" w:rsidP="006C46BC" w14:paraId="0B29A541" w14:textId="77777777">
      <w:pPr>
        <w:pStyle w:val="BodyText"/>
        <w:spacing w:before="11"/>
      </w:pPr>
    </w:p>
    <w:p w:rsidR="009C2D55" w14:paraId="11E1F07D" w14:textId="77777777">
      <w:pPr>
        <w:pStyle w:val="ListParagraph"/>
        <w:numPr>
          <w:ilvl w:val="0"/>
          <w:numId w:val="1"/>
        </w:numPr>
        <w:tabs>
          <w:tab w:val="left" w:pos="1301"/>
        </w:tabs>
        <w:rPr>
          <w:sz w:val="24"/>
        </w:rPr>
      </w:pPr>
      <w:r>
        <w:rPr>
          <w:spacing w:val="-2"/>
          <w:sz w:val="24"/>
          <w:u w:val="single"/>
        </w:rPr>
        <w:t>Non-duplication</w:t>
      </w:r>
    </w:p>
    <w:p w:rsidR="009C2D55" w14:paraId="23D3A9D4" w14:textId="77777777">
      <w:pPr>
        <w:pStyle w:val="BodyText"/>
        <w:spacing w:before="4"/>
        <w:rPr>
          <w:sz w:val="17"/>
        </w:rPr>
      </w:pPr>
    </w:p>
    <w:p w:rsidR="009C2D55" w14:paraId="11CF4825" w14:textId="091D672B">
      <w:pPr>
        <w:pStyle w:val="BodyText"/>
        <w:spacing w:before="4"/>
      </w:pPr>
      <w:r w:rsidRPr="0083390C">
        <w:t>It is unlikely that any duplication will occur. Based upon actual experience and available data for the period of 05 June 2019 through 21 Ma</w:t>
      </w:r>
      <w:r w:rsidR="002819AF">
        <w:t>y 2020</w:t>
      </w:r>
      <w:r w:rsidRPr="0083390C">
        <w:t>, the period since the final rule went into effect, the Coast Guard anticipates that approximately 20 requests will be submitted to the Coast Guard for permission to sail to Cuba each year, for as long as the regulations remain as-is. Permit holders must reapply for each trip to Cuba.</w:t>
      </w:r>
    </w:p>
    <w:p w:rsidR="0083390C" w14:paraId="30BE887D" w14:textId="77777777">
      <w:pPr>
        <w:pStyle w:val="BodyText"/>
        <w:spacing w:before="4"/>
      </w:pPr>
    </w:p>
    <w:p w:rsidR="009C2D55" w14:paraId="580F6BA3" w14:textId="77777777">
      <w:pPr>
        <w:pStyle w:val="ListParagraph"/>
        <w:numPr>
          <w:ilvl w:val="0"/>
          <w:numId w:val="1"/>
        </w:numPr>
        <w:tabs>
          <w:tab w:val="left" w:pos="1301"/>
        </w:tabs>
        <w:rPr>
          <w:sz w:val="24"/>
        </w:rPr>
      </w:pPr>
      <w:r>
        <w:rPr>
          <w:sz w:val="24"/>
          <w:u w:val="single"/>
        </w:rPr>
        <w:t>Burden on</w:t>
      </w:r>
      <w:r>
        <w:rPr>
          <w:spacing w:val="-5"/>
          <w:sz w:val="24"/>
          <w:u w:val="single"/>
        </w:rPr>
        <w:t xml:space="preserve"> </w:t>
      </w:r>
      <w:r>
        <w:rPr>
          <w:sz w:val="24"/>
          <w:u w:val="single"/>
        </w:rPr>
        <w:t>Small</w:t>
      </w:r>
      <w:r>
        <w:rPr>
          <w:spacing w:val="-6"/>
          <w:sz w:val="24"/>
          <w:u w:val="single"/>
        </w:rPr>
        <w:t xml:space="preserve"> </w:t>
      </w:r>
      <w:r>
        <w:rPr>
          <w:spacing w:val="-2"/>
          <w:sz w:val="24"/>
          <w:u w:val="single"/>
        </w:rPr>
        <w:t>Business</w:t>
      </w:r>
    </w:p>
    <w:p w:rsidR="009C2D55" w14:paraId="62A12EE5" w14:textId="77777777">
      <w:pPr>
        <w:pStyle w:val="BodyText"/>
        <w:spacing w:before="4"/>
        <w:rPr>
          <w:sz w:val="17"/>
        </w:rPr>
      </w:pPr>
    </w:p>
    <w:p w:rsidR="009C2D55" w14:paraId="3E5A92F7" w14:textId="6332DA01">
      <w:pPr>
        <w:pStyle w:val="BodyText"/>
      </w:pPr>
      <w:r w:rsidRPr="00BB3D07">
        <w:t>The information collection does not have an impact on small businesses or other small entities. Of the approximately 20 vessels the Coast Guard anticipates may request permits each year, the Coast Guard anticipates that few or none will seek to enter Cuba for commercial purposes, resulting in minimal impact on small businesses. Furthermore, the permit is only necessary for vessels actually entering Cuban waters. Vessels traveling in the vicinity of Cuba in international waters are not affected, so international and American commerce is not significantly affected by the rule.</w:t>
      </w:r>
    </w:p>
    <w:p w:rsidR="00BB3D07" w14:paraId="28B6C29F" w14:textId="77777777">
      <w:pPr>
        <w:pStyle w:val="BodyText"/>
      </w:pPr>
    </w:p>
    <w:p w:rsidR="009C2D55" w:rsidRPr="000E3D02" w14:paraId="33C4E1CD" w14:textId="77777777">
      <w:pPr>
        <w:pStyle w:val="ListParagraph"/>
        <w:numPr>
          <w:ilvl w:val="0"/>
          <w:numId w:val="1"/>
        </w:numPr>
        <w:tabs>
          <w:tab w:val="left" w:pos="1301"/>
        </w:tabs>
        <w:rPr>
          <w:sz w:val="24"/>
        </w:rPr>
      </w:pPr>
      <w:r>
        <w:rPr>
          <w:sz w:val="24"/>
          <w:u w:val="single"/>
        </w:rPr>
        <w:t>Less</w:t>
      </w:r>
      <w:r>
        <w:rPr>
          <w:spacing w:val="-3"/>
          <w:sz w:val="24"/>
          <w:u w:val="single"/>
        </w:rPr>
        <w:t xml:space="preserve"> </w:t>
      </w:r>
      <w:r>
        <w:rPr>
          <w:sz w:val="24"/>
          <w:u w:val="single"/>
        </w:rPr>
        <w:t>Frequent</w:t>
      </w:r>
      <w:r>
        <w:rPr>
          <w:spacing w:val="-4"/>
          <w:sz w:val="24"/>
          <w:u w:val="single"/>
        </w:rPr>
        <w:t xml:space="preserve"> </w:t>
      </w:r>
      <w:r>
        <w:rPr>
          <w:spacing w:val="-2"/>
          <w:sz w:val="24"/>
          <w:u w:val="single"/>
        </w:rPr>
        <w:t>Collection</w:t>
      </w:r>
    </w:p>
    <w:p w:rsidR="000E3D02" w:rsidP="000E3D02" w14:paraId="29E9AF39" w14:textId="77777777">
      <w:pPr>
        <w:pStyle w:val="ListParagraph"/>
        <w:tabs>
          <w:tab w:val="left" w:pos="1301"/>
        </w:tabs>
        <w:ind w:firstLine="0"/>
        <w:rPr>
          <w:sz w:val="24"/>
        </w:rPr>
      </w:pPr>
    </w:p>
    <w:p w:rsidR="009C2D55" w14:paraId="6551B1D6" w14:textId="3A8A7B44">
      <w:pPr>
        <w:pStyle w:val="BodyText"/>
        <w:spacing w:before="8"/>
      </w:pPr>
      <w:r w:rsidRPr="000E3D02">
        <w:t>The collection is made only at the time of application for each individual trip. Subsequent applications by vessel owners shall be reconsidered based on the nature of each trip. Thus, there is no way to make the collection less frequently.</w:t>
      </w:r>
    </w:p>
    <w:p w:rsidR="000E3D02" w14:paraId="54863230" w14:textId="77777777">
      <w:pPr>
        <w:pStyle w:val="BodyText"/>
        <w:spacing w:before="8"/>
      </w:pPr>
    </w:p>
    <w:p w:rsidR="009C2D55" w14:paraId="0A20537C" w14:textId="77777777">
      <w:pPr>
        <w:pStyle w:val="ListParagraph"/>
        <w:numPr>
          <w:ilvl w:val="0"/>
          <w:numId w:val="1"/>
        </w:numPr>
        <w:tabs>
          <w:tab w:val="left" w:pos="1301"/>
        </w:tabs>
        <w:spacing w:before="1"/>
        <w:rPr>
          <w:sz w:val="24"/>
        </w:rPr>
      </w:pPr>
      <w:r>
        <w:rPr>
          <w:sz w:val="24"/>
          <w:u w:val="single"/>
        </w:rPr>
        <w:t>Paperwork</w:t>
      </w:r>
      <w:r>
        <w:rPr>
          <w:spacing w:val="-8"/>
          <w:sz w:val="24"/>
          <w:u w:val="single"/>
        </w:rPr>
        <w:t xml:space="preserve"> </w:t>
      </w:r>
      <w:r>
        <w:rPr>
          <w:sz w:val="24"/>
          <w:u w:val="single"/>
        </w:rPr>
        <w:t>Reduction</w:t>
      </w:r>
      <w:r>
        <w:rPr>
          <w:spacing w:val="-2"/>
          <w:sz w:val="24"/>
          <w:u w:val="single"/>
        </w:rPr>
        <w:t xml:space="preserve"> </w:t>
      </w:r>
      <w:r>
        <w:rPr>
          <w:sz w:val="24"/>
          <w:u w:val="single"/>
        </w:rPr>
        <w:t>Act</w:t>
      </w:r>
      <w:r>
        <w:rPr>
          <w:spacing w:val="-3"/>
          <w:sz w:val="24"/>
          <w:u w:val="single"/>
        </w:rPr>
        <w:t xml:space="preserve"> </w:t>
      </w:r>
      <w:r>
        <w:rPr>
          <w:spacing w:val="-2"/>
          <w:sz w:val="24"/>
          <w:u w:val="single"/>
        </w:rPr>
        <w:t>Guidelines</w:t>
      </w:r>
    </w:p>
    <w:p w:rsidR="009C2D55" w14:paraId="152F6F60" w14:textId="77777777">
      <w:pPr>
        <w:pStyle w:val="BodyText"/>
        <w:spacing w:before="3"/>
        <w:rPr>
          <w:sz w:val="17"/>
        </w:rPr>
      </w:pPr>
    </w:p>
    <w:p w:rsidR="009C2D55" w:rsidP="00CA6A82" w14:paraId="57D0799C" w14:textId="7CCF035E">
      <w:pPr>
        <w:pStyle w:val="BodyText"/>
        <w:spacing w:before="90" w:line="252" w:lineRule="auto"/>
        <w:ind w:right="154"/>
      </w:pPr>
      <w:r>
        <w:t xml:space="preserve">Collection is conducted in a manner consistent with </w:t>
      </w:r>
      <w:r w:rsidR="00437069">
        <w:t>5 CFR 1320.5(d)(2).</w:t>
      </w:r>
    </w:p>
    <w:p w:rsidR="009C2D55" w14:paraId="73D6374D" w14:textId="77777777">
      <w:pPr>
        <w:pStyle w:val="BodyText"/>
        <w:spacing w:before="5"/>
      </w:pPr>
    </w:p>
    <w:p w:rsidR="009C2D55" w14:paraId="7C1478CF" w14:textId="77777777">
      <w:pPr>
        <w:pStyle w:val="ListParagraph"/>
        <w:numPr>
          <w:ilvl w:val="0"/>
          <w:numId w:val="1"/>
        </w:numPr>
        <w:tabs>
          <w:tab w:val="left" w:pos="1301"/>
        </w:tabs>
        <w:rPr>
          <w:sz w:val="24"/>
        </w:rPr>
      </w:pPr>
      <w:r>
        <w:rPr>
          <w:sz w:val="24"/>
          <w:u w:val="single"/>
        </w:rPr>
        <w:t>Consultation</w:t>
      </w:r>
      <w:r>
        <w:rPr>
          <w:spacing w:val="-5"/>
          <w:sz w:val="24"/>
          <w:u w:val="single"/>
        </w:rPr>
        <w:t xml:space="preserve"> </w:t>
      </w:r>
      <w:r>
        <w:rPr>
          <w:sz w:val="24"/>
          <w:u w:val="single"/>
        </w:rPr>
        <w:t>and</w:t>
      </w:r>
      <w:r>
        <w:rPr>
          <w:spacing w:val="-3"/>
          <w:sz w:val="24"/>
          <w:u w:val="single"/>
        </w:rPr>
        <w:t xml:space="preserve"> </w:t>
      </w:r>
      <w:r>
        <w:rPr>
          <w:sz w:val="24"/>
          <w:u w:val="single"/>
        </w:rPr>
        <w:t>Public</w:t>
      </w:r>
      <w:r>
        <w:rPr>
          <w:spacing w:val="-5"/>
          <w:sz w:val="24"/>
          <w:u w:val="single"/>
        </w:rPr>
        <w:t xml:space="preserve"> </w:t>
      </w:r>
      <w:r>
        <w:rPr>
          <w:spacing w:val="-2"/>
          <w:sz w:val="24"/>
          <w:u w:val="single"/>
        </w:rPr>
        <w:t>Comments</w:t>
      </w:r>
    </w:p>
    <w:p w:rsidR="009C2D55" w14:paraId="386B9682" w14:textId="77777777">
      <w:pPr>
        <w:pStyle w:val="BodyText"/>
        <w:spacing w:before="4"/>
        <w:rPr>
          <w:sz w:val="17"/>
        </w:rPr>
      </w:pPr>
    </w:p>
    <w:p w:rsidR="00FD1F6F" w14:paraId="0D5B0EA1" w14:textId="3121D448">
      <w:pPr>
        <w:pStyle w:val="BodyText"/>
        <w:spacing w:before="3"/>
        <w:rPr>
          <w:sz w:val="23"/>
        </w:rPr>
      </w:pPr>
      <w:r w:rsidRPr="00810ED3">
        <w:rPr>
          <w:sz w:val="23"/>
        </w:rPr>
        <w:t>A 60-day Notice was published in the Federal Register to obtain public comment on this collection (See [USCG-2024-0</w:t>
      </w:r>
      <w:r w:rsidR="00D6751E">
        <w:rPr>
          <w:sz w:val="23"/>
        </w:rPr>
        <w:t>239</w:t>
      </w:r>
      <w:r w:rsidRPr="00810ED3">
        <w:rPr>
          <w:sz w:val="23"/>
        </w:rPr>
        <w:t xml:space="preserve">]; </w:t>
      </w:r>
      <w:r w:rsidR="00D6751E">
        <w:rPr>
          <w:sz w:val="23"/>
        </w:rPr>
        <w:t>April 4</w:t>
      </w:r>
      <w:r w:rsidRPr="00810ED3">
        <w:rPr>
          <w:sz w:val="23"/>
        </w:rPr>
        <w:t xml:space="preserve">, 2024, 89 FR </w:t>
      </w:r>
      <w:r w:rsidR="00F278FF">
        <w:rPr>
          <w:sz w:val="23"/>
        </w:rPr>
        <w:t>23603</w:t>
      </w:r>
      <w:r w:rsidRPr="00810ED3">
        <w:rPr>
          <w:sz w:val="23"/>
        </w:rPr>
        <w:t>) and 30-Day Notice (</w:t>
      </w:r>
      <w:r w:rsidRPr="00FF7FC1" w:rsidR="00FF7FC1">
        <w:rPr>
          <w:sz w:val="23"/>
        </w:rPr>
        <w:t xml:space="preserve">July 16, </w:t>
      </w:r>
      <w:r w:rsidRPr="00FF7FC1">
        <w:rPr>
          <w:sz w:val="23"/>
        </w:rPr>
        <w:t xml:space="preserve">2024, 89 FR </w:t>
      </w:r>
      <w:r w:rsidR="00FF7FC1">
        <w:rPr>
          <w:sz w:val="23"/>
        </w:rPr>
        <w:t>57920</w:t>
      </w:r>
      <w:r w:rsidRPr="00810ED3">
        <w:rPr>
          <w:sz w:val="23"/>
        </w:rPr>
        <w:t xml:space="preserve"> published in the Federal Register to obtain public comment on this collection.  The Coast Guard has not received any comments on this information collection</w:t>
      </w:r>
    </w:p>
    <w:p w:rsidR="009C2D55" w14:paraId="45771D56" w14:textId="77777777">
      <w:pPr>
        <w:pStyle w:val="ListParagraph"/>
        <w:numPr>
          <w:ilvl w:val="0"/>
          <w:numId w:val="1"/>
        </w:numPr>
        <w:tabs>
          <w:tab w:val="left" w:pos="1301"/>
        </w:tabs>
        <w:rPr>
          <w:sz w:val="24"/>
        </w:rPr>
      </w:pPr>
      <w:r>
        <w:rPr>
          <w:sz w:val="24"/>
          <w:u w:val="single"/>
        </w:rPr>
        <w:t>Gifts</w:t>
      </w:r>
      <w:r>
        <w:rPr>
          <w:spacing w:val="-1"/>
          <w:sz w:val="24"/>
          <w:u w:val="single"/>
        </w:rPr>
        <w:t xml:space="preserve"> </w:t>
      </w:r>
      <w:r>
        <w:rPr>
          <w:sz w:val="24"/>
          <w:u w:val="single"/>
        </w:rPr>
        <w:t>or</w:t>
      </w:r>
      <w:r>
        <w:rPr>
          <w:spacing w:val="-7"/>
          <w:sz w:val="24"/>
          <w:u w:val="single"/>
        </w:rPr>
        <w:t xml:space="preserve"> </w:t>
      </w:r>
      <w:r>
        <w:rPr>
          <w:spacing w:val="-2"/>
          <w:sz w:val="24"/>
          <w:u w:val="single"/>
        </w:rPr>
        <w:t>Payment</w:t>
      </w:r>
    </w:p>
    <w:p w:rsidR="009C2D55" w14:paraId="05AD4C01" w14:textId="77777777">
      <w:pPr>
        <w:pStyle w:val="BodyText"/>
        <w:spacing w:before="8"/>
        <w:rPr>
          <w:sz w:val="17"/>
        </w:rPr>
      </w:pPr>
    </w:p>
    <w:p w:rsidR="009C2D55" w14:paraId="7203C1B9" w14:textId="622410AF">
      <w:pPr>
        <w:pStyle w:val="BodyText"/>
        <w:rPr>
          <w:sz w:val="23"/>
          <w:szCs w:val="23"/>
        </w:rPr>
      </w:pPr>
      <w:r>
        <w:rPr>
          <w:sz w:val="23"/>
          <w:szCs w:val="23"/>
        </w:rPr>
        <w:t>There is no offer of monetary or material value for this information collection.</w:t>
      </w:r>
    </w:p>
    <w:p w:rsidR="00A12E6B" w14:paraId="07342BBC" w14:textId="77777777">
      <w:pPr>
        <w:pStyle w:val="BodyText"/>
      </w:pPr>
    </w:p>
    <w:p w:rsidR="009C2D55" w14:paraId="152BC208" w14:textId="77777777">
      <w:pPr>
        <w:pStyle w:val="ListParagraph"/>
        <w:numPr>
          <w:ilvl w:val="0"/>
          <w:numId w:val="1"/>
        </w:numPr>
        <w:tabs>
          <w:tab w:val="left" w:pos="1421"/>
        </w:tabs>
        <w:ind w:left="1421" w:hanging="420"/>
        <w:rPr>
          <w:sz w:val="24"/>
        </w:rPr>
      </w:pPr>
      <w:r>
        <w:rPr>
          <w:spacing w:val="-2"/>
          <w:sz w:val="24"/>
          <w:u w:val="single"/>
        </w:rPr>
        <w:t>Confidentiality</w:t>
      </w:r>
    </w:p>
    <w:p w:rsidR="009C2D55" w14:paraId="4ABF6F11" w14:textId="77777777">
      <w:pPr>
        <w:pStyle w:val="BodyText"/>
        <w:spacing w:before="4"/>
        <w:rPr>
          <w:sz w:val="17"/>
        </w:rPr>
      </w:pPr>
    </w:p>
    <w:p w:rsidR="00A12E6B" w:rsidP="00A12E6B" w14:paraId="2B810404" w14:textId="77777777">
      <w:pPr>
        <w:pStyle w:val="Default"/>
        <w:rPr>
          <w:sz w:val="23"/>
          <w:szCs w:val="23"/>
        </w:rPr>
      </w:pPr>
      <w:r>
        <w:rPr>
          <w:sz w:val="23"/>
          <w:szCs w:val="23"/>
        </w:rPr>
        <w:t xml:space="preserve">There are no assurances of confidentiality provided to the respondents for this information collection. This information collection request is covered by the Vessel Requirements for Notices of Arrival and Departure (NOAD) and Automatic Identification System (AIS) Privacy Impact Assessment (PIA). No System of Records Notice (SORN) coverage is required. Links to the NOAD PIA is provided below: </w:t>
      </w:r>
    </w:p>
    <w:p w:rsidR="00A97B81" w:rsidP="00A12E6B" w14:paraId="5D14800A" w14:textId="77777777">
      <w:pPr>
        <w:pStyle w:val="Default"/>
        <w:rPr>
          <w:sz w:val="23"/>
          <w:szCs w:val="23"/>
        </w:rPr>
      </w:pPr>
    </w:p>
    <w:p w:rsidR="009C2D55" w:rsidP="00A12E6B" w14:paraId="7C6B4E83" w14:textId="167BA4B7">
      <w:pPr>
        <w:pStyle w:val="Default"/>
        <w:rPr>
          <w:sz w:val="23"/>
          <w:szCs w:val="23"/>
        </w:rPr>
      </w:pPr>
      <w:hyperlink r:id="rId4" w:history="1">
        <w:r w:rsidR="00711153">
          <w:rPr>
            <w:rStyle w:val="Hyperlink"/>
          </w:rPr>
          <w:t>Department of Homeland Security Privacy Impact Assessement Vessel Requirements for Notices of Arrival and Departure and Automatic Identification System to add the Notice of Arrival on the Outer Continental Shelf (dhs.gov)</w:t>
        </w:r>
      </w:hyperlink>
    </w:p>
    <w:p w:rsidR="00A12E6B" w:rsidP="00A12E6B" w14:paraId="661657D8" w14:textId="77777777">
      <w:pPr>
        <w:pStyle w:val="Default"/>
      </w:pPr>
    </w:p>
    <w:p w:rsidR="009C2D55" w14:paraId="3BAFE104" w14:textId="77777777">
      <w:pPr>
        <w:pStyle w:val="ListParagraph"/>
        <w:numPr>
          <w:ilvl w:val="0"/>
          <w:numId w:val="1"/>
        </w:numPr>
        <w:tabs>
          <w:tab w:val="left" w:pos="1421"/>
        </w:tabs>
        <w:ind w:left="1421" w:hanging="420"/>
        <w:rPr>
          <w:sz w:val="24"/>
        </w:rPr>
      </w:pPr>
      <w:r>
        <w:rPr>
          <w:sz w:val="24"/>
          <w:u w:val="single"/>
        </w:rPr>
        <w:t>Sensitive</w:t>
      </w:r>
      <w:r>
        <w:rPr>
          <w:spacing w:val="-9"/>
          <w:sz w:val="24"/>
          <w:u w:val="single"/>
        </w:rPr>
        <w:t xml:space="preserve"> </w:t>
      </w:r>
      <w:r>
        <w:rPr>
          <w:spacing w:val="-2"/>
          <w:sz w:val="24"/>
          <w:u w:val="single"/>
        </w:rPr>
        <w:t>Questions</w:t>
      </w:r>
    </w:p>
    <w:p w:rsidR="009C2D55" w14:paraId="65581FCE" w14:textId="77777777">
      <w:pPr>
        <w:pStyle w:val="BodyText"/>
        <w:spacing w:before="4"/>
        <w:rPr>
          <w:sz w:val="17"/>
        </w:rPr>
      </w:pPr>
    </w:p>
    <w:p w:rsidR="009C2D55" w14:paraId="3E2BD6D1" w14:textId="1D6BEE14">
      <w:pPr>
        <w:pStyle w:val="BodyText"/>
        <w:spacing w:before="7"/>
        <w:rPr>
          <w:sz w:val="23"/>
          <w:szCs w:val="23"/>
        </w:rPr>
      </w:pPr>
      <w:r>
        <w:rPr>
          <w:sz w:val="23"/>
          <w:szCs w:val="23"/>
        </w:rPr>
        <w:t>There are no issues of a sensitive nature involved in this information collection.</w:t>
      </w:r>
    </w:p>
    <w:p w:rsidR="00370D55" w14:paraId="4D93789D" w14:textId="77777777">
      <w:pPr>
        <w:pStyle w:val="BodyText"/>
        <w:spacing w:before="7"/>
        <w:rPr>
          <w:sz w:val="23"/>
        </w:rPr>
      </w:pPr>
    </w:p>
    <w:p w:rsidR="009C2D55" w14:paraId="32DCD875" w14:textId="77777777">
      <w:pPr>
        <w:pStyle w:val="ListParagraph"/>
        <w:numPr>
          <w:ilvl w:val="0"/>
          <w:numId w:val="1"/>
        </w:numPr>
        <w:tabs>
          <w:tab w:val="left" w:pos="1421"/>
        </w:tabs>
        <w:ind w:left="1421" w:hanging="420"/>
        <w:rPr>
          <w:sz w:val="24"/>
        </w:rPr>
      </w:pPr>
      <w:r>
        <w:rPr>
          <w:sz w:val="24"/>
          <w:u w:val="single"/>
        </w:rPr>
        <w:t>Respondent</w:t>
      </w:r>
      <w:r>
        <w:rPr>
          <w:spacing w:val="-6"/>
          <w:sz w:val="24"/>
          <w:u w:val="single"/>
        </w:rPr>
        <w:t xml:space="preserve"> </w:t>
      </w:r>
      <w:r>
        <w:rPr>
          <w:sz w:val="24"/>
          <w:u w:val="single"/>
        </w:rPr>
        <w:t>Burden,</w:t>
      </w:r>
      <w:r>
        <w:rPr>
          <w:spacing w:val="-4"/>
          <w:sz w:val="24"/>
          <w:u w:val="single"/>
        </w:rPr>
        <w:t xml:space="preserve"> </w:t>
      </w:r>
      <w:r>
        <w:rPr>
          <w:sz w:val="24"/>
          <w:u w:val="single"/>
        </w:rPr>
        <w:t>and</w:t>
      </w:r>
      <w:r>
        <w:rPr>
          <w:spacing w:val="-1"/>
          <w:sz w:val="24"/>
          <w:u w:val="single"/>
        </w:rPr>
        <w:t xml:space="preserve"> </w:t>
      </w:r>
      <w:r>
        <w:rPr>
          <w:sz w:val="24"/>
          <w:u w:val="single"/>
        </w:rPr>
        <w:t>its</w:t>
      </w:r>
      <w:r>
        <w:rPr>
          <w:spacing w:val="-3"/>
          <w:sz w:val="24"/>
          <w:u w:val="single"/>
        </w:rPr>
        <w:t xml:space="preserve"> </w:t>
      </w:r>
      <w:r>
        <w:rPr>
          <w:sz w:val="24"/>
          <w:u w:val="single"/>
        </w:rPr>
        <w:t>Labor</w:t>
      </w:r>
      <w:r>
        <w:rPr>
          <w:spacing w:val="-3"/>
          <w:sz w:val="24"/>
          <w:u w:val="single"/>
        </w:rPr>
        <w:t xml:space="preserve"> </w:t>
      </w:r>
      <w:r>
        <w:rPr>
          <w:spacing w:val="-4"/>
          <w:sz w:val="24"/>
          <w:u w:val="single"/>
        </w:rPr>
        <w:t>Costs</w:t>
      </w:r>
    </w:p>
    <w:p w:rsidR="009C2D55" w14:paraId="5D68DF36" w14:textId="77777777">
      <w:pPr>
        <w:pStyle w:val="BodyText"/>
        <w:spacing w:before="9"/>
        <w:rPr>
          <w:sz w:val="17"/>
        </w:rPr>
      </w:pPr>
    </w:p>
    <w:p w:rsidR="009C2D55" w14:paraId="35E3D6DD" w14:textId="353EBAB4">
      <w:pPr>
        <w:pStyle w:val="BodyText"/>
        <w:spacing w:before="4"/>
        <w:rPr>
          <w:sz w:val="23"/>
          <w:szCs w:val="23"/>
        </w:rPr>
      </w:pPr>
      <w:r>
        <w:rPr>
          <w:sz w:val="23"/>
          <w:szCs w:val="23"/>
        </w:rPr>
        <w:t>Each applicant will submit information that should be readily available. Each applicant should take no more than a quarter hour to provide the required information.</w:t>
      </w:r>
    </w:p>
    <w:p w:rsidR="00757250" w14:paraId="315FAE3C" w14:textId="77777777">
      <w:pPr>
        <w:pStyle w:val="BodyText"/>
        <w:spacing w:before="4"/>
        <w:rPr>
          <w:sz w:val="17"/>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4427"/>
        <w:gridCol w:w="4427"/>
      </w:tblGrid>
      <w:tr w14:paraId="62CB0B10"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09"/>
        </w:trPr>
        <w:tc>
          <w:tcPr>
            <w:tcW w:w="4427" w:type="dxa"/>
            <w:tcBorders>
              <w:top w:val="none" w:sz="6" w:space="0" w:color="auto"/>
              <w:bottom w:val="none" w:sz="6" w:space="0" w:color="auto"/>
              <w:right w:val="none" w:sz="6" w:space="0" w:color="auto"/>
            </w:tcBorders>
          </w:tcPr>
          <w:p w:rsidR="00757250" w:rsidP="00757250" w14:paraId="231D205B" w14:textId="77777777">
            <w:pPr>
              <w:pStyle w:val="Default"/>
              <w:rPr>
                <w:sz w:val="23"/>
                <w:szCs w:val="23"/>
              </w:rPr>
            </w:pPr>
            <w:r>
              <w:rPr>
                <w:sz w:val="23"/>
                <w:szCs w:val="23"/>
              </w:rPr>
              <w:t xml:space="preserve">Number of respondents: </w:t>
            </w:r>
          </w:p>
          <w:p w:rsidR="00370D55" w14:paraId="68A66D34" w14:textId="3EAC0C70">
            <w:pPr>
              <w:pStyle w:val="Default"/>
              <w:rPr>
                <w:sz w:val="23"/>
                <w:szCs w:val="23"/>
              </w:rPr>
            </w:pPr>
          </w:p>
        </w:tc>
        <w:tc>
          <w:tcPr>
            <w:tcW w:w="4427" w:type="dxa"/>
            <w:tcBorders>
              <w:top w:val="none" w:sz="6" w:space="0" w:color="auto"/>
              <w:left w:val="none" w:sz="6" w:space="0" w:color="auto"/>
              <w:bottom w:val="none" w:sz="6" w:space="0" w:color="auto"/>
            </w:tcBorders>
          </w:tcPr>
          <w:p w:rsidR="00370D55" w14:paraId="53B85CC0" w14:textId="77777777">
            <w:pPr>
              <w:pStyle w:val="Default"/>
              <w:rPr>
                <w:sz w:val="23"/>
                <w:szCs w:val="23"/>
              </w:rPr>
            </w:pPr>
            <w:r>
              <w:rPr>
                <w:sz w:val="23"/>
                <w:szCs w:val="23"/>
              </w:rPr>
              <w:t xml:space="preserve">20 </w:t>
            </w:r>
          </w:p>
        </w:tc>
      </w:tr>
      <w:tr w14:paraId="6F913C21" w14:textId="77777777">
        <w:tblPrEx>
          <w:tblW w:w="0" w:type="auto"/>
          <w:tblInd w:w="-168" w:type="dxa"/>
          <w:tblLayout w:type="fixed"/>
          <w:tblLook w:val="0000"/>
        </w:tblPrEx>
        <w:trPr>
          <w:trHeight w:val="245"/>
        </w:trPr>
        <w:tc>
          <w:tcPr>
            <w:tcW w:w="4427" w:type="dxa"/>
            <w:tcBorders>
              <w:top w:val="none" w:sz="6" w:space="0" w:color="auto"/>
              <w:bottom w:val="none" w:sz="6" w:space="0" w:color="auto"/>
              <w:right w:val="none" w:sz="6" w:space="0" w:color="auto"/>
            </w:tcBorders>
          </w:tcPr>
          <w:p w:rsidR="00370D55" w14:paraId="2274526F" w14:textId="77777777">
            <w:pPr>
              <w:pStyle w:val="Default"/>
              <w:rPr>
                <w:sz w:val="23"/>
                <w:szCs w:val="23"/>
              </w:rPr>
            </w:pPr>
            <w:r>
              <w:rPr>
                <w:sz w:val="23"/>
                <w:szCs w:val="23"/>
              </w:rPr>
              <w:t xml:space="preserve">Number of responses per respondents: </w:t>
            </w:r>
          </w:p>
        </w:tc>
        <w:tc>
          <w:tcPr>
            <w:tcW w:w="4427" w:type="dxa"/>
            <w:tcBorders>
              <w:top w:val="none" w:sz="6" w:space="0" w:color="auto"/>
              <w:left w:val="none" w:sz="6" w:space="0" w:color="auto"/>
              <w:bottom w:val="none" w:sz="6" w:space="0" w:color="auto"/>
            </w:tcBorders>
          </w:tcPr>
          <w:p w:rsidR="00370D55" w14:paraId="638B3C32" w14:textId="77777777">
            <w:pPr>
              <w:pStyle w:val="Default"/>
              <w:rPr>
                <w:sz w:val="23"/>
                <w:szCs w:val="23"/>
              </w:rPr>
            </w:pPr>
            <w:r>
              <w:rPr>
                <w:sz w:val="23"/>
                <w:szCs w:val="23"/>
              </w:rPr>
              <w:t xml:space="preserve">1 </w:t>
            </w:r>
          </w:p>
        </w:tc>
      </w:tr>
      <w:tr w14:paraId="46F398E9" w14:textId="77777777">
        <w:tblPrEx>
          <w:tblW w:w="0" w:type="auto"/>
          <w:tblInd w:w="-168" w:type="dxa"/>
          <w:tblLayout w:type="fixed"/>
          <w:tblLook w:val="0000"/>
        </w:tblPrEx>
        <w:trPr>
          <w:trHeight w:val="109"/>
        </w:trPr>
        <w:tc>
          <w:tcPr>
            <w:tcW w:w="4427" w:type="dxa"/>
            <w:tcBorders>
              <w:top w:val="none" w:sz="6" w:space="0" w:color="auto"/>
              <w:bottom w:val="none" w:sz="6" w:space="0" w:color="auto"/>
              <w:right w:val="none" w:sz="6" w:space="0" w:color="auto"/>
            </w:tcBorders>
          </w:tcPr>
          <w:p w:rsidR="00370D55" w14:paraId="31BCA265" w14:textId="77777777">
            <w:pPr>
              <w:pStyle w:val="Default"/>
              <w:rPr>
                <w:sz w:val="23"/>
                <w:szCs w:val="23"/>
              </w:rPr>
            </w:pPr>
            <w:r>
              <w:rPr>
                <w:sz w:val="23"/>
                <w:szCs w:val="23"/>
              </w:rPr>
              <w:t xml:space="preserve">Burden hour per applicant: </w:t>
            </w:r>
          </w:p>
        </w:tc>
        <w:tc>
          <w:tcPr>
            <w:tcW w:w="4427" w:type="dxa"/>
            <w:tcBorders>
              <w:top w:val="none" w:sz="6" w:space="0" w:color="auto"/>
              <w:left w:val="none" w:sz="6" w:space="0" w:color="auto"/>
              <w:bottom w:val="none" w:sz="6" w:space="0" w:color="auto"/>
            </w:tcBorders>
          </w:tcPr>
          <w:p w:rsidR="00370D55" w14:paraId="2CAEBF74" w14:textId="79D9AEF6">
            <w:pPr>
              <w:pStyle w:val="Default"/>
              <w:rPr>
                <w:sz w:val="23"/>
                <w:szCs w:val="23"/>
              </w:rPr>
            </w:pPr>
            <w:r>
              <w:rPr>
                <w:sz w:val="23"/>
                <w:szCs w:val="23"/>
              </w:rPr>
              <w:t xml:space="preserve">2 </w:t>
            </w:r>
            <w:r>
              <w:rPr>
                <w:sz w:val="23"/>
                <w:szCs w:val="23"/>
              </w:rPr>
              <w:t>minutes = 0.</w:t>
            </w:r>
            <w:r>
              <w:rPr>
                <w:sz w:val="23"/>
                <w:szCs w:val="23"/>
              </w:rPr>
              <w:t xml:space="preserve">033 </w:t>
            </w:r>
            <w:r>
              <w:rPr>
                <w:sz w:val="23"/>
                <w:szCs w:val="23"/>
              </w:rPr>
              <w:t xml:space="preserve">hours </w:t>
            </w:r>
          </w:p>
        </w:tc>
      </w:tr>
      <w:tr w14:paraId="4EDF0E14" w14:textId="77777777">
        <w:tblPrEx>
          <w:tblW w:w="0" w:type="auto"/>
          <w:tblInd w:w="-168" w:type="dxa"/>
          <w:tblLayout w:type="fixed"/>
          <w:tblLook w:val="0000"/>
        </w:tblPrEx>
        <w:trPr>
          <w:trHeight w:val="109"/>
        </w:trPr>
        <w:tc>
          <w:tcPr>
            <w:tcW w:w="4427" w:type="dxa"/>
            <w:tcBorders>
              <w:top w:val="none" w:sz="6" w:space="0" w:color="auto"/>
              <w:bottom w:val="none" w:sz="6" w:space="0" w:color="auto"/>
              <w:right w:val="none" w:sz="6" w:space="0" w:color="auto"/>
            </w:tcBorders>
          </w:tcPr>
          <w:p w:rsidR="00370D55" w14:paraId="0A3DFF56" w14:textId="77777777">
            <w:pPr>
              <w:pStyle w:val="Default"/>
              <w:rPr>
                <w:sz w:val="23"/>
                <w:szCs w:val="23"/>
              </w:rPr>
            </w:pPr>
            <w:r>
              <w:rPr>
                <w:sz w:val="23"/>
                <w:szCs w:val="23"/>
              </w:rPr>
              <w:t xml:space="preserve">Total burden hours: </w:t>
            </w:r>
          </w:p>
        </w:tc>
        <w:tc>
          <w:tcPr>
            <w:tcW w:w="4427" w:type="dxa"/>
            <w:tcBorders>
              <w:top w:val="none" w:sz="6" w:space="0" w:color="auto"/>
              <w:left w:val="none" w:sz="6" w:space="0" w:color="auto"/>
              <w:bottom w:val="none" w:sz="6" w:space="0" w:color="auto"/>
            </w:tcBorders>
          </w:tcPr>
          <w:p w:rsidR="00370D55" w14:paraId="07792DCF" w14:textId="56BE8974">
            <w:pPr>
              <w:pStyle w:val="Default"/>
              <w:rPr>
                <w:sz w:val="23"/>
                <w:szCs w:val="23"/>
              </w:rPr>
            </w:pPr>
            <w:r>
              <w:rPr>
                <w:sz w:val="23"/>
                <w:szCs w:val="23"/>
              </w:rPr>
              <w:t>20 responses X 0.</w:t>
            </w:r>
            <w:r w:rsidR="00C948E2">
              <w:rPr>
                <w:sz w:val="23"/>
                <w:szCs w:val="23"/>
              </w:rPr>
              <w:t>033</w:t>
            </w:r>
            <w:r>
              <w:rPr>
                <w:sz w:val="23"/>
                <w:szCs w:val="23"/>
              </w:rPr>
              <w:t xml:space="preserve"> hour per responses = </w:t>
            </w:r>
            <w:r w:rsidR="00C948E2">
              <w:rPr>
                <w:sz w:val="23"/>
                <w:szCs w:val="23"/>
              </w:rPr>
              <w:t>0.66</w:t>
            </w:r>
            <w:r>
              <w:rPr>
                <w:sz w:val="23"/>
                <w:szCs w:val="23"/>
              </w:rPr>
              <w:t xml:space="preserve"> hours per year </w:t>
            </w:r>
          </w:p>
        </w:tc>
      </w:tr>
      <w:tr w14:paraId="359FB23F" w14:textId="77777777">
        <w:tblPrEx>
          <w:tblW w:w="0" w:type="auto"/>
          <w:tblInd w:w="-168" w:type="dxa"/>
          <w:tblLayout w:type="fixed"/>
          <w:tblLook w:val="0000"/>
        </w:tblPrEx>
        <w:trPr>
          <w:trHeight w:val="109"/>
        </w:trPr>
        <w:tc>
          <w:tcPr>
            <w:tcW w:w="4427" w:type="dxa"/>
            <w:tcBorders>
              <w:top w:val="none" w:sz="6" w:space="0" w:color="auto"/>
              <w:bottom w:val="none" w:sz="6" w:space="0" w:color="auto"/>
              <w:right w:val="none" w:sz="6" w:space="0" w:color="auto"/>
            </w:tcBorders>
          </w:tcPr>
          <w:p w:rsidR="00370D55" w14:paraId="5E2BF1BA" w14:textId="77777777">
            <w:pPr>
              <w:pStyle w:val="Default"/>
              <w:rPr>
                <w:sz w:val="23"/>
                <w:szCs w:val="23"/>
              </w:rPr>
            </w:pPr>
            <w:r>
              <w:rPr>
                <w:sz w:val="23"/>
                <w:szCs w:val="23"/>
              </w:rPr>
              <w:t xml:space="preserve">Total cost per respondents: </w:t>
            </w:r>
          </w:p>
        </w:tc>
        <w:tc>
          <w:tcPr>
            <w:tcW w:w="4427" w:type="dxa"/>
            <w:tcBorders>
              <w:top w:val="none" w:sz="6" w:space="0" w:color="auto"/>
              <w:left w:val="none" w:sz="6" w:space="0" w:color="auto"/>
              <w:bottom w:val="none" w:sz="6" w:space="0" w:color="auto"/>
            </w:tcBorders>
          </w:tcPr>
          <w:p w:rsidR="00370D55" w14:paraId="56E54BF4" w14:textId="077270D3">
            <w:pPr>
              <w:pStyle w:val="Default"/>
              <w:rPr>
                <w:sz w:val="23"/>
                <w:szCs w:val="23"/>
              </w:rPr>
            </w:pPr>
            <w:r>
              <w:rPr>
                <w:sz w:val="23"/>
                <w:szCs w:val="23"/>
              </w:rPr>
              <w:t>$36.75 X .</w:t>
            </w:r>
            <w:r w:rsidR="00AB711E">
              <w:rPr>
                <w:sz w:val="23"/>
                <w:szCs w:val="23"/>
              </w:rPr>
              <w:t>033</w:t>
            </w:r>
            <w:r>
              <w:rPr>
                <w:sz w:val="23"/>
                <w:szCs w:val="23"/>
              </w:rPr>
              <w:t xml:space="preserve"> hour = $</w:t>
            </w:r>
            <w:r w:rsidR="00AB711E">
              <w:rPr>
                <w:sz w:val="23"/>
                <w:szCs w:val="23"/>
              </w:rPr>
              <w:t>1.21</w:t>
            </w:r>
            <w:r>
              <w:rPr>
                <w:sz w:val="23"/>
                <w:szCs w:val="23"/>
              </w:rPr>
              <w:t xml:space="preserve"> </w:t>
            </w:r>
          </w:p>
        </w:tc>
      </w:tr>
      <w:tr w14:paraId="14F54ABB" w14:textId="77777777">
        <w:tblPrEx>
          <w:tblW w:w="0" w:type="auto"/>
          <w:tblInd w:w="-168" w:type="dxa"/>
          <w:tblLayout w:type="fixed"/>
          <w:tblLook w:val="0000"/>
        </w:tblPrEx>
        <w:trPr>
          <w:trHeight w:val="245"/>
        </w:trPr>
        <w:tc>
          <w:tcPr>
            <w:tcW w:w="4427" w:type="dxa"/>
            <w:tcBorders>
              <w:top w:val="none" w:sz="6" w:space="0" w:color="auto"/>
              <w:bottom w:val="none" w:sz="6" w:space="0" w:color="auto"/>
              <w:right w:val="none" w:sz="6" w:space="0" w:color="auto"/>
            </w:tcBorders>
          </w:tcPr>
          <w:p w:rsidR="00370D55" w14:paraId="4A85F639" w14:textId="77777777">
            <w:pPr>
              <w:pStyle w:val="Default"/>
              <w:rPr>
                <w:sz w:val="23"/>
                <w:szCs w:val="23"/>
              </w:rPr>
            </w:pPr>
            <w:r>
              <w:rPr>
                <w:sz w:val="23"/>
                <w:szCs w:val="23"/>
              </w:rPr>
              <w:t xml:space="preserve">Total annual cost for all respondents: </w:t>
            </w:r>
          </w:p>
        </w:tc>
        <w:tc>
          <w:tcPr>
            <w:tcW w:w="4427" w:type="dxa"/>
            <w:tcBorders>
              <w:top w:val="none" w:sz="6" w:space="0" w:color="auto"/>
              <w:left w:val="none" w:sz="6" w:space="0" w:color="auto"/>
              <w:bottom w:val="none" w:sz="6" w:space="0" w:color="auto"/>
            </w:tcBorders>
          </w:tcPr>
          <w:p w:rsidR="00370D55" w14:paraId="1043D2A9" w14:textId="1A3761B8">
            <w:pPr>
              <w:pStyle w:val="Default"/>
              <w:rPr>
                <w:sz w:val="23"/>
                <w:szCs w:val="23"/>
              </w:rPr>
            </w:pPr>
            <w:r>
              <w:rPr>
                <w:sz w:val="23"/>
                <w:szCs w:val="23"/>
              </w:rPr>
              <w:t xml:space="preserve">$36.75 X </w:t>
            </w:r>
            <w:r w:rsidR="00AB711E">
              <w:rPr>
                <w:sz w:val="23"/>
                <w:szCs w:val="23"/>
              </w:rPr>
              <w:t>0.66</w:t>
            </w:r>
            <w:r>
              <w:rPr>
                <w:sz w:val="23"/>
                <w:szCs w:val="23"/>
              </w:rPr>
              <w:t xml:space="preserve"> hours = $</w:t>
            </w:r>
            <w:r w:rsidR="00AB711E">
              <w:rPr>
                <w:sz w:val="23"/>
                <w:szCs w:val="23"/>
              </w:rPr>
              <w:t>24.25</w:t>
            </w:r>
          </w:p>
        </w:tc>
      </w:tr>
    </w:tbl>
    <w:p w:rsidR="009C2D55" w14:paraId="0BF4F60A" w14:textId="77777777">
      <w:pPr>
        <w:pStyle w:val="BodyText"/>
      </w:pPr>
    </w:p>
    <w:p w:rsidR="008C4CD3" w14:paraId="10E60C3F" w14:textId="77777777">
      <w:pPr>
        <w:pStyle w:val="BodyText"/>
      </w:pPr>
    </w:p>
    <w:p w:rsidR="008C4CD3" w:rsidP="008C4CD3" w14:paraId="13BBFA29" w14:textId="77777777">
      <w:pPr>
        <w:tabs>
          <w:tab w:val="left" w:pos="576"/>
        </w:tabs>
        <w:rPr>
          <w:rFonts w:ascii="Arial" w:hAnsi="Arial" w:cs="Arial"/>
        </w:rPr>
      </w:pPr>
    </w:p>
    <w:p w:rsidR="008C4CD3" w:rsidRPr="003D4843" w:rsidP="008C4CD3" w14:paraId="2D78A98C" w14:textId="77777777">
      <w:pPr>
        <w:tabs>
          <w:tab w:val="left" w:pos="576"/>
        </w:tabs>
        <w:rPr>
          <w:rFonts w:ascii="Arial" w:hAnsi="Arial" w:cs="Arial"/>
        </w:rPr>
      </w:pPr>
      <w:r w:rsidRPr="003D4843">
        <w:rPr>
          <w:rFonts w:ascii="Arial" w:hAnsi="Arial" w:cs="Arial"/>
        </w:rPr>
        <w:t xml:space="preserve">13.  </w:t>
      </w:r>
      <w:r w:rsidRPr="003D4843">
        <w:rPr>
          <w:rFonts w:ascii="Arial" w:hAnsi="Arial" w:cs="Arial"/>
          <w:u w:val="single"/>
        </w:rPr>
        <w:t>Estimates of annualized capital and start-up costs</w:t>
      </w:r>
      <w:r w:rsidRPr="003D4843">
        <w:rPr>
          <w:rFonts w:ascii="Arial" w:hAnsi="Arial" w:cs="Arial"/>
        </w:rPr>
        <w:t>.</w:t>
      </w:r>
      <w:r>
        <w:rPr>
          <w:rFonts w:ascii="Arial" w:hAnsi="Arial" w:cs="Arial"/>
        </w:rPr>
        <w:t xml:space="preserve">  </w:t>
      </w:r>
    </w:p>
    <w:p w:rsidR="008C4CD3" w:rsidRPr="003D4843" w:rsidP="008C4CD3" w14:paraId="090D319C" w14:textId="77777777">
      <w:pPr>
        <w:tabs>
          <w:tab w:val="left" w:pos="576"/>
        </w:tabs>
        <w:rPr>
          <w:rFonts w:ascii="Arial" w:hAnsi="Arial" w:cs="Arial"/>
        </w:rPr>
      </w:pPr>
    </w:p>
    <w:p w:rsidR="008C4CD3" w:rsidRPr="003D4843" w:rsidP="008C4CD3" w14:paraId="5A34E7AA" w14:textId="77777777">
      <w:pPr>
        <w:tabs>
          <w:tab w:val="left" w:pos="576"/>
        </w:tabs>
        <w:rPr>
          <w:rFonts w:ascii="Arial" w:hAnsi="Arial" w:cs="Arial"/>
        </w:rPr>
      </w:pPr>
      <w:r w:rsidRPr="003D4843">
        <w:rPr>
          <w:rFonts w:ascii="Arial" w:hAnsi="Arial" w:cs="Arial"/>
        </w:rPr>
        <w:t>There are no capital, start-up or maintenance costs associated with this information collection.</w:t>
      </w:r>
      <w:r>
        <w:rPr>
          <w:rFonts w:ascii="Arial" w:hAnsi="Arial" w:cs="Arial"/>
        </w:rPr>
        <w:t xml:space="preserve">  </w:t>
      </w:r>
    </w:p>
    <w:p w:rsidR="008C4CD3" w14:paraId="4EBF1601" w14:textId="77777777">
      <w:pPr>
        <w:pStyle w:val="BodyText"/>
      </w:pPr>
    </w:p>
    <w:p w:rsidR="009C2D55" w:rsidRPr="008C4CD3" w:rsidP="008C4CD3" w14:paraId="4F8F9DEC" w14:textId="51499721">
      <w:pPr>
        <w:pStyle w:val="ListParagraph"/>
        <w:numPr>
          <w:ilvl w:val="0"/>
          <w:numId w:val="2"/>
        </w:numPr>
        <w:tabs>
          <w:tab w:val="left" w:pos="1421"/>
        </w:tabs>
        <w:rPr>
          <w:sz w:val="24"/>
        </w:rPr>
      </w:pPr>
      <w:r w:rsidRPr="008C4CD3">
        <w:rPr>
          <w:sz w:val="24"/>
          <w:u w:val="single"/>
        </w:rPr>
        <w:t>Cost</w:t>
      </w:r>
      <w:r w:rsidRPr="008C4CD3">
        <w:rPr>
          <w:spacing w:val="-3"/>
          <w:sz w:val="24"/>
          <w:u w:val="single"/>
        </w:rPr>
        <w:t xml:space="preserve"> </w:t>
      </w:r>
      <w:r w:rsidRPr="008C4CD3">
        <w:rPr>
          <w:sz w:val="24"/>
          <w:u w:val="single"/>
        </w:rPr>
        <w:t>to</w:t>
      </w:r>
      <w:r w:rsidRPr="008C4CD3">
        <w:rPr>
          <w:spacing w:val="-1"/>
          <w:sz w:val="24"/>
          <w:u w:val="single"/>
        </w:rPr>
        <w:t xml:space="preserve"> </w:t>
      </w:r>
      <w:r w:rsidRPr="008C4CD3">
        <w:rPr>
          <w:sz w:val="24"/>
          <w:u w:val="single"/>
        </w:rPr>
        <w:t>the</w:t>
      </w:r>
      <w:r w:rsidRPr="008C4CD3">
        <w:rPr>
          <w:spacing w:val="-2"/>
          <w:sz w:val="24"/>
          <w:u w:val="single"/>
        </w:rPr>
        <w:t xml:space="preserve"> </w:t>
      </w:r>
      <w:r w:rsidRPr="008C4CD3">
        <w:rPr>
          <w:sz w:val="24"/>
          <w:u w:val="single"/>
        </w:rPr>
        <w:t>Federal</w:t>
      </w:r>
      <w:r w:rsidRPr="008C4CD3">
        <w:rPr>
          <w:spacing w:val="-7"/>
          <w:sz w:val="24"/>
          <w:u w:val="single"/>
        </w:rPr>
        <w:t xml:space="preserve"> </w:t>
      </w:r>
      <w:r w:rsidRPr="008C4CD3">
        <w:rPr>
          <w:spacing w:val="-2"/>
          <w:sz w:val="24"/>
          <w:u w:val="single"/>
        </w:rPr>
        <w:t>Government</w:t>
      </w:r>
    </w:p>
    <w:p w:rsidR="009C2D55" w14:paraId="53AA3ABA" w14:textId="77777777">
      <w:pPr>
        <w:pStyle w:val="BodyText"/>
        <w:spacing w:before="4"/>
        <w:rPr>
          <w:sz w:val="17"/>
        </w:rPr>
      </w:pPr>
    </w:p>
    <w:p w:rsidR="00DE0635" w:rsidP="00DE0635" w14:paraId="03744CF4" w14:textId="77777777">
      <w:pPr>
        <w:pStyle w:val="Default"/>
        <w:rPr>
          <w:sz w:val="23"/>
          <w:szCs w:val="23"/>
        </w:rPr>
      </w:pPr>
      <w:r>
        <w:rPr>
          <w:sz w:val="23"/>
          <w:szCs w:val="23"/>
        </w:rPr>
        <w:t xml:space="preserve">The cost to the Coast Guard of collecting the information stems from processing applications and boarding events. </w:t>
      </w:r>
    </w:p>
    <w:p w:rsidR="00DE0635" w:rsidP="00DE0635" w14:paraId="07D1250B" w14:textId="77777777">
      <w:pPr>
        <w:pStyle w:val="Default"/>
        <w:rPr>
          <w:sz w:val="23"/>
          <w:szCs w:val="23"/>
        </w:rPr>
      </w:pPr>
    </w:p>
    <w:p w:rsidR="00DE0635" w:rsidP="00DE0635" w14:paraId="1FB8D867" w14:textId="77777777">
      <w:pPr>
        <w:pStyle w:val="Default"/>
        <w:rPr>
          <w:sz w:val="23"/>
          <w:szCs w:val="23"/>
        </w:rPr>
      </w:pPr>
      <w:r>
        <w:rPr>
          <w:sz w:val="23"/>
          <w:szCs w:val="23"/>
        </w:rPr>
        <w:t xml:space="preserve">Based on actual experience and data available to the Coast Guard for the period 05 June 2019 through 21 May 2020, the period since the final rule went into effect, the cost of processing 20 permits is no more than 25 minutes per permit. At $30 per hour (E-6), the cost of processing 20 permits each year is approximately $250.00 annually. </w:t>
      </w:r>
    </w:p>
    <w:p w:rsidR="00DE0635" w:rsidP="00DE0635" w14:paraId="39205DF7" w14:textId="77777777">
      <w:pPr>
        <w:pStyle w:val="Default"/>
        <w:rPr>
          <w:sz w:val="23"/>
          <w:szCs w:val="23"/>
        </w:rPr>
      </w:pPr>
    </w:p>
    <w:p w:rsidR="00DE0635" w:rsidP="00DE0635" w14:paraId="11529DE5" w14:textId="77777777">
      <w:pPr>
        <w:pStyle w:val="Default"/>
        <w:rPr>
          <w:sz w:val="23"/>
          <w:szCs w:val="23"/>
        </w:rPr>
      </w:pPr>
      <w:r>
        <w:rPr>
          <w:sz w:val="23"/>
          <w:szCs w:val="23"/>
        </w:rPr>
        <w:t xml:space="preserve">Coast Guard boardings of vessels to verify compliance with 33 C.F.R. 107 would be conducted as a matter of routine activity verifying compliance with other laws and regulations. Accordingly, the regulation adds no additional government costs associated with boarding activity. </w:t>
      </w:r>
    </w:p>
    <w:p w:rsidR="009C2D55" w:rsidP="00DE0635" w14:paraId="2B6683D2" w14:textId="29800FB1">
      <w:pPr>
        <w:pStyle w:val="BodyText"/>
        <w:spacing w:before="7"/>
        <w:rPr>
          <w:sz w:val="23"/>
          <w:szCs w:val="23"/>
        </w:rPr>
      </w:pPr>
      <w:r>
        <w:rPr>
          <w:sz w:val="23"/>
          <w:szCs w:val="23"/>
        </w:rPr>
        <w:t>The total costs to the federal government associated with processing permits and conducting compliance boardings are approximately $250.00.</w:t>
      </w:r>
    </w:p>
    <w:p w:rsidR="00DE0635" w:rsidP="00DE0635" w14:paraId="0148ECF2" w14:textId="77777777">
      <w:pPr>
        <w:pStyle w:val="BodyText"/>
        <w:spacing w:before="7"/>
        <w:rPr>
          <w:sz w:val="23"/>
        </w:rPr>
      </w:pPr>
    </w:p>
    <w:p w:rsidR="009C2D55" w:rsidP="008C4CD3" w14:paraId="16DBE6A9" w14:textId="77777777">
      <w:pPr>
        <w:pStyle w:val="ListParagraph"/>
        <w:numPr>
          <w:ilvl w:val="0"/>
          <w:numId w:val="2"/>
        </w:numPr>
        <w:tabs>
          <w:tab w:val="left" w:pos="1421"/>
        </w:tabs>
        <w:ind w:left="1421" w:hanging="420"/>
        <w:rPr>
          <w:sz w:val="24"/>
        </w:rPr>
      </w:pPr>
      <w:r>
        <w:rPr>
          <w:sz w:val="24"/>
          <w:u w:val="single"/>
        </w:rPr>
        <w:t>Reasons</w:t>
      </w:r>
      <w:r>
        <w:rPr>
          <w:spacing w:val="1"/>
          <w:sz w:val="24"/>
          <w:u w:val="single"/>
        </w:rPr>
        <w:t xml:space="preserve"> </w:t>
      </w:r>
      <w:r>
        <w:rPr>
          <w:sz w:val="24"/>
          <w:u w:val="single"/>
        </w:rPr>
        <w:t>for</w:t>
      </w:r>
      <w:r>
        <w:rPr>
          <w:spacing w:val="-5"/>
          <w:sz w:val="24"/>
          <w:u w:val="single"/>
        </w:rPr>
        <w:t xml:space="preserve"> </w:t>
      </w:r>
      <w:r>
        <w:rPr>
          <w:sz w:val="24"/>
          <w:u w:val="single"/>
        </w:rPr>
        <w:t>Change</w:t>
      </w:r>
      <w:r>
        <w:rPr>
          <w:spacing w:val="-1"/>
          <w:sz w:val="24"/>
          <w:u w:val="single"/>
        </w:rPr>
        <w:t xml:space="preserve"> </w:t>
      </w:r>
      <w:r>
        <w:rPr>
          <w:sz w:val="24"/>
          <w:u w:val="single"/>
        </w:rPr>
        <w:t>in</w:t>
      </w:r>
      <w:r>
        <w:rPr>
          <w:spacing w:val="-10"/>
          <w:sz w:val="24"/>
          <w:u w:val="single"/>
        </w:rPr>
        <w:t xml:space="preserve"> </w:t>
      </w:r>
      <w:r>
        <w:rPr>
          <w:spacing w:val="-2"/>
          <w:sz w:val="24"/>
          <w:u w:val="single"/>
        </w:rPr>
        <w:t>Burden</w:t>
      </w:r>
    </w:p>
    <w:p w:rsidR="009C2D55" w14:paraId="0D2C8CEE" w14:textId="77777777">
      <w:pPr>
        <w:pStyle w:val="BodyText"/>
        <w:spacing w:before="4"/>
        <w:rPr>
          <w:sz w:val="17"/>
        </w:rPr>
      </w:pPr>
    </w:p>
    <w:p w:rsidR="009C2D55" w14:paraId="5BF73A8D" w14:textId="452CC8C4">
      <w:pPr>
        <w:pStyle w:val="BodyText"/>
        <w:rPr>
          <w:sz w:val="23"/>
          <w:szCs w:val="23"/>
        </w:rPr>
      </w:pPr>
      <w:r>
        <w:rPr>
          <w:sz w:val="23"/>
          <w:szCs w:val="23"/>
        </w:rPr>
        <w:t>The measurable decrease in burden, and outflow of applications is an adjustment due to the reinforced restrictions and current status of diplomatic relations between the United States and Cuban governments. Consequently, fewer individuals are attempting to travel to Cuba via the maritime realm. Instructions have been created for this collection. The burden has been adjusted in ROCIS to correct the previously approved hours. The recordkeeping requirements, and methodology for calculating burden, remain unchanged.</w:t>
      </w:r>
    </w:p>
    <w:p w:rsidR="00DE0635" w14:paraId="61A0A6ED" w14:textId="77777777">
      <w:pPr>
        <w:pStyle w:val="BodyText"/>
      </w:pPr>
    </w:p>
    <w:p w:rsidR="009C2D55" w:rsidP="008C4CD3" w14:paraId="368E2677" w14:textId="77777777">
      <w:pPr>
        <w:pStyle w:val="ListParagraph"/>
        <w:numPr>
          <w:ilvl w:val="0"/>
          <w:numId w:val="2"/>
        </w:numPr>
        <w:tabs>
          <w:tab w:val="left" w:pos="1421"/>
        </w:tabs>
        <w:spacing w:before="1"/>
        <w:ind w:left="1421" w:hanging="420"/>
        <w:rPr>
          <w:sz w:val="24"/>
        </w:rPr>
      </w:pPr>
      <w:r>
        <w:rPr>
          <w:sz w:val="24"/>
          <w:u w:val="single"/>
        </w:rPr>
        <w:t>Publication of</w:t>
      </w:r>
      <w:r>
        <w:rPr>
          <w:spacing w:val="-8"/>
          <w:sz w:val="24"/>
          <w:u w:val="single"/>
        </w:rPr>
        <w:t xml:space="preserve"> </w:t>
      </w:r>
      <w:r>
        <w:rPr>
          <w:spacing w:val="-2"/>
          <w:sz w:val="24"/>
          <w:u w:val="single"/>
        </w:rPr>
        <w:t>Results</w:t>
      </w:r>
    </w:p>
    <w:p w:rsidR="009C2D55" w14:paraId="0666701C" w14:textId="77777777">
      <w:pPr>
        <w:pStyle w:val="BodyText"/>
        <w:spacing w:before="4"/>
        <w:rPr>
          <w:sz w:val="17"/>
        </w:rPr>
      </w:pPr>
    </w:p>
    <w:p w:rsidR="009C2D55" w:rsidP="00DE02E2" w14:paraId="22E7A396" w14:textId="4AA87C10">
      <w:pPr>
        <w:pStyle w:val="BodyText"/>
        <w:spacing w:before="90" w:line="252" w:lineRule="auto"/>
        <w:ind w:left="100" w:right="96"/>
      </w:pPr>
      <w:r>
        <w:rPr>
          <w:sz w:val="23"/>
          <w:szCs w:val="23"/>
        </w:rPr>
        <w:t xml:space="preserve">This information collection will not be published for statistical purposes. </w:t>
      </w:r>
    </w:p>
    <w:p w:rsidR="009C2D55" w14:paraId="2B7B7AEC" w14:textId="77777777">
      <w:pPr>
        <w:pStyle w:val="BodyText"/>
        <w:spacing w:before="7"/>
        <w:rPr>
          <w:sz w:val="23"/>
        </w:rPr>
      </w:pPr>
    </w:p>
    <w:p w:rsidR="009C2D55" w:rsidP="008C4CD3" w14:paraId="3B2789E0" w14:textId="77777777">
      <w:pPr>
        <w:pStyle w:val="ListParagraph"/>
        <w:numPr>
          <w:ilvl w:val="0"/>
          <w:numId w:val="2"/>
        </w:numPr>
        <w:tabs>
          <w:tab w:val="left" w:pos="1421"/>
        </w:tabs>
        <w:ind w:left="1421" w:hanging="420"/>
        <w:rPr>
          <w:sz w:val="24"/>
        </w:rPr>
      </w:pPr>
      <w:r>
        <w:rPr>
          <w:sz w:val="24"/>
          <w:u w:val="single"/>
        </w:rPr>
        <w:t>Non-Display</w:t>
      </w:r>
      <w:r>
        <w:rPr>
          <w:spacing w:val="-2"/>
          <w:sz w:val="24"/>
          <w:u w:val="single"/>
        </w:rPr>
        <w:t xml:space="preserve"> </w:t>
      </w:r>
      <w:r>
        <w:rPr>
          <w:sz w:val="24"/>
          <w:u w:val="single"/>
        </w:rPr>
        <w:t>of</w:t>
      </w:r>
      <w:r>
        <w:rPr>
          <w:spacing w:val="-7"/>
          <w:sz w:val="24"/>
          <w:u w:val="single"/>
        </w:rPr>
        <w:t xml:space="preserve"> </w:t>
      </w:r>
      <w:r>
        <w:rPr>
          <w:sz w:val="24"/>
          <w:u w:val="single"/>
        </w:rPr>
        <w:t>OMB</w:t>
      </w:r>
      <w:r>
        <w:rPr>
          <w:spacing w:val="-1"/>
          <w:sz w:val="24"/>
          <w:u w:val="single"/>
        </w:rPr>
        <w:t xml:space="preserve"> </w:t>
      </w:r>
      <w:r>
        <w:rPr>
          <w:sz w:val="24"/>
          <w:u w:val="single"/>
        </w:rPr>
        <w:t>Expiration</w:t>
      </w:r>
      <w:r>
        <w:rPr>
          <w:spacing w:val="-6"/>
          <w:sz w:val="24"/>
          <w:u w:val="single"/>
        </w:rPr>
        <w:t xml:space="preserve"> </w:t>
      </w:r>
      <w:r>
        <w:rPr>
          <w:spacing w:val="-4"/>
          <w:sz w:val="24"/>
          <w:u w:val="single"/>
        </w:rPr>
        <w:t>Date</w:t>
      </w:r>
    </w:p>
    <w:p w:rsidR="009C2D55" w14:paraId="76E11D8E" w14:textId="77777777">
      <w:pPr>
        <w:pStyle w:val="BodyText"/>
        <w:spacing w:before="8"/>
        <w:rPr>
          <w:sz w:val="17"/>
        </w:rPr>
      </w:pPr>
    </w:p>
    <w:p w:rsidR="009C2D55" w14:paraId="36C8045C" w14:textId="0BE84155">
      <w:pPr>
        <w:pStyle w:val="BodyText"/>
        <w:rPr>
          <w:sz w:val="23"/>
          <w:szCs w:val="23"/>
        </w:rPr>
      </w:pPr>
      <w:r>
        <w:rPr>
          <w:sz w:val="23"/>
          <w:szCs w:val="23"/>
        </w:rPr>
        <w:t>The Coast Guard will display the expiration date for OMB approval of this information collection.</w:t>
      </w:r>
    </w:p>
    <w:p w:rsidR="00DE02E2" w14:paraId="6C61665F" w14:textId="77777777">
      <w:pPr>
        <w:pStyle w:val="BodyText"/>
      </w:pPr>
    </w:p>
    <w:p w:rsidR="009C2D55" w:rsidP="008C4CD3" w14:paraId="325C020F" w14:textId="77777777">
      <w:pPr>
        <w:pStyle w:val="ListParagraph"/>
        <w:numPr>
          <w:ilvl w:val="0"/>
          <w:numId w:val="2"/>
        </w:numPr>
        <w:tabs>
          <w:tab w:val="left" w:pos="1421"/>
        </w:tabs>
        <w:ind w:left="1421" w:hanging="420"/>
        <w:rPr>
          <w:sz w:val="24"/>
        </w:rPr>
      </w:pPr>
      <w:r>
        <w:rPr>
          <w:sz w:val="24"/>
          <w:u w:val="single"/>
        </w:rPr>
        <w:t>Exceptions</w:t>
      </w:r>
      <w:r>
        <w:rPr>
          <w:spacing w:val="-1"/>
          <w:sz w:val="24"/>
          <w:u w:val="single"/>
        </w:rPr>
        <w:t xml:space="preserve"> </w:t>
      </w:r>
      <w:r>
        <w:rPr>
          <w:sz w:val="24"/>
          <w:u w:val="single"/>
        </w:rPr>
        <w:t>to</w:t>
      </w:r>
      <w:r>
        <w:rPr>
          <w:spacing w:val="-4"/>
          <w:sz w:val="24"/>
          <w:u w:val="single"/>
        </w:rPr>
        <w:t xml:space="preserve"> </w:t>
      </w:r>
      <w:r>
        <w:rPr>
          <w:sz w:val="24"/>
          <w:u w:val="single"/>
        </w:rPr>
        <w:t>"Certification for</w:t>
      </w:r>
      <w:r>
        <w:rPr>
          <w:spacing w:val="-4"/>
          <w:sz w:val="24"/>
          <w:u w:val="single"/>
        </w:rPr>
        <w:t xml:space="preserve"> </w:t>
      </w:r>
      <w:r>
        <w:rPr>
          <w:sz w:val="24"/>
          <w:u w:val="single"/>
        </w:rPr>
        <w:t>Paperwork</w:t>
      </w:r>
      <w:r>
        <w:rPr>
          <w:spacing w:val="-9"/>
          <w:sz w:val="24"/>
          <w:u w:val="single"/>
        </w:rPr>
        <w:t xml:space="preserve"> </w:t>
      </w:r>
      <w:r>
        <w:rPr>
          <w:sz w:val="24"/>
          <w:u w:val="single"/>
        </w:rPr>
        <w:t>Reduction</w:t>
      </w:r>
      <w:r>
        <w:rPr>
          <w:spacing w:val="-9"/>
          <w:sz w:val="24"/>
          <w:u w:val="single"/>
        </w:rPr>
        <w:t xml:space="preserve"> </w:t>
      </w:r>
      <w:r>
        <w:rPr>
          <w:spacing w:val="-2"/>
          <w:sz w:val="24"/>
          <w:u w:val="single"/>
        </w:rPr>
        <w:t>Submissions"</w:t>
      </w:r>
    </w:p>
    <w:p w:rsidR="009C2D55" w14:paraId="0EC7BB9D" w14:textId="77777777">
      <w:pPr>
        <w:pStyle w:val="BodyText"/>
        <w:spacing w:before="4"/>
        <w:rPr>
          <w:sz w:val="17"/>
        </w:rPr>
      </w:pPr>
    </w:p>
    <w:p w:rsidR="009C2D55" w:rsidP="00DE02E2" w14:paraId="6730BB82" w14:textId="2337E949">
      <w:pPr>
        <w:spacing w:line="252" w:lineRule="auto"/>
        <w:rPr>
          <w:sz w:val="17"/>
        </w:rPr>
      </w:pPr>
      <w:r>
        <w:rPr>
          <w:sz w:val="23"/>
          <w:szCs w:val="23"/>
        </w:rPr>
        <w:t>The Coast Guard does not request an exception to the certification of this information collection.</w:t>
      </w:r>
    </w:p>
    <w:sectPr>
      <w:footerReference w:type="default" r:id="rId5"/>
      <w:pgSz w:w="12240" w:h="15840"/>
      <w:pgMar w:top="1820" w:right="1360" w:bottom="1240" w:left="1340" w:header="0" w:footer="10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D55" w14:paraId="4DBEC74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3811651</wp:posOffset>
              </wp:positionH>
              <wp:positionV relativeFrom="page">
                <wp:posOffset>9249176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9C2D55" w14:textId="77777777">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8.3pt;margin-left:300.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C2D55" w14:paraId="5D3D2927"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80279"/>
    <w:multiLevelType w:val="hybridMultilevel"/>
    <w:tmpl w:val="47D2B6E2"/>
    <w:lvl w:ilvl="0">
      <w:start w:val="14"/>
      <w:numFmt w:val="decimal"/>
      <w:lvlText w:val="%1."/>
      <w:lvlJc w:val="left"/>
      <w:pPr>
        <w:ind w:left="1361" w:hanging="360"/>
      </w:pPr>
      <w:rPr>
        <w:rFonts w:hint="default"/>
        <w:u w:val="single"/>
      </w:rPr>
    </w:lvl>
    <w:lvl w:ilvl="1" w:tentative="1">
      <w:start w:val="1"/>
      <w:numFmt w:val="lowerLetter"/>
      <w:lvlText w:val="%2."/>
      <w:lvlJc w:val="left"/>
      <w:pPr>
        <w:ind w:left="2081" w:hanging="360"/>
      </w:pPr>
    </w:lvl>
    <w:lvl w:ilvl="2" w:tentative="1">
      <w:start w:val="1"/>
      <w:numFmt w:val="lowerRoman"/>
      <w:lvlText w:val="%3."/>
      <w:lvlJc w:val="right"/>
      <w:pPr>
        <w:ind w:left="2801" w:hanging="180"/>
      </w:pPr>
    </w:lvl>
    <w:lvl w:ilvl="3" w:tentative="1">
      <w:start w:val="1"/>
      <w:numFmt w:val="decimal"/>
      <w:lvlText w:val="%4."/>
      <w:lvlJc w:val="left"/>
      <w:pPr>
        <w:ind w:left="3521" w:hanging="360"/>
      </w:pPr>
    </w:lvl>
    <w:lvl w:ilvl="4" w:tentative="1">
      <w:start w:val="1"/>
      <w:numFmt w:val="lowerLetter"/>
      <w:lvlText w:val="%5."/>
      <w:lvlJc w:val="left"/>
      <w:pPr>
        <w:ind w:left="4241" w:hanging="360"/>
      </w:pPr>
    </w:lvl>
    <w:lvl w:ilvl="5" w:tentative="1">
      <w:start w:val="1"/>
      <w:numFmt w:val="lowerRoman"/>
      <w:lvlText w:val="%6."/>
      <w:lvlJc w:val="right"/>
      <w:pPr>
        <w:ind w:left="4961" w:hanging="180"/>
      </w:pPr>
    </w:lvl>
    <w:lvl w:ilvl="6" w:tentative="1">
      <w:start w:val="1"/>
      <w:numFmt w:val="decimal"/>
      <w:lvlText w:val="%7."/>
      <w:lvlJc w:val="left"/>
      <w:pPr>
        <w:ind w:left="5681" w:hanging="360"/>
      </w:pPr>
    </w:lvl>
    <w:lvl w:ilvl="7" w:tentative="1">
      <w:start w:val="1"/>
      <w:numFmt w:val="lowerLetter"/>
      <w:lvlText w:val="%8."/>
      <w:lvlJc w:val="left"/>
      <w:pPr>
        <w:ind w:left="6401" w:hanging="360"/>
      </w:pPr>
    </w:lvl>
    <w:lvl w:ilvl="8" w:tentative="1">
      <w:start w:val="1"/>
      <w:numFmt w:val="lowerRoman"/>
      <w:lvlText w:val="%9."/>
      <w:lvlJc w:val="right"/>
      <w:pPr>
        <w:ind w:left="7121" w:hanging="180"/>
      </w:pPr>
    </w:lvl>
  </w:abstractNum>
  <w:abstractNum w:abstractNumId="1">
    <w:nsid w:val="202618E0"/>
    <w:multiLevelType w:val="hybridMultilevel"/>
    <w:tmpl w:val="FADC72D6"/>
    <w:lvl w:ilvl="0">
      <w:start w:val="1"/>
      <w:numFmt w:val="decimal"/>
      <w:lvlText w:val="%1."/>
      <w:lvlJc w:val="left"/>
      <w:pPr>
        <w:ind w:left="1301"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0" w:hanging="28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1740" w:hanging="285"/>
      </w:pPr>
      <w:rPr>
        <w:rFonts w:hint="default"/>
        <w:lang w:val="en-US" w:eastAsia="en-US" w:bidi="ar-SA"/>
      </w:rPr>
    </w:lvl>
    <w:lvl w:ilvl="3">
      <w:start w:val="0"/>
      <w:numFmt w:val="bullet"/>
      <w:lvlText w:val="•"/>
      <w:lvlJc w:val="left"/>
      <w:pPr>
        <w:ind w:left="2715" w:hanging="285"/>
      </w:pPr>
      <w:rPr>
        <w:rFonts w:hint="default"/>
        <w:lang w:val="en-US" w:eastAsia="en-US" w:bidi="ar-SA"/>
      </w:rPr>
    </w:lvl>
    <w:lvl w:ilvl="4">
      <w:start w:val="0"/>
      <w:numFmt w:val="bullet"/>
      <w:lvlText w:val="•"/>
      <w:lvlJc w:val="left"/>
      <w:pPr>
        <w:ind w:left="3690" w:hanging="285"/>
      </w:pPr>
      <w:rPr>
        <w:rFonts w:hint="default"/>
        <w:lang w:val="en-US" w:eastAsia="en-US" w:bidi="ar-SA"/>
      </w:rPr>
    </w:lvl>
    <w:lvl w:ilvl="5">
      <w:start w:val="0"/>
      <w:numFmt w:val="bullet"/>
      <w:lvlText w:val="•"/>
      <w:lvlJc w:val="left"/>
      <w:pPr>
        <w:ind w:left="4665" w:hanging="285"/>
      </w:pPr>
      <w:rPr>
        <w:rFonts w:hint="default"/>
        <w:lang w:val="en-US" w:eastAsia="en-US" w:bidi="ar-SA"/>
      </w:rPr>
    </w:lvl>
    <w:lvl w:ilvl="6">
      <w:start w:val="0"/>
      <w:numFmt w:val="bullet"/>
      <w:lvlText w:val="•"/>
      <w:lvlJc w:val="left"/>
      <w:pPr>
        <w:ind w:left="5640" w:hanging="285"/>
      </w:pPr>
      <w:rPr>
        <w:rFonts w:hint="default"/>
        <w:lang w:val="en-US" w:eastAsia="en-US" w:bidi="ar-SA"/>
      </w:rPr>
    </w:lvl>
    <w:lvl w:ilvl="7">
      <w:start w:val="0"/>
      <w:numFmt w:val="bullet"/>
      <w:lvlText w:val="•"/>
      <w:lvlJc w:val="left"/>
      <w:pPr>
        <w:ind w:left="6615" w:hanging="285"/>
      </w:pPr>
      <w:rPr>
        <w:rFonts w:hint="default"/>
        <w:lang w:val="en-US" w:eastAsia="en-US" w:bidi="ar-SA"/>
      </w:rPr>
    </w:lvl>
    <w:lvl w:ilvl="8">
      <w:start w:val="0"/>
      <w:numFmt w:val="bullet"/>
      <w:lvlText w:val="•"/>
      <w:lvlJc w:val="left"/>
      <w:pPr>
        <w:ind w:left="7590" w:hanging="285"/>
      </w:pPr>
      <w:rPr>
        <w:rFonts w:hint="default"/>
        <w:lang w:val="en-US" w:eastAsia="en-US" w:bidi="ar-SA"/>
      </w:rPr>
    </w:lvl>
  </w:abstractNum>
  <w:num w:numId="1" w16cid:durableId="1970822733">
    <w:abstractNumId w:val="1"/>
  </w:num>
  <w:num w:numId="2" w16cid:durableId="144265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55"/>
    <w:rsid w:val="000232C7"/>
    <w:rsid w:val="00045BA9"/>
    <w:rsid w:val="000E3D02"/>
    <w:rsid w:val="001E0148"/>
    <w:rsid w:val="00264F71"/>
    <w:rsid w:val="002819AF"/>
    <w:rsid w:val="00370D55"/>
    <w:rsid w:val="003B47C8"/>
    <w:rsid w:val="003D4843"/>
    <w:rsid w:val="00425423"/>
    <w:rsid w:val="00437069"/>
    <w:rsid w:val="00455E4D"/>
    <w:rsid w:val="005029EB"/>
    <w:rsid w:val="006C46BC"/>
    <w:rsid w:val="006D6CAA"/>
    <w:rsid w:val="00711153"/>
    <w:rsid w:val="0072376E"/>
    <w:rsid w:val="00757250"/>
    <w:rsid w:val="00786EEC"/>
    <w:rsid w:val="00810ED3"/>
    <w:rsid w:val="0083390C"/>
    <w:rsid w:val="008C4CD3"/>
    <w:rsid w:val="00902A97"/>
    <w:rsid w:val="009C2D55"/>
    <w:rsid w:val="009D1D44"/>
    <w:rsid w:val="00A12E6B"/>
    <w:rsid w:val="00A2585E"/>
    <w:rsid w:val="00A97B81"/>
    <w:rsid w:val="00AA7F1C"/>
    <w:rsid w:val="00AB3E7E"/>
    <w:rsid w:val="00AB711E"/>
    <w:rsid w:val="00B25A76"/>
    <w:rsid w:val="00B32EDB"/>
    <w:rsid w:val="00B67DC3"/>
    <w:rsid w:val="00BA53FF"/>
    <w:rsid w:val="00BB3D07"/>
    <w:rsid w:val="00C948E2"/>
    <w:rsid w:val="00CA6A82"/>
    <w:rsid w:val="00D6751E"/>
    <w:rsid w:val="00D77722"/>
    <w:rsid w:val="00DB584A"/>
    <w:rsid w:val="00DE02E2"/>
    <w:rsid w:val="00DE0635"/>
    <w:rsid w:val="00E30A94"/>
    <w:rsid w:val="00ED3156"/>
    <w:rsid w:val="00F278FF"/>
    <w:rsid w:val="00FD1F6F"/>
    <w:rsid w:val="00FF7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A85A8"/>
  <w15:docId w15:val="{C8C479DE-5569-4CE3-A82A-C0D46408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381" w:right="2368"/>
      <w:jc w:val="center"/>
    </w:pPr>
    <w:rPr>
      <w:b/>
      <w:bCs/>
      <w:sz w:val="24"/>
      <w:szCs w:val="24"/>
      <w:u w:val="single" w:color="000000"/>
    </w:rPr>
  </w:style>
  <w:style w:type="paragraph" w:styleId="ListParagraph">
    <w:name w:val="List Paragraph"/>
    <w:basedOn w:val="Normal"/>
    <w:uiPriority w:val="1"/>
    <w:qFormat/>
    <w:pPr>
      <w:ind w:left="1301" w:hanging="300"/>
    </w:pPr>
  </w:style>
  <w:style w:type="paragraph" w:customStyle="1" w:styleId="TableParagraph">
    <w:name w:val="Table Paragraph"/>
    <w:basedOn w:val="Normal"/>
    <w:uiPriority w:val="1"/>
    <w:qFormat/>
  </w:style>
  <w:style w:type="paragraph" w:customStyle="1" w:styleId="Default">
    <w:name w:val="Default"/>
    <w:rsid w:val="00A12E6B"/>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11153"/>
    <w:rPr>
      <w:color w:val="0000FF"/>
      <w:u w:val="single"/>
    </w:rPr>
  </w:style>
  <w:style w:type="character" w:styleId="CommentReference">
    <w:name w:val="annotation reference"/>
    <w:basedOn w:val="DefaultParagraphFont"/>
    <w:uiPriority w:val="99"/>
    <w:semiHidden/>
    <w:unhideWhenUsed/>
    <w:rsid w:val="00786EEC"/>
    <w:rPr>
      <w:sz w:val="16"/>
      <w:szCs w:val="16"/>
    </w:rPr>
  </w:style>
  <w:style w:type="paragraph" w:styleId="CommentText">
    <w:name w:val="annotation text"/>
    <w:basedOn w:val="Normal"/>
    <w:link w:val="CommentTextChar"/>
    <w:uiPriority w:val="99"/>
    <w:unhideWhenUsed/>
    <w:rsid w:val="00786EEC"/>
    <w:rPr>
      <w:sz w:val="20"/>
      <w:szCs w:val="20"/>
    </w:rPr>
  </w:style>
  <w:style w:type="character" w:customStyle="1" w:styleId="CommentTextChar">
    <w:name w:val="Comment Text Char"/>
    <w:basedOn w:val="DefaultParagraphFont"/>
    <w:link w:val="CommentText"/>
    <w:uiPriority w:val="99"/>
    <w:rsid w:val="00786E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EEC"/>
    <w:rPr>
      <w:b/>
      <w:bCs/>
    </w:rPr>
  </w:style>
  <w:style w:type="character" w:customStyle="1" w:styleId="CommentSubjectChar">
    <w:name w:val="Comment Subject Char"/>
    <w:basedOn w:val="CommentTextChar"/>
    <w:link w:val="CommentSubject"/>
    <w:uiPriority w:val="99"/>
    <w:semiHidden/>
    <w:rsid w:val="00786E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hs.gov/sites/default/files/publications/privacy_pia_uscg_noadupdate_0.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lastModifiedBy>Craig, Albert L CIV USCG COMDT (USA)</cp:lastModifiedBy>
  <cp:revision>2</cp:revision>
  <dcterms:created xsi:type="dcterms:W3CDTF">2024-07-16T12:21:00Z</dcterms:created>
  <dcterms:modified xsi:type="dcterms:W3CDTF">2024-07-16T12:21:00Z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LastSaved">
    <vt:filetime>2023-11-16T00:00:00Z</vt:filetime>
  </property>
  <property fmtid="{D5CDD505-2E9C-101B-9397-08002B2CF9AE}" pid="4" name="MSIP_Label_a2eef23d-2e95-4428-9a3c-2526d95b164a_ActionId">
    <vt:lpwstr>327f3d3f-1f72-4412-9f50-30278561d03a</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2023-11-16T17:07:54Z</vt:lpwstr>
  </property>
  <property fmtid="{D5CDD505-2E9C-101B-9397-08002B2CF9AE}" pid="10" name="MSIP_Label_a2eef23d-2e95-4428-9a3c-2526d95b164a_SiteId">
    <vt:lpwstr>3ccde76c-946d-4a12-bb7a-fc9d0842354a</vt:lpwstr>
  </property>
</Properties>
</file>