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C32062" w:rsidP="00C32062" w14:paraId="358AC355" w14:textId="54B45251">
      <w:pPr>
        <w:spacing w:line="276" w:lineRule="auto"/>
        <w:contextualSpacing/>
        <w:jc w:val="right"/>
        <w:rPr>
          <w:rFonts w:cs="Times New Roman"/>
          <w:b/>
          <w:bCs/>
          <w:sz w:val="28"/>
          <w:szCs w:val="28"/>
        </w:rPr>
      </w:pPr>
      <w:r>
        <w:rPr>
          <w:rFonts w:cs="Times New Roman"/>
          <w:b/>
          <w:bCs/>
          <w:sz w:val="28"/>
          <w:szCs w:val="28"/>
        </w:rPr>
        <w:t>August 14</w:t>
      </w:r>
      <w:r w:rsidRPr="190F8D64" w:rsidR="001D1334">
        <w:rPr>
          <w:rFonts w:cs="Times New Roman"/>
          <w:b/>
          <w:bCs/>
          <w:sz w:val="28"/>
          <w:szCs w:val="28"/>
        </w:rPr>
        <w:t>, 2024</w:t>
      </w:r>
    </w:p>
    <w:p w:rsidR="00635E63" w:rsidRPr="00C32062" w:rsidP="00C32062" w14:paraId="5E1D898C" w14:textId="2E32B114">
      <w:pPr>
        <w:spacing w:line="276" w:lineRule="auto"/>
        <w:contextualSpacing/>
        <w:rPr>
          <w:rFonts w:cs="Times New Roman"/>
          <w:b/>
          <w:bCs/>
          <w:sz w:val="28"/>
          <w:szCs w:val="28"/>
        </w:rPr>
      </w:pPr>
    </w:p>
    <w:p w:rsidR="00635E63" w:rsidRPr="00C32062" w:rsidP="00C32062" w14:paraId="69C01159" w14:textId="12A20CE1">
      <w:pPr>
        <w:spacing w:line="276" w:lineRule="auto"/>
        <w:contextualSpacing/>
        <w:jc w:val="center"/>
        <w:rPr>
          <w:rFonts w:cs="Times New Roman"/>
          <w:b/>
          <w:bCs/>
          <w:sz w:val="32"/>
          <w:szCs w:val="32"/>
        </w:rPr>
      </w:pPr>
      <w:r w:rsidRPr="00C32062">
        <w:rPr>
          <w:rFonts w:cs="Times New Roman"/>
          <w:b/>
          <w:bCs/>
          <w:sz w:val="32"/>
          <w:szCs w:val="32"/>
        </w:rPr>
        <w:t>Supporting Statement for</w:t>
      </w:r>
      <w:r w:rsidRPr="00C32062">
        <w:rPr>
          <w:rFonts w:cs="Times New Roman"/>
          <w:b/>
          <w:bCs/>
          <w:sz w:val="32"/>
          <w:szCs w:val="32"/>
        </w:rPr>
        <w:br/>
        <w:t>Paperwork Reduction Act Submissions</w:t>
      </w:r>
    </w:p>
    <w:p w:rsidR="00635E63" w:rsidRPr="00C32062" w:rsidP="00C32062" w14:paraId="6DD4DBBE" w14:textId="19FEF738">
      <w:pPr>
        <w:spacing w:line="276" w:lineRule="auto"/>
        <w:contextualSpacing/>
        <w:rPr>
          <w:rFonts w:cs="Times New Roman"/>
          <w:b/>
          <w:bCs/>
          <w:sz w:val="28"/>
          <w:szCs w:val="28"/>
        </w:rPr>
      </w:pPr>
    </w:p>
    <w:p w:rsidR="00635E63" w:rsidRPr="008518A1" w:rsidP="00C32062" w14:paraId="655EE819" w14:textId="49DBB977">
      <w:pPr>
        <w:spacing w:line="276" w:lineRule="auto"/>
        <w:contextualSpacing/>
        <w:rPr>
          <w:rFonts w:cs="Times New Roman"/>
          <w:b/>
          <w:bCs/>
          <w:color w:val="000000" w:themeColor="text1"/>
          <w:sz w:val="28"/>
          <w:szCs w:val="28"/>
        </w:rPr>
      </w:pPr>
      <w:r w:rsidRPr="00C32062">
        <w:rPr>
          <w:rFonts w:cs="Times New Roman"/>
          <w:b/>
          <w:bCs/>
          <w:sz w:val="28"/>
          <w:szCs w:val="28"/>
        </w:rPr>
        <w:t xml:space="preserve">OMB Control Number:  </w:t>
      </w:r>
      <w:r w:rsidRPr="008518A1">
        <w:rPr>
          <w:rFonts w:cs="Times New Roman"/>
          <w:b/>
          <w:bCs/>
          <w:color w:val="000000" w:themeColor="text1"/>
          <w:sz w:val="28"/>
          <w:szCs w:val="28"/>
        </w:rPr>
        <w:t>1660-</w:t>
      </w:r>
      <w:r w:rsidRPr="008518A1" w:rsidR="001F2F7F">
        <w:rPr>
          <w:rFonts w:cs="Times New Roman"/>
          <w:b/>
          <w:bCs/>
          <w:color w:val="000000" w:themeColor="text1"/>
          <w:sz w:val="28"/>
          <w:szCs w:val="28"/>
        </w:rPr>
        <w:t>0006</w:t>
      </w:r>
    </w:p>
    <w:p w:rsidR="00635E63" w:rsidRPr="008518A1" w:rsidP="00C32062" w14:paraId="380664B6" w14:textId="68525FCC">
      <w:pPr>
        <w:spacing w:line="276" w:lineRule="auto"/>
        <w:contextualSpacing/>
        <w:rPr>
          <w:rFonts w:cs="Times New Roman"/>
          <w:b/>
          <w:bCs/>
          <w:color w:val="000000" w:themeColor="text1"/>
          <w:sz w:val="28"/>
          <w:szCs w:val="28"/>
        </w:rPr>
      </w:pPr>
    </w:p>
    <w:p w:rsidR="00635E63" w:rsidRPr="008518A1" w:rsidP="00C32062" w14:paraId="3B321277" w14:textId="04758E51">
      <w:pPr>
        <w:spacing w:line="276" w:lineRule="auto"/>
        <w:contextualSpacing/>
        <w:rPr>
          <w:rFonts w:cs="Times New Roman"/>
          <w:b/>
          <w:bCs/>
          <w:color w:val="000000" w:themeColor="text1"/>
          <w:sz w:val="28"/>
          <w:szCs w:val="28"/>
        </w:rPr>
      </w:pPr>
      <w:r w:rsidRPr="008518A1">
        <w:rPr>
          <w:rFonts w:cs="Times New Roman"/>
          <w:b/>
          <w:bCs/>
          <w:color w:val="000000" w:themeColor="text1"/>
          <w:sz w:val="28"/>
          <w:szCs w:val="28"/>
        </w:rPr>
        <w:t>Title:</w:t>
      </w:r>
      <w:r w:rsidRPr="008518A1" w:rsidR="00BE238B">
        <w:rPr>
          <w:rFonts w:cs="Times New Roman"/>
          <w:b/>
          <w:bCs/>
          <w:color w:val="000000" w:themeColor="text1"/>
          <w:sz w:val="28"/>
          <w:szCs w:val="28"/>
        </w:rPr>
        <w:t xml:space="preserve">  </w:t>
      </w:r>
      <w:r w:rsidRPr="008518A1" w:rsidR="000D7C1F">
        <w:rPr>
          <w:rFonts w:cs="Times New Roman"/>
          <w:b/>
          <w:color w:val="000000" w:themeColor="text1"/>
          <w:sz w:val="28"/>
          <w:szCs w:val="28"/>
        </w:rPr>
        <w:t>National Flood Insurance Program Policy Forms</w:t>
      </w:r>
    </w:p>
    <w:p w:rsidR="00635E63" w:rsidRPr="008518A1" w:rsidP="00C32062" w14:paraId="57212962" w14:textId="2E3D7423">
      <w:pPr>
        <w:spacing w:line="276" w:lineRule="auto"/>
        <w:contextualSpacing/>
        <w:rPr>
          <w:rFonts w:cs="Times New Roman"/>
          <w:b/>
          <w:bCs/>
          <w:color w:val="000000" w:themeColor="text1"/>
          <w:sz w:val="28"/>
          <w:szCs w:val="28"/>
        </w:rPr>
      </w:pPr>
    </w:p>
    <w:p w:rsidR="00635E63" w:rsidRPr="008518A1" w:rsidP="00C32062" w14:paraId="069D2CE6" w14:textId="0C35A1D7">
      <w:pPr>
        <w:spacing w:line="276" w:lineRule="auto"/>
        <w:contextualSpacing/>
        <w:rPr>
          <w:rFonts w:cs="Times New Roman"/>
          <w:b/>
          <w:bCs/>
          <w:color w:val="000000" w:themeColor="text1"/>
          <w:sz w:val="28"/>
          <w:szCs w:val="28"/>
        </w:rPr>
      </w:pPr>
      <w:r w:rsidRPr="008518A1">
        <w:rPr>
          <w:rFonts w:cs="Times New Roman"/>
          <w:b/>
          <w:bCs/>
          <w:color w:val="000000" w:themeColor="text1"/>
          <w:sz w:val="28"/>
          <w:szCs w:val="28"/>
        </w:rPr>
        <w:t>Form Number(s):</w:t>
      </w:r>
    </w:p>
    <w:p w:rsidR="001F3869" w:rsidRPr="008518A1" w:rsidP="00C32062" w14:paraId="5AFFAC85" w14:textId="68204000">
      <w:pPr>
        <w:pStyle w:val="ListParagraph"/>
        <w:numPr>
          <w:ilvl w:val="0"/>
          <w:numId w:val="5"/>
        </w:numPr>
        <w:spacing w:line="276" w:lineRule="auto"/>
        <w:rPr>
          <w:rFonts w:cs="Times New Roman"/>
          <w:b/>
          <w:bCs/>
          <w:color w:val="000000" w:themeColor="text1"/>
          <w:szCs w:val="24"/>
        </w:rPr>
      </w:pPr>
      <w:r w:rsidRPr="008518A1">
        <w:rPr>
          <w:rFonts w:cs="Times New Roman"/>
          <w:b/>
          <w:bCs/>
          <w:color w:val="000000" w:themeColor="text1"/>
          <w:szCs w:val="24"/>
        </w:rPr>
        <w:t>FEMA Form FF-206-FY-21-117 (formerly 086-0-1), Flood Insurance Application;</w:t>
      </w:r>
    </w:p>
    <w:p w:rsidR="001F3869" w:rsidRPr="008518A1" w:rsidP="00C32062" w14:paraId="1D8A5CF6" w14:textId="77777777">
      <w:pPr>
        <w:pStyle w:val="ListParagraph"/>
        <w:numPr>
          <w:ilvl w:val="0"/>
          <w:numId w:val="5"/>
        </w:numPr>
        <w:spacing w:line="276" w:lineRule="auto"/>
        <w:rPr>
          <w:rFonts w:cs="Times New Roman"/>
          <w:b/>
          <w:bCs/>
          <w:color w:val="000000" w:themeColor="text1"/>
          <w:szCs w:val="24"/>
        </w:rPr>
      </w:pPr>
      <w:r w:rsidRPr="008518A1">
        <w:rPr>
          <w:rFonts w:cs="Times New Roman"/>
          <w:b/>
          <w:bCs/>
          <w:color w:val="000000" w:themeColor="text1"/>
          <w:szCs w:val="24"/>
        </w:rPr>
        <w:t>FEMA Form FF-206-FY-21-118 (formerly 086-0-2), Flood Insurance Cancellation / Nullification Request Form;</w:t>
      </w:r>
    </w:p>
    <w:p w:rsidR="001F3869" w:rsidRPr="00C32062" w:rsidP="00C32062" w14:paraId="601CF965" w14:textId="77777777">
      <w:pPr>
        <w:pStyle w:val="ListParagraph"/>
        <w:numPr>
          <w:ilvl w:val="0"/>
          <w:numId w:val="5"/>
        </w:numPr>
        <w:spacing w:line="276" w:lineRule="auto"/>
        <w:rPr>
          <w:rFonts w:cs="Times New Roman"/>
          <w:b/>
          <w:bCs/>
          <w:szCs w:val="24"/>
        </w:rPr>
      </w:pPr>
      <w:r w:rsidRPr="008518A1">
        <w:rPr>
          <w:rFonts w:cs="Times New Roman"/>
          <w:b/>
          <w:bCs/>
          <w:color w:val="000000" w:themeColor="text1"/>
          <w:szCs w:val="24"/>
        </w:rPr>
        <w:t xml:space="preserve">FEMA Form FF-206-FY-21-119 (formerly 086-0-3), Flood Insurance General </w:t>
      </w:r>
      <w:r w:rsidRPr="00C32062">
        <w:rPr>
          <w:rFonts w:cs="Times New Roman"/>
          <w:b/>
          <w:bCs/>
          <w:szCs w:val="24"/>
        </w:rPr>
        <w:t xml:space="preserve">Change Endorsement; and </w:t>
      </w:r>
    </w:p>
    <w:p w:rsidR="001F3869" w:rsidRPr="00C32062" w:rsidP="00C32062" w14:paraId="52988217" w14:textId="21DCCC5A">
      <w:pPr>
        <w:pStyle w:val="ListParagraph"/>
        <w:numPr>
          <w:ilvl w:val="0"/>
          <w:numId w:val="5"/>
        </w:numPr>
        <w:spacing w:line="276" w:lineRule="auto"/>
        <w:rPr>
          <w:rFonts w:cs="Times New Roman"/>
          <w:b/>
          <w:bCs/>
          <w:szCs w:val="24"/>
        </w:rPr>
      </w:pPr>
      <w:r w:rsidRPr="00C32062">
        <w:rPr>
          <w:rFonts w:cs="Times New Roman"/>
          <w:b/>
          <w:bCs/>
          <w:szCs w:val="24"/>
        </w:rPr>
        <w:t xml:space="preserve">FEMA Form </w:t>
      </w:r>
      <w:r w:rsidRPr="008969C8">
        <w:rPr>
          <w:rFonts w:cs="Times New Roman"/>
          <w:b/>
          <w:bCs/>
          <w:color w:val="000000" w:themeColor="text1"/>
          <w:szCs w:val="24"/>
        </w:rPr>
        <w:t>FF-</w:t>
      </w:r>
      <w:r w:rsidRPr="008969C8" w:rsidR="000D6DD3">
        <w:rPr>
          <w:rFonts w:cs="Times New Roman"/>
          <w:b/>
          <w:bCs/>
          <w:color w:val="000000" w:themeColor="text1"/>
          <w:szCs w:val="24"/>
        </w:rPr>
        <w:t>206</w:t>
      </w:r>
      <w:r w:rsidRPr="008969C8">
        <w:rPr>
          <w:rFonts w:cs="Times New Roman"/>
          <w:b/>
          <w:bCs/>
          <w:color w:val="000000" w:themeColor="text1"/>
          <w:szCs w:val="24"/>
        </w:rPr>
        <w:t>-FY-</w:t>
      </w:r>
      <w:r w:rsidRPr="008969C8" w:rsidR="000D6DD3">
        <w:rPr>
          <w:rFonts w:cs="Times New Roman"/>
          <w:b/>
          <w:bCs/>
          <w:color w:val="000000" w:themeColor="text1"/>
          <w:szCs w:val="24"/>
        </w:rPr>
        <w:t>24</w:t>
      </w:r>
      <w:r w:rsidRPr="008969C8">
        <w:rPr>
          <w:rFonts w:cs="Times New Roman"/>
          <w:b/>
          <w:bCs/>
          <w:color w:val="000000" w:themeColor="text1"/>
          <w:szCs w:val="24"/>
        </w:rPr>
        <w:t>-</w:t>
      </w:r>
      <w:r w:rsidRPr="008969C8" w:rsidR="00396609">
        <w:rPr>
          <w:rFonts w:cs="Times New Roman"/>
          <w:b/>
          <w:bCs/>
          <w:color w:val="000000" w:themeColor="text1"/>
          <w:szCs w:val="24"/>
        </w:rPr>
        <w:t>103</w:t>
      </w:r>
      <w:r w:rsidRPr="008969C8">
        <w:rPr>
          <w:rFonts w:cs="Times New Roman"/>
          <w:b/>
          <w:bCs/>
          <w:color w:val="000000" w:themeColor="text1"/>
          <w:szCs w:val="24"/>
        </w:rPr>
        <w:t xml:space="preserve">, e-Flood </w:t>
      </w:r>
      <w:r w:rsidRPr="00C32062">
        <w:rPr>
          <w:rFonts w:cs="Times New Roman"/>
          <w:b/>
          <w:bCs/>
          <w:szCs w:val="24"/>
        </w:rPr>
        <w:t>Insurance Application.</w:t>
      </w:r>
    </w:p>
    <w:p w:rsidR="00635E63" w:rsidRPr="00C32062" w:rsidP="00C32062" w14:paraId="10BF2149" w14:textId="0F6CAC3D">
      <w:pPr>
        <w:spacing w:line="276" w:lineRule="auto"/>
        <w:contextualSpacing/>
        <w:rPr>
          <w:rFonts w:cs="Times New Roman"/>
          <w:b/>
          <w:bCs/>
          <w:sz w:val="28"/>
          <w:szCs w:val="28"/>
        </w:rPr>
      </w:pPr>
    </w:p>
    <w:p w:rsidR="00635E63" w:rsidRPr="00C32062" w:rsidP="00C32062" w14:paraId="571854E9" w14:textId="2C66384A">
      <w:pPr>
        <w:spacing w:line="276" w:lineRule="auto"/>
        <w:contextualSpacing/>
        <w:rPr>
          <w:rFonts w:cs="Times New Roman"/>
          <w:b/>
          <w:bCs/>
          <w:sz w:val="28"/>
          <w:szCs w:val="28"/>
        </w:rPr>
      </w:pPr>
      <w:r w:rsidRPr="00C32062">
        <w:rPr>
          <w:rFonts w:cs="Times New Roman"/>
          <w:b/>
          <w:bCs/>
          <w:sz w:val="28"/>
          <w:szCs w:val="28"/>
        </w:rPr>
        <w:t>General Instructions</w:t>
      </w:r>
    </w:p>
    <w:p w:rsidR="00635E63" w:rsidRPr="00C32062" w:rsidP="00C32062" w14:paraId="688A3A8F" w14:textId="19F56B53">
      <w:pPr>
        <w:spacing w:line="276" w:lineRule="auto"/>
        <w:contextualSpacing/>
        <w:rPr>
          <w:rFonts w:cs="Times New Roman"/>
        </w:rPr>
      </w:pPr>
    </w:p>
    <w:p w:rsidR="00635E63" w:rsidRPr="00C32062" w:rsidP="00C32062" w14:paraId="77230DCA" w14:textId="384427A0">
      <w:pPr>
        <w:spacing w:line="276" w:lineRule="auto"/>
        <w:contextualSpacing/>
        <w:rPr>
          <w:rFonts w:cs="Times New Roman"/>
        </w:rPr>
      </w:pPr>
      <w:r w:rsidRPr="190F8D64">
        <w:rPr>
          <w:rFonts w:cs="Times New Roman"/>
        </w:rPr>
        <w:t>A Supporting Statement, including the text of the notice to the public required by 5 CFR 1320.5(a)(</w:t>
      </w:r>
      <w:r w:rsidRPr="190F8D64" w:rsidR="006F4198">
        <w:rPr>
          <w:rFonts w:cs="Times New Roman"/>
        </w:rPr>
        <w:t>1</w:t>
      </w:r>
      <w:r w:rsidRPr="190F8D64">
        <w:rPr>
          <w:rFonts w:cs="Times New Roman"/>
        </w:rPr>
        <w:t xml:space="preserve">)(iv) and its actual or estimated date of publication in the Federal Register, must accompany </w:t>
      </w:r>
      <w:r w:rsidRPr="190F8D64" w:rsidR="00B964A9">
        <w:rPr>
          <w:rFonts w:cs="Times New Roman"/>
        </w:rPr>
        <w:t xml:space="preserve">each </w:t>
      </w:r>
      <w:r w:rsidRPr="190F8D64">
        <w:rPr>
          <w:rFonts w:cs="Times New Roman"/>
        </w:rPr>
        <w:t xml:space="preserve">request for approval of a collection of information.  The Supporting Statement must be prepared in the format described </w:t>
      </w:r>
      <w:bookmarkStart w:id="0" w:name="_Int_OMYN2yeW"/>
      <w:r w:rsidRPr="190F8D64">
        <w:rPr>
          <w:rFonts w:cs="Times New Roman"/>
        </w:rPr>
        <w:t>below, and</w:t>
      </w:r>
      <w:bookmarkEnd w:id="0"/>
      <w:r w:rsidRPr="190F8D64">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C32062" w:rsidP="00C32062" w14:paraId="253F6323" w14:textId="0BCB0631">
      <w:pPr>
        <w:spacing w:line="276" w:lineRule="auto"/>
        <w:contextualSpacing/>
        <w:rPr>
          <w:rFonts w:cs="Times New Roman"/>
        </w:rPr>
      </w:pPr>
    </w:p>
    <w:p w:rsidR="00635E63" w:rsidRPr="00C32062" w:rsidP="00C32062" w14:paraId="06B94A10" w14:textId="056F07B5">
      <w:pPr>
        <w:spacing w:line="276" w:lineRule="auto"/>
        <w:contextualSpacing/>
        <w:rPr>
          <w:rFonts w:cs="Times New Roman"/>
          <w:b/>
          <w:bCs/>
          <w:sz w:val="28"/>
          <w:szCs w:val="28"/>
        </w:rPr>
      </w:pPr>
      <w:r w:rsidRPr="00C32062">
        <w:rPr>
          <w:rFonts w:cs="Times New Roman"/>
          <w:b/>
          <w:bCs/>
          <w:sz w:val="28"/>
          <w:szCs w:val="28"/>
        </w:rPr>
        <w:t>Specific Instructions</w:t>
      </w:r>
    </w:p>
    <w:p w:rsidR="00635E63" w:rsidRPr="00C32062" w:rsidP="00C32062" w14:paraId="09AC5D79" w14:textId="77777777">
      <w:pPr>
        <w:spacing w:line="276" w:lineRule="auto"/>
        <w:contextualSpacing/>
        <w:rPr>
          <w:rFonts w:cs="Times New Roman"/>
          <w:sz w:val="28"/>
          <w:szCs w:val="28"/>
        </w:rPr>
      </w:pPr>
    </w:p>
    <w:p w:rsidR="00635E63" w:rsidRPr="00C32062" w:rsidP="00C32062" w14:paraId="174C5989" w14:textId="4D9F4667">
      <w:pPr>
        <w:spacing w:line="276" w:lineRule="auto"/>
        <w:contextualSpacing/>
        <w:rPr>
          <w:rFonts w:cs="Times New Roman"/>
          <w:b/>
          <w:bCs/>
          <w:sz w:val="28"/>
          <w:szCs w:val="28"/>
        </w:rPr>
      </w:pPr>
      <w:r w:rsidRPr="00C32062">
        <w:rPr>
          <w:rFonts w:cs="Times New Roman"/>
          <w:b/>
          <w:bCs/>
          <w:sz w:val="28"/>
          <w:szCs w:val="28"/>
        </w:rPr>
        <w:t>A.  Justification</w:t>
      </w:r>
    </w:p>
    <w:p w:rsidR="00635E63" w:rsidRPr="00C32062" w:rsidP="00C32062" w14:paraId="6E72C0CF" w14:textId="11FD7BC5">
      <w:pPr>
        <w:spacing w:line="276" w:lineRule="auto"/>
        <w:contextualSpacing/>
        <w:rPr>
          <w:rFonts w:cs="Times New Roman"/>
        </w:rPr>
      </w:pPr>
    </w:p>
    <w:p w:rsidR="00635E63" w:rsidRPr="00C32062" w:rsidP="00C32062" w14:paraId="4481E81E" w14:textId="47574CF9">
      <w:pPr>
        <w:pStyle w:val="ListParagraph"/>
        <w:numPr>
          <w:ilvl w:val="0"/>
          <w:numId w:val="6"/>
        </w:numPr>
        <w:spacing w:line="276" w:lineRule="auto"/>
        <w:rPr>
          <w:rFonts w:cs="Times New Roman"/>
          <w:b/>
          <w:bCs/>
          <w:szCs w:val="24"/>
        </w:rPr>
      </w:pPr>
      <w:r w:rsidRPr="00C32062">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C32062" w:rsidR="00B17A38">
        <w:rPr>
          <w:rFonts w:cs="Times New Roman"/>
          <w:b/>
          <w:bCs/>
          <w:szCs w:val="24"/>
        </w:rPr>
        <w:t>ch statute and regulation mandating or authorizing the collection of information.  Provide a detailed description of the nature and source of the information to be collected.</w:t>
      </w:r>
    </w:p>
    <w:p w:rsidR="00174B16" w:rsidRPr="00C32062" w:rsidP="00C32062" w14:paraId="059F20DD" w14:textId="08250C35">
      <w:pPr>
        <w:spacing w:line="276" w:lineRule="auto"/>
        <w:contextualSpacing/>
        <w:rPr>
          <w:rFonts w:cs="Times New Roman"/>
          <w:szCs w:val="24"/>
        </w:rPr>
      </w:pPr>
    </w:p>
    <w:p w:rsidR="00444437" w:rsidRPr="00C32062" w:rsidP="008518A1" w14:paraId="448900A1" w14:textId="217EA8F1">
      <w:pPr>
        <w:tabs>
          <w:tab w:val="left" w:pos="-720"/>
        </w:tabs>
        <w:suppressAutoHyphens/>
        <w:spacing w:line="276" w:lineRule="auto"/>
        <w:contextualSpacing/>
        <w:rPr>
          <w:rFonts w:cs="Times New Roman"/>
          <w:spacing w:val="-3"/>
          <w:szCs w:val="24"/>
        </w:rPr>
      </w:pPr>
      <w:r w:rsidRPr="00C32062">
        <w:rPr>
          <w:rFonts w:cs="Times New Roman"/>
          <w:spacing w:val="-3"/>
          <w:szCs w:val="24"/>
        </w:rPr>
        <w:t xml:space="preserve">Congress created the National Flood Insurance Program (NFIP) through enactment of the National Flood Insurance Act of 1968 (NFIA) (Title XIII of Pub. L. 90-448), found at 42 U.S.C. </w:t>
      </w:r>
      <w:r w:rsidRPr="00C32062" w:rsidR="004F1941">
        <w:rPr>
          <w:rFonts w:cs="Times New Roman"/>
          <w:spacing w:val="-3"/>
          <w:szCs w:val="24"/>
        </w:rPr>
        <w:t xml:space="preserve">§ </w:t>
      </w:r>
      <w:r w:rsidRPr="00C32062">
        <w:rPr>
          <w:rFonts w:cs="Times New Roman"/>
          <w:spacing w:val="-3"/>
          <w:szCs w:val="24"/>
        </w:rPr>
        <w:t>4001</w:t>
      </w:r>
      <w:r w:rsidRPr="00C32062" w:rsidR="004F1941">
        <w:rPr>
          <w:rFonts w:cs="Times New Roman"/>
          <w:spacing w:val="-3"/>
          <w:szCs w:val="24"/>
        </w:rPr>
        <w:t>,</w:t>
      </w:r>
      <w:r w:rsidRPr="00C32062">
        <w:rPr>
          <w:rFonts w:cs="Times New Roman"/>
          <w:spacing w:val="-3"/>
          <w:szCs w:val="24"/>
        </w:rPr>
        <w:t xml:space="preserve"> </w:t>
      </w:r>
      <w:r w:rsidRPr="00C32062">
        <w:rPr>
          <w:rFonts w:cs="Times New Roman"/>
          <w:i/>
          <w:iCs/>
          <w:spacing w:val="-3"/>
          <w:szCs w:val="24"/>
        </w:rPr>
        <w:t>et seq</w:t>
      </w:r>
      <w:r w:rsidRPr="007925C3" w:rsidR="007925C3">
        <w:rPr>
          <w:rFonts w:cs="Times New Roman"/>
          <w:spacing w:val="-3"/>
          <w:szCs w:val="24"/>
        </w:rPr>
        <w:t>)</w:t>
      </w:r>
      <w:r w:rsidR="007925C3">
        <w:rPr>
          <w:rFonts w:cs="Times New Roman"/>
          <w:i/>
          <w:iCs/>
          <w:spacing w:val="-3"/>
          <w:szCs w:val="24"/>
        </w:rPr>
        <w:t xml:space="preserve"> </w:t>
      </w:r>
      <w:r w:rsidRPr="00B405C5" w:rsidR="007925C3">
        <w:rPr>
          <w:spacing w:val="-3"/>
          <w:szCs w:val="24"/>
        </w:rPr>
        <w:t>and expanded by the Flood Disaster Protection Act of 1973 (Pub. L. 93-234)</w:t>
      </w:r>
      <w:r w:rsidRPr="00C32062">
        <w:rPr>
          <w:rFonts w:cs="Times New Roman"/>
          <w:i/>
          <w:iCs/>
          <w:spacing w:val="-3"/>
          <w:szCs w:val="24"/>
        </w:rPr>
        <w:t>.</w:t>
      </w:r>
      <w:r w:rsidRPr="00C32062">
        <w:rPr>
          <w:rFonts w:cs="Times New Roman"/>
          <w:spacing w:val="-3"/>
          <w:szCs w:val="24"/>
        </w:rPr>
        <w:t xml:space="preserve">  The NFIP is a Federal program enabling property owners in participating communities to purchase insurance as a protection against flood losses in exchange for State and community floodplain management requirements that reduce the risk of future flood damages.  Communities participate in the NFIP based on an agreement between the community and FEMA.  If a community adopts and enforces a floodplain management ordinance to reduce future flood risk to new construction in floodplains, FEMA will make flood insurance available within the community as a financial protection against flood losses.  Accordingly, the NFIP is comprised of three key activities: flood insurance, floodplain management, and flood hazard mapping.</w:t>
      </w:r>
    </w:p>
    <w:p w:rsidR="00444437" w:rsidRPr="00C32062" w:rsidP="008518A1" w14:paraId="56E9F0F6" w14:textId="77777777">
      <w:pPr>
        <w:tabs>
          <w:tab w:val="left" w:pos="-720"/>
        </w:tabs>
        <w:suppressAutoHyphens/>
        <w:spacing w:line="276" w:lineRule="auto"/>
        <w:contextualSpacing/>
        <w:rPr>
          <w:rFonts w:cs="Times New Roman"/>
          <w:spacing w:val="-3"/>
          <w:szCs w:val="24"/>
        </w:rPr>
      </w:pPr>
    </w:p>
    <w:p w:rsidR="00444437" w:rsidRPr="00C32062" w:rsidP="190F8D64" w14:paraId="46F7B99D" w14:textId="00913BC4">
      <w:pPr>
        <w:suppressAutoHyphens/>
        <w:spacing w:line="276" w:lineRule="auto"/>
        <w:contextualSpacing/>
        <w:rPr>
          <w:rFonts w:cs="Times New Roman"/>
          <w:spacing w:val="-3"/>
        </w:rPr>
      </w:pPr>
      <w:r w:rsidRPr="190F8D64">
        <w:rPr>
          <w:rFonts w:cs="Times New Roman"/>
          <w:color w:val="000000" w:themeColor="text1"/>
        </w:rPr>
        <w:t xml:space="preserve">FEMA, through its direct servicing agent, NFIP Direct, uses the collected information acquired to determine both </w:t>
      </w:r>
      <w:r w:rsidRPr="190F8D64" w:rsidR="0026706D">
        <w:rPr>
          <w:rFonts w:cs="Times New Roman"/>
          <w:color w:val="000000" w:themeColor="text1"/>
        </w:rPr>
        <w:t xml:space="preserve">the </w:t>
      </w:r>
      <w:r w:rsidRPr="190F8D64">
        <w:rPr>
          <w:rFonts w:cs="Times New Roman"/>
          <w:color w:val="000000" w:themeColor="text1"/>
        </w:rPr>
        <w:t xml:space="preserve">eligibility for an NFIP flood insurance policy and the appropriate flood insurance premium.  </w:t>
      </w:r>
      <w:r w:rsidR="00CE7F4E">
        <w:rPr>
          <w:rFonts w:cs="Times New Roman"/>
          <w:color w:val="000000" w:themeColor="text1"/>
        </w:rPr>
        <w:t>NFIP Direct</w:t>
      </w:r>
      <w:r w:rsidRPr="190F8D64" w:rsidR="00CE7F4E">
        <w:rPr>
          <w:rFonts w:cs="Times New Roman"/>
          <w:color w:val="000000" w:themeColor="text1"/>
        </w:rPr>
        <w:t xml:space="preserve"> </w:t>
      </w:r>
      <w:r w:rsidRPr="190F8D64">
        <w:rPr>
          <w:rFonts w:cs="Times New Roman"/>
          <w:color w:val="000000" w:themeColor="text1"/>
        </w:rPr>
        <w:t>enters the information collected in these forms and accompanying supporting documentation into the NFIP Direct System</w:t>
      </w:r>
      <w:r w:rsidR="00CE7F4E">
        <w:rPr>
          <w:rFonts w:cs="Times New Roman"/>
          <w:color w:val="000000" w:themeColor="text1"/>
        </w:rPr>
        <w:t xml:space="preserve">, which is uploaded daily </w:t>
      </w:r>
      <w:r w:rsidRPr="008D62DA" w:rsidR="00CE7F4E">
        <w:rPr>
          <w:rFonts w:cs="Times New Roman"/>
          <w:color w:val="000000" w:themeColor="text1"/>
        </w:rPr>
        <w:t xml:space="preserve">into </w:t>
      </w:r>
      <w:r w:rsidRPr="00AC6E44" w:rsidR="00CE7F4E">
        <w:rPr>
          <w:rFonts w:cs="Times New Roman"/>
          <w:color w:val="000000" w:themeColor="text1"/>
        </w:rPr>
        <w:t>the FEMA Pivot</w:t>
      </w:r>
      <w:r w:rsidRPr="008D62DA" w:rsidR="00CE7F4E">
        <w:rPr>
          <w:rFonts w:cs="Times New Roman"/>
          <w:color w:val="000000" w:themeColor="text1"/>
        </w:rPr>
        <w:t xml:space="preserve"> </w:t>
      </w:r>
      <w:r w:rsidRPr="00AC6E44" w:rsidR="00CE7F4E">
        <w:rPr>
          <w:rFonts w:cs="Times New Roman"/>
          <w:color w:val="000000" w:themeColor="text1"/>
        </w:rPr>
        <w:t>System</w:t>
      </w:r>
      <w:r w:rsidRPr="008D62DA" w:rsidR="00CE7F4E">
        <w:rPr>
          <w:rFonts w:cs="Times New Roman"/>
          <w:color w:val="000000" w:themeColor="text1"/>
        </w:rPr>
        <w:t xml:space="preserve"> </w:t>
      </w:r>
      <w:r w:rsidRPr="008D62DA">
        <w:rPr>
          <w:rFonts w:cs="Times New Roman"/>
          <w:color w:val="000000" w:themeColor="text1"/>
        </w:rPr>
        <w:t>.</w:t>
      </w:r>
    </w:p>
    <w:p w:rsidR="004F1941" w:rsidRPr="00C32062" w:rsidP="00C32062" w14:paraId="0666241A" w14:textId="77777777">
      <w:pPr>
        <w:tabs>
          <w:tab w:val="left" w:pos="-720"/>
        </w:tabs>
        <w:suppressAutoHyphens/>
        <w:spacing w:line="276" w:lineRule="auto"/>
        <w:contextualSpacing/>
        <w:rPr>
          <w:rFonts w:cs="Times New Roman"/>
          <w:spacing w:val="-3"/>
          <w:szCs w:val="24"/>
        </w:rPr>
      </w:pPr>
    </w:p>
    <w:p w:rsidR="004F1941" w:rsidRPr="00C32062" w:rsidP="00C32062" w14:paraId="17839C71" w14:textId="1AD7A2B0">
      <w:pPr>
        <w:spacing w:line="276" w:lineRule="auto"/>
        <w:contextualSpacing/>
        <w:rPr>
          <w:rFonts w:cs="Times New Roman"/>
          <w:spacing w:val="-3"/>
          <w:szCs w:val="24"/>
        </w:rPr>
      </w:pPr>
      <w:r w:rsidRPr="00C32062">
        <w:rPr>
          <w:rFonts w:cs="Times New Roman"/>
          <w:spacing w:val="-3"/>
          <w:szCs w:val="24"/>
        </w:rPr>
        <w:t>FEMA is introducing a new instrument</w:t>
      </w:r>
      <w:r w:rsidRPr="0084683F">
        <w:rPr>
          <w:rFonts w:cs="Times New Roman"/>
          <w:spacing w:val="-3"/>
          <w:szCs w:val="24"/>
        </w:rPr>
        <w:t xml:space="preserve"> </w:t>
      </w:r>
      <w:r w:rsidR="0084683F">
        <w:rPr>
          <w:rFonts w:cs="Times New Roman"/>
          <w:spacing w:val="-3"/>
          <w:szCs w:val="24"/>
        </w:rPr>
        <w:t>(</w:t>
      </w:r>
      <w:r w:rsidRPr="0084683F" w:rsidR="0084683F">
        <w:rPr>
          <w:rFonts w:cs="Times New Roman"/>
          <w:szCs w:val="24"/>
        </w:rPr>
        <w:t xml:space="preserve">FEMA </w:t>
      </w:r>
      <w:r w:rsidRPr="008969C8" w:rsidR="0084683F">
        <w:rPr>
          <w:rFonts w:cs="Times New Roman"/>
          <w:color w:val="000000" w:themeColor="text1"/>
          <w:szCs w:val="24"/>
        </w:rPr>
        <w:t>Form FF-</w:t>
      </w:r>
      <w:r w:rsidRPr="008969C8" w:rsidR="000D6DD3">
        <w:rPr>
          <w:rFonts w:cs="Times New Roman"/>
          <w:color w:val="000000" w:themeColor="text1"/>
          <w:szCs w:val="24"/>
        </w:rPr>
        <w:t>206</w:t>
      </w:r>
      <w:r w:rsidRPr="008969C8" w:rsidR="0084683F">
        <w:rPr>
          <w:rFonts w:cs="Times New Roman"/>
          <w:color w:val="000000" w:themeColor="text1"/>
          <w:szCs w:val="24"/>
        </w:rPr>
        <w:t>-FY-</w:t>
      </w:r>
      <w:r w:rsidRPr="008969C8" w:rsidR="000D6DD3">
        <w:rPr>
          <w:rFonts w:cs="Times New Roman"/>
          <w:color w:val="000000" w:themeColor="text1"/>
          <w:szCs w:val="24"/>
        </w:rPr>
        <w:t>24</w:t>
      </w:r>
      <w:r w:rsidRPr="008969C8" w:rsidR="0084683F">
        <w:rPr>
          <w:rFonts w:cs="Times New Roman"/>
          <w:color w:val="000000" w:themeColor="text1"/>
          <w:szCs w:val="24"/>
        </w:rPr>
        <w:t>-</w:t>
      </w:r>
      <w:r w:rsidRPr="008969C8" w:rsidR="00396609">
        <w:rPr>
          <w:rFonts w:cs="Times New Roman"/>
          <w:color w:val="000000" w:themeColor="text1"/>
          <w:szCs w:val="24"/>
        </w:rPr>
        <w:t>103</w:t>
      </w:r>
      <w:r w:rsidRPr="008969C8" w:rsidR="0084683F">
        <w:rPr>
          <w:rFonts w:cs="Times New Roman"/>
          <w:color w:val="000000" w:themeColor="text1"/>
          <w:szCs w:val="24"/>
        </w:rPr>
        <w:t>,</w:t>
      </w:r>
      <w:r w:rsidRPr="008969C8">
        <w:rPr>
          <w:rFonts w:cs="Times New Roman"/>
          <w:color w:val="000000" w:themeColor="text1"/>
          <w:spacing w:val="-3"/>
          <w:szCs w:val="24"/>
        </w:rPr>
        <w:t xml:space="preserve"> </w:t>
      </w:r>
      <w:r w:rsidRPr="0084683F">
        <w:rPr>
          <w:rFonts w:cs="Times New Roman"/>
          <w:spacing w:val="-3"/>
          <w:szCs w:val="24"/>
        </w:rPr>
        <w:t>e-Flood</w:t>
      </w:r>
      <w:r w:rsidRPr="00C32062">
        <w:rPr>
          <w:rFonts w:cs="Times New Roman"/>
          <w:spacing w:val="-3"/>
          <w:szCs w:val="24"/>
        </w:rPr>
        <w:t xml:space="preserve"> Insurance Application</w:t>
      </w:r>
      <w:r w:rsidR="0084683F">
        <w:rPr>
          <w:rFonts w:cs="Times New Roman"/>
          <w:spacing w:val="-3"/>
          <w:szCs w:val="24"/>
        </w:rPr>
        <w:t>)</w:t>
      </w:r>
      <w:r w:rsidRPr="00C32062">
        <w:rPr>
          <w:rFonts w:cs="Times New Roman"/>
          <w:spacing w:val="-3"/>
          <w:szCs w:val="24"/>
        </w:rPr>
        <w:t xml:space="preserve"> with this revision to the collection</w:t>
      </w:r>
      <w:r w:rsidR="000D6DD3">
        <w:rPr>
          <w:rFonts w:cs="Times New Roman"/>
          <w:spacing w:val="-3"/>
          <w:szCs w:val="24"/>
        </w:rPr>
        <w:t>,</w:t>
      </w:r>
      <w:r w:rsidRPr="00C32062">
        <w:rPr>
          <w:rFonts w:cs="Times New Roman"/>
          <w:spacing w:val="-3"/>
          <w:szCs w:val="24"/>
        </w:rPr>
        <w:t xml:space="preserve"> which will allow property owners to obtain a quote</w:t>
      </w:r>
      <w:r w:rsidR="009F7AD3">
        <w:rPr>
          <w:rFonts w:cs="Times New Roman"/>
          <w:spacing w:val="-3"/>
          <w:szCs w:val="24"/>
        </w:rPr>
        <w:t xml:space="preserve"> </w:t>
      </w:r>
      <w:r w:rsidRPr="00C32062">
        <w:rPr>
          <w:rFonts w:cs="Times New Roman"/>
          <w:spacing w:val="-3"/>
          <w:szCs w:val="24"/>
        </w:rPr>
        <w:t xml:space="preserve">directly </w:t>
      </w:r>
      <w:r w:rsidR="00626A7F">
        <w:rPr>
          <w:rFonts w:cs="Times New Roman"/>
          <w:spacing w:val="-3"/>
          <w:szCs w:val="24"/>
        </w:rPr>
        <w:t>and apply for a policy</w:t>
      </w:r>
      <w:r w:rsidRPr="00C32062" w:rsidR="00626A7F">
        <w:rPr>
          <w:rFonts w:cs="Times New Roman"/>
          <w:spacing w:val="-3"/>
          <w:szCs w:val="24"/>
        </w:rPr>
        <w:t xml:space="preserve"> </w:t>
      </w:r>
      <w:r w:rsidRPr="00C32062">
        <w:rPr>
          <w:rFonts w:cs="Times New Roman"/>
          <w:spacing w:val="-3"/>
          <w:szCs w:val="24"/>
        </w:rPr>
        <w:t xml:space="preserve">by submitting necessary information through FEMA’s Floodsmart website at </w:t>
      </w:r>
      <w:hyperlink r:id="rId9" w:history="1">
        <w:r w:rsidRPr="00C32062">
          <w:rPr>
            <w:rStyle w:val="Hyperlink"/>
            <w:rFonts w:cs="Times New Roman"/>
            <w:szCs w:val="24"/>
          </w:rPr>
          <w:t>www.floodsmart.gov</w:t>
        </w:r>
      </w:hyperlink>
      <w:r w:rsidRPr="00C32062">
        <w:rPr>
          <w:rFonts w:cs="Times New Roman"/>
          <w:spacing w:val="-3"/>
          <w:szCs w:val="24"/>
        </w:rPr>
        <w:t>.</w:t>
      </w:r>
    </w:p>
    <w:p w:rsidR="00174B16" w:rsidRPr="00C32062" w:rsidP="00C32062" w14:paraId="04943CA5" w14:textId="77777777">
      <w:pPr>
        <w:spacing w:line="276" w:lineRule="auto"/>
        <w:contextualSpacing/>
        <w:rPr>
          <w:rFonts w:cs="Times New Roman"/>
          <w:szCs w:val="24"/>
        </w:rPr>
      </w:pPr>
    </w:p>
    <w:p w:rsidR="00B17A38" w:rsidRPr="00C32062" w:rsidP="00C32062" w14:paraId="7B30CBB0" w14:textId="051EB1FE">
      <w:pPr>
        <w:pStyle w:val="ListParagraph"/>
        <w:numPr>
          <w:ilvl w:val="0"/>
          <w:numId w:val="6"/>
        </w:numPr>
        <w:spacing w:line="276" w:lineRule="auto"/>
        <w:rPr>
          <w:rFonts w:cs="Times New Roman"/>
          <w:b/>
          <w:bCs/>
          <w:szCs w:val="24"/>
        </w:rPr>
      </w:pPr>
      <w:r w:rsidRPr="00C32062">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C32062" w:rsidP="00C32062" w14:paraId="709567B5" w14:textId="54F3C0D3">
      <w:pPr>
        <w:spacing w:line="276" w:lineRule="auto"/>
        <w:contextualSpacing/>
        <w:rPr>
          <w:rFonts w:cs="Times New Roman"/>
          <w:szCs w:val="24"/>
        </w:rPr>
      </w:pPr>
    </w:p>
    <w:p w:rsidR="008B0B10" w:rsidRPr="00C32062" w:rsidP="00C32062" w14:paraId="2634865F" w14:textId="77777777">
      <w:pPr>
        <w:tabs>
          <w:tab w:val="left" w:pos="-720"/>
        </w:tabs>
        <w:suppressAutoHyphens/>
        <w:spacing w:line="276" w:lineRule="auto"/>
        <w:contextualSpacing/>
        <w:rPr>
          <w:rFonts w:cs="Times New Roman"/>
          <w:spacing w:val="-3"/>
          <w:szCs w:val="24"/>
        </w:rPr>
      </w:pPr>
      <w:r w:rsidRPr="00C32062">
        <w:rPr>
          <w:rFonts w:cs="Times New Roman"/>
          <w:spacing w:val="-3"/>
          <w:szCs w:val="24"/>
        </w:rPr>
        <w:t xml:space="preserve">To provide for the continued widespread availability of policies for flood insurance, policies will continue to be marketed through the facilities of licensed insurance agents or brokers in the various States.  Applications from agents or brokers are forwarded to a servicing company designated as a fiscal agent by FEMA.  Upon review, receipt and examination of the application and required premium, the servicing company will issue the appropriate Federal flood insurance policy.  </w:t>
      </w:r>
    </w:p>
    <w:p w:rsidR="008B0B10" w:rsidRPr="00C32062" w:rsidP="00C32062" w14:paraId="78327B0E" w14:textId="77777777">
      <w:pPr>
        <w:spacing w:line="276" w:lineRule="auto"/>
        <w:contextualSpacing/>
        <w:rPr>
          <w:rFonts w:cs="Times New Roman"/>
          <w:spacing w:val="-3"/>
          <w:szCs w:val="24"/>
        </w:rPr>
      </w:pPr>
    </w:p>
    <w:p w:rsidR="008B0B10" w:rsidRPr="00C32062" w:rsidP="00C32062" w14:paraId="43A7CA9C" w14:textId="204B639E">
      <w:pPr>
        <w:spacing w:line="276" w:lineRule="auto"/>
        <w:contextualSpacing/>
        <w:rPr>
          <w:rFonts w:cs="Times New Roman"/>
          <w:szCs w:val="24"/>
        </w:rPr>
      </w:pPr>
      <w:r w:rsidRPr="00C32062">
        <w:rPr>
          <w:rFonts w:cs="Times New Roman"/>
          <w:spacing w:val="-3"/>
          <w:szCs w:val="24"/>
        </w:rPr>
        <w:t>The following FEMA forms are used to collect the information necessary to issue NFIP policies and to accommodate the changing insurance needs of policyholders</w:t>
      </w:r>
      <w:r w:rsidRPr="00C32062" w:rsidR="005E3594">
        <w:rPr>
          <w:rFonts w:cs="Times New Roman"/>
          <w:spacing w:val="-3"/>
          <w:szCs w:val="24"/>
        </w:rPr>
        <w:t xml:space="preserve">. </w:t>
      </w:r>
      <w:r w:rsidR="00B93317">
        <w:rPr>
          <w:rFonts w:cs="Times New Roman"/>
          <w:spacing w:val="-3"/>
          <w:szCs w:val="24"/>
        </w:rPr>
        <w:t xml:space="preserve"> </w:t>
      </w:r>
      <w:r w:rsidRPr="00C32062" w:rsidR="005E3594">
        <w:rPr>
          <w:rFonts w:cs="Times New Roman"/>
          <w:spacing w:val="-3"/>
          <w:szCs w:val="24"/>
        </w:rPr>
        <w:t xml:space="preserve">They are to </w:t>
      </w:r>
      <w:r w:rsidRPr="00C32062" w:rsidR="00026A73">
        <w:rPr>
          <w:rFonts w:cs="Times New Roman"/>
          <w:spacing w:val="-3"/>
          <w:szCs w:val="24"/>
        </w:rPr>
        <w:t xml:space="preserve">be used in conjunction with the guidance in the NFIP Flood Insurance Manual </w:t>
      </w:r>
      <w:r w:rsidRPr="00C32062" w:rsidR="002A5365">
        <w:rPr>
          <w:rFonts w:cs="Times New Roman"/>
          <w:spacing w:val="-3"/>
          <w:szCs w:val="24"/>
        </w:rPr>
        <w:t>(</w:t>
      </w:r>
      <w:hyperlink r:id="rId10" w:history="1">
        <w:r w:rsidRPr="00C32062" w:rsidR="004F1941">
          <w:rPr>
            <w:rFonts w:cs="Times New Roman"/>
            <w:color w:val="0000FF"/>
            <w:szCs w:val="24"/>
            <w:u w:val="single"/>
          </w:rPr>
          <w:t>https://www.fema.gov/flood-insurance/work-with-nfip/manuals/current</w:t>
        </w:r>
      </w:hyperlink>
      <w:r w:rsidRPr="00C32062" w:rsidR="007F629F">
        <w:rPr>
          <w:rFonts w:cs="Times New Roman"/>
          <w:szCs w:val="24"/>
        </w:rPr>
        <w:t xml:space="preserve">) </w:t>
      </w:r>
      <w:r w:rsidRPr="00C32062" w:rsidR="00026A73">
        <w:rPr>
          <w:rFonts w:cs="Times New Roman"/>
          <w:spacing w:val="-3"/>
          <w:szCs w:val="24"/>
        </w:rPr>
        <w:t>current at the time of the form</w:t>
      </w:r>
      <w:r w:rsidRPr="00C32062" w:rsidR="00CF70BD">
        <w:rPr>
          <w:rFonts w:cs="Times New Roman"/>
          <w:spacing w:val="-3"/>
          <w:szCs w:val="24"/>
        </w:rPr>
        <w:t>’s completion.</w:t>
      </w:r>
    </w:p>
    <w:p w:rsidR="008B0B10" w:rsidRPr="00C32062" w:rsidP="00C32062" w14:paraId="1714ACB3" w14:textId="77777777">
      <w:pPr>
        <w:spacing w:line="276" w:lineRule="auto"/>
        <w:contextualSpacing/>
        <w:rPr>
          <w:rFonts w:cs="Times New Roman"/>
          <w:szCs w:val="24"/>
        </w:rPr>
      </w:pPr>
    </w:p>
    <w:p w:rsidR="008B0B10" w:rsidRPr="00C32062" w:rsidP="3C3DE105" w14:paraId="0CB67F1E" w14:textId="69030D70">
      <w:pPr>
        <w:spacing w:line="276" w:lineRule="auto"/>
        <w:contextualSpacing/>
        <w:rPr>
          <w:rFonts w:cs="Times New Roman"/>
          <w:spacing w:val="-3"/>
        </w:rPr>
      </w:pPr>
      <w:r w:rsidRPr="3C3DE105">
        <w:rPr>
          <w:rFonts w:cs="Times New Roman"/>
          <w:b/>
          <w:bCs/>
        </w:rPr>
        <w:t xml:space="preserve">FEMA Form </w:t>
      </w:r>
      <w:r w:rsidRPr="3C3DE105">
        <w:rPr>
          <w:rFonts w:cs="Times New Roman"/>
          <w:b/>
          <w:bCs/>
          <w:color w:val="000000" w:themeColor="text1"/>
        </w:rPr>
        <w:t xml:space="preserve">FF-206-FY-21-117 (formerly 086-0-1), Flood </w:t>
      </w:r>
      <w:r w:rsidRPr="3C3DE105">
        <w:rPr>
          <w:rFonts w:cs="Times New Roman"/>
          <w:b/>
          <w:bCs/>
        </w:rPr>
        <w:t>Insurance Application:</w:t>
      </w:r>
      <w:r w:rsidRPr="3C3DE105">
        <w:rPr>
          <w:rFonts w:cs="Times New Roman"/>
        </w:rPr>
        <w:t xml:space="preserve">  </w:t>
      </w:r>
      <w:r w:rsidRPr="3C3DE105">
        <w:rPr>
          <w:rFonts w:cs="Times New Roman"/>
          <w:spacing w:val="-3"/>
        </w:rPr>
        <w:t>This form is used to obtain building and/or contents coverage</w:t>
      </w:r>
      <w:r w:rsidRPr="3C3DE105" w:rsidR="00625F7A">
        <w:rPr>
          <w:rFonts w:cs="Times New Roman"/>
          <w:spacing w:val="-3"/>
        </w:rPr>
        <w:t xml:space="preserve"> for property owners (respondents)</w:t>
      </w:r>
      <w:r w:rsidRPr="3C3DE105">
        <w:rPr>
          <w:rFonts w:cs="Times New Roman"/>
          <w:spacing w:val="-3"/>
        </w:rPr>
        <w:t xml:space="preserve"> through licensed insurance agent</w:t>
      </w:r>
      <w:r w:rsidRPr="3C3DE105" w:rsidR="00AA2BEB">
        <w:rPr>
          <w:rFonts w:cs="Times New Roman"/>
          <w:spacing w:val="-3"/>
        </w:rPr>
        <w:t>s</w:t>
      </w:r>
      <w:r w:rsidRPr="3C3DE105">
        <w:rPr>
          <w:rFonts w:cs="Times New Roman"/>
          <w:spacing w:val="-3"/>
        </w:rPr>
        <w:t xml:space="preserve"> writing with the NFIP</w:t>
      </w:r>
      <w:r w:rsidRPr="3C3DE105" w:rsidR="00C66648">
        <w:rPr>
          <w:rFonts w:cs="Times New Roman"/>
          <w:spacing w:val="-3"/>
        </w:rPr>
        <w:t xml:space="preserve"> or through the electronic version of this form</w:t>
      </w:r>
      <w:r w:rsidRPr="3C3DE105">
        <w:rPr>
          <w:rFonts w:cs="Times New Roman"/>
          <w:spacing w:val="-3"/>
        </w:rPr>
        <w:t xml:space="preserve">.  </w:t>
      </w:r>
    </w:p>
    <w:p w:rsidR="008B0B10" w:rsidRPr="00C32062" w:rsidP="00C32062" w14:paraId="50374DF5" w14:textId="77777777">
      <w:pPr>
        <w:pStyle w:val="EndnoteText"/>
        <w:tabs>
          <w:tab w:val="left" w:pos="-720"/>
        </w:tabs>
        <w:suppressAutoHyphens/>
        <w:spacing w:line="276" w:lineRule="auto"/>
        <w:contextualSpacing/>
        <w:rPr>
          <w:rFonts w:ascii="Times New Roman" w:hAnsi="Times New Roman"/>
          <w:spacing w:val="-3"/>
          <w:szCs w:val="24"/>
        </w:rPr>
      </w:pPr>
    </w:p>
    <w:p w:rsidR="008B0B10" w:rsidRPr="00C32062" w:rsidP="00C32062" w14:paraId="74B68259" w14:textId="77777777">
      <w:pPr>
        <w:tabs>
          <w:tab w:val="left" w:pos="-720"/>
        </w:tabs>
        <w:suppressAutoHyphens/>
        <w:spacing w:line="276" w:lineRule="auto"/>
        <w:contextualSpacing/>
        <w:rPr>
          <w:rFonts w:cs="Times New Roman"/>
          <w:color w:val="000000"/>
          <w:spacing w:val="-3"/>
          <w:szCs w:val="24"/>
        </w:rPr>
      </w:pPr>
      <w:r w:rsidRPr="00C32062">
        <w:rPr>
          <w:rFonts w:cs="Times New Roman"/>
          <w:spacing w:val="-3"/>
          <w:szCs w:val="24"/>
        </w:rPr>
        <w:t>The application provides property owner and basic information concerning building and foundation type, occupancy, structural variables, building replacement cost, date of construction or substantial improvement, amounts of coverage desired, community map information, and other information necessary for any NFIP policy to be issued.  This information confirms a building’s eligibility for NFIP flood insurance, helps to ensure the correct risk-based insurance premium for the desired coverage, and provides data used to generate a policy Declarations Page for the policyholder.</w:t>
      </w:r>
    </w:p>
    <w:p w:rsidR="008B0B10" w:rsidRPr="00C32062" w:rsidP="00C32062" w14:paraId="18B38213" w14:textId="77777777">
      <w:pPr>
        <w:spacing w:line="276" w:lineRule="auto"/>
        <w:contextualSpacing/>
        <w:rPr>
          <w:rFonts w:cs="Times New Roman"/>
          <w:szCs w:val="24"/>
        </w:rPr>
      </w:pPr>
    </w:p>
    <w:p w:rsidR="008B0B10" w:rsidRPr="00C32062" w:rsidP="00C32062" w14:paraId="078972ED" w14:textId="084DB420">
      <w:pPr>
        <w:spacing w:line="276" w:lineRule="auto"/>
        <w:contextualSpacing/>
        <w:rPr>
          <w:rFonts w:cs="Times New Roman"/>
          <w:szCs w:val="24"/>
        </w:rPr>
      </w:pPr>
      <w:r w:rsidRPr="00C32062">
        <w:rPr>
          <w:rFonts w:cs="Times New Roman"/>
          <w:b/>
          <w:bCs/>
          <w:szCs w:val="24"/>
        </w:rPr>
        <w:t xml:space="preserve">FEMA </w:t>
      </w:r>
      <w:r w:rsidRPr="008518A1">
        <w:rPr>
          <w:rFonts w:cs="Times New Roman"/>
          <w:b/>
          <w:bCs/>
          <w:color w:val="000000" w:themeColor="text1"/>
          <w:szCs w:val="24"/>
        </w:rPr>
        <w:t>Form FF-206-FY-21-118 (formerly 086-0-2), Flood Insurance Cancellation/Nullification Request Form:</w:t>
      </w:r>
      <w:r w:rsidRPr="008518A1">
        <w:rPr>
          <w:rFonts w:cs="Times New Roman"/>
          <w:color w:val="000000" w:themeColor="text1"/>
          <w:szCs w:val="24"/>
        </w:rPr>
        <w:t xml:space="preserve">  </w:t>
      </w:r>
      <w:r w:rsidRPr="00C32062">
        <w:rPr>
          <w:rFonts w:cs="Times New Roman"/>
          <w:bCs/>
          <w:spacing w:val="-3"/>
          <w:szCs w:val="24"/>
        </w:rPr>
        <w:t>The policyholder or insurer submits this form to cancel or nullify an existing NFIP policy.</w:t>
      </w:r>
    </w:p>
    <w:p w:rsidR="008B0B10" w:rsidRPr="00C32062" w:rsidP="00C32062" w14:paraId="3F0AAFBC" w14:textId="77777777">
      <w:pPr>
        <w:spacing w:line="276" w:lineRule="auto"/>
        <w:contextualSpacing/>
        <w:rPr>
          <w:rFonts w:cs="Times New Roman"/>
          <w:szCs w:val="24"/>
        </w:rPr>
      </w:pPr>
    </w:p>
    <w:p w:rsidR="008B0B10" w:rsidRPr="00C32062" w:rsidP="00C32062" w14:paraId="5F1D71CB" w14:textId="37155AAA">
      <w:pPr>
        <w:spacing w:line="276" w:lineRule="auto"/>
        <w:contextualSpacing/>
        <w:rPr>
          <w:rFonts w:cs="Times New Roman"/>
          <w:spacing w:val="-3"/>
          <w:szCs w:val="24"/>
        </w:rPr>
      </w:pPr>
      <w:r w:rsidRPr="00C32062">
        <w:rPr>
          <w:rFonts w:cs="Times New Roman"/>
          <w:b/>
          <w:bCs/>
          <w:szCs w:val="24"/>
        </w:rPr>
        <w:t>FEMA Form F</w:t>
      </w:r>
      <w:r w:rsidRPr="008518A1">
        <w:rPr>
          <w:rFonts w:cs="Times New Roman"/>
          <w:b/>
          <w:bCs/>
          <w:color w:val="000000" w:themeColor="text1"/>
          <w:szCs w:val="24"/>
        </w:rPr>
        <w:t>F-206-FY-21-119 (formerly 086-0-3), Flood Insurance General Change Endorsement:</w:t>
      </w:r>
      <w:r w:rsidRPr="008518A1">
        <w:rPr>
          <w:rFonts w:cs="Times New Roman"/>
          <w:color w:val="000000" w:themeColor="text1"/>
          <w:szCs w:val="24"/>
        </w:rPr>
        <w:t xml:space="preserve">  </w:t>
      </w:r>
      <w:r w:rsidRPr="00C32062">
        <w:rPr>
          <w:rFonts w:cs="Times New Roman"/>
          <w:spacing w:val="-3"/>
          <w:szCs w:val="24"/>
        </w:rPr>
        <w:t>This form is used to amend existing policy data shown on the policy Declarations Page.  Following receipt and processing of the endorsement form, a Revised Declarations Page showing the requested changes is generated.</w:t>
      </w:r>
    </w:p>
    <w:p w:rsidR="008B0B10" w:rsidRPr="00C32062" w:rsidP="00C32062" w14:paraId="07A35D74" w14:textId="77777777">
      <w:pPr>
        <w:spacing w:line="276" w:lineRule="auto"/>
        <w:contextualSpacing/>
        <w:rPr>
          <w:rFonts w:cs="Times New Roman"/>
          <w:spacing w:val="-3"/>
          <w:szCs w:val="24"/>
        </w:rPr>
      </w:pPr>
    </w:p>
    <w:p w:rsidR="008B0B10" w:rsidRPr="00C32062" w:rsidP="00C32062" w14:paraId="6AD51CCB" w14:textId="42E6EF17">
      <w:pPr>
        <w:spacing w:line="276" w:lineRule="auto"/>
        <w:contextualSpacing/>
        <w:rPr>
          <w:rFonts w:cs="Times New Roman"/>
          <w:szCs w:val="24"/>
        </w:rPr>
      </w:pPr>
      <w:r w:rsidRPr="00C32062">
        <w:rPr>
          <w:rFonts w:cs="Times New Roman"/>
          <w:b/>
          <w:bCs/>
          <w:szCs w:val="24"/>
        </w:rPr>
        <w:t xml:space="preserve">FEMA Form </w:t>
      </w:r>
      <w:r w:rsidRPr="008969C8">
        <w:rPr>
          <w:rFonts w:cs="Times New Roman"/>
          <w:b/>
          <w:bCs/>
          <w:color w:val="000000" w:themeColor="text1"/>
          <w:szCs w:val="24"/>
        </w:rPr>
        <w:t>FF-</w:t>
      </w:r>
      <w:r w:rsidRPr="008969C8" w:rsidR="000D6DD3">
        <w:rPr>
          <w:rFonts w:cs="Times New Roman"/>
          <w:b/>
          <w:bCs/>
          <w:color w:val="000000" w:themeColor="text1"/>
          <w:szCs w:val="24"/>
        </w:rPr>
        <w:t>206</w:t>
      </w:r>
      <w:r w:rsidRPr="008969C8">
        <w:rPr>
          <w:rFonts w:cs="Times New Roman"/>
          <w:b/>
          <w:bCs/>
          <w:color w:val="000000" w:themeColor="text1"/>
          <w:szCs w:val="24"/>
        </w:rPr>
        <w:t>-FY-</w:t>
      </w:r>
      <w:r w:rsidRPr="008969C8" w:rsidR="000D6DD3">
        <w:rPr>
          <w:rFonts w:cs="Times New Roman"/>
          <w:b/>
          <w:bCs/>
          <w:color w:val="000000" w:themeColor="text1"/>
          <w:szCs w:val="24"/>
        </w:rPr>
        <w:t>24</w:t>
      </w:r>
      <w:r w:rsidRPr="008969C8">
        <w:rPr>
          <w:rFonts w:cs="Times New Roman"/>
          <w:b/>
          <w:bCs/>
          <w:color w:val="000000" w:themeColor="text1"/>
          <w:szCs w:val="24"/>
        </w:rPr>
        <w:t>-</w:t>
      </w:r>
      <w:r w:rsidRPr="008969C8" w:rsidR="00396609">
        <w:rPr>
          <w:rFonts w:cs="Times New Roman"/>
          <w:b/>
          <w:bCs/>
          <w:color w:val="000000" w:themeColor="text1"/>
          <w:szCs w:val="24"/>
        </w:rPr>
        <w:t>103</w:t>
      </w:r>
      <w:r w:rsidRPr="008969C8">
        <w:rPr>
          <w:rFonts w:cs="Times New Roman"/>
          <w:b/>
          <w:bCs/>
          <w:color w:val="000000" w:themeColor="text1"/>
          <w:szCs w:val="24"/>
        </w:rPr>
        <w:t xml:space="preserve">, e-Flood </w:t>
      </w:r>
      <w:r w:rsidRPr="00C32062">
        <w:rPr>
          <w:rFonts w:cs="Times New Roman"/>
          <w:b/>
          <w:bCs/>
          <w:szCs w:val="24"/>
        </w:rPr>
        <w:t>Insurance Application:</w:t>
      </w:r>
      <w:r w:rsidRPr="00C32062" w:rsidR="004F1941">
        <w:rPr>
          <w:rFonts w:cs="Times New Roman"/>
          <w:szCs w:val="24"/>
        </w:rPr>
        <w:t xml:space="preserve">  </w:t>
      </w:r>
      <w:r w:rsidRPr="00C32062">
        <w:rPr>
          <w:rFonts w:cs="Times New Roman"/>
          <w:szCs w:val="24"/>
        </w:rPr>
        <w:t>A</w:t>
      </w:r>
      <w:r w:rsidR="000D6DD3">
        <w:rPr>
          <w:rFonts w:cs="Times New Roman"/>
          <w:szCs w:val="24"/>
        </w:rPr>
        <w:t>gents and</w:t>
      </w:r>
      <w:r w:rsidRPr="00C32062">
        <w:rPr>
          <w:rFonts w:cs="Times New Roman"/>
          <w:szCs w:val="24"/>
        </w:rPr>
        <w:t xml:space="preserve"> property owner</w:t>
      </w:r>
      <w:r w:rsidR="000D6DD3">
        <w:rPr>
          <w:rFonts w:cs="Times New Roman"/>
          <w:szCs w:val="24"/>
        </w:rPr>
        <w:t>s</w:t>
      </w:r>
      <w:r w:rsidRPr="00C32062">
        <w:rPr>
          <w:rFonts w:cs="Times New Roman"/>
          <w:szCs w:val="24"/>
        </w:rPr>
        <w:t xml:space="preserve"> may complete this form directly on the floodsmart.gov website to obtain an NFIP flood insurance quote</w:t>
      </w:r>
      <w:r w:rsidR="000D6DD3">
        <w:rPr>
          <w:rFonts w:cs="Times New Roman"/>
          <w:szCs w:val="24"/>
        </w:rPr>
        <w:t xml:space="preserve"> and engage in applying for Federal flood insurance</w:t>
      </w:r>
      <w:r w:rsidRPr="00C32062">
        <w:rPr>
          <w:rFonts w:cs="Times New Roman"/>
          <w:szCs w:val="24"/>
        </w:rPr>
        <w:t>.</w:t>
      </w:r>
    </w:p>
    <w:p w:rsidR="00444437" w:rsidRPr="00C32062" w:rsidP="00C32062" w14:paraId="5042C358" w14:textId="77777777">
      <w:pPr>
        <w:spacing w:line="276" w:lineRule="auto"/>
        <w:contextualSpacing/>
        <w:rPr>
          <w:rFonts w:cs="Times New Roman"/>
          <w:szCs w:val="24"/>
        </w:rPr>
      </w:pPr>
    </w:p>
    <w:p w:rsidR="00B17A38" w:rsidRPr="00C32062" w:rsidP="00C32062" w14:paraId="4B55D978" w14:textId="6AE50FA0">
      <w:pPr>
        <w:pStyle w:val="ListParagraph"/>
        <w:numPr>
          <w:ilvl w:val="0"/>
          <w:numId w:val="6"/>
        </w:numPr>
        <w:spacing w:line="276" w:lineRule="auto"/>
        <w:rPr>
          <w:rFonts w:cs="Times New Roman"/>
          <w:b/>
          <w:bCs/>
          <w:szCs w:val="24"/>
        </w:rPr>
      </w:pPr>
      <w:r w:rsidRPr="00C32062">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C32062" w:rsidP="00C32062" w14:paraId="1B324606" w14:textId="64D3D11C">
      <w:pPr>
        <w:spacing w:line="276" w:lineRule="auto"/>
        <w:contextualSpacing/>
        <w:rPr>
          <w:rFonts w:cs="Times New Roman"/>
          <w:szCs w:val="24"/>
        </w:rPr>
      </w:pPr>
    </w:p>
    <w:p w:rsidR="008C62ED" w:rsidRPr="00C32062" w:rsidP="00C32062" w14:paraId="3C8A4777" w14:textId="77777777">
      <w:pPr>
        <w:spacing w:line="276" w:lineRule="auto"/>
        <w:contextualSpacing/>
        <w:rPr>
          <w:rFonts w:cs="Times New Roman"/>
          <w:szCs w:val="24"/>
        </w:rPr>
      </w:pPr>
      <w:r w:rsidRPr="00C32062">
        <w:rPr>
          <w:rFonts w:cs="Times New Roman"/>
          <w:szCs w:val="24"/>
        </w:rPr>
        <w:t xml:space="preserve">Registered insurance agents/agencies can submit electronic versions of flood insurance forms through the NFIP Direct website.  The agent can log into the NFIP Direct’s secure website at </w:t>
      </w:r>
      <w:hyperlink r:id="rId11" w:history="1">
        <w:r w:rsidRPr="00C32062">
          <w:rPr>
            <w:rStyle w:val="Hyperlink"/>
            <w:rFonts w:cs="Times New Roman"/>
            <w:szCs w:val="24"/>
          </w:rPr>
          <w:t>https://www.nfipdirect.fema.gov/Membership/SignIn/?ReturnUrl=%2f</w:t>
        </w:r>
      </w:hyperlink>
      <w:r w:rsidRPr="00C32062">
        <w:rPr>
          <w:rFonts w:cs="Times New Roman"/>
          <w:szCs w:val="24"/>
        </w:rPr>
        <w:t xml:space="preserve">.  Agents select the transaction desired and will then be prompted to fill in the information required, which is transmitted electronically.  Necessary supporting documentation may also be submitted along with the form in an electronic format, such as a PDF file.  </w:t>
      </w:r>
    </w:p>
    <w:p w:rsidR="008C62ED" w:rsidRPr="00C32062" w:rsidP="00C32062" w14:paraId="1FE46637" w14:textId="77777777">
      <w:pPr>
        <w:spacing w:line="276" w:lineRule="auto"/>
        <w:contextualSpacing/>
        <w:rPr>
          <w:rFonts w:cs="Times New Roman"/>
          <w:szCs w:val="24"/>
        </w:rPr>
      </w:pPr>
    </w:p>
    <w:p w:rsidR="008C62ED" w:rsidRPr="00C32062" w:rsidP="3C3DE105" w14:paraId="1832187C" w14:textId="678983B1">
      <w:pPr>
        <w:spacing w:line="276" w:lineRule="auto"/>
        <w:contextualSpacing/>
        <w:rPr>
          <w:rFonts w:cs="Times New Roman"/>
        </w:rPr>
      </w:pPr>
      <w:r w:rsidRPr="190F8D64">
        <w:rPr>
          <w:rFonts w:cs="Times New Roman"/>
        </w:rPr>
        <w:t xml:space="preserve">As an alternative to contacting an insurance agent, property owners can request a flood insurance quote directly by using the new e-Flood Insurance Application on the Floodsmart website at </w:t>
      </w:r>
      <w:hyperlink r:id="rId9">
        <w:r w:rsidRPr="190F8D64" w:rsidR="004F1941">
          <w:rPr>
            <w:rStyle w:val="Hyperlink"/>
            <w:rFonts w:cs="Times New Roman"/>
          </w:rPr>
          <w:t>www.floodsmart.gov</w:t>
        </w:r>
      </w:hyperlink>
      <w:r w:rsidRPr="190F8D64">
        <w:rPr>
          <w:rFonts w:cs="Times New Roman"/>
        </w:rPr>
        <w:t xml:space="preserve">. </w:t>
      </w:r>
      <w:r w:rsidRPr="190F8D64" w:rsidR="00B93317">
        <w:rPr>
          <w:rFonts w:cs="Times New Roman"/>
        </w:rPr>
        <w:t xml:space="preserve"> </w:t>
      </w:r>
      <w:r w:rsidRPr="190F8D64">
        <w:rPr>
          <w:rFonts w:cs="Times New Roman"/>
        </w:rPr>
        <w:t xml:space="preserve">FEMA is incorporating a flood insurance e-application in response to </w:t>
      </w:r>
      <w:r w:rsidRPr="190F8D64">
        <w:rPr>
          <w:rFonts w:cs="Times New Roman"/>
        </w:rPr>
        <w:t xml:space="preserve">Presidential Executive Order 14058, </w:t>
      </w:r>
      <w:r w:rsidRPr="190F8D64" w:rsidR="00B964A9">
        <w:rPr>
          <w:rFonts w:cs="Times New Roman"/>
        </w:rPr>
        <w:t xml:space="preserve">Transforming Federal Customer Experience and Service Delivery to Rebuild Trust in Government (86 FR 71357, December 12, 2021) </w:t>
      </w:r>
      <w:r w:rsidRPr="190F8D64">
        <w:rPr>
          <w:rFonts w:cs="Times New Roman"/>
        </w:rPr>
        <w:t xml:space="preserve">aimed at transforming </w:t>
      </w:r>
      <w:r w:rsidRPr="190F8D64" w:rsidR="00B964A9">
        <w:rPr>
          <w:rFonts w:cs="Times New Roman"/>
        </w:rPr>
        <w:t>F</w:t>
      </w:r>
      <w:r w:rsidRPr="190F8D64">
        <w:rPr>
          <w:rFonts w:cs="Times New Roman"/>
        </w:rPr>
        <w:t xml:space="preserve">ederal customer experience and service delivery to rebuild trust in government-administered programs. </w:t>
      </w:r>
      <w:r w:rsidRPr="190F8D64" w:rsidR="00B964A9">
        <w:rPr>
          <w:rFonts w:cs="Times New Roman"/>
        </w:rPr>
        <w:t xml:space="preserve"> </w:t>
      </w:r>
      <w:r w:rsidRPr="190F8D64">
        <w:rPr>
          <w:rFonts w:cs="Times New Roman"/>
        </w:rPr>
        <w:t xml:space="preserve">By streamlining the flood insurance application electronically, prospective flood insurance </w:t>
      </w:r>
      <w:r w:rsidRPr="190F8D64" w:rsidR="5EED08BF">
        <w:rPr>
          <w:rFonts w:cs="Times New Roman"/>
        </w:rPr>
        <w:t xml:space="preserve">policyholders </w:t>
      </w:r>
      <w:r w:rsidRPr="190F8D64">
        <w:rPr>
          <w:rFonts w:cs="Times New Roman"/>
        </w:rPr>
        <w:t xml:space="preserve">will have an enhanced customer service experience.  The ability to obtain flood insurance quotes </w:t>
      </w:r>
      <w:r w:rsidRPr="190F8D64" w:rsidR="009238C8">
        <w:rPr>
          <w:rFonts w:cs="Times New Roman"/>
        </w:rPr>
        <w:t xml:space="preserve">online </w:t>
      </w:r>
      <w:r w:rsidRPr="190F8D64">
        <w:rPr>
          <w:rFonts w:cs="Times New Roman"/>
        </w:rPr>
        <w:t xml:space="preserve">from FEMA allows the American public to directly engage in applying for </w:t>
      </w:r>
      <w:r w:rsidRPr="190F8D64" w:rsidR="00B964A9">
        <w:rPr>
          <w:rFonts w:cs="Times New Roman"/>
        </w:rPr>
        <w:t xml:space="preserve">Federal </w:t>
      </w:r>
      <w:r w:rsidRPr="190F8D64">
        <w:rPr>
          <w:rFonts w:cs="Times New Roman"/>
        </w:rPr>
        <w:t xml:space="preserve">flood insurance, </w:t>
      </w:r>
      <w:r w:rsidRPr="190F8D64" w:rsidR="00FE3ACF">
        <w:rPr>
          <w:rFonts w:cs="Times New Roman"/>
        </w:rPr>
        <w:t xml:space="preserve">obtain pricing information more readily, </w:t>
      </w:r>
      <w:r w:rsidRPr="190F8D64">
        <w:rPr>
          <w:rFonts w:cs="Times New Roman"/>
        </w:rPr>
        <w:t>reduce administrative burden</w:t>
      </w:r>
      <w:r w:rsidRPr="190F8D64" w:rsidR="00D279CA">
        <w:rPr>
          <w:rFonts w:cs="Times New Roman"/>
        </w:rPr>
        <w:t>,</w:t>
      </w:r>
      <w:r w:rsidRPr="190F8D64">
        <w:rPr>
          <w:rFonts w:cs="Times New Roman"/>
        </w:rPr>
        <w:t xml:space="preserve"> and simplify the application process</w:t>
      </w:r>
      <w:r w:rsidRPr="190F8D64" w:rsidR="00396609">
        <w:rPr>
          <w:rFonts w:cs="Times New Roman"/>
        </w:rPr>
        <w:t>.</w:t>
      </w:r>
      <w:r w:rsidRPr="190F8D64">
        <w:rPr>
          <w:rFonts w:cs="Times New Roman"/>
        </w:rPr>
        <w:t xml:space="preserve">  </w:t>
      </w:r>
    </w:p>
    <w:p w:rsidR="008C62ED" w:rsidRPr="00C32062" w:rsidP="00C32062" w14:paraId="54E211FB" w14:textId="77777777">
      <w:pPr>
        <w:spacing w:line="276" w:lineRule="auto"/>
        <w:contextualSpacing/>
        <w:rPr>
          <w:rFonts w:cs="Times New Roman"/>
          <w:szCs w:val="24"/>
        </w:rPr>
      </w:pPr>
    </w:p>
    <w:p w:rsidR="008C62ED" w:rsidRPr="00C32062" w:rsidP="00C32062" w14:paraId="7FD8A837" w14:textId="701F1557">
      <w:pPr>
        <w:spacing w:line="276" w:lineRule="auto"/>
        <w:contextualSpacing/>
        <w:rPr>
          <w:rFonts w:cs="Times New Roman"/>
          <w:szCs w:val="24"/>
        </w:rPr>
      </w:pPr>
      <w:r w:rsidRPr="00C32062">
        <w:rPr>
          <w:rFonts w:cs="Times New Roman"/>
          <w:szCs w:val="24"/>
        </w:rPr>
        <w:t xml:space="preserve">FEMA has secured data sources to provide information related to building characteristics such as replacement cost value, geolocation, and building elevations. </w:t>
      </w:r>
      <w:r w:rsidRPr="00C32062" w:rsidR="00170134">
        <w:rPr>
          <w:rFonts w:cs="Times New Roman"/>
          <w:szCs w:val="24"/>
        </w:rPr>
        <w:t xml:space="preserve"> </w:t>
      </w:r>
      <w:r w:rsidRPr="00C32062">
        <w:rPr>
          <w:rFonts w:cs="Times New Roman"/>
          <w:szCs w:val="24"/>
        </w:rPr>
        <w:t>Use of these automated information sources have reduced the need for property owners to enter such information on the application form and to obtain Elevation Certificates for flood insurance purposes.</w:t>
      </w:r>
    </w:p>
    <w:p w:rsidR="008C62ED" w:rsidRPr="00C32062" w:rsidP="00C32062" w14:paraId="071184F7" w14:textId="77777777">
      <w:pPr>
        <w:spacing w:line="276" w:lineRule="auto"/>
        <w:contextualSpacing/>
        <w:rPr>
          <w:rFonts w:cs="Times New Roman"/>
          <w:szCs w:val="24"/>
        </w:rPr>
      </w:pPr>
    </w:p>
    <w:p w:rsidR="00A8284E" w:rsidRPr="008518A1" w:rsidP="3C3DE105" w14:paraId="37255B4B" w14:textId="35063F0A">
      <w:pPr>
        <w:spacing w:line="276" w:lineRule="auto"/>
        <w:contextualSpacing/>
        <w:rPr>
          <w:rFonts w:cs="Times New Roman"/>
        </w:rPr>
      </w:pPr>
      <w:r w:rsidRPr="3C3DE105">
        <w:rPr>
          <w:rFonts w:cs="Times New Roman"/>
        </w:rPr>
        <w:t xml:space="preserve">Usability </w:t>
      </w:r>
      <w:r w:rsidRPr="3C3DE105" w:rsidR="00B964A9">
        <w:rPr>
          <w:rFonts w:cs="Times New Roman"/>
        </w:rPr>
        <w:t xml:space="preserve">testing </w:t>
      </w:r>
      <w:r w:rsidRPr="3C3DE105">
        <w:rPr>
          <w:rFonts w:cs="Times New Roman"/>
        </w:rPr>
        <w:t xml:space="preserve">has been conducted on this collection, </w:t>
      </w:r>
      <w:r w:rsidRPr="3C3DE105" w:rsidR="00B964A9">
        <w:rPr>
          <w:rFonts w:cs="Times New Roman"/>
        </w:rPr>
        <w:t xml:space="preserve">but </w:t>
      </w:r>
      <w:r w:rsidRPr="3C3DE105" w:rsidR="004F1941">
        <w:rPr>
          <w:rFonts w:cs="Times New Roman"/>
        </w:rPr>
        <w:t>there is no change to this collection due to usability testing at this time.  A</w:t>
      </w:r>
      <w:r w:rsidRPr="3C3DE105">
        <w:rPr>
          <w:rFonts w:cs="Times New Roman"/>
        </w:rPr>
        <w:t xml:space="preserve"> reduction of </w:t>
      </w:r>
      <w:r w:rsidRPr="3C3DE105" w:rsidR="002C6739">
        <w:rPr>
          <w:rFonts w:cs="Times New Roman"/>
        </w:rPr>
        <w:t>29,</w:t>
      </w:r>
      <w:r w:rsidRPr="3C3DE105" w:rsidR="004B4075">
        <w:rPr>
          <w:rFonts w:cs="Times New Roman"/>
        </w:rPr>
        <w:t>151</w:t>
      </w:r>
      <w:r w:rsidRPr="3C3DE105">
        <w:rPr>
          <w:rFonts w:cs="Times New Roman"/>
        </w:rPr>
        <w:t xml:space="preserve"> </w:t>
      </w:r>
      <w:r w:rsidRPr="3C3DE105">
        <w:rPr>
          <w:rFonts w:cs="Times New Roman"/>
        </w:rPr>
        <w:t>hours has been recognized and included as an update to the collection</w:t>
      </w:r>
      <w:r w:rsidRPr="3C3DE105" w:rsidR="004F1941">
        <w:rPr>
          <w:rFonts w:cs="Times New Roman"/>
        </w:rPr>
        <w:t xml:space="preserve"> </w:t>
      </w:r>
      <w:r w:rsidRPr="3C3DE105" w:rsidR="002C6739">
        <w:rPr>
          <w:rFonts w:cs="Times New Roman"/>
        </w:rPr>
        <w:t>as a change in estimate</w:t>
      </w:r>
      <w:r w:rsidRPr="3C3DE105">
        <w:rPr>
          <w:rFonts w:cs="Times New Roman"/>
        </w:rPr>
        <w:t>.</w:t>
      </w:r>
    </w:p>
    <w:p w:rsidR="00174B16" w:rsidRPr="00C32062" w:rsidP="00C32062" w14:paraId="0076DC10" w14:textId="77777777">
      <w:pPr>
        <w:spacing w:line="276" w:lineRule="auto"/>
        <w:contextualSpacing/>
        <w:rPr>
          <w:rFonts w:cs="Times New Roman"/>
          <w:szCs w:val="24"/>
        </w:rPr>
      </w:pPr>
    </w:p>
    <w:p w:rsidR="00B17A38" w:rsidRPr="00C32062" w:rsidP="00C32062" w14:paraId="227356E5" w14:textId="6D77778D">
      <w:pPr>
        <w:pStyle w:val="ListParagraph"/>
        <w:numPr>
          <w:ilvl w:val="0"/>
          <w:numId w:val="6"/>
        </w:numPr>
        <w:spacing w:line="276" w:lineRule="auto"/>
        <w:rPr>
          <w:rFonts w:cs="Times New Roman"/>
          <w:b/>
          <w:bCs/>
          <w:szCs w:val="24"/>
        </w:rPr>
      </w:pPr>
      <w:r w:rsidRPr="00C32062">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C32062" w:rsidP="00C32062" w14:paraId="4F67FD38" w14:textId="7566B609">
      <w:pPr>
        <w:spacing w:line="276" w:lineRule="auto"/>
        <w:contextualSpacing/>
        <w:rPr>
          <w:rFonts w:cs="Times New Roman"/>
          <w:szCs w:val="24"/>
        </w:rPr>
      </w:pPr>
    </w:p>
    <w:p w:rsidR="009D53F6" w:rsidRPr="00C32062" w:rsidP="190F8D64" w14:paraId="4BFD536C" w14:textId="77777777">
      <w:pPr>
        <w:spacing w:line="276" w:lineRule="auto"/>
        <w:contextualSpacing/>
        <w:rPr>
          <w:rFonts w:cs="Times New Roman"/>
        </w:rPr>
      </w:pPr>
      <w:r w:rsidRPr="190F8D64">
        <w:rPr>
          <w:rFonts w:cs="Times New Roman"/>
        </w:rPr>
        <w:t xml:space="preserve">As described in Item 3, FEMA is using existing data sources to feed specific building information (e.g., replacement cost value, geolocation, building elevations) directly into our Pivot system to reduce the number of data elements that the property owner must supply on the forms. </w:t>
      </w:r>
    </w:p>
    <w:p w:rsidR="00174B16" w:rsidRPr="00C32062" w:rsidP="00C32062" w14:paraId="43E619C5" w14:textId="77777777">
      <w:pPr>
        <w:spacing w:line="276" w:lineRule="auto"/>
        <w:contextualSpacing/>
        <w:rPr>
          <w:rFonts w:cs="Times New Roman"/>
          <w:szCs w:val="24"/>
        </w:rPr>
      </w:pPr>
    </w:p>
    <w:p w:rsidR="00071B16" w:rsidRPr="00C32062" w:rsidP="00C32062" w14:paraId="6213927A" w14:textId="2C3D86C5">
      <w:pPr>
        <w:pStyle w:val="ListParagraph"/>
        <w:numPr>
          <w:ilvl w:val="0"/>
          <w:numId w:val="6"/>
        </w:numPr>
        <w:spacing w:line="276" w:lineRule="auto"/>
        <w:rPr>
          <w:rFonts w:cs="Times New Roman"/>
          <w:b/>
          <w:bCs/>
          <w:szCs w:val="24"/>
        </w:rPr>
      </w:pPr>
      <w:r w:rsidRPr="00C32062">
        <w:rPr>
          <w:rFonts w:cs="Times New Roman"/>
          <w:b/>
          <w:bCs/>
          <w:szCs w:val="24"/>
        </w:rPr>
        <w:t>If the collection of information impacts businesses or other small entities (Item 5 of OMB Form 83-I), describe any methods used to minimize.</w:t>
      </w:r>
    </w:p>
    <w:p w:rsidR="00174B16" w:rsidRPr="00C32062" w:rsidP="00C32062" w14:paraId="6D8541E3" w14:textId="77777777">
      <w:pPr>
        <w:spacing w:line="276" w:lineRule="auto"/>
        <w:contextualSpacing/>
        <w:rPr>
          <w:rFonts w:cs="Times New Roman"/>
          <w:szCs w:val="24"/>
        </w:rPr>
      </w:pPr>
    </w:p>
    <w:p w:rsidR="00B21C5C" w:rsidRPr="00C32062" w:rsidP="2FDCFCC2" w14:paraId="0A92FEEF" w14:textId="4395CC9E">
      <w:pPr>
        <w:spacing w:line="276" w:lineRule="auto"/>
        <w:contextualSpacing/>
        <w:rPr>
          <w:rFonts w:cs="Times New Roman"/>
        </w:rPr>
      </w:pPr>
      <w:r w:rsidRPr="00FC4052">
        <w:rPr>
          <w:rFonts w:cs="Times New Roman"/>
        </w:rPr>
        <w:t xml:space="preserve">This collection of information does not </w:t>
      </w:r>
      <w:r w:rsidRPr="00FC4052" w:rsidR="00452CFD">
        <w:rPr>
          <w:rFonts w:cs="Times New Roman"/>
        </w:rPr>
        <w:t>impose any additional burden on small businesses.</w:t>
      </w:r>
      <w:r w:rsidRPr="00FC4052" w:rsidR="00BE4517">
        <w:rPr>
          <w:rFonts w:cs="Times New Roman"/>
        </w:rPr>
        <w:t xml:space="preserve"> The </w:t>
      </w:r>
      <w:r w:rsidRPr="00FC4052" w:rsidR="00C474CF">
        <w:rPr>
          <w:rFonts w:cs="Times New Roman"/>
        </w:rPr>
        <w:t xml:space="preserve">use of information </w:t>
      </w:r>
      <w:r w:rsidRPr="00FC4052" w:rsidR="00BE4517">
        <w:rPr>
          <w:rFonts w:cs="Times New Roman"/>
        </w:rPr>
        <w:t>technology</w:t>
      </w:r>
      <w:r w:rsidRPr="00FC4052" w:rsidR="00C9082A">
        <w:rPr>
          <w:rFonts w:cs="Times New Roman"/>
        </w:rPr>
        <w:t xml:space="preserve"> </w:t>
      </w:r>
      <w:r w:rsidRPr="00FC4052" w:rsidR="00BE4517">
        <w:rPr>
          <w:rFonts w:cs="Times New Roman"/>
        </w:rPr>
        <w:t>described in Item 3</w:t>
      </w:r>
      <w:r w:rsidRPr="00FC4052" w:rsidR="00C474CF">
        <w:rPr>
          <w:rFonts w:cs="Times New Roman"/>
        </w:rPr>
        <w:t xml:space="preserve"> is</w:t>
      </w:r>
      <w:r w:rsidRPr="00FC4052" w:rsidR="008A0282">
        <w:rPr>
          <w:rFonts w:cs="Times New Roman"/>
        </w:rPr>
        <w:t xml:space="preserve"> for</w:t>
      </w:r>
      <w:r w:rsidRPr="00FC4052" w:rsidR="00C9082A">
        <w:rPr>
          <w:rFonts w:cs="Times New Roman"/>
        </w:rPr>
        <w:t xml:space="preserve"> all respondents</w:t>
      </w:r>
      <w:r w:rsidRPr="00FC4052" w:rsidR="009F26A6">
        <w:rPr>
          <w:rFonts w:cs="Times New Roman"/>
        </w:rPr>
        <w:t>.</w:t>
      </w:r>
    </w:p>
    <w:p w:rsidR="00B21C5C" w:rsidRPr="00C32062" w:rsidP="00C32062" w14:paraId="2ECCD0CF" w14:textId="77777777">
      <w:pPr>
        <w:spacing w:line="276" w:lineRule="auto"/>
        <w:contextualSpacing/>
        <w:rPr>
          <w:rFonts w:cs="Times New Roman"/>
          <w:szCs w:val="24"/>
        </w:rPr>
      </w:pPr>
    </w:p>
    <w:p w:rsidR="00071B16" w:rsidRPr="00C32062" w:rsidP="00C32062" w14:paraId="0F58FF4C" w14:textId="64D7A449">
      <w:pPr>
        <w:pStyle w:val="ListParagraph"/>
        <w:numPr>
          <w:ilvl w:val="0"/>
          <w:numId w:val="6"/>
        </w:numPr>
        <w:spacing w:line="276" w:lineRule="auto"/>
        <w:rPr>
          <w:rFonts w:cs="Times New Roman"/>
          <w:b/>
          <w:bCs/>
          <w:szCs w:val="24"/>
        </w:rPr>
      </w:pPr>
      <w:r w:rsidRPr="00C32062">
        <w:rPr>
          <w:rFonts w:cs="Times New Roman"/>
          <w:b/>
          <w:bCs/>
          <w:szCs w:val="24"/>
        </w:rPr>
        <w:t>Describe the consequence to Federal/FEMA program or policy activities if the collection of information is not conducted or is conducted less frequently</w:t>
      </w:r>
      <w:r w:rsidR="00A71BC0">
        <w:rPr>
          <w:rFonts w:cs="Times New Roman"/>
          <w:b/>
          <w:bCs/>
          <w:szCs w:val="24"/>
        </w:rPr>
        <w:t>,</w:t>
      </w:r>
      <w:r w:rsidRPr="00C32062">
        <w:rPr>
          <w:rFonts w:cs="Times New Roman"/>
          <w:b/>
          <w:bCs/>
          <w:szCs w:val="24"/>
        </w:rPr>
        <w:t xml:space="preserve"> as well as any technical or legal obstacles to reducing burden.</w:t>
      </w:r>
    </w:p>
    <w:p w:rsidR="00174B16" w:rsidRPr="00C32062" w:rsidP="00C32062" w14:paraId="7F724467" w14:textId="10250D35">
      <w:pPr>
        <w:spacing w:line="276" w:lineRule="auto"/>
        <w:contextualSpacing/>
        <w:rPr>
          <w:rFonts w:cs="Times New Roman"/>
          <w:szCs w:val="24"/>
        </w:rPr>
      </w:pPr>
    </w:p>
    <w:p w:rsidR="009D7373" w:rsidRPr="00C32062" w:rsidP="00C32062" w14:paraId="72A3AF51" w14:textId="77777777">
      <w:pPr>
        <w:spacing w:line="276" w:lineRule="auto"/>
        <w:contextualSpacing/>
        <w:rPr>
          <w:rFonts w:cs="Times New Roman"/>
          <w:szCs w:val="24"/>
        </w:rPr>
      </w:pPr>
      <w:r w:rsidRPr="00C32062">
        <w:rPr>
          <w:rFonts w:cs="Times New Roman"/>
          <w:spacing w:val="-3"/>
          <w:szCs w:val="24"/>
        </w:rPr>
        <w:t xml:space="preserve">Without this collection, the NFIP could not provide appropriate flood insurance coverage and effective customer service to property owners in communities participating in the NFIP.  This would result in FEMA’s inability to meet mandates required by law.  </w:t>
      </w:r>
    </w:p>
    <w:p w:rsidR="00174B16" w:rsidRPr="00C32062" w:rsidP="00C32062" w14:paraId="2D901C8B" w14:textId="77777777">
      <w:pPr>
        <w:spacing w:line="276" w:lineRule="auto"/>
        <w:contextualSpacing/>
        <w:rPr>
          <w:rFonts w:cs="Times New Roman"/>
          <w:szCs w:val="24"/>
        </w:rPr>
      </w:pPr>
    </w:p>
    <w:p w:rsidR="00071B16" w:rsidRPr="00C32062" w:rsidP="00C32062" w14:paraId="245DF4BF" w14:textId="1973C391">
      <w:pPr>
        <w:pStyle w:val="ListParagraph"/>
        <w:numPr>
          <w:ilvl w:val="0"/>
          <w:numId w:val="6"/>
        </w:numPr>
        <w:spacing w:line="276" w:lineRule="auto"/>
        <w:rPr>
          <w:rFonts w:cs="Times New Roman"/>
          <w:b/>
          <w:bCs/>
          <w:szCs w:val="24"/>
        </w:rPr>
      </w:pPr>
      <w:r w:rsidRPr="00C32062">
        <w:rPr>
          <w:rFonts w:cs="Times New Roman"/>
          <w:b/>
          <w:bCs/>
          <w:szCs w:val="24"/>
        </w:rPr>
        <w:t>Explain any special circumstances that would cause an information collection to be conducted in a manner</w:t>
      </w:r>
      <w:r w:rsidRPr="00C32062" w:rsidR="00DF3547">
        <w:rPr>
          <w:rFonts w:cs="Times New Roman"/>
          <w:b/>
          <w:bCs/>
          <w:szCs w:val="24"/>
        </w:rPr>
        <w:t xml:space="preserve"> (</w:t>
      </w:r>
      <w:r w:rsidRPr="00C32062" w:rsidR="00DF3547">
        <w:rPr>
          <w:rFonts w:cs="Times New Roman"/>
          <w:b/>
          <w:bCs/>
          <w:i/>
          <w:iCs/>
          <w:szCs w:val="24"/>
        </w:rPr>
        <w:t>See</w:t>
      </w:r>
      <w:r w:rsidRPr="00C32062" w:rsidR="00DF3547">
        <w:rPr>
          <w:rFonts w:cs="Times New Roman"/>
          <w:b/>
          <w:bCs/>
          <w:szCs w:val="24"/>
        </w:rPr>
        <w:t xml:space="preserve"> 5 CFR 1320.5(d)(2))</w:t>
      </w:r>
      <w:r w:rsidRPr="00C32062">
        <w:rPr>
          <w:rFonts w:cs="Times New Roman"/>
          <w:b/>
          <w:bCs/>
          <w:szCs w:val="24"/>
        </w:rPr>
        <w:t>:</w:t>
      </w:r>
    </w:p>
    <w:p w:rsidR="00174B16" w:rsidRPr="00C32062" w:rsidP="00C32062" w14:paraId="01B1ACD0" w14:textId="77777777">
      <w:pPr>
        <w:spacing w:line="276" w:lineRule="auto"/>
        <w:contextualSpacing/>
        <w:rPr>
          <w:rFonts w:cs="Times New Roman"/>
          <w:szCs w:val="24"/>
        </w:rPr>
      </w:pPr>
    </w:p>
    <w:p w:rsidR="00071B16" w:rsidRPr="00C32062" w:rsidP="00C32062" w14:paraId="17ECAC91" w14:textId="0CA3C462">
      <w:pPr>
        <w:pStyle w:val="ListParagraph"/>
        <w:numPr>
          <w:ilvl w:val="1"/>
          <w:numId w:val="6"/>
        </w:numPr>
        <w:spacing w:line="276" w:lineRule="auto"/>
        <w:rPr>
          <w:rFonts w:cs="Times New Roman"/>
          <w:b/>
          <w:bCs/>
          <w:szCs w:val="24"/>
        </w:rPr>
      </w:pPr>
      <w:r w:rsidRPr="00C32062">
        <w:rPr>
          <w:rFonts w:cs="Times New Roman"/>
          <w:b/>
          <w:bCs/>
          <w:szCs w:val="24"/>
        </w:rPr>
        <w:t>Requiring respondents to report information to the agency more often than quarterly.</w:t>
      </w:r>
    </w:p>
    <w:p w:rsidR="00174B16" w:rsidRPr="008518A1" w:rsidP="00C32062" w14:paraId="03C4E808" w14:textId="1F2FC453">
      <w:pPr>
        <w:spacing w:line="276" w:lineRule="auto"/>
        <w:contextualSpacing/>
        <w:rPr>
          <w:rFonts w:cs="Times New Roman"/>
          <w:spacing w:val="-3"/>
          <w:szCs w:val="24"/>
        </w:rPr>
      </w:pPr>
    </w:p>
    <w:p w:rsidR="00174B16" w:rsidRPr="008518A1" w:rsidP="00C32062" w14:paraId="068B790D" w14:textId="797B63DF">
      <w:pPr>
        <w:spacing w:line="276" w:lineRule="auto"/>
        <w:contextualSpacing/>
        <w:rPr>
          <w:rFonts w:cs="Times New Roman"/>
          <w:spacing w:val="-3"/>
          <w:szCs w:val="24"/>
        </w:rPr>
      </w:pPr>
      <w:r w:rsidRPr="008518A1">
        <w:rPr>
          <w:rFonts w:cs="Times New Roman"/>
          <w:spacing w:val="-3"/>
          <w:szCs w:val="24"/>
        </w:rPr>
        <w:t>This information collection does not require respondents to report information more than quarterly.</w:t>
      </w:r>
    </w:p>
    <w:p w:rsidR="00174B16" w:rsidRPr="008518A1" w:rsidP="00C32062" w14:paraId="7DB9B284" w14:textId="77777777">
      <w:pPr>
        <w:spacing w:line="276" w:lineRule="auto"/>
        <w:contextualSpacing/>
        <w:rPr>
          <w:rFonts w:cs="Times New Roman"/>
          <w:spacing w:val="-3"/>
          <w:szCs w:val="24"/>
        </w:rPr>
      </w:pPr>
    </w:p>
    <w:p w:rsidR="00071B16" w:rsidRPr="00C32062" w:rsidP="00C32062" w14:paraId="7FDB1D55" w14:textId="7054E43D">
      <w:pPr>
        <w:pStyle w:val="ListParagraph"/>
        <w:numPr>
          <w:ilvl w:val="1"/>
          <w:numId w:val="6"/>
        </w:numPr>
        <w:spacing w:line="276" w:lineRule="auto"/>
        <w:rPr>
          <w:rFonts w:cs="Times New Roman"/>
          <w:b/>
          <w:bCs/>
          <w:szCs w:val="24"/>
        </w:rPr>
      </w:pPr>
      <w:r w:rsidRPr="00C32062">
        <w:rPr>
          <w:rFonts w:cs="Times New Roman"/>
          <w:b/>
          <w:bCs/>
          <w:szCs w:val="24"/>
        </w:rPr>
        <w:t>Requiring respondents to prepare a written response to a collection of information in fewer than 30 days after receipt of it.</w:t>
      </w:r>
    </w:p>
    <w:p w:rsidR="00174B16" w:rsidRPr="008518A1" w:rsidP="00C32062" w14:paraId="712FD6DC" w14:textId="3D704EA9">
      <w:pPr>
        <w:spacing w:line="276" w:lineRule="auto"/>
        <w:contextualSpacing/>
        <w:rPr>
          <w:rFonts w:cs="Times New Roman"/>
          <w:spacing w:val="-3"/>
          <w:szCs w:val="24"/>
        </w:rPr>
      </w:pPr>
    </w:p>
    <w:p w:rsidR="00174B16" w:rsidRPr="008518A1" w:rsidP="00C32062" w14:paraId="18866BC9" w14:textId="0F29AE53">
      <w:pPr>
        <w:spacing w:line="276" w:lineRule="auto"/>
        <w:contextualSpacing/>
        <w:rPr>
          <w:rFonts w:cs="Times New Roman"/>
          <w:spacing w:val="-3"/>
          <w:szCs w:val="24"/>
        </w:rPr>
      </w:pPr>
      <w:r w:rsidRPr="008518A1">
        <w:rPr>
          <w:rFonts w:cs="Times New Roman"/>
          <w:spacing w:val="-3"/>
          <w:szCs w:val="24"/>
        </w:rPr>
        <w:t>This information collection does not require respondents to prepare a written response in fewer than 30 days after receipt of it.</w:t>
      </w:r>
    </w:p>
    <w:p w:rsidR="00174B16" w:rsidRPr="008518A1" w:rsidP="00C32062" w14:paraId="2B73E381" w14:textId="77777777">
      <w:pPr>
        <w:spacing w:line="276" w:lineRule="auto"/>
        <w:contextualSpacing/>
        <w:rPr>
          <w:rFonts w:cs="Times New Roman"/>
          <w:spacing w:val="-3"/>
          <w:szCs w:val="24"/>
        </w:rPr>
      </w:pPr>
    </w:p>
    <w:p w:rsidR="00071B16" w:rsidRPr="00C32062" w:rsidP="00C32062" w14:paraId="72D4D044" w14:textId="5802742D">
      <w:pPr>
        <w:pStyle w:val="ListParagraph"/>
        <w:numPr>
          <w:ilvl w:val="1"/>
          <w:numId w:val="6"/>
        </w:numPr>
        <w:spacing w:line="276" w:lineRule="auto"/>
        <w:rPr>
          <w:rFonts w:cs="Times New Roman"/>
          <w:b/>
          <w:bCs/>
          <w:szCs w:val="24"/>
        </w:rPr>
      </w:pPr>
      <w:r w:rsidRPr="00C32062">
        <w:rPr>
          <w:rFonts w:cs="Times New Roman"/>
          <w:b/>
          <w:bCs/>
          <w:szCs w:val="24"/>
        </w:rPr>
        <w:t>Requiring respondents to submit more than an original and two copies of any document.</w:t>
      </w:r>
    </w:p>
    <w:p w:rsidR="00174B16" w:rsidRPr="008518A1" w:rsidP="00C32062" w14:paraId="4452524E" w14:textId="47E4E224">
      <w:pPr>
        <w:spacing w:line="276" w:lineRule="auto"/>
        <w:contextualSpacing/>
        <w:rPr>
          <w:rFonts w:cs="Times New Roman"/>
          <w:spacing w:val="-3"/>
          <w:szCs w:val="24"/>
        </w:rPr>
      </w:pPr>
    </w:p>
    <w:p w:rsidR="00174B16" w:rsidRPr="008518A1" w:rsidP="00C32062" w14:paraId="32C4492F" w14:textId="4EF3BB4A">
      <w:pPr>
        <w:spacing w:line="276" w:lineRule="auto"/>
        <w:contextualSpacing/>
        <w:rPr>
          <w:rFonts w:cs="Times New Roman"/>
          <w:spacing w:val="-3"/>
          <w:szCs w:val="24"/>
        </w:rPr>
      </w:pPr>
      <w:r w:rsidRPr="008518A1">
        <w:rPr>
          <w:rFonts w:cs="Times New Roman"/>
          <w:spacing w:val="-3"/>
          <w:szCs w:val="24"/>
        </w:rPr>
        <w:t>This information collection does not require respondents to submit more than an original and two copies of any document.</w:t>
      </w:r>
    </w:p>
    <w:p w:rsidR="00174B16" w:rsidRPr="008518A1" w:rsidP="00C32062" w14:paraId="2035FF59" w14:textId="77777777">
      <w:pPr>
        <w:spacing w:line="276" w:lineRule="auto"/>
        <w:contextualSpacing/>
        <w:rPr>
          <w:rFonts w:cs="Times New Roman"/>
          <w:spacing w:val="-3"/>
          <w:szCs w:val="24"/>
        </w:rPr>
      </w:pPr>
    </w:p>
    <w:p w:rsidR="00071B16" w:rsidRPr="00C32062" w:rsidP="00C32062" w14:paraId="7102A920" w14:textId="17EB98D1">
      <w:pPr>
        <w:pStyle w:val="ListParagraph"/>
        <w:numPr>
          <w:ilvl w:val="1"/>
          <w:numId w:val="6"/>
        </w:numPr>
        <w:spacing w:line="276" w:lineRule="auto"/>
        <w:rPr>
          <w:rFonts w:cs="Times New Roman"/>
          <w:b/>
          <w:bCs/>
          <w:szCs w:val="24"/>
        </w:rPr>
      </w:pPr>
      <w:r w:rsidRPr="00C32062">
        <w:rPr>
          <w:rFonts w:cs="Times New Roman"/>
          <w:b/>
          <w:bCs/>
          <w:szCs w:val="24"/>
        </w:rPr>
        <w:t>Requiring respondents to retain records, other than health, medical, government contract, grant-in-aid, or tax records for more than three years.</w:t>
      </w:r>
    </w:p>
    <w:p w:rsidR="00174B16" w:rsidRPr="008518A1" w:rsidP="00C32062" w14:paraId="3D56C811" w14:textId="2FFBD0EF">
      <w:pPr>
        <w:spacing w:line="276" w:lineRule="auto"/>
        <w:contextualSpacing/>
        <w:rPr>
          <w:rFonts w:cs="Times New Roman"/>
          <w:spacing w:val="-3"/>
          <w:szCs w:val="24"/>
        </w:rPr>
      </w:pPr>
    </w:p>
    <w:p w:rsidR="00174B16" w:rsidRPr="008518A1" w:rsidP="190F8D64" w14:paraId="6A8B39C3" w14:textId="737E82BB">
      <w:pPr>
        <w:spacing w:line="276" w:lineRule="auto"/>
        <w:contextualSpacing/>
        <w:rPr>
          <w:rFonts w:cs="Times New Roman"/>
          <w:spacing w:val="-3"/>
        </w:rPr>
      </w:pPr>
      <w:r w:rsidRPr="190F8D64">
        <w:rPr>
          <w:rFonts w:cs="Times New Roman"/>
          <w:spacing w:val="-3"/>
        </w:rPr>
        <w:t>This information collection does not require respondents to retain records (other than health, medical, government contract, grant-in-aid, or tax records) for more than three years</w:t>
      </w:r>
      <w:r w:rsidRPr="190F8D64" w:rsidR="5EC0C42A">
        <w:rPr>
          <w:rFonts w:cs="Times New Roman"/>
          <w:spacing w:val="-3"/>
        </w:rPr>
        <w:t>, under applicable Federal law and regulation</w:t>
      </w:r>
      <w:r w:rsidRPr="190F8D64">
        <w:rPr>
          <w:rFonts w:cs="Times New Roman"/>
          <w:spacing w:val="-3"/>
        </w:rPr>
        <w:t>.</w:t>
      </w:r>
    </w:p>
    <w:p w:rsidR="00174B16" w:rsidRPr="008518A1" w:rsidP="00C32062" w14:paraId="32FE27AA" w14:textId="77777777">
      <w:pPr>
        <w:spacing w:line="276" w:lineRule="auto"/>
        <w:contextualSpacing/>
        <w:rPr>
          <w:rFonts w:cs="Times New Roman"/>
          <w:spacing w:val="-3"/>
          <w:szCs w:val="24"/>
        </w:rPr>
      </w:pPr>
    </w:p>
    <w:p w:rsidR="00071B16" w:rsidRPr="00C32062" w:rsidP="00C32062" w14:paraId="0521C8A0" w14:textId="5291C59C">
      <w:pPr>
        <w:pStyle w:val="ListParagraph"/>
        <w:numPr>
          <w:ilvl w:val="1"/>
          <w:numId w:val="6"/>
        </w:numPr>
        <w:spacing w:line="276" w:lineRule="auto"/>
        <w:rPr>
          <w:rFonts w:cs="Times New Roman"/>
          <w:b/>
          <w:bCs/>
          <w:szCs w:val="24"/>
        </w:rPr>
      </w:pPr>
      <w:r w:rsidRPr="00C32062">
        <w:rPr>
          <w:rFonts w:cs="Times New Roman"/>
          <w:b/>
          <w:bCs/>
          <w:szCs w:val="24"/>
        </w:rPr>
        <w:t>In connection with a statistical survey, that is not designed to produce valid and reliable results that can be generalized to the universe of study.</w:t>
      </w:r>
    </w:p>
    <w:p w:rsidR="00174B16" w:rsidRPr="008518A1" w:rsidP="00C32062" w14:paraId="6B5260ED" w14:textId="0EA610C9">
      <w:pPr>
        <w:spacing w:line="276" w:lineRule="auto"/>
        <w:contextualSpacing/>
        <w:rPr>
          <w:rFonts w:cs="Times New Roman"/>
          <w:spacing w:val="-3"/>
          <w:szCs w:val="24"/>
        </w:rPr>
      </w:pPr>
    </w:p>
    <w:p w:rsidR="00174B16" w:rsidRPr="008518A1" w:rsidP="00C32062" w14:paraId="13DEA4D2" w14:textId="5E9AD40B">
      <w:pPr>
        <w:spacing w:line="276" w:lineRule="auto"/>
        <w:contextualSpacing/>
        <w:rPr>
          <w:rFonts w:cs="Times New Roman"/>
          <w:spacing w:val="-3"/>
          <w:szCs w:val="24"/>
        </w:rPr>
      </w:pPr>
      <w:r w:rsidRPr="008518A1">
        <w:rPr>
          <w:rFonts w:cs="Times New Roman"/>
          <w:spacing w:val="-3"/>
          <w:szCs w:val="24"/>
        </w:rPr>
        <w:t>This information collection does not include a statistical survey</w:t>
      </w:r>
      <w:r w:rsidRPr="00C32062" w:rsidR="00170134">
        <w:rPr>
          <w:rFonts w:cs="Times New Roman"/>
          <w:spacing w:val="-3"/>
          <w:szCs w:val="24"/>
        </w:rPr>
        <w:t>.</w:t>
      </w:r>
    </w:p>
    <w:p w:rsidR="00174B16" w:rsidRPr="008518A1" w:rsidP="00C32062" w14:paraId="5FE1B833" w14:textId="77777777">
      <w:pPr>
        <w:spacing w:line="276" w:lineRule="auto"/>
        <w:contextualSpacing/>
        <w:rPr>
          <w:rFonts w:cs="Times New Roman"/>
          <w:spacing w:val="-3"/>
          <w:szCs w:val="24"/>
        </w:rPr>
      </w:pPr>
    </w:p>
    <w:p w:rsidR="00071B16" w:rsidRPr="00C32062" w:rsidP="00C32062" w14:paraId="497FD2A9" w14:textId="5B446E90">
      <w:pPr>
        <w:pStyle w:val="ListParagraph"/>
        <w:numPr>
          <w:ilvl w:val="1"/>
          <w:numId w:val="6"/>
        </w:numPr>
        <w:spacing w:line="276" w:lineRule="auto"/>
        <w:rPr>
          <w:rFonts w:cs="Times New Roman"/>
          <w:b/>
          <w:bCs/>
          <w:szCs w:val="24"/>
        </w:rPr>
      </w:pPr>
      <w:r w:rsidRPr="00C32062">
        <w:rPr>
          <w:rFonts w:cs="Times New Roman"/>
          <w:b/>
          <w:bCs/>
          <w:szCs w:val="24"/>
        </w:rPr>
        <w:t>Requiring the use of a statistical data classification that has not been reviewed and approved by OMB.</w:t>
      </w:r>
    </w:p>
    <w:p w:rsidR="00174B16" w:rsidRPr="008518A1" w:rsidP="00C32062" w14:paraId="315225D2" w14:textId="6B9ECAED">
      <w:pPr>
        <w:spacing w:line="276" w:lineRule="auto"/>
        <w:contextualSpacing/>
        <w:rPr>
          <w:rFonts w:cs="Times New Roman"/>
          <w:spacing w:val="-3"/>
          <w:szCs w:val="24"/>
        </w:rPr>
      </w:pPr>
    </w:p>
    <w:p w:rsidR="00174B16" w:rsidRPr="008518A1" w:rsidP="00C32062" w14:paraId="45DBE5DA" w14:textId="55BF5BC6">
      <w:pPr>
        <w:spacing w:line="276" w:lineRule="auto"/>
        <w:contextualSpacing/>
        <w:rPr>
          <w:rFonts w:cs="Times New Roman"/>
          <w:spacing w:val="-3"/>
          <w:szCs w:val="24"/>
        </w:rPr>
      </w:pPr>
      <w:r w:rsidRPr="008518A1">
        <w:rPr>
          <w:rFonts w:cs="Times New Roman"/>
          <w:spacing w:val="-3"/>
          <w:szCs w:val="24"/>
        </w:rPr>
        <w:t>This information collection does not use a statistical data classification that has not been reviewed and approved by OMB.</w:t>
      </w:r>
    </w:p>
    <w:p w:rsidR="00174B16" w:rsidRPr="00C32062" w:rsidP="00C32062" w14:paraId="47529CDC" w14:textId="77777777">
      <w:pPr>
        <w:spacing w:line="276" w:lineRule="auto"/>
        <w:contextualSpacing/>
        <w:rPr>
          <w:rFonts w:cs="Times New Roman"/>
          <w:szCs w:val="24"/>
        </w:rPr>
      </w:pPr>
    </w:p>
    <w:p w:rsidR="00071B16" w:rsidRPr="00C32062" w:rsidP="00C32062" w14:paraId="11CF00A2" w14:textId="47586BC7">
      <w:pPr>
        <w:pStyle w:val="ListParagraph"/>
        <w:numPr>
          <w:ilvl w:val="1"/>
          <w:numId w:val="6"/>
        </w:numPr>
        <w:spacing w:line="276" w:lineRule="auto"/>
        <w:rPr>
          <w:rFonts w:cs="Times New Roman"/>
          <w:b/>
          <w:bCs/>
          <w:szCs w:val="24"/>
        </w:rPr>
      </w:pPr>
      <w:r w:rsidRPr="00C32062">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8518A1" w:rsidP="00C32062" w14:paraId="5B5804AA" w14:textId="1C7C0178">
      <w:pPr>
        <w:spacing w:line="276" w:lineRule="auto"/>
        <w:contextualSpacing/>
        <w:rPr>
          <w:rFonts w:cs="Times New Roman"/>
          <w:spacing w:val="-3"/>
          <w:szCs w:val="24"/>
        </w:rPr>
      </w:pPr>
    </w:p>
    <w:p w:rsidR="00174B16" w:rsidRPr="008518A1" w:rsidP="00C32062" w14:paraId="5C510B52" w14:textId="1409A9A5">
      <w:pPr>
        <w:spacing w:line="276" w:lineRule="auto"/>
        <w:contextualSpacing/>
        <w:rPr>
          <w:rFonts w:cs="Times New Roman"/>
          <w:spacing w:val="-3"/>
          <w:szCs w:val="24"/>
        </w:rPr>
      </w:pPr>
      <w:r w:rsidRPr="008518A1">
        <w:rPr>
          <w:rFonts w:cs="Times New Roman"/>
          <w:spacing w:val="-3"/>
          <w:szCs w:val="24"/>
        </w:rPr>
        <w:t xml:space="preserve">This information collection does not include a pledge of confidentiality that is not supported by established authorities or policies.  </w:t>
      </w:r>
    </w:p>
    <w:p w:rsidR="00174B16" w:rsidRPr="008518A1" w:rsidP="00C32062" w14:paraId="340E2E1A" w14:textId="77777777">
      <w:pPr>
        <w:spacing w:line="276" w:lineRule="auto"/>
        <w:contextualSpacing/>
        <w:rPr>
          <w:rFonts w:cs="Times New Roman"/>
          <w:spacing w:val="-3"/>
          <w:szCs w:val="24"/>
        </w:rPr>
      </w:pPr>
    </w:p>
    <w:p w:rsidR="00174B16" w:rsidRPr="00C32062" w:rsidP="00C32062" w14:paraId="262B928D" w14:textId="319279D1">
      <w:pPr>
        <w:pStyle w:val="ListParagraph"/>
        <w:numPr>
          <w:ilvl w:val="1"/>
          <w:numId w:val="6"/>
        </w:numPr>
        <w:spacing w:line="276" w:lineRule="auto"/>
        <w:rPr>
          <w:rFonts w:cs="Times New Roman"/>
          <w:b/>
          <w:bCs/>
          <w:szCs w:val="24"/>
        </w:rPr>
      </w:pPr>
      <w:r w:rsidRPr="00C32062">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8518A1" w:rsidP="00C32062" w14:paraId="1FAA1968" w14:textId="7547AFF2">
      <w:pPr>
        <w:spacing w:line="276" w:lineRule="auto"/>
        <w:contextualSpacing/>
        <w:rPr>
          <w:rFonts w:cs="Times New Roman"/>
          <w:spacing w:val="-3"/>
          <w:szCs w:val="24"/>
        </w:rPr>
      </w:pPr>
    </w:p>
    <w:p w:rsidR="00174B16" w:rsidRPr="008518A1" w:rsidP="190F8D64" w14:paraId="5A35CA27" w14:textId="68E12171">
      <w:pPr>
        <w:spacing w:line="276" w:lineRule="auto"/>
        <w:contextualSpacing/>
        <w:rPr>
          <w:rFonts w:cs="Times New Roman"/>
          <w:spacing w:val="-3"/>
        </w:rPr>
      </w:pPr>
      <w:r w:rsidRPr="190F8D64">
        <w:rPr>
          <w:rFonts w:cs="Times New Roman"/>
          <w:spacing w:val="-3"/>
        </w:rPr>
        <w:t xml:space="preserve">This information collection does not require respondents to </w:t>
      </w:r>
      <w:r w:rsidRPr="190F8D64" w:rsidR="007C221D">
        <w:rPr>
          <w:rFonts w:cs="Times New Roman"/>
          <w:spacing w:val="-3"/>
        </w:rPr>
        <w:t xml:space="preserve">submit </w:t>
      </w:r>
      <w:r w:rsidRPr="190F8D64" w:rsidR="002177E8">
        <w:rPr>
          <w:rFonts w:cs="Times New Roman"/>
          <w:spacing w:val="-3"/>
        </w:rPr>
        <w:t>trade secrets or other confidential information.</w:t>
      </w:r>
      <w:r w:rsidR="006C3B1E">
        <w:rPr>
          <w:rFonts w:cs="Times New Roman"/>
          <w:spacing w:val="-3"/>
        </w:rPr>
        <w:t xml:space="preserve"> This information collection does collect PII from applicants as detailed in our Privacy Threshold Analysis.</w:t>
      </w:r>
    </w:p>
    <w:p w:rsidR="00174B16" w:rsidRPr="008518A1" w:rsidP="00C32062" w14:paraId="79BDCA15" w14:textId="7A1B670F">
      <w:pPr>
        <w:spacing w:line="276" w:lineRule="auto"/>
        <w:contextualSpacing/>
        <w:rPr>
          <w:rFonts w:cs="Times New Roman"/>
          <w:spacing w:val="-3"/>
          <w:szCs w:val="24"/>
        </w:rPr>
      </w:pPr>
    </w:p>
    <w:p w:rsidR="00071B16" w:rsidRPr="00C32062" w:rsidP="00C32062" w14:paraId="4F1A2C9D" w14:textId="47338CB7">
      <w:pPr>
        <w:pStyle w:val="ListParagraph"/>
        <w:numPr>
          <w:ilvl w:val="0"/>
          <w:numId w:val="6"/>
        </w:numPr>
        <w:spacing w:line="276" w:lineRule="auto"/>
        <w:rPr>
          <w:rFonts w:cs="Times New Roman"/>
          <w:b/>
          <w:bCs/>
          <w:szCs w:val="24"/>
        </w:rPr>
      </w:pPr>
      <w:r w:rsidRPr="00C32062">
        <w:rPr>
          <w:rFonts w:cs="Times New Roman"/>
          <w:b/>
          <w:bCs/>
          <w:szCs w:val="24"/>
        </w:rPr>
        <w:t>Federal Register Notice:</w:t>
      </w:r>
    </w:p>
    <w:p w:rsidR="00174B16" w:rsidRPr="00C32062" w:rsidP="00C32062" w14:paraId="43BCFE64" w14:textId="77777777">
      <w:pPr>
        <w:spacing w:line="276" w:lineRule="auto"/>
        <w:contextualSpacing/>
        <w:rPr>
          <w:rFonts w:cs="Times New Roman"/>
          <w:szCs w:val="24"/>
        </w:rPr>
      </w:pPr>
    </w:p>
    <w:p w:rsidR="00071B16" w:rsidRPr="00C32062" w:rsidP="00C32062" w14:paraId="402BB010" w14:textId="676BFBEB">
      <w:pPr>
        <w:pStyle w:val="ListParagraph"/>
        <w:numPr>
          <w:ilvl w:val="1"/>
          <w:numId w:val="6"/>
        </w:numPr>
        <w:spacing w:line="276" w:lineRule="auto"/>
        <w:rPr>
          <w:rFonts w:cs="Times New Roman"/>
          <w:b/>
          <w:bCs/>
          <w:szCs w:val="24"/>
        </w:rPr>
      </w:pPr>
      <w:r w:rsidRPr="00C32062">
        <w:rPr>
          <w:rFonts w:cs="Times New Roman"/>
          <w:b/>
          <w:bCs/>
          <w:szCs w:val="24"/>
        </w:rPr>
        <w:t>Provide a copy and identify the date and page number of publication</w:t>
      </w:r>
      <w:r w:rsidR="00A71BC0">
        <w:rPr>
          <w:rFonts w:cs="Times New Roman"/>
          <w:b/>
          <w:bCs/>
          <w:szCs w:val="24"/>
        </w:rPr>
        <w:t>s</w:t>
      </w:r>
      <w:r w:rsidRPr="00C32062">
        <w:rPr>
          <w:rFonts w:cs="Times New Roman"/>
          <w:b/>
          <w:bCs/>
          <w:szCs w:val="24"/>
        </w:rPr>
        <w:t xml:space="preserve"> in the Federal Register of the </w:t>
      </w:r>
      <w:r w:rsidR="00DC5240">
        <w:rPr>
          <w:rFonts w:cs="Times New Roman"/>
          <w:b/>
          <w:bCs/>
          <w:szCs w:val="24"/>
        </w:rPr>
        <w:t>A</w:t>
      </w:r>
      <w:r w:rsidRPr="00C32062">
        <w:rPr>
          <w:rFonts w:cs="Times New Roman"/>
          <w:b/>
          <w:bCs/>
          <w:szCs w:val="24"/>
        </w:rPr>
        <w:t>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B6034C" w:rsidP="00C32062" w14:paraId="5E273DF8" w14:textId="77777777">
      <w:pPr>
        <w:spacing w:line="276" w:lineRule="auto"/>
        <w:contextualSpacing/>
        <w:rPr>
          <w:rFonts w:cs="Times New Roman"/>
          <w:spacing w:val="-3"/>
          <w:szCs w:val="24"/>
        </w:rPr>
      </w:pPr>
    </w:p>
    <w:p w:rsidR="00174B16" w:rsidRPr="00B6034C" w:rsidP="00C32062" w14:paraId="7A750109" w14:textId="45A2309B">
      <w:pPr>
        <w:spacing w:line="276" w:lineRule="auto"/>
        <w:contextualSpacing/>
        <w:rPr>
          <w:rFonts w:cs="Times New Roman"/>
          <w:spacing w:val="-3"/>
          <w:szCs w:val="24"/>
        </w:rPr>
      </w:pPr>
      <w:r w:rsidRPr="00B6034C">
        <w:rPr>
          <w:rFonts w:cs="Times New Roman"/>
          <w:spacing w:val="-3"/>
          <w:szCs w:val="24"/>
        </w:rPr>
        <w:t xml:space="preserve">A 60-day Federal Register Notice inviting public comments was published on </w:t>
      </w:r>
      <w:r w:rsidRPr="00B6034C" w:rsidR="0041598D">
        <w:rPr>
          <w:rFonts w:cs="Times New Roman"/>
          <w:spacing w:val="-3"/>
          <w:szCs w:val="24"/>
        </w:rPr>
        <w:t xml:space="preserve">April 11, 2024, at 89 FR </w:t>
      </w:r>
      <w:r w:rsidRPr="00B6034C" w:rsidR="00E27363">
        <w:rPr>
          <w:rFonts w:cs="Times New Roman"/>
          <w:spacing w:val="-3"/>
          <w:szCs w:val="24"/>
        </w:rPr>
        <w:t>25642</w:t>
      </w:r>
      <w:r w:rsidRPr="00B6034C">
        <w:rPr>
          <w:rFonts w:cs="Times New Roman"/>
          <w:spacing w:val="-3"/>
          <w:szCs w:val="24"/>
        </w:rPr>
        <w:t xml:space="preserve">.  </w:t>
      </w:r>
      <w:r w:rsidR="004A092D">
        <w:rPr>
          <w:color w:val="000000" w:themeColor="text1"/>
        </w:rPr>
        <w:t>One public comment discussing wildfires was received, but FEMA considers this comment to not be germane to this NFIP information collection</w:t>
      </w:r>
      <w:r w:rsidRPr="00B6034C">
        <w:rPr>
          <w:rFonts w:cs="Times New Roman"/>
          <w:spacing w:val="-3"/>
          <w:szCs w:val="24"/>
        </w:rPr>
        <w:t>.</w:t>
      </w:r>
    </w:p>
    <w:p w:rsidR="00174B16" w:rsidP="00C32062" w14:paraId="553D67B0" w14:textId="30E0798D">
      <w:pPr>
        <w:spacing w:line="276" w:lineRule="auto"/>
        <w:contextualSpacing/>
        <w:rPr>
          <w:rFonts w:cs="Times New Roman"/>
          <w:spacing w:val="-3"/>
          <w:szCs w:val="24"/>
        </w:rPr>
      </w:pPr>
    </w:p>
    <w:p w:rsidR="004A092D" w:rsidP="00C32062" w14:paraId="6F120794" w14:textId="642A6846">
      <w:pPr>
        <w:spacing w:line="276" w:lineRule="auto"/>
        <w:contextualSpacing/>
        <w:rPr>
          <w:rFonts w:cs="Times New Roman"/>
          <w:spacing w:val="-3"/>
          <w:szCs w:val="24"/>
        </w:rPr>
      </w:pPr>
      <w:r w:rsidRPr="002E0D9F">
        <w:rPr>
          <w:rFonts w:cs="Times New Roman"/>
          <w:i/>
          <w:iCs/>
          <w:spacing w:val="-3"/>
          <w:szCs w:val="24"/>
        </w:rPr>
        <w:t>Public Comment FEMA-2024-0011-00002:</w:t>
      </w:r>
      <w:r>
        <w:rPr>
          <w:rFonts w:cs="Times New Roman"/>
          <w:spacing w:val="-3"/>
          <w:szCs w:val="24"/>
        </w:rPr>
        <w:t xml:space="preserve"> </w:t>
      </w:r>
      <w:r w:rsidR="00D46975">
        <w:rPr>
          <w:rFonts w:cs="Times New Roman"/>
          <w:spacing w:val="-3"/>
          <w:szCs w:val="24"/>
        </w:rPr>
        <w:t xml:space="preserve"> The public comment from WhoPoo App states:</w:t>
      </w:r>
    </w:p>
    <w:p w:rsidR="004A092D" w:rsidP="00C32062" w14:paraId="09FD8B22" w14:textId="77777777">
      <w:pPr>
        <w:spacing w:line="276" w:lineRule="auto"/>
        <w:contextualSpacing/>
        <w:rPr>
          <w:rFonts w:cs="Times New Roman"/>
          <w:spacing w:val="-3"/>
          <w:szCs w:val="24"/>
        </w:rPr>
      </w:pPr>
    </w:p>
    <w:p w:rsidR="00DC6371" w:rsidP="002E0D9F" w14:paraId="3B81560A" w14:textId="65A02651">
      <w:pPr>
        <w:spacing w:line="276" w:lineRule="auto"/>
        <w:ind w:left="720"/>
        <w:contextualSpacing/>
      </w:pPr>
      <w:r>
        <w:t>“</w:t>
      </w:r>
      <w:r>
        <w:t>According to The LA Times, almost 10% of California wildfires are caused by arson. FEMA has no carveout or exception, nor any liability imposed on the arsonists for natural disasters caused by arson. A college professor. A Caltech grad. A woman in a bikini. And, just this month, a father and son.</w:t>
      </w:r>
    </w:p>
    <w:p w:rsidR="008150D0" w:rsidP="002E0D9F" w14:paraId="4B805908" w14:textId="77777777">
      <w:pPr>
        <w:spacing w:line="276" w:lineRule="auto"/>
        <w:ind w:left="720"/>
        <w:contextualSpacing/>
      </w:pPr>
      <w:r>
        <w:t>A</w:t>
      </w:r>
    </w:p>
    <w:p w:rsidR="00DC6371" w:rsidP="002E0D9F" w14:paraId="6FFF9BFB" w14:textId="5ACB7CD2">
      <w:pPr>
        <w:spacing w:line="276" w:lineRule="auto"/>
        <w:ind w:left="720"/>
        <w:contextualSpacing/>
      </w:pPr>
      <w:r>
        <w:t xml:space="preserve"> confounding collection of Californians have been accused of contributing to one of the worst wildfire seasons in state history — a season that saw three killed, thousands of homes leveled and more than 2.5 million acres burned.</w:t>
      </w:r>
    </w:p>
    <w:p w:rsidR="008150D0" w:rsidP="002E0D9F" w14:paraId="10F843D4" w14:textId="77777777">
      <w:pPr>
        <w:spacing w:line="276" w:lineRule="auto"/>
        <w:ind w:left="720"/>
        <w:contextualSpacing/>
      </w:pPr>
    </w:p>
    <w:p w:rsidR="00DC6371" w:rsidP="002E0D9F" w14:paraId="22C75659" w14:textId="778052E0">
      <w:pPr>
        <w:spacing w:line="276" w:lineRule="auto"/>
        <w:ind w:left="720"/>
        <w:contextualSpacing/>
      </w:pPr>
      <w:r>
        <w:t>While fires ignited by downed power lines and lightning have caused widespread destruction in recent years, this last wildfire season was unusual for the number of large fires that were linked to arson. Wildfire arson arrests have been climbing over the last few years: In 2021, the California Department of Forestry and Fire Protection reported 140 arrests by its law enforcement division — 20 more than last year and double the number of 2019. In California, lawmakers distinguish between two types of arson: willful, malicious arson and reckless arson, such as when a person sets off fireworks in dry brush, Muschetto said. Identifying the source of a wildfire is one of the more technical jobs in law enforcement, and in 2019 — the most recent year for which he had data — the causes of the majority of California’s wildfires were undetermined. Electrical equipment accounted for about 12% and lightning 6%.</w:t>
      </w:r>
    </w:p>
    <w:p w:rsidR="008150D0" w:rsidP="002E0D9F" w14:paraId="66FA3360" w14:textId="77777777">
      <w:pPr>
        <w:spacing w:line="276" w:lineRule="auto"/>
        <w:ind w:left="720"/>
        <w:contextualSpacing/>
      </w:pPr>
    </w:p>
    <w:p w:rsidR="00DC6371" w:rsidP="002E0D9F" w14:paraId="008C08CD" w14:textId="33B94E36">
      <w:pPr>
        <w:spacing w:line="276" w:lineRule="auto"/>
        <w:ind w:left="720"/>
        <w:contextualSpacing/>
      </w:pPr>
      <w:r>
        <w:t>But arson was also a factor, sparking about 9% of fires in 2019, and roughly 8% to 10% of the state’s wildfires in any given year. In 2021, when Cal Fire responded to more than 8,600 fires, that could mean as many as 800 blazes.</w:t>
      </w:r>
    </w:p>
    <w:p w:rsidR="008150D0" w:rsidP="002E0D9F" w14:paraId="06E1D14D" w14:textId="77777777">
      <w:pPr>
        <w:spacing w:line="276" w:lineRule="auto"/>
        <w:ind w:left="720"/>
        <w:contextualSpacing/>
      </w:pPr>
    </w:p>
    <w:p w:rsidR="00DC6371" w:rsidP="002E0D9F" w14:paraId="091FB144" w14:textId="61F4EFD6">
      <w:pPr>
        <w:spacing w:line="276" w:lineRule="auto"/>
        <w:ind w:left="720"/>
        <w:contextualSpacing/>
        <w:rPr>
          <w:rFonts w:cs="Times New Roman"/>
          <w:spacing w:val="-3"/>
          <w:szCs w:val="24"/>
        </w:rPr>
      </w:pPr>
      <w:r>
        <w:t xml:space="preserve">One of the alleged arsonists who made national headlines this year was Gary Maynard, a former college professor linked to an “arson-setting spree” near the site of the Dixie fire, the second-largest wildfire in California’s recorded history. Please prioritize hiring fire investigators and determinants to reduce false FEMA claims. See </w:t>
      </w:r>
      <w:hyperlink r:id="rId12" w:history="1">
        <w:r w:rsidRPr="0033689C" w:rsidR="008150D0">
          <w:rPr>
            <w:rStyle w:val="Hyperlink"/>
          </w:rPr>
          <w:t>https://www.latimes.com/california/story/2021-12-31/is-wildfire-arson-getting-worse-in-california</w:t>
        </w:r>
      </w:hyperlink>
      <w:r w:rsidR="008150D0">
        <w:t>”</w:t>
      </w:r>
    </w:p>
    <w:p w:rsidR="004A092D" w:rsidP="00C32062" w14:paraId="17D2146C" w14:textId="77777777">
      <w:pPr>
        <w:spacing w:line="276" w:lineRule="auto"/>
        <w:contextualSpacing/>
        <w:rPr>
          <w:rFonts w:cs="Times New Roman"/>
          <w:spacing w:val="-3"/>
          <w:szCs w:val="24"/>
        </w:rPr>
      </w:pPr>
    </w:p>
    <w:p w:rsidR="00474EB6" w:rsidP="00C32062" w14:paraId="2C086BAE" w14:textId="5F3FC84D">
      <w:pPr>
        <w:spacing w:line="276" w:lineRule="auto"/>
        <w:contextualSpacing/>
        <w:rPr>
          <w:rFonts w:cs="Times New Roman"/>
          <w:spacing w:val="-3"/>
          <w:szCs w:val="24"/>
        </w:rPr>
      </w:pPr>
      <w:r w:rsidRPr="002E0D9F">
        <w:rPr>
          <w:rFonts w:cs="Times New Roman"/>
          <w:i/>
          <w:iCs/>
          <w:spacing w:val="-3"/>
          <w:szCs w:val="24"/>
        </w:rPr>
        <w:t>FEMA response to FEMA-2024-0011-00002:</w:t>
      </w:r>
      <w:r w:rsidR="00106423">
        <w:rPr>
          <w:rFonts w:cs="Times New Roman"/>
          <w:spacing w:val="-3"/>
          <w:szCs w:val="24"/>
        </w:rPr>
        <w:t xml:space="preserve">  </w:t>
      </w:r>
      <w:r w:rsidR="00AC5ECF">
        <w:rPr>
          <w:rFonts w:cs="Times New Roman"/>
          <w:spacing w:val="-3"/>
          <w:szCs w:val="24"/>
        </w:rPr>
        <w:t>FEMA does not consider this public comment discussing wildfires to be germane to this NFIP information collection.</w:t>
      </w:r>
    </w:p>
    <w:p w:rsidR="00474EB6" w:rsidRPr="00B6034C" w:rsidP="00C32062" w14:paraId="1B12E26D" w14:textId="77777777">
      <w:pPr>
        <w:spacing w:line="276" w:lineRule="auto"/>
        <w:contextualSpacing/>
        <w:rPr>
          <w:rFonts w:cs="Times New Roman"/>
          <w:spacing w:val="-3"/>
          <w:szCs w:val="24"/>
        </w:rPr>
      </w:pPr>
    </w:p>
    <w:p w:rsidR="00174B16" w:rsidRPr="00C67B8B" w:rsidP="00C32062" w14:paraId="2EA3E4F9" w14:textId="3BAE24F2">
      <w:pPr>
        <w:spacing w:line="276" w:lineRule="auto"/>
        <w:contextualSpacing/>
        <w:rPr>
          <w:rFonts w:cs="Times New Roman"/>
          <w:color w:val="000000"/>
          <w:szCs w:val="24"/>
        </w:rPr>
      </w:pPr>
      <w:r w:rsidRPr="00C32062">
        <w:rPr>
          <w:rFonts w:cs="Times New Roman"/>
          <w:color w:val="000000"/>
          <w:szCs w:val="24"/>
        </w:rPr>
        <w:t>A 30-day Federal Register Notice inviting public comments was published o</w:t>
      </w:r>
      <w:r w:rsidRPr="00C67B8B">
        <w:rPr>
          <w:rFonts w:cs="Times New Roman"/>
          <w:color w:val="000000"/>
          <w:szCs w:val="24"/>
        </w:rPr>
        <w:t xml:space="preserve">n </w:t>
      </w:r>
      <w:r w:rsidRPr="00C67B8B" w:rsidR="009A6C2F">
        <w:rPr>
          <w:rFonts w:cs="Times New Roman"/>
          <w:color w:val="000000"/>
          <w:szCs w:val="24"/>
        </w:rPr>
        <w:t>August 14, 2024, at 89 FR 6612</w:t>
      </w:r>
      <w:r w:rsidR="00E101E1">
        <w:rPr>
          <w:rFonts w:cs="Times New Roman"/>
          <w:color w:val="000000"/>
          <w:szCs w:val="24"/>
        </w:rPr>
        <w:t>5</w:t>
      </w:r>
      <w:r w:rsidRPr="00C67B8B">
        <w:rPr>
          <w:rFonts w:cs="Times New Roman"/>
          <w:color w:val="000000"/>
          <w:szCs w:val="24"/>
        </w:rPr>
        <w:t xml:space="preserve">.  </w:t>
      </w:r>
      <w:r w:rsidRPr="00C67B8B" w:rsidR="00590BC1">
        <w:rPr>
          <w:rFonts w:cs="Times New Roman"/>
          <w:color w:val="000000"/>
          <w:szCs w:val="24"/>
        </w:rPr>
        <w:t>The public comment period is open until September 13, 2024</w:t>
      </w:r>
      <w:r w:rsidRPr="00C67B8B">
        <w:rPr>
          <w:rFonts w:cs="Times New Roman"/>
          <w:color w:val="000000"/>
          <w:szCs w:val="24"/>
        </w:rPr>
        <w:t>.</w:t>
      </w:r>
    </w:p>
    <w:p w:rsidR="00174B16" w:rsidRPr="00C32062" w:rsidP="00C32062" w14:paraId="689F5B41" w14:textId="77777777">
      <w:pPr>
        <w:spacing w:line="276" w:lineRule="auto"/>
        <w:contextualSpacing/>
        <w:rPr>
          <w:rFonts w:cs="Times New Roman"/>
          <w:szCs w:val="24"/>
        </w:rPr>
      </w:pPr>
    </w:p>
    <w:p w:rsidR="00071B16" w:rsidRPr="00C32062" w:rsidP="00C32062" w14:paraId="367C58CF" w14:textId="47C1738A">
      <w:pPr>
        <w:pStyle w:val="ListParagraph"/>
        <w:numPr>
          <w:ilvl w:val="1"/>
          <w:numId w:val="6"/>
        </w:numPr>
        <w:spacing w:line="276" w:lineRule="auto"/>
        <w:rPr>
          <w:rFonts w:cs="Times New Roman"/>
          <w:b/>
          <w:bCs/>
          <w:szCs w:val="24"/>
        </w:rPr>
      </w:pPr>
      <w:r w:rsidRPr="00C32062">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RPr="00C32062" w:rsidP="00C32062" w14:paraId="7767D619" w14:textId="77777777">
      <w:pPr>
        <w:spacing w:line="276" w:lineRule="auto"/>
        <w:contextualSpacing/>
        <w:rPr>
          <w:rFonts w:cs="Times New Roman"/>
          <w:szCs w:val="24"/>
        </w:rPr>
      </w:pPr>
    </w:p>
    <w:p w:rsidR="003B695B" w:rsidRPr="00C32062" w:rsidP="00C32062" w14:paraId="5515F769" w14:textId="77777777">
      <w:pPr>
        <w:spacing w:line="276" w:lineRule="auto"/>
        <w:contextualSpacing/>
        <w:rPr>
          <w:rFonts w:cs="Times New Roman"/>
          <w:szCs w:val="24"/>
        </w:rPr>
      </w:pPr>
      <w:r w:rsidRPr="00C32062">
        <w:rPr>
          <w:rFonts w:cs="Times New Roman"/>
          <w:szCs w:val="24"/>
        </w:rPr>
        <w:t xml:space="preserve">FEMA routinely invites stakeholder input on the policy forms and any other program documentation.  FEMA maintains an underwriting mailbox through the NFIP Direct that our stakeholders can contact to ask questions or provide comments.  </w:t>
      </w:r>
    </w:p>
    <w:p w:rsidR="003B695B" w:rsidRPr="00C32062" w:rsidP="00C32062" w14:paraId="46C156AE" w14:textId="77777777">
      <w:pPr>
        <w:spacing w:line="276" w:lineRule="auto"/>
        <w:contextualSpacing/>
        <w:rPr>
          <w:rFonts w:cs="Times New Roman"/>
          <w:szCs w:val="24"/>
        </w:rPr>
      </w:pPr>
    </w:p>
    <w:p w:rsidR="003B695B" w:rsidRPr="00C32062" w:rsidP="00C32062" w14:paraId="02271B65" w14:textId="6EBFE299">
      <w:pPr>
        <w:spacing w:line="276" w:lineRule="auto"/>
        <w:contextualSpacing/>
        <w:rPr>
          <w:rFonts w:cs="Times New Roman"/>
          <w:color w:val="000000"/>
          <w:szCs w:val="24"/>
        </w:rPr>
      </w:pPr>
      <w:r w:rsidRPr="00C32062">
        <w:rPr>
          <w:rFonts w:cs="Times New Roman"/>
          <w:szCs w:val="24"/>
        </w:rPr>
        <w:t xml:space="preserve">FEMA representatives also meet quarterly with </w:t>
      </w:r>
      <w:r w:rsidRPr="00C32062">
        <w:rPr>
          <w:rFonts w:cs="Times New Roman"/>
          <w:color w:val="000000" w:themeColor="text1"/>
          <w:szCs w:val="24"/>
        </w:rPr>
        <w:t xml:space="preserve">the Flood Insurance Producer National Committee (FIPNC) and representatives from the Insurance Institute for Business &amp; Home Safety (IBHS) to discuss any aspects of the NFIP that are of concern to them.  The FIPNC is comprised of non-government professionals involved with the NFIP and the IBHS is an independent, non-profit, scientific and educational organization wholly supported by the property insurance industry. </w:t>
      </w:r>
      <w:r w:rsidRPr="00C32062" w:rsidR="00B964A9">
        <w:rPr>
          <w:rFonts w:cs="Times New Roman"/>
          <w:color w:val="000000" w:themeColor="text1"/>
          <w:szCs w:val="24"/>
        </w:rPr>
        <w:t xml:space="preserve"> </w:t>
      </w:r>
      <w:r w:rsidRPr="00C32062">
        <w:rPr>
          <w:rFonts w:cs="Times New Roman"/>
          <w:color w:val="000000" w:themeColor="text1"/>
          <w:szCs w:val="24"/>
        </w:rPr>
        <w:t xml:space="preserve">This information collection, including the forms used, is open to FIPNC and IBHS as a subject of discussion if they so choose.  </w:t>
      </w:r>
    </w:p>
    <w:p w:rsidR="003B695B" w:rsidRPr="00C32062" w:rsidP="00C32062" w14:paraId="31529E6D" w14:textId="77777777">
      <w:pPr>
        <w:shd w:val="clear" w:color="auto" w:fill="FFFFFF"/>
        <w:tabs>
          <w:tab w:val="left" w:pos="-720"/>
          <w:tab w:val="left" w:pos="720"/>
        </w:tabs>
        <w:suppressAutoHyphens/>
        <w:spacing w:line="276" w:lineRule="auto"/>
        <w:contextualSpacing/>
        <w:rPr>
          <w:rFonts w:eastAsia="Times New Roman" w:cs="Times New Roman"/>
          <w:color w:val="000000"/>
          <w:szCs w:val="24"/>
        </w:rPr>
      </w:pPr>
    </w:p>
    <w:p w:rsidR="003B695B" w:rsidRPr="00C32062" w:rsidP="00C32062" w14:paraId="49947FEF" w14:textId="77777777">
      <w:pPr>
        <w:tabs>
          <w:tab w:val="left" w:pos="-720"/>
          <w:tab w:val="left" w:pos="5580"/>
        </w:tabs>
        <w:suppressAutoHyphens/>
        <w:spacing w:line="276" w:lineRule="auto"/>
        <w:contextualSpacing/>
        <w:rPr>
          <w:rFonts w:cs="Times New Roman"/>
          <w:color w:val="000000"/>
          <w:szCs w:val="24"/>
        </w:rPr>
      </w:pPr>
      <w:r w:rsidRPr="00C32062">
        <w:rPr>
          <w:rFonts w:cs="Times New Roman"/>
          <w:color w:val="000000"/>
          <w:szCs w:val="24"/>
        </w:rPr>
        <w:t xml:space="preserve">In addition, NFIP personnel frequently discuss the NFIP Policy Forms at meetings with other involved users, e.g., insurance agents, insurance company officials, mortgage lenders, surveyors, engineers, and others.  </w:t>
      </w:r>
    </w:p>
    <w:p w:rsidR="00491423" w:rsidRPr="00C32062" w:rsidP="00C32062" w14:paraId="347B7028" w14:textId="77777777">
      <w:pPr>
        <w:spacing w:line="276" w:lineRule="auto"/>
        <w:contextualSpacing/>
        <w:rPr>
          <w:rFonts w:cs="Times New Roman"/>
          <w:szCs w:val="24"/>
        </w:rPr>
      </w:pPr>
    </w:p>
    <w:p w:rsidR="00071B16" w:rsidRPr="00C32062" w:rsidP="00C32062" w14:paraId="200C4876" w14:textId="3D3362F3">
      <w:pPr>
        <w:pStyle w:val="ListParagraph"/>
        <w:numPr>
          <w:ilvl w:val="1"/>
          <w:numId w:val="6"/>
        </w:numPr>
        <w:spacing w:line="276" w:lineRule="auto"/>
        <w:rPr>
          <w:rFonts w:cs="Times New Roman"/>
          <w:b/>
          <w:bCs/>
          <w:szCs w:val="24"/>
        </w:rPr>
      </w:pPr>
      <w:r w:rsidRPr="00C32062">
        <w:rPr>
          <w:rFonts w:cs="Times New Roman"/>
          <w:b/>
          <w:bCs/>
          <w:szCs w:val="24"/>
        </w:rPr>
        <w:t xml:space="preserve">Describe </w:t>
      </w:r>
      <w:r w:rsidRPr="00C32062" w:rsidR="00E655F0">
        <w:rPr>
          <w:rFonts w:cs="Times New Roman"/>
          <w:b/>
          <w:bCs/>
          <w:szCs w:val="24"/>
        </w:rPr>
        <w:t>consultations</w:t>
      </w:r>
      <w:r w:rsidRPr="00C32062">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74B16" w:rsidRPr="00C32062" w:rsidP="00C32062" w14:paraId="0A3BEB5A" w14:textId="7C11B0B5">
      <w:pPr>
        <w:spacing w:line="276" w:lineRule="auto"/>
        <w:contextualSpacing/>
        <w:rPr>
          <w:rFonts w:cs="Times New Roman"/>
          <w:szCs w:val="24"/>
        </w:rPr>
      </w:pPr>
    </w:p>
    <w:p w:rsidR="00707E5C" w:rsidRPr="00C32062" w:rsidP="00C32062" w14:paraId="134FF758" w14:textId="7E617D10">
      <w:pPr>
        <w:spacing w:line="276" w:lineRule="auto"/>
        <w:contextualSpacing/>
        <w:rPr>
          <w:rFonts w:cs="Times New Roman"/>
          <w:szCs w:val="24"/>
        </w:rPr>
      </w:pPr>
      <w:bookmarkStart w:id="1" w:name="_Hlk127280480"/>
      <w:r>
        <w:rPr>
          <w:rFonts w:cs="Times New Roman"/>
          <w:szCs w:val="24"/>
        </w:rPr>
        <w:t xml:space="preserve">Please see our response to 8b above.  In addition, </w:t>
      </w:r>
      <w:r w:rsidRPr="00C32062">
        <w:rPr>
          <w:rFonts w:cs="Times New Roman"/>
          <w:szCs w:val="24"/>
        </w:rPr>
        <w:t xml:space="preserve">FEMA staff meet at least semi-annually with a working group to discuss recommended changes to our guidance documentation, specifically the NFIP Flood Insurance Manual, which includes information for the use of the policy forms.  Input includes suggestions received from the NFIP Direct (which works directly with agents who complete the forms on behalf of policyholders), </w:t>
      </w:r>
      <w:r w:rsidRPr="00C32062" w:rsidR="00170134">
        <w:rPr>
          <w:rFonts w:cs="Times New Roman"/>
          <w:szCs w:val="24"/>
        </w:rPr>
        <w:t>Write Your Own (</w:t>
      </w:r>
      <w:r w:rsidRPr="00C32062">
        <w:rPr>
          <w:rFonts w:cs="Times New Roman"/>
          <w:szCs w:val="24"/>
        </w:rPr>
        <w:t>WYO</w:t>
      </w:r>
      <w:r w:rsidRPr="00C32062" w:rsidR="00170134">
        <w:rPr>
          <w:rFonts w:cs="Times New Roman"/>
          <w:szCs w:val="24"/>
        </w:rPr>
        <w:t>)</w:t>
      </w:r>
      <w:r w:rsidRPr="00C32062">
        <w:rPr>
          <w:rFonts w:cs="Times New Roman"/>
          <w:szCs w:val="24"/>
        </w:rPr>
        <w:t xml:space="preserve"> insurance companies, agents, and policyholders. </w:t>
      </w:r>
      <w:r w:rsidR="004B4075">
        <w:rPr>
          <w:rFonts w:cs="Times New Roman"/>
          <w:szCs w:val="24"/>
        </w:rPr>
        <w:t xml:space="preserve"> </w:t>
      </w:r>
      <w:r w:rsidRPr="00C32062">
        <w:rPr>
          <w:rFonts w:cs="Times New Roman"/>
          <w:szCs w:val="24"/>
        </w:rPr>
        <w:t>We also conduct monthly calls with our WYO industry partners that include a question-and-answer period, during which they can bring up any concerns about the policy forms.</w:t>
      </w:r>
      <w:bookmarkEnd w:id="1"/>
    </w:p>
    <w:p w:rsidR="00BF6AC3" w:rsidRPr="00C32062" w:rsidP="00C32062" w14:paraId="6D878202" w14:textId="77777777">
      <w:pPr>
        <w:spacing w:line="276" w:lineRule="auto"/>
        <w:contextualSpacing/>
        <w:rPr>
          <w:rFonts w:cs="Times New Roman"/>
          <w:szCs w:val="24"/>
        </w:rPr>
      </w:pPr>
    </w:p>
    <w:p w:rsidR="00E655F0" w:rsidRPr="00C32062" w:rsidP="00C32062" w14:paraId="4157BB8D" w14:textId="0F13EB70">
      <w:pPr>
        <w:pStyle w:val="ListParagraph"/>
        <w:numPr>
          <w:ilvl w:val="0"/>
          <w:numId w:val="6"/>
        </w:numPr>
        <w:spacing w:line="276" w:lineRule="auto"/>
        <w:rPr>
          <w:rFonts w:cs="Times New Roman"/>
          <w:b/>
          <w:bCs/>
          <w:szCs w:val="24"/>
        </w:rPr>
      </w:pPr>
      <w:r w:rsidRPr="00C32062">
        <w:rPr>
          <w:rFonts w:cs="Times New Roman"/>
          <w:b/>
          <w:bCs/>
          <w:szCs w:val="24"/>
        </w:rPr>
        <w:t>Explain any decision to provide any payments or gift to respondents, other than remuneration of contractors or grantees.</w:t>
      </w:r>
    </w:p>
    <w:p w:rsidR="00174B16" w:rsidRPr="00C32062" w:rsidP="00C32062" w14:paraId="348D8AC8" w14:textId="4260079C">
      <w:pPr>
        <w:spacing w:line="276" w:lineRule="auto"/>
        <w:contextualSpacing/>
        <w:rPr>
          <w:rFonts w:cs="Times New Roman"/>
          <w:szCs w:val="24"/>
        </w:rPr>
      </w:pPr>
    </w:p>
    <w:p w:rsidR="00174B16" w:rsidRPr="00C32062" w:rsidP="00C32062" w14:paraId="7910D5EB" w14:textId="32F4732C">
      <w:pPr>
        <w:spacing w:line="276" w:lineRule="auto"/>
        <w:contextualSpacing/>
        <w:rPr>
          <w:rFonts w:cs="Times New Roman"/>
          <w:szCs w:val="24"/>
        </w:rPr>
      </w:pPr>
      <w:r w:rsidRPr="00C32062">
        <w:rPr>
          <w:rFonts w:cs="Times New Roman"/>
          <w:szCs w:val="24"/>
        </w:rPr>
        <w:t>FEMA does not provide payments or gifts to respondents.</w:t>
      </w:r>
    </w:p>
    <w:p w:rsidR="00174B16" w:rsidRPr="00C32062" w:rsidP="00C32062" w14:paraId="07CAEDDD" w14:textId="77777777">
      <w:pPr>
        <w:spacing w:line="276" w:lineRule="auto"/>
        <w:contextualSpacing/>
        <w:rPr>
          <w:rFonts w:cs="Times New Roman"/>
          <w:szCs w:val="24"/>
        </w:rPr>
      </w:pPr>
    </w:p>
    <w:p w:rsidR="00E655F0" w:rsidRPr="00C32062" w:rsidP="00C32062" w14:paraId="30A395C2" w14:textId="5BE3284A">
      <w:pPr>
        <w:pStyle w:val="ListParagraph"/>
        <w:numPr>
          <w:ilvl w:val="0"/>
          <w:numId w:val="6"/>
        </w:numPr>
        <w:spacing w:line="276" w:lineRule="auto"/>
        <w:rPr>
          <w:rFonts w:cs="Times New Roman"/>
          <w:b/>
          <w:bCs/>
          <w:szCs w:val="24"/>
        </w:rPr>
      </w:pPr>
      <w:r w:rsidRPr="00C32062">
        <w:rPr>
          <w:rFonts w:cs="Times New Roman"/>
          <w:b/>
          <w:bCs/>
          <w:szCs w:val="24"/>
        </w:rPr>
        <w:t>Describe any assurance of confidentiality provided to respondents.  Present the basis for the assurance in statute, regulation, or agency policy.</w:t>
      </w:r>
    </w:p>
    <w:p w:rsidR="00174B16" w:rsidRPr="00C32062" w:rsidP="00C32062" w14:paraId="2221A341" w14:textId="002316C8">
      <w:pPr>
        <w:spacing w:line="276" w:lineRule="auto"/>
        <w:contextualSpacing/>
        <w:rPr>
          <w:rFonts w:cs="Times New Roman"/>
          <w:szCs w:val="24"/>
        </w:rPr>
      </w:pPr>
    </w:p>
    <w:p w:rsidR="004A420E" w:rsidRPr="00C32062" w:rsidP="008D62DA" w14:paraId="0425BE63" w14:textId="190574EF">
      <w:pPr>
        <w:pStyle w:val="BodyText"/>
        <w:shd w:val="clear" w:color="auto" w:fill="FFFFFF" w:themeFill="background1"/>
        <w:spacing w:line="276" w:lineRule="auto"/>
        <w:contextualSpacing/>
        <w:rPr>
          <w:rFonts w:cs="Times New Roman"/>
        </w:rPr>
      </w:pPr>
      <w:r w:rsidRPr="190F8D64">
        <w:rPr>
          <w:rFonts w:cs="Times New Roman"/>
        </w:rPr>
        <w:t xml:space="preserve">FEMA limits the disclosure of the information collected to the </w:t>
      </w:r>
      <w:r w:rsidR="005F3A4E">
        <w:rPr>
          <w:rFonts w:cs="Times New Roman"/>
        </w:rPr>
        <w:t>NFIP Direct</w:t>
      </w:r>
      <w:r w:rsidRPr="190F8D64" w:rsidR="0302DA66">
        <w:rPr>
          <w:rFonts w:cs="Times New Roman"/>
        </w:rPr>
        <w:t xml:space="preserve"> </w:t>
      </w:r>
      <w:r w:rsidRPr="190F8D64">
        <w:rPr>
          <w:rFonts w:cs="Times New Roman"/>
        </w:rPr>
        <w:t xml:space="preserve">acting as the </w:t>
      </w:r>
      <w:r w:rsidRPr="190F8D64" w:rsidR="6EDB3430">
        <w:rPr>
          <w:rFonts w:cs="Times New Roman"/>
        </w:rPr>
        <w:t>G</w:t>
      </w:r>
      <w:r w:rsidRPr="190F8D64">
        <w:rPr>
          <w:rFonts w:cs="Times New Roman"/>
        </w:rPr>
        <w:t>overnment’s fiscal agent, to routine users, to the insured’s agent of record, and the mortgagee listed on the flood insurance policy.  The NFIP Direct system security plan complies with the Computer Security Act</w:t>
      </w:r>
      <w:r w:rsidRPr="190F8D64" w:rsidR="00396609">
        <w:rPr>
          <w:rFonts w:cs="Times New Roman"/>
        </w:rPr>
        <w:t xml:space="preserve"> of 1987 (Pub L. 100-235);</w:t>
      </w:r>
      <w:r w:rsidRPr="190F8D64">
        <w:rPr>
          <w:rFonts w:cs="Times New Roman"/>
        </w:rPr>
        <w:t xml:space="preserve"> </w:t>
      </w:r>
      <w:r w:rsidRPr="190F8D64" w:rsidR="00F64E4C">
        <w:rPr>
          <w:rFonts w:cs="Times New Roman"/>
        </w:rPr>
        <w:t>OMB Memorandum M-16-17</w:t>
      </w:r>
      <w:r w:rsidRPr="190F8D64" w:rsidR="00396609">
        <w:rPr>
          <w:rFonts w:cs="Times New Roman"/>
        </w:rPr>
        <w:t>;</w:t>
      </w:r>
      <w:r w:rsidRPr="190F8D64" w:rsidR="00F64E4C">
        <w:rPr>
          <w:rFonts w:cs="Times New Roman"/>
        </w:rPr>
        <w:t xml:space="preserve"> </w:t>
      </w:r>
      <w:r w:rsidRPr="190F8D64">
        <w:rPr>
          <w:rFonts w:cs="Times New Roman"/>
        </w:rPr>
        <w:t>OMB Circular A-123</w:t>
      </w:r>
      <w:r w:rsidRPr="190F8D64" w:rsidR="00F64E4C">
        <w:rPr>
          <w:rFonts w:cs="Times New Roman"/>
        </w:rPr>
        <w:t>, Management’s Responsibility for Enterprise Risk Management and Internal Control (July 15, 2016)</w:t>
      </w:r>
      <w:r w:rsidRPr="190F8D64" w:rsidR="00396609">
        <w:rPr>
          <w:rFonts w:cs="Times New Roman"/>
        </w:rPr>
        <w:t>;</w:t>
      </w:r>
      <w:r w:rsidRPr="190F8D64">
        <w:rPr>
          <w:rFonts w:cs="Times New Roman"/>
        </w:rPr>
        <w:t xml:space="preserve"> and </w:t>
      </w:r>
      <w:r w:rsidRPr="190F8D64" w:rsidR="006A1DF7">
        <w:rPr>
          <w:rFonts w:cs="Times New Roman"/>
        </w:rPr>
        <w:t xml:space="preserve">Circular No. </w:t>
      </w:r>
      <w:r w:rsidRPr="190F8D64">
        <w:rPr>
          <w:rFonts w:cs="Times New Roman"/>
        </w:rPr>
        <w:t>A-130</w:t>
      </w:r>
      <w:r w:rsidRPr="190F8D64" w:rsidR="006A1DF7">
        <w:rPr>
          <w:rFonts w:cs="Times New Roman"/>
        </w:rPr>
        <w:t>, Managing Information as a Strategic Resource (July 28, 2016)</w:t>
      </w:r>
      <w:r w:rsidRPr="190F8D64">
        <w:rPr>
          <w:rFonts w:cs="Times New Roman"/>
        </w:rPr>
        <w:t xml:space="preserve">.  The NFIP Direct  </w:t>
      </w:r>
      <w:r w:rsidRPr="190F8D64" w:rsidR="0FC65F88">
        <w:rPr>
          <w:rFonts w:cs="Times New Roman"/>
        </w:rPr>
        <w:t>S</w:t>
      </w:r>
      <w:r w:rsidRPr="190F8D64">
        <w:rPr>
          <w:rFonts w:cs="Times New Roman"/>
        </w:rPr>
        <w:t xml:space="preserve">ystem has protection and control of the data maintained in the system.  </w:t>
      </w:r>
    </w:p>
    <w:p w:rsidR="004A420E" w:rsidRPr="00C32062" w:rsidP="00C32062" w14:paraId="3705894C" w14:textId="77777777">
      <w:pPr>
        <w:pStyle w:val="BodyText"/>
        <w:shd w:val="clear" w:color="auto" w:fill="FFFFFF"/>
        <w:spacing w:line="276" w:lineRule="auto"/>
        <w:contextualSpacing/>
        <w:rPr>
          <w:rFonts w:cs="Times New Roman"/>
          <w:szCs w:val="24"/>
        </w:rPr>
      </w:pPr>
    </w:p>
    <w:p w:rsidR="004A420E" w:rsidRPr="00C32062" w:rsidP="190F8D64" w14:paraId="6A70FE53" w14:textId="726CB3FD">
      <w:pPr>
        <w:pStyle w:val="BodyText"/>
        <w:shd w:val="clear" w:color="auto" w:fill="FFFFFF" w:themeFill="background1"/>
        <w:spacing w:line="276" w:lineRule="auto"/>
        <w:contextualSpacing/>
        <w:rPr>
          <w:rFonts w:cs="Times New Roman"/>
        </w:rPr>
      </w:pPr>
      <w:r w:rsidRPr="190F8D64">
        <w:rPr>
          <w:rFonts w:cs="Times New Roman"/>
        </w:rPr>
        <w:t xml:space="preserve">A Privacy Threshold Analysis was approved by the Department of Homeland Security (DHS) on February 21, 2023.  A Privacy Act Notice was also approved by DHS on February 21, 2023.  A System of Records Notice (SORN), DHS/ FEMA-003 – National Flood Insurance Program Files System of Records Notice </w:t>
      </w:r>
      <w:r w:rsidRPr="190F8D64" w:rsidR="006A1DF7">
        <w:rPr>
          <w:rFonts w:cs="Times New Roman"/>
        </w:rPr>
        <w:t>(</w:t>
      </w:r>
      <w:r w:rsidRPr="190F8D64">
        <w:rPr>
          <w:rFonts w:cs="Times New Roman"/>
        </w:rPr>
        <w:t xml:space="preserve">79 </w:t>
      </w:r>
      <w:r w:rsidRPr="190F8D64" w:rsidR="006A1DF7">
        <w:rPr>
          <w:rFonts w:cs="Times New Roman"/>
        </w:rPr>
        <w:t>FR</w:t>
      </w:r>
      <w:r w:rsidRPr="190F8D64">
        <w:rPr>
          <w:rFonts w:cs="Times New Roman"/>
        </w:rPr>
        <w:t xml:space="preserve"> 28747</w:t>
      </w:r>
      <w:r w:rsidRPr="190F8D64" w:rsidR="006A1DF7">
        <w:rPr>
          <w:rFonts w:cs="Times New Roman"/>
        </w:rPr>
        <w:t>,</w:t>
      </w:r>
      <w:r w:rsidRPr="190F8D64">
        <w:rPr>
          <w:rFonts w:cs="Times New Roman"/>
        </w:rPr>
        <w:t xml:space="preserve"> May 19, 2014) has been completed.  The NFIP Direct System is currently covered by DHS/FEMA/PIA-048 National Flood Insurance Program (NFIP) Direct Servicing Agent (NFIP Direct) System, October 31, 2017, and DHS/FEMA/PIA-050 NFIP PIVOT System, March 28, 2018.</w:t>
      </w:r>
    </w:p>
    <w:p w:rsidR="00174B16" w:rsidRPr="00C32062" w:rsidP="00C32062" w14:paraId="5E3CC1C9" w14:textId="77777777">
      <w:pPr>
        <w:spacing w:line="276" w:lineRule="auto"/>
        <w:contextualSpacing/>
        <w:rPr>
          <w:rFonts w:cs="Times New Roman"/>
          <w:szCs w:val="24"/>
        </w:rPr>
      </w:pPr>
    </w:p>
    <w:p w:rsidR="00B3312A" w:rsidRPr="00C32062" w:rsidP="00C32062" w14:paraId="17A5CA01" w14:textId="4936CA48">
      <w:pPr>
        <w:pStyle w:val="ListParagraph"/>
        <w:numPr>
          <w:ilvl w:val="0"/>
          <w:numId w:val="6"/>
        </w:numPr>
        <w:spacing w:line="276" w:lineRule="auto"/>
        <w:rPr>
          <w:rFonts w:cs="Times New Roman"/>
          <w:b/>
          <w:bCs/>
          <w:szCs w:val="24"/>
        </w:rPr>
      </w:pPr>
      <w:r w:rsidRPr="00C32062">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C32062" w:rsidR="009B2B7F">
        <w:rPr>
          <w:rFonts w:cs="Times New Roman"/>
          <w:b/>
          <w:bCs/>
          <w:szCs w:val="24"/>
        </w:rPr>
        <w:t>to</w:t>
      </w:r>
      <w:r w:rsidRPr="00C32062">
        <w:rPr>
          <w:rFonts w:cs="Times New Roman"/>
          <w:b/>
          <w:bCs/>
          <w:szCs w:val="24"/>
        </w:rPr>
        <w:t xml:space="preserve"> be taken to obtain their consent.</w:t>
      </w:r>
    </w:p>
    <w:p w:rsidR="00EE0EFD" w:rsidRPr="00C32062" w:rsidP="00C32062" w14:paraId="1450DC3E" w14:textId="0AFEBAA3">
      <w:pPr>
        <w:spacing w:line="276" w:lineRule="auto"/>
        <w:contextualSpacing/>
        <w:rPr>
          <w:rFonts w:cs="Times New Roman"/>
          <w:szCs w:val="24"/>
        </w:rPr>
      </w:pPr>
    </w:p>
    <w:p w:rsidR="00F92C3F" w:rsidRPr="00C32062" w:rsidP="00C32062" w14:paraId="73429BD3" w14:textId="5A0C9735">
      <w:pPr>
        <w:spacing w:line="276" w:lineRule="auto"/>
        <w:contextualSpacing/>
        <w:rPr>
          <w:rFonts w:cs="Times New Roman"/>
          <w:szCs w:val="24"/>
        </w:rPr>
      </w:pPr>
      <w:r w:rsidRPr="008518A1">
        <w:rPr>
          <w:rFonts w:cs="Times New Roman"/>
          <w:szCs w:val="24"/>
        </w:rPr>
        <w:t>There are no questions of a sensitive nature.</w:t>
      </w:r>
    </w:p>
    <w:p w:rsidR="00EE0EFD" w:rsidRPr="00C32062" w:rsidP="00C32062" w14:paraId="694AB6CF" w14:textId="72541ADB">
      <w:pPr>
        <w:spacing w:line="276" w:lineRule="auto"/>
        <w:contextualSpacing/>
        <w:rPr>
          <w:rFonts w:cs="Times New Roman"/>
          <w:szCs w:val="24"/>
        </w:rPr>
      </w:pPr>
    </w:p>
    <w:p w:rsidR="00B3312A" w:rsidRPr="00C32062" w:rsidP="00C32062" w14:paraId="4AD7CC8E" w14:textId="19B93522">
      <w:pPr>
        <w:pStyle w:val="ListParagraph"/>
        <w:numPr>
          <w:ilvl w:val="0"/>
          <w:numId w:val="6"/>
        </w:numPr>
        <w:spacing w:line="276" w:lineRule="auto"/>
        <w:rPr>
          <w:rFonts w:cs="Times New Roman"/>
          <w:b/>
          <w:bCs/>
          <w:szCs w:val="24"/>
        </w:rPr>
      </w:pPr>
      <w:r w:rsidRPr="00C32062">
        <w:rPr>
          <w:rFonts w:cs="Times New Roman"/>
          <w:b/>
          <w:bCs/>
          <w:szCs w:val="24"/>
        </w:rPr>
        <w:t>Provide estimates of the hour burden of the collection of information.  The stat</w:t>
      </w:r>
      <w:r w:rsidRPr="00C32062" w:rsidR="006B5A7B">
        <w:rPr>
          <w:rFonts w:cs="Times New Roman"/>
          <w:b/>
          <w:bCs/>
          <w:szCs w:val="24"/>
        </w:rPr>
        <w:t>ement</w:t>
      </w:r>
      <w:r w:rsidRPr="00C32062">
        <w:rPr>
          <w:rFonts w:cs="Times New Roman"/>
          <w:b/>
          <w:bCs/>
          <w:szCs w:val="24"/>
        </w:rPr>
        <w:t xml:space="preserve"> should:</w:t>
      </w:r>
    </w:p>
    <w:p w:rsidR="00EE0EFD" w:rsidRPr="00C32062" w:rsidP="00C32062" w14:paraId="19007DA4" w14:textId="7DCD3444">
      <w:pPr>
        <w:spacing w:line="276" w:lineRule="auto"/>
        <w:contextualSpacing/>
        <w:rPr>
          <w:rFonts w:cs="Times New Roman"/>
          <w:szCs w:val="24"/>
        </w:rPr>
      </w:pPr>
    </w:p>
    <w:p w:rsidR="00B3312A" w:rsidRPr="00C32062" w:rsidP="2FDCFCC2" w14:paraId="2982763D" w14:textId="10C8F85A">
      <w:pPr>
        <w:pStyle w:val="ListParagraph"/>
        <w:numPr>
          <w:ilvl w:val="1"/>
          <w:numId w:val="6"/>
        </w:numPr>
        <w:spacing w:line="276" w:lineRule="auto"/>
        <w:rPr>
          <w:rFonts w:cs="Times New Roman"/>
          <w:b/>
          <w:bCs/>
        </w:rPr>
      </w:pPr>
      <w:r w:rsidRPr="3C3DE105">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C32062" w:rsidP="00C32062" w14:paraId="08EC548A" w14:textId="6F5E4E81">
      <w:pPr>
        <w:spacing w:line="276" w:lineRule="auto"/>
        <w:contextualSpacing/>
        <w:rPr>
          <w:rFonts w:cs="Times New Roman"/>
          <w:szCs w:val="24"/>
        </w:rPr>
      </w:pPr>
    </w:p>
    <w:p w:rsidR="00DF2F63" w:rsidRPr="00C32062" w:rsidP="190F8D64" w14:paraId="6BFB2A2D" w14:textId="0163AD2D">
      <w:pPr>
        <w:spacing w:line="276" w:lineRule="auto"/>
        <w:contextualSpacing/>
        <w:rPr>
          <w:rFonts w:cs="Times New Roman"/>
          <w:color w:val="000000" w:themeColor="text1"/>
        </w:rPr>
      </w:pPr>
      <w:r w:rsidRPr="190F8D64">
        <w:rPr>
          <w:rFonts w:cs="Times New Roman"/>
          <w:b/>
          <w:bCs/>
          <w:color w:val="000000" w:themeColor="text1"/>
        </w:rPr>
        <w:t xml:space="preserve">FEMA Form FF-206-FY-21-117 (formerly 086-0-1), </w:t>
      </w:r>
      <w:r w:rsidRPr="190F8D64" w:rsidR="00396609">
        <w:rPr>
          <w:rFonts w:cs="Times New Roman"/>
          <w:b/>
          <w:bCs/>
          <w:color w:val="000000" w:themeColor="text1"/>
        </w:rPr>
        <w:t xml:space="preserve">Flood Insurance </w:t>
      </w:r>
      <w:r w:rsidRPr="190F8D64">
        <w:rPr>
          <w:rFonts w:cs="Times New Roman"/>
          <w:b/>
          <w:bCs/>
          <w:color w:val="000000" w:themeColor="text1"/>
        </w:rPr>
        <w:t>Application:</w:t>
      </w:r>
      <w:r w:rsidRPr="190F8D64">
        <w:rPr>
          <w:rFonts w:cs="Times New Roman"/>
          <w:color w:val="000000" w:themeColor="text1"/>
        </w:rPr>
        <w:t xml:space="preserve"> is estimated to have 45,986 property owners (respondents)</w:t>
      </w:r>
      <w:r w:rsidRPr="190F8D64" w:rsidR="7B848EEC">
        <w:rPr>
          <w:rFonts w:cs="Times New Roman"/>
          <w:color w:val="000000" w:themeColor="text1"/>
        </w:rPr>
        <w:t>,</w:t>
      </w:r>
      <w:r w:rsidRPr="190F8D64">
        <w:rPr>
          <w:rFonts w:cs="Times New Roman"/>
          <w:color w:val="000000" w:themeColor="text1"/>
        </w:rPr>
        <w:t xml:space="preserve"> times 1 response per year for 45,986 total annual responses (45,986 x 1 = 45,986).  It is estimated that each response will require 0.2167 burden hours, or 13 minutes, to complete, therefore 45,986 responses times 0.2167 hours equals 9,965 total annual burden hours (45,986 x 0.2167= 9,965).</w:t>
      </w:r>
    </w:p>
    <w:p w:rsidR="00DF2F63" w:rsidRPr="00C32062" w:rsidP="00C32062" w14:paraId="1D8DE787" w14:textId="77777777">
      <w:pPr>
        <w:spacing w:line="276" w:lineRule="auto"/>
        <w:contextualSpacing/>
        <w:rPr>
          <w:rFonts w:cs="Times New Roman"/>
          <w:b/>
          <w:bCs/>
          <w:color w:val="000000" w:themeColor="text1"/>
          <w:szCs w:val="24"/>
          <w:highlight w:val="yellow"/>
        </w:rPr>
      </w:pPr>
    </w:p>
    <w:p w:rsidR="00DF2F63" w:rsidRPr="00C32062" w:rsidP="3C3DE105" w14:paraId="67F7DE2A" w14:textId="12A86D3A">
      <w:pPr>
        <w:spacing w:line="276" w:lineRule="auto"/>
        <w:contextualSpacing/>
        <w:rPr>
          <w:rFonts w:cs="Times New Roman"/>
          <w:color w:val="000000" w:themeColor="text1"/>
        </w:rPr>
      </w:pPr>
      <w:r w:rsidRPr="190F8D64">
        <w:rPr>
          <w:rFonts w:cs="Times New Roman"/>
          <w:b/>
          <w:bCs/>
          <w:color w:val="000000" w:themeColor="text1"/>
        </w:rPr>
        <w:t xml:space="preserve">FEMA Form FF-206-FY-21-118 (formerly 086-0-2), </w:t>
      </w:r>
      <w:r w:rsidRPr="190F8D64" w:rsidR="00396609">
        <w:rPr>
          <w:rFonts w:cs="Times New Roman"/>
          <w:b/>
          <w:bCs/>
          <w:color w:val="000000" w:themeColor="text1"/>
        </w:rPr>
        <w:t xml:space="preserve">Flood Insurance </w:t>
      </w:r>
      <w:r w:rsidRPr="190F8D64">
        <w:rPr>
          <w:rFonts w:cs="Times New Roman"/>
          <w:b/>
          <w:bCs/>
          <w:color w:val="000000" w:themeColor="text1"/>
        </w:rPr>
        <w:t>Cancellation</w:t>
      </w:r>
      <w:r w:rsidRPr="190F8D64" w:rsidR="00396609">
        <w:rPr>
          <w:rFonts w:cs="Times New Roman"/>
          <w:b/>
          <w:bCs/>
          <w:color w:val="000000" w:themeColor="text1"/>
        </w:rPr>
        <w:t>/Nullification Request Form</w:t>
      </w:r>
      <w:r w:rsidRPr="190F8D64">
        <w:rPr>
          <w:rFonts w:cs="Times New Roman"/>
          <w:b/>
          <w:bCs/>
          <w:color w:val="000000" w:themeColor="text1"/>
        </w:rPr>
        <w:t>:</w:t>
      </w:r>
      <w:r w:rsidRPr="190F8D64">
        <w:rPr>
          <w:rFonts w:cs="Times New Roman"/>
          <w:color w:val="000000" w:themeColor="text1"/>
        </w:rPr>
        <w:t xml:space="preserve"> is estimated to have 14,656 property owners (respondents)</w:t>
      </w:r>
      <w:r w:rsidRPr="190F8D64" w:rsidR="570BA02F">
        <w:rPr>
          <w:rFonts w:cs="Times New Roman"/>
          <w:color w:val="000000" w:themeColor="text1"/>
        </w:rPr>
        <w:t>,</w:t>
      </w:r>
      <w:r w:rsidRPr="190F8D64">
        <w:rPr>
          <w:rFonts w:cs="Times New Roman"/>
          <w:color w:val="000000" w:themeColor="text1"/>
        </w:rPr>
        <w:t xml:space="preserve"> times 1 response per year for 14,656 total annual responses (14,656 x 1 = 14,656).  It is estimated that each response will require 0.1500 burden hours, or 9 minutes, to complete, therefore 14,656 responses times 0.1500 hours equals 2,198 total annual burden hours (14,656 x 0.1500 = 2,198).</w:t>
      </w:r>
    </w:p>
    <w:p w:rsidR="00DF2F63" w:rsidRPr="00C32062" w:rsidP="00C32062" w14:paraId="2B12CCF9" w14:textId="77777777">
      <w:pPr>
        <w:spacing w:line="276" w:lineRule="auto"/>
        <w:contextualSpacing/>
        <w:rPr>
          <w:rFonts w:cs="Times New Roman"/>
          <w:b/>
          <w:bCs/>
          <w:color w:val="000000" w:themeColor="text1"/>
          <w:szCs w:val="24"/>
          <w:highlight w:val="yellow"/>
        </w:rPr>
      </w:pPr>
    </w:p>
    <w:p w:rsidR="00DF2F63" w:rsidRPr="00C32062" w:rsidP="3C3DE105" w14:paraId="0B4E2C86" w14:textId="627315BF">
      <w:pPr>
        <w:spacing w:line="276" w:lineRule="auto"/>
        <w:contextualSpacing/>
        <w:rPr>
          <w:rFonts w:cs="Times New Roman"/>
          <w:color w:val="000000" w:themeColor="text1"/>
        </w:rPr>
      </w:pPr>
      <w:r w:rsidRPr="190F8D64">
        <w:rPr>
          <w:rFonts w:cs="Times New Roman"/>
          <w:b/>
          <w:bCs/>
          <w:color w:val="000000" w:themeColor="text1"/>
        </w:rPr>
        <w:t xml:space="preserve">FEMA Form FF-206-FY-21-119 (formerly 086-0-3), </w:t>
      </w:r>
      <w:r w:rsidRPr="190F8D64" w:rsidR="00396609">
        <w:rPr>
          <w:rFonts w:cs="Times New Roman"/>
          <w:b/>
          <w:bCs/>
          <w:color w:val="000000" w:themeColor="text1"/>
        </w:rPr>
        <w:t xml:space="preserve">Flood Insurance General Change </w:t>
      </w:r>
      <w:r w:rsidRPr="190F8D64">
        <w:rPr>
          <w:rFonts w:cs="Times New Roman"/>
          <w:b/>
          <w:bCs/>
          <w:color w:val="000000" w:themeColor="text1"/>
        </w:rPr>
        <w:t>Endorsement:</w:t>
      </w:r>
      <w:r w:rsidRPr="190F8D64">
        <w:rPr>
          <w:rFonts w:cs="Times New Roman"/>
          <w:color w:val="000000" w:themeColor="text1"/>
        </w:rPr>
        <w:t xml:space="preserve"> is estimated to have 123,531 property owners (respondents)</w:t>
      </w:r>
      <w:r w:rsidRPr="190F8D64" w:rsidR="71077188">
        <w:rPr>
          <w:rFonts w:cs="Times New Roman"/>
          <w:color w:val="000000" w:themeColor="text1"/>
        </w:rPr>
        <w:t>,</w:t>
      </w:r>
      <w:r w:rsidRPr="190F8D64">
        <w:rPr>
          <w:rFonts w:cs="Times New Roman"/>
          <w:color w:val="000000" w:themeColor="text1"/>
        </w:rPr>
        <w:t xml:space="preserve"> times 1 response per year for 123,531 total annual responses (123,531 x 1 = 123,531).  It is estimated that each response will require 0.1333 burden hours, or 8 minutes, to complete, therefore 123,531 responses times 0.1333 hours equals 16,467 total annual burden hours (123,531 x 0.1333 = </w:t>
      </w:r>
      <w:r w:rsidRPr="190F8D64" w:rsidR="004B4075">
        <w:rPr>
          <w:rFonts w:cs="Times New Roman"/>
          <w:color w:val="000000" w:themeColor="text1"/>
        </w:rPr>
        <w:t xml:space="preserve">16,466.68, rounded up to </w:t>
      </w:r>
      <w:r w:rsidRPr="190F8D64">
        <w:rPr>
          <w:rFonts w:cs="Times New Roman"/>
          <w:color w:val="000000" w:themeColor="text1"/>
        </w:rPr>
        <w:t>16,467).</w:t>
      </w:r>
    </w:p>
    <w:p w:rsidR="00DF2F63" w:rsidRPr="00C32062" w:rsidP="00C32062" w14:paraId="510ECFC5" w14:textId="77777777">
      <w:pPr>
        <w:spacing w:line="276" w:lineRule="auto"/>
        <w:contextualSpacing/>
        <w:rPr>
          <w:rFonts w:cs="Times New Roman"/>
          <w:b/>
          <w:bCs/>
          <w:szCs w:val="24"/>
        </w:rPr>
      </w:pPr>
    </w:p>
    <w:p w:rsidR="00DF2F63" w:rsidRPr="008518A1" w:rsidP="190F8D64" w14:paraId="48FB7835" w14:textId="1199967C">
      <w:pPr>
        <w:spacing w:line="276" w:lineRule="auto"/>
        <w:contextualSpacing/>
        <w:rPr>
          <w:rFonts w:cs="Times New Roman"/>
          <w:color w:val="000000" w:themeColor="text1"/>
        </w:rPr>
      </w:pPr>
      <w:r w:rsidRPr="190F8D64">
        <w:rPr>
          <w:rFonts w:cs="Times New Roman"/>
          <w:b/>
          <w:bCs/>
        </w:rPr>
        <w:t xml:space="preserve">FEMA Form </w:t>
      </w:r>
      <w:r w:rsidRPr="190F8D64">
        <w:rPr>
          <w:rFonts w:cs="Times New Roman"/>
          <w:b/>
          <w:bCs/>
          <w:color w:val="000000" w:themeColor="text1"/>
        </w:rPr>
        <w:t>FF-</w:t>
      </w:r>
      <w:r w:rsidRPr="190F8D64" w:rsidR="000D6DD3">
        <w:rPr>
          <w:rFonts w:cs="Times New Roman"/>
          <w:b/>
          <w:bCs/>
          <w:color w:val="000000" w:themeColor="text1"/>
        </w:rPr>
        <w:t>206</w:t>
      </w:r>
      <w:r w:rsidRPr="190F8D64">
        <w:rPr>
          <w:rFonts w:cs="Times New Roman"/>
          <w:b/>
          <w:bCs/>
          <w:color w:val="000000" w:themeColor="text1"/>
        </w:rPr>
        <w:t>-FY-</w:t>
      </w:r>
      <w:r w:rsidRPr="190F8D64" w:rsidR="000D6DD3">
        <w:rPr>
          <w:rFonts w:cs="Times New Roman"/>
          <w:b/>
          <w:bCs/>
          <w:color w:val="000000" w:themeColor="text1"/>
        </w:rPr>
        <w:t>24</w:t>
      </w:r>
      <w:r w:rsidRPr="190F8D64">
        <w:rPr>
          <w:rFonts w:cs="Times New Roman"/>
          <w:b/>
          <w:bCs/>
          <w:color w:val="000000" w:themeColor="text1"/>
        </w:rPr>
        <w:t>-</w:t>
      </w:r>
      <w:r w:rsidRPr="190F8D64" w:rsidR="00396609">
        <w:rPr>
          <w:rFonts w:cs="Times New Roman"/>
          <w:b/>
          <w:bCs/>
          <w:color w:val="000000" w:themeColor="text1"/>
        </w:rPr>
        <w:t>103</w:t>
      </w:r>
      <w:r w:rsidRPr="190F8D64">
        <w:rPr>
          <w:rFonts w:cs="Times New Roman"/>
          <w:b/>
          <w:bCs/>
          <w:color w:val="000000" w:themeColor="text1"/>
        </w:rPr>
        <w:t>, e-Flood Insurance Application:</w:t>
      </w:r>
      <w:r w:rsidRPr="190F8D64">
        <w:rPr>
          <w:rFonts w:cs="Times New Roman"/>
          <w:color w:val="000000" w:themeColor="text1"/>
        </w:rPr>
        <w:t xml:space="preserve"> is estimated to have 100 </w:t>
      </w:r>
      <w:r w:rsidRPr="190F8D64" w:rsidR="00476081">
        <w:rPr>
          <w:rFonts w:cs="Times New Roman"/>
          <w:color w:val="000000" w:themeColor="text1"/>
        </w:rPr>
        <w:t>property owners (</w:t>
      </w:r>
      <w:r w:rsidRPr="190F8D64">
        <w:rPr>
          <w:rFonts w:cs="Times New Roman"/>
          <w:color w:val="000000" w:themeColor="text1"/>
        </w:rPr>
        <w:t>respondents</w:t>
      </w:r>
      <w:r w:rsidRPr="190F8D64" w:rsidR="00476081">
        <w:rPr>
          <w:rFonts w:cs="Times New Roman"/>
          <w:color w:val="000000" w:themeColor="text1"/>
        </w:rPr>
        <w:t>)</w:t>
      </w:r>
      <w:r w:rsidRPr="190F8D64" w:rsidR="00556B43">
        <w:rPr>
          <w:rFonts w:cs="Times New Roman"/>
          <w:color w:val="000000" w:themeColor="text1"/>
        </w:rPr>
        <w:t>,</w:t>
      </w:r>
      <w:r w:rsidRPr="190F8D64">
        <w:rPr>
          <w:rFonts w:cs="Times New Roman"/>
          <w:color w:val="000000" w:themeColor="text1"/>
        </w:rPr>
        <w:t xml:space="preserve"> times 1 response per year for 100 total annual responses (100 x 1 = 100).  It is estimated that each response will require 0.</w:t>
      </w:r>
      <w:r w:rsidRPr="190F8D64" w:rsidR="00106B5F">
        <w:rPr>
          <w:rFonts w:cs="Times New Roman"/>
          <w:color w:val="000000" w:themeColor="text1"/>
        </w:rPr>
        <w:t>1167</w:t>
      </w:r>
      <w:r w:rsidRPr="190F8D64">
        <w:rPr>
          <w:rFonts w:cs="Times New Roman"/>
          <w:color w:val="000000" w:themeColor="text1"/>
        </w:rPr>
        <w:t xml:space="preserve"> burden hours</w:t>
      </w:r>
      <w:r w:rsidRPr="190F8D64" w:rsidR="00C32062">
        <w:rPr>
          <w:rFonts w:cs="Times New Roman"/>
          <w:color w:val="000000" w:themeColor="text1"/>
        </w:rPr>
        <w:t xml:space="preserve"> (</w:t>
      </w:r>
      <w:r w:rsidRPr="190F8D64">
        <w:rPr>
          <w:rFonts w:cs="Times New Roman"/>
          <w:color w:val="000000" w:themeColor="text1"/>
        </w:rPr>
        <w:t>7 minutes</w:t>
      </w:r>
      <w:r w:rsidRPr="190F8D64" w:rsidR="00C32062">
        <w:rPr>
          <w:rFonts w:cs="Times New Roman"/>
          <w:color w:val="000000" w:themeColor="text1"/>
        </w:rPr>
        <w:t>)</w:t>
      </w:r>
      <w:r w:rsidRPr="190F8D64">
        <w:rPr>
          <w:rFonts w:cs="Times New Roman"/>
          <w:color w:val="000000" w:themeColor="text1"/>
        </w:rPr>
        <w:t xml:space="preserve"> to complete, therefore 100 responses times </w:t>
      </w:r>
      <w:r w:rsidRPr="190F8D64" w:rsidR="00C32062">
        <w:rPr>
          <w:rFonts w:cs="Times New Roman"/>
          <w:color w:val="000000" w:themeColor="text1"/>
        </w:rPr>
        <w:t>0</w:t>
      </w:r>
      <w:r w:rsidRPr="190F8D64">
        <w:rPr>
          <w:rFonts w:cs="Times New Roman"/>
          <w:color w:val="000000" w:themeColor="text1"/>
        </w:rPr>
        <w:t>.</w:t>
      </w:r>
      <w:r w:rsidRPr="190F8D64" w:rsidR="00106B5F">
        <w:rPr>
          <w:rFonts w:cs="Times New Roman"/>
          <w:color w:val="000000" w:themeColor="text1"/>
        </w:rPr>
        <w:t>1167</w:t>
      </w:r>
      <w:r w:rsidRPr="190F8D64">
        <w:rPr>
          <w:rFonts w:cs="Times New Roman"/>
          <w:color w:val="000000" w:themeColor="text1"/>
        </w:rPr>
        <w:t xml:space="preserve"> hours equals 12 total annual burden hours (100 x </w:t>
      </w:r>
      <w:r w:rsidRPr="190F8D64" w:rsidR="00C32062">
        <w:rPr>
          <w:rFonts w:cs="Times New Roman"/>
          <w:color w:val="000000" w:themeColor="text1"/>
        </w:rPr>
        <w:t>0</w:t>
      </w:r>
      <w:r w:rsidRPr="190F8D64">
        <w:rPr>
          <w:rFonts w:cs="Times New Roman"/>
          <w:color w:val="000000" w:themeColor="text1"/>
        </w:rPr>
        <w:t>.</w:t>
      </w:r>
      <w:r w:rsidRPr="190F8D64" w:rsidR="00106B5F">
        <w:rPr>
          <w:rFonts w:cs="Times New Roman"/>
          <w:color w:val="000000" w:themeColor="text1"/>
        </w:rPr>
        <w:t>1167</w:t>
      </w:r>
      <w:r w:rsidRPr="190F8D64">
        <w:rPr>
          <w:rFonts w:cs="Times New Roman"/>
          <w:color w:val="000000" w:themeColor="text1"/>
        </w:rPr>
        <w:t xml:space="preserve"> = </w:t>
      </w:r>
      <w:r w:rsidRPr="190F8D64" w:rsidR="00106B5F">
        <w:rPr>
          <w:rFonts w:cs="Times New Roman"/>
          <w:color w:val="000000" w:themeColor="text1"/>
        </w:rPr>
        <w:t>11.67 burden hours, rounded up to 12</w:t>
      </w:r>
      <w:r w:rsidRPr="190F8D64">
        <w:rPr>
          <w:rFonts w:cs="Times New Roman"/>
          <w:color w:val="000000" w:themeColor="text1"/>
        </w:rPr>
        <w:t>).</w:t>
      </w:r>
    </w:p>
    <w:p w:rsidR="006A1DF7" w:rsidRPr="008518A1" w:rsidP="00C32062" w14:paraId="42C35FDA" w14:textId="77777777">
      <w:pPr>
        <w:spacing w:line="276" w:lineRule="auto"/>
        <w:contextualSpacing/>
        <w:rPr>
          <w:rFonts w:cs="Times New Roman"/>
          <w:color w:val="000000" w:themeColor="text1"/>
          <w:szCs w:val="24"/>
        </w:rPr>
      </w:pPr>
    </w:p>
    <w:p w:rsidR="006A1DF7" w:rsidRPr="00C32062" w:rsidP="3C3DE105" w14:paraId="49A3BF40" w14:textId="51F9E5AA">
      <w:pPr>
        <w:spacing w:line="276" w:lineRule="auto"/>
        <w:contextualSpacing/>
        <w:rPr>
          <w:rFonts w:cs="Times New Roman"/>
        </w:rPr>
      </w:pPr>
      <w:r w:rsidRPr="3C3DE105">
        <w:rPr>
          <w:rFonts w:cs="Times New Roman"/>
          <w:color w:val="000000" w:themeColor="text1"/>
        </w:rPr>
        <w:t>After conducting usability testing there is no change to the burden hours as listed in the OMB inventory</w:t>
      </w:r>
      <w:r w:rsidRPr="3C3DE105">
        <w:rPr>
          <w:rFonts w:cs="Times New Roman"/>
        </w:rPr>
        <w:t xml:space="preserve"> due to usability testing at this time.  A reduction of </w:t>
      </w:r>
      <w:r w:rsidRPr="3C3DE105" w:rsidR="002C6739">
        <w:rPr>
          <w:rFonts w:cs="Times New Roman"/>
        </w:rPr>
        <w:t>29,</w:t>
      </w:r>
      <w:r w:rsidRPr="3C3DE105" w:rsidR="004B4075">
        <w:rPr>
          <w:rFonts w:cs="Times New Roman"/>
        </w:rPr>
        <w:t>151</w:t>
      </w:r>
      <w:r w:rsidRPr="3C3DE105">
        <w:rPr>
          <w:rFonts w:cs="Times New Roman"/>
        </w:rPr>
        <w:t xml:space="preserve"> hours has been recognized and included as an update to the collection </w:t>
      </w:r>
      <w:r w:rsidRPr="3C3DE105" w:rsidR="002C6739">
        <w:rPr>
          <w:rFonts w:cs="Times New Roman"/>
        </w:rPr>
        <w:t>as a change in estimate</w:t>
      </w:r>
      <w:r w:rsidRPr="3C3DE105">
        <w:rPr>
          <w:rFonts w:cs="Times New Roman"/>
        </w:rPr>
        <w:t xml:space="preserve">. </w:t>
      </w:r>
    </w:p>
    <w:p w:rsidR="00FA2D0D" w:rsidRPr="00C32062" w:rsidP="00C32062" w14:paraId="17F08B3A" w14:textId="77777777">
      <w:pPr>
        <w:spacing w:line="276" w:lineRule="auto"/>
        <w:contextualSpacing/>
        <w:rPr>
          <w:rFonts w:cs="Times New Roman"/>
          <w:szCs w:val="24"/>
        </w:rPr>
      </w:pPr>
    </w:p>
    <w:p w:rsidR="00B3312A" w:rsidRPr="00C32062" w:rsidP="00C32062" w14:paraId="3101610B" w14:textId="269DF36B">
      <w:pPr>
        <w:pStyle w:val="ListParagraph"/>
        <w:numPr>
          <w:ilvl w:val="1"/>
          <w:numId w:val="6"/>
        </w:numPr>
        <w:spacing w:line="276" w:lineRule="auto"/>
        <w:rPr>
          <w:rFonts w:cs="Times New Roman"/>
          <w:szCs w:val="24"/>
        </w:rPr>
      </w:pPr>
      <w:r w:rsidRPr="00C32062">
        <w:rPr>
          <w:rFonts w:cs="Times New Roman"/>
          <w:b/>
          <w:bCs/>
          <w:szCs w:val="24"/>
        </w:rPr>
        <w:t>If this request for approval covers more than one form, provide separate hour burden estimates for each form and aggregate the hour burdens in Item 13 of OMB Form 83-I</w:t>
      </w:r>
      <w:r w:rsidRPr="00C32062">
        <w:rPr>
          <w:rFonts w:cs="Times New Roman"/>
          <w:szCs w:val="24"/>
        </w:rPr>
        <w:t>.</w:t>
      </w:r>
    </w:p>
    <w:p w:rsidR="00EE0EFD" w:rsidRPr="00C32062" w:rsidP="00C32062" w14:paraId="14902824" w14:textId="6AA54346">
      <w:pPr>
        <w:spacing w:line="276" w:lineRule="auto"/>
        <w:contextualSpacing/>
        <w:rPr>
          <w:rFonts w:cs="Times New Roman"/>
          <w:szCs w:val="24"/>
        </w:rPr>
      </w:pPr>
    </w:p>
    <w:p w:rsidR="00EE0EFD" w:rsidRPr="00C32062" w:rsidP="00C32062" w14:paraId="6112B922" w14:textId="5D0A3C50">
      <w:pPr>
        <w:spacing w:line="276" w:lineRule="auto"/>
        <w:contextualSpacing/>
        <w:rPr>
          <w:rFonts w:cs="Times New Roman"/>
          <w:szCs w:val="24"/>
        </w:rPr>
      </w:pPr>
      <w:r w:rsidRPr="00C32062">
        <w:rPr>
          <w:rFonts w:cs="Times New Roman"/>
          <w:szCs w:val="24"/>
        </w:rPr>
        <w:t>Please see our response for 12a above and 12c below.</w:t>
      </w:r>
    </w:p>
    <w:p w:rsidR="00EE0EFD" w:rsidRPr="00C32062" w:rsidP="00C32062" w14:paraId="2C854C33" w14:textId="77777777">
      <w:pPr>
        <w:spacing w:line="276" w:lineRule="auto"/>
        <w:contextualSpacing/>
        <w:rPr>
          <w:rFonts w:cs="Times New Roman"/>
          <w:szCs w:val="24"/>
        </w:rPr>
      </w:pPr>
    </w:p>
    <w:p w:rsidR="003165CC" w:rsidRPr="00C32062" w:rsidP="2FDCFCC2" w14:paraId="3D22BBC1" w14:textId="26A18721">
      <w:pPr>
        <w:pStyle w:val="ListParagraph"/>
        <w:numPr>
          <w:ilvl w:val="1"/>
          <w:numId w:val="6"/>
        </w:numPr>
        <w:spacing w:line="276" w:lineRule="auto"/>
        <w:rPr>
          <w:rFonts w:cs="Times New Roman"/>
          <w:b/>
          <w:bCs/>
        </w:rPr>
      </w:pPr>
      <w:r w:rsidRPr="2FDCFCC2">
        <w:rPr>
          <w:rFonts w:cs="Times New Roman"/>
          <w:b/>
          <w:bCs/>
        </w:rPr>
        <w:t xml:space="preserve">Provide an estimate of annualized cost to respondents for the hour burdens for collections of information, identifying and using appropriate wage rate categories.  NOTE: The wage-rate category for each respondent must be </w:t>
      </w:r>
      <w:r w:rsidRPr="2FDCFCC2">
        <w:rPr>
          <w:rFonts w:cs="Times New Roman"/>
          <w:b/>
          <w:bCs/>
        </w:rPr>
        <w:t>multiplied by 1.4</w:t>
      </w:r>
      <w:r w:rsidRPr="2FDCFCC2" w:rsidR="00521714">
        <w:rPr>
          <w:rFonts w:cs="Times New Roman"/>
          <w:b/>
          <w:bCs/>
        </w:rPr>
        <w:t xml:space="preserve">5 (1.61 for </w:t>
      </w:r>
      <w:r w:rsidRPr="2FDCFCC2" w:rsidR="00424F8A">
        <w:rPr>
          <w:rFonts w:cs="Times New Roman"/>
          <w:b/>
          <w:bCs/>
        </w:rPr>
        <w:t>S</w:t>
      </w:r>
      <w:r w:rsidRPr="2FDCFCC2" w:rsidR="00521714">
        <w:rPr>
          <w:rFonts w:cs="Times New Roman"/>
          <w:b/>
          <w:bCs/>
        </w:rPr>
        <w:t xml:space="preserve">tate and local </w:t>
      </w:r>
      <w:r w:rsidRPr="2FDCFCC2" w:rsidR="00424F8A">
        <w:rPr>
          <w:rFonts w:cs="Times New Roman"/>
          <w:b/>
          <w:bCs/>
        </w:rPr>
        <w:t xml:space="preserve">government </w:t>
      </w:r>
      <w:r w:rsidRPr="2FDCFCC2" w:rsidR="00521714">
        <w:rPr>
          <w:rFonts w:cs="Times New Roman"/>
          <w:b/>
          <w:bCs/>
        </w:rPr>
        <w:t>employees)</w:t>
      </w:r>
      <w:r>
        <w:rPr>
          <w:rStyle w:val="FootnoteReference"/>
          <w:rFonts w:cs="Times New Roman"/>
          <w:b/>
          <w:bCs/>
        </w:rPr>
        <w:footnoteReference w:id="3"/>
      </w:r>
      <w:r w:rsidRPr="2FDCFCC2">
        <w:rPr>
          <w:rFonts w:cs="Times New Roman"/>
          <w:b/>
          <w:bCs/>
        </w:rPr>
        <w:t xml:space="preserve"> and this total should be entered in the cell for “Avg. Hourly Wage Rate.”  The cost to the respondents of contracting </w:t>
      </w:r>
      <w:r w:rsidRPr="2FDCFCC2" w:rsidR="009B2B7F">
        <w:rPr>
          <w:rFonts w:cs="Times New Roman"/>
          <w:b/>
          <w:bCs/>
        </w:rPr>
        <w:t>out</w:t>
      </w:r>
      <w:r w:rsidRPr="2FDCFCC2">
        <w:rPr>
          <w:rFonts w:cs="Times New Roman"/>
          <w:b/>
          <w:bCs/>
        </w:rPr>
        <w:t xml:space="preserve"> to paying outside parties for information collection activities should not be included here.  Instead this cost should be included in Item 13.</w:t>
      </w:r>
    </w:p>
    <w:p w:rsidR="00926982" w:rsidP="00C32062" w14:paraId="3BA43249" w14:textId="77777777">
      <w:pPr>
        <w:spacing w:line="276" w:lineRule="auto"/>
        <w:contextualSpacing/>
        <w:rPr>
          <w:rFonts w:cs="Times New Roman"/>
          <w:szCs w:val="24"/>
        </w:rPr>
      </w:pPr>
    </w:p>
    <w:tbl>
      <w:tblPr>
        <w:tblW w:w="11070" w:type="dxa"/>
        <w:jc w:val="center"/>
        <w:tblLook w:val="04A0"/>
      </w:tblPr>
      <w:tblGrid>
        <w:gridCol w:w="1427"/>
        <w:gridCol w:w="2155"/>
        <w:gridCol w:w="1136"/>
        <w:gridCol w:w="1124"/>
        <w:gridCol w:w="976"/>
        <w:gridCol w:w="1001"/>
        <w:gridCol w:w="959"/>
        <w:gridCol w:w="1116"/>
        <w:gridCol w:w="1176"/>
      </w:tblGrid>
      <w:tr w14:paraId="15F6DF2E" w14:textId="77777777" w:rsidTr="00D468BA">
        <w:tblPrEx>
          <w:tblW w:w="11070" w:type="dxa"/>
          <w:jc w:val="center"/>
          <w:tblLook w:val="04A0"/>
        </w:tblPrEx>
        <w:trPr>
          <w:trHeight w:val="264"/>
          <w:jc w:val="center"/>
        </w:trPr>
        <w:tc>
          <w:tcPr>
            <w:tcW w:w="11070" w:type="dxa"/>
            <w:gridSpan w:val="9"/>
            <w:tcBorders>
              <w:top w:val="single" w:sz="8" w:space="0" w:color="auto"/>
              <w:left w:val="single" w:sz="8" w:space="0" w:color="auto"/>
              <w:bottom w:val="single" w:sz="4" w:space="0" w:color="auto"/>
              <w:right w:val="single" w:sz="4" w:space="0" w:color="auto"/>
            </w:tcBorders>
            <w:shd w:val="clear" w:color="000000" w:fill="95B3D7"/>
            <w:vAlign w:val="bottom"/>
            <w:hideMark/>
          </w:tcPr>
          <w:p w:rsidR="00D468BA" w:rsidRPr="00D468BA" w:rsidP="00D468BA" w14:paraId="3F1EA6EE" w14:textId="77777777">
            <w:pPr>
              <w:jc w:val="center"/>
              <w:rPr>
                <w:rFonts w:eastAsia="Times New Roman" w:cs="Times New Roman"/>
                <w:b/>
                <w:bCs/>
                <w:color w:val="000000"/>
                <w:sz w:val="20"/>
                <w:szCs w:val="20"/>
              </w:rPr>
            </w:pPr>
            <w:r w:rsidRPr="00D468BA">
              <w:rPr>
                <w:rFonts w:eastAsia="Times New Roman" w:cs="Times New Roman"/>
                <w:b/>
                <w:bCs/>
                <w:color w:val="000000"/>
                <w:sz w:val="20"/>
                <w:szCs w:val="20"/>
              </w:rPr>
              <w:t>Estimated Annualized Burden Hours and Costs</w:t>
            </w:r>
          </w:p>
        </w:tc>
      </w:tr>
      <w:tr w14:paraId="655D98AB" w14:textId="77777777" w:rsidTr="00C34F33">
        <w:tblPrEx>
          <w:tblW w:w="11070" w:type="dxa"/>
          <w:jc w:val="center"/>
          <w:tblLook w:val="04A0"/>
        </w:tblPrEx>
        <w:trPr>
          <w:trHeight w:val="960"/>
          <w:jc w:val="center"/>
        </w:trPr>
        <w:tc>
          <w:tcPr>
            <w:tcW w:w="1427" w:type="dxa"/>
            <w:tcBorders>
              <w:top w:val="nil"/>
              <w:left w:val="single" w:sz="4" w:space="0" w:color="auto"/>
              <w:bottom w:val="single" w:sz="4" w:space="0" w:color="auto"/>
              <w:right w:val="single" w:sz="4" w:space="0" w:color="auto"/>
            </w:tcBorders>
            <w:shd w:val="clear" w:color="000000" w:fill="95B3D7"/>
            <w:vAlign w:val="bottom"/>
            <w:hideMark/>
          </w:tcPr>
          <w:p w:rsidR="00D468BA" w:rsidRPr="00D468BA" w:rsidP="00D468BA" w14:paraId="3ADCB364" w14:textId="77777777">
            <w:pPr>
              <w:jc w:val="center"/>
              <w:rPr>
                <w:rFonts w:eastAsia="Times New Roman" w:cs="Times New Roman"/>
                <w:color w:val="000000"/>
                <w:sz w:val="18"/>
                <w:szCs w:val="18"/>
              </w:rPr>
            </w:pPr>
            <w:r w:rsidRPr="00D468BA">
              <w:rPr>
                <w:rFonts w:eastAsia="Times New Roman" w:cs="Times New Roman"/>
                <w:color w:val="000000"/>
                <w:sz w:val="18"/>
                <w:szCs w:val="18"/>
              </w:rPr>
              <w:t>Type of Respondent</w:t>
            </w:r>
          </w:p>
        </w:tc>
        <w:tc>
          <w:tcPr>
            <w:tcW w:w="2155" w:type="dxa"/>
            <w:tcBorders>
              <w:top w:val="nil"/>
              <w:left w:val="nil"/>
              <w:bottom w:val="single" w:sz="4" w:space="0" w:color="auto"/>
              <w:right w:val="single" w:sz="4" w:space="0" w:color="auto"/>
            </w:tcBorders>
            <w:shd w:val="clear" w:color="000000" w:fill="95B3D7"/>
            <w:vAlign w:val="bottom"/>
            <w:hideMark/>
          </w:tcPr>
          <w:p w:rsidR="00D468BA" w:rsidRPr="00D468BA" w:rsidP="00D468BA" w14:paraId="3FDAC856" w14:textId="77777777">
            <w:pPr>
              <w:jc w:val="center"/>
              <w:rPr>
                <w:rFonts w:eastAsia="Times New Roman" w:cs="Times New Roman"/>
                <w:color w:val="000000"/>
                <w:sz w:val="18"/>
                <w:szCs w:val="18"/>
              </w:rPr>
            </w:pPr>
            <w:r w:rsidRPr="00D468BA">
              <w:rPr>
                <w:rFonts w:eastAsia="Times New Roman" w:cs="Times New Roman"/>
                <w:color w:val="000000"/>
                <w:sz w:val="18"/>
                <w:szCs w:val="18"/>
              </w:rPr>
              <w:t>Form Name / Form No.</w:t>
            </w:r>
          </w:p>
        </w:tc>
        <w:tc>
          <w:tcPr>
            <w:tcW w:w="1136" w:type="dxa"/>
            <w:tcBorders>
              <w:top w:val="nil"/>
              <w:left w:val="nil"/>
              <w:bottom w:val="single" w:sz="4" w:space="0" w:color="auto"/>
              <w:right w:val="single" w:sz="4" w:space="0" w:color="auto"/>
            </w:tcBorders>
            <w:shd w:val="clear" w:color="000000" w:fill="95B3D7"/>
            <w:vAlign w:val="bottom"/>
            <w:hideMark/>
          </w:tcPr>
          <w:p w:rsidR="00D468BA" w:rsidRPr="00D468BA" w:rsidP="00D468BA" w14:paraId="4744703F" w14:textId="77777777">
            <w:pPr>
              <w:jc w:val="center"/>
              <w:rPr>
                <w:rFonts w:eastAsia="Times New Roman" w:cs="Times New Roman"/>
                <w:color w:val="000000"/>
                <w:sz w:val="18"/>
                <w:szCs w:val="18"/>
              </w:rPr>
            </w:pPr>
            <w:r w:rsidRPr="00D468BA">
              <w:rPr>
                <w:rFonts w:eastAsia="Times New Roman" w:cs="Times New Roman"/>
                <w:color w:val="000000"/>
                <w:sz w:val="18"/>
                <w:szCs w:val="18"/>
              </w:rPr>
              <w:t>No. of Respondents</w:t>
            </w:r>
          </w:p>
        </w:tc>
        <w:tc>
          <w:tcPr>
            <w:tcW w:w="1124" w:type="dxa"/>
            <w:tcBorders>
              <w:top w:val="nil"/>
              <w:left w:val="nil"/>
              <w:bottom w:val="single" w:sz="4" w:space="0" w:color="auto"/>
              <w:right w:val="single" w:sz="4" w:space="0" w:color="auto"/>
            </w:tcBorders>
            <w:shd w:val="clear" w:color="000000" w:fill="95B3D7"/>
            <w:vAlign w:val="bottom"/>
            <w:hideMark/>
          </w:tcPr>
          <w:p w:rsidR="00D468BA" w:rsidRPr="00D468BA" w:rsidP="00D468BA" w14:paraId="2792F508" w14:textId="77777777">
            <w:pPr>
              <w:jc w:val="center"/>
              <w:rPr>
                <w:rFonts w:eastAsia="Times New Roman" w:cs="Times New Roman"/>
                <w:color w:val="000000"/>
                <w:sz w:val="18"/>
                <w:szCs w:val="18"/>
              </w:rPr>
            </w:pPr>
            <w:r w:rsidRPr="00D468BA">
              <w:rPr>
                <w:rFonts w:eastAsia="Times New Roman" w:cs="Times New Roman"/>
                <w:color w:val="000000"/>
                <w:sz w:val="18"/>
                <w:szCs w:val="18"/>
              </w:rPr>
              <w:t>No. of Responses per Respondent</w:t>
            </w:r>
          </w:p>
        </w:tc>
        <w:tc>
          <w:tcPr>
            <w:tcW w:w="976" w:type="dxa"/>
            <w:tcBorders>
              <w:top w:val="nil"/>
              <w:left w:val="nil"/>
              <w:bottom w:val="single" w:sz="4" w:space="0" w:color="auto"/>
              <w:right w:val="single" w:sz="4" w:space="0" w:color="auto"/>
            </w:tcBorders>
            <w:shd w:val="clear" w:color="000000" w:fill="95B3D7"/>
            <w:vAlign w:val="bottom"/>
            <w:hideMark/>
          </w:tcPr>
          <w:p w:rsidR="00D468BA" w:rsidRPr="00D468BA" w:rsidP="00D468BA" w14:paraId="4BCF0D12" w14:textId="77777777">
            <w:pPr>
              <w:jc w:val="center"/>
              <w:rPr>
                <w:rFonts w:eastAsia="Times New Roman" w:cs="Times New Roman"/>
                <w:color w:val="000000"/>
                <w:sz w:val="18"/>
                <w:szCs w:val="18"/>
              </w:rPr>
            </w:pPr>
            <w:r w:rsidRPr="00D468BA">
              <w:rPr>
                <w:rFonts w:eastAsia="Times New Roman" w:cs="Times New Roman"/>
                <w:color w:val="000000"/>
                <w:sz w:val="18"/>
                <w:szCs w:val="18"/>
              </w:rPr>
              <w:t>Total No. of Responses</w:t>
            </w:r>
          </w:p>
        </w:tc>
        <w:tc>
          <w:tcPr>
            <w:tcW w:w="1001" w:type="dxa"/>
            <w:tcBorders>
              <w:top w:val="nil"/>
              <w:left w:val="nil"/>
              <w:bottom w:val="single" w:sz="4" w:space="0" w:color="auto"/>
              <w:right w:val="single" w:sz="4" w:space="0" w:color="auto"/>
            </w:tcBorders>
            <w:shd w:val="clear" w:color="000000" w:fill="95B3D7"/>
            <w:vAlign w:val="bottom"/>
            <w:hideMark/>
          </w:tcPr>
          <w:p w:rsidR="00D468BA" w:rsidRPr="00D468BA" w:rsidP="00D468BA" w14:paraId="61354B39" w14:textId="77777777">
            <w:pPr>
              <w:jc w:val="center"/>
              <w:rPr>
                <w:rFonts w:eastAsia="Times New Roman" w:cs="Times New Roman"/>
                <w:color w:val="000000"/>
                <w:sz w:val="18"/>
                <w:szCs w:val="18"/>
              </w:rPr>
            </w:pPr>
            <w:r w:rsidRPr="00D468BA">
              <w:rPr>
                <w:rFonts w:eastAsia="Times New Roman" w:cs="Times New Roman"/>
                <w:color w:val="000000"/>
                <w:sz w:val="18"/>
                <w:szCs w:val="18"/>
              </w:rPr>
              <w:t>Avg. Burden per Response (in hours)</w:t>
            </w:r>
          </w:p>
        </w:tc>
        <w:tc>
          <w:tcPr>
            <w:tcW w:w="959" w:type="dxa"/>
            <w:tcBorders>
              <w:top w:val="nil"/>
              <w:left w:val="nil"/>
              <w:bottom w:val="single" w:sz="4" w:space="0" w:color="auto"/>
              <w:right w:val="single" w:sz="4" w:space="0" w:color="auto"/>
            </w:tcBorders>
            <w:shd w:val="clear" w:color="000000" w:fill="95B3D7"/>
            <w:vAlign w:val="bottom"/>
            <w:hideMark/>
          </w:tcPr>
          <w:p w:rsidR="00D468BA" w:rsidRPr="00D468BA" w:rsidP="00D468BA" w14:paraId="5493A1D2" w14:textId="77777777">
            <w:pPr>
              <w:jc w:val="center"/>
              <w:rPr>
                <w:rFonts w:eastAsia="Times New Roman" w:cs="Times New Roman"/>
                <w:color w:val="000000"/>
                <w:sz w:val="18"/>
                <w:szCs w:val="18"/>
              </w:rPr>
            </w:pPr>
            <w:r w:rsidRPr="00D468BA">
              <w:rPr>
                <w:rFonts w:eastAsia="Times New Roman" w:cs="Times New Roman"/>
                <w:color w:val="000000"/>
                <w:sz w:val="18"/>
                <w:szCs w:val="18"/>
              </w:rPr>
              <w:t>Total Annual Burden (in hours)</w:t>
            </w:r>
          </w:p>
        </w:tc>
        <w:tc>
          <w:tcPr>
            <w:tcW w:w="1116" w:type="dxa"/>
            <w:tcBorders>
              <w:top w:val="nil"/>
              <w:left w:val="nil"/>
              <w:bottom w:val="single" w:sz="4" w:space="0" w:color="auto"/>
              <w:right w:val="single" w:sz="4" w:space="0" w:color="auto"/>
            </w:tcBorders>
            <w:shd w:val="clear" w:color="000000" w:fill="95B3D7"/>
            <w:vAlign w:val="bottom"/>
            <w:hideMark/>
          </w:tcPr>
          <w:p w:rsidR="00D468BA" w:rsidRPr="00D468BA" w:rsidP="00D468BA" w14:paraId="3EB3E682" w14:textId="77777777">
            <w:pPr>
              <w:jc w:val="center"/>
              <w:rPr>
                <w:rFonts w:eastAsia="Times New Roman" w:cs="Times New Roman"/>
                <w:color w:val="000000"/>
                <w:sz w:val="18"/>
                <w:szCs w:val="18"/>
              </w:rPr>
            </w:pPr>
            <w:r w:rsidRPr="00D468BA">
              <w:rPr>
                <w:rFonts w:eastAsia="Times New Roman" w:cs="Times New Roman"/>
                <w:color w:val="000000"/>
                <w:sz w:val="18"/>
                <w:szCs w:val="18"/>
              </w:rPr>
              <w:t>Avg. Hourly Wage Rate</w:t>
            </w:r>
          </w:p>
        </w:tc>
        <w:tc>
          <w:tcPr>
            <w:tcW w:w="1176" w:type="dxa"/>
            <w:tcBorders>
              <w:top w:val="nil"/>
              <w:left w:val="nil"/>
              <w:bottom w:val="single" w:sz="4" w:space="0" w:color="auto"/>
              <w:right w:val="single" w:sz="4" w:space="0" w:color="auto"/>
            </w:tcBorders>
            <w:shd w:val="clear" w:color="000000" w:fill="95B3D7"/>
            <w:vAlign w:val="bottom"/>
            <w:hideMark/>
          </w:tcPr>
          <w:p w:rsidR="00D468BA" w:rsidRPr="00D468BA" w:rsidP="00D468BA" w14:paraId="169ECE50" w14:textId="77777777">
            <w:pPr>
              <w:jc w:val="center"/>
              <w:rPr>
                <w:rFonts w:eastAsia="Times New Roman" w:cs="Times New Roman"/>
                <w:color w:val="000000"/>
                <w:sz w:val="18"/>
                <w:szCs w:val="18"/>
              </w:rPr>
            </w:pPr>
            <w:r w:rsidRPr="00D468BA">
              <w:rPr>
                <w:rFonts w:eastAsia="Times New Roman" w:cs="Times New Roman"/>
                <w:color w:val="000000"/>
                <w:sz w:val="18"/>
                <w:szCs w:val="18"/>
              </w:rPr>
              <w:t>Total Annual Respondent Cost</w:t>
            </w:r>
          </w:p>
        </w:tc>
      </w:tr>
      <w:tr w14:paraId="4D2E9AED" w14:textId="77777777" w:rsidTr="00B37636">
        <w:tblPrEx>
          <w:tblW w:w="11070" w:type="dxa"/>
          <w:jc w:val="center"/>
          <w:tblLook w:val="04A0"/>
        </w:tblPrEx>
        <w:trPr>
          <w:trHeight w:val="935"/>
          <w:jc w:val="center"/>
        </w:trPr>
        <w:tc>
          <w:tcPr>
            <w:tcW w:w="1427" w:type="dxa"/>
            <w:tcBorders>
              <w:top w:val="nil"/>
              <w:left w:val="single" w:sz="4" w:space="0" w:color="auto"/>
              <w:bottom w:val="single" w:sz="4" w:space="0" w:color="auto"/>
              <w:right w:val="single" w:sz="4" w:space="0" w:color="auto"/>
            </w:tcBorders>
            <w:shd w:val="clear" w:color="auto" w:fill="auto"/>
            <w:vAlign w:val="center"/>
            <w:hideMark/>
          </w:tcPr>
          <w:p w:rsidR="00C34F33" w:rsidRPr="00D468BA" w:rsidP="00C34F33" w14:paraId="52B6CE82" w14:textId="77777777">
            <w:pPr>
              <w:jc w:val="center"/>
              <w:rPr>
                <w:rFonts w:eastAsia="Times New Roman" w:cs="Times New Roman"/>
                <w:color w:val="000000"/>
                <w:sz w:val="18"/>
                <w:szCs w:val="18"/>
              </w:rPr>
            </w:pPr>
            <w:r w:rsidRPr="00D468BA">
              <w:rPr>
                <w:rFonts w:eastAsia="Times New Roman" w:cs="Times New Roman"/>
                <w:color w:val="000000"/>
                <w:sz w:val="18"/>
                <w:szCs w:val="18"/>
              </w:rPr>
              <w:t>Individual, business, non-profit, State, local, or Tribal Government</w:t>
            </w:r>
          </w:p>
        </w:tc>
        <w:tc>
          <w:tcPr>
            <w:tcW w:w="2155" w:type="dxa"/>
            <w:tcBorders>
              <w:top w:val="nil"/>
              <w:left w:val="nil"/>
              <w:bottom w:val="single" w:sz="4" w:space="0" w:color="auto"/>
              <w:right w:val="single" w:sz="4" w:space="0" w:color="auto"/>
            </w:tcBorders>
            <w:shd w:val="clear" w:color="auto" w:fill="auto"/>
            <w:vAlign w:val="center"/>
            <w:hideMark/>
          </w:tcPr>
          <w:p w:rsidR="00C34F33" w:rsidRPr="00D468BA" w:rsidP="00C34F33" w14:paraId="4A1D2AC4" w14:textId="77777777">
            <w:pPr>
              <w:jc w:val="center"/>
              <w:rPr>
                <w:rFonts w:eastAsia="Times New Roman" w:cs="Times New Roman"/>
                <w:color w:val="000000"/>
                <w:sz w:val="18"/>
                <w:szCs w:val="18"/>
              </w:rPr>
            </w:pPr>
            <w:r w:rsidRPr="00D468BA">
              <w:rPr>
                <w:rFonts w:eastAsia="Times New Roman" w:cs="Times New Roman"/>
                <w:color w:val="000000"/>
                <w:sz w:val="18"/>
                <w:szCs w:val="18"/>
              </w:rPr>
              <w:t>FEMA Form FF-206-FY-21-117 (formerly 086-0-1), Flood Insurance Application</w:t>
            </w:r>
          </w:p>
        </w:tc>
        <w:tc>
          <w:tcPr>
            <w:tcW w:w="1136" w:type="dxa"/>
            <w:tcBorders>
              <w:top w:val="nil"/>
              <w:left w:val="nil"/>
              <w:bottom w:val="single" w:sz="4" w:space="0" w:color="auto"/>
              <w:right w:val="single" w:sz="4" w:space="0" w:color="auto"/>
            </w:tcBorders>
            <w:shd w:val="clear" w:color="auto" w:fill="auto"/>
            <w:vAlign w:val="center"/>
            <w:hideMark/>
          </w:tcPr>
          <w:p w:rsidR="00C34F33" w:rsidRPr="00D468BA" w:rsidP="00C34F33" w14:paraId="5BFE7D5D" w14:textId="77777777">
            <w:pPr>
              <w:jc w:val="center"/>
              <w:rPr>
                <w:rFonts w:eastAsia="Times New Roman" w:cs="Times New Roman"/>
                <w:color w:val="000000"/>
                <w:sz w:val="18"/>
                <w:szCs w:val="18"/>
              </w:rPr>
            </w:pPr>
            <w:r w:rsidRPr="00D468BA">
              <w:rPr>
                <w:rFonts w:eastAsia="Times New Roman" w:cs="Times New Roman"/>
                <w:color w:val="000000"/>
                <w:sz w:val="18"/>
                <w:szCs w:val="18"/>
              </w:rPr>
              <w:t>45,986</w:t>
            </w:r>
          </w:p>
        </w:tc>
        <w:tc>
          <w:tcPr>
            <w:tcW w:w="1124" w:type="dxa"/>
            <w:tcBorders>
              <w:top w:val="nil"/>
              <w:left w:val="nil"/>
              <w:bottom w:val="single" w:sz="4" w:space="0" w:color="auto"/>
              <w:right w:val="single" w:sz="4" w:space="0" w:color="auto"/>
            </w:tcBorders>
            <w:shd w:val="clear" w:color="auto" w:fill="auto"/>
            <w:vAlign w:val="center"/>
            <w:hideMark/>
          </w:tcPr>
          <w:p w:rsidR="00C34F33" w:rsidRPr="00D468BA" w:rsidP="00C34F33" w14:paraId="4D1C42A9" w14:textId="77777777">
            <w:pPr>
              <w:jc w:val="center"/>
              <w:rPr>
                <w:rFonts w:eastAsia="Times New Roman" w:cs="Times New Roman"/>
                <w:color w:val="000000"/>
                <w:sz w:val="18"/>
                <w:szCs w:val="18"/>
              </w:rPr>
            </w:pPr>
            <w:r w:rsidRPr="00D468BA">
              <w:rPr>
                <w:rFonts w:eastAsia="Times New Roman" w:cs="Times New Roman"/>
                <w:color w:val="000000"/>
                <w:sz w:val="18"/>
                <w:szCs w:val="18"/>
              </w:rPr>
              <w:t>1</w:t>
            </w:r>
          </w:p>
        </w:tc>
        <w:tc>
          <w:tcPr>
            <w:tcW w:w="976" w:type="dxa"/>
            <w:tcBorders>
              <w:top w:val="nil"/>
              <w:left w:val="nil"/>
              <w:bottom w:val="single" w:sz="4" w:space="0" w:color="auto"/>
              <w:right w:val="single" w:sz="4" w:space="0" w:color="auto"/>
            </w:tcBorders>
            <w:shd w:val="clear" w:color="auto" w:fill="auto"/>
            <w:vAlign w:val="center"/>
            <w:hideMark/>
          </w:tcPr>
          <w:p w:rsidR="00C34F33" w:rsidRPr="00D468BA" w:rsidP="00C34F33" w14:paraId="50361A1F" w14:textId="15E59A44">
            <w:pPr>
              <w:jc w:val="center"/>
              <w:rPr>
                <w:rFonts w:eastAsia="Times New Roman" w:cs="Times New Roman"/>
                <w:color w:val="000000"/>
                <w:sz w:val="18"/>
                <w:szCs w:val="18"/>
              </w:rPr>
            </w:pPr>
            <w:r w:rsidRPr="00D468BA">
              <w:rPr>
                <w:rFonts w:eastAsia="Times New Roman" w:cs="Times New Roman"/>
                <w:color w:val="000000"/>
                <w:sz w:val="18"/>
                <w:szCs w:val="18"/>
              </w:rPr>
              <w:t>45,986</w:t>
            </w:r>
          </w:p>
        </w:tc>
        <w:tc>
          <w:tcPr>
            <w:tcW w:w="1001"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4694F11A" w14:textId="4704D295">
            <w:pPr>
              <w:jc w:val="center"/>
              <w:rPr>
                <w:rFonts w:eastAsia="Times New Roman" w:cs="Times New Roman"/>
                <w:color w:val="000000"/>
                <w:sz w:val="18"/>
                <w:szCs w:val="18"/>
              </w:rPr>
            </w:pPr>
            <w:r w:rsidRPr="00D468BA">
              <w:rPr>
                <w:rFonts w:eastAsia="Times New Roman" w:cs="Times New Roman"/>
                <w:color w:val="000000"/>
                <w:sz w:val="18"/>
                <w:szCs w:val="18"/>
              </w:rPr>
              <w:t>0.</w:t>
            </w:r>
            <w:r w:rsidRPr="0048685E">
              <w:rPr>
                <w:rFonts w:eastAsia="Times New Roman" w:cs="Times New Roman"/>
                <w:color w:val="000000"/>
                <w:sz w:val="18"/>
                <w:szCs w:val="18"/>
              </w:rPr>
              <w:t>2167</w:t>
            </w:r>
          </w:p>
        </w:tc>
        <w:tc>
          <w:tcPr>
            <w:tcW w:w="959"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5AF2441E" w14:textId="245BD069">
            <w:pPr>
              <w:jc w:val="center"/>
              <w:rPr>
                <w:rFonts w:eastAsia="Times New Roman" w:cs="Times New Roman"/>
                <w:color w:val="000000"/>
                <w:sz w:val="18"/>
                <w:szCs w:val="18"/>
              </w:rPr>
            </w:pPr>
            <w:r w:rsidRPr="00D468BA">
              <w:rPr>
                <w:rFonts w:eastAsia="Times New Roman" w:cs="Times New Roman"/>
                <w:color w:val="000000"/>
                <w:sz w:val="18"/>
                <w:szCs w:val="18"/>
              </w:rPr>
              <w:t>9,965</w:t>
            </w:r>
          </w:p>
        </w:tc>
        <w:tc>
          <w:tcPr>
            <w:tcW w:w="1116" w:type="dxa"/>
            <w:tcBorders>
              <w:top w:val="nil"/>
              <w:left w:val="nil"/>
              <w:bottom w:val="single" w:sz="4" w:space="0" w:color="auto"/>
              <w:right w:val="single" w:sz="4" w:space="0" w:color="auto"/>
            </w:tcBorders>
            <w:shd w:val="clear" w:color="auto" w:fill="auto"/>
            <w:vAlign w:val="center"/>
            <w:hideMark/>
          </w:tcPr>
          <w:p w:rsidR="00C34F33" w:rsidRPr="00D468BA" w:rsidP="00C34F33" w14:paraId="1B2C0C4A" w14:textId="01DCA589">
            <w:pPr>
              <w:jc w:val="center"/>
              <w:rPr>
                <w:rFonts w:eastAsia="Times New Roman" w:cs="Times New Roman"/>
                <w:color w:val="000000"/>
                <w:sz w:val="18"/>
                <w:szCs w:val="18"/>
              </w:rPr>
            </w:pPr>
            <w:r w:rsidRPr="00D468BA">
              <w:rPr>
                <w:rFonts w:eastAsia="Times New Roman" w:cs="Times New Roman"/>
                <w:color w:val="000000"/>
                <w:sz w:val="18"/>
                <w:szCs w:val="18"/>
              </w:rPr>
              <w:t>$</w:t>
            </w:r>
            <w:r>
              <w:rPr>
                <w:rFonts w:eastAsia="Times New Roman" w:cs="Times New Roman"/>
                <w:color w:val="000000"/>
                <w:sz w:val="18"/>
                <w:szCs w:val="18"/>
              </w:rPr>
              <w:t>45.65</w:t>
            </w:r>
          </w:p>
        </w:tc>
        <w:tc>
          <w:tcPr>
            <w:tcW w:w="1176" w:type="dxa"/>
            <w:tcBorders>
              <w:top w:val="nil"/>
              <w:left w:val="nil"/>
              <w:bottom w:val="single" w:sz="4" w:space="0" w:color="auto"/>
              <w:right w:val="single" w:sz="4" w:space="0" w:color="auto"/>
            </w:tcBorders>
            <w:shd w:val="clear" w:color="auto" w:fill="auto"/>
            <w:noWrap/>
            <w:vAlign w:val="center"/>
          </w:tcPr>
          <w:p w:rsidR="00C34F33" w:rsidRPr="00D468BA" w:rsidP="00C34F33" w14:paraId="03E0411D" w14:textId="08C72654">
            <w:pPr>
              <w:jc w:val="right"/>
              <w:rPr>
                <w:rFonts w:eastAsia="Times New Roman" w:cs="Times New Roman"/>
                <w:color w:val="000000"/>
                <w:sz w:val="18"/>
                <w:szCs w:val="18"/>
              </w:rPr>
            </w:pPr>
            <w:r>
              <w:rPr>
                <w:color w:val="000000"/>
                <w:sz w:val="18"/>
                <w:szCs w:val="18"/>
              </w:rPr>
              <w:t>$454,902</w:t>
            </w:r>
          </w:p>
        </w:tc>
      </w:tr>
      <w:tr w14:paraId="6E187B60" w14:textId="77777777" w:rsidTr="00B37636">
        <w:tblPrEx>
          <w:tblW w:w="11070" w:type="dxa"/>
          <w:jc w:val="center"/>
          <w:tblLook w:val="04A0"/>
        </w:tblPrEx>
        <w:trPr>
          <w:trHeight w:val="1160"/>
          <w:jc w:val="center"/>
        </w:trPr>
        <w:tc>
          <w:tcPr>
            <w:tcW w:w="1427" w:type="dxa"/>
            <w:tcBorders>
              <w:top w:val="nil"/>
              <w:left w:val="single" w:sz="4" w:space="0" w:color="auto"/>
              <w:bottom w:val="single" w:sz="4" w:space="0" w:color="auto"/>
              <w:right w:val="single" w:sz="4" w:space="0" w:color="auto"/>
            </w:tcBorders>
            <w:shd w:val="clear" w:color="auto" w:fill="auto"/>
            <w:vAlign w:val="center"/>
            <w:hideMark/>
          </w:tcPr>
          <w:p w:rsidR="00C34F33" w:rsidRPr="00D468BA" w:rsidP="00C34F33" w14:paraId="0FFA4214" w14:textId="77777777">
            <w:pPr>
              <w:jc w:val="center"/>
              <w:rPr>
                <w:rFonts w:eastAsia="Times New Roman" w:cs="Times New Roman"/>
                <w:color w:val="000000"/>
                <w:sz w:val="18"/>
                <w:szCs w:val="18"/>
              </w:rPr>
            </w:pPr>
            <w:r w:rsidRPr="00D468BA">
              <w:rPr>
                <w:rFonts w:eastAsia="Times New Roman" w:cs="Times New Roman"/>
                <w:color w:val="000000"/>
                <w:sz w:val="18"/>
                <w:szCs w:val="18"/>
              </w:rPr>
              <w:t>Individual, business, non-profit, State, local, or Tribal Government</w:t>
            </w:r>
          </w:p>
        </w:tc>
        <w:tc>
          <w:tcPr>
            <w:tcW w:w="2155" w:type="dxa"/>
            <w:tcBorders>
              <w:top w:val="nil"/>
              <w:left w:val="nil"/>
              <w:bottom w:val="single" w:sz="4" w:space="0" w:color="auto"/>
              <w:right w:val="single" w:sz="4" w:space="0" w:color="auto"/>
            </w:tcBorders>
            <w:shd w:val="clear" w:color="auto" w:fill="auto"/>
            <w:vAlign w:val="center"/>
            <w:hideMark/>
          </w:tcPr>
          <w:p w:rsidR="00C34F33" w:rsidRPr="00D468BA" w:rsidP="00C34F33" w14:paraId="0EC5B3CA" w14:textId="77777777">
            <w:pPr>
              <w:jc w:val="center"/>
              <w:rPr>
                <w:rFonts w:eastAsia="Times New Roman" w:cs="Times New Roman"/>
                <w:color w:val="000000"/>
                <w:sz w:val="18"/>
                <w:szCs w:val="18"/>
              </w:rPr>
            </w:pPr>
            <w:r w:rsidRPr="00D468BA">
              <w:rPr>
                <w:rFonts w:eastAsia="Times New Roman" w:cs="Times New Roman"/>
                <w:color w:val="000000"/>
                <w:sz w:val="18"/>
                <w:szCs w:val="18"/>
              </w:rPr>
              <w:t>FEMA Form FF-206-FY-21-118 (formerly 086-0-2), Flood Insurance Cancellation/Nullification Request Form</w:t>
            </w:r>
          </w:p>
        </w:tc>
        <w:tc>
          <w:tcPr>
            <w:tcW w:w="1136" w:type="dxa"/>
            <w:tcBorders>
              <w:top w:val="nil"/>
              <w:left w:val="nil"/>
              <w:bottom w:val="single" w:sz="4" w:space="0" w:color="auto"/>
              <w:right w:val="single" w:sz="4" w:space="0" w:color="auto"/>
            </w:tcBorders>
            <w:shd w:val="clear" w:color="auto" w:fill="auto"/>
            <w:vAlign w:val="center"/>
            <w:hideMark/>
          </w:tcPr>
          <w:p w:rsidR="00C34F33" w:rsidRPr="00D468BA" w:rsidP="00C34F33" w14:paraId="518EFA8A" w14:textId="77777777">
            <w:pPr>
              <w:jc w:val="center"/>
              <w:rPr>
                <w:rFonts w:eastAsia="Times New Roman" w:cs="Times New Roman"/>
                <w:color w:val="000000"/>
                <w:sz w:val="18"/>
                <w:szCs w:val="18"/>
              </w:rPr>
            </w:pPr>
            <w:r w:rsidRPr="00D468BA">
              <w:rPr>
                <w:rFonts w:eastAsia="Times New Roman" w:cs="Times New Roman"/>
                <w:color w:val="000000"/>
                <w:sz w:val="18"/>
                <w:szCs w:val="18"/>
              </w:rPr>
              <w:t>14,656</w:t>
            </w:r>
          </w:p>
        </w:tc>
        <w:tc>
          <w:tcPr>
            <w:tcW w:w="1124" w:type="dxa"/>
            <w:tcBorders>
              <w:top w:val="nil"/>
              <w:left w:val="nil"/>
              <w:bottom w:val="single" w:sz="4" w:space="0" w:color="auto"/>
              <w:right w:val="single" w:sz="4" w:space="0" w:color="auto"/>
            </w:tcBorders>
            <w:shd w:val="clear" w:color="auto" w:fill="auto"/>
            <w:vAlign w:val="center"/>
            <w:hideMark/>
          </w:tcPr>
          <w:p w:rsidR="00C34F33" w:rsidRPr="00D468BA" w:rsidP="00C34F33" w14:paraId="752E55C6" w14:textId="77777777">
            <w:pPr>
              <w:jc w:val="center"/>
              <w:rPr>
                <w:rFonts w:eastAsia="Times New Roman" w:cs="Times New Roman"/>
                <w:color w:val="000000"/>
                <w:sz w:val="18"/>
                <w:szCs w:val="18"/>
              </w:rPr>
            </w:pPr>
            <w:r w:rsidRPr="00D468BA">
              <w:rPr>
                <w:rFonts w:eastAsia="Times New Roman" w:cs="Times New Roman"/>
                <w:color w:val="000000"/>
                <w:sz w:val="18"/>
                <w:szCs w:val="18"/>
              </w:rPr>
              <w:t>1</w:t>
            </w:r>
          </w:p>
        </w:tc>
        <w:tc>
          <w:tcPr>
            <w:tcW w:w="976" w:type="dxa"/>
            <w:tcBorders>
              <w:top w:val="nil"/>
              <w:left w:val="nil"/>
              <w:bottom w:val="single" w:sz="4" w:space="0" w:color="auto"/>
              <w:right w:val="single" w:sz="4" w:space="0" w:color="auto"/>
            </w:tcBorders>
            <w:shd w:val="clear" w:color="auto" w:fill="auto"/>
            <w:vAlign w:val="center"/>
            <w:hideMark/>
          </w:tcPr>
          <w:p w:rsidR="00C34F33" w:rsidRPr="00D468BA" w:rsidP="00C34F33" w14:paraId="0D9D7E60" w14:textId="3633D369">
            <w:pPr>
              <w:jc w:val="center"/>
              <w:rPr>
                <w:rFonts w:eastAsia="Times New Roman" w:cs="Times New Roman"/>
                <w:color w:val="000000"/>
                <w:sz w:val="18"/>
                <w:szCs w:val="18"/>
              </w:rPr>
            </w:pPr>
            <w:r w:rsidRPr="00D468BA">
              <w:rPr>
                <w:rFonts w:eastAsia="Times New Roman" w:cs="Times New Roman"/>
                <w:color w:val="000000"/>
                <w:sz w:val="18"/>
                <w:szCs w:val="18"/>
              </w:rPr>
              <w:t>14,656</w:t>
            </w:r>
          </w:p>
        </w:tc>
        <w:tc>
          <w:tcPr>
            <w:tcW w:w="1001"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6E05DCA6" w14:textId="77777777">
            <w:pPr>
              <w:jc w:val="center"/>
              <w:rPr>
                <w:rFonts w:eastAsia="Times New Roman" w:cs="Times New Roman"/>
                <w:color w:val="000000"/>
                <w:sz w:val="18"/>
                <w:szCs w:val="18"/>
              </w:rPr>
            </w:pPr>
            <w:r w:rsidRPr="00D468BA">
              <w:rPr>
                <w:rFonts w:eastAsia="Times New Roman" w:cs="Times New Roman"/>
                <w:color w:val="000000"/>
                <w:sz w:val="18"/>
                <w:szCs w:val="18"/>
              </w:rPr>
              <w:t>0.1500</w:t>
            </w:r>
          </w:p>
        </w:tc>
        <w:tc>
          <w:tcPr>
            <w:tcW w:w="959"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71EEB9D9" w14:textId="7D423AE2">
            <w:pPr>
              <w:jc w:val="center"/>
              <w:rPr>
                <w:rFonts w:eastAsia="Times New Roman" w:cs="Times New Roman"/>
                <w:color w:val="000000"/>
                <w:sz w:val="18"/>
                <w:szCs w:val="18"/>
              </w:rPr>
            </w:pPr>
            <w:r w:rsidRPr="00D468BA">
              <w:rPr>
                <w:rFonts w:eastAsia="Times New Roman" w:cs="Times New Roman"/>
                <w:color w:val="000000"/>
                <w:sz w:val="18"/>
                <w:szCs w:val="18"/>
              </w:rPr>
              <w:t>2,198</w:t>
            </w:r>
          </w:p>
        </w:tc>
        <w:tc>
          <w:tcPr>
            <w:tcW w:w="1116" w:type="dxa"/>
            <w:tcBorders>
              <w:top w:val="nil"/>
              <w:left w:val="nil"/>
              <w:bottom w:val="single" w:sz="4" w:space="0" w:color="auto"/>
              <w:right w:val="single" w:sz="4" w:space="0" w:color="auto"/>
            </w:tcBorders>
            <w:shd w:val="clear" w:color="auto" w:fill="auto"/>
            <w:vAlign w:val="center"/>
            <w:hideMark/>
          </w:tcPr>
          <w:p w:rsidR="00C34F33" w:rsidRPr="00D468BA" w:rsidP="00C34F33" w14:paraId="6E5CA93F" w14:textId="5B1628C7">
            <w:pPr>
              <w:jc w:val="center"/>
              <w:rPr>
                <w:rFonts w:eastAsia="Times New Roman" w:cs="Times New Roman"/>
                <w:color w:val="000000"/>
                <w:sz w:val="18"/>
                <w:szCs w:val="18"/>
              </w:rPr>
            </w:pPr>
            <w:r w:rsidRPr="00D468BA">
              <w:rPr>
                <w:rFonts w:eastAsia="Times New Roman" w:cs="Times New Roman"/>
                <w:color w:val="000000"/>
                <w:sz w:val="18"/>
                <w:szCs w:val="18"/>
              </w:rPr>
              <w:t>$</w:t>
            </w:r>
            <w:r>
              <w:rPr>
                <w:rFonts w:eastAsia="Times New Roman" w:cs="Times New Roman"/>
                <w:color w:val="000000"/>
                <w:sz w:val="18"/>
                <w:szCs w:val="18"/>
              </w:rPr>
              <w:t>45.65</w:t>
            </w:r>
          </w:p>
        </w:tc>
        <w:tc>
          <w:tcPr>
            <w:tcW w:w="1176" w:type="dxa"/>
            <w:tcBorders>
              <w:top w:val="nil"/>
              <w:left w:val="nil"/>
              <w:bottom w:val="single" w:sz="4" w:space="0" w:color="auto"/>
              <w:right w:val="single" w:sz="4" w:space="0" w:color="auto"/>
            </w:tcBorders>
            <w:shd w:val="clear" w:color="auto" w:fill="auto"/>
            <w:noWrap/>
            <w:vAlign w:val="center"/>
          </w:tcPr>
          <w:p w:rsidR="00C34F33" w:rsidRPr="00D468BA" w:rsidP="00C34F33" w14:paraId="73D5D9FC" w14:textId="0774AD1A">
            <w:pPr>
              <w:jc w:val="right"/>
              <w:rPr>
                <w:rFonts w:eastAsia="Times New Roman" w:cs="Times New Roman"/>
                <w:color w:val="000000"/>
                <w:sz w:val="18"/>
                <w:szCs w:val="18"/>
              </w:rPr>
            </w:pPr>
            <w:r>
              <w:rPr>
                <w:color w:val="000000"/>
                <w:sz w:val="18"/>
                <w:szCs w:val="18"/>
              </w:rPr>
              <w:t>$100,339</w:t>
            </w:r>
          </w:p>
        </w:tc>
      </w:tr>
      <w:tr w14:paraId="4DB6DC5C" w14:textId="77777777" w:rsidTr="00B37636">
        <w:tblPrEx>
          <w:tblW w:w="11070" w:type="dxa"/>
          <w:jc w:val="center"/>
          <w:tblLook w:val="04A0"/>
        </w:tblPrEx>
        <w:trPr>
          <w:trHeight w:val="1070"/>
          <w:jc w:val="center"/>
        </w:trPr>
        <w:tc>
          <w:tcPr>
            <w:tcW w:w="1427" w:type="dxa"/>
            <w:tcBorders>
              <w:top w:val="nil"/>
              <w:left w:val="single" w:sz="4" w:space="0" w:color="auto"/>
              <w:bottom w:val="single" w:sz="4" w:space="0" w:color="auto"/>
              <w:right w:val="single" w:sz="4" w:space="0" w:color="auto"/>
            </w:tcBorders>
            <w:shd w:val="clear" w:color="auto" w:fill="auto"/>
            <w:vAlign w:val="center"/>
            <w:hideMark/>
          </w:tcPr>
          <w:p w:rsidR="00C34F33" w:rsidRPr="00D468BA" w:rsidP="00C34F33" w14:paraId="3C420231" w14:textId="77777777">
            <w:pPr>
              <w:jc w:val="center"/>
              <w:rPr>
                <w:rFonts w:eastAsia="Times New Roman" w:cs="Times New Roman"/>
                <w:color w:val="000000"/>
                <w:sz w:val="18"/>
                <w:szCs w:val="18"/>
              </w:rPr>
            </w:pPr>
            <w:r w:rsidRPr="00D468BA">
              <w:rPr>
                <w:rFonts w:eastAsia="Times New Roman" w:cs="Times New Roman"/>
                <w:color w:val="000000"/>
                <w:sz w:val="18"/>
                <w:szCs w:val="18"/>
              </w:rPr>
              <w:t>Individual, business, non-profit, State, local, or Tribal Government</w:t>
            </w:r>
          </w:p>
        </w:tc>
        <w:tc>
          <w:tcPr>
            <w:tcW w:w="2155" w:type="dxa"/>
            <w:tcBorders>
              <w:top w:val="nil"/>
              <w:left w:val="nil"/>
              <w:bottom w:val="single" w:sz="4" w:space="0" w:color="auto"/>
              <w:right w:val="single" w:sz="4" w:space="0" w:color="auto"/>
            </w:tcBorders>
            <w:shd w:val="clear" w:color="auto" w:fill="auto"/>
            <w:vAlign w:val="center"/>
            <w:hideMark/>
          </w:tcPr>
          <w:p w:rsidR="00C34F33" w:rsidRPr="00D468BA" w:rsidP="00C34F33" w14:paraId="4B5AF66E" w14:textId="77777777">
            <w:pPr>
              <w:jc w:val="center"/>
              <w:rPr>
                <w:rFonts w:eastAsia="Times New Roman" w:cs="Times New Roman"/>
                <w:color w:val="000000"/>
                <w:sz w:val="18"/>
                <w:szCs w:val="18"/>
              </w:rPr>
            </w:pPr>
            <w:r w:rsidRPr="00D468BA">
              <w:rPr>
                <w:rFonts w:eastAsia="Times New Roman" w:cs="Times New Roman"/>
                <w:color w:val="000000"/>
                <w:sz w:val="18"/>
                <w:szCs w:val="18"/>
              </w:rPr>
              <w:t>FEMA Form FF-206-FY-21-119 (formerly 086-0-3), Flood Insurance General Change Endorsement</w:t>
            </w:r>
          </w:p>
        </w:tc>
        <w:tc>
          <w:tcPr>
            <w:tcW w:w="1136" w:type="dxa"/>
            <w:tcBorders>
              <w:top w:val="nil"/>
              <w:left w:val="nil"/>
              <w:bottom w:val="single" w:sz="4" w:space="0" w:color="auto"/>
              <w:right w:val="single" w:sz="4" w:space="0" w:color="auto"/>
            </w:tcBorders>
            <w:shd w:val="clear" w:color="auto" w:fill="auto"/>
            <w:vAlign w:val="center"/>
            <w:hideMark/>
          </w:tcPr>
          <w:p w:rsidR="00C34F33" w:rsidRPr="00D468BA" w:rsidP="00C34F33" w14:paraId="7BACB1A0" w14:textId="77777777">
            <w:pPr>
              <w:jc w:val="center"/>
              <w:rPr>
                <w:rFonts w:eastAsia="Times New Roman" w:cs="Times New Roman"/>
                <w:color w:val="000000"/>
                <w:sz w:val="18"/>
                <w:szCs w:val="18"/>
              </w:rPr>
            </w:pPr>
            <w:r w:rsidRPr="00D468BA">
              <w:rPr>
                <w:rFonts w:eastAsia="Times New Roman" w:cs="Times New Roman"/>
                <w:color w:val="000000"/>
                <w:sz w:val="18"/>
                <w:szCs w:val="18"/>
              </w:rPr>
              <w:t>123,531</w:t>
            </w:r>
          </w:p>
        </w:tc>
        <w:tc>
          <w:tcPr>
            <w:tcW w:w="1124" w:type="dxa"/>
            <w:tcBorders>
              <w:top w:val="nil"/>
              <w:left w:val="nil"/>
              <w:bottom w:val="single" w:sz="4" w:space="0" w:color="auto"/>
              <w:right w:val="single" w:sz="4" w:space="0" w:color="auto"/>
            </w:tcBorders>
            <w:shd w:val="clear" w:color="auto" w:fill="auto"/>
            <w:vAlign w:val="center"/>
            <w:hideMark/>
          </w:tcPr>
          <w:p w:rsidR="00C34F33" w:rsidRPr="00D468BA" w:rsidP="00C34F33" w14:paraId="2B2734E6" w14:textId="77777777">
            <w:pPr>
              <w:jc w:val="center"/>
              <w:rPr>
                <w:rFonts w:eastAsia="Times New Roman" w:cs="Times New Roman"/>
                <w:color w:val="000000"/>
                <w:sz w:val="18"/>
                <w:szCs w:val="18"/>
              </w:rPr>
            </w:pPr>
            <w:r w:rsidRPr="00D468BA">
              <w:rPr>
                <w:rFonts w:eastAsia="Times New Roman" w:cs="Times New Roman"/>
                <w:color w:val="000000"/>
                <w:sz w:val="18"/>
                <w:szCs w:val="18"/>
              </w:rPr>
              <w:t>1</w:t>
            </w:r>
          </w:p>
        </w:tc>
        <w:tc>
          <w:tcPr>
            <w:tcW w:w="976" w:type="dxa"/>
            <w:tcBorders>
              <w:top w:val="nil"/>
              <w:left w:val="nil"/>
              <w:bottom w:val="single" w:sz="4" w:space="0" w:color="auto"/>
              <w:right w:val="single" w:sz="4" w:space="0" w:color="auto"/>
            </w:tcBorders>
            <w:shd w:val="clear" w:color="auto" w:fill="auto"/>
            <w:vAlign w:val="center"/>
            <w:hideMark/>
          </w:tcPr>
          <w:p w:rsidR="00C34F33" w:rsidRPr="00D468BA" w:rsidP="00C34F33" w14:paraId="1A251314" w14:textId="722CE5F1">
            <w:pPr>
              <w:jc w:val="center"/>
              <w:rPr>
                <w:rFonts w:eastAsia="Times New Roman" w:cs="Times New Roman"/>
                <w:color w:val="000000"/>
                <w:sz w:val="18"/>
                <w:szCs w:val="18"/>
              </w:rPr>
            </w:pPr>
            <w:r w:rsidRPr="00D468BA">
              <w:rPr>
                <w:rFonts w:eastAsia="Times New Roman" w:cs="Times New Roman"/>
                <w:color w:val="000000"/>
                <w:sz w:val="18"/>
                <w:szCs w:val="18"/>
              </w:rPr>
              <w:t>123,531</w:t>
            </w:r>
          </w:p>
        </w:tc>
        <w:tc>
          <w:tcPr>
            <w:tcW w:w="1001"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1B59B099" w14:textId="3F7AAE83">
            <w:pPr>
              <w:jc w:val="center"/>
              <w:rPr>
                <w:rFonts w:eastAsia="Times New Roman" w:cs="Times New Roman"/>
                <w:color w:val="000000"/>
                <w:sz w:val="18"/>
                <w:szCs w:val="18"/>
              </w:rPr>
            </w:pPr>
            <w:r w:rsidRPr="00D468BA">
              <w:rPr>
                <w:rFonts w:eastAsia="Times New Roman" w:cs="Times New Roman"/>
                <w:color w:val="000000"/>
                <w:sz w:val="18"/>
                <w:szCs w:val="18"/>
              </w:rPr>
              <w:t>0.13</w:t>
            </w:r>
            <w:r>
              <w:rPr>
                <w:rFonts w:eastAsia="Times New Roman" w:cs="Times New Roman"/>
                <w:color w:val="000000"/>
                <w:sz w:val="18"/>
                <w:szCs w:val="18"/>
              </w:rPr>
              <w:t>33</w:t>
            </w:r>
          </w:p>
        </w:tc>
        <w:tc>
          <w:tcPr>
            <w:tcW w:w="959"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5AD89840" w14:textId="1D7772FE">
            <w:pPr>
              <w:jc w:val="center"/>
              <w:rPr>
                <w:rFonts w:eastAsia="Times New Roman" w:cs="Times New Roman"/>
                <w:color w:val="000000"/>
                <w:sz w:val="18"/>
                <w:szCs w:val="18"/>
              </w:rPr>
            </w:pPr>
            <w:r w:rsidRPr="00D468BA">
              <w:rPr>
                <w:rFonts w:eastAsia="Times New Roman" w:cs="Times New Roman"/>
                <w:color w:val="000000"/>
                <w:sz w:val="18"/>
                <w:szCs w:val="18"/>
              </w:rPr>
              <w:t>16,</w:t>
            </w:r>
            <w:r>
              <w:rPr>
                <w:rFonts w:eastAsia="Times New Roman" w:cs="Times New Roman"/>
                <w:color w:val="000000"/>
                <w:sz w:val="18"/>
                <w:szCs w:val="18"/>
              </w:rPr>
              <w:t>467</w:t>
            </w:r>
          </w:p>
        </w:tc>
        <w:tc>
          <w:tcPr>
            <w:tcW w:w="1116" w:type="dxa"/>
            <w:tcBorders>
              <w:top w:val="nil"/>
              <w:left w:val="nil"/>
              <w:bottom w:val="single" w:sz="4" w:space="0" w:color="auto"/>
              <w:right w:val="single" w:sz="4" w:space="0" w:color="auto"/>
            </w:tcBorders>
            <w:shd w:val="clear" w:color="auto" w:fill="auto"/>
            <w:vAlign w:val="center"/>
            <w:hideMark/>
          </w:tcPr>
          <w:p w:rsidR="00C34F33" w:rsidRPr="00D468BA" w:rsidP="00C34F33" w14:paraId="4255B1B5" w14:textId="22216C3B">
            <w:pPr>
              <w:jc w:val="center"/>
              <w:rPr>
                <w:rFonts w:eastAsia="Times New Roman" w:cs="Times New Roman"/>
                <w:color w:val="000000"/>
                <w:sz w:val="18"/>
                <w:szCs w:val="18"/>
              </w:rPr>
            </w:pPr>
            <w:r w:rsidRPr="00D468BA">
              <w:rPr>
                <w:rFonts w:eastAsia="Times New Roman" w:cs="Times New Roman"/>
                <w:color w:val="000000"/>
                <w:sz w:val="18"/>
                <w:szCs w:val="18"/>
              </w:rPr>
              <w:t>$</w:t>
            </w:r>
            <w:r>
              <w:rPr>
                <w:rFonts w:eastAsia="Times New Roman" w:cs="Times New Roman"/>
                <w:color w:val="000000"/>
                <w:sz w:val="18"/>
                <w:szCs w:val="18"/>
              </w:rPr>
              <w:t>45.65</w:t>
            </w:r>
          </w:p>
        </w:tc>
        <w:tc>
          <w:tcPr>
            <w:tcW w:w="1176" w:type="dxa"/>
            <w:tcBorders>
              <w:top w:val="nil"/>
              <w:left w:val="nil"/>
              <w:bottom w:val="single" w:sz="4" w:space="0" w:color="auto"/>
              <w:right w:val="single" w:sz="4" w:space="0" w:color="auto"/>
            </w:tcBorders>
            <w:shd w:val="clear" w:color="auto" w:fill="auto"/>
            <w:noWrap/>
            <w:vAlign w:val="center"/>
          </w:tcPr>
          <w:p w:rsidR="00C34F33" w:rsidRPr="00D468BA" w:rsidP="00C34F33" w14:paraId="6C8F3A27" w14:textId="4E3B3432">
            <w:pPr>
              <w:jc w:val="right"/>
              <w:rPr>
                <w:rFonts w:eastAsia="Times New Roman" w:cs="Times New Roman"/>
                <w:color w:val="000000"/>
                <w:sz w:val="18"/>
                <w:szCs w:val="18"/>
              </w:rPr>
            </w:pPr>
            <w:r>
              <w:rPr>
                <w:color w:val="000000"/>
                <w:sz w:val="18"/>
                <w:szCs w:val="18"/>
              </w:rPr>
              <w:t>$751,719</w:t>
            </w:r>
          </w:p>
        </w:tc>
      </w:tr>
      <w:tr w14:paraId="6139DE33" w14:textId="77777777" w:rsidTr="00B37636">
        <w:tblPrEx>
          <w:tblW w:w="11070" w:type="dxa"/>
          <w:jc w:val="center"/>
          <w:tblLook w:val="04A0"/>
        </w:tblPrEx>
        <w:trPr>
          <w:trHeight w:val="890"/>
          <w:jc w:val="center"/>
        </w:trPr>
        <w:tc>
          <w:tcPr>
            <w:tcW w:w="1427" w:type="dxa"/>
            <w:tcBorders>
              <w:top w:val="nil"/>
              <w:left w:val="single" w:sz="4" w:space="0" w:color="auto"/>
              <w:bottom w:val="single" w:sz="4" w:space="0" w:color="auto"/>
              <w:right w:val="single" w:sz="4" w:space="0" w:color="auto"/>
            </w:tcBorders>
            <w:shd w:val="clear" w:color="auto" w:fill="auto"/>
            <w:vAlign w:val="center"/>
            <w:hideMark/>
          </w:tcPr>
          <w:p w:rsidR="00C34F33" w:rsidRPr="00D468BA" w:rsidP="00C34F33" w14:paraId="7B30885D" w14:textId="77777777">
            <w:pPr>
              <w:jc w:val="center"/>
              <w:rPr>
                <w:rFonts w:eastAsia="Times New Roman" w:cs="Times New Roman"/>
                <w:color w:val="000000"/>
                <w:sz w:val="18"/>
                <w:szCs w:val="18"/>
              </w:rPr>
            </w:pPr>
            <w:r w:rsidRPr="00D468BA">
              <w:rPr>
                <w:rFonts w:eastAsia="Times New Roman" w:cs="Times New Roman"/>
                <w:color w:val="000000"/>
                <w:sz w:val="18"/>
                <w:szCs w:val="18"/>
              </w:rPr>
              <w:t>Individual, business, non-profit, State, local, or Tribal Government</w:t>
            </w:r>
          </w:p>
        </w:tc>
        <w:tc>
          <w:tcPr>
            <w:tcW w:w="2155" w:type="dxa"/>
            <w:tcBorders>
              <w:top w:val="nil"/>
              <w:left w:val="nil"/>
              <w:bottom w:val="single" w:sz="4" w:space="0" w:color="auto"/>
              <w:right w:val="single" w:sz="4" w:space="0" w:color="auto"/>
            </w:tcBorders>
            <w:shd w:val="clear" w:color="auto" w:fill="auto"/>
            <w:vAlign w:val="center"/>
            <w:hideMark/>
          </w:tcPr>
          <w:p w:rsidR="00C34F33" w:rsidRPr="00D468BA" w:rsidP="00C34F33" w14:paraId="0FEC5AEA" w14:textId="77777777">
            <w:pPr>
              <w:jc w:val="center"/>
              <w:rPr>
                <w:rFonts w:eastAsia="Times New Roman" w:cs="Times New Roman"/>
                <w:color w:val="000000"/>
                <w:sz w:val="18"/>
                <w:szCs w:val="18"/>
              </w:rPr>
            </w:pPr>
            <w:r w:rsidRPr="00D468BA">
              <w:rPr>
                <w:rFonts w:eastAsia="Times New Roman" w:cs="Times New Roman"/>
                <w:color w:val="000000"/>
                <w:sz w:val="18"/>
                <w:szCs w:val="18"/>
              </w:rPr>
              <w:t>FEMA Form FF-206-FY-24-103, e-Flood Insurance Application</w:t>
            </w:r>
          </w:p>
        </w:tc>
        <w:tc>
          <w:tcPr>
            <w:tcW w:w="1136" w:type="dxa"/>
            <w:tcBorders>
              <w:top w:val="nil"/>
              <w:left w:val="nil"/>
              <w:bottom w:val="single" w:sz="4" w:space="0" w:color="auto"/>
              <w:right w:val="single" w:sz="4" w:space="0" w:color="auto"/>
            </w:tcBorders>
            <w:shd w:val="clear" w:color="auto" w:fill="auto"/>
            <w:vAlign w:val="center"/>
            <w:hideMark/>
          </w:tcPr>
          <w:p w:rsidR="00C34F33" w:rsidRPr="00D468BA" w:rsidP="00C34F33" w14:paraId="796871AF" w14:textId="77777777">
            <w:pPr>
              <w:jc w:val="center"/>
              <w:rPr>
                <w:rFonts w:eastAsia="Times New Roman" w:cs="Times New Roman"/>
                <w:color w:val="000000"/>
                <w:sz w:val="18"/>
                <w:szCs w:val="18"/>
              </w:rPr>
            </w:pPr>
            <w:r w:rsidRPr="00D468BA">
              <w:rPr>
                <w:rFonts w:eastAsia="Times New Roman" w:cs="Times New Roman"/>
                <w:color w:val="000000"/>
                <w:sz w:val="18"/>
                <w:szCs w:val="18"/>
              </w:rPr>
              <w:t>100</w:t>
            </w:r>
          </w:p>
        </w:tc>
        <w:tc>
          <w:tcPr>
            <w:tcW w:w="1124" w:type="dxa"/>
            <w:tcBorders>
              <w:top w:val="nil"/>
              <w:left w:val="nil"/>
              <w:bottom w:val="single" w:sz="4" w:space="0" w:color="auto"/>
              <w:right w:val="single" w:sz="4" w:space="0" w:color="auto"/>
            </w:tcBorders>
            <w:shd w:val="clear" w:color="auto" w:fill="auto"/>
            <w:vAlign w:val="center"/>
            <w:hideMark/>
          </w:tcPr>
          <w:p w:rsidR="00C34F33" w:rsidRPr="00D468BA" w:rsidP="00C34F33" w14:paraId="36DE4CFF" w14:textId="77777777">
            <w:pPr>
              <w:jc w:val="center"/>
              <w:rPr>
                <w:rFonts w:eastAsia="Times New Roman" w:cs="Times New Roman"/>
                <w:color w:val="000000"/>
                <w:sz w:val="18"/>
                <w:szCs w:val="18"/>
              </w:rPr>
            </w:pPr>
            <w:r w:rsidRPr="00D468BA">
              <w:rPr>
                <w:rFonts w:eastAsia="Times New Roman" w:cs="Times New Roman"/>
                <w:color w:val="000000"/>
                <w:sz w:val="18"/>
                <w:szCs w:val="18"/>
              </w:rPr>
              <w:t>1</w:t>
            </w:r>
          </w:p>
        </w:tc>
        <w:tc>
          <w:tcPr>
            <w:tcW w:w="976" w:type="dxa"/>
            <w:tcBorders>
              <w:top w:val="nil"/>
              <w:left w:val="nil"/>
              <w:bottom w:val="single" w:sz="4" w:space="0" w:color="auto"/>
              <w:right w:val="single" w:sz="4" w:space="0" w:color="auto"/>
            </w:tcBorders>
            <w:shd w:val="clear" w:color="auto" w:fill="auto"/>
            <w:vAlign w:val="center"/>
            <w:hideMark/>
          </w:tcPr>
          <w:p w:rsidR="00C34F33" w:rsidRPr="00D468BA" w:rsidP="00C34F33" w14:paraId="093CA762" w14:textId="71721316">
            <w:pPr>
              <w:jc w:val="center"/>
              <w:rPr>
                <w:rFonts w:eastAsia="Times New Roman" w:cs="Times New Roman"/>
                <w:color w:val="000000"/>
                <w:sz w:val="18"/>
                <w:szCs w:val="18"/>
              </w:rPr>
            </w:pPr>
            <w:r w:rsidRPr="00D468BA">
              <w:rPr>
                <w:rFonts w:eastAsia="Times New Roman" w:cs="Times New Roman"/>
                <w:color w:val="000000"/>
                <w:sz w:val="18"/>
                <w:szCs w:val="18"/>
              </w:rPr>
              <w:t>100</w:t>
            </w:r>
          </w:p>
        </w:tc>
        <w:tc>
          <w:tcPr>
            <w:tcW w:w="1001"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76EE1EC9" w14:textId="4F6211F9">
            <w:pPr>
              <w:jc w:val="center"/>
              <w:rPr>
                <w:rFonts w:eastAsia="Times New Roman" w:cs="Times New Roman"/>
                <w:color w:val="000000"/>
                <w:sz w:val="18"/>
                <w:szCs w:val="18"/>
              </w:rPr>
            </w:pPr>
            <w:r w:rsidRPr="00D468BA">
              <w:rPr>
                <w:rFonts w:eastAsia="Times New Roman" w:cs="Times New Roman"/>
                <w:color w:val="000000"/>
                <w:sz w:val="18"/>
                <w:szCs w:val="18"/>
              </w:rPr>
              <w:t>0.</w:t>
            </w:r>
            <w:r>
              <w:rPr>
                <w:rFonts w:eastAsia="Times New Roman" w:cs="Times New Roman"/>
                <w:color w:val="000000"/>
                <w:sz w:val="18"/>
                <w:szCs w:val="18"/>
              </w:rPr>
              <w:t>1167</w:t>
            </w:r>
          </w:p>
        </w:tc>
        <w:tc>
          <w:tcPr>
            <w:tcW w:w="959" w:type="dxa"/>
            <w:tcBorders>
              <w:top w:val="nil"/>
              <w:left w:val="nil"/>
              <w:bottom w:val="single" w:sz="4" w:space="0" w:color="auto"/>
              <w:right w:val="single" w:sz="4" w:space="0" w:color="auto"/>
            </w:tcBorders>
            <w:shd w:val="clear" w:color="auto" w:fill="auto"/>
            <w:noWrap/>
            <w:vAlign w:val="center"/>
            <w:hideMark/>
          </w:tcPr>
          <w:p w:rsidR="00C34F33" w:rsidRPr="00D468BA" w:rsidP="00C34F33" w14:paraId="281FEA19" w14:textId="4053215D">
            <w:pPr>
              <w:jc w:val="center"/>
              <w:rPr>
                <w:rFonts w:eastAsia="Times New Roman" w:cs="Times New Roman"/>
                <w:color w:val="000000"/>
                <w:sz w:val="18"/>
                <w:szCs w:val="18"/>
              </w:rPr>
            </w:pPr>
            <w:r w:rsidRPr="00D468BA">
              <w:rPr>
                <w:rFonts w:eastAsia="Times New Roman" w:cs="Times New Roman"/>
                <w:color w:val="000000"/>
                <w:sz w:val="18"/>
                <w:szCs w:val="18"/>
              </w:rPr>
              <w:t>12</w:t>
            </w:r>
          </w:p>
        </w:tc>
        <w:tc>
          <w:tcPr>
            <w:tcW w:w="1116" w:type="dxa"/>
            <w:tcBorders>
              <w:top w:val="nil"/>
              <w:left w:val="nil"/>
              <w:bottom w:val="single" w:sz="4" w:space="0" w:color="auto"/>
              <w:right w:val="single" w:sz="4" w:space="0" w:color="auto"/>
            </w:tcBorders>
            <w:shd w:val="clear" w:color="auto" w:fill="auto"/>
            <w:vAlign w:val="center"/>
            <w:hideMark/>
          </w:tcPr>
          <w:p w:rsidR="00C34F33" w:rsidRPr="00D468BA" w:rsidP="00C34F33" w14:paraId="6B649C44" w14:textId="504E497D">
            <w:pPr>
              <w:jc w:val="center"/>
              <w:rPr>
                <w:rFonts w:eastAsia="Times New Roman" w:cs="Times New Roman"/>
                <w:color w:val="000000"/>
                <w:sz w:val="18"/>
                <w:szCs w:val="18"/>
              </w:rPr>
            </w:pPr>
            <w:r w:rsidRPr="00D468BA">
              <w:rPr>
                <w:rFonts w:eastAsia="Times New Roman" w:cs="Times New Roman"/>
                <w:color w:val="000000"/>
                <w:sz w:val="18"/>
                <w:szCs w:val="18"/>
              </w:rPr>
              <w:t>$</w:t>
            </w:r>
            <w:r>
              <w:rPr>
                <w:rFonts w:eastAsia="Times New Roman" w:cs="Times New Roman"/>
                <w:color w:val="000000"/>
                <w:sz w:val="18"/>
                <w:szCs w:val="18"/>
              </w:rPr>
              <w:t>45.65</w:t>
            </w:r>
          </w:p>
        </w:tc>
        <w:tc>
          <w:tcPr>
            <w:tcW w:w="1176" w:type="dxa"/>
            <w:tcBorders>
              <w:top w:val="nil"/>
              <w:left w:val="nil"/>
              <w:bottom w:val="single" w:sz="4" w:space="0" w:color="auto"/>
              <w:right w:val="single" w:sz="4" w:space="0" w:color="auto"/>
            </w:tcBorders>
            <w:shd w:val="clear" w:color="auto" w:fill="auto"/>
            <w:noWrap/>
            <w:vAlign w:val="center"/>
          </w:tcPr>
          <w:p w:rsidR="00C34F33" w:rsidRPr="00D468BA" w:rsidP="00C34F33" w14:paraId="0DCBDF15" w14:textId="66662CC1">
            <w:pPr>
              <w:jc w:val="right"/>
              <w:rPr>
                <w:rFonts w:eastAsia="Times New Roman" w:cs="Times New Roman"/>
                <w:color w:val="000000"/>
                <w:sz w:val="18"/>
                <w:szCs w:val="18"/>
              </w:rPr>
            </w:pPr>
            <w:r>
              <w:rPr>
                <w:color w:val="000000"/>
                <w:sz w:val="18"/>
                <w:szCs w:val="18"/>
              </w:rPr>
              <w:t>$548</w:t>
            </w:r>
          </w:p>
        </w:tc>
      </w:tr>
      <w:tr w14:paraId="0AB2B69B" w14:textId="77777777" w:rsidTr="00B37636">
        <w:tblPrEx>
          <w:tblW w:w="11070" w:type="dxa"/>
          <w:jc w:val="center"/>
          <w:tblLook w:val="04A0"/>
        </w:tblPrEx>
        <w:trPr>
          <w:trHeight w:val="264"/>
          <w:jc w:val="center"/>
        </w:trPr>
        <w:tc>
          <w:tcPr>
            <w:tcW w:w="1427" w:type="dxa"/>
            <w:tcBorders>
              <w:top w:val="nil"/>
              <w:left w:val="single" w:sz="8" w:space="0" w:color="auto"/>
              <w:bottom w:val="single" w:sz="4" w:space="0" w:color="auto"/>
              <w:right w:val="single" w:sz="4" w:space="0" w:color="auto"/>
            </w:tcBorders>
            <w:shd w:val="clear" w:color="auto" w:fill="auto"/>
            <w:vAlign w:val="bottom"/>
            <w:hideMark/>
          </w:tcPr>
          <w:p w:rsidR="00C34F33" w:rsidRPr="00D468BA" w:rsidP="00C34F33" w14:paraId="3D798295" w14:textId="2D479105">
            <w:pPr>
              <w:jc w:val="center"/>
              <w:rPr>
                <w:rFonts w:eastAsia="Times New Roman" w:cs="Times New Roman"/>
                <w:b/>
                <w:bCs/>
                <w:color w:val="000000"/>
                <w:sz w:val="18"/>
                <w:szCs w:val="18"/>
              </w:rPr>
            </w:pPr>
            <w:r w:rsidRPr="00D468BA">
              <w:rPr>
                <w:rFonts w:eastAsia="Times New Roman" w:cs="Times New Roman"/>
                <w:b/>
                <w:bCs/>
                <w:color w:val="000000"/>
                <w:sz w:val="18"/>
                <w:szCs w:val="18"/>
              </w:rPr>
              <w:t xml:space="preserve">Total </w:t>
            </w:r>
          </w:p>
        </w:tc>
        <w:tc>
          <w:tcPr>
            <w:tcW w:w="2155" w:type="dxa"/>
            <w:tcBorders>
              <w:top w:val="nil"/>
              <w:left w:val="nil"/>
              <w:bottom w:val="single" w:sz="4" w:space="0" w:color="auto"/>
              <w:right w:val="single" w:sz="4" w:space="0" w:color="auto"/>
            </w:tcBorders>
            <w:shd w:val="clear" w:color="000000" w:fill="000000"/>
            <w:vAlign w:val="bottom"/>
            <w:hideMark/>
          </w:tcPr>
          <w:p w:rsidR="00C34F33" w:rsidRPr="00D468BA" w:rsidP="00C34F33" w14:paraId="79936617" w14:textId="77777777">
            <w:pPr>
              <w:jc w:val="center"/>
              <w:rPr>
                <w:rFonts w:eastAsia="Times New Roman" w:cs="Times New Roman"/>
                <w:b/>
                <w:bCs/>
                <w:color w:val="000000"/>
                <w:sz w:val="18"/>
                <w:szCs w:val="18"/>
              </w:rPr>
            </w:pPr>
            <w:r w:rsidRPr="00D468BA">
              <w:rPr>
                <w:rFonts w:eastAsia="Times New Roman" w:cs="Times New Roman"/>
                <w:b/>
                <w:bCs/>
                <w:color w:val="000000"/>
                <w:sz w:val="18"/>
                <w:szCs w:val="18"/>
              </w:rPr>
              <w:t> </w:t>
            </w:r>
          </w:p>
        </w:tc>
        <w:tc>
          <w:tcPr>
            <w:tcW w:w="1136" w:type="dxa"/>
            <w:tcBorders>
              <w:top w:val="nil"/>
              <w:left w:val="nil"/>
              <w:bottom w:val="single" w:sz="4" w:space="0" w:color="auto"/>
              <w:right w:val="single" w:sz="4" w:space="0" w:color="auto"/>
            </w:tcBorders>
            <w:shd w:val="clear" w:color="auto" w:fill="auto"/>
            <w:vAlign w:val="bottom"/>
            <w:hideMark/>
          </w:tcPr>
          <w:p w:rsidR="00C34F33" w:rsidRPr="00D468BA" w:rsidP="00C34F33" w14:paraId="26C08A00" w14:textId="6ACE1706">
            <w:pPr>
              <w:jc w:val="center"/>
              <w:rPr>
                <w:rFonts w:eastAsia="Times New Roman" w:cs="Times New Roman"/>
                <w:b/>
                <w:bCs/>
                <w:color w:val="000000"/>
                <w:sz w:val="18"/>
                <w:szCs w:val="18"/>
              </w:rPr>
            </w:pPr>
            <w:r w:rsidRPr="00D468BA">
              <w:rPr>
                <w:rFonts w:eastAsia="Times New Roman" w:cs="Times New Roman"/>
                <w:b/>
                <w:bCs/>
                <w:color w:val="000000"/>
                <w:sz w:val="18"/>
                <w:szCs w:val="18"/>
              </w:rPr>
              <w:t>184,273</w:t>
            </w:r>
          </w:p>
        </w:tc>
        <w:tc>
          <w:tcPr>
            <w:tcW w:w="1124" w:type="dxa"/>
            <w:tcBorders>
              <w:top w:val="nil"/>
              <w:left w:val="nil"/>
              <w:bottom w:val="single" w:sz="4" w:space="0" w:color="auto"/>
              <w:right w:val="single" w:sz="4" w:space="0" w:color="auto"/>
            </w:tcBorders>
            <w:shd w:val="clear" w:color="000000" w:fill="000000"/>
            <w:vAlign w:val="bottom"/>
            <w:hideMark/>
          </w:tcPr>
          <w:p w:rsidR="00C34F33" w:rsidRPr="00D468BA" w:rsidP="00C34F33" w14:paraId="437AEF67" w14:textId="7F562535">
            <w:pPr>
              <w:jc w:val="center"/>
              <w:rPr>
                <w:rFonts w:eastAsia="Times New Roman" w:cs="Times New Roman"/>
                <w:b/>
                <w:bCs/>
                <w:color w:val="000000"/>
                <w:sz w:val="18"/>
                <w:szCs w:val="18"/>
              </w:rPr>
            </w:pPr>
          </w:p>
        </w:tc>
        <w:tc>
          <w:tcPr>
            <w:tcW w:w="976" w:type="dxa"/>
            <w:tcBorders>
              <w:top w:val="nil"/>
              <w:left w:val="nil"/>
              <w:bottom w:val="single" w:sz="4" w:space="0" w:color="auto"/>
              <w:right w:val="single" w:sz="4" w:space="0" w:color="auto"/>
            </w:tcBorders>
            <w:shd w:val="clear" w:color="auto" w:fill="auto"/>
            <w:vAlign w:val="bottom"/>
            <w:hideMark/>
          </w:tcPr>
          <w:p w:rsidR="00C34F33" w:rsidRPr="00D468BA" w:rsidP="00C34F33" w14:paraId="5E3F0E3E" w14:textId="26DE4EFA">
            <w:pPr>
              <w:jc w:val="center"/>
              <w:rPr>
                <w:rFonts w:eastAsia="Times New Roman" w:cs="Times New Roman"/>
                <w:b/>
                <w:bCs/>
                <w:color w:val="000000"/>
                <w:sz w:val="18"/>
                <w:szCs w:val="18"/>
              </w:rPr>
            </w:pPr>
            <w:r w:rsidRPr="00D468BA">
              <w:rPr>
                <w:rFonts w:eastAsia="Times New Roman" w:cs="Times New Roman"/>
                <w:b/>
                <w:bCs/>
                <w:color w:val="000000"/>
                <w:sz w:val="18"/>
                <w:szCs w:val="18"/>
              </w:rPr>
              <w:t>184,273</w:t>
            </w:r>
          </w:p>
        </w:tc>
        <w:tc>
          <w:tcPr>
            <w:tcW w:w="1001" w:type="dxa"/>
            <w:tcBorders>
              <w:top w:val="nil"/>
              <w:left w:val="nil"/>
              <w:bottom w:val="single" w:sz="4" w:space="0" w:color="auto"/>
              <w:right w:val="single" w:sz="4" w:space="0" w:color="auto"/>
            </w:tcBorders>
            <w:shd w:val="clear" w:color="000000" w:fill="000000"/>
            <w:noWrap/>
            <w:vAlign w:val="bottom"/>
            <w:hideMark/>
          </w:tcPr>
          <w:p w:rsidR="00C34F33" w:rsidRPr="00D468BA" w:rsidP="00C34F33" w14:paraId="341259D5" w14:textId="398895E0">
            <w:pPr>
              <w:jc w:val="center"/>
              <w:rPr>
                <w:rFonts w:eastAsia="Times New Roman" w:cs="Times New Roman"/>
                <w:b/>
                <w:bCs/>
                <w:color w:val="000000"/>
                <w:sz w:val="18"/>
                <w:szCs w:val="18"/>
              </w:rPr>
            </w:pPr>
          </w:p>
        </w:tc>
        <w:tc>
          <w:tcPr>
            <w:tcW w:w="959" w:type="dxa"/>
            <w:tcBorders>
              <w:top w:val="nil"/>
              <w:left w:val="nil"/>
              <w:bottom w:val="single" w:sz="4" w:space="0" w:color="auto"/>
              <w:right w:val="single" w:sz="4" w:space="0" w:color="auto"/>
            </w:tcBorders>
            <w:shd w:val="clear" w:color="auto" w:fill="auto"/>
            <w:noWrap/>
            <w:vAlign w:val="bottom"/>
            <w:hideMark/>
          </w:tcPr>
          <w:p w:rsidR="00C34F33" w:rsidRPr="00D468BA" w:rsidP="00C34F33" w14:paraId="3F0D1D24" w14:textId="1960FAD9">
            <w:pPr>
              <w:jc w:val="center"/>
              <w:rPr>
                <w:rFonts w:eastAsia="Times New Roman" w:cs="Times New Roman"/>
                <w:b/>
                <w:bCs/>
                <w:color w:val="000000"/>
                <w:sz w:val="18"/>
                <w:szCs w:val="18"/>
              </w:rPr>
            </w:pPr>
            <w:r w:rsidRPr="00D468BA">
              <w:rPr>
                <w:rFonts w:eastAsia="Times New Roman" w:cs="Times New Roman"/>
                <w:b/>
                <w:bCs/>
                <w:color w:val="000000"/>
                <w:sz w:val="18"/>
                <w:szCs w:val="18"/>
              </w:rPr>
              <w:t>28,</w:t>
            </w:r>
            <w:r>
              <w:rPr>
                <w:rFonts w:eastAsia="Times New Roman" w:cs="Times New Roman"/>
                <w:b/>
                <w:bCs/>
                <w:color w:val="000000"/>
                <w:sz w:val="18"/>
                <w:szCs w:val="18"/>
              </w:rPr>
              <w:t>642</w:t>
            </w:r>
          </w:p>
        </w:tc>
        <w:tc>
          <w:tcPr>
            <w:tcW w:w="1116" w:type="dxa"/>
            <w:tcBorders>
              <w:top w:val="nil"/>
              <w:left w:val="nil"/>
              <w:bottom w:val="single" w:sz="4" w:space="0" w:color="auto"/>
              <w:right w:val="single" w:sz="4" w:space="0" w:color="auto"/>
            </w:tcBorders>
            <w:shd w:val="clear" w:color="000000" w:fill="000000"/>
            <w:vAlign w:val="bottom"/>
            <w:hideMark/>
          </w:tcPr>
          <w:p w:rsidR="00C34F33" w:rsidRPr="00D468BA" w:rsidP="00C34F33" w14:paraId="7523C2F8" w14:textId="0CA4850F">
            <w:pPr>
              <w:jc w:val="center"/>
              <w:rPr>
                <w:rFonts w:eastAsia="Times New Roman" w:cs="Times New Roman"/>
                <w:b/>
                <w:bCs/>
                <w:color w:val="000000"/>
                <w:sz w:val="18"/>
                <w:szCs w:val="18"/>
              </w:rPr>
            </w:pPr>
          </w:p>
        </w:tc>
        <w:tc>
          <w:tcPr>
            <w:tcW w:w="1176" w:type="dxa"/>
            <w:tcBorders>
              <w:top w:val="nil"/>
              <w:left w:val="nil"/>
              <w:bottom w:val="single" w:sz="4" w:space="0" w:color="auto"/>
              <w:right w:val="single" w:sz="4" w:space="0" w:color="auto"/>
            </w:tcBorders>
            <w:shd w:val="clear" w:color="auto" w:fill="auto"/>
            <w:noWrap/>
            <w:vAlign w:val="center"/>
          </w:tcPr>
          <w:p w:rsidR="00C34F33" w:rsidRPr="00D468BA" w:rsidP="00C34F33" w14:paraId="77FB9C93" w14:textId="57C2E1E8">
            <w:pPr>
              <w:jc w:val="right"/>
              <w:rPr>
                <w:rFonts w:eastAsia="Times New Roman" w:cs="Times New Roman"/>
                <w:b/>
                <w:bCs/>
                <w:color w:val="000000"/>
                <w:sz w:val="18"/>
                <w:szCs w:val="18"/>
              </w:rPr>
            </w:pPr>
            <w:r>
              <w:rPr>
                <w:b/>
                <w:bCs/>
                <w:color w:val="000000"/>
                <w:sz w:val="18"/>
                <w:szCs w:val="18"/>
              </w:rPr>
              <w:t>$</w:t>
            </w:r>
            <w:bookmarkStart w:id="2" w:name="_Hlk169517241"/>
            <w:r>
              <w:rPr>
                <w:b/>
                <w:bCs/>
                <w:color w:val="000000"/>
                <w:sz w:val="18"/>
                <w:szCs w:val="18"/>
              </w:rPr>
              <w:t>1,307,508</w:t>
            </w:r>
            <w:bookmarkEnd w:id="2"/>
          </w:p>
        </w:tc>
      </w:tr>
    </w:tbl>
    <w:p w:rsidR="00926982" w:rsidRPr="008518A1" w:rsidP="00C32062" w14:paraId="20CF538E" w14:textId="0CA0D314">
      <w:pPr>
        <w:spacing w:line="276" w:lineRule="auto"/>
        <w:contextualSpacing/>
        <w:rPr>
          <w:sz w:val="18"/>
          <w:szCs w:val="18"/>
        </w:rPr>
      </w:pPr>
      <w:r w:rsidRPr="008518A1">
        <w:rPr>
          <w:sz w:val="18"/>
          <w:szCs w:val="18"/>
        </w:rPr>
        <w:t xml:space="preserve">Note:  The “Avg. Hourly Wage Rate” for each respondent include a </w:t>
      </w:r>
      <w:r w:rsidRPr="008518A1" w:rsidR="00A30271">
        <w:rPr>
          <w:sz w:val="18"/>
          <w:szCs w:val="18"/>
        </w:rPr>
        <w:t>wage</w:t>
      </w:r>
      <w:r w:rsidRPr="008518A1">
        <w:rPr>
          <w:sz w:val="18"/>
          <w:szCs w:val="18"/>
        </w:rPr>
        <w:t xml:space="preserve"> multiplier to reflect a fully-loaded wage rate.</w:t>
      </w:r>
    </w:p>
    <w:p w:rsidR="00EE0EFD" w:rsidRPr="008518A1" w:rsidP="00C32062" w14:paraId="5EF04F59" w14:textId="7DC58061">
      <w:pPr>
        <w:spacing w:line="276" w:lineRule="auto"/>
        <w:contextualSpacing/>
        <w:rPr>
          <w:sz w:val="18"/>
          <w:szCs w:val="18"/>
        </w:rPr>
      </w:pPr>
      <w:r w:rsidRPr="008518A1">
        <w:rPr>
          <w:sz w:val="18"/>
          <w:szCs w:val="18"/>
        </w:rPr>
        <w:t>“Type of Respondent should be entered exactly as chosen in Question 3 of the OMB Form 83-I.</w:t>
      </w:r>
    </w:p>
    <w:p w:rsidR="00926982" w:rsidP="00C32062" w14:paraId="455907B6" w14:textId="77777777">
      <w:pPr>
        <w:spacing w:line="276" w:lineRule="auto"/>
        <w:contextualSpacing/>
      </w:pPr>
    </w:p>
    <w:p w:rsidR="00AC49FB" w:rsidRPr="00926982" w:rsidP="00C32062" w14:paraId="1073A33C" w14:textId="496C6298">
      <w:pPr>
        <w:spacing w:line="276" w:lineRule="auto"/>
        <w:contextualSpacing/>
        <w:rPr>
          <w:b/>
          <w:bCs/>
        </w:rPr>
      </w:pPr>
      <w:r w:rsidRPr="00926982">
        <w:rPr>
          <w:b/>
          <w:bCs/>
        </w:rPr>
        <w:t>Instruction for Wage-rate category multiplier:  Take each non-loaded “Avg. Hourly Wage Rate” from the BLS website table and multiply that number by 1.45.  For example, a non-loaded BLS table wage rate of $42.51 would be multiplied by 1.45, and the entry for the “Avg. Hourly Wage Rate” would be $61.64.</w:t>
      </w:r>
    </w:p>
    <w:p w:rsidR="00926982" w:rsidP="00C32062" w14:paraId="65D23EAE" w14:textId="44C6A899">
      <w:pPr>
        <w:spacing w:line="276" w:lineRule="auto"/>
        <w:contextualSpacing/>
      </w:pPr>
    </w:p>
    <w:p w:rsidR="00926982" w:rsidRPr="00E613D9" w:rsidP="00C32062" w14:paraId="143ECDB3" w14:textId="6583E2B5">
      <w:pPr>
        <w:spacing w:line="276" w:lineRule="auto"/>
        <w:contextualSpacing/>
      </w:pPr>
      <w:r w:rsidRPr="00AD6EF4">
        <w:t>According to the U.S. Department of Labor, Bureau of Labor Statistics</w:t>
      </w:r>
      <w:r>
        <w:t>,</w:t>
      </w:r>
      <w:r w:rsidRPr="00AD6EF4">
        <w:t xml:space="preserve"> the May 20</w:t>
      </w:r>
      <w:r>
        <w:t>2</w:t>
      </w:r>
      <w:r w:rsidR="005A2091">
        <w:t>3</w:t>
      </w:r>
      <w:r w:rsidRPr="00AD6EF4">
        <w:t xml:space="preserve"> </w:t>
      </w:r>
      <w:r w:rsidRPr="00E613D9">
        <w:t xml:space="preserve">Occupational Employment and Wage Estimates the mean hourly wage rate for </w:t>
      </w:r>
      <w:r w:rsidRPr="00E613D9">
        <w:rPr>
          <w:rFonts w:cs="Times New Roman"/>
        </w:rPr>
        <w:t xml:space="preserve">All Occupations </w:t>
      </w:r>
      <w:r w:rsidRPr="00E613D9">
        <w:rPr>
          <w:rFonts w:cs="Times New Roman"/>
        </w:rPr>
        <w:t>(SOC 00-0000)</w:t>
      </w:r>
      <w:r w:rsidRPr="00E613D9">
        <w:rPr>
          <w:rFonts w:cs="Times New Roman"/>
        </w:rPr>
        <w:t xml:space="preserve"> is estimated to be </w:t>
      </w:r>
      <w:r w:rsidRPr="00E613D9" w:rsidR="00306655">
        <w:rPr>
          <w:rFonts w:cs="Times New Roman"/>
        </w:rPr>
        <w:t>$</w:t>
      </w:r>
      <w:r w:rsidRPr="00E613D9" w:rsidR="006F5CD6">
        <w:rPr>
          <w:rFonts w:cs="Times New Roman"/>
        </w:rPr>
        <w:t>31.48</w:t>
      </w:r>
      <w:r w:rsidRPr="00E613D9" w:rsidR="00A73CD7">
        <w:rPr>
          <w:rFonts w:cs="Times New Roman"/>
        </w:rPr>
        <w:t>.</w:t>
      </w:r>
      <w:r>
        <w:rPr>
          <w:rStyle w:val="FootnoteReference"/>
        </w:rPr>
        <w:footnoteReference w:id="4"/>
      </w:r>
      <w:r w:rsidRPr="00E613D9">
        <w:rPr>
          <w:rFonts w:cs="Times New Roman"/>
        </w:rPr>
        <w:t xml:space="preserve"> </w:t>
      </w:r>
      <w:r w:rsidRPr="00E613D9" w:rsidR="00B93317">
        <w:rPr>
          <w:rFonts w:cs="Times New Roman"/>
        </w:rPr>
        <w:t xml:space="preserve"> </w:t>
      </w:r>
      <w:r w:rsidRPr="00E613D9" w:rsidR="00A73CD7">
        <w:rPr>
          <w:rFonts w:cs="Times New Roman"/>
        </w:rPr>
        <w:t>I</w:t>
      </w:r>
      <w:r w:rsidRPr="00E613D9">
        <w:rPr>
          <w:rFonts w:cs="Times New Roman"/>
        </w:rPr>
        <w:t xml:space="preserve">ncluding </w:t>
      </w:r>
      <w:r w:rsidRPr="10D57AFB">
        <w:rPr>
          <w:rFonts w:cs="Times New Roman"/>
        </w:rPr>
        <w:t>the wage rate multiplier</w:t>
      </w:r>
      <w:r w:rsidRPr="10D57AFB" w:rsidR="00A73CD7">
        <w:rPr>
          <w:rFonts w:cs="Times New Roman"/>
        </w:rPr>
        <w:t xml:space="preserve"> of 1.45</w:t>
      </w:r>
      <w:r w:rsidRPr="10D57AFB">
        <w:rPr>
          <w:rFonts w:cs="Times New Roman"/>
        </w:rPr>
        <w:t xml:space="preserve">, </w:t>
      </w:r>
      <w:r w:rsidRPr="10D57AFB" w:rsidR="00A73CD7">
        <w:rPr>
          <w:rFonts w:cs="Times New Roman"/>
        </w:rPr>
        <w:t xml:space="preserve">the fully </w:t>
      </w:r>
      <w:r w:rsidRPr="00E613D9" w:rsidR="00A73CD7">
        <w:rPr>
          <w:rFonts w:cs="Times New Roman"/>
        </w:rPr>
        <w:t>loaded wage rate is $</w:t>
      </w:r>
      <w:r w:rsidRPr="008D62DA" w:rsidR="008F5B89">
        <w:rPr>
          <w:rFonts w:cs="Times New Roman"/>
        </w:rPr>
        <w:t>45.65</w:t>
      </w:r>
      <w:r w:rsidRPr="00E613D9" w:rsidR="00A73CD7">
        <w:rPr>
          <w:rFonts w:cs="Times New Roman"/>
        </w:rPr>
        <w:t>.  Therefore,</w:t>
      </w:r>
      <w:r w:rsidRPr="00E613D9">
        <w:rPr>
          <w:rFonts w:cs="Times New Roman"/>
        </w:rPr>
        <w:t xml:space="preserve"> the estimated burden hour cost to respondents is estimated to be </w:t>
      </w:r>
      <w:r w:rsidRPr="00E613D9" w:rsidR="0070794C">
        <w:rPr>
          <w:rFonts w:cs="Times New Roman"/>
        </w:rPr>
        <w:t>$</w:t>
      </w:r>
      <w:r w:rsidRPr="00E613D9" w:rsidR="008F5B89">
        <w:rPr>
          <w:rFonts w:cs="Times New Roman"/>
        </w:rPr>
        <w:t xml:space="preserve">45.65 </w:t>
      </w:r>
      <w:r w:rsidRPr="00E613D9">
        <w:rPr>
          <w:rFonts w:cs="Times New Roman"/>
        </w:rPr>
        <w:t>x 28,642</w:t>
      </w:r>
      <w:r w:rsidRPr="00E613D9" w:rsidR="0070794C">
        <w:rPr>
          <w:rFonts w:cs="Times New Roman"/>
        </w:rPr>
        <w:t xml:space="preserve"> </w:t>
      </w:r>
      <w:r w:rsidRPr="00E613D9" w:rsidR="1290A474">
        <w:rPr>
          <w:rFonts w:cs="Times New Roman"/>
        </w:rPr>
        <w:t>(+1 due to rounding)</w:t>
      </w:r>
      <w:r w:rsidRPr="00E613D9" w:rsidR="0070794C">
        <w:rPr>
          <w:rFonts w:cs="Times New Roman"/>
        </w:rPr>
        <w:t>=</w:t>
      </w:r>
      <w:r w:rsidRPr="00E613D9" w:rsidR="00D349AD">
        <w:rPr>
          <w:rFonts w:cs="Times New Roman"/>
        </w:rPr>
        <w:t xml:space="preserve"> </w:t>
      </w:r>
      <w:r w:rsidRPr="00E613D9" w:rsidR="00B83E77">
        <w:rPr>
          <w:rFonts w:cs="Times New Roman"/>
        </w:rPr>
        <w:t>$</w:t>
      </w:r>
      <w:r w:rsidRPr="00E613D9" w:rsidR="00C62777">
        <w:rPr>
          <w:rFonts w:cs="Times New Roman"/>
        </w:rPr>
        <w:t>1,307,50</w:t>
      </w:r>
      <w:r w:rsidRPr="00E613D9" w:rsidR="00C34F33">
        <w:rPr>
          <w:rFonts w:cs="Times New Roman"/>
        </w:rPr>
        <w:t>8</w:t>
      </w:r>
      <w:r w:rsidRPr="00E613D9">
        <w:rPr>
          <w:rFonts w:cs="Times New Roman"/>
        </w:rPr>
        <w:t xml:space="preserve"> annually.</w:t>
      </w:r>
    </w:p>
    <w:p w:rsidR="00926982" w:rsidRPr="00E613D9" w:rsidP="00C32062" w14:paraId="0F88A130" w14:textId="77777777">
      <w:pPr>
        <w:spacing w:line="276" w:lineRule="auto"/>
        <w:contextualSpacing/>
      </w:pPr>
    </w:p>
    <w:p w:rsidR="003165CC" w:rsidRPr="00926982" w:rsidP="00C32062" w14:paraId="24EB33A3" w14:textId="0BDE5D8D">
      <w:pPr>
        <w:pStyle w:val="ListParagraph"/>
        <w:numPr>
          <w:ilvl w:val="0"/>
          <w:numId w:val="6"/>
        </w:numPr>
        <w:spacing w:line="276" w:lineRule="auto"/>
        <w:rPr>
          <w:b/>
          <w:bCs/>
        </w:rPr>
      </w:pPr>
      <w:r w:rsidRPr="00E613D9">
        <w:rPr>
          <w:b/>
          <w:bCs/>
        </w:rPr>
        <w:t xml:space="preserve">Provide an estimate of the total annual cost burden to respondents or recordkeepers </w:t>
      </w:r>
      <w:r w:rsidRPr="3C3DE105">
        <w:rPr>
          <w:b/>
          <w:bCs/>
        </w:rPr>
        <w:t>resulting from the collection of information.  The cost of purchasing or contracting out information collection services should be a part of this cost burden estimate.  (Do not include the cost of any hour burden shown in Items 12 and 14.)</w:t>
      </w:r>
    </w:p>
    <w:p w:rsidR="006958D4" w:rsidP="00926982" w14:paraId="77E22C63" w14:textId="0F9D30AB">
      <w:pPr>
        <w:spacing w:line="276" w:lineRule="auto"/>
      </w:pPr>
    </w:p>
    <w:tbl>
      <w:tblPr>
        <w:tblStyle w:val="TableGrid1"/>
        <w:tblW w:w="0" w:type="auto"/>
        <w:tblLook w:val="04A0"/>
      </w:tblPr>
      <w:tblGrid>
        <w:gridCol w:w="1866"/>
        <w:gridCol w:w="1839"/>
        <w:gridCol w:w="1971"/>
        <w:gridCol w:w="1839"/>
        <w:gridCol w:w="1835"/>
      </w:tblGrid>
      <w:tr w14:paraId="0F237DCA" w14:textId="77777777" w:rsidTr="004A2BF9">
        <w:tblPrEx>
          <w:tblW w:w="0" w:type="auto"/>
          <w:tblLook w:val="04A0"/>
        </w:tblPrEx>
        <w:tc>
          <w:tcPr>
            <w:tcW w:w="9350" w:type="dxa"/>
            <w:gridSpan w:val="5"/>
          </w:tcPr>
          <w:p w:rsidR="00FC5368" w:rsidRPr="008D1279" w:rsidP="004A2BF9" w14:paraId="705BDC68" w14:textId="77777777">
            <w:pPr>
              <w:keepNext/>
              <w:jc w:val="center"/>
              <w:rPr>
                <w:rFonts w:ascii="Times New Roman" w:eastAsia="Calibri" w:hAnsi="Times New Roman" w:cs="Times New Roman"/>
                <w:b/>
                <w:sz w:val="20"/>
                <w:szCs w:val="20"/>
              </w:rPr>
            </w:pPr>
            <w:bookmarkStart w:id="3" w:name="_Hlk30754312"/>
            <w:r w:rsidRPr="008D1279">
              <w:rPr>
                <w:rFonts w:ascii="Times New Roman" w:eastAsia="Calibri" w:hAnsi="Times New Roman" w:cs="Times New Roman"/>
                <w:b/>
                <w:sz w:val="20"/>
                <w:szCs w:val="20"/>
              </w:rPr>
              <w:t>Annual Cost Burden to Respondents or Recordkeepers</w:t>
            </w:r>
          </w:p>
        </w:tc>
      </w:tr>
      <w:tr w14:paraId="33AFB41D" w14:textId="77777777" w:rsidTr="004A2BF9">
        <w:tblPrEx>
          <w:tblW w:w="0" w:type="auto"/>
          <w:tblLook w:val="04A0"/>
        </w:tblPrEx>
        <w:tc>
          <w:tcPr>
            <w:tcW w:w="1866" w:type="dxa"/>
            <w:shd w:val="clear" w:color="auto" w:fill="8EAADB" w:themeFill="accent1" w:themeFillTint="99"/>
            <w:vAlign w:val="center"/>
          </w:tcPr>
          <w:p w:rsidR="00FC5368" w:rsidRPr="008D1279" w:rsidP="004A2BF9" w14:paraId="5F9D7989"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39" w:type="dxa"/>
            <w:shd w:val="clear" w:color="auto" w:fill="8EAADB" w:themeFill="accent1" w:themeFillTint="99"/>
            <w:vAlign w:val="center"/>
          </w:tcPr>
          <w:p w:rsidR="00FC5368" w:rsidRPr="008D1279" w:rsidP="004A2BF9" w14:paraId="374C5DBA"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8EAADB" w:themeFill="accent1" w:themeFillTint="99"/>
            <w:vAlign w:val="center"/>
          </w:tcPr>
          <w:p w:rsidR="00FC5368" w:rsidRPr="008D1279" w:rsidP="004A2BF9" w14:paraId="07B48410"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39" w:type="dxa"/>
            <w:shd w:val="clear" w:color="auto" w:fill="8EAADB" w:themeFill="accent1" w:themeFillTint="99"/>
            <w:vAlign w:val="center"/>
          </w:tcPr>
          <w:p w:rsidR="00FC5368" w:rsidRPr="008D1279" w:rsidP="004A2BF9" w14:paraId="333B04F9"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35" w:type="dxa"/>
            <w:shd w:val="clear" w:color="auto" w:fill="8EAADB" w:themeFill="accent1" w:themeFillTint="99"/>
            <w:vAlign w:val="center"/>
          </w:tcPr>
          <w:p w:rsidR="00FC5368" w:rsidRPr="008D1279" w:rsidP="004A2BF9" w14:paraId="7A3A8FE8"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1541D25E" w14:textId="77777777" w:rsidTr="004A2BF9">
        <w:tblPrEx>
          <w:tblW w:w="0" w:type="auto"/>
          <w:tblLook w:val="04A0"/>
        </w:tblPrEx>
        <w:tc>
          <w:tcPr>
            <w:tcW w:w="1866" w:type="dxa"/>
          </w:tcPr>
          <w:p w:rsidR="00FC5368" w:rsidRPr="008D1279" w:rsidP="004A2BF9" w14:paraId="769D87AF"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[Form Name/#]</w:t>
            </w:r>
          </w:p>
        </w:tc>
        <w:tc>
          <w:tcPr>
            <w:tcW w:w="1839" w:type="dxa"/>
            <w:vAlign w:val="center"/>
          </w:tcPr>
          <w:p w:rsidR="00FC5368" w:rsidRPr="008D1279" w:rsidP="004A2BF9" w14:paraId="146B4BE6" w14:textId="77777777">
            <w:pPr>
              <w:keepNext/>
              <w:jc w:val="right"/>
              <w:rPr>
                <w:rFonts w:ascii="Times New Roman" w:eastAsia="Calibri" w:hAnsi="Times New Roman" w:cs="Times New Roman"/>
                <w:sz w:val="20"/>
                <w:szCs w:val="20"/>
              </w:rPr>
            </w:pPr>
          </w:p>
        </w:tc>
        <w:tc>
          <w:tcPr>
            <w:tcW w:w="1971" w:type="dxa"/>
            <w:vAlign w:val="center"/>
          </w:tcPr>
          <w:p w:rsidR="00FC5368" w:rsidRPr="008D1279" w:rsidP="004A2BF9" w14:paraId="734B6BD3" w14:textId="77777777">
            <w:pPr>
              <w:keepNext/>
              <w:jc w:val="right"/>
              <w:rPr>
                <w:rFonts w:ascii="Times New Roman" w:eastAsia="Calibri" w:hAnsi="Times New Roman" w:cs="Times New Roman"/>
                <w:sz w:val="20"/>
                <w:szCs w:val="20"/>
              </w:rPr>
            </w:pPr>
          </w:p>
        </w:tc>
        <w:tc>
          <w:tcPr>
            <w:tcW w:w="1839" w:type="dxa"/>
            <w:vAlign w:val="center"/>
          </w:tcPr>
          <w:p w:rsidR="00FC5368" w:rsidRPr="008D1279" w:rsidP="004A2BF9" w14:paraId="2F74837A" w14:textId="77777777">
            <w:pPr>
              <w:keepNext/>
              <w:jc w:val="right"/>
              <w:rPr>
                <w:rFonts w:ascii="Times New Roman" w:eastAsia="Calibri" w:hAnsi="Times New Roman" w:cs="Times New Roman"/>
                <w:sz w:val="20"/>
                <w:szCs w:val="20"/>
              </w:rPr>
            </w:pPr>
          </w:p>
        </w:tc>
        <w:tc>
          <w:tcPr>
            <w:tcW w:w="1835" w:type="dxa"/>
            <w:vAlign w:val="center"/>
          </w:tcPr>
          <w:p w:rsidR="00FC5368" w:rsidRPr="008D1279" w:rsidP="004A2BF9" w14:paraId="23E4A2AF" w14:textId="77777777">
            <w:pPr>
              <w:keepNext/>
              <w:jc w:val="right"/>
              <w:rPr>
                <w:rFonts w:ascii="Times New Roman" w:eastAsia="Calibri" w:hAnsi="Times New Roman" w:cs="Times New Roman"/>
                <w:sz w:val="20"/>
                <w:szCs w:val="20"/>
              </w:rPr>
            </w:pPr>
          </w:p>
        </w:tc>
      </w:tr>
      <w:tr w14:paraId="0FF85FEB" w14:textId="77777777" w:rsidTr="004A2BF9">
        <w:tblPrEx>
          <w:tblW w:w="0" w:type="auto"/>
          <w:tblLook w:val="04A0"/>
        </w:tblPrEx>
        <w:tc>
          <w:tcPr>
            <w:tcW w:w="1866" w:type="dxa"/>
          </w:tcPr>
          <w:p w:rsidR="00FC5368" w:rsidRPr="008D1279" w:rsidP="004A2BF9" w14:paraId="19301BDE"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39" w:type="dxa"/>
            <w:vAlign w:val="center"/>
          </w:tcPr>
          <w:p w:rsidR="00FC5368" w:rsidRPr="008D1279" w:rsidP="004A2BF9" w14:paraId="65A9E492"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971" w:type="dxa"/>
            <w:vAlign w:val="center"/>
          </w:tcPr>
          <w:p w:rsidR="00FC5368" w:rsidRPr="008D1279" w:rsidP="004A2BF9" w14:paraId="41B29579"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9" w:type="dxa"/>
            <w:vAlign w:val="center"/>
          </w:tcPr>
          <w:p w:rsidR="00FC5368" w:rsidRPr="008D1279" w:rsidP="004A2BF9" w14:paraId="7B1D1407"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5" w:type="dxa"/>
            <w:vAlign w:val="center"/>
          </w:tcPr>
          <w:p w:rsidR="00FC5368" w:rsidRPr="008D1279" w:rsidP="004A2BF9" w14:paraId="25963EEA"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bookmarkEnd w:id="3"/>
    </w:tbl>
    <w:p w:rsidR="006958D4" w:rsidP="00C32062" w14:paraId="05FCEB16" w14:textId="77777777">
      <w:pPr>
        <w:spacing w:line="276" w:lineRule="auto"/>
        <w:contextualSpacing/>
      </w:pPr>
    </w:p>
    <w:p w:rsidR="00AC49FB" w:rsidRPr="00926982" w:rsidP="00C32062" w14:paraId="02AC0342" w14:textId="01D7A0AA">
      <w:pPr>
        <w:pStyle w:val="ListParagraph"/>
        <w:spacing w:line="276" w:lineRule="auto"/>
        <w:rPr>
          <w:b/>
          <w:bCs/>
        </w:rPr>
      </w:pPr>
      <w:r w:rsidRPr="00926982">
        <w:rPr>
          <w:b/>
          <w:bCs/>
        </w:rPr>
        <w:t>The cost estimates should be split into two components:</w:t>
      </w:r>
    </w:p>
    <w:p w:rsidR="00926982" w:rsidP="00C32062" w14:paraId="31A592EA" w14:textId="77777777">
      <w:pPr>
        <w:spacing w:line="276" w:lineRule="auto"/>
        <w:contextualSpacing/>
      </w:pPr>
    </w:p>
    <w:p w:rsidR="00AC49FB" w:rsidP="00C32062"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C32062" w14:paraId="31E0CDC7" w14:textId="5D54643F">
      <w:pPr>
        <w:spacing w:line="276" w:lineRule="auto"/>
        <w:contextualSpacing/>
      </w:pPr>
    </w:p>
    <w:p w:rsidR="006958D4" w:rsidP="00C32062" w14:paraId="4DDD2550" w14:textId="1EF6A3D9">
      <w:pPr>
        <w:spacing w:line="276" w:lineRule="auto"/>
        <w:contextualSpacing/>
      </w:pPr>
      <w:r>
        <w:t>There are no operation and maintenance costs for this information collection.</w:t>
      </w:r>
    </w:p>
    <w:p w:rsidR="006958D4" w:rsidP="00C32062" w14:paraId="0DE1EA0D" w14:textId="77777777">
      <w:pPr>
        <w:spacing w:line="276" w:lineRule="auto"/>
        <w:contextualSpacing/>
      </w:pPr>
    </w:p>
    <w:p w:rsidR="00AC49FB" w:rsidRPr="00926982" w:rsidP="00C32062"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C32062" w14:paraId="12B0F770" w14:textId="381A70E3">
      <w:pPr>
        <w:spacing w:line="276" w:lineRule="auto"/>
        <w:contextualSpacing/>
      </w:pPr>
    </w:p>
    <w:p w:rsidR="000353B3" w:rsidP="00C32062" w14:paraId="0A531FC6" w14:textId="30C64EDC">
      <w:pPr>
        <w:spacing w:line="276" w:lineRule="auto"/>
        <w:contextualSpacing/>
      </w:pPr>
      <w:r>
        <w:t xml:space="preserve">There are no </w:t>
      </w:r>
      <w:r w:rsidR="006958D4">
        <w:t xml:space="preserve">capital </w:t>
      </w:r>
      <w:r>
        <w:t xml:space="preserve">and </w:t>
      </w:r>
      <w:r w:rsidR="006958D4">
        <w:t>start</w:t>
      </w:r>
      <w:r>
        <w:t>-up costs for this information collection.</w:t>
      </w:r>
    </w:p>
    <w:p w:rsidR="00926982" w:rsidP="00C32062" w14:paraId="3A543570" w14:textId="77777777">
      <w:pPr>
        <w:spacing w:line="276" w:lineRule="auto"/>
        <w:contextualSpacing/>
      </w:pPr>
    </w:p>
    <w:p w:rsidR="00AC49FB" w:rsidRPr="00926982" w:rsidP="00C32062" w14:paraId="798B4846" w14:textId="1205EBE0">
      <w:pPr>
        <w:pStyle w:val="ListParagraph"/>
        <w:numPr>
          <w:ilvl w:val="0"/>
          <w:numId w:val="6"/>
        </w:numPr>
        <w:spacing w:line="276" w:lineRule="auto"/>
        <w:rPr>
          <w:b/>
          <w:bCs/>
        </w:rPr>
      </w:pPr>
      <w:r w:rsidRPr="3C3DE105">
        <w:rPr>
          <w:b/>
          <w:bCs/>
        </w:rPr>
        <w:t xml:space="preserve">Provide estimates of annualized cost to the Federal Government.  Also, provide a description of the method used to estimate cost, which should include quantification of hours, operational expenses (such as equipment, overhead, printing and support </w:t>
      </w:r>
      <w:r w:rsidRPr="3C3DE105">
        <w:rPr>
          <w:b/>
          <w:bCs/>
        </w:rPr>
        <w:t>staff), and any other expense that would have been incurred without this collection of information.  You may also aggregate cost estimates for Items 12, 13, and 14 in a single table.</w:t>
      </w:r>
    </w:p>
    <w:p w:rsidR="00B76526" w:rsidP="00C32062" w14:paraId="308E27C7" w14:textId="77777777">
      <w:pPr>
        <w:spacing w:line="276" w:lineRule="auto"/>
        <w:contextualSpacing/>
      </w:pPr>
    </w:p>
    <w:tbl>
      <w:tblPr>
        <w:tblStyle w:val="TableGrid2"/>
        <w:tblW w:w="0" w:type="auto"/>
        <w:tblLook w:val="04A0"/>
      </w:tblPr>
      <w:tblGrid>
        <w:gridCol w:w="7375"/>
        <w:gridCol w:w="1975"/>
      </w:tblGrid>
      <w:tr w14:paraId="0856EAFA" w14:textId="77777777" w:rsidTr="00521714">
        <w:tblPrEx>
          <w:tblW w:w="0" w:type="auto"/>
          <w:tblLook w:val="04A0"/>
        </w:tblPrEx>
        <w:tc>
          <w:tcPr>
            <w:tcW w:w="9350" w:type="dxa"/>
            <w:gridSpan w:val="2"/>
            <w:shd w:val="clear" w:color="auto" w:fill="8EAADB" w:themeFill="accent1" w:themeFillTint="99"/>
          </w:tcPr>
          <w:p w:rsidR="009A4214" w:rsidRPr="008D1279" w:rsidP="002A2783" w14:paraId="0CBEA1EE" w14:textId="77777777">
            <w:pPr>
              <w:jc w:val="center"/>
              <w:rPr>
                <w:rFonts w:ascii="Times New Roman" w:eastAsia="Calibri" w:hAnsi="Times New Roman" w:cs="Times New Roman"/>
                <w:b/>
                <w:sz w:val="20"/>
                <w:szCs w:val="20"/>
              </w:rPr>
            </w:pPr>
            <w:bookmarkStart w:id="4" w:name="_Hlk51849777"/>
            <w:r w:rsidRPr="008D1279">
              <w:rPr>
                <w:rFonts w:ascii="Times New Roman" w:eastAsia="Calibri" w:hAnsi="Times New Roman" w:cs="Times New Roman"/>
                <w:b/>
                <w:sz w:val="20"/>
                <w:szCs w:val="20"/>
              </w:rPr>
              <w:t>Annual Cost to the Federal Government</w:t>
            </w:r>
          </w:p>
        </w:tc>
      </w:tr>
      <w:tr w14:paraId="50860DAE" w14:textId="77777777" w:rsidTr="00521714">
        <w:tblPrEx>
          <w:tblW w:w="0" w:type="auto"/>
          <w:tblLook w:val="04A0"/>
        </w:tblPrEx>
        <w:tc>
          <w:tcPr>
            <w:tcW w:w="7375" w:type="dxa"/>
            <w:shd w:val="clear" w:color="auto" w:fill="8EAADB" w:themeFill="accent1" w:themeFillTint="99"/>
          </w:tcPr>
          <w:p w:rsidR="009A4214" w:rsidRPr="008518A1" w:rsidP="002A2783" w14:paraId="09811F30" w14:textId="77777777">
            <w:pPr>
              <w:jc w:val="center"/>
              <w:rPr>
                <w:rFonts w:ascii="Times New Roman" w:eastAsia="Calibri" w:hAnsi="Times New Roman" w:cs="Times New Roman"/>
                <w:b/>
                <w:bCs/>
                <w:sz w:val="18"/>
                <w:szCs w:val="18"/>
              </w:rPr>
            </w:pPr>
            <w:r w:rsidRPr="008518A1">
              <w:rPr>
                <w:rFonts w:ascii="Times New Roman" w:eastAsia="Calibri" w:hAnsi="Times New Roman" w:cs="Times New Roman"/>
                <w:b/>
                <w:bCs/>
                <w:sz w:val="18"/>
                <w:szCs w:val="18"/>
              </w:rPr>
              <w:t>Item</w:t>
            </w:r>
          </w:p>
        </w:tc>
        <w:tc>
          <w:tcPr>
            <w:tcW w:w="1975" w:type="dxa"/>
            <w:shd w:val="clear" w:color="auto" w:fill="8EAADB" w:themeFill="accent1" w:themeFillTint="99"/>
          </w:tcPr>
          <w:p w:rsidR="009A4214" w:rsidRPr="008518A1" w:rsidP="002A2783" w14:paraId="399627EA" w14:textId="77777777">
            <w:pPr>
              <w:jc w:val="center"/>
              <w:rPr>
                <w:rFonts w:ascii="Times New Roman" w:eastAsia="Calibri" w:hAnsi="Times New Roman" w:cs="Times New Roman"/>
                <w:b/>
                <w:bCs/>
                <w:sz w:val="18"/>
                <w:szCs w:val="18"/>
              </w:rPr>
            </w:pPr>
            <w:r w:rsidRPr="008518A1">
              <w:rPr>
                <w:rFonts w:ascii="Times New Roman" w:eastAsia="Calibri" w:hAnsi="Times New Roman" w:cs="Times New Roman"/>
                <w:b/>
                <w:bCs/>
                <w:sz w:val="18"/>
                <w:szCs w:val="18"/>
              </w:rPr>
              <w:t>Cost ($)</w:t>
            </w:r>
          </w:p>
        </w:tc>
      </w:tr>
      <w:tr w14:paraId="5898696B" w14:textId="77777777" w:rsidTr="002A2783">
        <w:tblPrEx>
          <w:tblW w:w="0" w:type="auto"/>
          <w:tblLook w:val="04A0"/>
        </w:tblPrEx>
        <w:tc>
          <w:tcPr>
            <w:tcW w:w="7375" w:type="dxa"/>
          </w:tcPr>
          <w:p w:rsidR="009A4214" w:rsidRPr="008518A1" w:rsidP="004F1941" w14:paraId="41C7A59A" w14:textId="1580D6E5">
            <w:pPr>
              <w:tabs>
                <w:tab w:val="left" w:pos="1896"/>
              </w:tabs>
              <w:rPr>
                <w:rFonts w:ascii="Times New Roman" w:eastAsia="Calibri" w:hAnsi="Times New Roman" w:cs="Times New Roman"/>
                <w:sz w:val="18"/>
                <w:szCs w:val="18"/>
              </w:rPr>
            </w:pPr>
            <w:r w:rsidRPr="008518A1">
              <w:rPr>
                <w:rFonts w:ascii="Times New Roman" w:eastAsia="Calibri" w:hAnsi="Times New Roman" w:cs="Times New Roman"/>
                <w:b/>
                <w:bCs/>
                <w:sz w:val="18"/>
                <w:szCs w:val="18"/>
              </w:rPr>
              <w:t>Contract Costs:</w:t>
            </w:r>
            <w:r w:rsidRPr="008518A1" w:rsidR="00BB58C4">
              <w:rPr>
                <w:rFonts w:ascii="Times New Roman" w:eastAsia="Calibri" w:hAnsi="Times New Roman" w:cs="Times New Roman"/>
                <w:sz w:val="18"/>
                <w:szCs w:val="18"/>
              </w:rPr>
              <w:t xml:space="preserve">  </w:t>
            </w:r>
            <w:r w:rsidRPr="008518A1" w:rsidR="00281F79">
              <w:rPr>
                <w:rFonts w:ascii="Times New Roman" w:eastAsia="Calibri" w:hAnsi="Times New Roman" w:cs="Times New Roman"/>
                <w:sz w:val="18"/>
                <w:szCs w:val="18"/>
              </w:rPr>
              <w:t>Expenses directly supporting the processing of the forms, including underwriting, customer service, and data entry</w:t>
            </w:r>
            <w:r w:rsidRPr="009F5AED" w:rsidR="006958D4">
              <w:rPr>
                <w:rFonts w:ascii="Times New Roman" w:eastAsia="Calibri" w:hAnsi="Times New Roman" w:cs="Times New Roman"/>
                <w:sz w:val="18"/>
                <w:szCs w:val="18"/>
              </w:rPr>
              <w:t>.</w:t>
            </w:r>
          </w:p>
          <w:p w:rsidR="009A4214" w:rsidRPr="008518A1" w:rsidP="002A2783" w14:paraId="7DBAC0A2" w14:textId="5E25F908">
            <w:pPr>
              <w:rPr>
                <w:rFonts w:ascii="Times New Roman" w:eastAsia="Calibri" w:hAnsi="Times New Roman" w:cs="Times New Roman"/>
                <w:sz w:val="18"/>
                <w:szCs w:val="18"/>
              </w:rPr>
            </w:pPr>
          </w:p>
        </w:tc>
        <w:tc>
          <w:tcPr>
            <w:tcW w:w="1975" w:type="dxa"/>
            <w:vAlign w:val="center"/>
          </w:tcPr>
          <w:p w:rsidR="009A4214" w:rsidRPr="008518A1" w:rsidP="002A2783" w14:paraId="007D0E40" w14:textId="2B3C4EC4">
            <w:pPr>
              <w:jc w:val="right"/>
              <w:rPr>
                <w:rFonts w:ascii="Times New Roman" w:eastAsia="Calibri" w:hAnsi="Times New Roman" w:cs="Times New Roman"/>
                <w:sz w:val="18"/>
                <w:szCs w:val="18"/>
              </w:rPr>
            </w:pPr>
            <w:r w:rsidRPr="008518A1">
              <w:rPr>
                <w:rFonts w:ascii="Times New Roman" w:eastAsia="Calibri" w:hAnsi="Times New Roman" w:cs="Times New Roman"/>
                <w:sz w:val="18"/>
                <w:szCs w:val="18"/>
              </w:rPr>
              <w:t>$</w:t>
            </w:r>
            <w:r w:rsidRPr="008518A1" w:rsidR="00281F79">
              <w:rPr>
                <w:rFonts w:ascii="Times New Roman" w:eastAsia="Calibri" w:hAnsi="Times New Roman" w:cs="Times New Roman"/>
                <w:sz w:val="18"/>
                <w:szCs w:val="18"/>
              </w:rPr>
              <w:t>8,800,000</w:t>
            </w:r>
          </w:p>
        </w:tc>
      </w:tr>
      <w:tr w14:paraId="08D45960" w14:textId="77777777" w:rsidTr="002A2783">
        <w:tblPrEx>
          <w:tblW w:w="0" w:type="auto"/>
          <w:tblLook w:val="04A0"/>
        </w:tblPrEx>
        <w:tc>
          <w:tcPr>
            <w:tcW w:w="7375" w:type="dxa"/>
          </w:tcPr>
          <w:p w:rsidR="009A4214" w:rsidRPr="00106B5F" w:rsidP="002A2783" w14:paraId="6A11023D" w14:textId="2F8B5C67">
            <w:pPr>
              <w:rPr>
                <w:rFonts w:ascii="Times New Roman" w:eastAsia="Calibri" w:hAnsi="Times New Roman" w:cs="Times New Roman"/>
                <w:b/>
                <w:bCs/>
                <w:sz w:val="18"/>
                <w:szCs w:val="18"/>
              </w:rPr>
            </w:pPr>
            <w:r w:rsidRPr="00106B5F">
              <w:rPr>
                <w:rFonts w:ascii="Times New Roman" w:eastAsia="Calibri" w:hAnsi="Times New Roman" w:cs="Times New Roman"/>
                <w:b/>
                <w:bCs/>
                <w:sz w:val="18"/>
                <w:szCs w:val="18"/>
              </w:rPr>
              <w:t xml:space="preserve">Staff Salaries: </w:t>
            </w:r>
          </w:p>
          <w:p w:rsidR="00106B5F" w:rsidRPr="00106B5F" w:rsidP="00106B5F" w14:paraId="143DC26A" w14:textId="77777777">
            <w:pPr>
              <w:rPr>
                <w:rFonts w:ascii="Times New Roman" w:eastAsia="Calibri" w:hAnsi="Times New Roman" w:cs="Times New Roman"/>
                <w:sz w:val="18"/>
                <w:szCs w:val="18"/>
              </w:rPr>
            </w:pPr>
            <w:r w:rsidRPr="00106B5F">
              <w:rPr>
                <w:rFonts w:ascii="Times New Roman" w:eastAsia="Calibri" w:hAnsi="Times New Roman" w:cs="Times New Roman"/>
                <w:sz w:val="18"/>
                <w:szCs w:val="18"/>
              </w:rPr>
              <w:t>2 GS-12, Step 5; 2 GS-13, Step 5; and 1 GS-14, Step; for a total of 5 employees spending approximately 1.9% of time annually analyzing NFIP forms to determine if any changes are needed and responding to program changes and program experiences.</w:t>
            </w:r>
          </w:p>
          <w:p w:rsidR="00106B5F" w:rsidRPr="00106B5F" w:rsidP="00106B5F" w14:paraId="205811DC" w14:textId="77777777">
            <w:pPr>
              <w:rPr>
                <w:rFonts w:ascii="Times New Roman" w:eastAsia="Calibri" w:hAnsi="Times New Roman" w:cs="Times New Roman"/>
                <w:sz w:val="18"/>
                <w:szCs w:val="18"/>
              </w:rPr>
            </w:pPr>
          </w:p>
          <w:p w:rsidR="00106B5F" w:rsidRPr="00106B5F" w:rsidP="00106B5F" w14:paraId="6DB1E4FC" w14:textId="77777777">
            <w:pPr>
              <w:rPr>
                <w:rFonts w:ascii="Times New Roman" w:eastAsia="Calibri" w:hAnsi="Times New Roman" w:cs="Times New Roman"/>
                <w:sz w:val="18"/>
                <w:szCs w:val="18"/>
              </w:rPr>
            </w:pPr>
            <w:r w:rsidRPr="00106B5F">
              <w:rPr>
                <w:rFonts w:ascii="Times New Roman" w:eastAsia="Calibri" w:hAnsi="Times New Roman" w:cs="Times New Roman"/>
                <w:sz w:val="18"/>
                <w:szCs w:val="18"/>
              </w:rPr>
              <w:t>GS-12, Step 5 ($112,425) at 1.9% time x 1.45 loaded wage rate x 2 employees = $6,195</w:t>
            </w:r>
          </w:p>
          <w:p w:rsidR="00106B5F" w:rsidRPr="00106B5F" w:rsidP="00106B5F" w14:paraId="5CAA7D00" w14:textId="77777777">
            <w:pPr>
              <w:rPr>
                <w:rFonts w:ascii="Times New Roman" w:eastAsia="Calibri" w:hAnsi="Times New Roman" w:cs="Times New Roman"/>
                <w:sz w:val="18"/>
                <w:szCs w:val="18"/>
              </w:rPr>
            </w:pPr>
            <w:r w:rsidRPr="00106B5F">
              <w:rPr>
                <w:rFonts w:ascii="Times New Roman" w:eastAsia="Calibri" w:hAnsi="Times New Roman" w:cs="Times New Roman"/>
                <w:sz w:val="18"/>
                <w:szCs w:val="18"/>
              </w:rPr>
              <w:t>GS-13, Step 5 ($133,692) at 1.9% time x 1.45 loaded wage rate x 2 employees = $7,366</w:t>
            </w:r>
          </w:p>
          <w:p w:rsidR="00BA5B3F" w:rsidRPr="008518A1" w:rsidP="00106B5F" w14:paraId="0E5292F8" w14:textId="138A40BE">
            <w:pPr>
              <w:rPr>
                <w:rFonts w:ascii="Times New Roman" w:eastAsia="Calibri" w:hAnsi="Times New Roman" w:cs="Times New Roman"/>
                <w:sz w:val="18"/>
                <w:szCs w:val="18"/>
              </w:rPr>
            </w:pPr>
            <w:r w:rsidRPr="00106B5F">
              <w:rPr>
                <w:rFonts w:ascii="Times New Roman" w:eastAsia="Calibri" w:hAnsi="Times New Roman" w:cs="Times New Roman"/>
                <w:sz w:val="18"/>
                <w:szCs w:val="18"/>
              </w:rPr>
              <w:t>GS-14, Step 5 ($157,982) at 1.9% time x 1.45 loaded wage rate = $4,352</w:t>
            </w:r>
          </w:p>
        </w:tc>
        <w:tc>
          <w:tcPr>
            <w:tcW w:w="1975" w:type="dxa"/>
            <w:vAlign w:val="center"/>
          </w:tcPr>
          <w:p w:rsidR="009A4214" w:rsidRPr="008518A1" w:rsidP="002A2783" w14:paraId="10DCFCA1" w14:textId="7FC0E318">
            <w:pPr>
              <w:jc w:val="right"/>
              <w:rPr>
                <w:rFonts w:ascii="Times New Roman" w:eastAsia="Calibri" w:hAnsi="Times New Roman" w:cs="Times New Roman"/>
                <w:sz w:val="18"/>
                <w:szCs w:val="18"/>
              </w:rPr>
            </w:pPr>
            <w:r w:rsidRPr="008518A1">
              <w:rPr>
                <w:rFonts w:ascii="Times New Roman" w:eastAsia="Calibri" w:hAnsi="Times New Roman" w:cs="Times New Roman"/>
                <w:sz w:val="18"/>
                <w:szCs w:val="18"/>
              </w:rPr>
              <w:t>$</w:t>
            </w:r>
            <w:r w:rsidR="00106B5F">
              <w:rPr>
                <w:rFonts w:ascii="Times New Roman" w:eastAsia="Calibri" w:hAnsi="Times New Roman" w:cs="Times New Roman"/>
                <w:sz w:val="18"/>
                <w:szCs w:val="18"/>
              </w:rPr>
              <w:t>17</w:t>
            </w:r>
            <w:r w:rsidRPr="008518A1" w:rsidR="00533A06">
              <w:rPr>
                <w:rFonts w:ascii="Times New Roman" w:eastAsia="Calibri" w:hAnsi="Times New Roman" w:cs="Times New Roman"/>
                <w:sz w:val="18"/>
                <w:szCs w:val="18"/>
              </w:rPr>
              <w:t>,</w:t>
            </w:r>
            <w:r w:rsidR="00106B5F">
              <w:rPr>
                <w:rFonts w:ascii="Times New Roman" w:eastAsia="Calibri" w:hAnsi="Times New Roman" w:cs="Times New Roman"/>
                <w:sz w:val="18"/>
                <w:szCs w:val="18"/>
              </w:rPr>
              <w:t>913</w:t>
            </w:r>
          </w:p>
        </w:tc>
      </w:tr>
      <w:tr w14:paraId="77A58194" w14:textId="77777777" w:rsidTr="002A2783">
        <w:tblPrEx>
          <w:tblW w:w="0" w:type="auto"/>
          <w:tblLook w:val="04A0"/>
        </w:tblPrEx>
        <w:tc>
          <w:tcPr>
            <w:tcW w:w="7375" w:type="dxa"/>
          </w:tcPr>
          <w:p w:rsidR="009A4214" w:rsidRPr="008518A1" w:rsidP="002A2783" w14:paraId="557563C8" w14:textId="77777777">
            <w:pPr>
              <w:rPr>
                <w:rFonts w:ascii="Times New Roman" w:eastAsia="Calibri" w:hAnsi="Times New Roman" w:cs="Times New Roman"/>
                <w:sz w:val="18"/>
                <w:szCs w:val="18"/>
              </w:rPr>
            </w:pPr>
            <w:r w:rsidRPr="008518A1">
              <w:rPr>
                <w:rFonts w:ascii="Times New Roman" w:eastAsia="Calibri" w:hAnsi="Times New Roman" w:cs="Times New Roman"/>
                <w:b/>
                <w:bCs/>
                <w:sz w:val="18"/>
                <w:szCs w:val="18"/>
              </w:rPr>
              <w:t>Facilities</w:t>
            </w:r>
            <w:r w:rsidRPr="008518A1">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9A4214" w:rsidRPr="008518A1" w:rsidP="002A2783" w14:paraId="1381DA6F" w14:textId="4DD7B16D">
            <w:pPr>
              <w:jc w:val="right"/>
              <w:rPr>
                <w:rFonts w:ascii="Times New Roman" w:eastAsia="Calibri" w:hAnsi="Times New Roman" w:cs="Times New Roman"/>
                <w:sz w:val="18"/>
                <w:szCs w:val="18"/>
              </w:rPr>
            </w:pPr>
            <w:r w:rsidRPr="008518A1">
              <w:rPr>
                <w:rFonts w:ascii="Times New Roman" w:eastAsia="Calibri" w:hAnsi="Times New Roman" w:cs="Times New Roman"/>
                <w:sz w:val="18"/>
                <w:szCs w:val="18"/>
              </w:rPr>
              <w:t>$</w:t>
            </w:r>
          </w:p>
        </w:tc>
      </w:tr>
      <w:tr w14:paraId="76BCE9A4" w14:textId="77777777" w:rsidTr="002A2783">
        <w:tblPrEx>
          <w:tblW w:w="0" w:type="auto"/>
          <w:tblLook w:val="04A0"/>
        </w:tblPrEx>
        <w:tc>
          <w:tcPr>
            <w:tcW w:w="7375" w:type="dxa"/>
          </w:tcPr>
          <w:p w:rsidR="009A4214" w:rsidRPr="008518A1" w:rsidP="002A2783" w14:paraId="2368FFE1" w14:textId="77777777">
            <w:pPr>
              <w:rPr>
                <w:rFonts w:ascii="Times New Roman" w:eastAsia="Calibri" w:hAnsi="Times New Roman" w:cs="Times New Roman"/>
                <w:sz w:val="18"/>
                <w:szCs w:val="18"/>
              </w:rPr>
            </w:pPr>
            <w:r w:rsidRPr="008518A1">
              <w:rPr>
                <w:rFonts w:ascii="Times New Roman" w:eastAsia="Calibri" w:hAnsi="Times New Roman" w:cs="Times New Roman"/>
                <w:b/>
                <w:bCs/>
                <w:sz w:val="18"/>
                <w:szCs w:val="18"/>
              </w:rPr>
              <w:t>Computer Hardware and Software</w:t>
            </w:r>
            <w:r w:rsidRPr="008518A1">
              <w:rPr>
                <w:rFonts w:ascii="Times New Roman" w:eastAsia="Calibri" w:hAnsi="Times New Roman" w:cs="Times New Roman"/>
                <w:sz w:val="18"/>
                <w:szCs w:val="18"/>
              </w:rPr>
              <w:t xml:space="preserve"> [cost of equipment annual lifecycle]</w:t>
            </w:r>
          </w:p>
        </w:tc>
        <w:tc>
          <w:tcPr>
            <w:tcW w:w="1975" w:type="dxa"/>
            <w:vAlign w:val="center"/>
          </w:tcPr>
          <w:p w:rsidR="009A4214" w:rsidRPr="008518A1" w:rsidP="002A2783" w14:paraId="0E2D30FC" w14:textId="335B3A48">
            <w:pPr>
              <w:jc w:val="right"/>
              <w:rPr>
                <w:rFonts w:ascii="Times New Roman" w:eastAsia="Calibri" w:hAnsi="Times New Roman" w:cs="Times New Roman"/>
                <w:sz w:val="18"/>
                <w:szCs w:val="18"/>
              </w:rPr>
            </w:pPr>
            <w:r w:rsidRPr="008518A1">
              <w:rPr>
                <w:rFonts w:ascii="Times New Roman" w:eastAsia="Calibri" w:hAnsi="Times New Roman" w:cs="Times New Roman"/>
                <w:sz w:val="18"/>
                <w:szCs w:val="18"/>
              </w:rPr>
              <w:t>$</w:t>
            </w:r>
          </w:p>
        </w:tc>
      </w:tr>
      <w:tr w14:paraId="61BE45AF" w14:textId="77777777" w:rsidTr="002A2783">
        <w:tblPrEx>
          <w:tblW w:w="0" w:type="auto"/>
          <w:tblLook w:val="04A0"/>
        </w:tblPrEx>
        <w:tc>
          <w:tcPr>
            <w:tcW w:w="7375" w:type="dxa"/>
          </w:tcPr>
          <w:p w:rsidR="009A4214" w:rsidRPr="008518A1" w:rsidP="002A2783" w14:paraId="485C3E53" w14:textId="77777777">
            <w:pPr>
              <w:rPr>
                <w:rFonts w:ascii="Times New Roman" w:eastAsia="Calibri" w:hAnsi="Times New Roman" w:cs="Times New Roman"/>
                <w:sz w:val="18"/>
                <w:szCs w:val="18"/>
              </w:rPr>
            </w:pPr>
            <w:r w:rsidRPr="008518A1">
              <w:rPr>
                <w:rFonts w:ascii="Times New Roman" w:eastAsia="Calibri" w:hAnsi="Times New Roman" w:cs="Times New Roman"/>
                <w:b/>
                <w:bCs/>
                <w:sz w:val="18"/>
                <w:szCs w:val="18"/>
              </w:rPr>
              <w:t>Equipment Maintenance</w:t>
            </w:r>
            <w:r w:rsidRPr="008518A1">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9A4214" w:rsidRPr="008518A1" w:rsidP="002A2783" w14:paraId="15CFD8D6" w14:textId="6A7205F3">
            <w:pPr>
              <w:jc w:val="right"/>
              <w:rPr>
                <w:rFonts w:ascii="Times New Roman" w:eastAsia="Calibri" w:hAnsi="Times New Roman" w:cs="Times New Roman"/>
                <w:sz w:val="18"/>
                <w:szCs w:val="18"/>
              </w:rPr>
            </w:pPr>
            <w:r w:rsidRPr="008518A1">
              <w:rPr>
                <w:rFonts w:ascii="Times New Roman" w:eastAsia="Calibri" w:hAnsi="Times New Roman" w:cs="Times New Roman"/>
                <w:sz w:val="18"/>
                <w:szCs w:val="18"/>
              </w:rPr>
              <w:t>$</w:t>
            </w:r>
          </w:p>
        </w:tc>
      </w:tr>
      <w:tr w14:paraId="688F949B" w14:textId="77777777" w:rsidTr="002A2783">
        <w:tblPrEx>
          <w:tblW w:w="0" w:type="auto"/>
          <w:tblLook w:val="04A0"/>
        </w:tblPrEx>
        <w:tc>
          <w:tcPr>
            <w:tcW w:w="7375" w:type="dxa"/>
          </w:tcPr>
          <w:p w:rsidR="009A4214" w:rsidRPr="008518A1" w:rsidP="002A2783" w14:paraId="5B843067" w14:textId="77777777">
            <w:pPr>
              <w:rPr>
                <w:rFonts w:ascii="Times New Roman" w:eastAsia="Calibri" w:hAnsi="Times New Roman" w:cs="Times New Roman"/>
                <w:sz w:val="18"/>
                <w:szCs w:val="18"/>
              </w:rPr>
            </w:pPr>
            <w:r w:rsidRPr="008518A1">
              <w:rPr>
                <w:rFonts w:ascii="Times New Roman" w:eastAsia="Calibri" w:hAnsi="Times New Roman" w:cs="Times New Roman"/>
                <w:b/>
                <w:bCs/>
                <w:sz w:val="18"/>
                <w:szCs w:val="18"/>
              </w:rPr>
              <w:t xml:space="preserve">Travel </w:t>
            </w:r>
            <w:r w:rsidRPr="008518A1">
              <w:rPr>
                <w:rFonts w:ascii="Times New Roman" w:eastAsia="Calibri" w:hAnsi="Times New Roman" w:cs="Times New Roman"/>
                <w:sz w:val="18"/>
                <w:szCs w:val="18"/>
              </w:rPr>
              <w:t>(not to exceed)</w:t>
            </w:r>
          </w:p>
        </w:tc>
        <w:tc>
          <w:tcPr>
            <w:tcW w:w="1975" w:type="dxa"/>
            <w:vAlign w:val="center"/>
          </w:tcPr>
          <w:p w:rsidR="009A4214" w:rsidRPr="008518A1" w:rsidP="002A2783" w14:paraId="7941B37C" w14:textId="7F4DE5B3">
            <w:pPr>
              <w:jc w:val="right"/>
              <w:rPr>
                <w:rFonts w:ascii="Times New Roman" w:eastAsia="Calibri" w:hAnsi="Times New Roman" w:cs="Times New Roman"/>
                <w:sz w:val="18"/>
                <w:szCs w:val="18"/>
              </w:rPr>
            </w:pPr>
            <w:r w:rsidRPr="008518A1">
              <w:rPr>
                <w:rFonts w:ascii="Times New Roman" w:eastAsia="Calibri" w:hAnsi="Times New Roman" w:cs="Times New Roman"/>
                <w:sz w:val="18"/>
                <w:szCs w:val="18"/>
              </w:rPr>
              <w:t>$</w:t>
            </w:r>
          </w:p>
        </w:tc>
      </w:tr>
      <w:tr w14:paraId="79ABBE0E" w14:textId="77777777" w:rsidTr="002A2783">
        <w:tblPrEx>
          <w:tblW w:w="0" w:type="auto"/>
          <w:tblLook w:val="04A0"/>
        </w:tblPrEx>
        <w:tc>
          <w:tcPr>
            <w:tcW w:w="7375" w:type="dxa"/>
          </w:tcPr>
          <w:p w:rsidR="009A4214" w:rsidRPr="008518A1" w:rsidP="002A2783" w14:paraId="6744E230" w14:textId="77777777">
            <w:pPr>
              <w:rPr>
                <w:rFonts w:ascii="Times New Roman" w:eastAsia="Calibri" w:hAnsi="Times New Roman" w:cs="Times New Roman"/>
                <w:b/>
                <w:sz w:val="18"/>
                <w:szCs w:val="18"/>
              </w:rPr>
            </w:pPr>
            <w:r w:rsidRPr="008518A1">
              <w:rPr>
                <w:rFonts w:ascii="Times New Roman" w:eastAsia="Calibri" w:hAnsi="Times New Roman" w:cs="Times New Roman"/>
                <w:b/>
                <w:sz w:val="18"/>
                <w:szCs w:val="18"/>
              </w:rPr>
              <w:t>Total</w:t>
            </w:r>
          </w:p>
        </w:tc>
        <w:tc>
          <w:tcPr>
            <w:tcW w:w="1975" w:type="dxa"/>
            <w:vAlign w:val="center"/>
          </w:tcPr>
          <w:p w:rsidR="009A4214" w:rsidRPr="008518A1" w:rsidP="002A2783" w14:paraId="58A62A25" w14:textId="28614BE9">
            <w:pPr>
              <w:jc w:val="right"/>
              <w:rPr>
                <w:rFonts w:ascii="Times New Roman" w:eastAsia="Calibri" w:hAnsi="Times New Roman" w:cs="Times New Roman"/>
                <w:b/>
                <w:bCs/>
                <w:sz w:val="18"/>
                <w:szCs w:val="18"/>
              </w:rPr>
            </w:pPr>
            <w:r w:rsidRPr="008518A1">
              <w:rPr>
                <w:rFonts w:eastAsia="Calibri" w:cs="Times New Roman"/>
                <w:b/>
                <w:bCs/>
                <w:sz w:val="18"/>
                <w:szCs w:val="18"/>
              </w:rPr>
              <w:fldChar w:fldCharType="begin"/>
            </w:r>
            <w:r w:rsidRPr="008518A1">
              <w:rPr>
                <w:rFonts w:ascii="Times New Roman" w:eastAsia="Calibri" w:hAnsi="Times New Roman" w:cs="Times New Roman"/>
                <w:b/>
                <w:bCs/>
                <w:sz w:val="18"/>
                <w:szCs w:val="18"/>
              </w:rPr>
              <w:instrText xml:space="preserve"> =SUM(ABOVE) </w:instrText>
            </w:r>
            <w:r w:rsidRPr="008518A1">
              <w:rPr>
                <w:rFonts w:eastAsia="Calibri" w:cs="Times New Roman"/>
                <w:b/>
                <w:bCs/>
                <w:sz w:val="18"/>
                <w:szCs w:val="18"/>
              </w:rPr>
              <w:fldChar w:fldCharType="separate"/>
            </w:r>
            <w:r w:rsidRPr="008518A1">
              <w:rPr>
                <w:rFonts w:ascii="Times New Roman" w:eastAsia="Calibri" w:hAnsi="Times New Roman" w:cs="Times New Roman"/>
                <w:b/>
                <w:bCs/>
                <w:noProof/>
                <w:sz w:val="18"/>
                <w:szCs w:val="18"/>
              </w:rPr>
              <w:t>$8,81</w:t>
            </w:r>
            <w:r w:rsidR="00106B5F">
              <w:rPr>
                <w:rFonts w:ascii="Times New Roman" w:eastAsia="Calibri" w:hAnsi="Times New Roman" w:cs="Times New Roman"/>
                <w:b/>
                <w:bCs/>
                <w:noProof/>
                <w:sz w:val="18"/>
                <w:szCs w:val="18"/>
              </w:rPr>
              <w:t>7,913</w:t>
            </w:r>
            <w:r w:rsidRPr="008518A1">
              <w:rPr>
                <w:rFonts w:eastAsia="Calibri" w:cs="Times New Roman"/>
                <w:b/>
                <w:bCs/>
                <w:sz w:val="18"/>
                <w:szCs w:val="18"/>
              </w:rPr>
              <w:fldChar w:fldCharType="end"/>
            </w:r>
          </w:p>
        </w:tc>
      </w:tr>
      <w:tr w14:paraId="7C34BD63" w14:textId="77777777" w:rsidTr="002A2783">
        <w:tblPrEx>
          <w:tblW w:w="0" w:type="auto"/>
          <w:tblLook w:val="04A0"/>
        </w:tblPrEx>
        <w:tc>
          <w:tcPr>
            <w:tcW w:w="9350" w:type="dxa"/>
            <w:gridSpan w:val="2"/>
          </w:tcPr>
          <w:p w:rsidR="00106B5F" w:rsidRPr="00106B5F" w:rsidP="00106B5F" w14:paraId="5B4ED286" w14:textId="77777777">
            <w:pPr>
              <w:rPr>
                <w:rFonts w:ascii="Times New Roman" w:eastAsia="Calibri" w:hAnsi="Times New Roman" w:cs="Times New Roman"/>
                <w:sz w:val="18"/>
                <w:szCs w:val="18"/>
              </w:rPr>
            </w:pPr>
            <w:r w:rsidRPr="00106B5F">
              <w:rPr>
                <w:rFonts w:ascii="Times New Roman" w:eastAsia="Calibri" w:hAnsi="Times New Roman" w:cs="Times New Roman"/>
                <w:sz w:val="18"/>
                <w:szCs w:val="18"/>
                <w:vertAlign w:val="superscript"/>
              </w:rPr>
              <w:t>1</w:t>
            </w:r>
            <w:r w:rsidRPr="00106B5F">
              <w:rPr>
                <w:rFonts w:ascii="Times New Roman" w:eastAsia="Calibri" w:hAnsi="Times New Roman" w:cs="Times New Roman"/>
                <w:sz w:val="18"/>
                <w:szCs w:val="18"/>
              </w:rPr>
              <w:t xml:space="preserve"> Office of Personnel Management 2024 Pay and Leave Tables for the Washington-Baltimore-Arlington, DC-MD-VA-WV-PA locality.  Available online at </w:t>
            </w:r>
            <w:hyperlink r:id="rId13" w:history="1">
              <w:r w:rsidRPr="00106B5F">
                <w:rPr>
                  <w:rStyle w:val="Hyperlink"/>
                  <w:rFonts w:ascii="Times New Roman" w:eastAsia="Calibri" w:hAnsi="Times New Roman" w:cs="Times New Roman"/>
                  <w:sz w:val="18"/>
                  <w:szCs w:val="18"/>
                </w:rPr>
                <w:t>https://www.opm.gov/policy-data-oversight/pay-leave/salaries-wages/salary-tables/pdf/2024/DCB.pdf</w:t>
              </w:r>
            </w:hyperlink>
            <w:r w:rsidRPr="00106B5F">
              <w:rPr>
                <w:rFonts w:ascii="Times New Roman" w:eastAsia="Calibri" w:hAnsi="Times New Roman" w:cs="Times New Roman"/>
                <w:sz w:val="18"/>
                <w:szCs w:val="18"/>
              </w:rPr>
              <w:t>.  Accessed January 2, 2024.</w:t>
            </w:r>
          </w:p>
          <w:p w:rsidR="009A4214" w:rsidRPr="008518A1" w:rsidP="00106B5F" w14:paraId="4270CB51" w14:textId="79EF38BE">
            <w:pPr>
              <w:rPr>
                <w:rFonts w:ascii="Times New Roman" w:eastAsia="Calibri" w:hAnsi="Times New Roman" w:cs="Times New Roman"/>
                <w:sz w:val="18"/>
                <w:szCs w:val="18"/>
              </w:rPr>
            </w:pPr>
            <w:r w:rsidRPr="00106B5F">
              <w:rPr>
                <w:rFonts w:ascii="Times New Roman" w:eastAsia="Calibri" w:hAnsi="Times New Roman" w:cs="Times New Roman"/>
                <w:sz w:val="18"/>
                <w:szCs w:val="18"/>
                <w:vertAlign w:val="superscript"/>
              </w:rPr>
              <w:t>2</w:t>
            </w:r>
            <w:r w:rsidRPr="00106B5F">
              <w:rPr>
                <w:rFonts w:ascii="Times New Roman" w:eastAsia="Calibri" w:hAnsi="Times New Roman" w:cs="Times New Roman"/>
                <w:sz w:val="18"/>
                <w:szCs w:val="18"/>
              </w:rPr>
              <w:t xml:space="preserve"> Wage rate includes a 1.45 multiplier to reflect the fully-loaded wage rate.</w:t>
            </w:r>
          </w:p>
        </w:tc>
      </w:tr>
      <w:bookmarkEnd w:id="4"/>
    </w:tbl>
    <w:p w:rsidR="00926982" w:rsidP="00C32062" w14:paraId="4D453F82" w14:textId="77777777">
      <w:pPr>
        <w:spacing w:line="276" w:lineRule="auto"/>
        <w:contextualSpacing/>
      </w:pPr>
    </w:p>
    <w:p w:rsidR="00AC49FB" w:rsidRPr="00425D0D" w:rsidP="00C32062" w14:paraId="46138024" w14:textId="2088F7CA">
      <w:pPr>
        <w:pStyle w:val="ListParagraph"/>
        <w:numPr>
          <w:ilvl w:val="0"/>
          <w:numId w:val="6"/>
        </w:numPr>
        <w:spacing w:line="276" w:lineRule="auto"/>
        <w:rPr>
          <w:b/>
          <w:bCs/>
        </w:rPr>
      </w:pPr>
      <w:r w:rsidRPr="3C3DE105">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C32062" w14:paraId="4196D2F4" w14:textId="77777777">
      <w:pPr>
        <w:pStyle w:val="ListParagraph"/>
        <w:spacing w:line="276" w:lineRule="auto"/>
      </w:pPr>
    </w:p>
    <w:p w:rsidR="00055F6D" w:rsidRPr="001D3D89" w:rsidP="00C32062" w14:paraId="6F2A70D5" w14:textId="096FB2BA">
      <w:pPr>
        <w:pStyle w:val="ListParagraph"/>
        <w:spacing w:line="276" w:lineRule="auto"/>
        <w:rPr>
          <w:i/>
          <w:iCs/>
          <w:sz w:val="20"/>
          <w:szCs w:val="20"/>
        </w:rPr>
      </w:pPr>
      <w:r w:rsidRPr="001D3D89">
        <w:rPr>
          <w:i/>
          <w:iCs/>
          <w:sz w:val="20"/>
          <w:szCs w:val="20"/>
        </w:rPr>
        <w:t xml:space="preserve">A </w:t>
      </w:r>
      <w:bookmarkStart w:id="5" w:name="_Hlk116570215"/>
      <w:r w:rsidR="00054513">
        <w:rPr>
          <w:b/>
          <w:bCs/>
          <w:i/>
          <w:iCs/>
          <w:sz w:val="20"/>
          <w:szCs w:val="20"/>
        </w:rPr>
        <w:t>“</w:t>
      </w:r>
      <w:bookmarkEnd w:id="5"/>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C32062" w14:paraId="593AD93B" w14:textId="77777777">
      <w:pPr>
        <w:pStyle w:val="ListParagraph"/>
        <w:spacing w:line="276" w:lineRule="auto"/>
        <w:rPr>
          <w:i/>
          <w:iCs/>
          <w:sz w:val="20"/>
          <w:szCs w:val="20"/>
        </w:rPr>
      </w:pPr>
    </w:p>
    <w:p w:rsidR="00055F6D" w:rsidRPr="001D3D89" w:rsidP="00C32062"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C32062" w14:paraId="16F7CB71" w14:textId="77777777">
      <w:pPr>
        <w:pStyle w:val="ListParagraph"/>
        <w:spacing w:line="276" w:lineRule="auto"/>
        <w:rPr>
          <w:i/>
          <w:iCs/>
          <w:sz w:val="20"/>
          <w:szCs w:val="20"/>
        </w:rPr>
      </w:pPr>
    </w:p>
    <w:p w:rsidR="00055F6D" w:rsidRPr="001D3D89" w:rsidP="00C32062"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E27363" w14:paraId="10C340CE" w14:textId="05E8738A">
      <w:r>
        <w:br w:type="page"/>
      </w:r>
    </w:p>
    <w:p w:rsidR="002D3CCF" w:rsidP="00C32062" w14:paraId="41A535A6" w14:textId="77777777">
      <w:pPr>
        <w:pStyle w:val="ListParagraph"/>
        <w:spacing w:line="276" w:lineRule="auto"/>
      </w:pPr>
    </w:p>
    <w:tbl>
      <w:tblPr>
        <w:tblW w:w="11080" w:type="dxa"/>
        <w:jc w:val="center"/>
        <w:tblLook w:val="04A0"/>
      </w:tblPr>
      <w:tblGrid>
        <w:gridCol w:w="3320"/>
        <w:gridCol w:w="1800"/>
        <w:gridCol w:w="990"/>
        <w:gridCol w:w="1100"/>
        <w:gridCol w:w="1530"/>
        <w:gridCol w:w="1260"/>
        <w:gridCol w:w="1080"/>
      </w:tblGrid>
      <w:tr w14:paraId="77363F37" w14:textId="77777777" w:rsidTr="0048685E">
        <w:tblPrEx>
          <w:tblW w:w="11080" w:type="dxa"/>
          <w:jc w:val="center"/>
          <w:tblLook w:val="04A0"/>
        </w:tblPrEx>
        <w:trPr>
          <w:trHeight w:val="288"/>
          <w:jc w:val="center"/>
        </w:trPr>
        <w:tc>
          <w:tcPr>
            <w:tcW w:w="1108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6958D4" w:rsidRPr="006958D4" w:rsidP="006958D4" w14:paraId="220E5A8B" w14:textId="77777777">
            <w:pPr>
              <w:jc w:val="center"/>
              <w:rPr>
                <w:rFonts w:eastAsia="Times New Roman" w:cs="Times New Roman"/>
                <w:b/>
                <w:bCs/>
                <w:color w:val="000000"/>
                <w:sz w:val="20"/>
                <w:szCs w:val="20"/>
              </w:rPr>
            </w:pPr>
            <w:r w:rsidRPr="006958D4">
              <w:rPr>
                <w:rFonts w:eastAsia="Times New Roman" w:cs="Times New Roman"/>
                <w:b/>
                <w:bCs/>
                <w:color w:val="000000"/>
                <w:sz w:val="20"/>
                <w:szCs w:val="20"/>
              </w:rPr>
              <w:t>Itemized Changes in Annual Burden Hours</w:t>
            </w:r>
          </w:p>
        </w:tc>
      </w:tr>
      <w:tr w14:paraId="56D3359B" w14:textId="77777777" w:rsidTr="0048685E">
        <w:tblPrEx>
          <w:tblW w:w="11080" w:type="dxa"/>
          <w:jc w:val="center"/>
          <w:tblLook w:val="04A0"/>
        </w:tblPrEx>
        <w:trPr>
          <w:trHeight w:val="782"/>
          <w:jc w:val="center"/>
        </w:trPr>
        <w:tc>
          <w:tcPr>
            <w:tcW w:w="3320" w:type="dxa"/>
            <w:tcBorders>
              <w:top w:val="nil"/>
              <w:left w:val="single" w:sz="8" w:space="0" w:color="auto"/>
              <w:bottom w:val="single" w:sz="4" w:space="0" w:color="auto"/>
              <w:right w:val="single" w:sz="4" w:space="0" w:color="auto"/>
            </w:tcBorders>
            <w:shd w:val="clear" w:color="000000" w:fill="95B3D7"/>
            <w:vAlign w:val="bottom"/>
            <w:hideMark/>
          </w:tcPr>
          <w:p w:rsidR="006958D4" w:rsidRPr="008518A1" w:rsidP="006958D4" w14:paraId="6D5FE8C5"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Data Collection Activity/Instrument</w:t>
            </w:r>
          </w:p>
        </w:tc>
        <w:tc>
          <w:tcPr>
            <w:tcW w:w="1800" w:type="dxa"/>
            <w:tcBorders>
              <w:top w:val="nil"/>
              <w:left w:val="nil"/>
              <w:bottom w:val="single" w:sz="4" w:space="0" w:color="auto"/>
              <w:right w:val="single" w:sz="4" w:space="0" w:color="auto"/>
            </w:tcBorders>
            <w:shd w:val="clear" w:color="000000" w:fill="95B3D7"/>
            <w:vAlign w:val="bottom"/>
            <w:hideMark/>
          </w:tcPr>
          <w:p w:rsidR="006958D4" w:rsidRPr="008518A1" w:rsidP="006958D4" w14:paraId="1371D03F"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Program Change (hours currently on OMB Inventory)</w:t>
            </w:r>
          </w:p>
        </w:tc>
        <w:tc>
          <w:tcPr>
            <w:tcW w:w="990" w:type="dxa"/>
            <w:tcBorders>
              <w:top w:val="nil"/>
              <w:left w:val="nil"/>
              <w:bottom w:val="single" w:sz="4" w:space="0" w:color="auto"/>
              <w:right w:val="single" w:sz="4" w:space="0" w:color="auto"/>
            </w:tcBorders>
            <w:shd w:val="clear" w:color="000000" w:fill="95B3D7"/>
            <w:vAlign w:val="bottom"/>
            <w:hideMark/>
          </w:tcPr>
          <w:p w:rsidR="006958D4" w:rsidRPr="008518A1" w:rsidP="006958D4" w14:paraId="104EABF9"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Program Change (New)</w:t>
            </w:r>
          </w:p>
        </w:tc>
        <w:tc>
          <w:tcPr>
            <w:tcW w:w="1100" w:type="dxa"/>
            <w:tcBorders>
              <w:top w:val="nil"/>
              <w:left w:val="nil"/>
              <w:bottom w:val="single" w:sz="4" w:space="0" w:color="auto"/>
              <w:right w:val="single" w:sz="4" w:space="0" w:color="auto"/>
            </w:tcBorders>
            <w:shd w:val="clear" w:color="000000" w:fill="95B3D7"/>
            <w:vAlign w:val="bottom"/>
            <w:hideMark/>
          </w:tcPr>
          <w:p w:rsidR="006958D4" w:rsidRPr="008518A1" w:rsidP="006958D4" w14:paraId="352833F1"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Difference</w:t>
            </w:r>
          </w:p>
        </w:tc>
        <w:tc>
          <w:tcPr>
            <w:tcW w:w="1530" w:type="dxa"/>
            <w:tcBorders>
              <w:top w:val="nil"/>
              <w:left w:val="nil"/>
              <w:bottom w:val="single" w:sz="4" w:space="0" w:color="auto"/>
              <w:right w:val="single" w:sz="4" w:space="0" w:color="auto"/>
            </w:tcBorders>
            <w:shd w:val="clear" w:color="000000" w:fill="95B3D7"/>
            <w:vAlign w:val="bottom"/>
            <w:hideMark/>
          </w:tcPr>
          <w:p w:rsidR="006958D4" w:rsidRPr="008518A1" w:rsidP="006958D4" w14:paraId="625D7F23"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Adjustment (hours currently on OMB Inventory)</w:t>
            </w:r>
          </w:p>
        </w:tc>
        <w:tc>
          <w:tcPr>
            <w:tcW w:w="1260" w:type="dxa"/>
            <w:tcBorders>
              <w:top w:val="nil"/>
              <w:left w:val="nil"/>
              <w:bottom w:val="single" w:sz="4" w:space="0" w:color="auto"/>
              <w:right w:val="single" w:sz="4" w:space="0" w:color="auto"/>
            </w:tcBorders>
            <w:shd w:val="clear" w:color="000000" w:fill="95B3D7"/>
            <w:vAlign w:val="bottom"/>
            <w:hideMark/>
          </w:tcPr>
          <w:p w:rsidR="006958D4" w:rsidRPr="008518A1" w:rsidP="006958D4" w14:paraId="37E352B5"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Adjustment (New)</w:t>
            </w:r>
          </w:p>
        </w:tc>
        <w:tc>
          <w:tcPr>
            <w:tcW w:w="1080" w:type="dxa"/>
            <w:tcBorders>
              <w:top w:val="nil"/>
              <w:left w:val="nil"/>
              <w:bottom w:val="single" w:sz="4" w:space="0" w:color="auto"/>
              <w:right w:val="single" w:sz="8" w:space="0" w:color="auto"/>
            </w:tcBorders>
            <w:shd w:val="clear" w:color="000000" w:fill="95B3D7"/>
            <w:vAlign w:val="bottom"/>
            <w:hideMark/>
          </w:tcPr>
          <w:p w:rsidR="006958D4" w:rsidRPr="008518A1" w:rsidP="006958D4" w14:paraId="26E8C04C"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Difference</w:t>
            </w:r>
          </w:p>
        </w:tc>
      </w:tr>
      <w:tr w14:paraId="5C0F3457" w14:textId="77777777" w:rsidTr="0048685E">
        <w:tblPrEx>
          <w:tblW w:w="11080" w:type="dxa"/>
          <w:jc w:val="center"/>
          <w:tblLook w:val="04A0"/>
        </w:tblPrEx>
        <w:trPr>
          <w:trHeight w:val="521"/>
          <w:jc w:val="center"/>
        </w:trPr>
        <w:tc>
          <w:tcPr>
            <w:tcW w:w="3320" w:type="dxa"/>
            <w:tcBorders>
              <w:top w:val="nil"/>
              <w:left w:val="single" w:sz="8" w:space="0" w:color="auto"/>
              <w:bottom w:val="single" w:sz="4" w:space="0" w:color="auto"/>
              <w:right w:val="single" w:sz="4" w:space="0" w:color="auto"/>
            </w:tcBorders>
            <w:shd w:val="clear" w:color="auto" w:fill="auto"/>
            <w:vAlign w:val="bottom"/>
            <w:hideMark/>
          </w:tcPr>
          <w:p w:rsidR="006958D4" w:rsidRPr="008518A1" w:rsidP="006958D4" w14:paraId="2D4B2408" w14:textId="162B2472">
            <w:pPr>
              <w:jc w:val="center"/>
              <w:rPr>
                <w:rFonts w:eastAsia="Times New Roman" w:cs="Times New Roman"/>
                <w:color w:val="000000"/>
                <w:sz w:val="18"/>
                <w:szCs w:val="18"/>
              </w:rPr>
            </w:pPr>
            <w:r w:rsidRPr="008518A1">
              <w:rPr>
                <w:rFonts w:eastAsia="Times New Roman" w:cs="Times New Roman"/>
                <w:color w:val="000000"/>
                <w:sz w:val="18"/>
                <w:szCs w:val="18"/>
              </w:rPr>
              <w:t xml:space="preserve">FEMA Form FF-206-FY-21-117 (formerly 086-0-1), </w:t>
            </w:r>
            <w:r w:rsidR="0048685E">
              <w:rPr>
                <w:rFonts w:eastAsia="Times New Roman" w:cs="Times New Roman"/>
                <w:color w:val="000000"/>
                <w:sz w:val="18"/>
                <w:szCs w:val="18"/>
              </w:rPr>
              <w:t xml:space="preserve">Flood Insurance </w:t>
            </w:r>
            <w:r w:rsidRPr="008518A1">
              <w:rPr>
                <w:rFonts w:eastAsia="Times New Roman" w:cs="Times New Roman"/>
                <w:color w:val="000000"/>
                <w:sz w:val="18"/>
                <w:szCs w:val="18"/>
              </w:rPr>
              <w:t>Application</w:t>
            </w:r>
          </w:p>
        </w:tc>
        <w:tc>
          <w:tcPr>
            <w:tcW w:w="1800" w:type="dxa"/>
            <w:tcBorders>
              <w:top w:val="nil"/>
              <w:left w:val="nil"/>
              <w:bottom w:val="single" w:sz="4" w:space="0" w:color="auto"/>
              <w:right w:val="single" w:sz="4" w:space="0" w:color="auto"/>
            </w:tcBorders>
            <w:shd w:val="clear" w:color="auto" w:fill="auto"/>
            <w:vAlign w:val="bottom"/>
            <w:hideMark/>
          </w:tcPr>
          <w:p w:rsidR="006958D4" w:rsidRPr="008518A1" w:rsidP="006958D4" w14:paraId="36B204A6" w14:textId="266724E4">
            <w:pPr>
              <w:jc w:val="center"/>
              <w:rPr>
                <w:rFonts w:eastAsia="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bottom"/>
            <w:hideMark/>
          </w:tcPr>
          <w:p w:rsidR="006958D4" w:rsidRPr="008518A1" w:rsidP="006958D4" w14:paraId="6669218E" w14:textId="37308541">
            <w:pPr>
              <w:jc w:val="center"/>
              <w:rPr>
                <w:rFonts w:eastAsia="Times New Roman" w:cs="Times New Roman"/>
                <w:color w:val="000000"/>
                <w:sz w:val="18"/>
                <w:szCs w:val="18"/>
              </w:rPr>
            </w:pPr>
          </w:p>
        </w:tc>
        <w:tc>
          <w:tcPr>
            <w:tcW w:w="1100" w:type="dxa"/>
            <w:tcBorders>
              <w:top w:val="nil"/>
              <w:left w:val="nil"/>
              <w:bottom w:val="single" w:sz="4" w:space="0" w:color="auto"/>
              <w:right w:val="single" w:sz="4" w:space="0" w:color="auto"/>
            </w:tcBorders>
            <w:shd w:val="clear" w:color="auto" w:fill="auto"/>
            <w:vAlign w:val="bottom"/>
            <w:hideMark/>
          </w:tcPr>
          <w:p w:rsidR="006958D4" w:rsidRPr="008518A1" w:rsidP="008518A1" w14:paraId="6A3928D6" w14:textId="4AF52F21">
            <w:pPr>
              <w:jc w:val="center"/>
              <w:rPr>
                <w:rFonts w:eastAsia="Times New Roman" w:cs="Times New Roman"/>
                <w:color w:val="000000"/>
                <w:sz w:val="18"/>
                <w:szCs w:val="18"/>
              </w:rPr>
            </w:pPr>
            <w:r w:rsidRPr="008518A1">
              <w:rPr>
                <w:rFonts w:eastAsia="Times New Roman" w:cs="Times New Roman"/>
                <w:color w:val="000000"/>
                <w:sz w:val="18"/>
                <w:szCs w:val="18"/>
              </w:rPr>
              <w:t>0</w:t>
            </w:r>
          </w:p>
        </w:tc>
        <w:tc>
          <w:tcPr>
            <w:tcW w:w="1530" w:type="dxa"/>
            <w:tcBorders>
              <w:top w:val="nil"/>
              <w:left w:val="nil"/>
              <w:bottom w:val="single" w:sz="4" w:space="0" w:color="auto"/>
              <w:right w:val="single" w:sz="4" w:space="0" w:color="auto"/>
            </w:tcBorders>
            <w:shd w:val="clear" w:color="auto" w:fill="auto"/>
            <w:vAlign w:val="bottom"/>
            <w:hideMark/>
          </w:tcPr>
          <w:p w:rsidR="006958D4" w:rsidRPr="008518A1" w:rsidP="006958D4" w14:paraId="2DE09B4B" w14:textId="77777777">
            <w:pPr>
              <w:jc w:val="center"/>
              <w:rPr>
                <w:rFonts w:eastAsia="Times New Roman" w:cs="Times New Roman"/>
                <w:color w:val="000000"/>
                <w:sz w:val="18"/>
                <w:szCs w:val="18"/>
              </w:rPr>
            </w:pPr>
            <w:r w:rsidRPr="008518A1">
              <w:rPr>
                <w:rFonts w:eastAsia="Times New Roman" w:cs="Times New Roman"/>
                <w:color w:val="000000"/>
                <w:sz w:val="18"/>
                <w:szCs w:val="18"/>
              </w:rPr>
              <w:t>3,812</w:t>
            </w:r>
          </w:p>
        </w:tc>
        <w:tc>
          <w:tcPr>
            <w:tcW w:w="1260" w:type="dxa"/>
            <w:tcBorders>
              <w:top w:val="nil"/>
              <w:left w:val="nil"/>
              <w:bottom w:val="single" w:sz="4" w:space="0" w:color="auto"/>
              <w:right w:val="single" w:sz="4" w:space="0" w:color="auto"/>
            </w:tcBorders>
            <w:shd w:val="clear" w:color="auto" w:fill="auto"/>
            <w:vAlign w:val="bottom"/>
            <w:hideMark/>
          </w:tcPr>
          <w:p w:rsidR="006958D4" w:rsidRPr="008518A1" w:rsidP="006958D4" w14:paraId="1CB26843" w14:textId="18157342">
            <w:pPr>
              <w:jc w:val="center"/>
              <w:rPr>
                <w:rFonts w:eastAsia="Times New Roman" w:cs="Times New Roman"/>
                <w:color w:val="000000"/>
                <w:sz w:val="18"/>
                <w:szCs w:val="18"/>
              </w:rPr>
            </w:pPr>
            <w:r w:rsidRPr="008518A1">
              <w:rPr>
                <w:rFonts w:eastAsia="Times New Roman" w:cs="Times New Roman"/>
                <w:color w:val="000000"/>
                <w:sz w:val="18"/>
                <w:szCs w:val="18"/>
              </w:rPr>
              <w:t>9</w:t>
            </w:r>
            <w:r>
              <w:rPr>
                <w:rFonts w:eastAsia="Times New Roman" w:cs="Times New Roman"/>
                <w:color w:val="000000"/>
                <w:sz w:val="18"/>
                <w:szCs w:val="18"/>
              </w:rPr>
              <w:t>,</w:t>
            </w:r>
            <w:r w:rsidRPr="008518A1">
              <w:rPr>
                <w:rFonts w:eastAsia="Times New Roman" w:cs="Times New Roman"/>
                <w:color w:val="000000"/>
                <w:sz w:val="18"/>
                <w:szCs w:val="18"/>
              </w:rPr>
              <w:t>965</w:t>
            </w:r>
          </w:p>
        </w:tc>
        <w:tc>
          <w:tcPr>
            <w:tcW w:w="1080" w:type="dxa"/>
            <w:tcBorders>
              <w:top w:val="nil"/>
              <w:left w:val="nil"/>
              <w:bottom w:val="single" w:sz="4" w:space="0" w:color="auto"/>
              <w:right w:val="single" w:sz="4" w:space="0" w:color="auto"/>
            </w:tcBorders>
            <w:shd w:val="clear" w:color="auto" w:fill="auto"/>
            <w:vAlign w:val="bottom"/>
            <w:hideMark/>
          </w:tcPr>
          <w:p w:rsidR="006958D4" w:rsidRPr="008518A1" w:rsidP="006958D4" w14:paraId="035687EB" w14:textId="1E464288">
            <w:pPr>
              <w:jc w:val="right"/>
              <w:rPr>
                <w:rFonts w:eastAsia="Times New Roman" w:cs="Times New Roman"/>
                <w:color w:val="000000"/>
                <w:sz w:val="18"/>
                <w:szCs w:val="18"/>
              </w:rPr>
            </w:pPr>
            <w:r w:rsidRPr="008518A1">
              <w:rPr>
                <w:rFonts w:eastAsia="Times New Roman" w:cs="Times New Roman"/>
                <w:color w:val="000000"/>
                <w:sz w:val="18"/>
                <w:szCs w:val="18"/>
              </w:rPr>
              <w:t>6</w:t>
            </w:r>
            <w:r>
              <w:rPr>
                <w:rFonts w:eastAsia="Times New Roman" w:cs="Times New Roman"/>
                <w:color w:val="000000"/>
                <w:sz w:val="18"/>
                <w:szCs w:val="18"/>
              </w:rPr>
              <w:t>,</w:t>
            </w:r>
            <w:r w:rsidRPr="008518A1">
              <w:rPr>
                <w:rFonts w:eastAsia="Times New Roman" w:cs="Times New Roman"/>
                <w:color w:val="000000"/>
                <w:sz w:val="18"/>
                <w:szCs w:val="18"/>
              </w:rPr>
              <w:t>153</w:t>
            </w:r>
          </w:p>
        </w:tc>
      </w:tr>
      <w:tr w14:paraId="29E44B15" w14:textId="77777777" w:rsidTr="0048685E">
        <w:tblPrEx>
          <w:tblW w:w="11080" w:type="dxa"/>
          <w:jc w:val="center"/>
          <w:tblLook w:val="04A0"/>
        </w:tblPrEx>
        <w:trPr>
          <w:trHeight w:val="530"/>
          <w:jc w:val="center"/>
        </w:trPr>
        <w:tc>
          <w:tcPr>
            <w:tcW w:w="3320" w:type="dxa"/>
            <w:tcBorders>
              <w:top w:val="nil"/>
              <w:left w:val="single" w:sz="8" w:space="0" w:color="auto"/>
              <w:bottom w:val="single" w:sz="4" w:space="0" w:color="auto"/>
              <w:right w:val="single" w:sz="4" w:space="0" w:color="auto"/>
            </w:tcBorders>
            <w:shd w:val="clear" w:color="auto" w:fill="auto"/>
            <w:vAlign w:val="bottom"/>
            <w:hideMark/>
          </w:tcPr>
          <w:p w:rsidR="006958D4" w:rsidRPr="008518A1" w:rsidP="006958D4" w14:paraId="51317FE9" w14:textId="37BA6591">
            <w:pPr>
              <w:jc w:val="center"/>
              <w:rPr>
                <w:rFonts w:eastAsia="Times New Roman" w:cs="Times New Roman"/>
                <w:color w:val="000000"/>
                <w:sz w:val="18"/>
                <w:szCs w:val="18"/>
              </w:rPr>
            </w:pPr>
            <w:r w:rsidRPr="008518A1">
              <w:rPr>
                <w:rFonts w:eastAsia="Times New Roman" w:cs="Times New Roman"/>
                <w:color w:val="000000"/>
                <w:sz w:val="18"/>
                <w:szCs w:val="18"/>
              </w:rPr>
              <w:t xml:space="preserve">FEMA Form FF-206-FY-21-118 (formerly 086-0-2), </w:t>
            </w:r>
            <w:r w:rsidR="0048685E">
              <w:rPr>
                <w:rFonts w:eastAsia="Times New Roman" w:cs="Times New Roman"/>
                <w:color w:val="000000"/>
                <w:sz w:val="18"/>
                <w:szCs w:val="18"/>
              </w:rPr>
              <w:t xml:space="preserve">Flood Insurance </w:t>
            </w:r>
            <w:r w:rsidRPr="008518A1">
              <w:rPr>
                <w:rFonts w:eastAsia="Times New Roman" w:cs="Times New Roman"/>
                <w:color w:val="000000"/>
                <w:sz w:val="18"/>
                <w:szCs w:val="18"/>
              </w:rPr>
              <w:t>Cancellation</w:t>
            </w:r>
            <w:r w:rsidR="0048685E">
              <w:rPr>
                <w:rFonts w:eastAsia="Times New Roman" w:cs="Times New Roman"/>
                <w:color w:val="000000"/>
                <w:sz w:val="18"/>
                <w:szCs w:val="18"/>
              </w:rPr>
              <w:t>/Nullification Request Form</w:t>
            </w:r>
          </w:p>
        </w:tc>
        <w:tc>
          <w:tcPr>
            <w:tcW w:w="1800" w:type="dxa"/>
            <w:tcBorders>
              <w:top w:val="nil"/>
              <w:left w:val="nil"/>
              <w:bottom w:val="single" w:sz="4" w:space="0" w:color="auto"/>
              <w:right w:val="single" w:sz="4" w:space="0" w:color="auto"/>
            </w:tcBorders>
            <w:shd w:val="clear" w:color="auto" w:fill="auto"/>
            <w:vAlign w:val="bottom"/>
            <w:hideMark/>
          </w:tcPr>
          <w:p w:rsidR="006958D4" w:rsidRPr="008518A1" w:rsidP="006958D4" w14:paraId="7304E65B"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6958D4" w:rsidRPr="008518A1" w:rsidP="006958D4" w14:paraId="1E0633A9"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vAlign w:val="bottom"/>
            <w:hideMark/>
          </w:tcPr>
          <w:p w:rsidR="006958D4" w:rsidRPr="008518A1" w:rsidP="008518A1" w14:paraId="6EF8A4F2" w14:textId="77777777">
            <w:pPr>
              <w:jc w:val="center"/>
              <w:rPr>
                <w:rFonts w:eastAsia="Times New Roman" w:cs="Times New Roman"/>
                <w:color w:val="000000"/>
                <w:sz w:val="18"/>
                <w:szCs w:val="18"/>
              </w:rPr>
            </w:pPr>
            <w:r w:rsidRPr="008518A1">
              <w:rPr>
                <w:rFonts w:eastAsia="Times New Roman" w:cs="Times New Roman"/>
                <w:color w:val="000000"/>
                <w:sz w:val="18"/>
                <w:szCs w:val="18"/>
              </w:rPr>
              <w:t>0</w:t>
            </w:r>
          </w:p>
        </w:tc>
        <w:tc>
          <w:tcPr>
            <w:tcW w:w="1530" w:type="dxa"/>
            <w:tcBorders>
              <w:top w:val="nil"/>
              <w:left w:val="nil"/>
              <w:bottom w:val="single" w:sz="4" w:space="0" w:color="auto"/>
              <w:right w:val="single" w:sz="4" w:space="0" w:color="auto"/>
            </w:tcBorders>
            <w:shd w:val="clear" w:color="auto" w:fill="auto"/>
            <w:vAlign w:val="bottom"/>
            <w:hideMark/>
          </w:tcPr>
          <w:p w:rsidR="006958D4" w:rsidRPr="008518A1" w:rsidP="006958D4" w14:paraId="53DCCDDA" w14:textId="12866958">
            <w:pPr>
              <w:jc w:val="center"/>
              <w:rPr>
                <w:rFonts w:eastAsia="Times New Roman" w:cs="Times New Roman"/>
                <w:color w:val="000000"/>
                <w:sz w:val="18"/>
                <w:szCs w:val="18"/>
              </w:rPr>
            </w:pPr>
            <w:r w:rsidRPr="008518A1">
              <w:rPr>
                <w:rFonts w:eastAsia="Times New Roman" w:cs="Times New Roman"/>
                <w:color w:val="000000"/>
                <w:sz w:val="18"/>
                <w:szCs w:val="18"/>
              </w:rPr>
              <w:t>4</w:t>
            </w:r>
            <w:r>
              <w:rPr>
                <w:rFonts w:eastAsia="Times New Roman" w:cs="Times New Roman"/>
                <w:color w:val="000000"/>
                <w:sz w:val="18"/>
                <w:szCs w:val="18"/>
              </w:rPr>
              <w:t>,</w:t>
            </w:r>
            <w:r w:rsidRPr="008518A1">
              <w:rPr>
                <w:rFonts w:eastAsia="Times New Roman" w:cs="Times New Roman"/>
                <w:color w:val="000000"/>
                <w:sz w:val="18"/>
                <w:szCs w:val="18"/>
              </w:rPr>
              <w:t>645</w:t>
            </w:r>
          </w:p>
        </w:tc>
        <w:tc>
          <w:tcPr>
            <w:tcW w:w="1260" w:type="dxa"/>
            <w:tcBorders>
              <w:top w:val="nil"/>
              <w:left w:val="nil"/>
              <w:bottom w:val="single" w:sz="4" w:space="0" w:color="auto"/>
              <w:right w:val="single" w:sz="4" w:space="0" w:color="auto"/>
            </w:tcBorders>
            <w:shd w:val="clear" w:color="auto" w:fill="auto"/>
            <w:vAlign w:val="bottom"/>
            <w:hideMark/>
          </w:tcPr>
          <w:p w:rsidR="006958D4" w:rsidRPr="008518A1" w:rsidP="006958D4" w14:paraId="58D1FA70" w14:textId="3501BEAF">
            <w:pPr>
              <w:jc w:val="center"/>
              <w:rPr>
                <w:rFonts w:eastAsia="Times New Roman" w:cs="Times New Roman"/>
                <w:color w:val="000000"/>
                <w:sz w:val="18"/>
                <w:szCs w:val="18"/>
              </w:rPr>
            </w:pPr>
            <w:r w:rsidRPr="008518A1">
              <w:rPr>
                <w:rFonts w:eastAsia="Times New Roman" w:cs="Times New Roman"/>
                <w:color w:val="000000"/>
                <w:sz w:val="18"/>
                <w:szCs w:val="18"/>
              </w:rPr>
              <w:t>2</w:t>
            </w:r>
            <w:r>
              <w:rPr>
                <w:rFonts w:eastAsia="Times New Roman" w:cs="Times New Roman"/>
                <w:color w:val="000000"/>
                <w:sz w:val="18"/>
                <w:szCs w:val="18"/>
              </w:rPr>
              <w:t>,</w:t>
            </w:r>
            <w:r w:rsidRPr="008518A1">
              <w:rPr>
                <w:rFonts w:eastAsia="Times New Roman" w:cs="Times New Roman"/>
                <w:color w:val="000000"/>
                <w:sz w:val="18"/>
                <w:szCs w:val="18"/>
              </w:rPr>
              <w:t>198</w:t>
            </w:r>
          </w:p>
        </w:tc>
        <w:tc>
          <w:tcPr>
            <w:tcW w:w="1080" w:type="dxa"/>
            <w:tcBorders>
              <w:top w:val="nil"/>
              <w:left w:val="nil"/>
              <w:bottom w:val="single" w:sz="4" w:space="0" w:color="auto"/>
              <w:right w:val="single" w:sz="4" w:space="0" w:color="auto"/>
            </w:tcBorders>
            <w:shd w:val="clear" w:color="auto" w:fill="auto"/>
            <w:vAlign w:val="bottom"/>
            <w:hideMark/>
          </w:tcPr>
          <w:p w:rsidR="006958D4" w:rsidRPr="008518A1" w:rsidP="006958D4" w14:paraId="0A817727" w14:textId="6DF49D25">
            <w:pPr>
              <w:jc w:val="right"/>
              <w:rPr>
                <w:rFonts w:eastAsia="Times New Roman" w:cs="Times New Roman"/>
                <w:color w:val="000000"/>
                <w:sz w:val="18"/>
                <w:szCs w:val="18"/>
              </w:rPr>
            </w:pPr>
            <w:r w:rsidRPr="008518A1">
              <w:rPr>
                <w:rFonts w:eastAsia="Times New Roman" w:cs="Times New Roman"/>
                <w:color w:val="000000"/>
                <w:sz w:val="18"/>
                <w:szCs w:val="18"/>
              </w:rPr>
              <w:t>-2</w:t>
            </w:r>
            <w:r>
              <w:rPr>
                <w:rFonts w:eastAsia="Times New Roman" w:cs="Times New Roman"/>
                <w:color w:val="000000"/>
                <w:sz w:val="18"/>
                <w:szCs w:val="18"/>
              </w:rPr>
              <w:t>,</w:t>
            </w:r>
            <w:r w:rsidRPr="008518A1">
              <w:rPr>
                <w:rFonts w:eastAsia="Times New Roman" w:cs="Times New Roman"/>
                <w:color w:val="000000"/>
                <w:sz w:val="18"/>
                <w:szCs w:val="18"/>
              </w:rPr>
              <w:t>447</w:t>
            </w:r>
          </w:p>
        </w:tc>
      </w:tr>
      <w:tr w14:paraId="7EB22365" w14:textId="77777777" w:rsidTr="0048685E">
        <w:tblPrEx>
          <w:tblW w:w="11080" w:type="dxa"/>
          <w:jc w:val="center"/>
          <w:tblLook w:val="04A0"/>
        </w:tblPrEx>
        <w:trPr>
          <w:trHeight w:val="440"/>
          <w:jc w:val="center"/>
        </w:trPr>
        <w:tc>
          <w:tcPr>
            <w:tcW w:w="3320" w:type="dxa"/>
            <w:tcBorders>
              <w:top w:val="nil"/>
              <w:left w:val="single" w:sz="8" w:space="0" w:color="auto"/>
              <w:bottom w:val="single" w:sz="4" w:space="0" w:color="auto"/>
              <w:right w:val="single" w:sz="4" w:space="0" w:color="auto"/>
            </w:tcBorders>
            <w:shd w:val="clear" w:color="auto" w:fill="auto"/>
            <w:vAlign w:val="bottom"/>
            <w:hideMark/>
          </w:tcPr>
          <w:p w:rsidR="006958D4" w:rsidRPr="008518A1" w:rsidP="006958D4" w14:paraId="4FDA300B" w14:textId="1C862264">
            <w:pPr>
              <w:jc w:val="center"/>
              <w:rPr>
                <w:rFonts w:eastAsia="Times New Roman" w:cs="Times New Roman"/>
                <w:color w:val="000000"/>
                <w:sz w:val="18"/>
                <w:szCs w:val="18"/>
              </w:rPr>
            </w:pPr>
            <w:r w:rsidRPr="008518A1">
              <w:rPr>
                <w:rFonts w:eastAsia="Times New Roman" w:cs="Times New Roman"/>
                <w:color w:val="000000"/>
                <w:sz w:val="18"/>
                <w:szCs w:val="18"/>
              </w:rPr>
              <w:t xml:space="preserve">FEMA Form FF-206-FY-21-119 (formerly 086-0-3), </w:t>
            </w:r>
            <w:r w:rsidR="0048685E">
              <w:rPr>
                <w:rFonts w:eastAsia="Times New Roman" w:cs="Times New Roman"/>
                <w:color w:val="000000"/>
                <w:sz w:val="18"/>
                <w:szCs w:val="18"/>
              </w:rPr>
              <w:t xml:space="preserve">Flood Insurance General Change </w:t>
            </w:r>
            <w:r w:rsidRPr="008518A1">
              <w:rPr>
                <w:rFonts w:eastAsia="Times New Roman" w:cs="Times New Roman"/>
                <w:color w:val="000000"/>
                <w:sz w:val="18"/>
                <w:szCs w:val="18"/>
              </w:rPr>
              <w:t>Endorsement</w:t>
            </w:r>
          </w:p>
        </w:tc>
        <w:tc>
          <w:tcPr>
            <w:tcW w:w="1800" w:type="dxa"/>
            <w:tcBorders>
              <w:top w:val="nil"/>
              <w:left w:val="nil"/>
              <w:bottom w:val="single" w:sz="4" w:space="0" w:color="auto"/>
              <w:right w:val="single" w:sz="4" w:space="0" w:color="auto"/>
            </w:tcBorders>
            <w:shd w:val="clear" w:color="auto" w:fill="auto"/>
            <w:vAlign w:val="bottom"/>
            <w:hideMark/>
          </w:tcPr>
          <w:p w:rsidR="006958D4" w:rsidRPr="008518A1" w:rsidP="006958D4" w14:paraId="0071F156"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6958D4" w:rsidRPr="008518A1" w:rsidP="006958D4" w14:paraId="2E4433D4"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vAlign w:val="bottom"/>
            <w:hideMark/>
          </w:tcPr>
          <w:p w:rsidR="006958D4" w:rsidRPr="008518A1" w:rsidP="008518A1" w14:paraId="09851FB7" w14:textId="77777777">
            <w:pPr>
              <w:jc w:val="center"/>
              <w:rPr>
                <w:rFonts w:eastAsia="Times New Roman" w:cs="Times New Roman"/>
                <w:color w:val="000000"/>
                <w:sz w:val="18"/>
                <w:szCs w:val="18"/>
              </w:rPr>
            </w:pPr>
            <w:r w:rsidRPr="008518A1">
              <w:rPr>
                <w:rFonts w:eastAsia="Times New Roman" w:cs="Times New Roman"/>
                <w:color w:val="000000"/>
                <w:sz w:val="18"/>
                <w:szCs w:val="18"/>
              </w:rPr>
              <w:t>0</w:t>
            </w:r>
          </w:p>
        </w:tc>
        <w:tc>
          <w:tcPr>
            <w:tcW w:w="1530" w:type="dxa"/>
            <w:tcBorders>
              <w:top w:val="nil"/>
              <w:left w:val="nil"/>
              <w:bottom w:val="single" w:sz="4" w:space="0" w:color="auto"/>
              <w:right w:val="single" w:sz="4" w:space="0" w:color="auto"/>
            </w:tcBorders>
            <w:shd w:val="clear" w:color="auto" w:fill="auto"/>
            <w:vAlign w:val="bottom"/>
            <w:hideMark/>
          </w:tcPr>
          <w:p w:rsidR="006958D4" w:rsidRPr="004B4075" w:rsidP="006958D4" w14:paraId="531E6A56" w14:textId="2D64CA60">
            <w:pPr>
              <w:jc w:val="center"/>
              <w:rPr>
                <w:rFonts w:eastAsia="Times New Roman" w:cs="Times New Roman"/>
                <w:color w:val="000000" w:themeColor="text1"/>
                <w:sz w:val="18"/>
                <w:szCs w:val="18"/>
              </w:rPr>
            </w:pPr>
            <w:r w:rsidRPr="004B4075">
              <w:rPr>
                <w:rFonts w:eastAsia="Times New Roman" w:cs="Times New Roman"/>
                <w:color w:val="000000" w:themeColor="text1"/>
                <w:sz w:val="18"/>
                <w:szCs w:val="18"/>
              </w:rPr>
              <w:t>43,171</w:t>
            </w:r>
          </w:p>
        </w:tc>
        <w:tc>
          <w:tcPr>
            <w:tcW w:w="1260" w:type="dxa"/>
            <w:tcBorders>
              <w:top w:val="nil"/>
              <w:left w:val="nil"/>
              <w:bottom w:val="single" w:sz="4" w:space="0" w:color="auto"/>
              <w:right w:val="single" w:sz="4" w:space="0" w:color="auto"/>
            </w:tcBorders>
            <w:shd w:val="clear" w:color="auto" w:fill="auto"/>
            <w:vAlign w:val="bottom"/>
            <w:hideMark/>
          </w:tcPr>
          <w:p w:rsidR="006958D4" w:rsidRPr="004B4075" w:rsidP="006958D4" w14:paraId="50E245F0" w14:textId="10139817">
            <w:pPr>
              <w:jc w:val="center"/>
              <w:rPr>
                <w:rFonts w:eastAsia="Times New Roman" w:cs="Times New Roman"/>
                <w:color w:val="000000" w:themeColor="text1"/>
                <w:sz w:val="18"/>
                <w:szCs w:val="18"/>
              </w:rPr>
            </w:pPr>
            <w:r w:rsidRPr="004B4075">
              <w:rPr>
                <w:rFonts w:eastAsia="Times New Roman" w:cs="Times New Roman"/>
                <w:color w:val="000000" w:themeColor="text1"/>
                <w:sz w:val="18"/>
                <w:szCs w:val="18"/>
              </w:rPr>
              <w:t>16,</w:t>
            </w:r>
            <w:r w:rsidRPr="004B4075" w:rsidR="004B4075">
              <w:rPr>
                <w:rFonts w:eastAsia="Times New Roman" w:cs="Times New Roman"/>
                <w:color w:val="000000" w:themeColor="text1"/>
                <w:sz w:val="18"/>
                <w:szCs w:val="18"/>
              </w:rPr>
              <w:t>467</w:t>
            </w:r>
          </w:p>
        </w:tc>
        <w:tc>
          <w:tcPr>
            <w:tcW w:w="1080" w:type="dxa"/>
            <w:tcBorders>
              <w:top w:val="nil"/>
              <w:left w:val="nil"/>
              <w:bottom w:val="single" w:sz="4" w:space="0" w:color="auto"/>
              <w:right w:val="single" w:sz="4" w:space="0" w:color="auto"/>
            </w:tcBorders>
            <w:shd w:val="clear" w:color="auto" w:fill="auto"/>
            <w:vAlign w:val="bottom"/>
            <w:hideMark/>
          </w:tcPr>
          <w:p w:rsidR="006958D4" w:rsidRPr="008518A1" w:rsidP="006958D4" w14:paraId="13A1DE82" w14:textId="49F2F092">
            <w:pPr>
              <w:jc w:val="right"/>
              <w:rPr>
                <w:rFonts w:eastAsia="Times New Roman" w:cs="Times New Roman"/>
                <w:color w:val="000000"/>
                <w:sz w:val="18"/>
                <w:szCs w:val="18"/>
              </w:rPr>
            </w:pPr>
            <w:r w:rsidRPr="008518A1">
              <w:rPr>
                <w:rFonts w:eastAsia="Times New Roman" w:cs="Times New Roman"/>
                <w:color w:val="000000"/>
                <w:sz w:val="18"/>
                <w:szCs w:val="18"/>
              </w:rPr>
              <w:t>-2</w:t>
            </w:r>
            <w:r w:rsidR="004B4075">
              <w:rPr>
                <w:rFonts w:eastAsia="Times New Roman" w:cs="Times New Roman"/>
                <w:color w:val="000000"/>
                <w:sz w:val="18"/>
                <w:szCs w:val="18"/>
              </w:rPr>
              <w:t>6</w:t>
            </w:r>
            <w:r>
              <w:rPr>
                <w:rFonts w:eastAsia="Times New Roman" w:cs="Times New Roman"/>
                <w:color w:val="000000"/>
                <w:sz w:val="18"/>
                <w:szCs w:val="18"/>
              </w:rPr>
              <w:t>,</w:t>
            </w:r>
            <w:r w:rsidR="004B4075">
              <w:rPr>
                <w:rFonts w:eastAsia="Times New Roman" w:cs="Times New Roman"/>
                <w:color w:val="000000"/>
                <w:sz w:val="18"/>
                <w:szCs w:val="18"/>
              </w:rPr>
              <w:t>704</w:t>
            </w:r>
          </w:p>
        </w:tc>
      </w:tr>
      <w:tr w14:paraId="36710B92" w14:textId="77777777" w:rsidTr="0048685E">
        <w:tblPrEx>
          <w:tblW w:w="11080" w:type="dxa"/>
          <w:jc w:val="center"/>
          <w:tblLook w:val="04A0"/>
        </w:tblPrEx>
        <w:trPr>
          <w:trHeight w:val="530"/>
          <w:jc w:val="center"/>
        </w:trPr>
        <w:tc>
          <w:tcPr>
            <w:tcW w:w="3320" w:type="dxa"/>
            <w:tcBorders>
              <w:top w:val="nil"/>
              <w:left w:val="single" w:sz="8" w:space="0" w:color="auto"/>
              <w:bottom w:val="single" w:sz="4" w:space="0" w:color="auto"/>
              <w:right w:val="single" w:sz="4" w:space="0" w:color="auto"/>
            </w:tcBorders>
            <w:shd w:val="clear" w:color="auto" w:fill="auto"/>
            <w:vAlign w:val="bottom"/>
            <w:hideMark/>
          </w:tcPr>
          <w:p w:rsidR="006958D4" w:rsidRPr="008518A1" w:rsidP="006958D4" w14:paraId="4B19BE82" w14:textId="39DFDCAF">
            <w:pPr>
              <w:jc w:val="center"/>
              <w:rPr>
                <w:rFonts w:eastAsia="Times New Roman" w:cs="Times New Roman"/>
                <w:color w:val="000000"/>
                <w:sz w:val="18"/>
                <w:szCs w:val="18"/>
              </w:rPr>
            </w:pPr>
            <w:r w:rsidRPr="008518A1">
              <w:rPr>
                <w:rFonts w:eastAsia="Times New Roman" w:cs="Times New Roman"/>
                <w:color w:val="000000"/>
                <w:sz w:val="18"/>
                <w:szCs w:val="18"/>
              </w:rPr>
              <w:t xml:space="preserve">FEMA </w:t>
            </w:r>
            <w:r w:rsidRPr="00106B5F">
              <w:rPr>
                <w:rFonts w:eastAsia="Times New Roman" w:cs="Times New Roman"/>
                <w:color w:val="000000" w:themeColor="text1"/>
                <w:sz w:val="18"/>
                <w:szCs w:val="18"/>
              </w:rPr>
              <w:t>Form FF-</w:t>
            </w:r>
            <w:r w:rsidRPr="00106B5F" w:rsidR="000D6DD3">
              <w:rPr>
                <w:rFonts w:eastAsia="Times New Roman" w:cs="Times New Roman"/>
                <w:color w:val="000000" w:themeColor="text1"/>
                <w:sz w:val="18"/>
                <w:szCs w:val="18"/>
              </w:rPr>
              <w:t>206</w:t>
            </w:r>
            <w:r w:rsidRPr="00106B5F">
              <w:rPr>
                <w:rFonts w:eastAsia="Times New Roman" w:cs="Times New Roman"/>
                <w:color w:val="000000" w:themeColor="text1"/>
                <w:sz w:val="18"/>
                <w:szCs w:val="18"/>
              </w:rPr>
              <w:t>-FY-</w:t>
            </w:r>
            <w:r w:rsidRPr="00106B5F" w:rsidR="000D6DD3">
              <w:rPr>
                <w:rFonts w:eastAsia="Times New Roman" w:cs="Times New Roman"/>
                <w:color w:val="000000" w:themeColor="text1"/>
                <w:sz w:val="18"/>
                <w:szCs w:val="18"/>
              </w:rPr>
              <w:t>24</w:t>
            </w:r>
            <w:r w:rsidRPr="00106B5F">
              <w:rPr>
                <w:rFonts w:eastAsia="Times New Roman" w:cs="Times New Roman"/>
                <w:color w:val="000000" w:themeColor="text1"/>
                <w:sz w:val="18"/>
                <w:szCs w:val="18"/>
              </w:rPr>
              <w:t>-</w:t>
            </w:r>
            <w:r w:rsidRPr="00106B5F" w:rsidR="00106B5F">
              <w:rPr>
                <w:rFonts w:eastAsia="Times New Roman" w:cs="Times New Roman"/>
                <w:color w:val="000000" w:themeColor="text1"/>
                <w:sz w:val="18"/>
                <w:szCs w:val="18"/>
              </w:rPr>
              <w:t>103</w:t>
            </w:r>
            <w:r w:rsidR="008969C8">
              <w:rPr>
                <w:rFonts w:eastAsia="Times New Roman" w:cs="Times New Roman"/>
                <w:color w:val="000000" w:themeColor="text1"/>
                <w:sz w:val="18"/>
                <w:szCs w:val="18"/>
              </w:rPr>
              <w:t>,</w:t>
            </w:r>
            <w:r w:rsidRPr="00106B5F">
              <w:rPr>
                <w:rFonts w:eastAsia="Times New Roman" w:cs="Times New Roman"/>
                <w:color w:val="000000" w:themeColor="text1"/>
                <w:sz w:val="18"/>
                <w:szCs w:val="18"/>
              </w:rPr>
              <w:t xml:space="preserve"> </w:t>
            </w:r>
            <w:r w:rsidRPr="008518A1">
              <w:rPr>
                <w:rFonts w:eastAsia="Times New Roman" w:cs="Times New Roman"/>
                <w:color w:val="000000"/>
                <w:sz w:val="18"/>
                <w:szCs w:val="18"/>
              </w:rPr>
              <w:t>e-Flood Insurance Application</w:t>
            </w:r>
          </w:p>
        </w:tc>
        <w:tc>
          <w:tcPr>
            <w:tcW w:w="1800" w:type="dxa"/>
            <w:tcBorders>
              <w:top w:val="nil"/>
              <w:left w:val="nil"/>
              <w:bottom w:val="single" w:sz="4" w:space="0" w:color="auto"/>
              <w:right w:val="single" w:sz="4" w:space="0" w:color="auto"/>
            </w:tcBorders>
            <w:shd w:val="clear" w:color="auto" w:fill="auto"/>
            <w:vAlign w:val="bottom"/>
            <w:hideMark/>
          </w:tcPr>
          <w:p w:rsidR="006958D4" w:rsidRPr="008518A1" w:rsidP="006958D4" w14:paraId="35AE6435"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6958D4" w:rsidRPr="008518A1" w:rsidP="006958D4" w14:paraId="7E471D11" w14:textId="77777777">
            <w:pPr>
              <w:jc w:val="center"/>
              <w:rPr>
                <w:rFonts w:eastAsia="Times New Roman" w:cs="Times New Roman"/>
                <w:color w:val="000000"/>
                <w:sz w:val="18"/>
                <w:szCs w:val="18"/>
              </w:rPr>
            </w:pPr>
            <w:r w:rsidRPr="008518A1">
              <w:rPr>
                <w:rFonts w:eastAsia="Times New Roman" w:cs="Times New Roman"/>
                <w:color w:val="000000"/>
                <w:sz w:val="18"/>
                <w:szCs w:val="18"/>
              </w:rPr>
              <w:t>12</w:t>
            </w:r>
          </w:p>
        </w:tc>
        <w:tc>
          <w:tcPr>
            <w:tcW w:w="1100" w:type="dxa"/>
            <w:tcBorders>
              <w:top w:val="nil"/>
              <w:left w:val="nil"/>
              <w:bottom w:val="single" w:sz="4" w:space="0" w:color="auto"/>
              <w:right w:val="single" w:sz="4" w:space="0" w:color="auto"/>
            </w:tcBorders>
            <w:shd w:val="clear" w:color="auto" w:fill="auto"/>
            <w:vAlign w:val="bottom"/>
            <w:hideMark/>
          </w:tcPr>
          <w:p w:rsidR="006958D4" w:rsidRPr="008518A1" w:rsidP="008518A1" w14:paraId="093310E3" w14:textId="77777777">
            <w:pPr>
              <w:jc w:val="center"/>
              <w:rPr>
                <w:rFonts w:eastAsia="Times New Roman" w:cs="Times New Roman"/>
                <w:color w:val="000000"/>
                <w:sz w:val="18"/>
                <w:szCs w:val="18"/>
              </w:rPr>
            </w:pPr>
            <w:r w:rsidRPr="008518A1">
              <w:rPr>
                <w:rFonts w:eastAsia="Times New Roman" w:cs="Times New Roman"/>
                <w:color w:val="000000"/>
                <w:sz w:val="18"/>
                <w:szCs w:val="18"/>
              </w:rPr>
              <w:t>12</w:t>
            </w:r>
          </w:p>
        </w:tc>
        <w:tc>
          <w:tcPr>
            <w:tcW w:w="1530" w:type="dxa"/>
            <w:tcBorders>
              <w:top w:val="nil"/>
              <w:left w:val="nil"/>
              <w:bottom w:val="single" w:sz="4" w:space="0" w:color="auto"/>
              <w:right w:val="single" w:sz="4" w:space="0" w:color="auto"/>
            </w:tcBorders>
            <w:shd w:val="clear" w:color="auto" w:fill="auto"/>
            <w:vAlign w:val="bottom"/>
            <w:hideMark/>
          </w:tcPr>
          <w:p w:rsidR="006958D4" w:rsidRPr="008518A1" w:rsidP="006958D4" w14:paraId="071B83C0"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6958D4" w:rsidRPr="008518A1" w:rsidP="006958D4" w14:paraId="459A0177" w14:textId="77777777">
            <w:pPr>
              <w:jc w:val="center"/>
              <w:rPr>
                <w:rFonts w:eastAsia="Times New Roman" w:cs="Times New Roman"/>
                <w:color w:val="000000"/>
                <w:sz w:val="18"/>
                <w:szCs w:val="18"/>
              </w:rPr>
            </w:pPr>
            <w:r w:rsidRPr="008518A1">
              <w:rPr>
                <w:rFonts w:eastAsia="Times New Roman" w:cs="Times New Roman"/>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6958D4" w:rsidRPr="008518A1" w:rsidP="006958D4" w14:paraId="40370C38" w14:textId="77777777">
            <w:pPr>
              <w:jc w:val="right"/>
              <w:rPr>
                <w:rFonts w:eastAsia="Times New Roman" w:cs="Times New Roman"/>
                <w:color w:val="000000"/>
                <w:sz w:val="18"/>
                <w:szCs w:val="18"/>
              </w:rPr>
            </w:pPr>
            <w:r w:rsidRPr="008518A1">
              <w:rPr>
                <w:rFonts w:eastAsia="Times New Roman" w:cs="Times New Roman"/>
                <w:color w:val="000000"/>
                <w:sz w:val="18"/>
                <w:szCs w:val="18"/>
              </w:rPr>
              <w:t>0</w:t>
            </w:r>
          </w:p>
        </w:tc>
      </w:tr>
      <w:tr w14:paraId="4EBE2842" w14:textId="77777777" w:rsidTr="0048685E">
        <w:tblPrEx>
          <w:tblW w:w="11080" w:type="dxa"/>
          <w:jc w:val="center"/>
          <w:tblLook w:val="04A0"/>
        </w:tblPrEx>
        <w:trPr>
          <w:trHeight w:val="276"/>
          <w:jc w:val="center"/>
        </w:trPr>
        <w:tc>
          <w:tcPr>
            <w:tcW w:w="3320" w:type="dxa"/>
            <w:tcBorders>
              <w:top w:val="nil"/>
              <w:left w:val="single" w:sz="8" w:space="0" w:color="auto"/>
              <w:bottom w:val="single" w:sz="8" w:space="0" w:color="auto"/>
              <w:right w:val="single" w:sz="4" w:space="0" w:color="auto"/>
            </w:tcBorders>
            <w:shd w:val="clear" w:color="auto" w:fill="auto"/>
            <w:vAlign w:val="bottom"/>
            <w:hideMark/>
          </w:tcPr>
          <w:p w:rsidR="006958D4" w:rsidRPr="008518A1" w:rsidP="006958D4" w14:paraId="1699AE64" w14:textId="77777777">
            <w:pPr>
              <w:rPr>
                <w:rFonts w:eastAsia="Times New Roman" w:cs="Times New Roman"/>
                <w:b/>
                <w:bCs/>
                <w:color w:val="000000"/>
                <w:sz w:val="18"/>
                <w:szCs w:val="18"/>
              </w:rPr>
            </w:pPr>
            <w:r w:rsidRPr="008518A1">
              <w:rPr>
                <w:rFonts w:eastAsia="Times New Roman" w:cs="Times New Roman"/>
                <w:b/>
                <w:bCs/>
                <w:color w:val="000000"/>
                <w:sz w:val="18"/>
                <w:szCs w:val="18"/>
              </w:rPr>
              <w:t>Total</w:t>
            </w:r>
          </w:p>
        </w:tc>
        <w:tc>
          <w:tcPr>
            <w:tcW w:w="1800" w:type="dxa"/>
            <w:tcBorders>
              <w:top w:val="nil"/>
              <w:left w:val="nil"/>
              <w:bottom w:val="single" w:sz="8" w:space="0" w:color="auto"/>
              <w:right w:val="single" w:sz="4" w:space="0" w:color="auto"/>
            </w:tcBorders>
            <w:shd w:val="clear" w:color="auto" w:fill="auto"/>
            <w:vAlign w:val="bottom"/>
            <w:hideMark/>
          </w:tcPr>
          <w:p w:rsidR="006958D4" w:rsidRPr="008518A1" w:rsidP="006958D4" w14:paraId="20C3DFD0"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0</w:t>
            </w:r>
          </w:p>
        </w:tc>
        <w:tc>
          <w:tcPr>
            <w:tcW w:w="990" w:type="dxa"/>
            <w:tcBorders>
              <w:top w:val="nil"/>
              <w:left w:val="nil"/>
              <w:bottom w:val="single" w:sz="8" w:space="0" w:color="auto"/>
              <w:right w:val="single" w:sz="4" w:space="0" w:color="auto"/>
            </w:tcBorders>
            <w:shd w:val="clear" w:color="auto" w:fill="auto"/>
            <w:vAlign w:val="bottom"/>
            <w:hideMark/>
          </w:tcPr>
          <w:p w:rsidR="006958D4" w:rsidRPr="008518A1" w:rsidP="006958D4" w14:paraId="156DF983"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12</w:t>
            </w:r>
          </w:p>
        </w:tc>
        <w:tc>
          <w:tcPr>
            <w:tcW w:w="1100" w:type="dxa"/>
            <w:tcBorders>
              <w:top w:val="nil"/>
              <w:left w:val="nil"/>
              <w:bottom w:val="single" w:sz="8" w:space="0" w:color="auto"/>
              <w:right w:val="single" w:sz="4" w:space="0" w:color="auto"/>
            </w:tcBorders>
            <w:shd w:val="clear" w:color="auto" w:fill="auto"/>
            <w:vAlign w:val="bottom"/>
            <w:hideMark/>
          </w:tcPr>
          <w:p w:rsidR="006958D4" w:rsidRPr="008518A1" w:rsidP="00C32062" w14:paraId="3709DAC7"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12</w:t>
            </w:r>
          </w:p>
        </w:tc>
        <w:tc>
          <w:tcPr>
            <w:tcW w:w="1530" w:type="dxa"/>
            <w:tcBorders>
              <w:top w:val="nil"/>
              <w:left w:val="nil"/>
              <w:bottom w:val="single" w:sz="8" w:space="0" w:color="auto"/>
              <w:right w:val="single" w:sz="4" w:space="0" w:color="auto"/>
            </w:tcBorders>
            <w:shd w:val="clear" w:color="auto" w:fill="auto"/>
            <w:vAlign w:val="bottom"/>
            <w:hideMark/>
          </w:tcPr>
          <w:p w:rsidR="006958D4" w:rsidRPr="008518A1" w:rsidP="006958D4" w14:paraId="101AC303" w14:textId="3BA956BE">
            <w:pPr>
              <w:jc w:val="center"/>
              <w:rPr>
                <w:rFonts w:eastAsia="Times New Roman" w:cs="Times New Roman"/>
                <w:b/>
                <w:bCs/>
                <w:color w:val="000000"/>
                <w:sz w:val="18"/>
                <w:szCs w:val="18"/>
              </w:rPr>
            </w:pPr>
            <w:r w:rsidRPr="008518A1">
              <w:rPr>
                <w:rFonts w:eastAsia="Times New Roman" w:cs="Times New Roman"/>
                <w:b/>
                <w:bCs/>
                <w:color w:val="000000"/>
                <w:sz w:val="18"/>
                <w:szCs w:val="18"/>
              </w:rPr>
              <w:t>51</w:t>
            </w:r>
            <w:r w:rsidR="00C32062">
              <w:rPr>
                <w:rFonts w:eastAsia="Times New Roman" w:cs="Times New Roman"/>
                <w:b/>
                <w:bCs/>
                <w:color w:val="000000"/>
                <w:sz w:val="18"/>
                <w:szCs w:val="18"/>
              </w:rPr>
              <w:t>,</w:t>
            </w:r>
            <w:r w:rsidRPr="008518A1">
              <w:rPr>
                <w:rFonts w:eastAsia="Times New Roman" w:cs="Times New Roman"/>
                <w:b/>
                <w:bCs/>
                <w:color w:val="000000"/>
                <w:sz w:val="18"/>
                <w:szCs w:val="18"/>
              </w:rPr>
              <w:t>628</w:t>
            </w:r>
          </w:p>
        </w:tc>
        <w:tc>
          <w:tcPr>
            <w:tcW w:w="1260" w:type="dxa"/>
            <w:tcBorders>
              <w:top w:val="nil"/>
              <w:left w:val="nil"/>
              <w:bottom w:val="single" w:sz="8" w:space="0" w:color="auto"/>
              <w:right w:val="single" w:sz="4" w:space="0" w:color="auto"/>
            </w:tcBorders>
            <w:shd w:val="clear" w:color="auto" w:fill="auto"/>
            <w:vAlign w:val="bottom"/>
            <w:hideMark/>
          </w:tcPr>
          <w:p w:rsidR="006958D4" w:rsidRPr="008518A1" w:rsidP="006958D4" w14:paraId="6DB7FED6" w14:textId="27C3A8A2">
            <w:pPr>
              <w:jc w:val="center"/>
              <w:rPr>
                <w:rFonts w:eastAsia="Times New Roman" w:cs="Times New Roman"/>
                <w:b/>
                <w:bCs/>
                <w:color w:val="000000"/>
                <w:sz w:val="18"/>
                <w:szCs w:val="18"/>
              </w:rPr>
            </w:pPr>
            <w:r w:rsidRPr="008518A1">
              <w:rPr>
                <w:rFonts w:eastAsia="Times New Roman" w:cs="Times New Roman"/>
                <w:b/>
                <w:bCs/>
                <w:color w:val="000000"/>
                <w:sz w:val="18"/>
                <w:szCs w:val="18"/>
              </w:rPr>
              <w:t>28</w:t>
            </w:r>
            <w:r w:rsidR="00C32062">
              <w:rPr>
                <w:rFonts w:eastAsia="Times New Roman" w:cs="Times New Roman"/>
                <w:b/>
                <w:bCs/>
                <w:color w:val="000000"/>
                <w:sz w:val="18"/>
                <w:szCs w:val="18"/>
              </w:rPr>
              <w:t>,</w:t>
            </w:r>
            <w:r w:rsidR="004B4075">
              <w:rPr>
                <w:rFonts w:eastAsia="Times New Roman" w:cs="Times New Roman"/>
                <w:b/>
                <w:bCs/>
                <w:color w:val="000000"/>
                <w:sz w:val="18"/>
                <w:szCs w:val="18"/>
              </w:rPr>
              <w:t>630</w:t>
            </w:r>
          </w:p>
        </w:tc>
        <w:tc>
          <w:tcPr>
            <w:tcW w:w="1080" w:type="dxa"/>
            <w:tcBorders>
              <w:top w:val="nil"/>
              <w:left w:val="nil"/>
              <w:bottom w:val="single" w:sz="8" w:space="0" w:color="auto"/>
              <w:right w:val="single" w:sz="4" w:space="0" w:color="auto"/>
            </w:tcBorders>
            <w:shd w:val="clear" w:color="auto" w:fill="auto"/>
            <w:vAlign w:val="bottom"/>
            <w:hideMark/>
          </w:tcPr>
          <w:p w:rsidR="006958D4" w:rsidRPr="008518A1" w:rsidP="006958D4" w14:paraId="46B85326" w14:textId="1FEFCF37">
            <w:pPr>
              <w:jc w:val="center"/>
              <w:rPr>
                <w:rFonts w:eastAsia="Times New Roman" w:cs="Times New Roman"/>
                <w:b/>
                <w:bCs/>
                <w:color w:val="000000"/>
                <w:sz w:val="18"/>
                <w:szCs w:val="18"/>
              </w:rPr>
            </w:pPr>
            <w:r w:rsidRPr="008518A1">
              <w:rPr>
                <w:rFonts w:eastAsia="Times New Roman" w:cs="Times New Roman"/>
                <w:b/>
                <w:bCs/>
                <w:color w:val="000000"/>
                <w:sz w:val="18"/>
                <w:szCs w:val="18"/>
              </w:rPr>
              <w:t>-2</w:t>
            </w:r>
            <w:r w:rsidR="004B4075">
              <w:rPr>
                <w:rFonts w:eastAsia="Times New Roman" w:cs="Times New Roman"/>
                <w:b/>
                <w:bCs/>
                <w:color w:val="000000"/>
                <w:sz w:val="18"/>
                <w:szCs w:val="18"/>
              </w:rPr>
              <w:t>2</w:t>
            </w:r>
            <w:r w:rsidR="00C32062">
              <w:rPr>
                <w:rFonts w:eastAsia="Times New Roman" w:cs="Times New Roman"/>
                <w:b/>
                <w:bCs/>
                <w:color w:val="000000"/>
                <w:sz w:val="18"/>
                <w:szCs w:val="18"/>
              </w:rPr>
              <w:t>,</w:t>
            </w:r>
            <w:r w:rsidR="004B4075">
              <w:rPr>
                <w:rFonts w:eastAsia="Times New Roman" w:cs="Times New Roman"/>
                <w:b/>
                <w:bCs/>
                <w:color w:val="000000"/>
                <w:sz w:val="18"/>
                <w:szCs w:val="18"/>
              </w:rPr>
              <w:t>998</w:t>
            </w:r>
          </w:p>
        </w:tc>
      </w:tr>
    </w:tbl>
    <w:p w:rsidR="006958D4" w:rsidRPr="00C32062" w:rsidP="008518A1" w14:paraId="030CAF75" w14:textId="0AB21B70">
      <w:pPr>
        <w:spacing w:line="276" w:lineRule="auto"/>
        <w:contextualSpacing/>
        <w:rPr>
          <w:szCs w:val="24"/>
        </w:rPr>
      </w:pPr>
    </w:p>
    <w:p w:rsidR="00002624" w:rsidP="00C32062" w14:paraId="6EA6C2A9" w14:textId="47049B95">
      <w:pPr>
        <w:pStyle w:val="ListParagraph"/>
        <w:spacing w:line="276" w:lineRule="auto"/>
        <w:rPr>
          <w:szCs w:val="24"/>
        </w:rPr>
      </w:pPr>
      <w:r w:rsidRPr="00C32062">
        <w:rPr>
          <w:b/>
          <w:bCs/>
          <w:i/>
          <w:iCs/>
          <w:szCs w:val="24"/>
        </w:rPr>
        <w:t>Explain:</w:t>
      </w:r>
      <w:r w:rsidRPr="00C32062">
        <w:rPr>
          <w:szCs w:val="24"/>
        </w:rPr>
        <w:t xml:space="preserve">  </w:t>
      </w:r>
      <w:r w:rsidR="00DC336E">
        <w:rPr>
          <w:szCs w:val="24"/>
        </w:rPr>
        <w:t xml:space="preserve">There is an overall reduction of </w:t>
      </w:r>
      <w:r w:rsidR="00503E22">
        <w:rPr>
          <w:szCs w:val="24"/>
        </w:rPr>
        <w:t>22</w:t>
      </w:r>
      <w:r w:rsidR="008734FC">
        <w:rPr>
          <w:szCs w:val="24"/>
        </w:rPr>
        <w:t>,</w:t>
      </w:r>
      <w:r w:rsidR="00BD5B60">
        <w:rPr>
          <w:szCs w:val="24"/>
        </w:rPr>
        <w:t xml:space="preserve">986 burden hours in this collection.  Two instruments </w:t>
      </w:r>
      <w:r w:rsidR="002759A8">
        <w:rPr>
          <w:szCs w:val="24"/>
        </w:rPr>
        <w:t xml:space="preserve">had a reduction in the expected number of respondents </w:t>
      </w:r>
      <w:r w:rsidR="00843899">
        <w:rPr>
          <w:szCs w:val="24"/>
        </w:rPr>
        <w:t xml:space="preserve">based on a decrease in the number of instruments </w:t>
      </w:r>
      <w:r w:rsidR="00F3089E">
        <w:rPr>
          <w:szCs w:val="24"/>
        </w:rPr>
        <w:t xml:space="preserve">submitted lead to a </w:t>
      </w:r>
      <w:r w:rsidR="00370CD9">
        <w:rPr>
          <w:szCs w:val="24"/>
        </w:rPr>
        <w:t xml:space="preserve">29,151 burden hour reduction (-2,447 + -26,704 = -29,151).  That reduction is </w:t>
      </w:r>
      <w:r w:rsidR="0078503D">
        <w:rPr>
          <w:szCs w:val="24"/>
        </w:rPr>
        <w:t xml:space="preserve">mitigated by an increase in the number </w:t>
      </w:r>
      <w:r w:rsidR="00E02ED9">
        <w:rPr>
          <w:szCs w:val="24"/>
        </w:rPr>
        <w:t xml:space="preserve">of respondents for a third instrument and the addition of a fourth </w:t>
      </w:r>
      <w:r w:rsidR="00E34AA0">
        <w:rPr>
          <w:szCs w:val="24"/>
        </w:rPr>
        <w:t>instrument to the collection</w:t>
      </w:r>
      <w:r w:rsidR="00627C87">
        <w:rPr>
          <w:szCs w:val="24"/>
        </w:rPr>
        <w:t xml:space="preserve"> leading to a 6,165 burden hour increase</w:t>
      </w:r>
      <w:r w:rsidR="00C32B2D">
        <w:rPr>
          <w:szCs w:val="24"/>
        </w:rPr>
        <w:t xml:space="preserve"> (6,153 + 12= 6,165) and the overall reduction of 22,986 burden hours (</w:t>
      </w:r>
      <w:r w:rsidR="00E9540A">
        <w:rPr>
          <w:szCs w:val="24"/>
        </w:rPr>
        <w:t>-29,151 + 6,165)</w:t>
      </w:r>
      <w:r w:rsidR="002F1B6D">
        <w:rPr>
          <w:szCs w:val="24"/>
        </w:rPr>
        <w:t>.</w:t>
      </w:r>
    </w:p>
    <w:p w:rsidR="00002624" w:rsidP="00C32062" w14:paraId="6802CD67" w14:textId="77777777">
      <w:pPr>
        <w:pStyle w:val="ListParagraph"/>
        <w:spacing w:line="276" w:lineRule="auto"/>
        <w:rPr>
          <w:szCs w:val="24"/>
        </w:rPr>
      </w:pPr>
    </w:p>
    <w:p w:rsidR="00AA2DD8" w:rsidRPr="00C32062" w:rsidP="00C32062" w14:paraId="67E04ACA" w14:textId="00E41C6E">
      <w:pPr>
        <w:pStyle w:val="ListParagraph"/>
        <w:spacing w:line="276" w:lineRule="auto"/>
        <w:rPr>
          <w:szCs w:val="24"/>
        </w:rPr>
      </w:pPr>
      <w:r w:rsidRPr="00C32062">
        <w:rPr>
          <w:szCs w:val="24"/>
        </w:rPr>
        <w:t>FEMA Form FF-206-FY-21-117 (formerly 086-0-1)</w:t>
      </w:r>
      <w:r w:rsidR="0049336B">
        <w:rPr>
          <w:szCs w:val="24"/>
        </w:rPr>
        <w:t xml:space="preserve">, Flood Insurance </w:t>
      </w:r>
      <w:r w:rsidRPr="00C32062">
        <w:rPr>
          <w:szCs w:val="24"/>
        </w:rPr>
        <w:t xml:space="preserve">Application – The burden hours increased by 6,153 based on the increased number of applications submitted (9,965 – 3,812 = 6,153). </w:t>
      </w:r>
      <w:r w:rsidR="008969C8">
        <w:rPr>
          <w:szCs w:val="24"/>
        </w:rPr>
        <w:t xml:space="preserve"> </w:t>
      </w:r>
    </w:p>
    <w:p w:rsidR="00AA2DD8" w:rsidRPr="00C32062" w:rsidP="008518A1" w14:paraId="22A21DFF" w14:textId="77777777">
      <w:pPr>
        <w:spacing w:line="276" w:lineRule="auto"/>
        <w:contextualSpacing/>
        <w:rPr>
          <w:szCs w:val="24"/>
        </w:rPr>
      </w:pPr>
    </w:p>
    <w:p w:rsidR="00AA2DD8" w:rsidRPr="00C32062" w:rsidP="00C32062" w14:paraId="406587B8" w14:textId="0895C0D2">
      <w:pPr>
        <w:pStyle w:val="ListParagraph"/>
        <w:spacing w:line="276" w:lineRule="auto"/>
        <w:rPr>
          <w:szCs w:val="24"/>
        </w:rPr>
      </w:pPr>
      <w:r w:rsidRPr="00C32062">
        <w:rPr>
          <w:szCs w:val="24"/>
        </w:rPr>
        <w:t>FEMA Form FF-206-FY-21-118 (formerly 086-0-2)</w:t>
      </w:r>
      <w:r w:rsidR="0049336B">
        <w:rPr>
          <w:szCs w:val="24"/>
        </w:rPr>
        <w:t xml:space="preserve">, Flood Insurance </w:t>
      </w:r>
      <w:r w:rsidRPr="00C32062">
        <w:rPr>
          <w:szCs w:val="24"/>
        </w:rPr>
        <w:t>Cancellation</w:t>
      </w:r>
      <w:r w:rsidR="0049336B">
        <w:rPr>
          <w:szCs w:val="24"/>
        </w:rPr>
        <w:t>/Nullification Request</w:t>
      </w:r>
      <w:r w:rsidRPr="00C32062">
        <w:rPr>
          <w:szCs w:val="24"/>
        </w:rPr>
        <w:t xml:space="preserve"> </w:t>
      </w:r>
      <w:r w:rsidR="0049336B">
        <w:rPr>
          <w:szCs w:val="24"/>
        </w:rPr>
        <w:t xml:space="preserve">Form </w:t>
      </w:r>
      <w:r w:rsidRPr="00C32062">
        <w:rPr>
          <w:szCs w:val="24"/>
        </w:rPr>
        <w:t xml:space="preserve">– The burden hours decreased by 2,447 based on the decreased number of cancellation forms submitted (4,645 – 2,198 = 2,447). </w:t>
      </w:r>
      <w:r w:rsidR="008969C8">
        <w:rPr>
          <w:szCs w:val="24"/>
        </w:rPr>
        <w:t xml:space="preserve"> </w:t>
      </w:r>
    </w:p>
    <w:p w:rsidR="00AA2DD8" w:rsidRPr="00C32062" w:rsidP="008518A1" w14:paraId="12146DA5" w14:textId="77777777">
      <w:pPr>
        <w:spacing w:line="276" w:lineRule="auto"/>
        <w:contextualSpacing/>
        <w:rPr>
          <w:szCs w:val="24"/>
        </w:rPr>
      </w:pPr>
    </w:p>
    <w:p w:rsidR="00AA2DD8" w:rsidRPr="00C32062" w:rsidP="00C32062" w14:paraId="34BF1794" w14:textId="27590B9E">
      <w:pPr>
        <w:pStyle w:val="ListParagraph"/>
        <w:spacing w:line="276" w:lineRule="auto"/>
        <w:rPr>
          <w:szCs w:val="24"/>
        </w:rPr>
      </w:pPr>
      <w:r w:rsidRPr="00C32062">
        <w:rPr>
          <w:szCs w:val="24"/>
        </w:rPr>
        <w:t>FEMA Form FF-206-FY-21-119 (formerly 086-0-3)</w:t>
      </w:r>
      <w:r w:rsidR="0049336B">
        <w:rPr>
          <w:szCs w:val="24"/>
        </w:rPr>
        <w:t xml:space="preserve">, Flood Insurance General Change </w:t>
      </w:r>
      <w:r w:rsidRPr="00C32062">
        <w:rPr>
          <w:szCs w:val="24"/>
        </w:rPr>
        <w:t>Endorsement – The burden houses decreased by 2</w:t>
      </w:r>
      <w:r w:rsidR="004B4075">
        <w:rPr>
          <w:szCs w:val="24"/>
        </w:rPr>
        <w:t>6</w:t>
      </w:r>
      <w:r w:rsidRPr="00C32062">
        <w:rPr>
          <w:szCs w:val="24"/>
        </w:rPr>
        <w:t>,</w:t>
      </w:r>
      <w:r w:rsidR="004B4075">
        <w:rPr>
          <w:szCs w:val="24"/>
        </w:rPr>
        <w:t>704</w:t>
      </w:r>
      <w:r w:rsidRPr="00C32062">
        <w:rPr>
          <w:szCs w:val="24"/>
        </w:rPr>
        <w:t xml:space="preserve"> based on the decreased number of endorsement forms submitted (16,</w:t>
      </w:r>
      <w:r w:rsidR="004B4075">
        <w:rPr>
          <w:szCs w:val="24"/>
        </w:rPr>
        <w:t>467</w:t>
      </w:r>
      <w:r w:rsidRPr="00C32062">
        <w:rPr>
          <w:szCs w:val="24"/>
        </w:rPr>
        <w:t xml:space="preserve"> – 43,171 = -2</w:t>
      </w:r>
      <w:r w:rsidR="004B4075">
        <w:rPr>
          <w:szCs w:val="24"/>
        </w:rPr>
        <w:t>6</w:t>
      </w:r>
      <w:r w:rsidRPr="00C32062">
        <w:rPr>
          <w:szCs w:val="24"/>
        </w:rPr>
        <w:t>,</w:t>
      </w:r>
      <w:r w:rsidR="004B4075">
        <w:rPr>
          <w:szCs w:val="24"/>
        </w:rPr>
        <w:t>704</w:t>
      </w:r>
      <w:r w:rsidRPr="00C32062">
        <w:rPr>
          <w:szCs w:val="24"/>
        </w:rPr>
        <w:t xml:space="preserve">). </w:t>
      </w:r>
      <w:r w:rsidR="008969C8">
        <w:rPr>
          <w:szCs w:val="24"/>
        </w:rPr>
        <w:t xml:space="preserve"> </w:t>
      </w:r>
    </w:p>
    <w:p w:rsidR="00AA2DD8" w:rsidRPr="00C32062" w:rsidP="008518A1" w14:paraId="21F84AEE" w14:textId="77777777">
      <w:pPr>
        <w:spacing w:line="276" w:lineRule="auto"/>
        <w:contextualSpacing/>
        <w:rPr>
          <w:szCs w:val="24"/>
        </w:rPr>
      </w:pPr>
    </w:p>
    <w:p w:rsidR="002D3CCF" w:rsidRPr="00C32062" w:rsidP="00C32062" w14:paraId="04CF2E94" w14:textId="1EB97C75">
      <w:pPr>
        <w:pStyle w:val="ListParagraph"/>
        <w:spacing w:line="276" w:lineRule="auto"/>
        <w:rPr>
          <w:szCs w:val="24"/>
        </w:rPr>
      </w:pPr>
      <w:r w:rsidRPr="00C32062">
        <w:rPr>
          <w:szCs w:val="24"/>
        </w:rPr>
        <w:t xml:space="preserve">FEMA </w:t>
      </w:r>
      <w:r w:rsidRPr="00106B5F">
        <w:rPr>
          <w:color w:val="000000" w:themeColor="text1"/>
          <w:szCs w:val="24"/>
        </w:rPr>
        <w:t>Form FF-</w:t>
      </w:r>
      <w:r w:rsidRPr="00106B5F" w:rsidR="000D6DD3">
        <w:rPr>
          <w:color w:val="000000" w:themeColor="text1"/>
          <w:szCs w:val="24"/>
        </w:rPr>
        <w:t>206</w:t>
      </w:r>
      <w:r w:rsidRPr="00106B5F">
        <w:rPr>
          <w:color w:val="000000" w:themeColor="text1"/>
          <w:szCs w:val="24"/>
        </w:rPr>
        <w:t>-FY-</w:t>
      </w:r>
      <w:r w:rsidRPr="00106B5F" w:rsidR="000D6DD3">
        <w:rPr>
          <w:color w:val="000000" w:themeColor="text1"/>
          <w:szCs w:val="24"/>
        </w:rPr>
        <w:t>24</w:t>
      </w:r>
      <w:r w:rsidRPr="00106B5F">
        <w:rPr>
          <w:color w:val="000000" w:themeColor="text1"/>
          <w:szCs w:val="24"/>
        </w:rPr>
        <w:t>-</w:t>
      </w:r>
      <w:r w:rsidRPr="00106B5F" w:rsidR="00106B5F">
        <w:rPr>
          <w:color w:val="000000" w:themeColor="text1"/>
          <w:szCs w:val="24"/>
        </w:rPr>
        <w:t>103</w:t>
      </w:r>
      <w:r w:rsidRPr="00106B5F">
        <w:rPr>
          <w:color w:val="000000" w:themeColor="text1"/>
          <w:szCs w:val="24"/>
        </w:rPr>
        <w:t xml:space="preserve">, e-Flood </w:t>
      </w:r>
      <w:r w:rsidRPr="00C32062">
        <w:rPr>
          <w:szCs w:val="24"/>
        </w:rPr>
        <w:t>Insurance Application – The burden hours for this new form are estimated to be 12 hours (100 x 0.</w:t>
      </w:r>
      <w:r w:rsidR="00106B5F">
        <w:rPr>
          <w:szCs w:val="24"/>
        </w:rPr>
        <w:t>1167</w:t>
      </w:r>
      <w:r w:rsidRPr="00C32062">
        <w:rPr>
          <w:szCs w:val="24"/>
        </w:rPr>
        <w:t xml:space="preserve"> = </w:t>
      </w:r>
      <w:r w:rsidR="00106B5F">
        <w:rPr>
          <w:szCs w:val="24"/>
        </w:rPr>
        <w:t xml:space="preserve">11.67, rounded up to </w:t>
      </w:r>
      <w:r w:rsidRPr="00C32062">
        <w:rPr>
          <w:szCs w:val="24"/>
        </w:rPr>
        <w:t>12).</w:t>
      </w:r>
    </w:p>
    <w:p w:rsidR="00B9477D" w14:paraId="56606F2B" w14:textId="77777777">
      <w:pPr>
        <w:rPr>
          <w:szCs w:val="24"/>
        </w:rPr>
      </w:pPr>
      <w:r>
        <w:rPr>
          <w:szCs w:val="24"/>
        </w:rPr>
        <w:br w:type="page"/>
      </w:r>
    </w:p>
    <w:p w:rsidR="003817D8" w:rsidRPr="00C32062" w:rsidP="00C32062" w14:paraId="1853CC6D" w14:textId="0699D36A">
      <w:pPr>
        <w:spacing w:line="276" w:lineRule="auto"/>
        <w:contextualSpacing/>
        <w:rPr>
          <w:szCs w:val="24"/>
        </w:rPr>
      </w:pPr>
    </w:p>
    <w:tbl>
      <w:tblPr>
        <w:tblW w:w="10990" w:type="dxa"/>
        <w:jc w:val="center"/>
        <w:tblLook w:val="04A0"/>
      </w:tblPr>
      <w:tblGrid>
        <w:gridCol w:w="3056"/>
        <w:gridCol w:w="1450"/>
        <w:gridCol w:w="1152"/>
        <w:gridCol w:w="1053"/>
        <w:gridCol w:w="1314"/>
        <w:gridCol w:w="1238"/>
        <w:gridCol w:w="1727"/>
      </w:tblGrid>
      <w:tr w14:paraId="454013B1" w14:textId="77777777" w:rsidTr="0048685E">
        <w:tblPrEx>
          <w:tblW w:w="10990" w:type="dxa"/>
          <w:jc w:val="center"/>
          <w:tblLook w:val="04A0"/>
        </w:tblPrEx>
        <w:trPr>
          <w:trHeight w:val="288"/>
          <w:jc w:val="center"/>
        </w:trPr>
        <w:tc>
          <w:tcPr>
            <w:tcW w:w="1099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6958D4" w:rsidRPr="006958D4" w:rsidP="006958D4" w14:paraId="1A2980D4" w14:textId="77777777">
            <w:pPr>
              <w:jc w:val="center"/>
              <w:rPr>
                <w:rFonts w:eastAsia="Times New Roman" w:cs="Times New Roman"/>
                <w:b/>
                <w:bCs/>
                <w:color w:val="000000"/>
                <w:sz w:val="20"/>
                <w:szCs w:val="20"/>
              </w:rPr>
            </w:pPr>
            <w:r w:rsidRPr="006958D4">
              <w:rPr>
                <w:rFonts w:eastAsia="Times New Roman" w:cs="Times New Roman"/>
                <w:b/>
                <w:bCs/>
                <w:color w:val="000000"/>
                <w:sz w:val="20"/>
                <w:szCs w:val="20"/>
              </w:rPr>
              <w:t>Itemized Changes in Annual Cost Burden</w:t>
            </w:r>
          </w:p>
        </w:tc>
      </w:tr>
      <w:tr w14:paraId="6835F21F" w14:textId="77777777" w:rsidTr="002423E9">
        <w:tblPrEx>
          <w:tblW w:w="10990" w:type="dxa"/>
          <w:jc w:val="center"/>
          <w:tblLook w:val="04A0"/>
        </w:tblPrEx>
        <w:trPr>
          <w:trHeight w:val="638"/>
          <w:jc w:val="center"/>
        </w:trPr>
        <w:tc>
          <w:tcPr>
            <w:tcW w:w="3056" w:type="dxa"/>
            <w:tcBorders>
              <w:top w:val="nil"/>
              <w:left w:val="single" w:sz="8" w:space="0" w:color="auto"/>
              <w:bottom w:val="single" w:sz="4" w:space="0" w:color="auto"/>
              <w:right w:val="single" w:sz="4" w:space="0" w:color="auto"/>
            </w:tcBorders>
            <w:shd w:val="clear" w:color="000000" w:fill="95B3D7"/>
            <w:vAlign w:val="bottom"/>
            <w:hideMark/>
          </w:tcPr>
          <w:p w:rsidR="006958D4" w:rsidRPr="008518A1" w:rsidP="006958D4" w14:paraId="46403C80"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Data Collection Activity/Instrument</w:t>
            </w:r>
          </w:p>
        </w:tc>
        <w:tc>
          <w:tcPr>
            <w:tcW w:w="1450" w:type="dxa"/>
            <w:tcBorders>
              <w:top w:val="nil"/>
              <w:left w:val="nil"/>
              <w:bottom w:val="single" w:sz="4" w:space="0" w:color="auto"/>
              <w:right w:val="single" w:sz="4" w:space="0" w:color="auto"/>
            </w:tcBorders>
            <w:shd w:val="clear" w:color="000000" w:fill="95B3D7"/>
            <w:vAlign w:val="bottom"/>
            <w:hideMark/>
          </w:tcPr>
          <w:p w:rsidR="006958D4" w:rsidRPr="008518A1" w:rsidP="006958D4" w14:paraId="295DD41E"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Program Change (cost currently on OMB Inventory)</w:t>
            </w:r>
          </w:p>
        </w:tc>
        <w:tc>
          <w:tcPr>
            <w:tcW w:w="1152" w:type="dxa"/>
            <w:tcBorders>
              <w:top w:val="nil"/>
              <w:left w:val="nil"/>
              <w:bottom w:val="single" w:sz="4" w:space="0" w:color="auto"/>
              <w:right w:val="single" w:sz="4" w:space="0" w:color="auto"/>
            </w:tcBorders>
            <w:shd w:val="clear" w:color="000000" w:fill="95B3D7"/>
            <w:vAlign w:val="bottom"/>
            <w:hideMark/>
          </w:tcPr>
          <w:p w:rsidR="006958D4" w:rsidRPr="008518A1" w:rsidP="006958D4" w14:paraId="0F9F3FAB"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Program Change (New)</w:t>
            </w:r>
          </w:p>
        </w:tc>
        <w:tc>
          <w:tcPr>
            <w:tcW w:w="1053" w:type="dxa"/>
            <w:tcBorders>
              <w:top w:val="nil"/>
              <w:left w:val="nil"/>
              <w:bottom w:val="single" w:sz="4" w:space="0" w:color="auto"/>
              <w:right w:val="single" w:sz="4" w:space="0" w:color="auto"/>
            </w:tcBorders>
            <w:shd w:val="clear" w:color="000000" w:fill="95B3D7"/>
            <w:vAlign w:val="bottom"/>
            <w:hideMark/>
          </w:tcPr>
          <w:p w:rsidR="006958D4" w:rsidRPr="008518A1" w:rsidP="006958D4" w14:paraId="6B5A4282"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Difference</w:t>
            </w:r>
          </w:p>
        </w:tc>
        <w:tc>
          <w:tcPr>
            <w:tcW w:w="1314" w:type="dxa"/>
            <w:tcBorders>
              <w:top w:val="nil"/>
              <w:left w:val="nil"/>
              <w:bottom w:val="single" w:sz="4" w:space="0" w:color="auto"/>
              <w:right w:val="single" w:sz="4" w:space="0" w:color="auto"/>
            </w:tcBorders>
            <w:shd w:val="clear" w:color="000000" w:fill="95B3D7"/>
            <w:vAlign w:val="bottom"/>
            <w:hideMark/>
          </w:tcPr>
          <w:p w:rsidR="006958D4" w:rsidRPr="008518A1" w:rsidP="006958D4" w14:paraId="00B668B2"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Adjustment (cost currently on OMB Inventory)</w:t>
            </w:r>
          </w:p>
        </w:tc>
        <w:tc>
          <w:tcPr>
            <w:tcW w:w="1238" w:type="dxa"/>
            <w:tcBorders>
              <w:top w:val="nil"/>
              <w:left w:val="nil"/>
              <w:bottom w:val="single" w:sz="4" w:space="0" w:color="auto"/>
              <w:right w:val="single" w:sz="4" w:space="0" w:color="auto"/>
            </w:tcBorders>
            <w:shd w:val="clear" w:color="000000" w:fill="95B3D7"/>
            <w:vAlign w:val="bottom"/>
            <w:hideMark/>
          </w:tcPr>
          <w:p w:rsidR="006958D4" w:rsidRPr="008518A1" w:rsidP="006958D4" w14:paraId="70DB24B1"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Adjustment (New)</w:t>
            </w:r>
          </w:p>
        </w:tc>
        <w:tc>
          <w:tcPr>
            <w:tcW w:w="1727" w:type="dxa"/>
            <w:tcBorders>
              <w:top w:val="nil"/>
              <w:left w:val="nil"/>
              <w:bottom w:val="single" w:sz="4" w:space="0" w:color="auto"/>
              <w:right w:val="single" w:sz="8" w:space="0" w:color="auto"/>
            </w:tcBorders>
            <w:shd w:val="clear" w:color="000000" w:fill="95B3D7"/>
            <w:vAlign w:val="bottom"/>
            <w:hideMark/>
          </w:tcPr>
          <w:p w:rsidR="006958D4" w:rsidRPr="008518A1" w:rsidP="006958D4" w14:paraId="221B84B4" w14:textId="77777777">
            <w:pPr>
              <w:jc w:val="center"/>
              <w:rPr>
                <w:rFonts w:eastAsia="Times New Roman" w:cs="Times New Roman"/>
                <w:b/>
                <w:bCs/>
                <w:color w:val="000000"/>
                <w:sz w:val="18"/>
                <w:szCs w:val="18"/>
              </w:rPr>
            </w:pPr>
            <w:r w:rsidRPr="008518A1">
              <w:rPr>
                <w:rFonts w:eastAsia="Times New Roman" w:cs="Times New Roman"/>
                <w:b/>
                <w:bCs/>
                <w:color w:val="000000"/>
                <w:sz w:val="18"/>
                <w:szCs w:val="18"/>
              </w:rPr>
              <w:t>Difference</w:t>
            </w:r>
          </w:p>
        </w:tc>
      </w:tr>
      <w:tr w14:paraId="59EF14BB" w14:textId="77777777" w:rsidTr="004521DF">
        <w:tblPrEx>
          <w:tblW w:w="10990" w:type="dxa"/>
          <w:jc w:val="center"/>
          <w:tblLook w:val="04A0"/>
        </w:tblPrEx>
        <w:trPr>
          <w:trHeight w:val="692"/>
          <w:jc w:val="center"/>
        </w:trPr>
        <w:tc>
          <w:tcPr>
            <w:tcW w:w="3056" w:type="dxa"/>
            <w:tcBorders>
              <w:top w:val="single" w:sz="4" w:space="0" w:color="auto"/>
              <w:left w:val="single" w:sz="4" w:space="0" w:color="auto"/>
              <w:bottom w:val="single" w:sz="4" w:space="0" w:color="auto"/>
              <w:right w:val="nil"/>
            </w:tcBorders>
            <w:shd w:val="clear" w:color="auto" w:fill="auto"/>
            <w:vAlign w:val="bottom"/>
            <w:hideMark/>
          </w:tcPr>
          <w:p w:rsidR="00D86A3B" w:rsidRPr="008518A1" w:rsidP="00D86A3B" w14:paraId="7181670F" w14:textId="7037CC49">
            <w:pPr>
              <w:jc w:val="center"/>
              <w:rPr>
                <w:rFonts w:eastAsia="Times New Roman" w:cs="Times New Roman"/>
                <w:color w:val="000000"/>
                <w:sz w:val="18"/>
                <w:szCs w:val="18"/>
              </w:rPr>
            </w:pPr>
            <w:r w:rsidRPr="008518A1">
              <w:rPr>
                <w:rFonts w:eastAsia="Times New Roman" w:cs="Times New Roman"/>
                <w:color w:val="000000"/>
                <w:sz w:val="18"/>
                <w:szCs w:val="18"/>
              </w:rPr>
              <w:t xml:space="preserve">FEMA Form FF-206-FY-21-117 (formerly 086-0-1), </w:t>
            </w:r>
            <w:r>
              <w:rPr>
                <w:rFonts w:eastAsia="Times New Roman" w:cs="Times New Roman"/>
                <w:color w:val="000000"/>
                <w:sz w:val="18"/>
                <w:szCs w:val="18"/>
              </w:rPr>
              <w:t xml:space="preserve">Flood Insurance </w:t>
            </w:r>
            <w:r w:rsidRPr="008518A1">
              <w:rPr>
                <w:rFonts w:eastAsia="Times New Roman" w:cs="Times New Roman"/>
                <w:color w:val="000000"/>
                <w:sz w:val="18"/>
                <w:szCs w:val="18"/>
              </w:rPr>
              <w:t>Application</w:t>
            </w:r>
          </w:p>
        </w:tc>
        <w:tc>
          <w:tcPr>
            <w:tcW w:w="1450" w:type="dxa"/>
            <w:tcBorders>
              <w:top w:val="nil"/>
              <w:left w:val="single" w:sz="4" w:space="0" w:color="auto"/>
              <w:bottom w:val="single" w:sz="4" w:space="0" w:color="auto"/>
              <w:right w:val="single" w:sz="4" w:space="0" w:color="auto"/>
            </w:tcBorders>
            <w:shd w:val="clear" w:color="auto" w:fill="auto"/>
            <w:vAlign w:val="bottom"/>
            <w:hideMark/>
          </w:tcPr>
          <w:p w:rsidR="00D86A3B" w:rsidRPr="008518A1" w:rsidP="00D86A3B" w14:paraId="0C5B9048" w14:textId="322704A8">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152" w:type="dxa"/>
            <w:tcBorders>
              <w:top w:val="nil"/>
              <w:left w:val="nil"/>
              <w:bottom w:val="single" w:sz="4" w:space="0" w:color="auto"/>
              <w:right w:val="single" w:sz="4" w:space="0" w:color="auto"/>
            </w:tcBorders>
            <w:shd w:val="clear" w:color="auto" w:fill="auto"/>
            <w:vAlign w:val="bottom"/>
            <w:hideMark/>
          </w:tcPr>
          <w:p w:rsidR="00D86A3B" w:rsidRPr="008518A1" w:rsidP="00D86A3B" w14:paraId="2FBAC7F0" w14:textId="21DACF90">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053" w:type="dxa"/>
            <w:tcBorders>
              <w:top w:val="nil"/>
              <w:left w:val="nil"/>
              <w:bottom w:val="single" w:sz="4" w:space="0" w:color="auto"/>
              <w:right w:val="single" w:sz="8" w:space="0" w:color="auto"/>
            </w:tcBorders>
            <w:shd w:val="clear" w:color="auto" w:fill="auto"/>
            <w:vAlign w:val="bottom"/>
            <w:hideMark/>
          </w:tcPr>
          <w:p w:rsidR="00D86A3B" w:rsidRPr="008518A1" w:rsidP="00D86A3B" w14:paraId="2B951B5B" w14:textId="39216E37">
            <w:pPr>
              <w:jc w:val="center"/>
              <w:rPr>
                <w:rFonts w:eastAsia="Times New Roman" w:cs="Times New Roman"/>
                <w:color w:val="000000"/>
                <w:sz w:val="18"/>
                <w:szCs w:val="18"/>
              </w:rPr>
            </w:pPr>
            <w:r w:rsidRPr="008518A1">
              <w:rPr>
                <w:rFonts w:eastAsia="Times New Roman" w:cs="Times New Roman"/>
                <w:color w:val="000000"/>
                <w:sz w:val="18"/>
                <w:szCs w:val="18"/>
              </w:rPr>
              <w:t>$</w:t>
            </w:r>
            <w:r>
              <w:rPr>
                <w:rFonts w:eastAsia="Times New Roman" w:cs="Times New Roman"/>
                <w:color w:val="000000"/>
                <w:sz w:val="18"/>
                <w:szCs w:val="18"/>
              </w:rPr>
              <w:t>0</w:t>
            </w:r>
          </w:p>
        </w:tc>
        <w:tc>
          <w:tcPr>
            <w:tcW w:w="1314" w:type="dxa"/>
            <w:tcBorders>
              <w:top w:val="nil"/>
              <w:left w:val="single" w:sz="4" w:space="0" w:color="auto"/>
              <w:bottom w:val="single" w:sz="4" w:space="0" w:color="auto"/>
              <w:right w:val="single" w:sz="4" w:space="0" w:color="auto"/>
            </w:tcBorders>
            <w:shd w:val="clear" w:color="auto" w:fill="auto"/>
            <w:vAlign w:val="bottom"/>
            <w:hideMark/>
          </w:tcPr>
          <w:p w:rsidR="00D86A3B" w:rsidRPr="008518A1" w:rsidP="00D86A3B" w14:paraId="12472B62" w14:textId="7575C0D1">
            <w:pPr>
              <w:jc w:val="center"/>
              <w:rPr>
                <w:rFonts w:eastAsia="Times New Roman" w:cs="Times New Roman"/>
                <w:color w:val="000000"/>
                <w:sz w:val="18"/>
                <w:szCs w:val="18"/>
              </w:rPr>
            </w:pPr>
            <w:r w:rsidRPr="008518A1">
              <w:rPr>
                <w:rFonts w:eastAsia="Times New Roman" w:cs="Times New Roman"/>
                <w:color w:val="000000"/>
                <w:sz w:val="18"/>
                <w:szCs w:val="18"/>
              </w:rPr>
              <w:t>$154,805</w:t>
            </w:r>
          </w:p>
        </w:tc>
        <w:tc>
          <w:tcPr>
            <w:tcW w:w="1238" w:type="dxa"/>
            <w:tcBorders>
              <w:top w:val="nil"/>
              <w:left w:val="nil"/>
              <w:bottom w:val="single" w:sz="4" w:space="0" w:color="auto"/>
              <w:right w:val="single" w:sz="4" w:space="0" w:color="auto"/>
            </w:tcBorders>
            <w:shd w:val="clear" w:color="auto" w:fill="auto"/>
            <w:vAlign w:val="bottom"/>
            <w:hideMark/>
          </w:tcPr>
          <w:p w:rsidR="00D86A3B" w:rsidRPr="008518A1" w:rsidP="00D86A3B" w14:paraId="4F58005A" w14:textId="1C60CDB7">
            <w:pPr>
              <w:jc w:val="center"/>
              <w:rPr>
                <w:rFonts w:eastAsia="Times New Roman" w:cs="Times New Roman"/>
                <w:color w:val="000000"/>
                <w:sz w:val="18"/>
                <w:szCs w:val="18"/>
              </w:rPr>
            </w:pPr>
            <w:r>
              <w:rPr>
                <w:color w:val="000000"/>
                <w:sz w:val="18"/>
                <w:szCs w:val="18"/>
              </w:rPr>
              <w:t xml:space="preserve">$454,902 </w:t>
            </w:r>
          </w:p>
        </w:tc>
        <w:tc>
          <w:tcPr>
            <w:tcW w:w="1727" w:type="dxa"/>
            <w:tcBorders>
              <w:top w:val="nil"/>
              <w:left w:val="nil"/>
              <w:bottom w:val="single" w:sz="4" w:space="0" w:color="auto"/>
              <w:right w:val="single" w:sz="8" w:space="0" w:color="auto"/>
            </w:tcBorders>
            <w:shd w:val="clear" w:color="auto" w:fill="auto"/>
            <w:vAlign w:val="bottom"/>
            <w:hideMark/>
          </w:tcPr>
          <w:p w:rsidR="00D86A3B" w:rsidRPr="002423E9" w:rsidP="00D86A3B" w14:paraId="7E126DE9" w14:textId="48C0A4CB">
            <w:pPr>
              <w:jc w:val="center"/>
              <w:rPr>
                <w:rFonts w:eastAsia="Times New Roman" w:cs="Times New Roman"/>
                <w:color w:val="000000"/>
                <w:sz w:val="18"/>
                <w:szCs w:val="18"/>
              </w:rPr>
            </w:pPr>
            <w:r w:rsidRPr="002423E9">
              <w:rPr>
                <w:rFonts w:cs="Times New Roman"/>
                <w:color w:val="000000"/>
                <w:sz w:val="18"/>
                <w:szCs w:val="18"/>
              </w:rPr>
              <w:t>$300,097</w:t>
            </w:r>
          </w:p>
        </w:tc>
      </w:tr>
      <w:tr w14:paraId="3DA5DF4D" w14:textId="77777777" w:rsidTr="004521DF">
        <w:tblPrEx>
          <w:tblW w:w="10990" w:type="dxa"/>
          <w:jc w:val="center"/>
          <w:tblLook w:val="04A0"/>
        </w:tblPrEx>
        <w:trPr>
          <w:trHeight w:val="539"/>
          <w:jc w:val="center"/>
        </w:trPr>
        <w:tc>
          <w:tcPr>
            <w:tcW w:w="3056" w:type="dxa"/>
            <w:tcBorders>
              <w:top w:val="single" w:sz="4" w:space="0" w:color="auto"/>
              <w:left w:val="single" w:sz="4" w:space="0" w:color="auto"/>
              <w:bottom w:val="single" w:sz="4" w:space="0" w:color="auto"/>
              <w:right w:val="nil"/>
            </w:tcBorders>
            <w:shd w:val="clear" w:color="auto" w:fill="auto"/>
            <w:vAlign w:val="bottom"/>
            <w:hideMark/>
          </w:tcPr>
          <w:p w:rsidR="00D86A3B" w:rsidRPr="008518A1" w:rsidP="00D86A3B" w14:paraId="7F25B179" w14:textId="01F7262F">
            <w:pPr>
              <w:jc w:val="center"/>
              <w:rPr>
                <w:rFonts w:eastAsia="Times New Roman" w:cs="Times New Roman"/>
                <w:color w:val="000000"/>
                <w:sz w:val="18"/>
                <w:szCs w:val="18"/>
              </w:rPr>
            </w:pPr>
            <w:r w:rsidRPr="008518A1">
              <w:rPr>
                <w:rFonts w:eastAsia="Times New Roman" w:cs="Times New Roman"/>
                <w:color w:val="000000"/>
                <w:sz w:val="18"/>
                <w:szCs w:val="18"/>
              </w:rPr>
              <w:t xml:space="preserve">FEMA Form FF-206-FY-21-118 (formerly 086-0-2), </w:t>
            </w:r>
            <w:r>
              <w:rPr>
                <w:rFonts w:eastAsia="Times New Roman" w:cs="Times New Roman"/>
                <w:color w:val="000000"/>
                <w:sz w:val="18"/>
                <w:szCs w:val="18"/>
              </w:rPr>
              <w:t xml:space="preserve">Flood Insurance </w:t>
            </w:r>
            <w:r w:rsidRPr="008518A1">
              <w:rPr>
                <w:rFonts w:eastAsia="Times New Roman" w:cs="Times New Roman"/>
                <w:color w:val="000000"/>
                <w:sz w:val="18"/>
                <w:szCs w:val="18"/>
              </w:rPr>
              <w:t>Cancellation</w:t>
            </w:r>
            <w:r>
              <w:rPr>
                <w:rFonts w:eastAsia="Times New Roman" w:cs="Times New Roman"/>
                <w:color w:val="000000"/>
                <w:sz w:val="18"/>
                <w:szCs w:val="18"/>
              </w:rPr>
              <w:t>/Nullification Request Form</w:t>
            </w:r>
          </w:p>
        </w:tc>
        <w:tc>
          <w:tcPr>
            <w:tcW w:w="1450" w:type="dxa"/>
            <w:tcBorders>
              <w:top w:val="nil"/>
              <w:left w:val="single" w:sz="4" w:space="0" w:color="auto"/>
              <w:bottom w:val="single" w:sz="4" w:space="0" w:color="auto"/>
              <w:right w:val="single" w:sz="4" w:space="0" w:color="auto"/>
            </w:tcBorders>
            <w:shd w:val="clear" w:color="auto" w:fill="auto"/>
            <w:vAlign w:val="bottom"/>
            <w:hideMark/>
          </w:tcPr>
          <w:p w:rsidR="00D86A3B" w:rsidRPr="008518A1" w:rsidP="00D86A3B" w14:paraId="64167347" w14:textId="258748C1">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152" w:type="dxa"/>
            <w:tcBorders>
              <w:top w:val="nil"/>
              <w:left w:val="nil"/>
              <w:bottom w:val="single" w:sz="4" w:space="0" w:color="auto"/>
              <w:right w:val="single" w:sz="4" w:space="0" w:color="auto"/>
            </w:tcBorders>
            <w:shd w:val="clear" w:color="auto" w:fill="auto"/>
            <w:vAlign w:val="bottom"/>
            <w:hideMark/>
          </w:tcPr>
          <w:p w:rsidR="00D86A3B" w:rsidRPr="008518A1" w:rsidP="00D86A3B" w14:paraId="4C51629A" w14:textId="18239CEA">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053" w:type="dxa"/>
            <w:tcBorders>
              <w:top w:val="nil"/>
              <w:left w:val="nil"/>
              <w:bottom w:val="single" w:sz="4" w:space="0" w:color="auto"/>
              <w:right w:val="single" w:sz="8" w:space="0" w:color="auto"/>
            </w:tcBorders>
            <w:shd w:val="clear" w:color="auto" w:fill="auto"/>
            <w:vAlign w:val="bottom"/>
            <w:hideMark/>
          </w:tcPr>
          <w:p w:rsidR="00D86A3B" w:rsidRPr="008518A1" w:rsidP="00D86A3B" w14:paraId="694098CA" w14:textId="5FD37CDF">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314" w:type="dxa"/>
            <w:tcBorders>
              <w:top w:val="nil"/>
              <w:left w:val="single" w:sz="4" w:space="0" w:color="auto"/>
              <w:bottom w:val="single" w:sz="4" w:space="0" w:color="auto"/>
              <w:right w:val="single" w:sz="4" w:space="0" w:color="auto"/>
            </w:tcBorders>
            <w:shd w:val="clear" w:color="auto" w:fill="auto"/>
            <w:vAlign w:val="bottom"/>
            <w:hideMark/>
          </w:tcPr>
          <w:p w:rsidR="00D86A3B" w:rsidRPr="008518A1" w:rsidP="00D86A3B" w14:paraId="6E327E55" w14:textId="23C50552">
            <w:pPr>
              <w:jc w:val="center"/>
              <w:rPr>
                <w:rFonts w:eastAsia="Times New Roman" w:cs="Times New Roman"/>
                <w:color w:val="000000"/>
                <w:sz w:val="18"/>
                <w:szCs w:val="18"/>
              </w:rPr>
            </w:pPr>
            <w:r w:rsidRPr="008518A1">
              <w:rPr>
                <w:rFonts w:eastAsia="Times New Roman" w:cs="Times New Roman"/>
                <w:color w:val="000000"/>
                <w:sz w:val="18"/>
                <w:szCs w:val="18"/>
              </w:rPr>
              <w:t>$188,633</w:t>
            </w:r>
          </w:p>
        </w:tc>
        <w:tc>
          <w:tcPr>
            <w:tcW w:w="1238" w:type="dxa"/>
            <w:tcBorders>
              <w:top w:val="nil"/>
              <w:left w:val="nil"/>
              <w:bottom w:val="single" w:sz="4" w:space="0" w:color="auto"/>
              <w:right w:val="single" w:sz="4" w:space="0" w:color="auto"/>
            </w:tcBorders>
            <w:shd w:val="clear" w:color="auto" w:fill="auto"/>
            <w:vAlign w:val="bottom"/>
            <w:hideMark/>
          </w:tcPr>
          <w:p w:rsidR="00D86A3B" w:rsidRPr="002C6739" w:rsidP="00D86A3B" w14:paraId="222573DF" w14:textId="5078206C">
            <w:pPr>
              <w:jc w:val="center"/>
              <w:rPr>
                <w:rFonts w:eastAsia="Times New Roman" w:cs="Times New Roman"/>
                <w:color w:val="000000" w:themeColor="text1"/>
                <w:sz w:val="18"/>
                <w:szCs w:val="18"/>
              </w:rPr>
            </w:pPr>
            <w:r>
              <w:rPr>
                <w:color w:val="000000"/>
                <w:sz w:val="18"/>
                <w:szCs w:val="18"/>
              </w:rPr>
              <w:t xml:space="preserve">$100,339 </w:t>
            </w:r>
          </w:p>
        </w:tc>
        <w:tc>
          <w:tcPr>
            <w:tcW w:w="1727" w:type="dxa"/>
            <w:tcBorders>
              <w:top w:val="nil"/>
              <w:left w:val="nil"/>
              <w:bottom w:val="single" w:sz="4" w:space="0" w:color="auto"/>
              <w:right w:val="single" w:sz="8" w:space="0" w:color="auto"/>
            </w:tcBorders>
            <w:shd w:val="clear" w:color="auto" w:fill="auto"/>
            <w:vAlign w:val="bottom"/>
            <w:hideMark/>
          </w:tcPr>
          <w:p w:rsidR="00D86A3B" w:rsidRPr="002423E9" w:rsidP="00D86A3B" w14:paraId="11DB088F" w14:textId="2B80AE05">
            <w:pPr>
              <w:jc w:val="center"/>
              <w:rPr>
                <w:rFonts w:eastAsia="Times New Roman" w:cs="Times New Roman"/>
                <w:color w:val="000000" w:themeColor="text1"/>
                <w:sz w:val="18"/>
                <w:szCs w:val="18"/>
              </w:rPr>
            </w:pPr>
            <w:r w:rsidRPr="002423E9">
              <w:rPr>
                <w:rFonts w:cs="Times New Roman"/>
                <w:color w:val="000000"/>
                <w:sz w:val="18"/>
                <w:szCs w:val="18"/>
              </w:rPr>
              <w:t>-$88,294</w:t>
            </w:r>
          </w:p>
        </w:tc>
      </w:tr>
      <w:tr w14:paraId="5E27625C" w14:textId="77777777" w:rsidTr="004521DF">
        <w:tblPrEx>
          <w:tblW w:w="10990" w:type="dxa"/>
          <w:jc w:val="center"/>
          <w:tblLook w:val="04A0"/>
        </w:tblPrEx>
        <w:trPr>
          <w:trHeight w:val="530"/>
          <w:jc w:val="center"/>
        </w:trPr>
        <w:tc>
          <w:tcPr>
            <w:tcW w:w="3056" w:type="dxa"/>
            <w:tcBorders>
              <w:top w:val="single" w:sz="4" w:space="0" w:color="auto"/>
              <w:left w:val="single" w:sz="4" w:space="0" w:color="auto"/>
              <w:bottom w:val="single" w:sz="4" w:space="0" w:color="auto"/>
              <w:right w:val="nil"/>
            </w:tcBorders>
            <w:shd w:val="clear" w:color="auto" w:fill="auto"/>
            <w:vAlign w:val="bottom"/>
            <w:hideMark/>
          </w:tcPr>
          <w:p w:rsidR="00D86A3B" w:rsidRPr="008518A1" w:rsidP="00D86A3B" w14:paraId="381C99D9" w14:textId="38E24E53">
            <w:pPr>
              <w:jc w:val="center"/>
              <w:rPr>
                <w:rFonts w:eastAsia="Times New Roman" w:cs="Times New Roman"/>
                <w:color w:val="000000"/>
                <w:sz w:val="18"/>
                <w:szCs w:val="18"/>
              </w:rPr>
            </w:pPr>
            <w:r w:rsidRPr="008518A1">
              <w:rPr>
                <w:rFonts w:eastAsia="Times New Roman" w:cs="Times New Roman"/>
                <w:color w:val="000000"/>
                <w:sz w:val="18"/>
                <w:szCs w:val="18"/>
              </w:rPr>
              <w:t xml:space="preserve">FEMA Form FF-206-FY-21-119 (formerly 086-0-3), </w:t>
            </w:r>
            <w:r>
              <w:rPr>
                <w:rFonts w:eastAsia="Times New Roman" w:cs="Times New Roman"/>
                <w:color w:val="000000"/>
                <w:sz w:val="18"/>
                <w:szCs w:val="18"/>
              </w:rPr>
              <w:t xml:space="preserve">Flood Insurance General Change </w:t>
            </w:r>
            <w:r w:rsidRPr="008518A1">
              <w:rPr>
                <w:rFonts w:eastAsia="Times New Roman" w:cs="Times New Roman"/>
                <w:color w:val="000000"/>
                <w:sz w:val="18"/>
                <w:szCs w:val="18"/>
              </w:rPr>
              <w:t>Endorsement</w:t>
            </w:r>
          </w:p>
        </w:tc>
        <w:tc>
          <w:tcPr>
            <w:tcW w:w="1450" w:type="dxa"/>
            <w:tcBorders>
              <w:top w:val="nil"/>
              <w:left w:val="single" w:sz="4" w:space="0" w:color="auto"/>
              <w:bottom w:val="single" w:sz="4" w:space="0" w:color="auto"/>
              <w:right w:val="single" w:sz="4" w:space="0" w:color="auto"/>
            </w:tcBorders>
            <w:shd w:val="clear" w:color="auto" w:fill="auto"/>
            <w:vAlign w:val="bottom"/>
            <w:hideMark/>
          </w:tcPr>
          <w:p w:rsidR="00D86A3B" w:rsidRPr="008518A1" w:rsidP="00D86A3B" w14:paraId="3C46FDF0" w14:textId="40D60DEB">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152" w:type="dxa"/>
            <w:tcBorders>
              <w:top w:val="nil"/>
              <w:left w:val="nil"/>
              <w:bottom w:val="single" w:sz="4" w:space="0" w:color="auto"/>
              <w:right w:val="single" w:sz="4" w:space="0" w:color="auto"/>
            </w:tcBorders>
            <w:shd w:val="clear" w:color="auto" w:fill="auto"/>
            <w:vAlign w:val="bottom"/>
            <w:hideMark/>
          </w:tcPr>
          <w:p w:rsidR="00D86A3B" w:rsidRPr="008518A1" w:rsidP="00D86A3B" w14:paraId="0A88AD71" w14:textId="2EB92BFF">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053" w:type="dxa"/>
            <w:tcBorders>
              <w:top w:val="nil"/>
              <w:left w:val="nil"/>
              <w:bottom w:val="single" w:sz="4" w:space="0" w:color="auto"/>
              <w:right w:val="single" w:sz="8" w:space="0" w:color="auto"/>
            </w:tcBorders>
            <w:shd w:val="clear" w:color="auto" w:fill="auto"/>
            <w:vAlign w:val="bottom"/>
            <w:hideMark/>
          </w:tcPr>
          <w:p w:rsidR="00D86A3B" w:rsidRPr="008518A1" w:rsidP="00D86A3B" w14:paraId="387285F1" w14:textId="30638B3B">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314" w:type="dxa"/>
            <w:tcBorders>
              <w:top w:val="nil"/>
              <w:left w:val="single" w:sz="4" w:space="0" w:color="auto"/>
              <w:bottom w:val="single" w:sz="4" w:space="0" w:color="auto"/>
              <w:right w:val="single" w:sz="4" w:space="0" w:color="auto"/>
            </w:tcBorders>
            <w:shd w:val="clear" w:color="auto" w:fill="auto"/>
            <w:vAlign w:val="bottom"/>
            <w:hideMark/>
          </w:tcPr>
          <w:p w:rsidR="00D86A3B" w:rsidRPr="00D50E26" w:rsidP="00D86A3B" w14:paraId="1C8949BE" w14:textId="2A9BC0BB">
            <w:pPr>
              <w:jc w:val="center"/>
              <w:rPr>
                <w:rFonts w:eastAsia="Times New Roman" w:cs="Times New Roman"/>
                <w:color w:val="000000" w:themeColor="text1"/>
                <w:sz w:val="18"/>
                <w:szCs w:val="18"/>
              </w:rPr>
            </w:pPr>
            <w:r w:rsidRPr="00D50E26">
              <w:rPr>
                <w:rFonts w:eastAsia="Times New Roman" w:cs="Times New Roman"/>
                <w:color w:val="000000" w:themeColor="text1"/>
                <w:sz w:val="18"/>
                <w:szCs w:val="18"/>
              </w:rPr>
              <w:t>$1,753,174</w:t>
            </w:r>
          </w:p>
        </w:tc>
        <w:tc>
          <w:tcPr>
            <w:tcW w:w="1238" w:type="dxa"/>
            <w:tcBorders>
              <w:top w:val="nil"/>
              <w:left w:val="nil"/>
              <w:bottom w:val="single" w:sz="4" w:space="0" w:color="auto"/>
              <w:right w:val="single" w:sz="4" w:space="0" w:color="auto"/>
            </w:tcBorders>
            <w:shd w:val="clear" w:color="auto" w:fill="auto"/>
            <w:vAlign w:val="bottom"/>
            <w:hideMark/>
          </w:tcPr>
          <w:p w:rsidR="00D86A3B" w:rsidRPr="00D50E26" w:rsidP="00D86A3B" w14:paraId="59DEB3AC" w14:textId="02A0C70B">
            <w:pPr>
              <w:jc w:val="center"/>
              <w:rPr>
                <w:rFonts w:eastAsia="Times New Roman" w:cs="Times New Roman"/>
                <w:color w:val="000000" w:themeColor="text1"/>
                <w:sz w:val="18"/>
                <w:szCs w:val="18"/>
              </w:rPr>
            </w:pPr>
            <w:r>
              <w:rPr>
                <w:color w:val="000000"/>
                <w:sz w:val="18"/>
                <w:szCs w:val="18"/>
              </w:rPr>
              <w:t xml:space="preserve">$751,719 </w:t>
            </w:r>
          </w:p>
        </w:tc>
        <w:tc>
          <w:tcPr>
            <w:tcW w:w="1727" w:type="dxa"/>
            <w:tcBorders>
              <w:top w:val="nil"/>
              <w:left w:val="nil"/>
              <w:bottom w:val="single" w:sz="4" w:space="0" w:color="auto"/>
              <w:right w:val="single" w:sz="8" w:space="0" w:color="auto"/>
            </w:tcBorders>
            <w:shd w:val="clear" w:color="auto" w:fill="auto"/>
            <w:vAlign w:val="bottom"/>
            <w:hideMark/>
          </w:tcPr>
          <w:p w:rsidR="00D86A3B" w:rsidRPr="002423E9" w:rsidP="00D86A3B" w14:paraId="4F9FA96C" w14:textId="6D00A093">
            <w:pPr>
              <w:jc w:val="center"/>
              <w:rPr>
                <w:rFonts w:eastAsia="Times New Roman" w:cs="Times New Roman"/>
                <w:color w:val="000000" w:themeColor="text1"/>
                <w:sz w:val="18"/>
                <w:szCs w:val="18"/>
              </w:rPr>
            </w:pPr>
            <w:r w:rsidRPr="002423E9">
              <w:rPr>
                <w:rFonts w:cs="Times New Roman"/>
                <w:color w:val="000000"/>
                <w:sz w:val="18"/>
                <w:szCs w:val="18"/>
              </w:rPr>
              <w:t>-$1,001,455</w:t>
            </w:r>
          </w:p>
        </w:tc>
      </w:tr>
      <w:tr w14:paraId="5100622E" w14:textId="77777777" w:rsidTr="002423E9">
        <w:tblPrEx>
          <w:tblW w:w="10990" w:type="dxa"/>
          <w:jc w:val="center"/>
          <w:tblLook w:val="04A0"/>
        </w:tblPrEx>
        <w:trPr>
          <w:trHeight w:val="530"/>
          <w:jc w:val="center"/>
        </w:trPr>
        <w:tc>
          <w:tcPr>
            <w:tcW w:w="3056" w:type="dxa"/>
            <w:tcBorders>
              <w:top w:val="single" w:sz="4" w:space="0" w:color="auto"/>
              <w:left w:val="single" w:sz="4" w:space="0" w:color="auto"/>
              <w:bottom w:val="single" w:sz="4" w:space="0" w:color="auto"/>
              <w:right w:val="nil"/>
            </w:tcBorders>
            <w:shd w:val="clear" w:color="auto" w:fill="auto"/>
            <w:vAlign w:val="bottom"/>
            <w:hideMark/>
          </w:tcPr>
          <w:p w:rsidR="0048685E" w:rsidRPr="008518A1" w:rsidP="0048685E" w14:paraId="3E57C8FB" w14:textId="21B73FE9">
            <w:pPr>
              <w:jc w:val="center"/>
              <w:rPr>
                <w:rFonts w:eastAsia="Times New Roman" w:cs="Times New Roman"/>
                <w:color w:val="000000"/>
                <w:sz w:val="18"/>
                <w:szCs w:val="18"/>
              </w:rPr>
            </w:pPr>
            <w:r w:rsidRPr="008518A1">
              <w:rPr>
                <w:rFonts w:eastAsia="Times New Roman" w:cs="Times New Roman"/>
                <w:color w:val="000000"/>
                <w:sz w:val="18"/>
                <w:szCs w:val="18"/>
              </w:rPr>
              <w:t xml:space="preserve">FEMA </w:t>
            </w:r>
            <w:r w:rsidRPr="00106B5F">
              <w:rPr>
                <w:rFonts w:eastAsia="Times New Roman" w:cs="Times New Roman"/>
                <w:color w:val="000000" w:themeColor="text1"/>
                <w:sz w:val="18"/>
                <w:szCs w:val="18"/>
              </w:rPr>
              <w:t>Form FF-206-FY-24-103</w:t>
            </w:r>
            <w:r>
              <w:rPr>
                <w:rFonts w:eastAsia="Times New Roman" w:cs="Times New Roman"/>
                <w:color w:val="000000" w:themeColor="text1"/>
                <w:sz w:val="18"/>
                <w:szCs w:val="18"/>
              </w:rPr>
              <w:t>,</w:t>
            </w:r>
            <w:r w:rsidRPr="00106B5F">
              <w:rPr>
                <w:rFonts w:eastAsia="Times New Roman" w:cs="Times New Roman"/>
                <w:color w:val="000000" w:themeColor="text1"/>
                <w:sz w:val="18"/>
                <w:szCs w:val="18"/>
              </w:rPr>
              <w:t xml:space="preserve"> </w:t>
            </w:r>
            <w:r w:rsidRPr="008518A1">
              <w:rPr>
                <w:rFonts w:eastAsia="Times New Roman" w:cs="Times New Roman"/>
                <w:color w:val="000000"/>
                <w:sz w:val="18"/>
                <w:szCs w:val="18"/>
              </w:rPr>
              <w:t>e-Flood Insurance Application</w:t>
            </w:r>
          </w:p>
        </w:tc>
        <w:tc>
          <w:tcPr>
            <w:tcW w:w="1450" w:type="dxa"/>
            <w:tcBorders>
              <w:top w:val="nil"/>
              <w:left w:val="single" w:sz="4" w:space="0" w:color="auto"/>
              <w:bottom w:val="single" w:sz="4" w:space="0" w:color="auto"/>
              <w:right w:val="single" w:sz="4" w:space="0" w:color="auto"/>
            </w:tcBorders>
            <w:shd w:val="clear" w:color="auto" w:fill="auto"/>
            <w:vAlign w:val="bottom"/>
            <w:hideMark/>
          </w:tcPr>
          <w:p w:rsidR="0048685E" w:rsidRPr="008518A1" w:rsidP="0048685E" w14:paraId="48C61DE6" w14:textId="4069E523">
            <w:pPr>
              <w:jc w:val="center"/>
              <w:rPr>
                <w:rFonts w:eastAsia="Times New Roman" w:cs="Times New Roman"/>
                <w:color w:val="000000"/>
                <w:sz w:val="18"/>
                <w:szCs w:val="18"/>
              </w:rPr>
            </w:pPr>
            <w:r w:rsidRPr="006712F5">
              <w:rPr>
                <w:rFonts w:eastAsia="Times New Roman" w:cs="Times New Roman"/>
                <w:color w:val="000000"/>
                <w:sz w:val="18"/>
                <w:szCs w:val="18"/>
              </w:rPr>
              <w:t>$</w:t>
            </w:r>
            <w:r>
              <w:rPr>
                <w:rFonts w:eastAsia="Times New Roman" w:cs="Times New Roman"/>
                <w:color w:val="000000"/>
                <w:sz w:val="18"/>
                <w:szCs w:val="18"/>
              </w:rPr>
              <w:t>0</w:t>
            </w:r>
          </w:p>
        </w:tc>
        <w:tc>
          <w:tcPr>
            <w:tcW w:w="1152" w:type="dxa"/>
            <w:tcBorders>
              <w:top w:val="nil"/>
              <w:left w:val="nil"/>
              <w:bottom w:val="single" w:sz="4" w:space="0" w:color="auto"/>
              <w:right w:val="single" w:sz="4" w:space="0" w:color="auto"/>
            </w:tcBorders>
            <w:shd w:val="clear" w:color="auto" w:fill="auto"/>
            <w:vAlign w:val="bottom"/>
            <w:hideMark/>
          </w:tcPr>
          <w:p w:rsidR="0048685E" w:rsidRPr="008518A1" w:rsidP="0048685E" w14:paraId="7375DCCA" w14:textId="4C1D0E5B">
            <w:pPr>
              <w:jc w:val="center"/>
              <w:rPr>
                <w:rFonts w:eastAsia="Times New Roman" w:cs="Times New Roman"/>
                <w:color w:val="000000"/>
                <w:sz w:val="18"/>
                <w:szCs w:val="18"/>
              </w:rPr>
            </w:pPr>
            <w:r>
              <w:rPr>
                <w:rFonts w:eastAsia="Times New Roman" w:cs="Times New Roman"/>
                <w:color w:val="000000"/>
                <w:sz w:val="18"/>
                <w:szCs w:val="18"/>
              </w:rPr>
              <w:t>$548</w:t>
            </w:r>
          </w:p>
        </w:tc>
        <w:tc>
          <w:tcPr>
            <w:tcW w:w="1053" w:type="dxa"/>
            <w:tcBorders>
              <w:top w:val="nil"/>
              <w:left w:val="nil"/>
              <w:bottom w:val="single" w:sz="4" w:space="0" w:color="auto"/>
              <w:right w:val="single" w:sz="8" w:space="0" w:color="auto"/>
            </w:tcBorders>
            <w:shd w:val="clear" w:color="auto" w:fill="auto"/>
            <w:vAlign w:val="bottom"/>
            <w:hideMark/>
          </w:tcPr>
          <w:p w:rsidR="0048685E" w:rsidRPr="008518A1" w:rsidP="0048685E" w14:paraId="0BA4223A" w14:textId="0B5F0797">
            <w:pPr>
              <w:jc w:val="center"/>
              <w:rPr>
                <w:rFonts w:eastAsia="Times New Roman" w:cs="Times New Roman"/>
                <w:color w:val="000000"/>
                <w:sz w:val="18"/>
                <w:szCs w:val="18"/>
              </w:rPr>
            </w:pPr>
            <w:r>
              <w:rPr>
                <w:rFonts w:eastAsia="Times New Roman" w:cs="Times New Roman"/>
                <w:color w:val="000000"/>
                <w:sz w:val="18"/>
                <w:szCs w:val="18"/>
              </w:rPr>
              <w:t>$548</w:t>
            </w:r>
            <w:r w:rsidRPr="008518A1">
              <w:rPr>
                <w:rFonts w:eastAsia="Times New Roman" w:cs="Times New Roman"/>
                <w:color w:val="000000"/>
                <w:sz w:val="18"/>
                <w:szCs w:val="18"/>
              </w:rPr>
              <w:t xml:space="preserve"> </w:t>
            </w:r>
          </w:p>
        </w:tc>
        <w:tc>
          <w:tcPr>
            <w:tcW w:w="1314" w:type="dxa"/>
            <w:tcBorders>
              <w:top w:val="nil"/>
              <w:left w:val="single" w:sz="4" w:space="0" w:color="auto"/>
              <w:bottom w:val="single" w:sz="4" w:space="0" w:color="auto"/>
              <w:right w:val="single" w:sz="4" w:space="0" w:color="auto"/>
            </w:tcBorders>
            <w:shd w:val="clear" w:color="auto" w:fill="auto"/>
            <w:vAlign w:val="bottom"/>
            <w:hideMark/>
          </w:tcPr>
          <w:p w:rsidR="0048685E" w:rsidRPr="00D50E26" w:rsidP="0048685E" w14:paraId="32C1D3D4" w14:textId="7D1ADE93">
            <w:pPr>
              <w:jc w:val="center"/>
              <w:rPr>
                <w:rFonts w:eastAsia="Times New Roman" w:cs="Times New Roman"/>
                <w:color w:val="000000" w:themeColor="text1"/>
                <w:sz w:val="18"/>
                <w:szCs w:val="18"/>
              </w:rPr>
            </w:pPr>
            <w:r w:rsidRPr="00D50E26">
              <w:rPr>
                <w:rFonts w:eastAsia="Times New Roman" w:cs="Times New Roman"/>
                <w:color w:val="000000" w:themeColor="text1"/>
                <w:sz w:val="18"/>
                <w:szCs w:val="18"/>
              </w:rPr>
              <w:t>$0</w:t>
            </w:r>
          </w:p>
        </w:tc>
        <w:tc>
          <w:tcPr>
            <w:tcW w:w="1238" w:type="dxa"/>
            <w:tcBorders>
              <w:top w:val="nil"/>
              <w:left w:val="nil"/>
              <w:bottom w:val="single" w:sz="4" w:space="0" w:color="auto"/>
              <w:right w:val="single" w:sz="4" w:space="0" w:color="auto"/>
            </w:tcBorders>
            <w:shd w:val="clear" w:color="auto" w:fill="auto"/>
            <w:vAlign w:val="bottom"/>
            <w:hideMark/>
          </w:tcPr>
          <w:p w:rsidR="0048685E" w:rsidRPr="00D50E26" w:rsidP="0048685E" w14:paraId="50E82DCD" w14:textId="5E0A6AFE">
            <w:pPr>
              <w:jc w:val="center"/>
              <w:rPr>
                <w:rFonts w:eastAsia="Times New Roman" w:cs="Times New Roman"/>
                <w:color w:val="000000" w:themeColor="text1"/>
                <w:sz w:val="18"/>
                <w:szCs w:val="18"/>
              </w:rPr>
            </w:pPr>
            <w:r w:rsidRPr="00D50E26">
              <w:rPr>
                <w:rFonts w:eastAsia="Times New Roman" w:cs="Times New Roman"/>
                <w:color w:val="000000" w:themeColor="text1"/>
                <w:sz w:val="18"/>
                <w:szCs w:val="18"/>
              </w:rPr>
              <w:t>$0</w:t>
            </w:r>
          </w:p>
        </w:tc>
        <w:tc>
          <w:tcPr>
            <w:tcW w:w="1727" w:type="dxa"/>
            <w:tcBorders>
              <w:top w:val="nil"/>
              <w:left w:val="nil"/>
              <w:bottom w:val="single" w:sz="4" w:space="0" w:color="auto"/>
              <w:right w:val="single" w:sz="8" w:space="0" w:color="auto"/>
            </w:tcBorders>
            <w:shd w:val="clear" w:color="auto" w:fill="auto"/>
            <w:vAlign w:val="bottom"/>
            <w:hideMark/>
          </w:tcPr>
          <w:p w:rsidR="0048685E" w:rsidRPr="002423E9" w:rsidP="0048685E" w14:paraId="7631FDBE" w14:textId="6EDEE541">
            <w:pPr>
              <w:jc w:val="center"/>
              <w:rPr>
                <w:rFonts w:eastAsia="Times New Roman" w:cs="Times New Roman"/>
                <w:color w:val="000000" w:themeColor="text1"/>
                <w:sz w:val="18"/>
                <w:szCs w:val="18"/>
              </w:rPr>
            </w:pPr>
            <w:r w:rsidRPr="002423E9">
              <w:rPr>
                <w:rFonts w:eastAsia="Times New Roman" w:cs="Times New Roman"/>
                <w:color w:val="000000" w:themeColor="text1"/>
                <w:sz w:val="18"/>
                <w:szCs w:val="18"/>
              </w:rPr>
              <w:t>$0</w:t>
            </w:r>
          </w:p>
        </w:tc>
      </w:tr>
      <w:tr w14:paraId="4D5E4C7D" w14:textId="77777777" w:rsidTr="002423E9">
        <w:tblPrEx>
          <w:tblW w:w="10990" w:type="dxa"/>
          <w:jc w:val="center"/>
          <w:tblLook w:val="04A0"/>
        </w:tblPrEx>
        <w:trPr>
          <w:trHeight w:val="276"/>
          <w:jc w:val="center"/>
        </w:trPr>
        <w:tc>
          <w:tcPr>
            <w:tcW w:w="3056" w:type="dxa"/>
            <w:tcBorders>
              <w:top w:val="nil"/>
              <w:left w:val="single" w:sz="8" w:space="0" w:color="auto"/>
              <w:bottom w:val="single" w:sz="8" w:space="0" w:color="auto"/>
              <w:right w:val="single" w:sz="4" w:space="0" w:color="auto"/>
            </w:tcBorders>
            <w:shd w:val="clear" w:color="auto" w:fill="auto"/>
            <w:vAlign w:val="bottom"/>
            <w:hideMark/>
          </w:tcPr>
          <w:p w:rsidR="002423E9" w:rsidRPr="008518A1" w:rsidP="002423E9" w14:paraId="5CD2DE3B" w14:textId="77777777">
            <w:pPr>
              <w:rPr>
                <w:rFonts w:eastAsia="Times New Roman" w:cs="Times New Roman"/>
                <w:b/>
                <w:bCs/>
                <w:color w:val="000000"/>
                <w:sz w:val="18"/>
                <w:szCs w:val="18"/>
              </w:rPr>
            </w:pPr>
            <w:r w:rsidRPr="008518A1">
              <w:rPr>
                <w:rFonts w:eastAsia="Times New Roman" w:cs="Times New Roman"/>
                <w:b/>
                <w:bCs/>
                <w:color w:val="000000"/>
                <w:sz w:val="18"/>
                <w:szCs w:val="18"/>
              </w:rPr>
              <w:t>Total</w:t>
            </w:r>
          </w:p>
        </w:tc>
        <w:tc>
          <w:tcPr>
            <w:tcW w:w="1450" w:type="dxa"/>
            <w:tcBorders>
              <w:top w:val="nil"/>
              <w:left w:val="nil"/>
              <w:bottom w:val="single" w:sz="8" w:space="0" w:color="auto"/>
              <w:right w:val="single" w:sz="4" w:space="0" w:color="auto"/>
            </w:tcBorders>
            <w:shd w:val="clear" w:color="auto" w:fill="auto"/>
            <w:vAlign w:val="bottom"/>
            <w:hideMark/>
          </w:tcPr>
          <w:p w:rsidR="002423E9" w:rsidRPr="008518A1" w:rsidP="002423E9" w14:paraId="20A476BF" w14:textId="3AA8994B">
            <w:pPr>
              <w:jc w:val="center"/>
              <w:rPr>
                <w:rFonts w:eastAsia="Times New Roman" w:cs="Times New Roman"/>
                <w:b/>
                <w:bCs/>
                <w:color w:val="000000"/>
                <w:sz w:val="18"/>
                <w:szCs w:val="18"/>
              </w:rPr>
            </w:pPr>
            <w:r w:rsidRPr="008518A1">
              <w:rPr>
                <w:rFonts w:eastAsia="Times New Roman" w:cs="Times New Roman"/>
                <w:b/>
                <w:bCs/>
                <w:color w:val="000000"/>
                <w:sz w:val="18"/>
                <w:szCs w:val="18"/>
              </w:rPr>
              <w:t>$0</w:t>
            </w:r>
          </w:p>
        </w:tc>
        <w:tc>
          <w:tcPr>
            <w:tcW w:w="1152" w:type="dxa"/>
            <w:tcBorders>
              <w:top w:val="nil"/>
              <w:left w:val="nil"/>
              <w:bottom w:val="single" w:sz="8" w:space="0" w:color="auto"/>
              <w:right w:val="single" w:sz="4" w:space="0" w:color="auto"/>
            </w:tcBorders>
            <w:shd w:val="clear" w:color="auto" w:fill="auto"/>
            <w:vAlign w:val="bottom"/>
            <w:hideMark/>
          </w:tcPr>
          <w:p w:rsidR="002423E9" w:rsidRPr="008518A1" w:rsidP="002423E9" w14:paraId="606C33C8" w14:textId="0605FC58">
            <w:pPr>
              <w:jc w:val="center"/>
              <w:rPr>
                <w:rFonts w:eastAsia="Times New Roman" w:cs="Times New Roman"/>
                <w:b/>
                <w:bCs/>
                <w:color w:val="000000"/>
                <w:sz w:val="18"/>
                <w:szCs w:val="18"/>
              </w:rPr>
            </w:pPr>
            <w:r w:rsidRPr="00C70B28">
              <w:rPr>
                <w:rFonts w:eastAsia="Times New Roman" w:cs="Times New Roman"/>
                <w:b/>
                <w:bCs/>
                <w:color w:val="000000"/>
                <w:sz w:val="18"/>
                <w:szCs w:val="18"/>
              </w:rPr>
              <w:t>$548</w:t>
            </w:r>
          </w:p>
        </w:tc>
        <w:tc>
          <w:tcPr>
            <w:tcW w:w="1053" w:type="dxa"/>
            <w:tcBorders>
              <w:top w:val="nil"/>
              <w:left w:val="nil"/>
              <w:bottom w:val="single" w:sz="8" w:space="0" w:color="auto"/>
              <w:right w:val="single" w:sz="4" w:space="0" w:color="auto"/>
            </w:tcBorders>
            <w:shd w:val="clear" w:color="auto" w:fill="auto"/>
            <w:vAlign w:val="bottom"/>
            <w:hideMark/>
          </w:tcPr>
          <w:p w:rsidR="002423E9" w:rsidRPr="008518A1" w:rsidP="002423E9" w14:paraId="320B7AEA" w14:textId="2EAE7DAF">
            <w:pPr>
              <w:jc w:val="center"/>
              <w:rPr>
                <w:rFonts w:eastAsia="Times New Roman" w:cs="Times New Roman"/>
                <w:b/>
                <w:bCs/>
                <w:color w:val="000000"/>
                <w:sz w:val="18"/>
                <w:szCs w:val="18"/>
              </w:rPr>
            </w:pPr>
            <w:r w:rsidRPr="008518A1">
              <w:rPr>
                <w:rFonts w:eastAsia="Times New Roman" w:cs="Times New Roman"/>
                <w:b/>
                <w:bCs/>
                <w:color w:val="000000"/>
                <w:sz w:val="18"/>
                <w:szCs w:val="18"/>
              </w:rPr>
              <w:t>$</w:t>
            </w:r>
            <w:r>
              <w:rPr>
                <w:rFonts w:eastAsia="Times New Roman" w:cs="Times New Roman"/>
                <w:b/>
                <w:bCs/>
                <w:color w:val="000000"/>
                <w:sz w:val="18"/>
                <w:szCs w:val="18"/>
              </w:rPr>
              <w:t>548</w:t>
            </w:r>
            <w:r w:rsidRPr="008518A1">
              <w:rPr>
                <w:rFonts w:eastAsia="Times New Roman" w:cs="Times New Roman"/>
                <w:b/>
                <w:bCs/>
                <w:color w:val="000000"/>
                <w:sz w:val="18"/>
                <w:szCs w:val="18"/>
              </w:rPr>
              <w:t xml:space="preserve"> </w:t>
            </w:r>
          </w:p>
        </w:tc>
        <w:tc>
          <w:tcPr>
            <w:tcW w:w="1314" w:type="dxa"/>
            <w:tcBorders>
              <w:top w:val="nil"/>
              <w:left w:val="nil"/>
              <w:bottom w:val="single" w:sz="8" w:space="0" w:color="auto"/>
              <w:right w:val="single" w:sz="4" w:space="0" w:color="auto"/>
            </w:tcBorders>
            <w:shd w:val="clear" w:color="auto" w:fill="auto"/>
            <w:vAlign w:val="bottom"/>
            <w:hideMark/>
          </w:tcPr>
          <w:p w:rsidR="002423E9" w:rsidRPr="008518A1" w:rsidP="002423E9" w14:paraId="7D773520" w14:textId="249F4102">
            <w:pPr>
              <w:jc w:val="center"/>
              <w:rPr>
                <w:rFonts w:eastAsia="Times New Roman" w:cs="Times New Roman"/>
                <w:b/>
                <w:bCs/>
                <w:color w:val="000000"/>
                <w:sz w:val="18"/>
                <w:szCs w:val="18"/>
              </w:rPr>
            </w:pPr>
            <w:r w:rsidRPr="008518A1">
              <w:rPr>
                <w:rFonts w:eastAsia="Times New Roman" w:cs="Times New Roman"/>
                <w:b/>
                <w:bCs/>
                <w:color w:val="000000"/>
                <w:sz w:val="18"/>
                <w:szCs w:val="18"/>
              </w:rPr>
              <w:t>$2,096,612</w:t>
            </w:r>
          </w:p>
        </w:tc>
        <w:tc>
          <w:tcPr>
            <w:tcW w:w="1238" w:type="dxa"/>
            <w:tcBorders>
              <w:top w:val="nil"/>
              <w:left w:val="nil"/>
              <w:bottom w:val="single" w:sz="8" w:space="0" w:color="auto"/>
              <w:right w:val="single" w:sz="4" w:space="0" w:color="auto"/>
            </w:tcBorders>
            <w:shd w:val="clear" w:color="auto" w:fill="auto"/>
            <w:vAlign w:val="bottom"/>
            <w:hideMark/>
          </w:tcPr>
          <w:p w:rsidR="002423E9" w:rsidRPr="002423E9" w:rsidP="002423E9" w14:paraId="613E0FD3" w14:textId="77186183">
            <w:pPr>
              <w:jc w:val="center"/>
              <w:rPr>
                <w:rFonts w:eastAsia="Times New Roman" w:cs="Times New Roman"/>
                <w:b/>
                <w:bCs/>
                <w:color w:val="000000" w:themeColor="text1"/>
                <w:sz w:val="18"/>
                <w:szCs w:val="18"/>
              </w:rPr>
            </w:pPr>
            <w:r w:rsidRPr="002423E9">
              <w:rPr>
                <w:rFonts w:cs="Times New Roman"/>
                <w:b/>
                <w:bCs/>
                <w:color w:val="000000"/>
                <w:sz w:val="18"/>
                <w:szCs w:val="18"/>
              </w:rPr>
              <w:t xml:space="preserve">$1,306,960 </w:t>
            </w:r>
          </w:p>
        </w:tc>
        <w:tc>
          <w:tcPr>
            <w:tcW w:w="1727" w:type="dxa"/>
            <w:tcBorders>
              <w:top w:val="nil"/>
              <w:left w:val="nil"/>
              <w:bottom w:val="single" w:sz="8" w:space="0" w:color="auto"/>
              <w:right w:val="single" w:sz="4" w:space="0" w:color="auto"/>
            </w:tcBorders>
            <w:shd w:val="clear" w:color="auto" w:fill="auto"/>
            <w:vAlign w:val="bottom"/>
            <w:hideMark/>
          </w:tcPr>
          <w:p w:rsidR="002423E9" w:rsidRPr="002423E9" w:rsidP="002423E9" w14:paraId="1149C736" w14:textId="77777777">
            <w:pPr>
              <w:jc w:val="center"/>
              <w:rPr>
                <w:rFonts w:cs="Times New Roman"/>
                <w:b/>
                <w:bCs/>
                <w:color w:val="000000"/>
                <w:sz w:val="18"/>
                <w:szCs w:val="18"/>
              </w:rPr>
            </w:pPr>
            <w:r w:rsidRPr="002423E9">
              <w:rPr>
                <w:rFonts w:cs="Times New Roman"/>
                <w:b/>
                <w:bCs/>
                <w:color w:val="000000"/>
                <w:sz w:val="18"/>
                <w:szCs w:val="18"/>
              </w:rPr>
              <w:t>-$789,652</w:t>
            </w:r>
          </w:p>
          <w:p w:rsidR="002423E9" w:rsidRPr="002423E9" w:rsidP="002423E9" w14:paraId="24F1ED97" w14:textId="7D61CE9B">
            <w:pPr>
              <w:jc w:val="center"/>
              <w:rPr>
                <w:rFonts w:eastAsia="Times New Roman" w:cs="Times New Roman"/>
                <w:b/>
                <w:bCs/>
                <w:color w:val="000000" w:themeColor="text1"/>
                <w:sz w:val="18"/>
                <w:szCs w:val="18"/>
              </w:rPr>
            </w:pPr>
          </w:p>
        </w:tc>
      </w:tr>
    </w:tbl>
    <w:p w:rsidR="00C82D17" w:rsidP="008518A1" w14:paraId="54839ABA" w14:textId="77777777">
      <w:pPr>
        <w:spacing w:line="276" w:lineRule="auto"/>
        <w:contextualSpacing/>
      </w:pPr>
    </w:p>
    <w:p w:rsidR="002E27ED" w:rsidP="00C32062" w14:paraId="6B25E383" w14:textId="5AF3EF49">
      <w:pPr>
        <w:pStyle w:val="ListParagraph"/>
        <w:spacing w:line="276" w:lineRule="auto"/>
      </w:pPr>
      <w:r w:rsidRPr="001D3D89">
        <w:rPr>
          <w:b/>
          <w:bCs/>
          <w:i/>
          <w:iCs/>
        </w:rPr>
        <w:t>Explain:</w:t>
      </w:r>
      <w:r w:rsidRPr="001D3D89">
        <w:t xml:space="preserve">  </w:t>
      </w:r>
      <w:r>
        <w:t>The</w:t>
      </w:r>
      <w:r w:rsidR="00CC1069">
        <w:t>re was an</w:t>
      </w:r>
      <w:r>
        <w:t xml:space="preserve"> increase in the wage rate </w:t>
      </w:r>
      <w:r w:rsidR="00C70B28">
        <w:t>from</w:t>
      </w:r>
      <w:r>
        <w:t xml:space="preserve"> </w:t>
      </w:r>
      <w:r w:rsidR="002165E8">
        <w:t xml:space="preserve">$43.15 in 2023 to </w:t>
      </w:r>
      <w:r>
        <w:t>$45.65</w:t>
      </w:r>
      <w:r w:rsidR="002165E8">
        <w:t xml:space="preserve"> in 2024. </w:t>
      </w:r>
    </w:p>
    <w:p w:rsidR="002E27ED" w:rsidP="00C32062" w14:paraId="4014D990" w14:textId="77777777">
      <w:pPr>
        <w:pStyle w:val="ListParagraph"/>
        <w:spacing w:line="276" w:lineRule="auto"/>
      </w:pPr>
    </w:p>
    <w:p w:rsidR="00162458" w:rsidP="00C32062" w14:paraId="30ED7DDC" w14:textId="6862B2FB">
      <w:pPr>
        <w:pStyle w:val="ListParagraph"/>
        <w:spacing w:line="276" w:lineRule="auto"/>
      </w:pPr>
      <w:r>
        <w:t>FEMA Form FF-206-FY-21-117 (formerly 086-0-1)</w:t>
      </w:r>
      <w:r w:rsidR="0049336B">
        <w:rPr>
          <w:szCs w:val="24"/>
        </w:rPr>
        <w:t xml:space="preserve">, Flood Insurance </w:t>
      </w:r>
      <w:r w:rsidRPr="00C32062" w:rsidR="0049336B">
        <w:rPr>
          <w:szCs w:val="24"/>
        </w:rPr>
        <w:t xml:space="preserve">Application </w:t>
      </w:r>
      <w:r>
        <w:t xml:space="preserve">– The increase in the annual cost burden is due to the increase in the number of applications submitted (from 17,593 to 45,986). </w:t>
      </w:r>
      <w:r w:rsidR="00FB7D70">
        <w:t xml:space="preserve"> </w:t>
      </w:r>
      <w:r>
        <w:t xml:space="preserve">The cost burden has increased by </w:t>
      </w:r>
      <w:r w:rsidRPr="00BC482C" w:rsidR="00BC482C">
        <w:t>$300,097</w:t>
      </w:r>
      <w:r w:rsidR="003C3323">
        <w:t>,</w:t>
      </w:r>
      <w:r>
        <w:t xml:space="preserve"> from $154,805 to $</w:t>
      </w:r>
      <w:r w:rsidR="001011DB">
        <w:t>454,902</w:t>
      </w:r>
      <w:r>
        <w:t>.</w:t>
      </w:r>
    </w:p>
    <w:p w:rsidR="00162458" w:rsidP="008518A1" w14:paraId="2202361E" w14:textId="77777777">
      <w:pPr>
        <w:spacing w:line="276" w:lineRule="auto"/>
        <w:contextualSpacing/>
      </w:pPr>
    </w:p>
    <w:p w:rsidR="00162458" w:rsidP="00C32062" w14:paraId="49E2E488" w14:textId="3EAFF60C">
      <w:pPr>
        <w:pStyle w:val="ListParagraph"/>
        <w:spacing w:line="276" w:lineRule="auto"/>
      </w:pPr>
      <w:r>
        <w:t>FEMA Form FF-206-FY-21-118 (formerly 086-0-2)</w:t>
      </w:r>
      <w:r w:rsidR="0049336B">
        <w:rPr>
          <w:szCs w:val="24"/>
        </w:rPr>
        <w:t xml:space="preserve">, Flood Insurance </w:t>
      </w:r>
      <w:r w:rsidRPr="00C32062" w:rsidR="0049336B">
        <w:rPr>
          <w:szCs w:val="24"/>
        </w:rPr>
        <w:t>Cancellation</w:t>
      </w:r>
      <w:r w:rsidR="0049336B">
        <w:rPr>
          <w:szCs w:val="24"/>
        </w:rPr>
        <w:t>/Nullification Request</w:t>
      </w:r>
      <w:r w:rsidRPr="00C32062" w:rsidR="0049336B">
        <w:rPr>
          <w:szCs w:val="24"/>
        </w:rPr>
        <w:t xml:space="preserve"> </w:t>
      </w:r>
      <w:r w:rsidR="0049336B">
        <w:rPr>
          <w:szCs w:val="24"/>
        </w:rPr>
        <w:t xml:space="preserve">Form </w:t>
      </w:r>
      <w:r>
        <w:t xml:space="preserve">– The decrease in the annual cost burden is due to the decrease in the number of cancellation forms submitted, from 30,964 to 14,656. The cost burden has decreased by </w:t>
      </w:r>
      <w:r w:rsidRPr="0032625C" w:rsidR="0032625C">
        <w:t>$88,294</w:t>
      </w:r>
      <w:r>
        <w:t xml:space="preserve">, from $188,633 to </w:t>
      </w:r>
      <w:r w:rsidRPr="0032625C" w:rsidR="0032625C">
        <w:t>$100,339</w:t>
      </w:r>
      <w:r>
        <w:t xml:space="preserve">. </w:t>
      </w:r>
    </w:p>
    <w:p w:rsidR="00162458" w:rsidP="008518A1" w14:paraId="206601C3" w14:textId="77777777">
      <w:pPr>
        <w:spacing w:line="276" w:lineRule="auto"/>
        <w:contextualSpacing/>
      </w:pPr>
    </w:p>
    <w:p w:rsidR="00162458" w:rsidP="00C32062" w14:paraId="045E4CD7" w14:textId="4A9C601C">
      <w:pPr>
        <w:pStyle w:val="ListParagraph"/>
        <w:spacing w:line="276" w:lineRule="auto"/>
      </w:pPr>
      <w:r>
        <w:t>FEMA Form FF-206-FY-21-119 (formerly 086-0-3)</w:t>
      </w:r>
      <w:r w:rsidR="0049336B">
        <w:rPr>
          <w:szCs w:val="24"/>
        </w:rPr>
        <w:t xml:space="preserve">, Flood Insurance General Change </w:t>
      </w:r>
      <w:r w:rsidRPr="00C32062" w:rsidR="0049336B">
        <w:rPr>
          <w:szCs w:val="24"/>
        </w:rPr>
        <w:t>Endorsement</w:t>
      </w:r>
      <w:r>
        <w:t xml:space="preserve"> – The decrease in the annual cost burden is due to the decrease in the number of endorsement forms submitted, from 323,865 to 123,531. </w:t>
      </w:r>
      <w:r w:rsidR="00FB7D70">
        <w:t xml:space="preserve"> </w:t>
      </w:r>
      <w:r>
        <w:t xml:space="preserve">The cost burden has decreased by </w:t>
      </w:r>
      <w:r w:rsidRPr="00FF682C" w:rsidR="00FF682C">
        <w:t>$1,001,455</w:t>
      </w:r>
      <w:r w:rsidR="00C70B28">
        <w:t xml:space="preserve">, from </w:t>
      </w:r>
      <w:r w:rsidRPr="00683C51" w:rsidR="00683C51">
        <w:t>$1,753,174</w:t>
      </w:r>
      <w:r w:rsidR="00683C51">
        <w:t xml:space="preserve"> to </w:t>
      </w:r>
      <w:r w:rsidRPr="00683C51" w:rsidR="00683C51">
        <w:t>$751,719</w:t>
      </w:r>
      <w:r>
        <w:t>.</w:t>
      </w:r>
    </w:p>
    <w:p w:rsidR="00162458" w:rsidP="008518A1" w14:paraId="30B69405" w14:textId="77777777">
      <w:pPr>
        <w:spacing w:line="276" w:lineRule="auto"/>
        <w:contextualSpacing/>
      </w:pPr>
    </w:p>
    <w:p w:rsidR="002D3CCF" w:rsidRPr="001D3D89" w:rsidP="00C32062" w14:paraId="36908FEF" w14:textId="6C1FDC6C">
      <w:pPr>
        <w:pStyle w:val="ListParagraph"/>
        <w:spacing w:line="276" w:lineRule="auto"/>
      </w:pPr>
      <w:r>
        <w:t xml:space="preserve">FEMA Form </w:t>
      </w:r>
      <w:r w:rsidRPr="0049336B">
        <w:rPr>
          <w:color w:val="000000" w:themeColor="text1"/>
        </w:rPr>
        <w:t>FF-</w:t>
      </w:r>
      <w:r w:rsidRPr="0049336B" w:rsidR="000D6DD3">
        <w:rPr>
          <w:color w:val="000000" w:themeColor="text1"/>
        </w:rPr>
        <w:t>206</w:t>
      </w:r>
      <w:r w:rsidRPr="0049336B">
        <w:rPr>
          <w:color w:val="000000" w:themeColor="text1"/>
        </w:rPr>
        <w:t>-FY-</w:t>
      </w:r>
      <w:r w:rsidRPr="0049336B" w:rsidR="000D6DD3">
        <w:rPr>
          <w:color w:val="000000" w:themeColor="text1"/>
        </w:rPr>
        <w:t>24</w:t>
      </w:r>
      <w:r w:rsidRPr="0049336B">
        <w:rPr>
          <w:color w:val="000000" w:themeColor="text1"/>
        </w:rPr>
        <w:t>-</w:t>
      </w:r>
      <w:r w:rsidRPr="0049336B" w:rsidR="0049336B">
        <w:rPr>
          <w:color w:val="000000" w:themeColor="text1"/>
        </w:rPr>
        <w:t>103</w:t>
      </w:r>
      <w:r w:rsidRPr="0049336B">
        <w:rPr>
          <w:color w:val="000000" w:themeColor="text1"/>
        </w:rPr>
        <w:t>, e</w:t>
      </w:r>
      <w:r>
        <w:t>-Flood Insurance Application – The annual cost burden for this new form is estimated to be $</w:t>
      </w:r>
      <w:r w:rsidR="0038135D">
        <w:t>548</w:t>
      </w:r>
      <w:r w:rsidR="00683C51">
        <w:t>, from $0 to $548</w:t>
      </w:r>
      <w:r>
        <w:t>.</w:t>
      </w:r>
    </w:p>
    <w:p w:rsidR="002D3CCF" w:rsidP="008518A1" w14:paraId="101B2C02" w14:textId="77777777">
      <w:pPr>
        <w:spacing w:line="276" w:lineRule="auto"/>
        <w:contextualSpacing/>
      </w:pPr>
    </w:p>
    <w:p w:rsidR="00AC49FB" w:rsidRPr="001D3D89" w:rsidP="00C32062" w14:paraId="5C4D76E8" w14:textId="3B84E18C">
      <w:pPr>
        <w:pStyle w:val="ListParagraph"/>
        <w:numPr>
          <w:ilvl w:val="0"/>
          <w:numId w:val="6"/>
        </w:numPr>
        <w:spacing w:line="276" w:lineRule="auto"/>
        <w:rPr>
          <w:b/>
          <w:bCs/>
        </w:rPr>
      </w:pPr>
      <w:r w:rsidRPr="001D3D89">
        <w:rPr>
          <w:b/>
          <w:bCs/>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1D3D89">
        <w:rPr>
          <w:b/>
          <w:bCs/>
        </w:rPr>
        <w:t>ending dates of the collection of information, completion of report, publication dates, and other actions.</w:t>
      </w:r>
    </w:p>
    <w:p w:rsidR="001D3D89" w:rsidP="00C32062" w14:paraId="73CD86C2" w14:textId="25711C2D">
      <w:pPr>
        <w:spacing w:line="276" w:lineRule="auto"/>
        <w:contextualSpacing/>
      </w:pPr>
    </w:p>
    <w:p w:rsidR="001D3D89" w:rsidP="00C32062" w14:paraId="7F52BF50" w14:textId="5DB36C5D">
      <w:pPr>
        <w:spacing w:line="276" w:lineRule="auto"/>
        <w:contextualSpacing/>
      </w:pPr>
      <w:r w:rsidRPr="002A7903">
        <w:t xml:space="preserve">There are no plans for tabulation and publication of data for this information collection.  </w:t>
      </w:r>
    </w:p>
    <w:p w:rsidR="001D3D89" w:rsidP="00C32062" w14:paraId="389723BE" w14:textId="77777777">
      <w:pPr>
        <w:spacing w:line="276" w:lineRule="auto"/>
        <w:contextualSpacing/>
      </w:pPr>
    </w:p>
    <w:p w:rsidR="00AC49FB" w:rsidRPr="001D3D89" w:rsidP="00C32062"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C32062" w14:paraId="3D4584CB" w14:textId="16A29EED">
      <w:pPr>
        <w:spacing w:line="276" w:lineRule="auto"/>
        <w:contextualSpacing/>
      </w:pPr>
    </w:p>
    <w:p w:rsidR="003D4023" w:rsidP="00C32062" w14:paraId="58235291" w14:textId="5BBCE464">
      <w:pPr>
        <w:spacing w:line="276" w:lineRule="auto"/>
        <w:contextualSpacing/>
      </w:pPr>
      <w:r>
        <w:t>This information collection is not seeking approval to not display the expiration date for OMB approval.</w:t>
      </w:r>
    </w:p>
    <w:p w:rsidR="001D3D89" w:rsidP="00C32062" w14:paraId="440FFD24" w14:textId="77777777">
      <w:pPr>
        <w:spacing w:line="276" w:lineRule="auto"/>
        <w:contextualSpacing/>
      </w:pPr>
    </w:p>
    <w:p w:rsidR="00AC49FB" w:rsidRPr="001D3D89" w:rsidP="00C32062"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C32062" w14:paraId="2597E859" w14:textId="6EDC456C">
      <w:pPr>
        <w:spacing w:line="276" w:lineRule="auto"/>
        <w:contextualSpacing/>
      </w:pPr>
    </w:p>
    <w:p w:rsidR="001D3D89" w:rsidP="00C32062" w14:paraId="136022EB" w14:textId="331BF66E">
      <w:pPr>
        <w:spacing w:line="276" w:lineRule="auto"/>
        <w:contextualSpacing/>
      </w:pPr>
      <w:r w:rsidRPr="008518A1">
        <w:t xml:space="preserve">This collection does not seek exception to “Certification for Paperwork Reduction Act Submissions”.  </w:t>
      </w:r>
    </w:p>
    <w:p w:rsidR="001D3D89" w:rsidP="00C32062" w14:paraId="272DBBC3" w14:textId="77777777">
      <w:pPr>
        <w:spacing w:line="276" w:lineRule="auto"/>
        <w:contextualSpacing/>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36E374F8">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54CE" w:rsidP="00E655F0" w14:paraId="30B05788" w14:textId="77777777">
      <w:r>
        <w:separator/>
      </w:r>
    </w:p>
  </w:footnote>
  <w:footnote w:type="continuationSeparator" w:id="1">
    <w:p w:rsidR="002854CE" w:rsidP="00E655F0" w14:paraId="3849842E" w14:textId="77777777">
      <w:r>
        <w:continuationSeparator/>
      </w:r>
    </w:p>
  </w:footnote>
  <w:footnote w:type="continuationNotice" w:id="2">
    <w:p w:rsidR="002854CE" w14:paraId="53AE9CE5" w14:textId="77777777"/>
  </w:footnote>
  <w:footnote w:id="3">
    <w:p w:rsidR="00AA0AEF" w:rsidRPr="00B6034C" w:rsidP="00AA0AEF" w14:paraId="54990198" w14:textId="0768B696">
      <w:pPr>
        <w:pStyle w:val="FootnoteText"/>
        <w:rPr>
          <w:sz w:val="18"/>
          <w:szCs w:val="18"/>
        </w:rPr>
      </w:pPr>
      <w:r w:rsidRPr="00797C65">
        <w:rPr>
          <w:rStyle w:val="FootnoteReference"/>
          <w:sz w:val="18"/>
          <w:szCs w:val="18"/>
        </w:rPr>
        <w:footnoteRef/>
      </w:r>
      <w:r w:rsidRPr="00797C65">
        <w:rPr>
          <w:sz w:val="18"/>
          <w:szCs w:val="18"/>
        </w:rPr>
        <w:t xml:space="preserve"> </w:t>
      </w:r>
      <w:r w:rsidRPr="00797C65" w:rsidR="00106B5F">
        <w:rPr>
          <w:rFonts w:cs="Times New Roman"/>
          <w:sz w:val="18"/>
          <w:szCs w:val="18"/>
        </w:rPr>
        <w:t xml:space="preserve">Bureau of Labor Statistics, Employer Costs for Employee Compensation, Table 1.  Available at </w:t>
      </w:r>
      <w:hyperlink r:id="rId1" w:history="1">
        <w:r w:rsidRPr="00797C65" w:rsidR="00106B5F">
          <w:rPr>
            <w:rStyle w:val="Hyperlink"/>
            <w:rFonts w:cs="Times New Roman"/>
            <w:sz w:val="18"/>
            <w:szCs w:val="18"/>
          </w:rPr>
          <w:t>https://www.bls.gov/news.release/archives/ecec_03172023.pdf</w:t>
        </w:r>
      </w:hyperlink>
      <w:r w:rsidRPr="00797C65" w:rsidR="00106B5F">
        <w:rPr>
          <w:rFonts w:cs="Times New Roman"/>
          <w:sz w:val="18"/>
          <w:szCs w:val="18"/>
        </w:rPr>
        <w:t>.  Accessed March 20, 2023.  The national wage multiplier is calculated by dividing total compensation for all workers of $42.48 by wages and salaries for all workers of $29.32 per hour</w:t>
      </w:r>
      <w:r w:rsidRPr="004B1A11" w:rsidR="00106B5F">
        <w:rPr>
          <w:rFonts w:cs="Times New Roman"/>
          <w:sz w:val="18"/>
          <w:szCs w:val="18"/>
        </w:rPr>
        <w:t xml:space="preserve"> </w:t>
      </w:r>
      <w:r w:rsidRPr="00B6034C" w:rsidR="00106B5F">
        <w:rPr>
          <w:rFonts w:cs="Times New Roman"/>
          <w:sz w:val="18"/>
          <w:szCs w:val="18"/>
        </w:rPr>
        <w:t>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A73CD7" w:rsidRPr="008518A1" w:rsidP="00A73CD7" w14:paraId="5C2097AB" w14:textId="1D581BAA">
      <w:pPr>
        <w:pStyle w:val="FootnoteText"/>
        <w:rPr>
          <w:rFonts w:cs="Times New Roman"/>
          <w:sz w:val="18"/>
          <w:szCs w:val="18"/>
        </w:rPr>
      </w:pPr>
      <w:r w:rsidRPr="00B6034C">
        <w:rPr>
          <w:rStyle w:val="FootnoteReference"/>
          <w:rFonts w:cs="Times New Roman"/>
          <w:sz w:val="18"/>
          <w:szCs w:val="18"/>
        </w:rPr>
        <w:footnoteRef/>
      </w:r>
      <w:r w:rsidRPr="00B6034C">
        <w:rPr>
          <w:rFonts w:cs="Times New Roman"/>
          <w:sz w:val="18"/>
          <w:szCs w:val="18"/>
        </w:rPr>
        <w:t xml:space="preserve"> </w:t>
      </w:r>
      <w:r w:rsidRPr="00B6034C" w:rsidR="00106B5F">
        <w:rPr>
          <w:rFonts w:cs="Times New Roman"/>
          <w:sz w:val="18"/>
          <w:szCs w:val="18"/>
        </w:rPr>
        <w:t xml:space="preserve">Information on the mean wage rate from the U.S. Department of Labor, Bureau of Labor Statistics is available online at: </w:t>
      </w:r>
      <w:hyperlink r:id="rId2" w:history="1">
        <w:r w:rsidR="006F5CD6">
          <w:rPr>
            <w:rStyle w:val="Hyperlink"/>
            <w:rFonts w:cs="Times New Roman"/>
            <w:sz w:val="18"/>
            <w:szCs w:val="18"/>
          </w:rPr>
          <w:t>https://www.bls.gov/oes/2023/may/oes_nat.htm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1742BAD9">
    <w:pPr>
      <w:pStyle w:val="Header"/>
      <w:jc w:val="center"/>
    </w:pPr>
    <w:r>
      <w:t>1660-0006 – National Flood Insurance Program Policy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6"/>
  </w:num>
  <w:num w:numId="2" w16cid:durableId="805046188">
    <w:abstractNumId w:val="7"/>
  </w:num>
  <w:num w:numId="3" w16cid:durableId="1049378710">
    <w:abstractNumId w:val="2"/>
  </w:num>
  <w:num w:numId="4" w16cid:durableId="2020617816">
    <w:abstractNumId w:val="5"/>
  </w:num>
  <w:num w:numId="5" w16cid:durableId="791049124">
    <w:abstractNumId w:val="3"/>
  </w:num>
  <w:num w:numId="6" w16cid:durableId="1360353002">
    <w:abstractNumId w:val="4"/>
  </w:num>
  <w:num w:numId="7" w16cid:durableId="1449622006">
    <w:abstractNumId w:val="1"/>
  </w:num>
  <w:num w:numId="8" w16cid:durableId="54186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2624"/>
    <w:rsid w:val="00021D08"/>
    <w:rsid w:val="00025D69"/>
    <w:rsid w:val="00026A73"/>
    <w:rsid w:val="00027298"/>
    <w:rsid w:val="00032F53"/>
    <w:rsid w:val="0003449D"/>
    <w:rsid w:val="000353B3"/>
    <w:rsid w:val="0003651A"/>
    <w:rsid w:val="00044124"/>
    <w:rsid w:val="00052181"/>
    <w:rsid w:val="00054513"/>
    <w:rsid w:val="00055F6D"/>
    <w:rsid w:val="000574C7"/>
    <w:rsid w:val="00060D58"/>
    <w:rsid w:val="00061940"/>
    <w:rsid w:val="00067B18"/>
    <w:rsid w:val="00067D64"/>
    <w:rsid w:val="00071B16"/>
    <w:rsid w:val="00074B04"/>
    <w:rsid w:val="00076BBA"/>
    <w:rsid w:val="00076E10"/>
    <w:rsid w:val="00083D0C"/>
    <w:rsid w:val="00090539"/>
    <w:rsid w:val="0009191E"/>
    <w:rsid w:val="000A59DE"/>
    <w:rsid w:val="000B255B"/>
    <w:rsid w:val="000B7549"/>
    <w:rsid w:val="000C33A1"/>
    <w:rsid w:val="000D34F9"/>
    <w:rsid w:val="000D59B0"/>
    <w:rsid w:val="000D6DD3"/>
    <w:rsid w:val="000D7C1F"/>
    <w:rsid w:val="000E09B2"/>
    <w:rsid w:val="001011DB"/>
    <w:rsid w:val="00101B34"/>
    <w:rsid w:val="00106423"/>
    <w:rsid w:val="00106B5F"/>
    <w:rsid w:val="00107918"/>
    <w:rsid w:val="0011044E"/>
    <w:rsid w:val="0011421D"/>
    <w:rsid w:val="001225CD"/>
    <w:rsid w:val="001248EB"/>
    <w:rsid w:val="00141580"/>
    <w:rsid w:val="00162458"/>
    <w:rsid w:val="00162F4B"/>
    <w:rsid w:val="00170134"/>
    <w:rsid w:val="0017082D"/>
    <w:rsid w:val="00174B16"/>
    <w:rsid w:val="00184547"/>
    <w:rsid w:val="001925C0"/>
    <w:rsid w:val="001928CB"/>
    <w:rsid w:val="00197251"/>
    <w:rsid w:val="001A6E04"/>
    <w:rsid w:val="001C2601"/>
    <w:rsid w:val="001C53AA"/>
    <w:rsid w:val="001C57CA"/>
    <w:rsid w:val="001C73EE"/>
    <w:rsid w:val="001D1334"/>
    <w:rsid w:val="001D1A89"/>
    <w:rsid w:val="001D3D89"/>
    <w:rsid w:val="001E272B"/>
    <w:rsid w:val="001E4A83"/>
    <w:rsid w:val="001F2F7F"/>
    <w:rsid w:val="001F3869"/>
    <w:rsid w:val="00214FBF"/>
    <w:rsid w:val="002150C3"/>
    <w:rsid w:val="002165E8"/>
    <w:rsid w:val="002177E8"/>
    <w:rsid w:val="0022018B"/>
    <w:rsid w:val="002206ED"/>
    <w:rsid w:val="00224FAA"/>
    <w:rsid w:val="00230804"/>
    <w:rsid w:val="002340E2"/>
    <w:rsid w:val="00240E86"/>
    <w:rsid w:val="002423E9"/>
    <w:rsid w:val="0024686B"/>
    <w:rsid w:val="0026254A"/>
    <w:rsid w:val="0026706D"/>
    <w:rsid w:val="002759A8"/>
    <w:rsid w:val="00281F79"/>
    <w:rsid w:val="00282907"/>
    <w:rsid w:val="00283122"/>
    <w:rsid w:val="002854CE"/>
    <w:rsid w:val="002976F0"/>
    <w:rsid w:val="002A0570"/>
    <w:rsid w:val="002A2783"/>
    <w:rsid w:val="002A5365"/>
    <w:rsid w:val="002A544A"/>
    <w:rsid w:val="002A6107"/>
    <w:rsid w:val="002A7903"/>
    <w:rsid w:val="002A7E30"/>
    <w:rsid w:val="002B63E8"/>
    <w:rsid w:val="002C6739"/>
    <w:rsid w:val="002C6876"/>
    <w:rsid w:val="002D3CCF"/>
    <w:rsid w:val="002D756A"/>
    <w:rsid w:val="002E0D9F"/>
    <w:rsid w:val="002E27ED"/>
    <w:rsid w:val="002E7F6A"/>
    <w:rsid w:val="002F1B6D"/>
    <w:rsid w:val="002F391E"/>
    <w:rsid w:val="002F3B7D"/>
    <w:rsid w:val="002F3FAA"/>
    <w:rsid w:val="002F421F"/>
    <w:rsid w:val="0030016D"/>
    <w:rsid w:val="00306655"/>
    <w:rsid w:val="00310178"/>
    <w:rsid w:val="003165CC"/>
    <w:rsid w:val="0032625C"/>
    <w:rsid w:val="003275D0"/>
    <w:rsid w:val="003318E6"/>
    <w:rsid w:val="00332F01"/>
    <w:rsid w:val="0033689C"/>
    <w:rsid w:val="00342C6A"/>
    <w:rsid w:val="003444D6"/>
    <w:rsid w:val="003472B1"/>
    <w:rsid w:val="00347429"/>
    <w:rsid w:val="00362BB5"/>
    <w:rsid w:val="00363650"/>
    <w:rsid w:val="00365076"/>
    <w:rsid w:val="00370CD9"/>
    <w:rsid w:val="0037332B"/>
    <w:rsid w:val="003733A3"/>
    <w:rsid w:val="003733D0"/>
    <w:rsid w:val="00373428"/>
    <w:rsid w:val="00377303"/>
    <w:rsid w:val="0038135D"/>
    <w:rsid w:val="003817D8"/>
    <w:rsid w:val="00394E7E"/>
    <w:rsid w:val="00396609"/>
    <w:rsid w:val="003A014E"/>
    <w:rsid w:val="003A7E63"/>
    <w:rsid w:val="003B297E"/>
    <w:rsid w:val="003B695B"/>
    <w:rsid w:val="003C3323"/>
    <w:rsid w:val="003D3D7B"/>
    <w:rsid w:val="003D4023"/>
    <w:rsid w:val="003D455A"/>
    <w:rsid w:val="003E33A0"/>
    <w:rsid w:val="003E3EF7"/>
    <w:rsid w:val="003E482C"/>
    <w:rsid w:val="003F1C40"/>
    <w:rsid w:val="00414FEC"/>
    <w:rsid w:val="004157C9"/>
    <w:rsid w:val="0041598D"/>
    <w:rsid w:val="00422BC3"/>
    <w:rsid w:val="00424F8A"/>
    <w:rsid w:val="00425D0D"/>
    <w:rsid w:val="00427B92"/>
    <w:rsid w:val="0043438D"/>
    <w:rsid w:val="00444437"/>
    <w:rsid w:val="004521DF"/>
    <w:rsid w:val="00452CFD"/>
    <w:rsid w:val="00464AFB"/>
    <w:rsid w:val="00474EB6"/>
    <w:rsid w:val="00475265"/>
    <w:rsid w:val="00476081"/>
    <w:rsid w:val="00482EBA"/>
    <w:rsid w:val="0048685E"/>
    <w:rsid w:val="00491423"/>
    <w:rsid w:val="0049336B"/>
    <w:rsid w:val="004A092D"/>
    <w:rsid w:val="004A2330"/>
    <w:rsid w:val="004A2BF9"/>
    <w:rsid w:val="004A420E"/>
    <w:rsid w:val="004A6D73"/>
    <w:rsid w:val="004B010F"/>
    <w:rsid w:val="004B0139"/>
    <w:rsid w:val="004B02F9"/>
    <w:rsid w:val="004B1A11"/>
    <w:rsid w:val="004B4075"/>
    <w:rsid w:val="004B5B07"/>
    <w:rsid w:val="004C47F6"/>
    <w:rsid w:val="004D458B"/>
    <w:rsid w:val="004F1850"/>
    <w:rsid w:val="004F1941"/>
    <w:rsid w:val="004F3187"/>
    <w:rsid w:val="004F44BA"/>
    <w:rsid w:val="005004B3"/>
    <w:rsid w:val="00503E22"/>
    <w:rsid w:val="00510B51"/>
    <w:rsid w:val="00514C43"/>
    <w:rsid w:val="00516254"/>
    <w:rsid w:val="00517DBE"/>
    <w:rsid w:val="00521714"/>
    <w:rsid w:val="00524147"/>
    <w:rsid w:val="0052492C"/>
    <w:rsid w:val="00527A15"/>
    <w:rsid w:val="00533A06"/>
    <w:rsid w:val="00533CD3"/>
    <w:rsid w:val="005376B2"/>
    <w:rsid w:val="005421D9"/>
    <w:rsid w:val="0054401B"/>
    <w:rsid w:val="00544C0D"/>
    <w:rsid w:val="0055051D"/>
    <w:rsid w:val="0055128F"/>
    <w:rsid w:val="00553560"/>
    <w:rsid w:val="00556B43"/>
    <w:rsid w:val="005570E7"/>
    <w:rsid w:val="00565508"/>
    <w:rsid w:val="00570251"/>
    <w:rsid w:val="00571DF2"/>
    <w:rsid w:val="00575E30"/>
    <w:rsid w:val="0057695E"/>
    <w:rsid w:val="005802F1"/>
    <w:rsid w:val="0058167A"/>
    <w:rsid w:val="005817F9"/>
    <w:rsid w:val="00584DB5"/>
    <w:rsid w:val="005854FD"/>
    <w:rsid w:val="00590BC1"/>
    <w:rsid w:val="00595B4F"/>
    <w:rsid w:val="005A2091"/>
    <w:rsid w:val="005B29CC"/>
    <w:rsid w:val="005B49B1"/>
    <w:rsid w:val="005B516E"/>
    <w:rsid w:val="005B55F6"/>
    <w:rsid w:val="005B5FE4"/>
    <w:rsid w:val="005C5A80"/>
    <w:rsid w:val="005C5D53"/>
    <w:rsid w:val="005E3594"/>
    <w:rsid w:val="005F3A4E"/>
    <w:rsid w:val="005F5019"/>
    <w:rsid w:val="005F6F12"/>
    <w:rsid w:val="0061082C"/>
    <w:rsid w:val="00614A11"/>
    <w:rsid w:val="00625F7A"/>
    <w:rsid w:val="00626A7F"/>
    <w:rsid w:val="00627C87"/>
    <w:rsid w:val="00635E63"/>
    <w:rsid w:val="00640B9D"/>
    <w:rsid w:val="006619A0"/>
    <w:rsid w:val="00662390"/>
    <w:rsid w:val="006712F5"/>
    <w:rsid w:val="0067637E"/>
    <w:rsid w:val="00677EA6"/>
    <w:rsid w:val="00682AE5"/>
    <w:rsid w:val="00683C51"/>
    <w:rsid w:val="00685578"/>
    <w:rsid w:val="006859EA"/>
    <w:rsid w:val="0069509C"/>
    <w:rsid w:val="006958D4"/>
    <w:rsid w:val="006A1DF7"/>
    <w:rsid w:val="006A1EAA"/>
    <w:rsid w:val="006A42E7"/>
    <w:rsid w:val="006A7298"/>
    <w:rsid w:val="006B5A7B"/>
    <w:rsid w:val="006C3B1E"/>
    <w:rsid w:val="006E77C3"/>
    <w:rsid w:val="006F0065"/>
    <w:rsid w:val="006F4198"/>
    <w:rsid w:val="006F5CD6"/>
    <w:rsid w:val="006F6F9B"/>
    <w:rsid w:val="00701242"/>
    <w:rsid w:val="007056BF"/>
    <w:rsid w:val="0070794C"/>
    <w:rsid w:val="00707E5C"/>
    <w:rsid w:val="0071105B"/>
    <w:rsid w:val="00715287"/>
    <w:rsid w:val="00721D5A"/>
    <w:rsid w:val="007220AF"/>
    <w:rsid w:val="00732192"/>
    <w:rsid w:val="00732450"/>
    <w:rsid w:val="00735545"/>
    <w:rsid w:val="007750B8"/>
    <w:rsid w:val="0078503D"/>
    <w:rsid w:val="007925C3"/>
    <w:rsid w:val="00795365"/>
    <w:rsid w:val="00797C65"/>
    <w:rsid w:val="007A335C"/>
    <w:rsid w:val="007B332C"/>
    <w:rsid w:val="007B538F"/>
    <w:rsid w:val="007B6FA2"/>
    <w:rsid w:val="007C221D"/>
    <w:rsid w:val="007E5A2E"/>
    <w:rsid w:val="007F6001"/>
    <w:rsid w:val="007F629F"/>
    <w:rsid w:val="00812C3B"/>
    <w:rsid w:val="008150D0"/>
    <w:rsid w:val="0082520B"/>
    <w:rsid w:val="008258E2"/>
    <w:rsid w:val="0083172A"/>
    <w:rsid w:val="0083736D"/>
    <w:rsid w:val="00843899"/>
    <w:rsid w:val="0084683F"/>
    <w:rsid w:val="008518A1"/>
    <w:rsid w:val="00852A1D"/>
    <w:rsid w:val="00860BB0"/>
    <w:rsid w:val="00863E12"/>
    <w:rsid w:val="00872E2A"/>
    <w:rsid w:val="008734FC"/>
    <w:rsid w:val="00875AE4"/>
    <w:rsid w:val="00896521"/>
    <w:rsid w:val="008969C8"/>
    <w:rsid w:val="00896EFE"/>
    <w:rsid w:val="008A0282"/>
    <w:rsid w:val="008A02A5"/>
    <w:rsid w:val="008A2424"/>
    <w:rsid w:val="008B0B10"/>
    <w:rsid w:val="008B19B1"/>
    <w:rsid w:val="008B4A93"/>
    <w:rsid w:val="008B7DA9"/>
    <w:rsid w:val="008B7DE6"/>
    <w:rsid w:val="008C355D"/>
    <w:rsid w:val="008C62ED"/>
    <w:rsid w:val="008D0D1B"/>
    <w:rsid w:val="008D1279"/>
    <w:rsid w:val="008D62DA"/>
    <w:rsid w:val="008E07F9"/>
    <w:rsid w:val="008F5B89"/>
    <w:rsid w:val="0090301E"/>
    <w:rsid w:val="00903113"/>
    <w:rsid w:val="0090557B"/>
    <w:rsid w:val="00906955"/>
    <w:rsid w:val="009108D7"/>
    <w:rsid w:val="00913DED"/>
    <w:rsid w:val="009238C8"/>
    <w:rsid w:val="00926982"/>
    <w:rsid w:val="00933242"/>
    <w:rsid w:val="00943EF6"/>
    <w:rsid w:val="00946E5B"/>
    <w:rsid w:val="009515F3"/>
    <w:rsid w:val="009572DA"/>
    <w:rsid w:val="0096186D"/>
    <w:rsid w:val="00963435"/>
    <w:rsid w:val="00963F98"/>
    <w:rsid w:val="00976540"/>
    <w:rsid w:val="0098738D"/>
    <w:rsid w:val="009A4214"/>
    <w:rsid w:val="009A6C2F"/>
    <w:rsid w:val="009B1CD4"/>
    <w:rsid w:val="009B2B7F"/>
    <w:rsid w:val="009C6355"/>
    <w:rsid w:val="009D01FD"/>
    <w:rsid w:val="009D53F6"/>
    <w:rsid w:val="009D7373"/>
    <w:rsid w:val="009F26A6"/>
    <w:rsid w:val="009F4188"/>
    <w:rsid w:val="009F5AED"/>
    <w:rsid w:val="009F7AD3"/>
    <w:rsid w:val="00A01813"/>
    <w:rsid w:val="00A073E0"/>
    <w:rsid w:val="00A1078A"/>
    <w:rsid w:val="00A25153"/>
    <w:rsid w:val="00A30271"/>
    <w:rsid w:val="00A40B23"/>
    <w:rsid w:val="00A44E57"/>
    <w:rsid w:val="00A466A2"/>
    <w:rsid w:val="00A53F3B"/>
    <w:rsid w:val="00A6726A"/>
    <w:rsid w:val="00A7026C"/>
    <w:rsid w:val="00A71BC0"/>
    <w:rsid w:val="00A73CD7"/>
    <w:rsid w:val="00A7468E"/>
    <w:rsid w:val="00A8284E"/>
    <w:rsid w:val="00AA0AEF"/>
    <w:rsid w:val="00AA213E"/>
    <w:rsid w:val="00AA2BEB"/>
    <w:rsid w:val="00AA2DD8"/>
    <w:rsid w:val="00AB0323"/>
    <w:rsid w:val="00AB78DF"/>
    <w:rsid w:val="00AB7B18"/>
    <w:rsid w:val="00AC1BCE"/>
    <w:rsid w:val="00AC2F5E"/>
    <w:rsid w:val="00AC49FB"/>
    <w:rsid w:val="00AC4C1E"/>
    <w:rsid w:val="00AC5ECF"/>
    <w:rsid w:val="00AC6E44"/>
    <w:rsid w:val="00AD2A51"/>
    <w:rsid w:val="00AD6EF4"/>
    <w:rsid w:val="00AD70D7"/>
    <w:rsid w:val="00AE75C2"/>
    <w:rsid w:val="00AF2B8E"/>
    <w:rsid w:val="00AF3C1B"/>
    <w:rsid w:val="00AF5C84"/>
    <w:rsid w:val="00AF759E"/>
    <w:rsid w:val="00B007FA"/>
    <w:rsid w:val="00B00B9B"/>
    <w:rsid w:val="00B10614"/>
    <w:rsid w:val="00B13FF8"/>
    <w:rsid w:val="00B16CF7"/>
    <w:rsid w:val="00B17787"/>
    <w:rsid w:val="00B17A38"/>
    <w:rsid w:val="00B21C5C"/>
    <w:rsid w:val="00B22696"/>
    <w:rsid w:val="00B24EB2"/>
    <w:rsid w:val="00B27F0F"/>
    <w:rsid w:val="00B3312A"/>
    <w:rsid w:val="00B37021"/>
    <w:rsid w:val="00B37636"/>
    <w:rsid w:val="00B405C5"/>
    <w:rsid w:val="00B550A3"/>
    <w:rsid w:val="00B5600B"/>
    <w:rsid w:val="00B56918"/>
    <w:rsid w:val="00B56FD9"/>
    <w:rsid w:val="00B6034C"/>
    <w:rsid w:val="00B64A54"/>
    <w:rsid w:val="00B7598B"/>
    <w:rsid w:val="00B76526"/>
    <w:rsid w:val="00B816FB"/>
    <w:rsid w:val="00B83E77"/>
    <w:rsid w:val="00B86A37"/>
    <w:rsid w:val="00B93317"/>
    <w:rsid w:val="00B9477D"/>
    <w:rsid w:val="00B964A9"/>
    <w:rsid w:val="00BA5B3F"/>
    <w:rsid w:val="00BB0FDD"/>
    <w:rsid w:val="00BB58C4"/>
    <w:rsid w:val="00BC221E"/>
    <w:rsid w:val="00BC482C"/>
    <w:rsid w:val="00BC49B1"/>
    <w:rsid w:val="00BD5B60"/>
    <w:rsid w:val="00BE0112"/>
    <w:rsid w:val="00BE238B"/>
    <w:rsid w:val="00BE2EF2"/>
    <w:rsid w:val="00BE3DCA"/>
    <w:rsid w:val="00BE4517"/>
    <w:rsid w:val="00BF3EF2"/>
    <w:rsid w:val="00BF6AC3"/>
    <w:rsid w:val="00C010C0"/>
    <w:rsid w:val="00C134C4"/>
    <w:rsid w:val="00C151FA"/>
    <w:rsid w:val="00C275CB"/>
    <w:rsid w:val="00C32062"/>
    <w:rsid w:val="00C32465"/>
    <w:rsid w:val="00C32B2D"/>
    <w:rsid w:val="00C34F33"/>
    <w:rsid w:val="00C45868"/>
    <w:rsid w:val="00C474CF"/>
    <w:rsid w:val="00C52551"/>
    <w:rsid w:val="00C61236"/>
    <w:rsid w:val="00C62777"/>
    <w:rsid w:val="00C66648"/>
    <w:rsid w:val="00C67B8B"/>
    <w:rsid w:val="00C70B28"/>
    <w:rsid w:val="00C71C4B"/>
    <w:rsid w:val="00C74B8F"/>
    <w:rsid w:val="00C82D17"/>
    <w:rsid w:val="00C83EBA"/>
    <w:rsid w:val="00C9082A"/>
    <w:rsid w:val="00CA40A2"/>
    <w:rsid w:val="00CA6BB5"/>
    <w:rsid w:val="00CA6CC8"/>
    <w:rsid w:val="00CB1AE1"/>
    <w:rsid w:val="00CB7D5C"/>
    <w:rsid w:val="00CC01A6"/>
    <w:rsid w:val="00CC0DD7"/>
    <w:rsid w:val="00CC1069"/>
    <w:rsid w:val="00CC7D66"/>
    <w:rsid w:val="00CE391F"/>
    <w:rsid w:val="00CE4BCC"/>
    <w:rsid w:val="00CE7F4E"/>
    <w:rsid w:val="00CF70BD"/>
    <w:rsid w:val="00CF72BE"/>
    <w:rsid w:val="00D0160A"/>
    <w:rsid w:val="00D0185C"/>
    <w:rsid w:val="00D0481B"/>
    <w:rsid w:val="00D10A3F"/>
    <w:rsid w:val="00D2689D"/>
    <w:rsid w:val="00D279CA"/>
    <w:rsid w:val="00D32B50"/>
    <w:rsid w:val="00D349AD"/>
    <w:rsid w:val="00D40171"/>
    <w:rsid w:val="00D41954"/>
    <w:rsid w:val="00D468BA"/>
    <w:rsid w:val="00D46975"/>
    <w:rsid w:val="00D46DAC"/>
    <w:rsid w:val="00D50E26"/>
    <w:rsid w:val="00D5193B"/>
    <w:rsid w:val="00D57020"/>
    <w:rsid w:val="00D57C5B"/>
    <w:rsid w:val="00D61BAE"/>
    <w:rsid w:val="00D710D9"/>
    <w:rsid w:val="00D764DA"/>
    <w:rsid w:val="00D80F33"/>
    <w:rsid w:val="00D86A3B"/>
    <w:rsid w:val="00D93A43"/>
    <w:rsid w:val="00D957A3"/>
    <w:rsid w:val="00D95940"/>
    <w:rsid w:val="00DA7FA9"/>
    <w:rsid w:val="00DB1478"/>
    <w:rsid w:val="00DB2C96"/>
    <w:rsid w:val="00DB2E6C"/>
    <w:rsid w:val="00DB3E6E"/>
    <w:rsid w:val="00DB448D"/>
    <w:rsid w:val="00DB7990"/>
    <w:rsid w:val="00DC336E"/>
    <w:rsid w:val="00DC5240"/>
    <w:rsid w:val="00DC6371"/>
    <w:rsid w:val="00DD0EE4"/>
    <w:rsid w:val="00DD580E"/>
    <w:rsid w:val="00DD6ABA"/>
    <w:rsid w:val="00DE38B5"/>
    <w:rsid w:val="00DE7994"/>
    <w:rsid w:val="00DF2F63"/>
    <w:rsid w:val="00DF3547"/>
    <w:rsid w:val="00DF4824"/>
    <w:rsid w:val="00E02C44"/>
    <w:rsid w:val="00E02ED9"/>
    <w:rsid w:val="00E039C2"/>
    <w:rsid w:val="00E0556B"/>
    <w:rsid w:val="00E06B07"/>
    <w:rsid w:val="00E101E1"/>
    <w:rsid w:val="00E206AB"/>
    <w:rsid w:val="00E21D5F"/>
    <w:rsid w:val="00E26ABF"/>
    <w:rsid w:val="00E27363"/>
    <w:rsid w:val="00E27E88"/>
    <w:rsid w:val="00E34AA0"/>
    <w:rsid w:val="00E3713D"/>
    <w:rsid w:val="00E40666"/>
    <w:rsid w:val="00E4453D"/>
    <w:rsid w:val="00E50772"/>
    <w:rsid w:val="00E5558F"/>
    <w:rsid w:val="00E613D9"/>
    <w:rsid w:val="00E655F0"/>
    <w:rsid w:val="00E73329"/>
    <w:rsid w:val="00E738E3"/>
    <w:rsid w:val="00E845D6"/>
    <w:rsid w:val="00E934C6"/>
    <w:rsid w:val="00E9540A"/>
    <w:rsid w:val="00E95BA0"/>
    <w:rsid w:val="00EB21C0"/>
    <w:rsid w:val="00EB4A30"/>
    <w:rsid w:val="00EB564F"/>
    <w:rsid w:val="00EC0667"/>
    <w:rsid w:val="00EC0F33"/>
    <w:rsid w:val="00EC63E1"/>
    <w:rsid w:val="00ED0E11"/>
    <w:rsid w:val="00EE0283"/>
    <w:rsid w:val="00EE0EFD"/>
    <w:rsid w:val="00EE1197"/>
    <w:rsid w:val="00F0367F"/>
    <w:rsid w:val="00F0767A"/>
    <w:rsid w:val="00F1397B"/>
    <w:rsid w:val="00F15D52"/>
    <w:rsid w:val="00F15FE4"/>
    <w:rsid w:val="00F20252"/>
    <w:rsid w:val="00F3089E"/>
    <w:rsid w:val="00F32B95"/>
    <w:rsid w:val="00F369C8"/>
    <w:rsid w:val="00F53347"/>
    <w:rsid w:val="00F57176"/>
    <w:rsid w:val="00F64E4C"/>
    <w:rsid w:val="00F707DF"/>
    <w:rsid w:val="00F7347E"/>
    <w:rsid w:val="00F80633"/>
    <w:rsid w:val="00F92C3F"/>
    <w:rsid w:val="00F949B1"/>
    <w:rsid w:val="00F96E42"/>
    <w:rsid w:val="00F97A7B"/>
    <w:rsid w:val="00FA0CAE"/>
    <w:rsid w:val="00FA2043"/>
    <w:rsid w:val="00FA2D0D"/>
    <w:rsid w:val="00FB09CE"/>
    <w:rsid w:val="00FB7D70"/>
    <w:rsid w:val="00FC120D"/>
    <w:rsid w:val="00FC4052"/>
    <w:rsid w:val="00FC51AE"/>
    <w:rsid w:val="00FC5368"/>
    <w:rsid w:val="00FC7ED8"/>
    <w:rsid w:val="00FD59EB"/>
    <w:rsid w:val="00FE3ACF"/>
    <w:rsid w:val="00FE5209"/>
    <w:rsid w:val="00FF27DD"/>
    <w:rsid w:val="00FF682C"/>
    <w:rsid w:val="025641EE"/>
    <w:rsid w:val="0302DA66"/>
    <w:rsid w:val="07B2694E"/>
    <w:rsid w:val="0A349D61"/>
    <w:rsid w:val="0D0287AB"/>
    <w:rsid w:val="0D4638B0"/>
    <w:rsid w:val="0DB80F41"/>
    <w:rsid w:val="0E0931B6"/>
    <w:rsid w:val="0F16C52F"/>
    <w:rsid w:val="0FC65F88"/>
    <w:rsid w:val="10D57AFB"/>
    <w:rsid w:val="124C4EFB"/>
    <w:rsid w:val="124F4CB3"/>
    <w:rsid w:val="1290A474"/>
    <w:rsid w:val="13BFEA37"/>
    <w:rsid w:val="15B39D1D"/>
    <w:rsid w:val="1634D370"/>
    <w:rsid w:val="165C6DE2"/>
    <w:rsid w:val="17422AA5"/>
    <w:rsid w:val="17545F4D"/>
    <w:rsid w:val="190F8D64"/>
    <w:rsid w:val="1AF0CDDE"/>
    <w:rsid w:val="206EE666"/>
    <w:rsid w:val="23AFA875"/>
    <w:rsid w:val="23B27A10"/>
    <w:rsid w:val="2628D62A"/>
    <w:rsid w:val="28045D82"/>
    <w:rsid w:val="28D156AA"/>
    <w:rsid w:val="2A1CD238"/>
    <w:rsid w:val="2A382AEA"/>
    <w:rsid w:val="2C3B4728"/>
    <w:rsid w:val="2DE15F52"/>
    <w:rsid w:val="2E6B2008"/>
    <w:rsid w:val="2FDCFCC2"/>
    <w:rsid w:val="34EC4A46"/>
    <w:rsid w:val="37CEE64A"/>
    <w:rsid w:val="399EA671"/>
    <w:rsid w:val="3C3DE105"/>
    <w:rsid w:val="3D77ABB4"/>
    <w:rsid w:val="3F14AB40"/>
    <w:rsid w:val="3F7019BB"/>
    <w:rsid w:val="4148E561"/>
    <w:rsid w:val="428CA25D"/>
    <w:rsid w:val="429E43BA"/>
    <w:rsid w:val="4621267A"/>
    <w:rsid w:val="4BC8B43E"/>
    <w:rsid w:val="4DE98A48"/>
    <w:rsid w:val="56FD7A8C"/>
    <w:rsid w:val="570BA02F"/>
    <w:rsid w:val="576325D1"/>
    <w:rsid w:val="576E571D"/>
    <w:rsid w:val="5C72B430"/>
    <w:rsid w:val="5C928861"/>
    <w:rsid w:val="5CB07612"/>
    <w:rsid w:val="5EC0C42A"/>
    <w:rsid w:val="5EED08BF"/>
    <w:rsid w:val="6001EC77"/>
    <w:rsid w:val="64E4A12F"/>
    <w:rsid w:val="66DC6D79"/>
    <w:rsid w:val="6C30A91B"/>
    <w:rsid w:val="6EDB3430"/>
    <w:rsid w:val="71077188"/>
    <w:rsid w:val="71E9F01A"/>
    <w:rsid w:val="73500502"/>
    <w:rsid w:val="77631921"/>
    <w:rsid w:val="796ED116"/>
    <w:rsid w:val="7B848EEC"/>
    <w:rsid w:val="7C5DF037"/>
    <w:rsid w:val="7EF69CE8"/>
    <w:rsid w:val="7EFEFF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F335B12C-325D-41CB-8A42-516D6089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styleId="EndnoteText">
    <w:name w:val="endnote text"/>
    <w:basedOn w:val="Normal"/>
    <w:link w:val="EndnoteTextChar"/>
    <w:rsid w:val="008B0B10"/>
    <w:rPr>
      <w:rFonts w:ascii="Courier New" w:eastAsia="Times New Roman" w:hAnsi="Courier New" w:cs="Times New Roman"/>
      <w:szCs w:val="20"/>
    </w:rPr>
  </w:style>
  <w:style w:type="character" w:customStyle="1" w:styleId="EndnoteTextChar">
    <w:name w:val="Endnote Text Char"/>
    <w:basedOn w:val="DefaultParagraphFont"/>
    <w:link w:val="EndnoteText"/>
    <w:rsid w:val="008B0B10"/>
    <w:rPr>
      <w:rFonts w:ascii="Courier New" w:eastAsia="Times New Roman" w:hAnsi="Courier New" w:cs="Times New Roman"/>
      <w:szCs w:val="20"/>
    </w:rPr>
  </w:style>
  <w:style w:type="paragraph" w:styleId="BodyText">
    <w:name w:val="Body Text"/>
    <w:basedOn w:val="Normal"/>
    <w:link w:val="BodyTextChar"/>
    <w:uiPriority w:val="99"/>
    <w:unhideWhenUsed/>
    <w:rsid w:val="004A420E"/>
    <w:pPr>
      <w:spacing w:after="120"/>
    </w:pPr>
  </w:style>
  <w:style w:type="character" w:customStyle="1" w:styleId="BodyTextChar">
    <w:name w:val="Body Text Char"/>
    <w:basedOn w:val="DefaultParagraphFont"/>
    <w:link w:val="BodyText"/>
    <w:uiPriority w:val="99"/>
    <w:rsid w:val="004A420E"/>
  </w:style>
  <w:style w:type="table" w:customStyle="1" w:styleId="TableGrid1">
    <w:name w:val="Table Grid1"/>
    <w:basedOn w:val="TableNormal"/>
    <w:next w:val="TableGrid"/>
    <w:uiPriority w:val="39"/>
    <w:rsid w:val="00FC536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flood-insurance/work-with-nfip/manuals/current" TargetMode="External" /><Relationship Id="rId11" Type="http://schemas.openxmlformats.org/officeDocument/2006/relationships/hyperlink" Target="https://www.nfipdirect.fema.gov/Membership/SignIn/?ReturnUrl=%2f" TargetMode="External" /><Relationship Id="rId12" Type="http://schemas.openxmlformats.org/officeDocument/2006/relationships/hyperlink" Target="https://www.latimes.com/california/story/2021-12-31/is-wildfire-arson-getting-worse-in-california" TargetMode="External" /><Relationship Id="rId13" Type="http://schemas.openxmlformats.org/officeDocument/2006/relationships/hyperlink" Target="https://www.opm.gov/policy-data-oversight/pay-leave/salaries-wages/salary-tables/pdf/2024/DCB.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loodsmar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F3DBA8B3-F9DE-4ABD-B36C-5CAA00F4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5378</Words>
  <Characters>30657</Characters>
  <Application>Microsoft Office Word</Application>
  <DocSecurity>0</DocSecurity>
  <Lines>255</Lines>
  <Paragraphs>71</Paragraphs>
  <ScaleCrop>false</ScaleCrop>
  <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4</cp:revision>
  <dcterms:created xsi:type="dcterms:W3CDTF">2024-08-14T16:06:00Z</dcterms:created>
  <dcterms:modified xsi:type="dcterms:W3CDTF">2024-08-14T16:07:00Z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