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D001E4" w:rsidP="00DE7A1C" w14:paraId="26347A2D" w14:textId="77777777">
          <w:pPr>
            <w:rPr>
              <w:noProof/>
            </w:rPr>
          </w:pPr>
        </w:p>
        <w:p w:rsidR="00041909" w:rsidP="00313D14" w14:paraId="463FCEFD" w14:textId="77777777">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1"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anchor>
            </w:drawing>
          </w:r>
          <w:r w:rsidR="001F3A8F">
            <w:rPr>
              <w:noProof/>
            </w:rPr>
            <w:softHyphen/>
          </w:r>
          <w:r w:rsidR="001F3A8F">
            <w:rPr>
              <w:noProof/>
            </w:rPr>
            <w:softHyphen/>
          </w:r>
          <w:r w:rsidR="001F3A8F">
            <w:rPr>
              <w:noProof/>
            </w:rPr>
            <w:softHyphen/>
          </w:r>
        </w:p>
      </w:sdtContent>
    </w:sdt>
    <w:p w:rsidR="00D928FD" w14:paraId="18F4940F" w14:textId="77777777"/>
    <w:p w:rsidR="00D928FD" w:rsidP="00313D14" w14:paraId="79E0B63F" w14:textId="77777777">
      <w:r>
        <w:tab/>
      </w:r>
    </w:p>
    <w:p w:rsidR="00D928FD" w14:paraId="3CBC94EF" w14:textId="77777777"/>
    <w:p w:rsidR="00D928FD" w14:paraId="29AA6D04" w14:textId="77777777"/>
    <w:p w:rsidR="00D928FD" w14:paraId="0A250447" w14:textId="77777777"/>
    <w:p w:rsidR="001F3A8F" w:rsidP="00313D14" w14:paraId="4921D8C1" w14:textId="313E69D8">
      <w:r>
        <w:rPr>
          <w:noProof/>
        </w:rPr>
        <mc:AlternateContent>
          <mc:Choice Requires="wps">
            <w:drawing>
              <wp:anchor distT="0" distB="0" distL="114300" distR="114300" simplePos="0" relativeHeight="251658240" behindDoc="0" locked="0" layoutInCell="1" allowOverlap="1">
                <wp:simplePos x="0" y="0"/>
                <wp:positionH relativeFrom="margin">
                  <wp:posOffset>365760</wp:posOffset>
                </wp:positionH>
                <wp:positionV relativeFrom="paragraph">
                  <wp:posOffset>962660</wp:posOffset>
                </wp:positionV>
                <wp:extent cx="5326380" cy="219456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26380" cy="21945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color w:val="139CD8"/>
                                <w:sz w:val="60"/>
                                <w:szCs w:val="60"/>
                              </w:rPr>
                              <w:alias w:val="Title"/>
                              <w:id w:val="1609928945"/>
                              <w:placeholder>
                                <w:docPart w:val="0E100EF1B0A4499AACC6C16A60771090"/>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paraId="43E9E386" w14:textId="27A367D1">
                                <w:pPr>
                                  <w:spacing w:line="276" w:lineRule="auto"/>
                                  <w:rPr>
                                    <w:b/>
                                    <w:sz w:val="60"/>
                                    <w:szCs w:val="60"/>
                                  </w:rPr>
                                </w:pPr>
                                <w:r>
                                  <w:rPr>
                                    <w:rFonts w:ascii="Times New Roman" w:hAnsi="Times New Roman" w:cs="Times New Roman"/>
                                    <w:b/>
                                    <w:color w:val="139CD8"/>
                                    <w:sz w:val="60"/>
                                    <w:szCs w:val="60"/>
                                  </w:rPr>
                                  <w:t>Supporting Statement A for the EIA-111 Quarterly Electricity Imports and Exports Report</w:t>
                                </w:r>
                              </w:p>
                            </w:sdtContent>
                          </w:sdt>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419.4pt;height:172.8pt;margin-top:75.8pt;margin-left:28.8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sdt>
                      <w:sdtPr>
                        <w:rPr>
                          <w:rFonts w:ascii="Times New Roman" w:hAnsi="Times New Roman" w:cs="Times New Roman"/>
                          <w:b/>
                          <w:color w:val="139CD8"/>
                          <w:sz w:val="60"/>
                          <w:szCs w:val="60"/>
                        </w:rPr>
                        <w:alias w:val="Title"/>
                        <w:id w:val="802962294"/>
                        <w:placeholder>
                          <w:docPart w:val="0E100EF1B0A4499AACC6C16A60771090"/>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paraId="2E940E2F" w14:textId="27A367D1">
                          <w:pPr>
                            <w:spacing w:line="276" w:lineRule="auto"/>
                            <w:rPr>
                              <w:b/>
                              <w:sz w:val="60"/>
                              <w:szCs w:val="60"/>
                            </w:rPr>
                          </w:pPr>
                          <w:r>
                            <w:rPr>
                              <w:rFonts w:ascii="Times New Roman" w:hAnsi="Times New Roman" w:cs="Times New Roman"/>
                              <w:b/>
                              <w:color w:val="139CD8"/>
                              <w:sz w:val="60"/>
                              <w:szCs w:val="60"/>
                            </w:rPr>
                            <w:t>Supporting Statement A for the EIA-111 Quarterly Electricity Imports and Exports Report</w:t>
                          </w:r>
                        </w:p>
                      </w:sdtContent>
                    </w:sdt>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398780</wp:posOffset>
                </wp:positionH>
                <wp:positionV relativeFrom="margin">
                  <wp:posOffset>5638800</wp:posOffset>
                </wp:positionV>
                <wp:extent cx="2377440" cy="497205"/>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B41D7A" w14:paraId="313D5113" w14:textId="33A8D8FB">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May 2024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6" type="#_x0000_t202" style="width:187.2pt;height:39.15pt;margin-top:444pt;margin-left:31.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B41D7A" w14:paraId="1C9FEBC5" w14:textId="33A8D8FB">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May 2024</w:t>
                      </w:r>
                    </w:p>
                  </w:txbxContent>
                </v:textbox>
                <w10:wrap type="square"/>
              </v:shape>
            </w:pict>
          </mc:Fallback>
        </mc:AlternateContent>
      </w:r>
      <w:r w:rsidR="00552509">
        <w:rPr>
          <w:noProof/>
          <w:color w:val="A6A6A6" w:themeColor="background1" w:themeShade="A6"/>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B41D7A" w:rsidP="004D236B" w14:paraId="3790FAE0"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paraId="4FF52EAD"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paraId="0C0C91BF"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B41D7A" w:rsidP="004D236B" w14:paraId="21DCB9DC"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paraId="2F422DFA"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paraId="3F645604"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v:textbox>
                <w10:wrap type="square"/>
              </v:shape>
            </w:pict>
          </mc:Fallback>
        </mc:AlternateContent>
      </w:r>
      <w:r w:rsidR="00140D25">
        <w:rPr>
          <w:noProof/>
        </w:rPr>
        <mc:AlternateContent>
          <mc:Choice Requires="wps">
            <w:drawing>
              <wp:anchor distT="45720" distB="45720" distL="114300" distR="114300" simplePos="0" relativeHeight="251665408" behindDoc="0" locked="0" layoutInCell="1" allowOverlap="1">
                <wp:simplePos x="0" y="0"/>
                <wp:positionH relativeFrom="column">
                  <wp:posOffset>-106240</wp:posOffset>
                </wp:positionH>
                <wp:positionV relativeFrom="paragraph">
                  <wp:posOffset>6384925</wp:posOffset>
                </wp:positionV>
                <wp:extent cx="2377440" cy="530225"/>
                <wp:effectExtent l="0" t="0" r="0" b="3175"/>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paraId="064A9E57" w14:textId="77777777">
                            <w:r>
                              <w:rPr>
                                <w:noProof/>
                              </w:rPr>
                              <w:drawing>
                                <wp:inline distT="0" distB="0" distL="0" distR="0">
                                  <wp:extent cx="2162810" cy="478120"/>
                                  <wp:effectExtent l="0" t="0" r="0" b="0"/>
                                  <wp:docPr id="6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9"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5.9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672A6659" w14:textId="77777777">
                      <w:drawing>
                        <wp:inline distT="0" distB="0" distL="0" distR="0">
                          <wp:extent cx="2162810" cy="478120"/>
                          <wp:effectExtent l="0" t="0" r="0" b="0"/>
                          <wp:docPr id="2106474327"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74327" name="Picture 19"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p>
                  </w:txbxContent>
                </v:textbox>
                <w10:wrap type="square"/>
              </v:shape>
            </w:pict>
          </mc:Fallback>
        </mc:AlternateContent>
      </w:r>
      <w:r w:rsidR="001F3A8F">
        <w:br w:type="page"/>
      </w:r>
    </w:p>
    <w:p w:rsidR="00755C3D" w14:paraId="32855076" w14:textId="77777777">
      <w:pPr>
        <w:sectPr w:rsidSect="008F68A9">
          <w:footerReference w:type="default" r:id="rId11"/>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3F6C8B5F" w14:textId="77777777"/>
    <w:p w:rsidR="001F3A8F" w14:paraId="422B8072" w14:textId="77777777"/>
    <w:p w:rsidR="001F3A8F" w14:paraId="19EB7374" w14:textId="77777777"/>
    <w:p w:rsidR="001F3A8F" w14:paraId="78B8DB0A" w14:textId="77777777"/>
    <w:p w:rsidR="001F3A8F" w14:paraId="66B80DC9" w14:textId="77777777"/>
    <w:p w:rsidR="001F3A8F" w14:paraId="3DF5BB4D" w14:textId="77777777"/>
    <w:p w:rsidR="001F3A8F" w14:paraId="171F464D" w14:textId="77777777"/>
    <w:p w:rsidR="001F3A8F" w14:paraId="25D8BCD5" w14:textId="77777777"/>
    <w:p w:rsidR="001F3A8F" w14:paraId="06D10E73" w14:textId="77777777"/>
    <w:p w:rsidR="001F3A8F" w14:paraId="1D2407CE" w14:textId="77777777"/>
    <w:p w:rsidR="001F3A8F" w14:paraId="0A4C1BE4" w14:textId="77777777"/>
    <w:p w:rsidR="001F3A8F" w14:paraId="24D6BA32" w14:textId="77777777"/>
    <w:p w:rsidR="001F3A8F" w14:paraId="5CB1C4C3" w14:textId="77777777"/>
    <w:p w:rsidR="001F3A8F" w14:paraId="2AD65A50" w14:textId="77777777"/>
    <w:p w:rsidR="001F3A8F" w14:paraId="7C5370FF" w14:textId="77777777"/>
    <w:p w:rsidR="001F3A8F" w14:paraId="2822E0D9" w14:textId="77777777"/>
    <w:p w:rsidR="001F3A8F" w14:paraId="5D18A232" w14:textId="77777777"/>
    <w:p w:rsidR="001F3A8F" w14:paraId="15134F4E" w14:textId="77777777"/>
    <w:p w:rsidR="001F3A8F" w14:paraId="20D60F79" w14:textId="77777777"/>
    <w:p w:rsidR="001F3A8F" w14:paraId="4F1C47E8" w14:textId="77777777"/>
    <w:p w:rsidR="001F3A8F" w:rsidP="00D928FD" w14:paraId="0AFF7CE8" w14:textId="77777777"/>
    <w:p w:rsidR="005D602C" w14:paraId="066779CC" w14:textId="77777777">
      <w:pPr>
        <w:pStyle w:val="Boxtext"/>
        <w:sectPr w:rsidSect="008F68A9">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4AB82C59" w14:textId="77777777">
      <w:pPr>
        <w:sectPr w:rsidSect="008F68A9">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sdt>
      <w:sdtPr>
        <w:rPr>
          <w:rFonts w:asciiTheme="minorHAnsi" w:eastAsiaTheme="minorEastAsia" w:hAnsiTheme="minorHAnsi" w:cstheme="minorBidi"/>
          <w:b/>
          <w:bCs/>
          <w:color w:val="auto"/>
          <w:sz w:val="22"/>
          <w:szCs w:val="22"/>
        </w:rPr>
        <w:id w:val="592214204"/>
        <w:docPartObj>
          <w:docPartGallery w:val="Table of Contents"/>
          <w:docPartUnique/>
        </w:docPartObj>
      </w:sdtPr>
      <w:sdtEndPr>
        <w:rPr>
          <w:b w:val="0"/>
          <w:bCs w:val="0"/>
          <w:noProof/>
        </w:rPr>
      </w:sdtEndPr>
      <w:sdtContent>
        <w:p w:rsidR="00AD6244" w:rsidP="00175758" w14:paraId="168A36BD" w14:textId="77777777">
          <w:pPr>
            <w:pStyle w:val="TOCHeading"/>
          </w:pPr>
          <w:r>
            <w:t>Table of Contents</w:t>
          </w:r>
        </w:p>
        <w:p w:rsidR="00E54FA9" w14:paraId="1A35E724" w14:textId="307592B5">
          <w:pPr>
            <w:pStyle w:val="TOC1"/>
            <w:rPr>
              <w:rFonts w:eastAsiaTheme="minorEastAsia"/>
              <w:noProof/>
              <w:color w:val="auto"/>
              <w:kern w:val="2"/>
              <w14:ligatures w14:val="standardContextual"/>
            </w:rPr>
          </w:pPr>
          <w:r>
            <w:rPr>
              <w:b/>
              <w:bCs/>
              <w:noProof/>
              <w:color w:val="auto"/>
            </w:rPr>
            <w:fldChar w:fldCharType="begin"/>
          </w:r>
          <w:r>
            <w:rPr>
              <w:b/>
              <w:bCs/>
              <w:noProof/>
            </w:rPr>
            <w:instrText xml:space="preserve"> TOC \o "1-5" \h \z \u </w:instrText>
          </w:r>
          <w:r>
            <w:rPr>
              <w:b/>
              <w:bCs/>
              <w:noProof/>
              <w:color w:val="auto"/>
            </w:rPr>
            <w:fldChar w:fldCharType="separate"/>
          </w:r>
          <w:hyperlink w:anchor="_Toc165020031" w:history="1">
            <w:r w:rsidRPr="003850F9">
              <w:rPr>
                <w:rStyle w:val="Hyperlink"/>
                <w:rFonts w:eastAsia="Times New Roman"/>
                <w:noProof/>
              </w:rPr>
              <w:t>Introduction</w:t>
            </w:r>
            <w:r>
              <w:rPr>
                <w:noProof/>
                <w:webHidden/>
              </w:rPr>
              <w:tab/>
            </w:r>
            <w:r>
              <w:rPr>
                <w:noProof/>
                <w:webHidden/>
              </w:rPr>
              <w:fldChar w:fldCharType="begin"/>
            </w:r>
            <w:r>
              <w:rPr>
                <w:noProof/>
                <w:webHidden/>
              </w:rPr>
              <w:instrText xml:space="preserve"> PAGEREF _Toc165020031 \h </w:instrText>
            </w:r>
            <w:r>
              <w:rPr>
                <w:noProof/>
                <w:webHidden/>
              </w:rPr>
              <w:fldChar w:fldCharType="separate"/>
            </w:r>
            <w:r>
              <w:rPr>
                <w:noProof/>
                <w:webHidden/>
              </w:rPr>
              <w:t>2</w:t>
            </w:r>
            <w:r>
              <w:rPr>
                <w:noProof/>
                <w:webHidden/>
              </w:rPr>
              <w:fldChar w:fldCharType="end"/>
            </w:r>
          </w:hyperlink>
        </w:p>
        <w:p w:rsidR="00E54FA9" w14:paraId="20F1080D" w14:textId="6F47B0EB">
          <w:pPr>
            <w:pStyle w:val="TOC1"/>
            <w:rPr>
              <w:rFonts w:eastAsiaTheme="minorEastAsia"/>
              <w:noProof/>
              <w:color w:val="auto"/>
              <w:kern w:val="2"/>
              <w14:ligatures w14:val="standardContextual"/>
            </w:rPr>
          </w:pPr>
          <w:hyperlink w:anchor="_Toc165020032" w:history="1">
            <w:r w:rsidRPr="003850F9">
              <w:rPr>
                <w:rStyle w:val="Hyperlink"/>
                <w:rFonts w:eastAsia="Times New Roman"/>
                <w:noProof/>
              </w:rPr>
              <w:t>A.1. Legal Justification</w:t>
            </w:r>
            <w:r>
              <w:rPr>
                <w:noProof/>
                <w:webHidden/>
              </w:rPr>
              <w:tab/>
            </w:r>
            <w:r>
              <w:rPr>
                <w:noProof/>
                <w:webHidden/>
              </w:rPr>
              <w:fldChar w:fldCharType="begin"/>
            </w:r>
            <w:r>
              <w:rPr>
                <w:noProof/>
                <w:webHidden/>
              </w:rPr>
              <w:instrText xml:space="preserve"> PAGEREF _Toc165020032 \h </w:instrText>
            </w:r>
            <w:r>
              <w:rPr>
                <w:noProof/>
                <w:webHidden/>
              </w:rPr>
              <w:fldChar w:fldCharType="separate"/>
            </w:r>
            <w:r>
              <w:rPr>
                <w:noProof/>
                <w:webHidden/>
              </w:rPr>
              <w:t>2</w:t>
            </w:r>
            <w:r>
              <w:rPr>
                <w:noProof/>
                <w:webHidden/>
              </w:rPr>
              <w:fldChar w:fldCharType="end"/>
            </w:r>
          </w:hyperlink>
        </w:p>
        <w:p w:rsidR="00E54FA9" w14:paraId="59CEA87F" w14:textId="7F216992">
          <w:pPr>
            <w:pStyle w:val="TOC1"/>
            <w:rPr>
              <w:rFonts w:eastAsiaTheme="minorEastAsia"/>
              <w:noProof/>
              <w:color w:val="auto"/>
              <w:kern w:val="2"/>
              <w14:ligatures w14:val="standardContextual"/>
            </w:rPr>
          </w:pPr>
          <w:hyperlink w:anchor="_Toc165020033" w:history="1">
            <w:r w:rsidRPr="003850F9">
              <w:rPr>
                <w:rStyle w:val="Hyperlink"/>
                <w:rFonts w:eastAsia="Times New Roman"/>
                <w:noProof/>
              </w:rPr>
              <w:t>A.2. Needs and Uses of Data</w:t>
            </w:r>
            <w:r>
              <w:rPr>
                <w:noProof/>
                <w:webHidden/>
              </w:rPr>
              <w:tab/>
            </w:r>
            <w:r>
              <w:rPr>
                <w:noProof/>
                <w:webHidden/>
              </w:rPr>
              <w:fldChar w:fldCharType="begin"/>
            </w:r>
            <w:r>
              <w:rPr>
                <w:noProof/>
                <w:webHidden/>
              </w:rPr>
              <w:instrText xml:space="preserve"> PAGEREF _Toc165020033 \h </w:instrText>
            </w:r>
            <w:r>
              <w:rPr>
                <w:noProof/>
                <w:webHidden/>
              </w:rPr>
              <w:fldChar w:fldCharType="separate"/>
            </w:r>
            <w:r>
              <w:rPr>
                <w:noProof/>
                <w:webHidden/>
              </w:rPr>
              <w:t>3</w:t>
            </w:r>
            <w:r>
              <w:rPr>
                <w:noProof/>
                <w:webHidden/>
              </w:rPr>
              <w:fldChar w:fldCharType="end"/>
            </w:r>
          </w:hyperlink>
        </w:p>
        <w:p w:rsidR="00E54FA9" w14:paraId="6822FECE" w14:textId="6E4C9E22">
          <w:pPr>
            <w:pStyle w:val="TOC3"/>
            <w:rPr>
              <w:rFonts w:eastAsiaTheme="minorEastAsia"/>
              <w:noProof/>
              <w:color w:val="auto"/>
              <w:kern w:val="2"/>
              <w14:ligatures w14:val="standardContextual"/>
            </w:rPr>
          </w:pPr>
          <w:hyperlink w:anchor="_Toc165020034" w:history="1">
            <w:r w:rsidRPr="003850F9">
              <w:rPr>
                <w:rStyle w:val="Hyperlink"/>
                <w:noProof/>
              </w:rPr>
              <w:t>2.1. Overview of Data Uses</w:t>
            </w:r>
            <w:r>
              <w:rPr>
                <w:noProof/>
                <w:webHidden/>
              </w:rPr>
              <w:tab/>
            </w:r>
            <w:r>
              <w:rPr>
                <w:noProof/>
                <w:webHidden/>
              </w:rPr>
              <w:fldChar w:fldCharType="begin"/>
            </w:r>
            <w:r>
              <w:rPr>
                <w:noProof/>
                <w:webHidden/>
              </w:rPr>
              <w:instrText xml:space="preserve"> PAGEREF _Toc165020034 \h </w:instrText>
            </w:r>
            <w:r>
              <w:rPr>
                <w:noProof/>
                <w:webHidden/>
              </w:rPr>
              <w:fldChar w:fldCharType="separate"/>
            </w:r>
            <w:r>
              <w:rPr>
                <w:noProof/>
                <w:webHidden/>
              </w:rPr>
              <w:t>3</w:t>
            </w:r>
            <w:r>
              <w:rPr>
                <w:noProof/>
                <w:webHidden/>
              </w:rPr>
              <w:fldChar w:fldCharType="end"/>
            </w:r>
          </w:hyperlink>
        </w:p>
        <w:p w:rsidR="00E54FA9" w14:paraId="2196098B" w14:textId="2923EACA">
          <w:pPr>
            <w:pStyle w:val="TOC3"/>
            <w:rPr>
              <w:rFonts w:eastAsiaTheme="minorEastAsia"/>
              <w:noProof/>
              <w:color w:val="auto"/>
              <w:kern w:val="2"/>
              <w14:ligatures w14:val="standardContextual"/>
            </w:rPr>
          </w:pPr>
          <w:hyperlink w:anchor="_Toc165020035" w:history="1">
            <w:r w:rsidRPr="003850F9">
              <w:rPr>
                <w:rStyle w:val="Hyperlink"/>
                <w:noProof/>
              </w:rPr>
              <w:t>2.2. Overview of Data Collections</w:t>
            </w:r>
            <w:r>
              <w:rPr>
                <w:noProof/>
                <w:webHidden/>
              </w:rPr>
              <w:tab/>
            </w:r>
            <w:r>
              <w:rPr>
                <w:noProof/>
                <w:webHidden/>
              </w:rPr>
              <w:fldChar w:fldCharType="begin"/>
            </w:r>
            <w:r>
              <w:rPr>
                <w:noProof/>
                <w:webHidden/>
              </w:rPr>
              <w:instrText xml:space="preserve"> PAGEREF _Toc165020035 \h </w:instrText>
            </w:r>
            <w:r>
              <w:rPr>
                <w:noProof/>
                <w:webHidden/>
              </w:rPr>
              <w:fldChar w:fldCharType="separate"/>
            </w:r>
            <w:r>
              <w:rPr>
                <w:noProof/>
                <w:webHidden/>
              </w:rPr>
              <w:t>4</w:t>
            </w:r>
            <w:r>
              <w:rPr>
                <w:noProof/>
                <w:webHidden/>
              </w:rPr>
              <w:fldChar w:fldCharType="end"/>
            </w:r>
          </w:hyperlink>
        </w:p>
        <w:p w:rsidR="00E54FA9" w14:paraId="13F8D1C5" w14:textId="39EAA766">
          <w:pPr>
            <w:pStyle w:val="TOC1"/>
            <w:rPr>
              <w:rFonts w:eastAsiaTheme="minorEastAsia"/>
              <w:noProof/>
              <w:color w:val="auto"/>
              <w:kern w:val="2"/>
              <w14:ligatures w14:val="standardContextual"/>
            </w:rPr>
          </w:pPr>
          <w:hyperlink w:anchor="_Toc165020036" w:history="1">
            <w:r w:rsidRPr="003850F9">
              <w:rPr>
                <w:rStyle w:val="Hyperlink"/>
                <w:rFonts w:eastAsia="Times New Roman"/>
                <w:noProof/>
              </w:rPr>
              <w:t>A.3. Use of Technology</w:t>
            </w:r>
            <w:r>
              <w:rPr>
                <w:noProof/>
                <w:webHidden/>
              </w:rPr>
              <w:tab/>
            </w:r>
            <w:r>
              <w:rPr>
                <w:noProof/>
                <w:webHidden/>
              </w:rPr>
              <w:fldChar w:fldCharType="begin"/>
            </w:r>
            <w:r>
              <w:rPr>
                <w:noProof/>
                <w:webHidden/>
              </w:rPr>
              <w:instrText xml:space="preserve"> PAGEREF _Toc165020036 \h </w:instrText>
            </w:r>
            <w:r>
              <w:rPr>
                <w:noProof/>
                <w:webHidden/>
              </w:rPr>
              <w:fldChar w:fldCharType="separate"/>
            </w:r>
            <w:r>
              <w:rPr>
                <w:noProof/>
                <w:webHidden/>
              </w:rPr>
              <w:t>4</w:t>
            </w:r>
            <w:r>
              <w:rPr>
                <w:noProof/>
                <w:webHidden/>
              </w:rPr>
              <w:fldChar w:fldCharType="end"/>
            </w:r>
          </w:hyperlink>
        </w:p>
        <w:p w:rsidR="00E54FA9" w14:paraId="4B9435DA" w14:textId="501F309D">
          <w:pPr>
            <w:pStyle w:val="TOC1"/>
            <w:rPr>
              <w:rFonts w:eastAsiaTheme="minorEastAsia"/>
              <w:noProof/>
              <w:color w:val="auto"/>
              <w:kern w:val="2"/>
              <w14:ligatures w14:val="standardContextual"/>
            </w:rPr>
          </w:pPr>
          <w:hyperlink w:anchor="_Toc165020037" w:history="1">
            <w:r w:rsidRPr="003850F9">
              <w:rPr>
                <w:rStyle w:val="Hyperlink"/>
                <w:rFonts w:eastAsia="Times New Roman"/>
                <w:noProof/>
              </w:rPr>
              <w:t>A.4. Efforts to Identify Duplication</w:t>
            </w:r>
            <w:r>
              <w:rPr>
                <w:noProof/>
                <w:webHidden/>
              </w:rPr>
              <w:tab/>
            </w:r>
            <w:r>
              <w:rPr>
                <w:noProof/>
                <w:webHidden/>
              </w:rPr>
              <w:fldChar w:fldCharType="begin"/>
            </w:r>
            <w:r>
              <w:rPr>
                <w:noProof/>
                <w:webHidden/>
              </w:rPr>
              <w:instrText xml:space="preserve"> PAGEREF _Toc165020037 \h </w:instrText>
            </w:r>
            <w:r>
              <w:rPr>
                <w:noProof/>
                <w:webHidden/>
              </w:rPr>
              <w:fldChar w:fldCharType="separate"/>
            </w:r>
            <w:r>
              <w:rPr>
                <w:noProof/>
                <w:webHidden/>
              </w:rPr>
              <w:t>4</w:t>
            </w:r>
            <w:r>
              <w:rPr>
                <w:noProof/>
                <w:webHidden/>
              </w:rPr>
              <w:fldChar w:fldCharType="end"/>
            </w:r>
          </w:hyperlink>
        </w:p>
        <w:p w:rsidR="00E54FA9" w14:paraId="0FE2CA62" w14:textId="65327AB7">
          <w:pPr>
            <w:pStyle w:val="TOC1"/>
            <w:rPr>
              <w:rFonts w:eastAsiaTheme="minorEastAsia"/>
              <w:noProof/>
              <w:color w:val="auto"/>
              <w:kern w:val="2"/>
              <w14:ligatures w14:val="standardContextual"/>
            </w:rPr>
          </w:pPr>
          <w:hyperlink w:anchor="_Toc165020038" w:history="1">
            <w:r w:rsidRPr="003850F9">
              <w:rPr>
                <w:rStyle w:val="Hyperlink"/>
                <w:rFonts w:eastAsia="Times New Roman"/>
                <w:noProof/>
              </w:rPr>
              <w:t>A.5. Provisions for Reducing Burden on Small Businesses</w:t>
            </w:r>
            <w:r>
              <w:rPr>
                <w:noProof/>
                <w:webHidden/>
              </w:rPr>
              <w:tab/>
            </w:r>
            <w:r>
              <w:rPr>
                <w:noProof/>
                <w:webHidden/>
              </w:rPr>
              <w:fldChar w:fldCharType="begin"/>
            </w:r>
            <w:r>
              <w:rPr>
                <w:noProof/>
                <w:webHidden/>
              </w:rPr>
              <w:instrText xml:space="preserve"> PAGEREF _Toc165020038 \h </w:instrText>
            </w:r>
            <w:r>
              <w:rPr>
                <w:noProof/>
                <w:webHidden/>
              </w:rPr>
              <w:fldChar w:fldCharType="separate"/>
            </w:r>
            <w:r>
              <w:rPr>
                <w:noProof/>
                <w:webHidden/>
              </w:rPr>
              <w:t>4</w:t>
            </w:r>
            <w:r>
              <w:rPr>
                <w:noProof/>
                <w:webHidden/>
              </w:rPr>
              <w:fldChar w:fldCharType="end"/>
            </w:r>
          </w:hyperlink>
        </w:p>
        <w:p w:rsidR="00E54FA9" w14:paraId="0A7AD172" w14:textId="70492010">
          <w:pPr>
            <w:pStyle w:val="TOC1"/>
            <w:rPr>
              <w:rFonts w:eastAsiaTheme="minorEastAsia"/>
              <w:noProof/>
              <w:color w:val="auto"/>
              <w:kern w:val="2"/>
              <w14:ligatures w14:val="standardContextual"/>
            </w:rPr>
          </w:pPr>
          <w:hyperlink w:anchor="_Toc165020039" w:history="1">
            <w:r w:rsidRPr="003850F9">
              <w:rPr>
                <w:rStyle w:val="Hyperlink"/>
                <w:rFonts w:eastAsia="Times New Roman"/>
                <w:noProof/>
              </w:rPr>
              <w:t>A.6. Consequences of Less-Frequent Reporting</w:t>
            </w:r>
            <w:r>
              <w:rPr>
                <w:noProof/>
                <w:webHidden/>
              </w:rPr>
              <w:tab/>
            </w:r>
            <w:r>
              <w:rPr>
                <w:noProof/>
                <w:webHidden/>
              </w:rPr>
              <w:fldChar w:fldCharType="begin"/>
            </w:r>
            <w:r>
              <w:rPr>
                <w:noProof/>
                <w:webHidden/>
              </w:rPr>
              <w:instrText xml:space="preserve"> PAGEREF _Toc165020039 \h </w:instrText>
            </w:r>
            <w:r>
              <w:rPr>
                <w:noProof/>
                <w:webHidden/>
              </w:rPr>
              <w:fldChar w:fldCharType="separate"/>
            </w:r>
            <w:r>
              <w:rPr>
                <w:noProof/>
                <w:webHidden/>
              </w:rPr>
              <w:t>5</w:t>
            </w:r>
            <w:r>
              <w:rPr>
                <w:noProof/>
                <w:webHidden/>
              </w:rPr>
              <w:fldChar w:fldCharType="end"/>
            </w:r>
          </w:hyperlink>
        </w:p>
        <w:p w:rsidR="00E54FA9" w14:paraId="24C1AC9A" w14:textId="7CBDD8CE">
          <w:pPr>
            <w:pStyle w:val="TOC1"/>
            <w:rPr>
              <w:rFonts w:eastAsiaTheme="minorEastAsia"/>
              <w:noProof/>
              <w:color w:val="auto"/>
              <w:kern w:val="2"/>
              <w14:ligatures w14:val="standardContextual"/>
            </w:rPr>
          </w:pPr>
          <w:hyperlink w:anchor="_Toc165020040" w:history="1">
            <w:r w:rsidRPr="003850F9">
              <w:rPr>
                <w:rStyle w:val="Hyperlink"/>
                <w:noProof/>
              </w:rPr>
              <w:t>A.7. Compliance with 5 CFR 1320.5</w:t>
            </w:r>
            <w:r>
              <w:rPr>
                <w:noProof/>
                <w:webHidden/>
              </w:rPr>
              <w:tab/>
            </w:r>
            <w:r>
              <w:rPr>
                <w:noProof/>
                <w:webHidden/>
              </w:rPr>
              <w:fldChar w:fldCharType="begin"/>
            </w:r>
            <w:r>
              <w:rPr>
                <w:noProof/>
                <w:webHidden/>
              </w:rPr>
              <w:instrText xml:space="preserve"> PAGEREF _Toc165020040 \h </w:instrText>
            </w:r>
            <w:r>
              <w:rPr>
                <w:noProof/>
                <w:webHidden/>
              </w:rPr>
              <w:fldChar w:fldCharType="separate"/>
            </w:r>
            <w:r>
              <w:rPr>
                <w:noProof/>
                <w:webHidden/>
              </w:rPr>
              <w:t>5</w:t>
            </w:r>
            <w:r>
              <w:rPr>
                <w:noProof/>
                <w:webHidden/>
              </w:rPr>
              <w:fldChar w:fldCharType="end"/>
            </w:r>
          </w:hyperlink>
        </w:p>
        <w:p w:rsidR="00E54FA9" w14:paraId="35074D8A" w14:textId="6DD32341">
          <w:pPr>
            <w:pStyle w:val="TOC1"/>
            <w:rPr>
              <w:rFonts w:eastAsiaTheme="minorEastAsia"/>
              <w:noProof/>
              <w:color w:val="auto"/>
              <w:kern w:val="2"/>
              <w14:ligatures w14:val="standardContextual"/>
            </w:rPr>
          </w:pPr>
          <w:hyperlink w:anchor="_Toc165020041" w:history="1">
            <w:r w:rsidRPr="003850F9">
              <w:rPr>
                <w:rStyle w:val="Hyperlink"/>
                <w:rFonts w:eastAsia="Times New Roman"/>
                <w:noProof/>
              </w:rPr>
              <w:t>A.8. Summary of Consultations Outside of the Agency </w:t>
            </w:r>
            <w:r>
              <w:rPr>
                <w:noProof/>
                <w:webHidden/>
              </w:rPr>
              <w:tab/>
            </w:r>
            <w:r>
              <w:rPr>
                <w:noProof/>
                <w:webHidden/>
              </w:rPr>
              <w:fldChar w:fldCharType="begin"/>
            </w:r>
            <w:r>
              <w:rPr>
                <w:noProof/>
                <w:webHidden/>
              </w:rPr>
              <w:instrText xml:space="preserve"> PAGEREF _Toc165020041 \h </w:instrText>
            </w:r>
            <w:r>
              <w:rPr>
                <w:noProof/>
                <w:webHidden/>
              </w:rPr>
              <w:fldChar w:fldCharType="separate"/>
            </w:r>
            <w:r>
              <w:rPr>
                <w:noProof/>
                <w:webHidden/>
              </w:rPr>
              <w:t>5</w:t>
            </w:r>
            <w:r>
              <w:rPr>
                <w:noProof/>
                <w:webHidden/>
              </w:rPr>
              <w:fldChar w:fldCharType="end"/>
            </w:r>
          </w:hyperlink>
        </w:p>
        <w:p w:rsidR="00E54FA9" w14:paraId="74366672" w14:textId="7369C113">
          <w:pPr>
            <w:pStyle w:val="TOC1"/>
            <w:rPr>
              <w:rFonts w:eastAsiaTheme="minorEastAsia"/>
              <w:noProof/>
              <w:color w:val="auto"/>
              <w:kern w:val="2"/>
              <w14:ligatures w14:val="standardContextual"/>
            </w:rPr>
          </w:pPr>
          <w:hyperlink w:anchor="_Toc165020042" w:history="1">
            <w:r w:rsidRPr="003850F9">
              <w:rPr>
                <w:rStyle w:val="Hyperlink"/>
                <w:noProof/>
              </w:rPr>
              <w:t>A.9. Payments or Gifts to Respondents</w:t>
            </w:r>
            <w:r>
              <w:rPr>
                <w:noProof/>
                <w:webHidden/>
              </w:rPr>
              <w:tab/>
            </w:r>
            <w:r>
              <w:rPr>
                <w:noProof/>
                <w:webHidden/>
              </w:rPr>
              <w:fldChar w:fldCharType="begin"/>
            </w:r>
            <w:r>
              <w:rPr>
                <w:noProof/>
                <w:webHidden/>
              </w:rPr>
              <w:instrText xml:space="preserve"> PAGEREF _Toc165020042 \h </w:instrText>
            </w:r>
            <w:r>
              <w:rPr>
                <w:noProof/>
                <w:webHidden/>
              </w:rPr>
              <w:fldChar w:fldCharType="separate"/>
            </w:r>
            <w:r>
              <w:rPr>
                <w:noProof/>
                <w:webHidden/>
              </w:rPr>
              <w:t>5</w:t>
            </w:r>
            <w:r>
              <w:rPr>
                <w:noProof/>
                <w:webHidden/>
              </w:rPr>
              <w:fldChar w:fldCharType="end"/>
            </w:r>
          </w:hyperlink>
        </w:p>
        <w:p w:rsidR="00E54FA9" w14:paraId="66050FE9" w14:textId="08FE6627">
          <w:pPr>
            <w:pStyle w:val="TOC1"/>
            <w:rPr>
              <w:rFonts w:eastAsiaTheme="minorEastAsia"/>
              <w:noProof/>
              <w:color w:val="auto"/>
              <w:kern w:val="2"/>
              <w14:ligatures w14:val="standardContextual"/>
            </w:rPr>
          </w:pPr>
          <w:hyperlink w:anchor="_Toc165020043" w:history="1">
            <w:r w:rsidRPr="003850F9">
              <w:rPr>
                <w:rStyle w:val="Hyperlink"/>
                <w:rFonts w:eastAsia="Times New Roman"/>
                <w:noProof/>
              </w:rPr>
              <w:t>A.10. Provisions for Protection of Information</w:t>
            </w:r>
            <w:r>
              <w:rPr>
                <w:noProof/>
                <w:webHidden/>
              </w:rPr>
              <w:tab/>
            </w:r>
            <w:r>
              <w:rPr>
                <w:noProof/>
                <w:webHidden/>
              </w:rPr>
              <w:fldChar w:fldCharType="begin"/>
            </w:r>
            <w:r>
              <w:rPr>
                <w:noProof/>
                <w:webHidden/>
              </w:rPr>
              <w:instrText xml:space="preserve"> PAGEREF _Toc165020043 \h </w:instrText>
            </w:r>
            <w:r>
              <w:rPr>
                <w:noProof/>
                <w:webHidden/>
              </w:rPr>
              <w:fldChar w:fldCharType="separate"/>
            </w:r>
            <w:r>
              <w:rPr>
                <w:noProof/>
                <w:webHidden/>
              </w:rPr>
              <w:t>5</w:t>
            </w:r>
            <w:r>
              <w:rPr>
                <w:noProof/>
                <w:webHidden/>
              </w:rPr>
              <w:fldChar w:fldCharType="end"/>
            </w:r>
          </w:hyperlink>
        </w:p>
        <w:p w:rsidR="00E54FA9" w14:paraId="6B403815" w14:textId="66F64F7E">
          <w:pPr>
            <w:pStyle w:val="TOC1"/>
            <w:rPr>
              <w:rFonts w:eastAsiaTheme="minorEastAsia"/>
              <w:noProof/>
              <w:color w:val="auto"/>
              <w:kern w:val="2"/>
              <w14:ligatures w14:val="standardContextual"/>
            </w:rPr>
          </w:pPr>
          <w:hyperlink w:anchor="_Toc165020044" w:history="1">
            <w:r w:rsidRPr="003850F9">
              <w:rPr>
                <w:rStyle w:val="Hyperlink"/>
                <w:rFonts w:eastAsia="Times New Roman"/>
                <w:noProof/>
              </w:rPr>
              <w:t>A.11. Justification for Sensitive Questions</w:t>
            </w:r>
            <w:r>
              <w:rPr>
                <w:noProof/>
                <w:webHidden/>
              </w:rPr>
              <w:tab/>
            </w:r>
            <w:r>
              <w:rPr>
                <w:noProof/>
                <w:webHidden/>
              </w:rPr>
              <w:fldChar w:fldCharType="begin"/>
            </w:r>
            <w:r>
              <w:rPr>
                <w:noProof/>
                <w:webHidden/>
              </w:rPr>
              <w:instrText xml:space="preserve"> PAGEREF _Toc165020044 \h </w:instrText>
            </w:r>
            <w:r>
              <w:rPr>
                <w:noProof/>
                <w:webHidden/>
              </w:rPr>
              <w:fldChar w:fldCharType="separate"/>
            </w:r>
            <w:r>
              <w:rPr>
                <w:noProof/>
                <w:webHidden/>
              </w:rPr>
              <w:t>5</w:t>
            </w:r>
            <w:r>
              <w:rPr>
                <w:noProof/>
                <w:webHidden/>
              </w:rPr>
              <w:fldChar w:fldCharType="end"/>
            </w:r>
          </w:hyperlink>
        </w:p>
        <w:p w:rsidR="00E54FA9" w14:paraId="19B460B0" w14:textId="6805F56D">
          <w:pPr>
            <w:pStyle w:val="TOC1"/>
            <w:rPr>
              <w:rFonts w:eastAsiaTheme="minorEastAsia"/>
              <w:noProof/>
              <w:color w:val="auto"/>
              <w:kern w:val="2"/>
              <w14:ligatures w14:val="standardContextual"/>
            </w:rPr>
          </w:pPr>
          <w:hyperlink w:anchor="_Toc165020045" w:history="1">
            <w:r w:rsidRPr="003850F9">
              <w:rPr>
                <w:rStyle w:val="Hyperlink"/>
                <w:rFonts w:eastAsia="Times New Roman"/>
                <w:noProof/>
              </w:rPr>
              <w:t>A.12. Estimate of Respondent Burden Hours and Cost</w:t>
            </w:r>
            <w:r>
              <w:rPr>
                <w:noProof/>
                <w:webHidden/>
              </w:rPr>
              <w:tab/>
            </w:r>
            <w:r>
              <w:rPr>
                <w:noProof/>
                <w:webHidden/>
              </w:rPr>
              <w:fldChar w:fldCharType="begin"/>
            </w:r>
            <w:r>
              <w:rPr>
                <w:noProof/>
                <w:webHidden/>
              </w:rPr>
              <w:instrText xml:space="preserve"> PAGEREF _Toc165020045 \h </w:instrText>
            </w:r>
            <w:r>
              <w:rPr>
                <w:noProof/>
                <w:webHidden/>
              </w:rPr>
              <w:fldChar w:fldCharType="separate"/>
            </w:r>
            <w:r>
              <w:rPr>
                <w:noProof/>
                <w:webHidden/>
              </w:rPr>
              <w:t>5</w:t>
            </w:r>
            <w:r>
              <w:rPr>
                <w:noProof/>
                <w:webHidden/>
              </w:rPr>
              <w:fldChar w:fldCharType="end"/>
            </w:r>
          </w:hyperlink>
        </w:p>
        <w:p w:rsidR="00E54FA9" w14:paraId="37EDF882" w14:textId="2769471A">
          <w:pPr>
            <w:pStyle w:val="TOC1"/>
            <w:rPr>
              <w:rFonts w:eastAsiaTheme="minorEastAsia"/>
              <w:noProof/>
              <w:color w:val="auto"/>
              <w:kern w:val="2"/>
              <w14:ligatures w14:val="standardContextual"/>
            </w:rPr>
          </w:pPr>
          <w:hyperlink w:anchor="_Toc165020046" w:history="1">
            <w:r w:rsidRPr="003850F9">
              <w:rPr>
                <w:rStyle w:val="Hyperlink"/>
                <w:rFonts w:eastAsia="Times New Roman"/>
                <w:noProof/>
              </w:rPr>
              <w:t>A.13. Annual Cost to the Federal Government </w:t>
            </w:r>
            <w:r>
              <w:rPr>
                <w:noProof/>
                <w:webHidden/>
              </w:rPr>
              <w:tab/>
            </w:r>
            <w:r>
              <w:rPr>
                <w:noProof/>
                <w:webHidden/>
              </w:rPr>
              <w:fldChar w:fldCharType="begin"/>
            </w:r>
            <w:r>
              <w:rPr>
                <w:noProof/>
                <w:webHidden/>
              </w:rPr>
              <w:instrText xml:space="preserve"> PAGEREF _Toc165020046 \h </w:instrText>
            </w:r>
            <w:r>
              <w:rPr>
                <w:noProof/>
                <w:webHidden/>
              </w:rPr>
              <w:fldChar w:fldCharType="separate"/>
            </w:r>
            <w:r>
              <w:rPr>
                <w:noProof/>
                <w:webHidden/>
              </w:rPr>
              <w:t>6</w:t>
            </w:r>
            <w:r>
              <w:rPr>
                <w:noProof/>
                <w:webHidden/>
              </w:rPr>
              <w:fldChar w:fldCharType="end"/>
            </w:r>
          </w:hyperlink>
        </w:p>
        <w:p w:rsidR="00E54FA9" w14:paraId="3F637263" w14:textId="2DB26389">
          <w:pPr>
            <w:pStyle w:val="TOC1"/>
            <w:rPr>
              <w:rFonts w:eastAsiaTheme="minorEastAsia"/>
              <w:noProof/>
              <w:color w:val="auto"/>
              <w:kern w:val="2"/>
              <w14:ligatures w14:val="standardContextual"/>
            </w:rPr>
          </w:pPr>
          <w:hyperlink w:anchor="_Toc165020047" w:history="1">
            <w:r w:rsidRPr="003850F9">
              <w:rPr>
                <w:rStyle w:val="Hyperlink"/>
                <w:rFonts w:eastAsia="Times New Roman"/>
                <w:noProof/>
              </w:rPr>
              <w:t>A.14. Changes in Burden</w:t>
            </w:r>
            <w:r>
              <w:rPr>
                <w:noProof/>
                <w:webHidden/>
              </w:rPr>
              <w:tab/>
            </w:r>
            <w:r>
              <w:rPr>
                <w:noProof/>
                <w:webHidden/>
              </w:rPr>
              <w:fldChar w:fldCharType="begin"/>
            </w:r>
            <w:r>
              <w:rPr>
                <w:noProof/>
                <w:webHidden/>
              </w:rPr>
              <w:instrText xml:space="preserve"> PAGEREF _Toc165020047 \h </w:instrText>
            </w:r>
            <w:r>
              <w:rPr>
                <w:noProof/>
                <w:webHidden/>
              </w:rPr>
              <w:fldChar w:fldCharType="separate"/>
            </w:r>
            <w:r>
              <w:rPr>
                <w:noProof/>
                <w:webHidden/>
              </w:rPr>
              <w:t>6</w:t>
            </w:r>
            <w:r>
              <w:rPr>
                <w:noProof/>
                <w:webHidden/>
              </w:rPr>
              <w:fldChar w:fldCharType="end"/>
            </w:r>
          </w:hyperlink>
        </w:p>
        <w:p w:rsidR="00E54FA9" w14:paraId="65280DAA" w14:textId="2F86261D">
          <w:pPr>
            <w:pStyle w:val="TOC1"/>
            <w:rPr>
              <w:rFonts w:eastAsiaTheme="minorEastAsia"/>
              <w:noProof/>
              <w:color w:val="auto"/>
              <w:kern w:val="2"/>
              <w14:ligatures w14:val="standardContextual"/>
            </w:rPr>
          </w:pPr>
          <w:hyperlink w:anchor="_Toc165020048" w:history="1">
            <w:r w:rsidRPr="003850F9">
              <w:rPr>
                <w:rStyle w:val="Hyperlink"/>
                <w:noProof/>
              </w:rPr>
              <w:t>A.15. Reasons for Changes in Burden</w:t>
            </w:r>
            <w:r>
              <w:rPr>
                <w:noProof/>
                <w:webHidden/>
              </w:rPr>
              <w:tab/>
            </w:r>
            <w:r>
              <w:rPr>
                <w:noProof/>
                <w:webHidden/>
              </w:rPr>
              <w:fldChar w:fldCharType="begin"/>
            </w:r>
            <w:r>
              <w:rPr>
                <w:noProof/>
                <w:webHidden/>
              </w:rPr>
              <w:instrText xml:space="preserve"> PAGEREF _Toc165020048 \h </w:instrText>
            </w:r>
            <w:r>
              <w:rPr>
                <w:noProof/>
                <w:webHidden/>
              </w:rPr>
              <w:fldChar w:fldCharType="separate"/>
            </w:r>
            <w:r>
              <w:rPr>
                <w:noProof/>
                <w:webHidden/>
              </w:rPr>
              <w:t>7</w:t>
            </w:r>
            <w:r>
              <w:rPr>
                <w:noProof/>
                <w:webHidden/>
              </w:rPr>
              <w:fldChar w:fldCharType="end"/>
            </w:r>
          </w:hyperlink>
        </w:p>
        <w:p w:rsidR="00E54FA9" w14:paraId="4CA11A75" w14:textId="5C0218EF">
          <w:pPr>
            <w:pStyle w:val="TOC1"/>
            <w:rPr>
              <w:rFonts w:eastAsiaTheme="minorEastAsia"/>
              <w:noProof/>
              <w:color w:val="auto"/>
              <w:kern w:val="2"/>
              <w14:ligatures w14:val="standardContextual"/>
            </w:rPr>
          </w:pPr>
          <w:hyperlink w:anchor="_Toc165020049" w:history="1">
            <w:r w:rsidRPr="003850F9">
              <w:rPr>
                <w:rStyle w:val="Hyperlink"/>
                <w:noProof/>
              </w:rPr>
              <w:t>A.16. Collection, Tabulation, and Publication Plans</w:t>
            </w:r>
            <w:r>
              <w:rPr>
                <w:noProof/>
                <w:webHidden/>
              </w:rPr>
              <w:tab/>
            </w:r>
            <w:r>
              <w:rPr>
                <w:noProof/>
                <w:webHidden/>
              </w:rPr>
              <w:fldChar w:fldCharType="begin"/>
            </w:r>
            <w:r>
              <w:rPr>
                <w:noProof/>
                <w:webHidden/>
              </w:rPr>
              <w:instrText xml:space="preserve"> PAGEREF _Toc165020049 \h </w:instrText>
            </w:r>
            <w:r>
              <w:rPr>
                <w:noProof/>
                <w:webHidden/>
              </w:rPr>
              <w:fldChar w:fldCharType="separate"/>
            </w:r>
            <w:r>
              <w:rPr>
                <w:noProof/>
                <w:webHidden/>
              </w:rPr>
              <w:t>7</w:t>
            </w:r>
            <w:r>
              <w:rPr>
                <w:noProof/>
                <w:webHidden/>
              </w:rPr>
              <w:fldChar w:fldCharType="end"/>
            </w:r>
          </w:hyperlink>
        </w:p>
        <w:p w:rsidR="00E54FA9" w14:paraId="5B80E354" w14:textId="48EE34D4">
          <w:pPr>
            <w:pStyle w:val="TOC1"/>
            <w:rPr>
              <w:rFonts w:eastAsiaTheme="minorEastAsia"/>
              <w:noProof/>
              <w:color w:val="auto"/>
              <w:kern w:val="2"/>
              <w14:ligatures w14:val="standardContextual"/>
            </w:rPr>
          </w:pPr>
          <w:hyperlink w:anchor="_Toc165020050" w:history="1">
            <w:r w:rsidRPr="003850F9">
              <w:rPr>
                <w:rStyle w:val="Hyperlink"/>
                <w:noProof/>
              </w:rPr>
              <w:t>A.17. OMB Number and Expiration Date</w:t>
            </w:r>
            <w:r>
              <w:rPr>
                <w:noProof/>
                <w:webHidden/>
              </w:rPr>
              <w:tab/>
            </w:r>
            <w:r>
              <w:rPr>
                <w:noProof/>
                <w:webHidden/>
              </w:rPr>
              <w:fldChar w:fldCharType="begin"/>
            </w:r>
            <w:r>
              <w:rPr>
                <w:noProof/>
                <w:webHidden/>
              </w:rPr>
              <w:instrText xml:space="preserve"> PAGEREF _Toc165020050 \h </w:instrText>
            </w:r>
            <w:r>
              <w:rPr>
                <w:noProof/>
                <w:webHidden/>
              </w:rPr>
              <w:fldChar w:fldCharType="separate"/>
            </w:r>
            <w:r>
              <w:rPr>
                <w:noProof/>
                <w:webHidden/>
              </w:rPr>
              <w:t>7</w:t>
            </w:r>
            <w:r>
              <w:rPr>
                <w:noProof/>
                <w:webHidden/>
              </w:rPr>
              <w:fldChar w:fldCharType="end"/>
            </w:r>
          </w:hyperlink>
        </w:p>
        <w:p w:rsidR="00E54FA9" w14:paraId="7A9DEBC6" w14:textId="73D9B533">
          <w:pPr>
            <w:pStyle w:val="TOC1"/>
            <w:rPr>
              <w:rFonts w:eastAsiaTheme="minorEastAsia"/>
              <w:noProof/>
              <w:color w:val="auto"/>
              <w:kern w:val="2"/>
              <w14:ligatures w14:val="standardContextual"/>
            </w:rPr>
          </w:pPr>
          <w:hyperlink w:anchor="_Toc165020051" w:history="1">
            <w:r w:rsidRPr="003850F9">
              <w:rPr>
                <w:rStyle w:val="Hyperlink"/>
                <w:noProof/>
              </w:rPr>
              <w:t>A.18. Certification Statement</w:t>
            </w:r>
            <w:r>
              <w:rPr>
                <w:noProof/>
                <w:webHidden/>
              </w:rPr>
              <w:tab/>
            </w:r>
            <w:r>
              <w:rPr>
                <w:noProof/>
                <w:webHidden/>
              </w:rPr>
              <w:fldChar w:fldCharType="begin"/>
            </w:r>
            <w:r>
              <w:rPr>
                <w:noProof/>
                <w:webHidden/>
              </w:rPr>
              <w:instrText xml:space="preserve"> PAGEREF _Toc165020051 \h </w:instrText>
            </w:r>
            <w:r>
              <w:rPr>
                <w:noProof/>
                <w:webHidden/>
              </w:rPr>
              <w:fldChar w:fldCharType="separate"/>
            </w:r>
            <w:r>
              <w:rPr>
                <w:noProof/>
                <w:webHidden/>
              </w:rPr>
              <w:t>7</w:t>
            </w:r>
            <w:r>
              <w:rPr>
                <w:noProof/>
                <w:webHidden/>
              </w:rPr>
              <w:fldChar w:fldCharType="end"/>
            </w:r>
          </w:hyperlink>
        </w:p>
        <w:p w:rsidR="00AD6244" w14:paraId="4F62B36C" w14:textId="176AF81A">
          <w:r>
            <w:rPr>
              <w:b/>
              <w:bCs/>
              <w:noProof/>
              <w:color w:val="000000" w:themeColor="text1"/>
            </w:rPr>
            <w:fldChar w:fldCharType="end"/>
          </w:r>
        </w:p>
      </w:sdtContent>
    </w:sdt>
    <w:p w:rsidR="00F9459F" w:rsidP="00F27E4F" w14:paraId="00FEB1A7" w14:textId="78B7E205">
      <w:pPr>
        <w:rPr>
          <w:noProof/>
        </w:rPr>
      </w:pPr>
      <w:r>
        <w:br w:type="page"/>
      </w:r>
    </w:p>
    <w:p w:rsidR="00175758" w:rsidRPr="00175758" w:rsidP="00175758" w14:paraId="6157578F" w14:textId="7DCF90E5">
      <w:pPr>
        <w:pStyle w:val="Heading1"/>
        <w:rPr>
          <w:rFonts w:ascii="Segoe UI" w:eastAsia="Times New Roman" w:hAnsi="Segoe UI" w:cs="Segoe UI"/>
          <w:sz w:val="18"/>
          <w:szCs w:val="18"/>
        </w:rPr>
      </w:pPr>
      <w:bookmarkStart w:id="0" w:name="_Toc165020031"/>
      <w:r w:rsidRPr="00175758">
        <w:rPr>
          <w:rFonts w:eastAsia="Times New Roman"/>
        </w:rPr>
        <w:t>Introduction</w:t>
      </w:r>
      <w:bookmarkEnd w:id="0"/>
      <w:r w:rsidRPr="00175758">
        <w:rPr>
          <w:rFonts w:eastAsia="Times New Roman"/>
        </w:rPr>
        <w:t> </w:t>
      </w:r>
    </w:p>
    <w:p w:rsidR="00175758" w:rsidRPr="00175758" w:rsidP="00175758" w14:paraId="6EC6F25F"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w:t>
      </w:r>
      <w:r w:rsidRPr="00175758">
        <w:rPr>
          <w:rFonts w:ascii="Calibri" w:eastAsia="Times New Roman" w:hAnsi="Calibri" w:cs="Calibri"/>
          <w:i/>
          <w:iCs/>
        </w:rPr>
        <w:t xml:space="preserve"> </w:t>
      </w:r>
      <w:r w:rsidRPr="00175758">
        <w:rPr>
          <w:rFonts w:ascii="Calibri" w:eastAsia="Times New Roman" w:hAnsi="Calibri" w:cs="Calibri"/>
        </w:rPr>
        <w:t>EIA is required to publish and otherwise make available independent, high-quality statistical data to federal government agencies, state and local governments, the energy industry, researchers, and interested parties through the EIA website.  </w:t>
      </w:r>
    </w:p>
    <w:p w:rsidR="00F27E4F" w:rsidP="00175758" w14:paraId="21C6C391" w14:textId="77777777">
      <w:pPr>
        <w:spacing w:after="0" w:line="240" w:lineRule="auto"/>
        <w:textAlignment w:val="baseline"/>
        <w:rPr>
          <w:rFonts w:ascii="Calibri" w:eastAsia="Times New Roman" w:hAnsi="Calibri" w:cs="Calibri"/>
        </w:rPr>
      </w:pPr>
    </w:p>
    <w:p w:rsidR="00175758" w:rsidRPr="00175758" w:rsidP="00175758" w14:paraId="614D1627" w14:textId="4166DA05">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Form EIA-111 collects U. S. electricity import and export data for the purpose of measuring the flow of electricity into and out of the United States from Canada and Mexico. U.S. purchasers, sellers, and transmitters of wholesale electricity are required to report their data to EIA. These include: </w:t>
      </w:r>
    </w:p>
    <w:p w:rsidR="00175758" w:rsidRPr="00175758" w:rsidP="00175758" w14:paraId="6557C8E2" w14:textId="77777777">
      <w:pPr>
        <w:numPr>
          <w:ilvl w:val="0"/>
          <w:numId w:val="21"/>
        </w:numPr>
        <w:spacing w:after="0" w:line="240" w:lineRule="auto"/>
        <w:ind w:left="1080" w:firstLine="0"/>
        <w:textAlignment w:val="baseline"/>
        <w:rPr>
          <w:rFonts w:ascii="Calibri" w:eastAsia="Times New Roman" w:hAnsi="Calibri" w:cs="Calibri"/>
        </w:rPr>
      </w:pPr>
      <w:r w:rsidRPr="00175758">
        <w:rPr>
          <w:rFonts w:ascii="Calibri" w:eastAsia="Times New Roman" w:hAnsi="Calibri" w:cs="Calibri"/>
        </w:rPr>
        <w:t>persons authorized by Order of DOE’s Office of Electricity Delivery &amp; Energy Reliability (DOE-OE) to export electric energy from the United States to foreign countries;  </w:t>
      </w:r>
    </w:p>
    <w:p w:rsidR="00175758" w:rsidRPr="00175758" w:rsidP="00175758" w14:paraId="73C26376" w14:textId="77777777">
      <w:pPr>
        <w:numPr>
          <w:ilvl w:val="0"/>
          <w:numId w:val="22"/>
        </w:numPr>
        <w:spacing w:after="0" w:line="240" w:lineRule="auto"/>
        <w:ind w:left="1080" w:firstLine="0"/>
        <w:textAlignment w:val="baseline"/>
        <w:rPr>
          <w:rFonts w:ascii="Calibri" w:eastAsia="Times New Roman" w:hAnsi="Calibri" w:cs="Calibri"/>
        </w:rPr>
      </w:pPr>
      <w:r w:rsidRPr="00175758">
        <w:rPr>
          <w:rFonts w:ascii="Calibri" w:eastAsia="Times New Roman" w:hAnsi="Calibri" w:cs="Calibri"/>
        </w:rPr>
        <w:t>persons authorized by Presidential Permit to construct, operate, maintain, or connect electric power transmission lines that cross the U.S. international border; and, </w:t>
      </w:r>
    </w:p>
    <w:p w:rsidR="00175758" w:rsidRPr="00175758" w:rsidP="00175758" w14:paraId="036E8C26" w14:textId="77777777">
      <w:pPr>
        <w:numPr>
          <w:ilvl w:val="0"/>
          <w:numId w:val="23"/>
        </w:numPr>
        <w:spacing w:after="0" w:line="240" w:lineRule="auto"/>
        <w:ind w:left="1080" w:firstLine="0"/>
        <w:textAlignment w:val="baseline"/>
        <w:rPr>
          <w:rFonts w:ascii="Calibri" w:eastAsia="Times New Roman" w:hAnsi="Calibri" w:cs="Calibri"/>
        </w:rPr>
      </w:pPr>
      <w:r w:rsidRPr="00175758">
        <w:rPr>
          <w:rFonts w:ascii="Calibri" w:eastAsia="Times New Roman" w:hAnsi="Calibri" w:cs="Calibri"/>
        </w:rPr>
        <w:t>U.S. Balancing Authorities that are interconnected with foreign Balancing Authorities.  </w:t>
      </w:r>
    </w:p>
    <w:p w:rsidR="00175758" w:rsidRPr="00175758" w:rsidP="00175758" w14:paraId="43033F08"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6E95FCB5"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Respondents report, each quarter, monthly flows of electric energy received or delivered across the border, the cost associated with the transactions, and actual (energy transfers that cross Balancing Authority boundaries) and implemented interchange (the state where the Balancing Authority enters the Confirmed Interchange into its Area Control Error equation). Responses to this form are mandatory. </w:t>
      </w:r>
    </w:p>
    <w:p w:rsidR="00671018" w:rsidP="00175758" w14:paraId="6EE33B4B" w14:textId="77777777">
      <w:pPr>
        <w:spacing w:after="0" w:line="240" w:lineRule="auto"/>
        <w:textAlignment w:val="baseline"/>
        <w:rPr>
          <w:rFonts w:ascii="Calibri" w:eastAsia="Times New Roman" w:hAnsi="Calibri" w:cs="Calibri"/>
        </w:rPr>
      </w:pPr>
    </w:p>
    <w:p w:rsidR="00175758" w:rsidRPr="00175758" w:rsidP="00175758" w14:paraId="0B0C8DB0" w14:textId="0B5FA255">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xml:space="preserve">EIA is requesting a three-year extension, with changes, to Form EIA-111 </w:t>
      </w:r>
      <w:r w:rsidRPr="00175758">
        <w:rPr>
          <w:rFonts w:ascii="Calibri" w:eastAsia="Times New Roman" w:hAnsi="Calibri" w:cs="Calibri"/>
          <w:i/>
          <w:iCs/>
        </w:rPr>
        <w:t>Quarterly Electricity Imports and Exports Report</w:t>
      </w:r>
      <w:r w:rsidRPr="00175758">
        <w:rPr>
          <w:rFonts w:ascii="Calibri" w:eastAsia="Times New Roman" w:hAnsi="Calibri" w:cs="Calibri"/>
        </w:rPr>
        <w:t>. The changes are a result of a reduction in the number of survey respondents required to file EIA-111 reports. This reduces the annual estimated responses and associated burden hours. There is no change to the content collected on the EIA-111. </w:t>
      </w:r>
    </w:p>
    <w:p w:rsidR="00175758" w:rsidRPr="00175758" w:rsidP="00175758" w14:paraId="7BA45BFF"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6B6A3547" w14:textId="77777777">
      <w:pPr>
        <w:pStyle w:val="Heading1"/>
        <w:rPr>
          <w:rFonts w:ascii="Segoe UI" w:eastAsia="Times New Roman" w:hAnsi="Segoe UI" w:cs="Segoe UI"/>
          <w:sz w:val="18"/>
          <w:szCs w:val="18"/>
        </w:rPr>
      </w:pPr>
      <w:bookmarkStart w:id="1" w:name="_Toc165020032"/>
      <w:r w:rsidRPr="00175758">
        <w:rPr>
          <w:rFonts w:eastAsia="Times New Roman"/>
        </w:rPr>
        <w:t>A.1. Legal Justification</w:t>
      </w:r>
      <w:bookmarkEnd w:id="1"/>
      <w:r w:rsidRPr="00175758">
        <w:rPr>
          <w:rFonts w:eastAsia="Times New Roman"/>
        </w:rPr>
        <w:t> </w:t>
      </w:r>
    </w:p>
    <w:p w:rsidR="00175758" w:rsidP="00175758" w14:paraId="648AD782" w14:textId="77777777">
      <w:pPr>
        <w:spacing w:after="0" w:line="240" w:lineRule="auto"/>
        <w:ind w:left="360" w:hanging="360"/>
        <w:textAlignment w:val="baseline"/>
        <w:rPr>
          <w:rFonts w:ascii="Calibri" w:eastAsia="Times New Roman" w:hAnsi="Calibri" w:cs="Calibri"/>
        </w:rPr>
      </w:pPr>
      <w:r w:rsidRPr="00175758">
        <w:rPr>
          <w:rFonts w:ascii="Calibri" w:eastAsia="Times New Roman" w:hAnsi="Calibri" w:cs="Calibri"/>
        </w:rPr>
        <w:t>The authority for this information collection is provided by the following general provisions: </w:t>
      </w:r>
    </w:p>
    <w:p w:rsidR="00671018" w:rsidRPr="00175758" w:rsidP="00175758" w14:paraId="12432106" w14:textId="77777777">
      <w:pPr>
        <w:spacing w:after="0" w:line="240" w:lineRule="auto"/>
        <w:ind w:left="360" w:hanging="360"/>
        <w:textAlignment w:val="baseline"/>
        <w:rPr>
          <w:rFonts w:ascii="Segoe UI" w:eastAsia="Times New Roman" w:hAnsi="Segoe UI" w:cs="Segoe UI"/>
          <w:sz w:val="18"/>
          <w:szCs w:val="18"/>
        </w:rPr>
      </w:pPr>
    </w:p>
    <w:p w:rsidR="00175758" w:rsidRPr="00671018" w:rsidP="00671018" w14:paraId="3D7A73AA" w14:textId="77777777">
      <w:pPr>
        <w:pStyle w:val="ListParagraph"/>
        <w:numPr>
          <w:ilvl w:val="0"/>
          <w:numId w:val="33"/>
        </w:numPr>
        <w:spacing w:after="0" w:line="240" w:lineRule="auto"/>
        <w:jc w:val="both"/>
        <w:textAlignment w:val="baseline"/>
        <w:rPr>
          <w:rFonts w:ascii="Calibri" w:eastAsia="Times New Roman" w:hAnsi="Calibri" w:cs="Calibri"/>
        </w:rPr>
      </w:pPr>
      <w:r w:rsidRPr="00671018">
        <w:rPr>
          <w:rFonts w:ascii="Calibri" w:eastAsia="Times New Roman" w:hAnsi="Calibri" w:cs="Calibri"/>
        </w:rPr>
        <w:t>Title 15 U.S. Code §772, which established the mandatory requirement of owners and operators of businesses in the U.S. to report energy supply and consumption data to the EIA Administrator. </w:t>
      </w:r>
    </w:p>
    <w:p w:rsidR="00175758" w:rsidRPr="00175758" w:rsidP="00671018" w14:paraId="1DB407A4" w14:textId="62E478FD">
      <w:pPr>
        <w:spacing w:after="0" w:line="240" w:lineRule="auto"/>
        <w:ind w:left="360" w:firstLine="48"/>
        <w:jc w:val="both"/>
        <w:textAlignment w:val="baseline"/>
        <w:rPr>
          <w:rFonts w:ascii="Segoe UI" w:eastAsia="Times New Roman" w:hAnsi="Segoe UI" w:cs="Segoe UI"/>
          <w:sz w:val="18"/>
          <w:szCs w:val="18"/>
        </w:rPr>
      </w:pPr>
    </w:p>
    <w:p w:rsidR="00175758" w:rsidRPr="00671018" w:rsidP="00671018" w14:paraId="1E95F1FA" w14:textId="77777777">
      <w:pPr>
        <w:pStyle w:val="ListParagraph"/>
        <w:numPr>
          <w:ilvl w:val="0"/>
          <w:numId w:val="33"/>
        </w:numPr>
        <w:spacing w:after="0" w:line="240" w:lineRule="auto"/>
        <w:jc w:val="both"/>
        <w:textAlignment w:val="baseline"/>
        <w:rPr>
          <w:rFonts w:ascii="Calibri" w:eastAsia="Times New Roman" w:hAnsi="Calibri" w:cs="Calibri"/>
        </w:rPr>
      </w:pPr>
      <w:r w:rsidRPr="00671018">
        <w:rPr>
          <w:rFonts w:ascii="Calibri" w:eastAsia="Times New Roman" w:hAnsi="Calibri" w:cs="Calibri"/>
        </w:rPr>
        <w:t>Title 15 U.S. Code §764, which established the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 </w:t>
      </w:r>
    </w:p>
    <w:p w:rsidR="00175758" w:rsidRPr="00175758" w:rsidP="00671018" w14:paraId="7970BDA9" w14:textId="5C67C200">
      <w:pPr>
        <w:spacing w:after="0" w:line="240" w:lineRule="auto"/>
        <w:ind w:left="720" w:firstLine="48"/>
        <w:textAlignment w:val="baseline"/>
        <w:rPr>
          <w:rFonts w:ascii="Segoe UI" w:eastAsia="Times New Roman" w:hAnsi="Segoe UI" w:cs="Segoe UI"/>
          <w:sz w:val="18"/>
          <w:szCs w:val="18"/>
        </w:rPr>
      </w:pPr>
    </w:p>
    <w:p w:rsidR="00175758" w:rsidRPr="00671018" w:rsidP="00671018" w14:paraId="75290549" w14:textId="77777777">
      <w:pPr>
        <w:pStyle w:val="ListParagraph"/>
        <w:numPr>
          <w:ilvl w:val="0"/>
          <w:numId w:val="33"/>
        </w:numPr>
        <w:spacing w:after="0" w:line="240" w:lineRule="auto"/>
        <w:jc w:val="both"/>
        <w:textAlignment w:val="baseline"/>
        <w:rPr>
          <w:rFonts w:ascii="Calibri" w:eastAsia="Times New Roman" w:hAnsi="Calibri" w:cs="Calibri"/>
        </w:rPr>
      </w:pPr>
      <w:r w:rsidRPr="00671018">
        <w:rPr>
          <w:rFonts w:ascii="Calibri" w:eastAsia="Times New Roman" w:hAnsi="Calibri" w:cs="Calibri"/>
        </w:rPr>
        <w:t>Title 15 U.S. Code §790a, which established the National Energy Information System (NEIS) that is the enclave containing the energy data collected by EIA, which allows EIA to describe and analyze energy supply and consumption in the U.S.</w:t>
      </w:r>
      <w:r w:rsidRPr="00671018">
        <w:rPr>
          <w:rFonts w:ascii="Calibri" w:eastAsia="Times New Roman" w:hAnsi="Calibri" w:cs="Calibri"/>
          <w:i/>
          <w:iCs/>
        </w:rPr>
        <w:t xml:space="preserve">  </w:t>
      </w:r>
      <w:r w:rsidRPr="00671018">
        <w:rPr>
          <w:rFonts w:ascii="Calibri" w:eastAsia="Times New Roman" w:hAnsi="Calibri" w:cs="Calibri"/>
        </w:rPr>
        <w:t>NEIS allows EIA to perform statistical and forecasting activities to meet the needs of the U.S. Department of Energy and Congress, as well as the needs of the States to the extent required by the Natural Gas Act [Title 15 U.S. Code §717 et seq.] and the Federal Power Act [Title 16 U.S. Code §791a et seq.]. </w:t>
      </w:r>
    </w:p>
    <w:p w:rsidR="00175758" w:rsidRPr="00175758" w:rsidP="00175758" w14:paraId="41BCBC54"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0091B145"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xml:space="preserve">The DOE’s authority to regulate electricity exports from the United States to foreign countries is provided by Section 202(e) of the Federal Power Act (FPA) (codified as 16 U.S.C. §824e) and regulations thereunder (10 C.F.R. § 205.300 </w:t>
      </w:r>
      <w:r w:rsidRPr="00175758">
        <w:rPr>
          <w:rFonts w:ascii="Calibri" w:eastAsia="Times New Roman" w:hAnsi="Calibri" w:cs="Calibri"/>
          <w:i/>
          <w:iCs/>
        </w:rPr>
        <w:t>et seq</w:t>
      </w:r>
      <w:r w:rsidRPr="00175758">
        <w:rPr>
          <w:rFonts w:ascii="Calibri" w:eastAsia="Times New Roman" w:hAnsi="Calibri" w:cs="Calibri"/>
        </w:rPr>
        <w:t>.)  </w:t>
      </w:r>
    </w:p>
    <w:p w:rsidR="00175758" w:rsidRPr="00175758" w:rsidP="00175758" w14:paraId="704A53DE"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6E806781"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16 U.S.C. §824(e) states that DOE “shall issue such order upon application unless, after opportunity for hearing, it finds that the proposed transmission would impair the sufficiency of electric supply within the United States or would impede or tend to impede the coordination in the public interest of facilities subject to the jurisdiction of [DOE}.” DOE has discretion to condition the order as necessary or appropriate, DOE “may by its order grant such application in whole or in part, with such modifications and upon such terms and conditions as the [DOE] may find necessary or appropriate.” </w:t>
      </w:r>
    </w:p>
    <w:p w:rsidR="00175758" w:rsidRPr="00175758" w:rsidP="00175758" w14:paraId="4F0FAEFB"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27B8BB69"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DOE has the responsibility for implementing Executive Order (EO) 10485, as amended by E.O. 12038, which delegates to DOE’s Grid Deployment Office (GDO), the authority to issue Presidential permits for the Construction, operation, maintenance, or connection of electric transmission facilities at the United States international borders. DOE may issue such a permit if it determines that issuance of the permit is in the public interest and after obtaining favorable recommendations from the U.S. Departments of State and Defense. </w:t>
      </w:r>
    </w:p>
    <w:p w:rsidR="00175758" w:rsidRPr="00175758" w:rsidP="00175758" w14:paraId="74FA7805"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47DB3F98" w14:textId="77777777">
      <w:pPr>
        <w:pStyle w:val="Heading1"/>
        <w:rPr>
          <w:rFonts w:ascii="Segoe UI" w:eastAsia="Times New Roman" w:hAnsi="Segoe UI" w:cs="Segoe UI"/>
          <w:sz w:val="18"/>
          <w:szCs w:val="18"/>
        </w:rPr>
      </w:pPr>
      <w:bookmarkStart w:id="2" w:name="_Toc165020033"/>
      <w:r w:rsidRPr="00175758">
        <w:rPr>
          <w:rFonts w:eastAsia="Times New Roman"/>
        </w:rPr>
        <w:t>A.2. Needs and Uses of Data</w:t>
      </w:r>
      <w:bookmarkEnd w:id="2"/>
      <w:r w:rsidRPr="00175758">
        <w:rPr>
          <w:rFonts w:eastAsia="Times New Roman"/>
        </w:rPr>
        <w:t> </w:t>
      </w:r>
    </w:p>
    <w:p w:rsidR="00175758" w:rsidP="00175758" w14:paraId="412373B9" w14:textId="77777777">
      <w:pPr>
        <w:spacing w:after="0" w:line="240" w:lineRule="auto"/>
        <w:textAlignment w:val="baseline"/>
        <w:rPr>
          <w:rFonts w:ascii="Calibri" w:eastAsia="Times New Roman" w:hAnsi="Calibri" w:cs="Calibri"/>
        </w:rPr>
      </w:pPr>
      <w:r w:rsidRPr="00175758">
        <w:rPr>
          <w:rFonts w:ascii="Calibri" w:eastAsia="Times New Roman" w:hAnsi="Calibri" w:cs="Calibri"/>
        </w:rPr>
        <w:t>Form EIA-111 collects U.S. electricity import and export data. The data are used to generate accurate estimates of the flow of electricity into and out of the United States. </w:t>
      </w:r>
    </w:p>
    <w:p w:rsidR="00671018" w:rsidRPr="00175758" w:rsidP="00175758" w14:paraId="782C44B8" w14:textId="77777777">
      <w:pPr>
        <w:spacing w:after="0" w:line="240" w:lineRule="auto"/>
        <w:textAlignment w:val="baseline"/>
        <w:rPr>
          <w:rFonts w:ascii="Segoe UI" w:eastAsia="Times New Roman" w:hAnsi="Segoe UI" w:cs="Segoe UI"/>
          <w:sz w:val="18"/>
          <w:szCs w:val="18"/>
        </w:rPr>
      </w:pPr>
    </w:p>
    <w:p w:rsidR="00175758" w:rsidRPr="00175758" w:rsidP="00671018" w14:paraId="081B6151" w14:textId="77777777">
      <w:pPr>
        <w:pStyle w:val="Heading3"/>
        <w:rPr>
          <w:rFonts w:ascii="Segoe UI" w:hAnsi="Segoe UI" w:cs="Segoe UI"/>
          <w:sz w:val="18"/>
          <w:szCs w:val="18"/>
        </w:rPr>
      </w:pPr>
      <w:bookmarkStart w:id="3" w:name="_Toc165020034"/>
      <w:r w:rsidRPr="00175758">
        <w:t>2.1. Overview of Data Uses</w:t>
      </w:r>
      <w:bookmarkEnd w:id="3"/>
      <w:r w:rsidRPr="00175758">
        <w:t> </w:t>
      </w:r>
    </w:p>
    <w:p w:rsidR="00671018" w:rsidRPr="00175758" w:rsidP="00175758" w14:paraId="707AAE96" w14:textId="3670C1A1">
      <w:pPr>
        <w:spacing w:after="0" w:line="240" w:lineRule="auto"/>
        <w:textAlignment w:val="baseline"/>
        <w:rPr>
          <w:rFonts w:ascii="Calibri" w:eastAsia="Times New Roman" w:hAnsi="Calibri" w:cs="Calibri"/>
        </w:rPr>
      </w:pPr>
      <w:r w:rsidRPr="00175758">
        <w:rPr>
          <w:rFonts w:ascii="Calibri" w:eastAsia="Times New Roman" w:hAnsi="Calibri" w:cs="Calibri"/>
        </w:rPr>
        <w:t>Form EIA-111 data appear in several EIA publications that are available from EIA’s website or a joint website. The most prominent are:</w:t>
      </w:r>
    </w:p>
    <w:p w:rsidR="00175758" w:rsidRPr="00671018" w:rsidP="00671018" w14:paraId="186B3BB1" w14:textId="77777777">
      <w:pPr>
        <w:pStyle w:val="ListParagraph"/>
        <w:numPr>
          <w:ilvl w:val="0"/>
          <w:numId w:val="34"/>
        </w:numPr>
        <w:spacing w:after="0" w:line="240" w:lineRule="auto"/>
        <w:textAlignment w:val="baseline"/>
        <w:rPr>
          <w:rFonts w:ascii="Calibri" w:eastAsia="Times New Roman" w:hAnsi="Calibri" w:cs="Calibri"/>
        </w:rPr>
      </w:pPr>
      <w:r w:rsidRPr="00671018">
        <w:rPr>
          <w:rFonts w:ascii="Calibri" w:eastAsia="Times New Roman" w:hAnsi="Calibri" w:cs="Calibri"/>
        </w:rPr>
        <w:t>Electric Power Annual</w:t>
      </w:r>
      <w:r w:rsidRPr="00671018">
        <w:rPr>
          <w:rFonts w:ascii="Calibri" w:eastAsia="Times New Roman" w:hAnsi="Calibri" w:cs="Calibri"/>
        </w:rPr>
        <w:tab/>
      </w:r>
      <w:hyperlink r:id="rId14" w:tgtFrame="_blank" w:history="1">
        <w:r w:rsidRPr="00671018">
          <w:rPr>
            <w:rFonts w:ascii="Calibri" w:eastAsia="Times New Roman" w:hAnsi="Calibri" w:cs="Calibri"/>
            <w:color w:val="1396D8"/>
            <w:u w:val="single"/>
          </w:rPr>
          <w:t>http://www.eia.gov/electricity/annual/</w:t>
        </w:r>
      </w:hyperlink>
      <w:r w:rsidRPr="00671018">
        <w:rPr>
          <w:rFonts w:ascii="Calibri" w:eastAsia="Times New Roman" w:hAnsi="Calibri" w:cs="Calibri"/>
        </w:rPr>
        <w:t> </w:t>
      </w:r>
    </w:p>
    <w:p w:rsidR="00175758" w:rsidRPr="00671018" w:rsidP="00671018" w14:paraId="64DDC180" w14:textId="77777777">
      <w:pPr>
        <w:pStyle w:val="ListParagraph"/>
        <w:numPr>
          <w:ilvl w:val="0"/>
          <w:numId w:val="34"/>
        </w:numPr>
        <w:spacing w:after="0" w:line="240" w:lineRule="auto"/>
        <w:textAlignment w:val="baseline"/>
        <w:rPr>
          <w:rFonts w:ascii="Calibri" w:eastAsia="Times New Roman" w:hAnsi="Calibri" w:cs="Calibri"/>
        </w:rPr>
      </w:pPr>
      <w:r w:rsidRPr="00671018">
        <w:rPr>
          <w:rFonts w:ascii="Calibri" w:eastAsia="Times New Roman" w:hAnsi="Calibri" w:cs="Calibri"/>
        </w:rPr>
        <w:t>Monthly Energy Review</w:t>
      </w:r>
      <w:r w:rsidRPr="00671018">
        <w:rPr>
          <w:rFonts w:ascii="Calibri" w:eastAsia="Times New Roman" w:hAnsi="Calibri" w:cs="Calibri"/>
        </w:rPr>
        <w:tab/>
      </w:r>
      <w:hyperlink r:id="rId15" w:tgtFrame="_blank" w:history="1">
        <w:r w:rsidRPr="00671018">
          <w:rPr>
            <w:rFonts w:ascii="Calibri" w:eastAsia="Times New Roman" w:hAnsi="Calibri" w:cs="Calibri"/>
            <w:color w:val="1396D8"/>
            <w:u w:val="single"/>
          </w:rPr>
          <w:t>https://www.eia.gov/totalenergy/data/monthly/</w:t>
        </w:r>
      </w:hyperlink>
      <w:r w:rsidRPr="00671018">
        <w:rPr>
          <w:rFonts w:ascii="Calibri" w:eastAsia="Times New Roman" w:hAnsi="Calibri" w:cs="Calibri"/>
        </w:rPr>
        <w:t> </w:t>
      </w:r>
    </w:p>
    <w:p w:rsidR="00175758" w:rsidRPr="00671018" w:rsidP="00671018" w14:paraId="2A55414A" w14:textId="77777777">
      <w:pPr>
        <w:pStyle w:val="ListParagraph"/>
        <w:numPr>
          <w:ilvl w:val="0"/>
          <w:numId w:val="34"/>
        </w:numPr>
        <w:spacing w:after="0" w:line="240" w:lineRule="auto"/>
        <w:textAlignment w:val="baseline"/>
        <w:rPr>
          <w:rFonts w:ascii="Calibri" w:eastAsia="Times New Roman" w:hAnsi="Calibri" w:cs="Calibri"/>
        </w:rPr>
      </w:pPr>
      <w:r w:rsidRPr="00671018">
        <w:rPr>
          <w:rFonts w:ascii="Calibri" w:eastAsia="Times New Roman" w:hAnsi="Calibri" w:cs="Calibri"/>
        </w:rPr>
        <w:t xml:space="preserve">Electric Power Monthly </w:t>
      </w:r>
      <w:r w:rsidRPr="00671018">
        <w:rPr>
          <w:rFonts w:ascii="Calibri" w:eastAsia="Times New Roman" w:hAnsi="Calibri" w:cs="Calibri"/>
        </w:rPr>
        <w:tab/>
      </w:r>
      <w:hyperlink r:id="rId16" w:tgtFrame="_blank" w:history="1">
        <w:r w:rsidRPr="00671018">
          <w:rPr>
            <w:rFonts w:ascii="Calibri" w:eastAsia="Times New Roman" w:hAnsi="Calibri" w:cs="Calibri"/>
            <w:color w:val="1396D8"/>
            <w:u w:val="single"/>
          </w:rPr>
          <w:t>https://www.eia.gov/electricity/monthly/</w:t>
        </w:r>
      </w:hyperlink>
      <w:r w:rsidRPr="00671018">
        <w:rPr>
          <w:rFonts w:ascii="Calibri" w:eastAsia="Times New Roman" w:hAnsi="Calibri" w:cs="Calibri"/>
        </w:rPr>
        <w:t> </w:t>
      </w:r>
    </w:p>
    <w:p w:rsidR="00175758" w:rsidRPr="00671018" w:rsidP="00671018" w14:paraId="23B67C0A" w14:textId="77777777">
      <w:pPr>
        <w:pStyle w:val="ListParagraph"/>
        <w:numPr>
          <w:ilvl w:val="0"/>
          <w:numId w:val="34"/>
        </w:numPr>
        <w:spacing w:after="0" w:line="240" w:lineRule="auto"/>
        <w:textAlignment w:val="baseline"/>
        <w:rPr>
          <w:rFonts w:ascii="Calibri" w:eastAsia="Times New Roman" w:hAnsi="Calibri" w:cs="Calibri"/>
        </w:rPr>
      </w:pPr>
      <w:r w:rsidRPr="00671018">
        <w:rPr>
          <w:rFonts w:ascii="Calibri" w:eastAsia="Times New Roman" w:hAnsi="Calibri" w:cs="Calibri"/>
        </w:rPr>
        <w:t>State Electricity Profiles</w:t>
      </w:r>
      <w:r w:rsidRPr="00671018">
        <w:rPr>
          <w:rFonts w:ascii="Calibri" w:eastAsia="Times New Roman" w:hAnsi="Calibri" w:cs="Calibri"/>
        </w:rPr>
        <w:tab/>
      </w:r>
      <w:hyperlink r:id="rId17" w:tgtFrame="_blank" w:history="1">
        <w:r w:rsidRPr="00671018">
          <w:rPr>
            <w:rFonts w:ascii="Calibri" w:eastAsia="Times New Roman" w:hAnsi="Calibri" w:cs="Calibri"/>
            <w:color w:val="1396D8"/>
            <w:u w:val="single"/>
          </w:rPr>
          <w:t>https://www.eia.gov/electricity/state/</w:t>
        </w:r>
      </w:hyperlink>
      <w:r w:rsidRPr="00671018">
        <w:rPr>
          <w:rFonts w:ascii="Calibri" w:eastAsia="Times New Roman" w:hAnsi="Calibri" w:cs="Calibri"/>
        </w:rPr>
        <w:t> </w:t>
      </w:r>
    </w:p>
    <w:p w:rsidR="00175758" w:rsidRPr="00671018" w:rsidP="00671018" w14:paraId="2AC16267" w14:textId="6CEFF0DD">
      <w:pPr>
        <w:pStyle w:val="ListParagraph"/>
        <w:numPr>
          <w:ilvl w:val="0"/>
          <w:numId w:val="34"/>
        </w:numPr>
        <w:spacing w:after="0" w:line="240" w:lineRule="auto"/>
        <w:textAlignment w:val="baseline"/>
        <w:rPr>
          <w:rFonts w:ascii="Calibri" w:eastAsia="Times New Roman" w:hAnsi="Calibri" w:cs="Calibri"/>
        </w:rPr>
      </w:pPr>
      <w:r w:rsidRPr="00671018">
        <w:rPr>
          <w:rFonts w:ascii="Calibri" w:eastAsia="Times New Roman" w:hAnsi="Calibri" w:cs="Calibri"/>
        </w:rPr>
        <w:t xml:space="preserve">North American Cooperation on Energy Information (NACEI) website </w:t>
      </w:r>
      <w:hyperlink r:id="rId18" w:anchor="!/overview" w:tgtFrame="_blank" w:history="1">
        <w:r w:rsidRPr="00671018">
          <w:rPr>
            <w:rFonts w:ascii="Calibri" w:eastAsia="Times New Roman" w:hAnsi="Calibri" w:cs="Calibri"/>
            <w:color w:val="1396D8"/>
            <w:u w:val="single"/>
          </w:rPr>
          <w:t>https://www.eia.gov/trilateral/#!/overview</w:t>
        </w:r>
      </w:hyperlink>
      <w:r w:rsidRPr="00671018">
        <w:rPr>
          <w:rFonts w:ascii="Calibri" w:eastAsia="Times New Roman" w:hAnsi="Calibri" w:cs="Calibri"/>
        </w:rPr>
        <w:t xml:space="preserve">  </w:t>
      </w:r>
    </w:p>
    <w:p w:rsidR="00175758" w:rsidRPr="00175758" w:rsidP="00175758" w14:paraId="57E8C9EE" w14:textId="77777777">
      <w:pPr>
        <w:spacing w:after="0" w:line="240" w:lineRule="auto"/>
        <w:ind w:left="720"/>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1897985D"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The data are used in other EIA products such as the State Energy Data System and as inputs to EIA projection models. The data collected support the following DOE-EIA functions: </w:t>
      </w:r>
    </w:p>
    <w:p w:rsidR="00175758" w:rsidRPr="00671018" w:rsidP="00671018" w14:paraId="0ABCE6A7" w14:textId="77777777">
      <w:pPr>
        <w:pStyle w:val="ListParagraph"/>
        <w:numPr>
          <w:ilvl w:val="0"/>
          <w:numId w:val="35"/>
        </w:numPr>
        <w:spacing w:after="0" w:line="240" w:lineRule="auto"/>
        <w:textAlignment w:val="baseline"/>
        <w:rPr>
          <w:rFonts w:ascii="Calibri" w:eastAsia="Times New Roman" w:hAnsi="Calibri" w:cs="Calibri"/>
        </w:rPr>
      </w:pPr>
      <w:r w:rsidRPr="00671018">
        <w:rPr>
          <w:rFonts w:ascii="Calibri" w:eastAsia="Times New Roman" w:hAnsi="Calibri" w:cs="Calibri"/>
        </w:rPr>
        <w:t>Assess the adequacy of the electricity supply from Canada and Mexico into the U.S.  </w:t>
      </w:r>
    </w:p>
    <w:p w:rsidR="00175758" w:rsidRPr="00671018" w:rsidP="00671018" w14:paraId="0BE9575C" w14:textId="65070B75">
      <w:pPr>
        <w:pStyle w:val="ListParagraph"/>
        <w:numPr>
          <w:ilvl w:val="0"/>
          <w:numId w:val="35"/>
        </w:numPr>
        <w:spacing w:after="0" w:line="240" w:lineRule="auto"/>
        <w:textAlignment w:val="baseline"/>
        <w:rPr>
          <w:rFonts w:ascii="Calibri" w:eastAsia="Times New Roman" w:hAnsi="Calibri" w:cs="Calibri"/>
        </w:rPr>
      </w:pPr>
      <w:r w:rsidRPr="00671018">
        <w:rPr>
          <w:rFonts w:ascii="Calibri" w:eastAsia="Times New Roman" w:hAnsi="Calibri" w:cs="Calibri"/>
        </w:rPr>
        <w:t xml:space="preserve">Used as historical electricity trade inputs for EIA’s Annual Energy Outlook projection </w:t>
      </w:r>
      <w:r w:rsidRPr="00671018" w:rsidR="00671018">
        <w:rPr>
          <w:rFonts w:ascii="Calibri" w:eastAsia="Times New Roman" w:hAnsi="Calibri" w:cs="Calibri"/>
        </w:rPr>
        <w:t>models.</w:t>
      </w:r>
      <w:r w:rsidRPr="00671018">
        <w:rPr>
          <w:rFonts w:ascii="Calibri" w:eastAsia="Times New Roman" w:hAnsi="Calibri" w:cs="Calibri"/>
        </w:rPr>
        <w:t> </w:t>
      </w:r>
    </w:p>
    <w:p w:rsidR="00175758" w:rsidRPr="00671018" w:rsidP="00671018" w14:paraId="11C90ADD" w14:textId="77777777">
      <w:pPr>
        <w:pStyle w:val="ListParagraph"/>
        <w:numPr>
          <w:ilvl w:val="0"/>
          <w:numId w:val="35"/>
        </w:numPr>
        <w:spacing w:after="0" w:line="240" w:lineRule="auto"/>
        <w:textAlignment w:val="baseline"/>
        <w:rPr>
          <w:rFonts w:ascii="Calibri" w:eastAsia="Times New Roman" w:hAnsi="Calibri" w:cs="Calibri"/>
        </w:rPr>
      </w:pPr>
      <w:r w:rsidRPr="00671018">
        <w:rPr>
          <w:rFonts w:ascii="Calibri" w:eastAsia="Times New Roman" w:hAnsi="Calibri" w:cs="Calibri"/>
        </w:rPr>
        <w:t>Analyze and report on the adequacy of short- and long-term electricity supply in the U.S. </w:t>
      </w:r>
    </w:p>
    <w:p w:rsidR="00175758" w:rsidRPr="00175758" w:rsidP="00175758" w14:paraId="68B27ABA" w14:textId="77777777">
      <w:pPr>
        <w:spacing w:after="0" w:line="240" w:lineRule="auto"/>
        <w:ind w:left="720"/>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0679DFD1" w14:textId="294D7ED6">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The form is designed to collect data from all entities engaged in the sale, purchase, or transfer of cross-border electricity transmissions. The data are used by DOE-GDO for the following purposes: </w:t>
      </w:r>
    </w:p>
    <w:p w:rsidR="00175758" w:rsidRPr="00671018" w:rsidP="00671018" w14:paraId="0C8BF945" w14:textId="77777777">
      <w:pPr>
        <w:pStyle w:val="ListParagraph"/>
        <w:numPr>
          <w:ilvl w:val="0"/>
          <w:numId w:val="36"/>
        </w:numPr>
        <w:spacing w:after="0" w:line="240" w:lineRule="auto"/>
        <w:textAlignment w:val="baseline"/>
        <w:rPr>
          <w:rFonts w:ascii="Calibri" w:eastAsia="Times New Roman" w:hAnsi="Calibri" w:cs="Calibri"/>
        </w:rPr>
      </w:pPr>
      <w:r w:rsidRPr="00671018">
        <w:rPr>
          <w:rFonts w:ascii="Calibri" w:eastAsia="Times New Roman" w:hAnsi="Calibri" w:cs="Calibri"/>
        </w:rPr>
        <w:t>Monitor compliance with the terms of Presidential Permits and Export Authorizations.  </w:t>
      </w:r>
    </w:p>
    <w:p w:rsidR="00175758" w:rsidRPr="00671018" w:rsidP="00671018" w14:paraId="70E68336" w14:textId="77777777">
      <w:pPr>
        <w:pStyle w:val="ListParagraph"/>
        <w:numPr>
          <w:ilvl w:val="0"/>
          <w:numId w:val="36"/>
        </w:numPr>
        <w:spacing w:after="0" w:line="240" w:lineRule="auto"/>
        <w:textAlignment w:val="baseline"/>
        <w:rPr>
          <w:rFonts w:ascii="Calibri" w:eastAsia="Times New Roman" w:hAnsi="Calibri" w:cs="Calibri"/>
        </w:rPr>
      </w:pPr>
      <w:r w:rsidRPr="00671018">
        <w:rPr>
          <w:rFonts w:ascii="Calibri" w:eastAsia="Times New Roman" w:hAnsi="Calibri" w:cs="Calibri"/>
        </w:rPr>
        <w:t>Evaluate open transmission access at the international border. </w:t>
      </w:r>
    </w:p>
    <w:p w:rsidR="00175758" w:rsidRPr="00671018" w:rsidP="00671018" w14:paraId="5644A2D4" w14:textId="77777777">
      <w:pPr>
        <w:pStyle w:val="ListParagraph"/>
        <w:numPr>
          <w:ilvl w:val="0"/>
          <w:numId w:val="36"/>
        </w:numPr>
        <w:spacing w:after="0" w:line="240" w:lineRule="auto"/>
        <w:textAlignment w:val="baseline"/>
        <w:rPr>
          <w:rFonts w:ascii="Calibri" w:eastAsia="Times New Roman" w:hAnsi="Calibri" w:cs="Calibri"/>
        </w:rPr>
      </w:pPr>
      <w:r w:rsidRPr="00671018">
        <w:rPr>
          <w:rFonts w:ascii="Calibri" w:eastAsia="Times New Roman" w:hAnsi="Calibri" w:cs="Calibri"/>
        </w:rPr>
        <w:t>Evaluate transmission constraints and system reliability. </w:t>
      </w:r>
    </w:p>
    <w:p w:rsidR="00175758" w:rsidRPr="00671018" w:rsidP="00671018" w14:paraId="222794BB" w14:textId="77777777">
      <w:pPr>
        <w:pStyle w:val="ListParagraph"/>
        <w:numPr>
          <w:ilvl w:val="0"/>
          <w:numId w:val="36"/>
        </w:numPr>
        <w:spacing w:after="0" w:line="240" w:lineRule="auto"/>
        <w:textAlignment w:val="baseline"/>
        <w:rPr>
          <w:rFonts w:ascii="Calibri" w:eastAsia="Times New Roman" w:hAnsi="Calibri" w:cs="Calibri"/>
        </w:rPr>
      </w:pPr>
      <w:r w:rsidRPr="00671018">
        <w:rPr>
          <w:rFonts w:ascii="Calibri" w:eastAsia="Times New Roman" w:hAnsi="Calibri" w:cs="Calibri"/>
        </w:rPr>
        <w:t>Evaluate the need for additional electric transmission capacity. </w:t>
      </w:r>
    </w:p>
    <w:p w:rsidR="00671018" w:rsidRPr="00175758" w:rsidP="00671018" w14:paraId="23F8757B" w14:textId="77777777">
      <w:pPr>
        <w:spacing w:after="0" w:line="240" w:lineRule="auto"/>
        <w:ind w:left="1080"/>
        <w:textAlignment w:val="baseline"/>
        <w:rPr>
          <w:rFonts w:ascii="Calibri" w:eastAsia="Times New Roman" w:hAnsi="Calibri" w:cs="Calibri"/>
        </w:rPr>
      </w:pPr>
    </w:p>
    <w:p w:rsidR="00175758" w:rsidRPr="00671018" w:rsidP="00671018" w14:paraId="63818B1F" w14:textId="77777777">
      <w:pPr>
        <w:pStyle w:val="Heading3"/>
        <w:rPr>
          <w:sz w:val="18"/>
          <w:szCs w:val="18"/>
        </w:rPr>
      </w:pPr>
      <w:bookmarkStart w:id="4" w:name="_Toc165020035"/>
      <w:r w:rsidRPr="00671018">
        <w:t>2.2. Overview of Data Collections</w:t>
      </w:r>
      <w:bookmarkEnd w:id="4"/>
      <w:r w:rsidRPr="00671018">
        <w:t> </w:t>
      </w:r>
    </w:p>
    <w:p w:rsidR="00175758" w:rsidRPr="00175758" w:rsidP="00175758" w14:paraId="7BC2FF25"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The data collected on Form EIA-111 is used to obtain an accurate measure of the flow of electricity into and out of the United States. </w:t>
      </w:r>
    </w:p>
    <w:p w:rsidR="00175758" w:rsidRPr="00175758" w:rsidP="00175758" w14:paraId="02C33B50"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16C70BC3"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Form EIA-111 collects U. S. electricity import and export data from: </w:t>
      </w:r>
    </w:p>
    <w:p w:rsidR="00671018" w:rsidRPr="00671018" w:rsidP="00671018" w14:paraId="5D6A2356" w14:textId="77777777">
      <w:pPr>
        <w:pStyle w:val="ListParagraph"/>
        <w:numPr>
          <w:ilvl w:val="0"/>
          <w:numId w:val="37"/>
        </w:numPr>
        <w:spacing w:after="0" w:line="240" w:lineRule="auto"/>
        <w:textAlignment w:val="baseline"/>
        <w:rPr>
          <w:rFonts w:ascii="Segoe UI" w:eastAsia="Times New Roman" w:hAnsi="Segoe UI" w:cs="Segoe UI"/>
          <w:sz w:val="18"/>
          <w:szCs w:val="18"/>
        </w:rPr>
      </w:pPr>
      <w:r w:rsidRPr="00671018">
        <w:rPr>
          <w:rFonts w:ascii="Calibri" w:eastAsia="Times New Roman" w:hAnsi="Calibri" w:cs="Calibri"/>
        </w:rPr>
        <w:t>U.S. entities that purchase, sell, or exchange electricity at wholesale, including persons authorized by Order of DOE-OE to export electric energy from the United States to foreign countries, report monthly flows of electric energy received, or delivered across the border and the cost associated with the transactions.  </w:t>
      </w:r>
    </w:p>
    <w:p w:rsidR="00175758" w:rsidRPr="00671018" w:rsidP="00671018" w14:paraId="6C326C0F" w14:textId="6A4B14CE">
      <w:pPr>
        <w:pStyle w:val="ListParagraph"/>
        <w:numPr>
          <w:ilvl w:val="0"/>
          <w:numId w:val="37"/>
        </w:numPr>
        <w:spacing w:after="0" w:line="240" w:lineRule="auto"/>
        <w:textAlignment w:val="baseline"/>
        <w:rPr>
          <w:rFonts w:ascii="Segoe UI" w:eastAsia="Times New Roman" w:hAnsi="Segoe UI" w:cs="Segoe UI"/>
          <w:sz w:val="18"/>
          <w:szCs w:val="18"/>
        </w:rPr>
      </w:pPr>
      <w:r w:rsidRPr="00671018">
        <w:rPr>
          <w:rFonts w:ascii="Calibri" w:eastAsia="Times New Roman" w:hAnsi="Calibri" w:cs="Calibri"/>
        </w:rPr>
        <w:t>U.S. Balancing Authorities that are directly interconnected with foreign Balancing Authorities report actual and implemented interchange.  </w:t>
      </w:r>
    </w:p>
    <w:p w:rsidR="00175758" w:rsidRPr="00671018" w:rsidP="00671018" w14:paraId="65687761" w14:textId="77777777">
      <w:pPr>
        <w:pStyle w:val="ListParagraph"/>
        <w:numPr>
          <w:ilvl w:val="0"/>
          <w:numId w:val="37"/>
        </w:numPr>
        <w:spacing w:after="0" w:line="240" w:lineRule="auto"/>
        <w:textAlignment w:val="baseline"/>
        <w:rPr>
          <w:rFonts w:ascii="Calibri" w:eastAsia="Times New Roman" w:hAnsi="Calibri" w:cs="Calibri"/>
        </w:rPr>
      </w:pPr>
      <w:r w:rsidRPr="00671018">
        <w:rPr>
          <w:rFonts w:ascii="Calibri" w:eastAsia="Times New Roman" w:hAnsi="Calibri" w:cs="Calibri"/>
        </w:rPr>
        <w:t>Persons authorized by Presidential Permit to construct, operate, maintain, or connect electric power transmission lines that cross the U.S. international border and export authorization holders report events where their DOE Order terms were exceeded.  </w:t>
      </w:r>
    </w:p>
    <w:p w:rsidR="00175758" w:rsidRPr="00175758" w:rsidP="00671018" w14:paraId="73B8AEDC" w14:textId="70F6731E">
      <w:pPr>
        <w:spacing w:after="0" w:line="240" w:lineRule="auto"/>
        <w:ind w:firstLine="48"/>
        <w:textAlignment w:val="baseline"/>
        <w:rPr>
          <w:rFonts w:ascii="Segoe UI" w:eastAsia="Times New Roman" w:hAnsi="Segoe UI" w:cs="Segoe UI"/>
          <w:sz w:val="18"/>
          <w:szCs w:val="18"/>
        </w:rPr>
      </w:pPr>
    </w:p>
    <w:p w:rsidR="00175758" w:rsidRPr="00175758" w:rsidP="00175758" w14:paraId="0F1919F9" w14:textId="77777777">
      <w:pPr>
        <w:pStyle w:val="Heading1"/>
        <w:rPr>
          <w:rFonts w:ascii="Segoe UI" w:eastAsia="Times New Roman" w:hAnsi="Segoe UI" w:cs="Segoe UI"/>
          <w:sz w:val="18"/>
          <w:szCs w:val="18"/>
        </w:rPr>
      </w:pPr>
      <w:bookmarkStart w:id="5" w:name="_Toc165020036"/>
      <w:r w:rsidRPr="00175758">
        <w:rPr>
          <w:rFonts w:eastAsia="Times New Roman"/>
        </w:rPr>
        <w:t>A.3. Use of Technology</w:t>
      </w:r>
      <w:bookmarkEnd w:id="5"/>
      <w:r w:rsidRPr="00175758">
        <w:rPr>
          <w:rFonts w:eastAsia="Times New Roman"/>
        </w:rPr>
        <w:t> </w:t>
      </w:r>
    </w:p>
    <w:p w:rsidR="00175758" w:rsidRPr="00175758" w:rsidP="00175758" w14:paraId="5106163C" w14:textId="77777777">
      <w:pPr>
        <w:spacing w:after="0" w:line="240" w:lineRule="auto"/>
        <w:textAlignment w:val="baseline"/>
        <w:rPr>
          <w:rFonts w:ascii="Segoe UI" w:eastAsia="Times New Roman" w:hAnsi="Segoe UI" w:cs="Segoe UI"/>
          <w:sz w:val="18"/>
          <w:szCs w:val="18"/>
        </w:rPr>
      </w:pPr>
      <w:r w:rsidRPr="77EC515C">
        <w:rPr>
          <w:rFonts w:ascii="Calibri" w:eastAsia="Times New Roman" w:hAnsi="Calibri" w:cs="Calibri"/>
        </w:rPr>
        <w:t>Form EIA-111 uses Internet-based data collection systems as the primary means of data collection. The majority of contact with respondents (e.g., notification that a survey has opened for a collection cycle) is done by email. </w:t>
      </w:r>
    </w:p>
    <w:p w:rsidR="77EC515C" w:rsidP="77EC515C" w14:paraId="64277C4A" w14:textId="4E831492">
      <w:pPr>
        <w:spacing w:after="0" w:line="240" w:lineRule="auto"/>
        <w:rPr>
          <w:rFonts w:ascii="Calibri" w:eastAsia="Times New Roman" w:hAnsi="Calibri" w:cs="Calibri"/>
        </w:rPr>
      </w:pPr>
    </w:p>
    <w:p w:rsidR="00175758" w:rsidRPr="00175758" w:rsidP="00175758" w14:paraId="718FDF26" w14:textId="77777777">
      <w:pPr>
        <w:spacing w:beforeAutospacing="1" w:after="0" w:line="240" w:lineRule="auto"/>
        <w:textAlignment w:val="baseline"/>
        <w:rPr>
          <w:rFonts w:ascii="Segoe UI" w:eastAsia="Times New Roman" w:hAnsi="Segoe UI" w:cs="Segoe UI"/>
          <w:sz w:val="18"/>
          <w:szCs w:val="18"/>
        </w:rPr>
      </w:pPr>
      <w:r w:rsidRPr="00175758">
        <w:rPr>
          <w:rFonts w:ascii="Calibri" w:eastAsia="Times New Roman" w:hAnsi="Calibri" w:cs="Calibri"/>
        </w:rPr>
        <w:t>Internet data collection is the primary collection mode for the electricity surveys. The Internet-based systems allow respondents to enter their data directly into the EIA survey databases, which reduces the time needed for data collection and processing. The systems identify reported data that fail edit specifications prior to submission, which allow respondents to make necessary corrections or explain unusual situations affecting the reported data. This process aids in detecting and minimizing response errors, data validation procedures are used to check current data.  It also improves the timeliness of reporting the information to the public. The only equipment and software respondents require are a connection to the Internet and a standard industry web browser. </w:t>
      </w:r>
    </w:p>
    <w:p w:rsidR="00175758" w:rsidRPr="00175758" w:rsidP="00175758" w14:paraId="3770AF77"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7908290A" w14:textId="77777777">
      <w:pPr>
        <w:pStyle w:val="Heading1"/>
        <w:rPr>
          <w:rFonts w:ascii="Segoe UI" w:eastAsia="Times New Roman" w:hAnsi="Segoe UI" w:cs="Segoe UI"/>
          <w:sz w:val="18"/>
          <w:szCs w:val="18"/>
        </w:rPr>
      </w:pPr>
      <w:bookmarkStart w:id="6" w:name="_Toc165020037"/>
      <w:r w:rsidRPr="00175758">
        <w:rPr>
          <w:rFonts w:eastAsia="Times New Roman"/>
        </w:rPr>
        <w:t>A.4. Efforts to Identify Duplication</w:t>
      </w:r>
      <w:bookmarkEnd w:id="6"/>
      <w:r w:rsidRPr="00175758">
        <w:rPr>
          <w:rFonts w:eastAsia="Times New Roman"/>
        </w:rPr>
        <w:t> </w:t>
      </w:r>
    </w:p>
    <w:p w:rsidR="00175758" w:rsidRPr="00175758" w:rsidP="00175758" w14:paraId="491B6968"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EIA has verified that Form EIA-111 data are not collected by more than one federal government agency. The Canadian National Energy Board (NEB) publishes imports and exports of electricity from Canada. The NEB reports do not include information on Presidential permits and export authorizations issued by DOE which makes it ineffective in determining compliance with the DOE orders. There is no known alternative source of data for electricity trade with Mexico. In the absence of the centralized and public data collection by EIA, each state on an international border would have to undertake its own collection of the volumes and prices of imported purchases and exported sales of electricity at wholesale for use by public utility commissions when reviewing rate cases. This may lead duplicative information requests from multiple firms within the electric power industry that engage in the import or export of electricity at the international border.  </w:t>
      </w:r>
    </w:p>
    <w:p w:rsidR="00175758" w:rsidRPr="00175758" w:rsidP="00175758" w14:paraId="3BA78F87"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2639F23B" w14:textId="77777777">
      <w:pPr>
        <w:pStyle w:val="Heading1"/>
        <w:rPr>
          <w:rFonts w:ascii="Segoe UI" w:eastAsia="Times New Roman" w:hAnsi="Segoe UI" w:cs="Segoe UI"/>
          <w:sz w:val="18"/>
          <w:szCs w:val="18"/>
        </w:rPr>
      </w:pPr>
      <w:bookmarkStart w:id="7" w:name="_Toc165020038"/>
      <w:r w:rsidRPr="00175758">
        <w:rPr>
          <w:rFonts w:eastAsia="Times New Roman"/>
        </w:rPr>
        <w:t>A.5. Provisions for Reducing Burden on Small Businesses</w:t>
      </w:r>
      <w:bookmarkEnd w:id="7"/>
      <w:r w:rsidRPr="00175758">
        <w:rPr>
          <w:rFonts w:eastAsia="Times New Roman"/>
        </w:rPr>
        <w:t>  </w:t>
      </w:r>
    </w:p>
    <w:p w:rsidR="00175758" w:rsidRPr="00175758" w:rsidP="00175758" w14:paraId="180E8027"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color w:val="000000"/>
        </w:rPr>
        <w:t>EIA determined that businesses that engage in electricity transmission are not small businesses. There are no small businesses reporting on this survey. </w:t>
      </w:r>
    </w:p>
    <w:p w:rsidR="00175758" w:rsidRPr="00175758" w:rsidP="00175758" w14:paraId="7F570CEA"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4997686A" w14:textId="77777777">
      <w:pPr>
        <w:pStyle w:val="Heading1"/>
        <w:rPr>
          <w:rFonts w:ascii="Segoe UI" w:eastAsia="Times New Roman" w:hAnsi="Segoe UI" w:cs="Segoe UI"/>
          <w:sz w:val="18"/>
          <w:szCs w:val="18"/>
        </w:rPr>
      </w:pPr>
      <w:bookmarkStart w:id="8" w:name="_Toc165020039"/>
      <w:r w:rsidRPr="00175758">
        <w:rPr>
          <w:rFonts w:eastAsia="Times New Roman"/>
        </w:rPr>
        <w:t>A.6. Consequences of Less-Frequent Reporting</w:t>
      </w:r>
      <w:bookmarkEnd w:id="8"/>
      <w:r w:rsidRPr="00175758">
        <w:rPr>
          <w:rFonts w:eastAsia="Times New Roman"/>
        </w:rPr>
        <w:t> </w:t>
      </w:r>
    </w:p>
    <w:p w:rsidR="00175758" w:rsidRPr="00175758" w:rsidP="00175758" w14:paraId="508D8AA4"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Form EIA-111 collects monthly electric power import and export data information on a quarterly basis. Less frequent reporting would result in less timely data on the flow of electricity between the U.S., Canada, and Mexico.  </w:t>
      </w:r>
    </w:p>
    <w:p w:rsidR="00175758" w:rsidRPr="00175758" w:rsidP="00175758" w14:paraId="610C9124"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3A28EA92" w14:textId="77777777">
      <w:pPr>
        <w:pStyle w:val="Heading1"/>
      </w:pPr>
      <w:bookmarkStart w:id="9" w:name="_Toc165020040"/>
      <w:r w:rsidRPr="00175758">
        <w:rPr>
          <w:rStyle w:val="Heading1Char"/>
        </w:rPr>
        <w:t>A.7. Compliance with 5 CFR 1320.</w:t>
      </w:r>
      <w:r w:rsidRPr="00175758">
        <w:t>5</w:t>
      </w:r>
      <w:bookmarkEnd w:id="9"/>
      <w:r w:rsidRPr="00175758">
        <w:t> </w:t>
      </w:r>
    </w:p>
    <w:p w:rsidR="00175758" w:rsidRPr="00175758" w:rsidP="00175758" w14:paraId="4EBBAA5F"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Form EIA-111 is operated in accordance with the guidelines in 5 CFR 1320.5.  </w:t>
      </w:r>
    </w:p>
    <w:p w:rsidR="00175758" w:rsidRPr="00175758" w:rsidP="00175758" w14:paraId="1083D55B"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2C9CCB8B" w14:textId="77777777">
      <w:pPr>
        <w:pStyle w:val="Heading1"/>
        <w:rPr>
          <w:rFonts w:ascii="Segoe UI" w:eastAsia="Times New Roman" w:hAnsi="Segoe UI" w:cs="Segoe UI"/>
          <w:sz w:val="18"/>
          <w:szCs w:val="18"/>
        </w:rPr>
      </w:pPr>
      <w:bookmarkStart w:id="10" w:name="_Toc165020041"/>
      <w:r w:rsidRPr="2AF5F19C">
        <w:rPr>
          <w:rFonts w:eastAsia="Times New Roman"/>
        </w:rPr>
        <w:t>A.8. Summary of Consultations Outside of the Agency </w:t>
      </w:r>
      <w:bookmarkEnd w:id="10"/>
    </w:p>
    <w:p w:rsidR="00175758" w:rsidRPr="00175758" w:rsidP="2998C512" w14:paraId="163951EA" w14:textId="5247A4BA">
      <w:pPr>
        <w:spacing w:after="0" w:line="240" w:lineRule="auto"/>
        <w:textAlignment w:val="baseline"/>
        <w:rPr>
          <w:rFonts w:eastAsiaTheme="minorEastAsia"/>
        </w:rPr>
      </w:pPr>
      <w:r w:rsidRPr="2998C512">
        <w:rPr>
          <w:rFonts w:ascii="Calibri" w:eastAsia="Times New Roman" w:hAnsi="Calibri" w:cs="Calibri"/>
        </w:rPr>
        <w:t>On 12/21/2023, EIA published a 60-day Federal Register Notice (FRN) in volume 88, page number 88383, regarding the renewal of the Form EIA-111. EIA received two written comments in response to the 60-Day FRN. One comment from the U.S. Department of Energy Grid Deployment Office and was supp</w:t>
      </w:r>
      <w:r w:rsidRPr="2998C512">
        <w:rPr>
          <w:rFonts w:eastAsiaTheme="minorEastAsia"/>
        </w:rPr>
        <w:t xml:space="preserve">ortive of EIA’s continued efforts to manage the EIA-111 so that the terms set forth in the Presidential Permits and Export Authorizations can be verified. The second comment was from a respondent requesting additional balancing authorities </w:t>
      </w:r>
      <w:r w:rsidRPr="2998C512" w:rsidR="37DA7075">
        <w:rPr>
          <w:rFonts w:eastAsiaTheme="minorEastAsia"/>
        </w:rPr>
        <w:t xml:space="preserve">and transmission system owners/transfer facilities </w:t>
      </w:r>
      <w:r w:rsidRPr="2998C512">
        <w:rPr>
          <w:rFonts w:eastAsiaTheme="minorEastAsia"/>
        </w:rPr>
        <w:t xml:space="preserve">to be added to </w:t>
      </w:r>
      <w:r w:rsidRPr="2998C512" w:rsidR="16A9EDDC">
        <w:rPr>
          <w:rFonts w:eastAsiaTheme="minorEastAsia"/>
        </w:rPr>
        <w:t>drop-down</w:t>
      </w:r>
      <w:r w:rsidRPr="2998C512">
        <w:rPr>
          <w:rFonts w:eastAsiaTheme="minorEastAsia"/>
        </w:rPr>
        <w:t xml:space="preserve"> menu</w:t>
      </w:r>
      <w:r w:rsidRPr="2998C512" w:rsidR="0446FF8A">
        <w:rPr>
          <w:rFonts w:eastAsiaTheme="minorEastAsia"/>
        </w:rPr>
        <w:t>s</w:t>
      </w:r>
      <w:r w:rsidRPr="2998C512" w:rsidR="600D6ECB">
        <w:rPr>
          <w:rFonts w:eastAsiaTheme="minorEastAsia"/>
        </w:rPr>
        <w:t>,</w:t>
      </w:r>
      <w:r w:rsidRPr="2998C512">
        <w:rPr>
          <w:rFonts w:eastAsiaTheme="minorEastAsia"/>
        </w:rPr>
        <w:t xml:space="preserve"> and to prepopulate data from previously submitted reports. </w:t>
      </w:r>
      <w:r w:rsidRPr="2998C512" w:rsidR="2E0A4530">
        <w:rPr>
          <w:rFonts w:eastAsiaTheme="minorEastAsia"/>
        </w:rPr>
        <w:t>EIA wi</w:t>
      </w:r>
      <w:r w:rsidRPr="2998C512" w:rsidR="36D9E4F3">
        <w:rPr>
          <w:rFonts w:eastAsiaTheme="minorEastAsia"/>
        </w:rPr>
        <w:t>ll respond to specific requests for adding</w:t>
      </w:r>
      <w:r w:rsidRPr="2998C512" w:rsidR="2E0A4530">
        <w:rPr>
          <w:rFonts w:eastAsiaTheme="minorEastAsia"/>
        </w:rPr>
        <w:t xml:space="preserve"> </w:t>
      </w:r>
      <w:r w:rsidRPr="2998C512" w:rsidR="49945226">
        <w:rPr>
          <w:rFonts w:eastAsiaTheme="minorEastAsia"/>
        </w:rPr>
        <w:t xml:space="preserve">options to the </w:t>
      </w:r>
      <w:r w:rsidRPr="2998C512" w:rsidR="27FCF4B1">
        <w:rPr>
          <w:rFonts w:eastAsiaTheme="minorEastAsia"/>
        </w:rPr>
        <w:t>drop-down</w:t>
      </w:r>
      <w:r w:rsidRPr="2998C512" w:rsidR="49945226">
        <w:rPr>
          <w:rFonts w:eastAsiaTheme="minorEastAsia"/>
        </w:rPr>
        <w:t xml:space="preserve"> menus</w:t>
      </w:r>
      <w:r w:rsidRPr="2998C512">
        <w:rPr>
          <w:rFonts w:eastAsiaTheme="minorEastAsia"/>
        </w:rPr>
        <w:t xml:space="preserve">. </w:t>
      </w:r>
      <w:r w:rsidRPr="2998C512" w:rsidR="0F693444">
        <w:rPr>
          <w:rFonts w:eastAsiaTheme="minorEastAsia"/>
        </w:rPr>
        <w:t>In addition, EIA is assessing our ability to add the pre-population function to the data collection system for Form EIA-111.</w:t>
      </w:r>
    </w:p>
    <w:p w:rsidR="00175758" w:rsidRPr="00175758" w:rsidP="2998C512" w14:paraId="30083D40" w14:textId="77777777">
      <w:pPr>
        <w:spacing w:after="0" w:line="240" w:lineRule="auto"/>
        <w:textAlignment w:val="baseline"/>
        <w:rPr>
          <w:rFonts w:eastAsiaTheme="minorEastAsia"/>
        </w:rPr>
      </w:pPr>
      <w:r w:rsidRPr="2998C512">
        <w:rPr>
          <w:rFonts w:eastAsiaTheme="minorEastAsia"/>
        </w:rPr>
        <w:t> </w:t>
      </w:r>
    </w:p>
    <w:p w:rsidR="00175758" w:rsidRPr="00175758" w:rsidP="00175758" w14:paraId="47227F6A" w14:textId="77777777">
      <w:pPr>
        <w:pStyle w:val="Heading1"/>
      </w:pPr>
      <w:bookmarkStart w:id="11" w:name="_Toc165020042"/>
      <w:r w:rsidRPr="00175758">
        <w:rPr>
          <w:rStyle w:val="Heading1Char"/>
        </w:rPr>
        <w:t>A.9. Payments or Gifts to</w:t>
      </w:r>
      <w:r w:rsidRPr="00175758">
        <w:t xml:space="preserve"> Respondents</w:t>
      </w:r>
      <w:bookmarkEnd w:id="11"/>
      <w:r w:rsidRPr="00175758">
        <w:t>  </w:t>
      </w:r>
    </w:p>
    <w:p w:rsidR="00175758" w:rsidRPr="00175758" w:rsidP="00175758" w14:paraId="117EE412"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There will not be any payments made or gifts given to respondents as an incentive to complete Form EIA-111. </w:t>
      </w:r>
    </w:p>
    <w:p w:rsidR="00175758" w:rsidRPr="00175758" w:rsidP="00175758" w14:paraId="4C0042DB"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4111ADDD" w14:textId="77777777">
      <w:pPr>
        <w:pStyle w:val="Heading1"/>
        <w:rPr>
          <w:rFonts w:ascii="Segoe UI" w:eastAsia="Times New Roman" w:hAnsi="Segoe UI" w:cs="Segoe UI"/>
          <w:sz w:val="18"/>
          <w:szCs w:val="18"/>
        </w:rPr>
      </w:pPr>
      <w:bookmarkStart w:id="12" w:name="_Toc165020043"/>
      <w:r w:rsidRPr="00175758">
        <w:rPr>
          <w:rFonts w:eastAsia="Times New Roman"/>
        </w:rPr>
        <w:t>A.10. Provisions for Protection of Information</w:t>
      </w:r>
      <w:bookmarkEnd w:id="12"/>
      <w:r w:rsidRPr="00175758">
        <w:rPr>
          <w:rFonts w:eastAsia="Times New Roman"/>
        </w:rPr>
        <w:t>  </w:t>
      </w:r>
    </w:p>
    <w:p w:rsidR="00175758" w:rsidRPr="00175758" w:rsidP="00175758" w14:paraId="5E47DD1C"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The information reported on Form EIA-111 will be considered public information and may be publicly released in identifiable form.  </w:t>
      </w:r>
    </w:p>
    <w:p w:rsidR="00175758" w:rsidRPr="00175758" w:rsidP="00175758" w14:paraId="05FA759C"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747E8D81" w14:textId="77777777">
      <w:pPr>
        <w:pStyle w:val="Heading1"/>
        <w:rPr>
          <w:rFonts w:ascii="Segoe UI" w:eastAsia="Times New Roman" w:hAnsi="Segoe UI" w:cs="Segoe UI"/>
          <w:sz w:val="18"/>
          <w:szCs w:val="18"/>
        </w:rPr>
      </w:pPr>
      <w:bookmarkStart w:id="13" w:name="_Toc165020044"/>
      <w:r w:rsidRPr="00175758">
        <w:rPr>
          <w:rFonts w:eastAsia="Times New Roman"/>
        </w:rPr>
        <w:t>A.11. Justification for Sensitive Questions</w:t>
      </w:r>
      <w:bookmarkEnd w:id="13"/>
      <w:r w:rsidRPr="00175758">
        <w:rPr>
          <w:rFonts w:eastAsia="Times New Roman"/>
        </w:rPr>
        <w:t>  </w:t>
      </w:r>
    </w:p>
    <w:p w:rsidR="00175758" w:rsidRPr="00175758" w:rsidP="00175758" w14:paraId="360771AB"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There are no questions of a sensitive nature. </w:t>
      </w:r>
    </w:p>
    <w:p w:rsidR="00175758" w:rsidRPr="00175758" w:rsidP="00175758" w14:paraId="56A084DC"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6715E0A8" w14:textId="77777777">
      <w:pPr>
        <w:pStyle w:val="Heading1"/>
        <w:rPr>
          <w:rFonts w:ascii="Segoe UI" w:eastAsia="Times New Roman" w:hAnsi="Segoe UI" w:cs="Segoe UI"/>
          <w:sz w:val="18"/>
          <w:szCs w:val="18"/>
        </w:rPr>
      </w:pPr>
      <w:bookmarkStart w:id="14" w:name="_Toc165020045"/>
      <w:r w:rsidRPr="00175758">
        <w:rPr>
          <w:rFonts w:eastAsia="Times New Roman"/>
        </w:rPr>
        <w:t>A.12. Estimate of Respondent Burden Hours and Cost</w:t>
      </w:r>
      <w:bookmarkEnd w:id="14"/>
      <w:r w:rsidRPr="00175758">
        <w:rPr>
          <w:rFonts w:eastAsia="Times New Roman"/>
        </w:rPr>
        <w:t>  </w:t>
      </w:r>
    </w:p>
    <w:p w:rsidR="00175758" w:rsidRPr="00175758" w:rsidP="00175758" w14:paraId="592948BA" w14:textId="73014D23">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The total annual burden is estimated to be 918 hours</w:t>
      </w:r>
      <w:r w:rsidRPr="00175758">
        <w:rPr>
          <w:rFonts w:ascii="Calibri" w:eastAsia="Times New Roman" w:hAnsi="Calibri" w:cs="Calibri"/>
          <w:i/>
          <w:iCs/>
        </w:rPr>
        <w:t xml:space="preserve"> </w:t>
      </w:r>
      <w:r w:rsidRPr="00175758">
        <w:rPr>
          <w:rFonts w:ascii="Calibri" w:eastAsia="Times New Roman" w:hAnsi="Calibri" w:cs="Calibri"/>
        </w:rPr>
        <w:t xml:space="preserve">(see </w:t>
      </w:r>
      <w:r w:rsidRPr="00175758">
        <w:rPr>
          <w:rFonts w:ascii="Calibri" w:eastAsia="Times New Roman" w:hAnsi="Calibri" w:cs="Calibri"/>
          <w:i/>
          <w:iCs/>
        </w:rPr>
        <w:t>Table 1</w:t>
      </w:r>
      <w:r w:rsidRPr="00175758">
        <w:rPr>
          <w:rFonts w:ascii="Calibri" w:eastAsia="Times New Roman" w:hAnsi="Calibri" w:cs="Calibri"/>
        </w:rPr>
        <w:t xml:space="preserve"> below). Based on the estimated rate of $91.16 per hour for employees who would complete these forms, the total annual respondent cost for all forms is estimated to be: $91.16/hour x 918 hours/year = $83,684.88 </w:t>
      </w:r>
    </w:p>
    <w:p w:rsidR="00671018" w:rsidP="00175758" w14:paraId="565C9829" w14:textId="77777777">
      <w:pPr>
        <w:spacing w:after="0" w:line="240" w:lineRule="auto"/>
        <w:textAlignment w:val="baseline"/>
        <w:rPr>
          <w:rFonts w:ascii="Calibri" w:eastAsia="Times New Roman" w:hAnsi="Calibri" w:cs="Calibri"/>
        </w:rPr>
      </w:pPr>
    </w:p>
    <w:p w:rsidR="00175758" w:rsidP="00175758" w14:paraId="1FD7E934" w14:textId="13F919B9">
      <w:pPr>
        <w:spacing w:after="0" w:line="240" w:lineRule="auto"/>
        <w:textAlignment w:val="baseline"/>
        <w:rPr>
          <w:rFonts w:ascii="Calibri" w:eastAsia="Times New Roman" w:hAnsi="Calibri" w:cs="Calibri"/>
        </w:rPr>
      </w:pPr>
      <w:r w:rsidRPr="00175758">
        <w:rPr>
          <w:rFonts w:ascii="Calibri" w:eastAsia="Times New Roman" w:hAnsi="Calibri" w:cs="Calibri"/>
        </w:rPr>
        <w:t>The $91.16 hourly wage is based on the average hourly loaded cost (including benefits and cost-of-living adjustments for the Washington, DC area) among all EIA administrative, professional, and executive employees for the current fiscal year. EIA assumes that the survey respondent workforce completing surveys is comparable to the EIA workforce.  </w:t>
      </w:r>
    </w:p>
    <w:p w:rsidR="00671018" w:rsidP="00175758" w14:paraId="5749A979" w14:textId="77777777">
      <w:pPr>
        <w:spacing w:after="0" w:line="240" w:lineRule="auto"/>
        <w:textAlignment w:val="baseline"/>
        <w:rPr>
          <w:rFonts w:ascii="Calibri" w:eastAsia="Times New Roman" w:hAnsi="Calibri" w:cs="Calibri"/>
        </w:rPr>
      </w:pPr>
    </w:p>
    <w:p w:rsidR="00671018" w:rsidP="00175758" w14:paraId="13E3FA45" w14:textId="77777777">
      <w:pPr>
        <w:spacing w:after="0" w:line="240" w:lineRule="auto"/>
        <w:textAlignment w:val="baseline"/>
        <w:rPr>
          <w:rFonts w:ascii="Calibri" w:eastAsia="Times New Roman" w:hAnsi="Calibri" w:cs="Calibri"/>
        </w:rPr>
      </w:pPr>
    </w:p>
    <w:p w:rsidR="00671018" w:rsidRPr="00175758" w:rsidP="00175758" w14:paraId="547610AC" w14:textId="77777777">
      <w:pPr>
        <w:spacing w:after="0" w:line="240" w:lineRule="auto"/>
        <w:textAlignment w:val="baseline"/>
        <w:rPr>
          <w:rFonts w:ascii="Segoe UI" w:eastAsia="Times New Roman" w:hAnsi="Segoe UI" w:cs="Segoe UI"/>
          <w:sz w:val="18"/>
          <w:szCs w:val="18"/>
        </w:rPr>
      </w:pPr>
    </w:p>
    <w:tbl>
      <w:tblPr>
        <w:tblW w:w="0" w:type="dxa"/>
        <w:tblCellMar>
          <w:left w:w="0" w:type="dxa"/>
          <w:right w:w="0" w:type="dxa"/>
        </w:tblCellMar>
        <w:tblLook w:val="04A0"/>
      </w:tblPr>
      <w:tblGrid>
        <w:gridCol w:w="2400"/>
        <w:gridCol w:w="1560"/>
        <w:gridCol w:w="1545"/>
        <w:gridCol w:w="1350"/>
        <w:gridCol w:w="1335"/>
        <w:gridCol w:w="1140"/>
      </w:tblGrid>
      <w:tr w14:paraId="77086B8F" w14:textId="77777777" w:rsidTr="00175758">
        <w:tblPrEx>
          <w:tblW w:w="0" w:type="dxa"/>
          <w:tblCellMar>
            <w:left w:w="0" w:type="dxa"/>
            <w:right w:w="0" w:type="dxa"/>
          </w:tblCellMar>
          <w:tblLook w:val="04A0"/>
        </w:tblPrEx>
        <w:trPr>
          <w:trHeight w:val="285"/>
        </w:trPr>
        <w:tc>
          <w:tcPr>
            <w:tcW w:w="3960" w:type="dxa"/>
            <w:gridSpan w:val="2"/>
            <w:tcBorders>
              <w:top w:val="nil"/>
              <w:left w:val="nil"/>
              <w:bottom w:val="nil"/>
              <w:right w:val="nil"/>
            </w:tcBorders>
            <w:shd w:val="clear" w:color="auto" w:fill="auto"/>
            <w:vAlign w:val="bottom"/>
            <w:hideMark/>
          </w:tcPr>
          <w:p w:rsidR="00175758" w:rsidRPr="00175758" w:rsidP="00175758" w14:paraId="391A3D5E"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b/>
                <w:bCs/>
                <w:color w:val="000000"/>
              </w:rPr>
              <w:t>Table 1: Estimated Respondent Burden</w:t>
            </w:r>
            <w:r w:rsidRPr="00175758">
              <w:rPr>
                <w:rFonts w:ascii="Calibri" w:eastAsia="Times New Roman" w:hAnsi="Calibri" w:cs="Calibri"/>
                <w:color w:val="000000"/>
              </w:rPr>
              <w:t> </w:t>
            </w:r>
          </w:p>
        </w:tc>
        <w:tc>
          <w:tcPr>
            <w:tcW w:w="1545" w:type="dxa"/>
            <w:tcBorders>
              <w:top w:val="nil"/>
              <w:left w:val="nil"/>
              <w:bottom w:val="nil"/>
              <w:right w:val="nil"/>
            </w:tcBorders>
            <w:shd w:val="clear" w:color="auto" w:fill="auto"/>
            <w:vAlign w:val="bottom"/>
            <w:hideMark/>
          </w:tcPr>
          <w:p w:rsidR="00175758" w:rsidRPr="00175758" w:rsidP="00175758" w14:paraId="3EB111F2"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rPr>
              <w:t> </w:t>
            </w:r>
          </w:p>
        </w:tc>
        <w:tc>
          <w:tcPr>
            <w:tcW w:w="1350" w:type="dxa"/>
            <w:tcBorders>
              <w:top w:val="nil"/>
              <w:left w:val="nil"/>
              <w:bottom w:val="nil"/>
              <w:right w:val="nil"/>
            </w:tcBorders>
            <w:shd w:val="clear" w:color="auto" w:fill="auto"/>
            <w:vAlign w:val="bottom"/>
            <w:hideMark/>
          </w:tcPr>
          <w:p w:rsidR="00175758" w:rsidRPr="00175758" w:rsidP="00175758" w14:paraId="2A0A3FBE"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rPr>
              <w:t> </w:t>
            </w:r>
          </w:p>
        </w:tc>
        <w:tc>
          <w:tcPr>
            <w:tcW w:w="1335" w:type="dxa"/>
            <w:tcBorders>
              <w:top w:val="nil"/>
              <w:left w:val="nil"/>
              <w:bottom w:val="nil"/>
              <w:right w:val="nil"/>
            </w:tcBorders>
            <w:shd w:val="clear" w:color="auto" w:fill="auto"/>
            <w:vAlign w:val="bottom"/>
            <w:hideMark/>
          </w:tcPr>
          <w:p w:rsidR="00175758" w:rsidRPr="00175758" w:rsidP="00175758" w14:paraId="663C12CB"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rPr>
              <w:t> </w:t>
            </w:r>
          </w:p>
        </w:tc>
        <w:tc>
          <w:tcPr>
            <w:tcW w:w="1140" w:type="dxa"/>
            <w:tcBorders>
              <w:top w:val="nil"/>
              <w:left w:val="nil"/>
              <w:bottom w:val="nil"/>
              <w:right w:val="nil"/>
            </w:tcBorders>
            <w:shd w:val="clear" w:color="auto" w:fill="auto"/>
            <w:vAlign w:val="bottom"/>
            <w:hideMark/>
          </w:tcPr>
          <w:p w:rsidR="00175758" w:rsidRPr="00175758" w:rsidP="00175758" w14:paraId="29A9ED7C"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rPr>
              <w:t> </w:t>
            </w:r>
          </w:p>
        </w:tc>
      </w:tr>
      <w:tr w14:paraId="36ED0B2B" w14:textId="77777777" w:rsidTr="00175758">
        <w:tblPrEx>
          <w:tblW w:w="0" w:type="dxa"/>
          <w:tblCellMar>
            <w:left w:w="0" w:type="dxa"/>
            <w:right w:w="0" w:type="dxa"/>
          </w:tblCellMar>
          <w:tblLook w:val="04A0"/>
        </w:tblPrEx>
        <w:trPr>
          <w:trHeight w:val="870"/>
        </w:trPr>
        <w:tc>
          <w:tcPr>
            <w:tcW w:w="2400" w:type="dxa"/>
            <w:tcBorders>
              <w:top w:val="single" w:sz="6" w:space="0" w:color="4472C4"/>
              <w:left w:val="single" w:sz="6" w:space="0" w:color="4472C4"/>
              <w:bottom w:val="nil"/>
              <w:right w:val="nil"/>
            </w:tcBorders>
            <w:shd w:val="clear" w:color="auto" w:fill="4472C4"/>
            <w:vAlign w:val="center"/>
            <w:hideMark/>
          </w:tcPr>
          <w:p w:rsidR="00175758" w:rsidRPr="00175758" w:rsidP="00175758" w14:paraId="19135206"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b/>
                <w:bCs/>
                <w:color w:val="FFFFFF"/>
              </w:rPr>
              <w:t>EIA Form Number/Title</w:t>
            </w:r>
            <w:r w:rsidRPr="00175758">
              <w:rPr>
                <w:rFonts w:ascii="Calibri" w:eastAsia="Times New Roman" w:hAnsi="Calibri" w:cs="Calibri"/>
              </w:rPr>
              <w:t> </w:t>
            </w:r>
          </w:p>
        </w:tc>
        <w:tc>
          <w:tcPr>
            <w:tcW w:w="1560" w:type="dxa"/>
            <w:tcBorders>
              <w:top w:val="single" w:sz="6" w:space="0" w:color="4472C4"/>
              <w:left w:val="nil"/>
              <w:bottom w:val="nil"/>
              <w:right w:val="nil"/>
            </w:tcBorders>
            <w:shd w:val="clear" w:color="auto" w:fill="4472C4"/>
            <w:vAlign w:val="bottom"/>
            <w:hideMark/>
          </w:tcPr>
          <w:p w:rsidR="00175758" w:rsidRPr="00175758" w:rsidP="00175758" w14:paraId="153E7A70"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b/>
                <w:bCs/>
                <w:color w:val="FFFFFF"/>
              </w:rPr>
              <w:t>Annual Reporting Frequency</w:t>
            </w:r>
            <w:r w:rsidRPr="00175758">
              <w:rPr>
                <w:rFonts w:ascii="Calibri" w:eastAsia="Times New Roman" w:hAnsi="Calibri" w:cs="Calibri"/>
              </w:rPr>
              <w:t> </w:t>
            </w:r>
          </w:p>
        </w:tc>
        <w:tc>
          <w:tcPr>
            <w:tcW w:w="1545" w:type="dxa"/>
            <w:tcBorders>
              <w:top w:val="single" w:sz="6" w:space="0" w:color="4472C4"/>
              <w:left w:val="nil"/>
              <w:bottom w:val="nil"/>
              <w:right w:val="nil"/>
            </w:tcBorders>
            <w:shd w:val="clear" w:color="auto" w:fill="4472C4"/>
            <w:vAlign w:val="bottom"/>
            <w:hideMark/>
          </w:tcPr>
          <w:p w:rsidR="00175758" w:rsidRPr="00175758" w:rsidP="00175758" w14:paraId="18EBCE64"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b/>
                <w:bCs/>
                <w:color w:val="FFFFFF"/>
              </w:rPr>
              <w:t>Number of Respondents</w:t>
            </w:r>
            <w:r w:rsidRPr="00175758">
              <w:rPr>
                <w:rFonts w:ascii="Calibri" w:eastAsia="Times New Roman" w:hAnsi="Calibri" w:cs="Calibri"/>
              </w:rPr>
              <w:t> </w:t>
            </w:r>
          </w:p>
        </w:tc>
        <w:tc>
          <w:tcPr>
            <w:tcW w:w="1350" w:type="dxa"/>
            <w:tcBorders>
              <w:top w:val="single" w:sz="6" w:space="0" w:color="4472C4"/>
              <w:left w:val="nil"/>
              <w:bottom w:val="nil"/>
              <w:right w:val="nil"/>
            </w:tcBorders>
            <w:shd w:val="clear" w:color="auto" w:fill="4472C4"/>
            <w:vAlign w:val="bottom"/>
            <w:hideMark/>
          </w:tcPr>
          <w:p w:rsidR="00175758" w:rsidRPr="00175758" w:rsidP="00175758" w14:paraId="2959928B"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b/>
                <w:bCs/>
                <w:color w:val="FFFFFF"/>
              </w:rPr>
              <w:t>Annual Number of Responses</w:t>
            </w:r>
            <w:r w:rsidRPr="00175758">
              <w:rPr>
                <w:rFonts w:ascii="Calibri" w:eastAsia="Times New Roman" w:hAnsi="Calibri" w:cs="Calibri"/>
              </w:rPr>
              <w:t> </w:t>
            </w:r>
          </w:p>
        </w:tc>
        <w:tc>
          <w:tcPr>
            <w:tcW w:w="1335" w:type="dxa"/>
            <w:tcBorders>
              <w:top w:val="single" w:sz="6" w:space="0" w:color="4472C4"/>
              <w:left w:val="nil"/>
              <w:bottom w:val="nil"/>
              <w:right w:val="nil"/>
            </w:tcBorders>
            <w:shd w:val="clear" w:color="auto" w:fill="4472C4"/>
            <w:vAlign w:val="bottom"/>
            <w:hideMark/>
          </w:tcPr>
          <w:p w:rsidR="00175758" w:rsidRPr="00175758" w:rsidP="00175758" w14:paraId="6C57AB85"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b/>
                <w:bCs/>
                <w:color w:val="FFFFFF"/>
              </w:rPr>
              <w:t>Burden Hours Per Response</w:t>
            </w:r>
            <w:r w:rsidRPr="00175758">
              <w:rPr>
                <w:rFonts w:ascii="Calibri" w:eastAsia="Times New Roman" w:hAnsi="Calibri" w:cs="Calibri"/>
              </w:rPr>
              <w:t> </w:t>
            </w:r>
          </w:p>
        </w:tc>
        <w:tc>
          <w:tcPr>
            <w:tcW w:w="1140" w:type="dxa"/>
            <w:tcBorders>
              <w:top w:val="single" w:sz="6" w:space="0" w:color="4472C4"/>
              <w:left w:val="nil"/>
              <w:bottom w:val="nil"/>
              <w:right w:val="single" w:sz="6" w:space="0" w:color="4472C4"/>
            </w:tcBorders>
            <w:shd w:val="clear" w:color="auto" w:fill="4472C4"/>
            <w:vAlign w:val="bottom"/>
            <w:hideMark/>
          </w:tcPr>
          <w:p w:rsidR="00175758" w:rsidRPr="00175758" w:rsidP="00175758" w14:paraId="7A5C0307"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b/>
                <w:bCs/>
                <w:color w:val="FFFFFF"/>
              </w:rPr>
              <w:t>Annual Burden Hours</w:t>
            </w:r>
            <w:r w:rsidRPr="00175758">
              <w:rPr>
                <w:rFonts w:ascii="Calibri" w:eastAsia="Times New Roman" w:hAnsi="Calibri" w:cs="Calibri"/>
              </w:rPr>
              <w:t> </w:t>
            </w:r>
          </w:p>
        </w:tc>
      </w:tr>
      <w:tr w14:paraId="4EEB3E9A" w14:textId="77777777" w:rsidTr="00175758">
        <w:tblPrEx>
          <w:tblW w:w="0" w:type="dxa"/>
          <w:tblCellMar>
            <w:left w:w="0" w:type="dxa"/>
            <w:right w:w="0" w:type="dxa"/>
          </w:tblCellMar>
          <w:tblLook w:val="04A0"/>
        </w:tblPrEx>
        <w:trPr>
          <w:trHeight w:val="630"/>
        </w:trPr>
        <w:tc>
          <w:tcPr>
            <w:tcW w:w="2400" w:type="dxa"/>
            <w:tcBorders>
              <w:top w:val="single" w:sz="6" w:space="0" w:color="4472C4"/>
              <w:left w:val="single" w:sz="6" w:space="0" w:color="4472C4"/>
              <w:bottom w:val="nil"/>
              <w:right w:val="nil"/>
            </w:tcBorders>
            <w:shd w:val="clear" w:color="auto" w:fill="auto"/>
            <w:vAlign w:val="bottom"/>
            <w:hideMark/>
          </w:tcPr>
          <w:p w:rsidR="00175758" w:rsidRPr="00175758" w:rsidP="00175758" w14:paraId="3ED2528E"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EIA 111, Quarterly Electricity Imports and Exports Report </w:t>
            </w:r>
          </w:p>
        </w:tc>
        <w:tc>
          <w:tcPr>
            <w:tcW w:w="1560" w:type="dxa"/>
            <w:tcBorders>
              <w:top w:val="single" w:sz="6" w:space="0" w:color="4472C4"/>
              <w:left w:val="nil"/>
              <w:bottom w:val="nil"/>
              <w:right w:val="nil"/>
            </w:tcBorders>
            <w:shd w:val="clear" w:color="auto" w:fill="auto"/>
            <w:vAlign w:val="bottom"/>
            <w:hideMark/>
          </w:tcPr>
          <w:p w:rsidR="00175758" w:rsidRPr="00175758" w:rsidP="00175758" w14:paraId="25B5D493"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4 </w:t>
            </w:r>
          </w:p>
        </w:tc>
        <w:tc>
          <w:tcPr>
            <w:tcW w:w="1545" w:type="dxa"/>
            <w:tcBorders>
              <w:top w:val="single" w:sz="6" w:space="0" w:color="4472C4"/>
              <w:left w:val="nil"/>
              <w:bottom w:val="nil"/>
              <w:right w:val="nil"/>
            </w:tcBorders>
            <w:shd w:val="clear" w:color="auto" w:fill="auto"/>
            <w:vAlign w:val="bottom"/>
            <w:hideMark/>
          </w:tcPr>
          <w:p w:rsidR="00175758" w:rsidRPr="00175758" w:rsidP="00175758" w14:paraId="4BA8CDB7"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153 </w:t>
            </w:r>
          </w:p>
        </w:tc>
        <w:tc>
          <w:tcPr>
            <w:tcW w:w="1350" w:type="dxa"/>
            <w:tcBorders>
              <w:top w:val="single" w:sz="6" w:space="0" w:color="4472C4"/>
              <w:left w:val="nil"/>
              <w:bottom w:val="nil"/>
              <w:right w:val="nil"/>
            </w:tcBorders>
            <w:shd w:val="clear" w:color="auto" w:fill="auto"/>
            <w:vAlign w:val="bottom"/>
            <w:hideMark/>
          </w:tcPr>
          <w:p w:rsidR="00175758" w:rsidRPr="00175758" w:rsidP="00175758" w14:paraId="25E8B5CE"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612 </w:t>
            </w:r>
          </w:p>
        </w:tc>
        <w:tc>
          <w:tcPr>
            <w:tcW w:w="1335" w:type="dxa"/>
            <w:tcBorders>
              <w:top w:val="single" w:sz="6" w:space="0" w:color="4472C4"/>
              <w:left w:val="nil"/>
              <w:bottom w:val="nil"/>
              <w:right w:val="nil"/>
            </w:tcBorders>
            <w:shd w:val="clear" w:color="auto" w:fill="auto"/>
            <w:vAlign w:val="bottom"/>
            <w:hideMark/>
          </w:tcPr>
          <w:p w:rsidR="00175758" w:rsidRPr="00175758" w:rsidP="00175758" w14:paraId="6B936EE2"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1.5 </w:t>
            </w:r>
          </w:p>
        </w:tc>
        <w:tc>
          <w:tcPr>
            <w:tcW w:w="1140" w:type="dxa"/>
            <w:tcBorders>
              <w:top w:val="single" w:sz="6" w:space="0" w:color="4472C4"/>
              <w:left w:val="nil"/>
              <w:bottom w:val="nil"/>
              <w:right w:val="single" w:sz="6" w:space="0" w:color="4472C4"/>
            </w:tcBorders>
            <w:shd w:val="clear" w:color="auto" w:fill="auto"/>
            <w:vAlign w:val="bottom"/>
            <w:hideMark/>
          </w:tcPr>
          <w:p w:rsidR="00175758" w:rsidRPr="00175758" w:rsidP="00175758" w14:paraId="1211C625"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918 </w:t>
            </w:r>
          </w:p>
        </w:tc>
      </w:tr>
      <w:tr w14:paraId="310ACB89" w14:textId="77777777" w:rsidTr="00175758">
        <w:tblPrEx>
          <w:tblW w:w="0" w:type="dxa"/>
          <w:tblCellMar>
            <w:left w:w="0" w:type="dxa"/>
            <w:right w:w="0" w:type="dxa"/>
          </w:tblCellMar>
          <w:tblLook w:val="04A0"/>
        </w:tblPrEx>
        <w:trPr>
          <w:trHeight w:val="285"/>
        </w:trPr>
        <w:tc>
          <w:tcPr>
            <w:tcW w:w="2400" w:type="dxa"/>
            <w:tcBorders>
              <w:top w:val="single" w:sz="6" w:space="0" w:color="4472C4"/>
              <w:left w:val="single" w:sz="6" w:space="0" w:color="4472C4"/>
              <w:bottom w:val="single" w:sz="6" w:space="0" w:color="4472C4"/>
              <w:right w:val="nil"/>
            </w:tcBorders>
            <w:shd w:val="clear" w:color="auto" w:fill="auto"/>
            <w:vAlign w:val="bottom"/>
            <w:hideMark/>
          </w:tcPr>
          <w:p w:rsidR="00175758" w:rsidRPr="00175758" w:rsidP="00175758" w14:paraId="31CD6686"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b/>
                <w:bCs/>
                <w:color w:val="000000"/>
              </w:rPr>
              <w:t>Total</w:t>
            </w:r>
            <w:r w:rsidRPr="00175758">
              <w:rPr>
                <w:rFonts w:ascii="Calibri" w:eastAsia="Times New Roman" w:hAnsi="Calibri" w:cs="Calibri"/>
                <w:color w:val="000000"/>
              </w:rPr>
              <w:t> </w:t>
            </w:r>
          </w:p>
        </w:tc>
        <w:tc>
          <w:tcPr>
            <w:tcW w:w="1560" w:type="dxa"/>
            <w:tcBorders>
              <w:top w:val="single" w:sz="6" w:space="0" w:color="4472C4"/>
              <w:left w:val="nil"/>
              <w:bottom w:val="single" w:sz="6" w:space="0" w:color="4472C4"/>
              <w:right w:val="nil"/>
            </w:tcBorders>
            <w:shd w:val="clear" w:color="auto" w:fill="808080"/>
            <w:vAlign w:val="bottom"/>
            <w:hideMark/>
          </w:tcPr>
          <w:p w:rsidR="00175758" w:rsidRPr="00175758" w:rsidP="00175758" w14:paraId="2FE2EE95"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  </w:t>
            </w:r>
          </w:p>
        </w:tc>
        <w:tc>
          <w:tcPr>
            <w:tcW w:w="1545" w:type="dxa"/>
            <w:tcBorders>
              <w:top w:val="single" w:sz="6" w:space="0" w:color="4472C4"/>
              <w:left w:val="nil"/>
              <w:bottom w:val="single" w:sz="6" w:space="0" w:color="4472C4"/>
              <w:right w:val="nil"/>
            </w:tcBorders>
            <w:shd w:val="clear" w:color="auto" w:fill="auto"/>
            <w:vAlign w:val="bottom"/>
            <w:hideMark/>
          </w:tcPr>
          <w:p w:rsidR="00175758" w:rsidRPr="00175758" w:rsidP="00175758" w14:paraId="2FE7A40B"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153 </w:t>
            </w:r>
          </w:p>
        </w:tc>
        <w:tc>
          <w:tcPr>
            <w:tcW w:w="1350" w:type="dxa"/>
            <w:tcBorders>
              <w:top w:val="single" w:sz="6" w:space="0" w:color="4472C4"/>
              <w:left w:val="nil"/>
              <w:bottom w:val="single" w:sz="6" w:space="0" w:color="4472C4"/>
              <w:right w:val="nil"/>
            </w:tcBorders>
            <w:shd w:val="clear" w:color="auto" w:fill="auto"/>
            <w:vAlign w:val="bottom"/>
            <w:hideMark/>
          </w:tcPr>
          <w:p w:rsidR="00175758" w:rsidRPr="00175758" w:rsidP="00175758" w14:paraId="648D12A2"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612 </w:t>
            </w:r>
          </w:p>
        </w:tc>
        <w:tc>
          <w:tcPr>
            <w:tcW w:w="1335" w:type="dxa"/>
            <w:tcBorders>
              <w:top w:val="single" w:sz="6" w:space="0" w:color="4472C4"/>
              <w:left w:val="nil"/>
              <w:bottom w:val="single" w:sz="6" w:space="0" w:color="4472C4"/>
              <w:right w:val="nil"/>
            </w:tcBorders>
            <w:shd w:val="clear" w:color="auto" w:fill="808080"/>
            <w:vAlign w:val="bottom"/>
            <w:hideMark/>
          </w:tcPr>
          <w:p w:rsidR="00175758" w:rsidRPr="00175758" w:rsidP="00175758" w14:paraId="1310CC7C"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  </w:t>
            </w:r>
          </w:p>
        </w:tc>
        <w:tc>
          <w:tcPr>
            <w:tcW w:w="1140" w:type="dxa"/>
            <w:tcBorders>
              <w:top w:val="single" w:sz="6" w:space="0" w:color="4472C4"/>
              <w:left w:val="nil"/>
              <w:bottom w:val="single" w:sz="6" w:space="0" w:color="4472C4"/>
              <w:right w:val="single" w:sz="6" w:space="0" w:color="4472C4"/>
            </w:tcBorders>
            <w:shd w:val="clear" w:color="auto" w:fill="auto"/>
            <w:vAlign w:val="bottom"/>
            <w:hideMark/>
          </w:tcPr>
          <w:p w:rsidR="00175758" w:rsidRPr="00175758" w:rsidP="00175758" w14:paraId="06817FA7"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918 </w:t>
            </w:r>
          </w:p>
        </w:tc>
      </w:tr>
    </w:tbl>
    <w:p w:rsidR="00175758" w:rsidRPr="00175758" w:rsidP="00175758" w14:paraId="062F2482"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59984B9E"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2DBD4C90" w14:textId="77777777">
      <w:pPr>
        <w:pStyle w:val="Heading1"/>
        <w:rPr>
          <w:rFonts w:ascii="Segoe UI" w:eastAsia="Times New Roman" w:hAnsi="Segoe UI" w:cs="Segoe UI"/>
          <w:sz w:val="18"/>
          <w:szCs w:val="18"/>
        </w:rPr>
      </w:pPr>
      <w:bookmarkStart w:id="15" w:name="_Toc165020046"/>
      <w:r w:rsidRPr="6C981B6E">
        <w:rPr>
          <w:rFonts w:eastAsia="Times New Roman"/>
        </w:rPr>
        <w:t>A.13. Annual Cost to the Federal Government </w:t>
      </w:r>
      <w:bookmarkEnd w:id="15"/>
    </w:p>
    <w:p w:rsidR="00175758" w:rsidP="00175758" w14:paraId="522EFFA9" w14:textId="77777777">
      <w:pPr>
        <w:spacing w:after="0" w:line="240" w:lineRule="auto"/>
        <w:textAlignment w:val="baseline"/>
        <w:rPr>
          <w:rFonts w:ascii="Calibri" w:eastAsia="Times New Roman" w:hAnsi="Calibri" w:cs="Calibri"/>
        </w:rPr>
      </w:pPr>
      <w:r w:rsidRPr="00175758">
        <w:rPr>
          <w:rFonts w:ascii="Calibri" w:eastAsia="Times New Roman" w:hAnsi="Calibri" w:cs="Calibri"/>
        </w:rPr>
        <w:t>The annual cost of operating these surveys is estimated at $191,436 and includes contractor costs and federal staff time for survey related activities. Table 2 shows the approximate costs of survey related activities including frame maintenance, collection, processing, dissemination, and data systems maintenance. EIA anticipates no additional respondent costs for generating, maintaining, and providing the information required in this Information Collection Request. </w:t>
      </w:r>
    </w:p>
    <w:p w:rsidR="00175758" w:rsidRPr="00175758" w:rsidP="00175758" w14:paraId="2635AB92" w14:textId="77777777">
      <w:pPr>
        <w:spacing w:after="0" w:line="240" w:lineRule="auto"/>
        <w:textAlignment w:val="baseline"/>
        <w:rPr>
          <w:rFonts w:ascii="Segoe UI" w:eastAsia="Times New Roman" w:hAnsi="Segoe UI" w:cs="Segoe UI"/>
          <w:sz w:val="18"/>
          <w:szCs w:val="18"/>
        </w:rPr>
      </w:pPr>
    </w:p>
    <w:tbl>
      <w:tblPr>
        <w:tblW w:w="0" w:type="dxa"/>
        <w:tblCellMar>
          <w:left w:w="0" w:type="dxa"/>
          <w:right w:w="0" w:type="dxa"/>
        </w:tblCellMar>
        <w:tblLook w:val="04A0"/>
      </w:tblPr>
      <w:tblGrid>
        <w:gridCol w:w="3075"/>
        <w:gridCol w:w="2010"/>
        <w:gridCol w:w="2085"/>
        <w:gridCol w:w="1845"/>
      </w:tblGrid>
      <w:tr w14:paraId="063E61C1" w14:textId="77777777" w:rsidTr="00175758">
        <w:tblPrEx>
          <w:tblW w:w="0" w:type="dxa"/>
          <w:tblCellMar>
            <w:left w:w="0" w:type="dxa"/>
            <w:right w:w="0" w:type="dxa"/>
          </w:tblCellMar>
          <w:tblLook w:val="04A0"/>
        </w:tblPrEx>
        <w:trPr>
          <w:trHeight w:val="285"/>
        </w:trPr>
        <w:tc>
          <w:tcPr>
            <w:tcW w:w="5085" w:type="dxa"/>
            <w:gridSpan w:val="2"/>
            <w:tcBorders>
              <w:top w:val="nil"/>
              <w:left w:val="nil"/>
              <w:bottom w:val="nil"/>
              <w:right w:val="nil"/>
            </w:tcBorders>
            <w:shd w:val="clear" w:color="auto" w:fill="auto"/>
            <w:vAlign w:val="bottom"/>
            <w:hideMark/>
          </w:tcPr>
          <w:p w:rsidR="00175758" w:rsidRPr="00175758" w:rsidP="00175758" w14:paraId="7012DDF1"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b/>
                <w:bCs/>
                <w:color w:val="000000"/>
              </w:rPr>
              <w:t>Table 2: Annual Cost for the Federal Government</w:t>
            </w:r>
            <w:r w:rsidRPr="00175758">
              <w:rPr>
                <w:rFonts w:ascii="Calibri" w:eastAsia="Times New Roman" w:hAnsi="Calibri" w:cs="Calibri"/>
                <w:color w:val="000000"/>
              </w:rPr>
              <w:t> </w:t>
            </w:r>
          </w:p>
        </w:tc>
        <w:tc>
          <w:tcPr>
            <w:tcW w:w="2085" w:type="dxa"/>
            <w:tcBorders>
              <w:top w:val="nil"/>
              <w:left w:val="nil"/>
              <w:bottom w:val="nil"/>
              <w:right w:val="nil"/>
            </w:tcBorders>
            <w:shd w:val="clear" w:color="auto" w:fill="auto"/>
            <w:vAlign w:val="bottom"/>
            <w:hideMark/>
          </w:tcPr>
          <w:p w:rsidR="00175758" w:rsidRPr="00175758" w:rsidP="00175758" w14:paraId="1ED967CE"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rPr>
              <w:t> </w:t>
            </w:r>
          </w:p>
        </w:tc>
        <w:tc>
          <w:tcPr>
            <w:tcW w:w="1845" w:type="dxa"/>
            <w:tcBorders>
              <w:top w:val="nil"/>
              <w:left w:val="nil"/>
              <w:bottom w:val="nil"/>
              <w:right w:val="nil"/>
            </w:tcBorders>
            <w:shd w:val="clear" w:color="auto" w:fill="auto"/>
            <w:vAlign w:val="bottom"/>
            <w:hideMark/>
          </w:tcPr>
          <w:p w:rsidR="00175758" w:rsidRPr="00175758" w:rsidP="00175758" w14:paraId="15700A0D"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rPr>
              <w:t> </w:t>
            </w:r>
          </w:p>
        </w:tc>
      </w:tr>
      <w:tr w14:paraId="57EE3F2F" w14:textId="77777777" w:rsidTr="00175758">
        <w:tblPrEx>
          <w:tblW w:w="0" w:type="dxa"/>
          <w:tblCellMar>
            <w:left w:w="0" w:type="dxa"/>
            <w:right w:w="0" w:type="dxa"/>
          </w:tblCellMar>
          <w:tblLook w:val="04A0"/>
        </w:tblPrEx>
        <w:trPr>
          <w:trHeight w:val="285"/>
        </w:trPr>
        <w:tc>
          <w:tcPr>
            <w:tcW w:w="3075" w:type="dxa"/>
            <w:tcBorders>
              <w:top w:val="single" w:sz="6" w:space="0" w:color="4472C4"/>
              <w:left w:val="single" w:sz="6" w:space="0" w:color="4472C4"/>
              <w:bottom w:val="nil"/>
              <w:right w:val="nil"/>
            </w:tcBorders>
            <w:shd w:val="clear" w:color="auto" w:fill="4472C4"/>
            <w:vAlign w:val="bottom"/>
            <w:hideMark/>
          </w:tcPr>
          <w:p w:rsidR="00175758" w:rsidRPr="00175758" w:rsidP="00175758" w14:paraId="2238D21A"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b/>
                <w:bCs/>
                <w:color w:val="FFFFFF"/>
              </w:rPr>
              <w:t>Activity</w:t>
            </w:r>
            <w:r w:rsidRPr="00175758">
              <w:rPr>
                <w:rFonts w:ascii="Calibri" w:eastAsia="Times New Roman" w:hAnsi="Calibri" w:cs="Calibri"/>
              </w:rPr>
              <w:t> </w:t>
            </w:r>
          </w:p>
        </w:tc>
        <w:tc>
          <w:tcPr>
            <w:tcW w:w="2010" w:type="dxa"/>
            <w:tcBorders>
              <w:top w:val="single" w:sz="6" w:space="0" w:color="4472C4"/>
              <w:left w:val="nil"/>
              <w:bottom w:val="nil"/>
              <w:right w:val="nil"/>
            </w:tcBorders>
            <w:shd w:val="clear" w:color="auto" w:fill="4472C4"/>
            <w:vAlign w:val="bottom"/>
            <w:hideMark/>
          </w:tcPr>
          <w:p w:rsidR="00175758" w:rsidRPr="00175758" w:rsidP="00175758" w14:paraId="78E0F0A1"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b/>
                <w:bCs/>
                <w:color w:val="FFFFFF"/>
              </w:rPr>
              <w:t>Labor hours</w:t>
            </w:r>
            <w:r w:rsidRPr="00175758">
              <w:rPr>
                <w:rFonts w:ascii="Calibri" w:eastAsia="Times New Roman" w:hAnsi="Calibri" w:cs="Calibri"/>
              </w:rPr>
              <w:t> </w:t>
            </w:r>
          </w:p>
        </w:tc>
        <w:tc>
          <w:tcPr>
            <w:tcW w:w="2085" w:type="dxa"/>
            <w:tcBorders>
              <w:top w:val="single" w:sz="6" w:space="0" w:color="4472C4"/>
              <w:left w:val="nil"/>
              <w:bottom w:val="nil"/>
              <w:right w:val="nil"/>
            </w:tcBorders>
            <w:shd w:val="clear" w:color="auto" w:fill="4472C4"/>
            <w:vAlign w:val="bottom"/>
            <w:hideMark/>
          </w:tcPr>
          <w:p w:rsidR="00175758" w:rsidRPr="00175758" w:rsidP="00175758" w14:paraId="687C51BD"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b/>
                <w:bCs/>
                <w:color w:val="FFFFFF"/>
              </w:rPr>
              <w:t>x Rate</w:t>
            </w:r>
            <w:r w:rsidRPr="00175758">
              <w:rPr>
                <w:rFonts w:ascii="Calibri" w:eastAsia="Times New Roman" w:hAnsi="Calibri" w:cs="Calibri"/>
              </w:rPr>
              <w:t> </w:t>
            </w:r>
          </w:p>
        </w:tc>
        <w:tc>
          <w:tcPr>
            <w:tcW w:w="1845" w:type="dxa"/>
            <w:tcBorders>
              <w:top w:val="single" w:sz="6" w:space="0" w:color="4472C4"/>
              <w:left w:val="nil"/>
              <w:bottom w:val="nil"/>
              <w:right w:val="single" w:sz="6" w:space="0" w:color="4472C4"/>
            </w:tcBorders>
            <w:shd w:val="clear" w:color="auto" w:fill="4472C4"/>
            <w:vAlign w:val="bottom"/>
            <w:hideMark/>
          </w:tcPr>
          <w:p w:rsidR="00175758" w:rsidRPr="00175758" w:rsidP="00175758" w14:paraId="0458A63E"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b/>
                <w:bCs/>
                <w:color w:val="FFFFFF"/>
              </w:rPr>
              <w:t>Cost</w:t>
            </w:r>
            <w:r w:rsidRPr="00175758">
              <w:rPr>
                <w:rFonts w:ascii="Calibri" w:eastAsia="Times New Roman" w:hAnsi="Calibri" w:cs="Calibri"/>
              </w:rPr>
              <w:t> </w:t>
            </w:r>
          </w:p>
        </w:tc>
      </w:tr>
      <w:tr w14:paraId="1079A002" w14:textId="77777777" w:rsidTr="00175758">
        <w:tblPrEx>
          <w:tblW w:w="0" w:type="dxa"/>
          <w:tblCellMar>
            <w:left w:w="0" w:type="dxa"/>
            <w:right w:w="0" w:type="dxa"/>
          </w:tblCellMar>
          <w:tblLook w:val="04A0"/>
        </w:tblPrEx>
        <w:trPr>
          <w:trHeight w:val="420"/>
        </w:trPr>
        <w:tc>
          <w:tcPr>
            <w:tcW w:w="3075" w:type="dxa"/>
            <w:tcBorders>
              <w:top w:val="single" w:sz="6" w:space="0" w:color="4472C4"/>
              <w:left w:val="single" w:sz="6" w:space="0" w:color="4472C4"/>
              <w:bottom w:val="nil"/>
              <w:right w:val="nil"/>
            </w:tcBorders>
            <w:shd w:val="clear" w:color="auto" w:fill="auto"/>
            <w:vAlign w:val="bottom"/>
            <w:hideMark/>
          </w:tcPr>
          <w:p w:rsidR="00175758" w:rsidRPr="00175758" w:rsidP="00175758" w14:paraId="69FAE3C9"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Survey frame and maintenance </w:t>
            </w:r>
          </w:p>
        </w:tc>
        <w:tc>
          <w:tcPr>
            <w:tcW w:w="2010" w:type="dxa"/>
            <w:tcBorders>
              <w:top w:val="single" w:sz="6" w:space="0" w:color="4472C4"/>
              <w:left w:val="nil"/>
              <w:bottom w:val="nil"/>
              <w:right w:val="nil"/>
            </w:tcBorders>
            <w:shd w:val="clear" w:color="auto" w:fill="auto"/>
            <w:vAlign w:val="bottom"/>
            <w:hideMark/>
          </w:tcPr>
          <w:p w:rsidR="00175758" w:rsidRPr="00175758" w:rsidP="00175758" w14:paraId="59017D92"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372 </w:t>
            </w:r>
          </w:p>
        </w:tc>
        <w:tc>
          <w:tcPr>
            <w:tcW w:w="2085" w:type="dxa"/>
            <w:tcBorders>
              <w:top w:val="single" w:sz="6" w:space="0" w:color="4472C4"/>
              <w:left w:val="nil"/>
              <w:bottom w:val="nil"/>
              <w:right w:val="nil"/>
            </w:tcBorders>
            <w:shd w:val="clear" w:color="auto" w:fill="auto"/>
            <w:vAlign w:val="bottom"/>
            <w:hideMark/>
          </w:tcPr>
          <w:p w:rsidR="00175758" w:rsidRPr="00175758" w:rsidP="00175758" w14:paraId="293B24EE" w14:textId="436CC20A">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 $91.16  </w:t>
            </w:r>
          </w:p>
        </w:tc>
        <w:tc>
          <w:tcPr>
            <w:tcW w:w="1845" w:type="dxa"/>
            <w:tcBorders>
              <w:top w:val="single" w:sz="6" w:space="0" w:color="4472C4"/>
              <w:left w:val="nil"/>
              <w:bottom w:val="nil"/>
              <w:right w:val="single" w:sz="6" w:space="0" w:color="4472C4"/>
            </w:tcBorders>
            <w:shd w:val="clear" w:color="auto" w:fill="auto"/>
            <w:vAlign w:val="bottom"/>
            <w:hideMark/>
          </w:tcPr>
          <w:p w:rsidR="00175758" w:rsidRPr="00175758" w:rsidP="00175758" w14:paraId="5D047E99" w14:textId="72F996D6">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 $33,911.52  </w:t>
            </w:r>
          </w:p>
        </w:tc>
      </w:tr>
      <w:tr w14:paraId="103802DD" w14:textId="77777777" w:rsidTr="00175758">
        <w:tblPrEx>
          <w:tblW w:w="0" w:type="dxa"/>
          <w:tblCellMar>
            <w:left w:w="0" w:type="dxa"/>
            <w:right w:w="0" w:type="dxa"/>
          </w:tblCellMar>
          <w:tblLook w:val="04A0"/>
        </w:tblPrEx>
        <w:trPr>
          <w:trHeight w:val="360"/>
        </w:trPr>
        <w:tc>
          <w:tcPr>
            <w:tcW w:w="3075" w:type="dxa"/>
            <w:tcBorders>
              <w:top w:val="single" w:sz="6" w:space="0" w:color="4472C4"/>
              <w:left w:val="single" w:sz="6" w:space="0" w:color="4472C4"/>
              <w:bottom w:val="nil"/>
              <w:right w:val="nil"/>
            </w:tcBorders>
            <w:shd w:val="clear" w:color="auto" w:fill="auto"/>
            <w:vAlign w:val="bottom"/>
            <w:hideMark/>
          </w:tcPr>
          <w:p w:rsidR="00175758" w:rsidRPr="00175758" w:rsidP="00175758" w14:paraId="24FC19D6"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Data collection and processing </w:t>
            </w:r>
          </w:p>
        </w:tc>
        <w:tc>
          <w:tcPr>
            <w:tcW w:w="2010" w:type="dxa"/>
            <w:tcBorders>
              <w:top w:val="single" w:sz="6" w:space="0" w:color="4472C4"/>
              <w:left w:val="nil"/>
              <w:bottom w:val="nil"/>
              <w:right w:val="nil"/>
            </w:tcBorders>
            <w:shd w:val="clear" w:color="auto" w:fill="auto"/>
            <w:vAlign w:val="bottom"/>
            <w:hideMark/>
          </w:tcPr>
          <w:p w:rsidR="00175758" w:rsidRPr="00175758" w:rsidP="00175758" w14:paraId="7677E78D"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1228 </w:t>
            </w:r>
          </w:p>
        </w:tc>
        <w:tc>
          <w:tcPr>
            <w:tcW w:w="2085" w:type="dxa"/>
            <w:tcBorders>
              <w:top w:val="single" w:sz="6" w:space="0" w:color="4472C4"/>
              <w:left w:val="nil"/>
              <w:bottom w:val="nil"/>
              <w:right w:val="nil"/>
            </w:tcBorders>
            <w:shd w:val="clear" w:color="auto" w:fill="auto"/>
            <w:vAlign w:val="bottom"/>
            <w:hideMark/>
          </w:tcPr>
          <w:p w:rsidR="00175758" w:rsidRPr="00175758" w:rsidP="00175758" w14:paraId="70FB10FE" w14:textId="5FF0CBE5">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 $91.16  </w:t>
            </w:r>
          </w:p>
        </w:tc>
        <w:tc>
          <w:tcPr>
            <w:tcW w:w="1845" w:type="dxa"/>
            <w:tcBorders>
              <w:top w:val="single" w:sz="6" w:space="0" w:color="4472C4"/>
              <w:left w:val="nil"/>
              <w:bottom w:val="nil"/>
              <w:right w:val="single" w:sz="6" w:space="0" w:color="4472C4"/>
            </w:tcBorders>
            <w:shd w:val="clear" w:color="auto" w:fill="auto"/>
            <w:vAlign w:val="bottom"/>
            <w:hideMark/>
          </w:tcPr>
          <w:p w:rsidR="00175758" w:rsidRPr="00175758" w:rsidP="00175758" w14:paraId="6AC7DB61" w14:textId="473886A5">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 $111,944.48  </w:t>
            </w:r>
          </w:p>
        </w:tc>
      </w:tr>
      <w:tr w14:paraId="74A123EE" w14:textId="77777777" w:rsidTr="00175758">
        <w:tblPrEx>
          <w:tblW w:w="0" w:type="dxa"/>
          <w:tblCellMar>
            <w:left w:w="0" w:type="dxa"/>
            <w:right w:w="0" w:type="dxa"/>
          </w:tblCellMar>
          <w:tblLook w:val="04A0"/>
        </w:tblPrEx>
        <w:trPr>
          <w:trHeight w:val="390"/>
        </w:trPr>
        <w:tc>
          <w:tcPr>
            <w:tcW w:w="3075" w:type="dxa"/>
            <w:tcBorders>
              <w:top w:val="single" w:sz="6" w:space="0" w:color="4472C4"/>
              <w:left w:val="single" w:sz="6" w:space="0" w:color="4472C4"/>
              <w:bottom w:val="nil"/>
              <w:right w:val="nil"/>
            </w:tcBorders>
            <w:shd w:val="clear" w:color="auto" w:fill="auto"/>
            <w:vAlign w:val="bottom"/>
            <w:hideMark/>
          </w:tcPr>
          <w:p w:rsidR="00175758" w:rsidRPr="00175758" w:rsidP="00175758" w14:paraId="4FD29E0B"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Data dissemination </w:t>
            </w:r>
          </w:p>
        </w:tc>
        <w:tc>
          <w:tcPr>
            <w:tcW w:w="2010" w:type="dxa"/>
            <w:tcBorders>
              <w:top w:val="single" w:sz="6" w:space="0" w:color="4472C4"/>
              <w:left w:val="nil"/>
              <w:bottom w:val="nil"/>
              <w:right w:val="nil"/>
            </w:tcBorders>
            <w:shd w:val="clear" w:color="auto" w:fill="auto"/>
            <w:vAlign w:val="bottom"/>
            <w:hideMark/>
          </w:tcPr>
          <w:p w:rsidR="00175758" w:rsidRPr="00175758" w:rsidP="00175758" w14:paraId="5E05E9F4"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274 </w:t>
            </w:r>
          </w:p>
        </w:tc>
        <w:tc>
          <w:tcPr>
            <w:tcW w:w="2085" w:type="dxa"/>
            <w:tcBorders>
              <w:top w:val="single" w:sz="6" w:space="0" w:color="4472C4"/>
              <w:left w:val="nil"/>
              <w:bottom w:val="nil"/>
              <w:right w:val="nil"/>
            </w:tcBorders>
            <w:shd w:val="clear" w:color="auto" w:fill="auto"/>
            <w:vAlign w:val="bottom"/>
            <w:hideMark/>
          </w:tcPr>
          <w:p w:rsidR="00175758" w:rsidRPr="00175758" w:rsidP="00175758" w14:paraId="23ED2D4E" w14:textId="04A2FE1D">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 $91.16  </w:t>
            </w:r>
          </w:p>
        </w:tc>
        <w:tc>
          <w:tcPr>
            <w:tcW w:w="1845" w:type="dxa"/>
            <w:tcBorders>
              <w:top w:val="single" w:sz="6" w:space="0" w:color="4472C4"/>
              <w:left w:val="nil"/>
              <w:bottom w:val="nil"/>
              <w:right w:val="single" w:sz="6" w:space="0" w:color="4472C4"/>
            </w:tcBorders>
            <w:shd w:val="clear" w:color="auto" w:fill="auto"/>
            <w:vAlign w:val="bottom"/>
            <w:hideMark/>
          </w:tcPr>
          <w:p w:rsidR="00175758" w:rsidRPr="00175758" w:rsidP="00175758" w14:paraId="5CEFBFE2" w14:textId="51D375E2">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 $24,977.84  </w:t>
            </w:r>
          </w:p>
        </w:tc>
      </w:tr>
      <w:tr w14:paraId="1DA0DF4C" w14:textId="77777777" w:rsidTr="00175758">
        <w:tblPrEx>
          <w:tblW w:w="0" w:type="dxa"/>
          <w:tblCellMar>
            <w:left w:w="0" w:type="dxa"/>
            <w:right w:w="0" w:type="dxa"/>
          </w:tblCellMar>
          <w:tblLook w:val="04A0"/>
        </w:tblPrEx>
        <w:trPr>
          <w:trHeight w:val="570"/>
        </w:trPr>
        <w:tc>
          <w:tcPr>
            <w:tcW w:w="3075" w:type="dxa"/>
            <w:tcBorders>
              <w:top w:val="single" w:sz="6" w:space="0" w:color="4472C4"/>
              <w:left w:val="single" w:sz="6" w:space="0" w:color="4472C4"/>
              <w:bottom w:val="nil"/>
              <w:right w:val="nil"/>
            </w:tcBorders>
            <w:shd w:val="clear" w:color="auto" w:fill="auto"/>
            <w:vAlign w:val="bottom"/>
            <w:hideMark/>
          </w:tcPr>
          <w:p w:rsidR="00175758" w:rsidRPr="00175758" w:rsidP="00175758" w14:paraId="64EC51B4"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Data systems maintenance and enhancements </w:t>
            </w:r>
          </w:p>
        </w:tc>
        <w:tc>
          <w:tcPr>
            <w:tcW w:w="2010" w:type="dxa"/>
            <w:tcBorders>
              <w:top w:val="single" w:sz="6" w:space="0" w:color="4472C4"/>
              <w:left w:val="nil"/>
              <w:bottom w:val="nil"/>
              <w:right w:val="nil"/>
            </w:tcBorders>
            <w:shd w:val="clear" w:color="auto" w:fill="auto"/>
            <w:vAlign w:val="bottom"/>
            <w:hideMark/>
          </w:tcPr>
          <w:p w:rsidR="00175758" w:rsidRPr="00175758" w:rsidP="00175758" w14:paraId="59074420"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226 </w:t>
            </w:r>
          </w:p>
        </w:tc>
        <w:tc>
          <w:tcPr>
            <w:tcW w:w="2085" w:type="dxa"/>
            <w:tcBorders>
              <w:top w:val="single" w:sz="6" w:space="0" w:color="4472C4"/>
              <w:left w:val="nil"/>
              <w:bottom w:val="nil"/>
              <w:right w:val="nil"/>
            </w:tcBorders>
            <w:shd w:val="clear" w:color="auto" w:fill="auto"/>
            <w:vAlign w:val="bottom"/>
            <w:hideMark/>
          </w:tcPr>
          <w:p w:rsidR="00175758" w:rsidRPr="00175758" w:rsidP="00175758" w14:paraId="06CD6262" w14:textId="4A950D08">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 $91.16  </w:t>
            </w:r>
          </w:p>
        </w:tc>
        <w:tc>
          <w:tcPr>
            <w:tcW w:w="1845" w:type="dxa"/>
            <w:tcBorders>
              <w:top w:val="single" w:sz="6" w:space="0" w:color="4472C4"/>
              <w:left w:val="nil"/>
              <w:bottom w:val="nil"/>
              <w:right w:val="single" w:sz="6" w:space="0" w:color="4472C4"/>
            </w:tcBorders>
            <w:shd w:val="clear" w:color="auto" w:fill="auto"/>
            <w:vAlign w:val="bottom"/>
            <w:hideMark/>
          </w:tcPr>
          <w:p w:rsidR="00175758" w:rsidRPr="00175758" w:rsidP="00175758" w14:paraId="10440C84" w14:textId="771EF60F">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 $20,602.16  </w:t>
            </w:r>
          </w:p>
        </w:tc>
      </w:tr>
      <w:tr w14:paraId="76307EE2" w14:textId="77777777" w:rsidTr="00175758">
        <w:tblPrEx>
          <w:tblW w:w="0" w:type="dxa"/>
          <w:tblCellMar>
            <w:left w:w="0" w:type="dxa"/>
            <w:right w:w="0" w:type="dxa"/>
          </w:tblCellMar>
          <w:tblLook w:val="04A0"/>
        </w:tblPrEx>
        <w:trPr>
          <w:trHeight w:val="375"/>
        </w:trPr>
        <w:tc>
          <w:tcPr>
            <w:tcW w:w="3075" w:type="dxa"/>
            <w:tcBorders>
              <w:top w:val="single" w:sz="6" w:space="0" w:color="4472C4"/>
              <w:left w:val="single" w:sz="6" w:space="0" w:color="4472C4"/>
              <w:bottom w:val="single" w:sz="6" w:space="0" w:color="4472C4"/>
              <w:right w:val="nil"/>
            </w:tcBorders>
            <w:shd w:val="clear" w:color="auto" w:fill="auto"/>
            <w:vAlign w:val="bottom"/>
            <w:hideMark/>
          </w:tcPr>
          <w:p w:rsidR="00175758" w:rsidRPr="00175758" w:rsidP="00175758" w14:paraId="3FA33B0E" w14:textId="77777777">
            <w:pPr>
              <w:spacing w:after="0" w:line="240" w:lineRule="auto"/>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Total Annual Cost </w:t>
            </w:r>
          </w:p>
        </w:tc>
        <w:tc>
          <w:tcPr>
            <w:tcW w:w="2010" w:type="dxa"/>
            <w:tcBorders>
              <w:top w:val="single" w:sz="6" w:space="0" w:color="4472C4"/>
              <w:left w:val="nil"/>
              <w:bottom w:val="single" w:sz="6" w:space="0" w:color="4472C4"/>
              <w:right w:val="nil"/>
            </w:tcBorders>
            <w:shd w:val="clear" w:color="auto" w:fill="808080"/>
            <w:vAlign w:val="bottom"/>
            <w:hideMark/>
          </w:tcPr>
          <w:p w:rsidR="00175758" w:rsidRPr="00175758" w:rsidP="00175758" w14:paraId="741D56C2"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  </w:t>
            </w:r>
          </w:p>
        </w:tc>
        <w:tc>
          <w:tcPr>
            <w:tcW w:w="2085" w:type="dxa"/>
            <w:tcBorders>
              <w:top w:val="single" w:sz="6" w:space="0" w:color="4472C4"/>
              <w:left w:val="nil"/>
              <w:bottom w:val="single" w:sz="6" w:space="0" w:color="4472C4"/>
              <w:right w:val="nil"/>
            </w:tcBorders>
            <w:shd w:val="clear" w:color="auto" w:fill="808080"/>
            <w:vAlign w:val="bottom"/>
            <w:hideMark/>
          </w:tcPr>
          <w:p w:rsidR="00175758" w:rsidRPr="00175758" w:rsidP="00175758" w14:paraId="2496460B" w14:textId="77777777">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  </w:t>
            </w:r>
          </w:p>
        </w:tc>
        <w:tc>
          <w:tcPr>
            <w:tcW w:w="1845" w:type="dxa"/>
            <w:tcBorders>
              <w:top w:val="single" w:sz="6" w:space="0" w:color="4472C4"/>
              <w:left w:val="nil"/>
              <w:bottom w:val="single" w:sz="6" w:space="0" w:color="4472C4"/>
              <w:right w:val="single" w:sz="6" w:space="0" w:color="4472C4"/>
            </w:tcBorders>
            <w:shd w:val="clear" w:color="auto" w:fill="auto"/>
            <w:vAlign w:val="bottom"/>
            <w:hideMark/>
          </w:tcPr>
          <w:p w:rsidR="00175758" w:rsidRPr="00175758" w:rsidP="00175758" w14:paraId="3409C753" w14:textId="062F3D06">
            <w:pPr>
              <w:spacing w:after="0" w:line="240" w:lineRule="auto"/>
              <w:jc w:val="center"/>
              <w:textAlignment w:val="baseline"/>
              <w:rPr>
                <w:rFonts w:ascii="Times New Roman" w:eastAsia="Times New Roman" w:hAnsi="Times New Roman" w:cs="Times New Roman"/>
                <w:sz w:val="24"/>
                <w:szCs w:val="24"/>
              </w:rPr>
            </w:pPr>
            <w:r w:rsidRPr="00175758">
              <w:rPr>
                <w:rFonts w:ascii="Calibri" w:eastAsia="Times New Roman" w:hAnsi="Calibri" w:cs="Calibri"/>
                <w:color w:val="000000"/>
              </w:rPr>
              <w:t> $191,436.00 </w:t>
            </w:r>
          </w:p>
        </w:tc>
      </w:tr>
    </w:tbl>
    <w:p w:rsidR="00F27E4F" w:rsidRPr="00F27E4F" w:rsidP="00671018" w14:paraId="7D4A38B3" w14:textId="77777777">
      <w:pPr>
        <w:pStyle w:val="Heading1"/>
        <w:numPr>
          <w:ilvl w:val="0"/>
          <w:numId w:val="0"/>
        </w:numPr>
        <w:rPr>
          <w:rFonts w:ascii="Segoe UI" w:eastAsia="Times New Roman" w:hAnsi="Segoe UI" w:cs="Segoe UI"/>
          <w:sz w:val="18"/>
          <w:szCs w:val="18"/>
        </w:rPr>
      </w:pPr>
    </w:p>
    <w:p w:rsidR="00175758" w:rsidRPr="00175758" w:rsidP="00175758" w14:paraId="3DE591C4" w14:textId="4D48CF6C">
      <w:pPr>
        <w:pStyle w:val="Heading1"/>
        <w:rPr>
          <w:rFonts w:ascii="Segoe UI" w:eastAsia="Times New Roman" w:hAnsi="Segoe UI" w:cs="Segoe UI"/>
          <w:sz w:val="18"/>
          <w:szCs w:val="18"/>
        </w:rPr>
      </w:pPr>
      <w:bookmarkStart w:id="16" w:name="_Toc165020047"/>
      <w:r w:rsidRPr="00175758">
        <w:rPr>
          <w:rFonts w:eastAsia="Times New Roman"/>
        </w:rPr>
        <w:t>A.14. Changes in Burden</w:t>
      </w:r>
      <w:bookmarkEnd w:id="16"/>
      <w:r w:rsidRPr="00175758">
        <w:rPr>
          <w:rFonts w:eastAsia="Times New Roman"/>
        </w:rPr>
        <w:t xml:space="preserve">  </w:t>
      </w:r>
    </w:p>
    <w:p w:rsidR="00175758" w:rsidRPr="00175758" w:rsidP="00175758" w14:paraId="2B15D69C"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There is an estimated decrease of 162 annual burden hours. This decrease in annual burden hours was due to a reduction in the population size by 27 respondents, which in turn reduced the annual number of responses by 108.  </w:t>
      </w:r>
    </w:p>
    <w:p w:rsidR="00F27E4F" w:rsidP="00175758" w14:paraId="071B5D54" w14:textId="77777777">
      <w:pPr>
        <w:spacing w:after="0" w:line="240" w:lineRule="auto"/>
        <w:textAlignment w:val="baseline"/>
        <w:rPr>
          <w:rFonts w:ascii="Calibri" w:eastAsia="Times New Roman" w:hAnsi="Calibri" w:cs="Calibri"/>
        </w:rPr>
      </w:pPr>
    </w:p>
    <w:tbl>
      <w:tblPr>
        <w:tblW w:w="10100" w:type="dxa"/>
        <w:tblLook w:val="04A0"/>
      </w:tblPr>
      <w:tblGrid>
        <w:gridCol w:w="1820"/>
        <w:gridCol w:w="1760"/>
        <w:gridCol w:w="1700"/>
        <w:gridCol w:w="1640"/>
        <w:gridCol w:w="1480"/>
        <w:gridCol w:w="1700"/>
      </w:tblGrid>
      <w:tr w14:paraId="04A6D7EC" w14:textId="77777777" w:rsidTr="00F27E4F">
        <w:tblPrEx>
          <w:tblW w:w="10100" w:type="dxa"/>
          <w:tblLook w:val="04A0"/>
        </w:tblPrEx>
        <w:trPr>
          <w:trHeight w:val="288"/>
        </w:trPr>
        <w:tc>
          <w:tcPr>
            <w:tcW w:w="3580" w:type="dxa"/>
            <w:gridSpan w:val="2"/>
            <w:tcBorders>
              <w:top w:val="nil"/>
              <w:left w:val="nil"/>
              <w:bottom w:val="nil"/>
              <w:right w:val="nil"/>
            </w:tcBorders>
            <w:shd w:val="clear" w:color="auto" w:fill="auto"/>
            <w:noWrap/>
            <w:vAlign w:val="bottom"/>
            <w:hideMark/>
          </w:tcPr>
          <w:p w:rsidR="00F27E4F" w:rsidRPr="00F27E4F" w:rsidP="00F27E4F" w14:paraId="292E9751" w14:textId="77777777">
            <w:pPr>
              <w:spacing w:after="0" w:line="240" w:lineRule="auto"/>
              <w:rPr>
                <w:rFonts w:ascii="Calibri" w:eastAsia="Times New Roman" w:hAnsi="Calibri" w:cs="Calibri"/>
                <w:b/>
                <w:bCs/>
                <w:color w:val="000000"/>
              </w:rPr>
            </w:pPr>
            <w:r w:rsidRPr="00F27E4F">
              <w:rPr>
                <w:rFonts w:ascii="Calibri" w:eastAsia="Times New Roman" w:hAnsi="Calibri" w:cs="Calibri"/>
                <w:b/>
                <w:bCs/>
                <w:color w:val="000000"/>
              </w:rPr>
              <w:t>Table 3: Changes in Burden</w:t>
            </w:r>
          </w:p>
        </w:tc>
        <w:tc>
          <w:tcPr>
            <w:tcW w:w="1700" w:type="dxa"/>
            <w:tcBorders>
              <w:top w:val="nil"/>
              <w:left w:val="nil"/>
              <w:bottom w:val="nil"/>
              <w:right w:val="nil"/>
            </w:tcBorders>
            <w:shd w:val="clear" w:color="auto" w:fill="auto"/>
            <w:noWrap/>
            <w:vAlign w:val="bottom"/>
            <w:hideMark/>
          </w:tcPr>
          <w:p w:rsidR="00F27E4F" w:rsidRPr="00F27E4F" w:rsidP="00F27E4F" w14:paraId="7B6FC049" w14:textId="77777777">
            <w:pPr>
              <w:spacing w:after="0" w:line="240" w:lineRule="auto"/>
              <w:rPr>
                <w:rFonts w:ascii="Calibri" w:eastAsia="Times New Roman" w:hAnsi="Calibri" w:cs="Calibri"/>
                <w:b/>
                <w:bCs/>
                <w:color w:val="000000"/>
              </w:rPr>
            </w:pPr>
          </w:p>
        </w:tc>
        <w:tc>
          <w:tcPr>
            <w:tcW w:w="1640" w:type="dxa"/>
            <w:tcBorders>
              <w:top w:val="nil"/>
              <w:left w:val="nil"/>
              <w:bottom w:val="nil"/>
              <w:right w:val="nil"/>
            </w:tcBorders>
            <w:shd w:val="clear" w:color="auto" w:fill="auto"/>
            <w:noWrap/>
            <w:vAlign w:val="bottom"/>
            <w:hideMark/>
          </w:tcPr>
          <w:p w:rsidR="00F27E4F" w:rsidRPr="00F27E4F" w:rsidP="00F27E4F" w14:paraId="0930A3C3" w14:textId="77777777">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F27E4F" w:rsidRPr="00F27E4F" w:rsidP="00F27E4F" w14:paraId="2A073167" w14:textId="77777777">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rsidR="00F27E4F" w:rsidRPr="00F27E4F" w:rsidP="00F27E4F" w14:paraId="70FF13C8" w14:textId="77777777">
            <w:pPr>
              <w:spacing w:after="0" w:line="240" w:lineRule="auto"/>
              <w:rPr>
                <w:rFonts w:ascii="Times New Roman" w:eastAsia="Times New Roman" w:hAnsi="Times New Roman" w:cs="Times New Roman"/>
                <w:sz w:val="20"/>
                <w:szCs w:val="20"/>
              </w:rPr>
            </w:pPr>
          </w:p>
        </w:tc>
      </w:tr>
      <w:tr w14:paraId="4B4C94C2" w14:textId="77777777" w:rsidTr="00F27E4F">
        <w:tblPrEx>
          <w:tblW w:w="10100" w:type="dxa"/>
          <w:tblLook w:val="04A0"/>
        </w:tblPrEx>
        <w:trPr>
          <w:trHeight w:val="864"/>
        </w:trPr>
        <w:tc>
          <w:tcPr>
            <w:tcW w:w="1820" w:type="dxa"/>
            <w:tcBorders>
              <w:top w:val="single" w:sz="4" w:space="0" w:color="4472C4"/>
              <w:left w:val="single" w:sz="4" w:space="0" w:color="4472C4"/>
              <w:bottom w:val="nil"/>
              <w:right w:val="nil"/>
            </w:tcBorders>
            <w:shd w:val="clear" w:color="4472C4" w:fill="4472C4"/>
            <w:vAlign w:val="center"/>
            <w:hideMark/>
          </w:tcPr>
          <w:p w:rsidR="00F27E4F" w:rsidRPr="00F27E4F" w:rsidP="00F27E4F" w14:paraId="0FB61A61" w14:textId="77777777">
            <w:pPr>
              <w:spacing w:after="0" w:line="240" w:lineRule="auto"/>
              <w:rPr>
                <w:rFonts w:ascii="Calibri" w:eastAsia="Times New Roman" w:hAnsi="Calibri" w:cs="Calibri"/>
                <w:b/>
                <w:bCs/>
                <w:color w:val="FFFFFF" w:themeColor="background1"/>
              </w:rPr>
            </w:pPr>
            <w:r w:rsidRPr="00F27E4F">
              <w:rPr>
                <w:rFonts w:ascii="Calibri" w:eastAsia="Times New Roman" w:hAnsi="Calibri" w:cs="Calibri"/>
                <w:b/>
                <w:bCs/>
                <w:color w:val="FFFFFF" w:themeColor="background1"/>
              </w:rPr>
              <w:t>EIA-111, Quarterly Electricity Imports and Exports Report</w:t>
            </w:r>
          </w:p>
        </w:tc>
        <w:tc>
          <w:tcPr>
            <w:tcW w:w="1760" w:type="dxa"/>
            <w:tcBorders>
              <w:top w:val="single" w:sz="4" w:space="0" w:color="4472C4"/>
              <w:left w:val="nil"/>
              <w:bottom w:val="nil"/>
              <w:right w:val="nil"/>
            </w:tcBorders>
            <w:shd w:val="clear" w:color="4472C4" w:fill="4472C4"/>
            <w:vAlign w:val="center"/>
            <w:hideMark/>
          </w:tcPr>
          <w:p w:rsidR="00F27E4F" w:rsidRPr="00F27E4F" w:rsidP="00F27E4F" w14:paraId="581EC411" w14:textId="77777777">
            <w:pPr>
              <w:spacing w:after="0" w:line="240" w:lineRule="auto"/>
              <w:jc w:val="center"/>
              <w:rPr>
                <w:rFonts w:ascii="Calibri" w:eastAsia="Times New Roman" w:hAnsi="Calibri" w:cs="Calibri"/>
                <w:b/>
                <w:bCs/>
                <w:color w:val="FFFFFF" w:themeColor="background1"/>
              </w:rPr>
            </w:pPr>
            <w:r w:rsidRPr="00F27E4F">
              <w:rPr>
                <w:rFonts w:ascii="Calibri" w:eastAsia="Times New Roman" w:hAnsi="Calibri" w:cs="Calibri"/>
                <w:b/>
                <w:bCs/>
                <w:color w:val="FFFFFF" w:themeColor="background1"/>
              </w:rPr>
              <w:t>Annual Reporting Frequency</w:t>
            </w:r>
          </w:p>
        </w:tc>
        <w:tc>
          <w:tcPr>
            <w:tcW w:w="1700" w:type="dxa"/>
            <w:tcBorders>
              <w:top w:val="single" w:sz="4" w:space="0" w:color="4472C4"/>
              <w:left w:val="nil"/>
              <w:bottom w:val="nil"/>
              <w:right w:val="nil"/>
            </w:tcBorders>
            <w:shd w:val="clear" w:color="4472C4" w:fill="4472C4"/>
            <w:vAlign w:val="center"/>
            <w:hideMark/>
          </w:tcPr>
          <w:p w:rsidR="00F27E4F" w:rsidRPr="00F27E4F" w:rsidP="00F27E4F" w14:paraId="2F54AF4C" w14:textId="77777777">
            <w:pPr>
              <w:spacing w:after="0" w:line="240" w:lineRule="auto"/>
              <w:jc w:val="center"/>
              <w:rPr>
                <w:rFonts w:ascii="Calibri" w:eastAsia="Times New Roman" w:hAnsi="Calibri" w:cs="Calibri"/>
                <w:b/>
                <w:bCs/>
                <w:color w:val="FFFFFF" w:themeColor="background1"/>
              </w:rPr>
            </w:pPr>
            <w:r w:rsidRPr="00F27E4F">
              <w:rPr>
                <w:rFonts w:ascii="Calibri" w:eastAsia="Times New Roman" w:hAnsi="Calibri" w:cs="Calibri"/>
                <w:b/>
                <w:bCs/>
                <w:color w:val="FFFFFF" w:themeColor="background1"/>
              </w:rPr>
              <w:t>Number of Respondents</w:t>
            </w:r>
          </w:p>
        </w:tc>
        <w:tc>
          <w:tcPr>
            <w:tcW w:w="1640" w:type="dxa"/>
            <w:tcBorders>
              <w:top w:val="single" w:sz="4" w:space="0" w:color="4472C4"/>
              <w:left w:val="nil"/>
              <w:bottom w:val="nil"/>
              <w:right w:val="nil"/>
            </w:tcBorders>
            <w:shd w:val="clear" w:color="4472C4" w:fill="4472C4"/>
            <w:vAlign w:val="center"/>
            <w:hideMark/>
          </w:tcPr>
          <w:p w:rsidR="00F27E4F" w:rsidRPr="00F27E4F" w:rsidP="00F27E4F" w14:paraId="5ED5B865" w14:textId="77777777">
            <w:pPr>
              <w:spacing w:after="0" w:line="240" w:lineRule="auto"/>
              <w:jc w:val="center"/>
              <w:rPr>
                <w:rFonts w:ascii="Calibri" w:eastAsia="Times New Roman" w:hAnsi="Calibri" w:cs="Calibri"/>
                <w:b/>
                <w:bCs/>
                <w:color w:val="FFFFFF" w:themeColor="background1"/>
              </w:rPr>
            </w:pPr>
            <w:r w:rsidRPr="00F27E4F">
              <w:rPr>
                <w:rFonts w:ascii="Calibri" w:eastAsia="Times New Roman" w:hAnsi="Calibri" w:cs="Calibri"/>
                <w:b/>
                <w:bCs/>
                <w:color w:val="FFFFFF" w:themeColor="background1"/>
              </w:rPr>
              <w:t>Annual Number of Responses</w:t>
            </w:r>
          </w:p>
        </w:tc>
        <w:tc>
          <w:tcPr>
            <w:tcW w:w="1480" w:type="dxa"/>
            <w:tcBorders>
              <w:top w:val="single" w:sz="4" w:space="0" w:color="4472C4"/>
              <w:left w:val="nil"/>
              <w:bottom w:val="nil"/>
              <w:right w:val="nil"/>
            </w:tcBorders>
            <w:shd w:val="clear" w:color="4472C4" w:fill="4472C4"/>
            <w:vAlign w:val="center"/>
            <w:hideMark/>
          </w:tcPr>
          <w:p w:rsidR="00F27E4F" w:rsidRPr="00F27E4F" w:rsidP="00F27E4F" w14:paraId="480FE6F6" w14:textId="77777777">
            <w:pPr>
              <w:spacing w:after="0" w:line="240" w:lineRule="auto"/>
              <w:jc w:val="center"/>
              <w:rPr>
                <w:rFonts w:ascii="Calibri" w:eastAsia="Times New Roman" w:hAnsi="Calibri" w:cs="Calibri"/>
                <w:b/>
                <w:bCs/>
                <w:color w:val="FFFFFF" w:themeColor="background1"/>
              </w:rPr>
            </w:pPr>
            <w:r w:rsidRPr="00F27E4F">
              <w:rPr>
                <w:rFonts w:ascii="Calibri" w:eastAsia="Times New Roman" w:hAnsi="Calibri" w:cs="Calibri"/>
                <w:b/>
                <w:bCs/>
                <w:color w:val="FFFFFF" w:themeColor="background1"/>
              </w:rPr>
              <w:t>Burden Hours Per Response</w:t>
            </w:r>
          </w:p>
        </w:tc>
        <w:tc>
          <w:tcPr>
            <w:tcW w:w="1700" w:type="dxa"/>
            <w:tcBorders>
              <w:top w:val="single" w:sz="4" w:space="0" w:color="4472C4"/>
              <w:left w:val="nil"/>
              <w:bottom w:val="nil"/>
              <w:right w:val="single" w:sz="4" w:space="0" w:color="4472C4"/>
            </w:tcBorders>
            <w:shd w:val="clear" w:color="4472C4" w:fill="4472C4"/>
            <w:vAlign w:val="center"/>
            <w:hideMark/>
          </w:tcPr>
          <w:p w:rsidR="00F27E4F" w:rsidRPr="00F27E4F" w:rsidP="00F27E4F" w14:paraId="251C5744" w14:textId="77777777">
            <w:pPr>
              <w:spacing w:after="0" w:line="240" w:lineRule="auto"/>
              <w:jc w:val="center"/>
              <w:rPr>
                <w:rFonts w:ascii="Calibri" w:eastAsia="Times New Roman" w:hAnsi="Calibri" w:cs="Calibri"/>
                <w:b/>
                <w:bCs/>
                <w:color w:val="FFFFFF" w:themeColor="background1"/>
              </w:rPr>
            </w:pPr>
            <w:r w:rsidRPr="00F27E4F">
              <w:rPr>
                <w:rFonts w:ascii="Calibri" w:eastAsia="Times New Roman" w:hAnsi="Calibri" w:cs="Calibri"/>
                <w:b/>
                <w:bCs/>
                <w:color w:val="FFFFFF" w:themeColor="background1"/>
              </w:rPr>
              <w:t>Annual Burden Hours</w:t>
            </w:r>
          </w:p>
        </w:tc>
      </w:tr>
      <w:tr w14:paraId="09185809" w14:textId="77777777" w:rsidTr="00F27E4F">
        <w:tblPrEx>
          <w:tblW w:w="10100" w:type="dxa"/>
          <w:tblLook w:val="04A0"/>
        </w:tblPrEx>
        <w:trPr>
          <w:trHeight w:val="288"/>
        </w:trPr>
        <w:tc>
          <w:tcPr>
            <w:tcW w:w="1820" w:type="dxa"/>
            <w:tcBorders>
              <w:top w:val="single" w:sz="4" w:space="0" w:color="4472C4"/>
              <w:left w:val="single" w:sz="4" w:space="0" w:color="4472C4"/>
              <w:bottom w:val="nil"/>
              <w:right w:val="nil"/>
            </w:tcBorders>
            <w:shd w:val="clear" w:color="auto" w:fill="auto"/>
            <w:vAlign w:val="bottom"/>
            <w:hideMark/>
          </w:tcPr>
          <w:p w:rsidR="00F27E4F" w:rsidRPr="00F27E4F" w:rsidP="00F27E4F" w14:paraId="53F3B423" w14:textId="77777777">
            <w:pPr>
              <w:spacing w:after="0" w:line="240" w:lineRule="auto"/>
              <w:rPr>
                <w:rFonts w:ascii="Calibri" w:eastAsia="Times New Roman" w:hAnsi="Calibri" w:cs="Calibri"/>
              </w:rPr>
            </w:pPr>
            <w:r w:rsidRPr="00F27E4F">
              <w:rPr>
                <w:rFonts w:ascii="Calibri" w:eastAsia="Times New Roman" w:hAnsi="Calibri" w:cs="Calibri"/>
              </w:rPr>
              <w:t>Previously Approved</w:t>
            </w:r>
          </w:p>
        </w:tc>
        <w:tc>
          <w:tcPr>
            <w:tcW w:w="1760" w:type="dxa"/>
            <w:tcBorders>
              <w:top w:val="single" w:sz="4" w:space="0" w:color="4472C4"/>
              <w:left w:val="nil"/>
              <w:bottom w:val="nil"/>
              <w:right w:val="nil"/>
            </w:tcBorders>
            <w:shd w:val="clear" w:color="auto" w:fill="auto"/>
            <w:noWrap/>
            <w:vAlign w:val="center"/>
            <w:hideMark/>
          </w:tcPr>
          <w:p w:rsidR="00F27E4F" w:rsidRPr="00F27E4F" w:rsidP="00F27E4F" w14:paraId="47527E80" w14:textId="77777777">
            <w:pPr>
              <w:spacing w:after="0" w:line="240" w:lineRule="auto"/>
              <w:jc w:val="center"/>
              <w:rPr>
                <w:rFonts w:ascii="Calibri" w:eastAsia="Times New Roman" w:hAnsi="Calibri" w:cs="Calibri"/>
              </w:rPr>
            </w:pPr>
            <w:r w:rsidRPr="00F27E4F">
              <w:rPr>
                <w:rFonts w:ascii="Calibri" w:eastAsia="Times New Roman" w:hAnsi="Calibri" w:cs="Calibri"/>
              </w:rPr>
              <w:t>4</w:t>
            </w:r>
          </w:p>
        </w:tc>
        <w:tc>
          <w:tcPr>
            <w:tcW w:w="1700" w:type="dxa"/>
            <w:tcBorders>
              <w:top w:val="single" w:sz="4" w:space="0" w:color="4472C4"/>
              <w:left w:val="nil"/>
              <w:bottom w:val="nil"/>
              <w:right w:val="nil"/>
            </w:tcBorders>
            <w:shd w:val="clear" w:color="auto" w:fill="auto"/>
            <w:noWrap/>
            <w:vAlign w:val="center"/>
            <w:hideMark/>
          </w:tcPr>
          <w:p w:rsidR="00F27E4F" w:rsidRPr="00F27E4F" w:rsidP="00F27E4F" w14:paraId="42CBE1E5" w14:textId="77777777">
            <w:pPr>
              <w:spacing w:after="0" w:line="240" w:lineRule="auto"/>
              <w:jc w:val="center"/>
              <w:rPr>
                <w:rFonts w:ascii="Calibri" w:eastAsia="Times New Roman" w:hAnsi="Calibri" w:cs="Calibri"/>
              </w:rPr>
            </w:pPr>
            <w:r w:rsidRPr="00F27E4F">
              <w:rPr>
                <w:rFonts w:ascii="Calibri" w:eastAsia="Times New Roman" w:hAnsi="Calibri" w:cs="Calibri"/>
              </w:rPr>
              <w:t>180</w:t>
            </w:r>
          </w:p>
        </w:tc>
        <w:tc>
          <w:tcPr>
            <w:tcW w:w="1640" w:type="dxa"/>
            <w:tcBorders>
              <w:top w:val="single" w:sz="4" w:space="0" w:color="4472C4"/>
              <w:left w:val="nil"/>
              <w:bottom w:val="nil"/>
              <w:right w:val="nil"/>
            </w:tcBorders>
            <w:shd w:val="clear" w:color="auto" w:fill="auto"/>
            <w:noWrap/>
            <w:vAlign w:val="center"/>
            <w:hideMark/>
          </w:tcPr>
          <w:p w:rsidR="00F27E4F" w:rsidRPr="00F27E4F" w:rsidP="00F27E4F" w14:paraId="22A5EF86" w14:textId="77777777">
            <w:pPr>
              <w:spacing w:after="0" w:line="240" w:lineRule="auto"/>
              <w:jc w:val="center"/>
              <w:rPr>
                <w:rFonts w:ascii="Calibri" w:eastAsia="Times New Roman" w:hAnsi="Calibri" w:cs="Calibri"/>
              </w:rPr>
            </w:pPr>
            <w:r w:rsidRPr="00F27E4F">
              <w:rPr>
                <w:rFonts w:ascii="Calibri" w:eastAsia="Times New Roman" w:hAnsi="Calibri" w:cs="Calibri"/>
              </w:rPr>
              <w:t>720</w:t>
            </w:r>
          </w:p>
        </w:tc>
        <w:tc>
          <w:tcPr>
            <w:tcW w:w="1480" w:type="dxa"/>
            <w:tcBorders>
              <w:top w:val="single" w:sz="4" w:space="0" w:color="4472C4"/>
              <w:left w:val="nil"/>
              <w:bottom w:val="nil"/>
              <w:right w:val="nil"/>
            </w:tcBorders>
            <w:shd w:val="clear" w:color="auto" w:fill="auto"/>
            <w:noWrap/>
            <w:vAlign w:val="center"/>
            <w:hideMark/>
          </w:tcPr>
          <w:p w:rsidR="00F27E4F" w:rsidRPr="00F27E4F" w:rsidP="00F27E4F" w14:paraId="52E2BFA5" w14:textId="77777777">
            <w:pPr>
              <w:spacing w:after="0" w:line="240" w:lineRule="auto"/>
              <w:jc w:val="center"/>
              <w:rPr>
                <w:rFonts w:ascii="Calibri" w:eastAsia="Times New Roman" w:hAnsi="Calibri" w:cs="Calibri"/>
              </w:rPr>
            </w:pPr>
            <w:r w:rsidRPr="00F27E4F">
              <w:rPr>
                <w:rFonts w:ascii="Calibri" w:eastAsia="Times New Roman" w:hAnsi="Calibri" w:cs="Calibri"/>
              </w:rPr>
              <w:t>1.5</w:t>
            </w:r>
          </w:p>
        </w:tc>
        <w:tc>
          <w:tcPr>
            <w:tcW w:w="1700" w:type="dxa"/>
            <w:tcBorders>
              <w:top w:val="single" w:sz="4" w:space="0" w:color="4472C4"/>
              <w:left w:val="nil"/>
              <w:bottom w:val="nil"/>
              <w:right w:val="single" w:sz="4" w:space="0" w:color="4472C4"/>
            </w:tcBorders>
            <w:shd w:val="clear" w:color="auto" w:fill="auto"/>
            <w:noWrap/>
            <w:vAlign w:val="center"/>
            <w:hideMark/>
          </w:tcPr>
          <w:p w:rsidR="00F27E4F" w:rsidRPr="00F27E4F" w:rsidP="00F27E4F" w14:paraId="5FDF0038" w14:textId="77777777">
            <w:pPr>
              <w:spacing w:after="0" w:line="240" w:lineRule="auto"/>
              <w:jc w:val="center"/>
              <w:rPr>
                <w:rFonts w:ascii="Calibri" w:eastAsia="Times New Roman" w:hAnsi="Calibri" w:cs="Calibri"/>
              </w:rPr>
            </w:pPr>
            <w:r w:rsidRPr="00F27E4F">
              <w:rPr>
                <w:rFonts w:ascii="Calibri" w:eastAsia="Times New Roman" w:hAnsi="Calibri" w:cs="Calibri"/>
              </w:rPr>
              <w:t>1080</w:t>
            </w:r>
          </w:p>
        </w:tc>
      </w:tr>
      <w:tr w14:paraId="5ABDE9BC" w14:textId="77777777" w:rsidTr="00F27E4F">
        <w:tblPrEx>
          <w:tblW w:w="10100" w:type="dxa"/>
          <w:tblLook w:val="04A0"/>
        </w:tblPrEx>
        <w:trPr>
          <w:trHeight w:val="288"/>
        </w:trPr>
        <w:tc>
          <w:tcPr>
            <w:tcW w:w="1820" w:type="dxa"/>
            <w:tcBorders>
              <w:top w:val="single" w:sz="4" w:space="0" w:color="4472C4"/>
              <w:left w:val="single" w:sz="4" w:space="0" w:color="4472C4"/>
              <w:bottom w:val="nil"/>
              <w:right w:val="nil"/>
            </w:tcBorders>
            <w:shd w:val="clear" w:color="auto" w:fill="auto"/>
            <w:vAlign w:val="bottom"/>
            <w:hideMark/>
          </w:tcPr>
          <w:p w:rsidR="00F27E4F" w:rsidRPr="00F27E4F" w:rsidP="00F27E4F" w14:paraId="05F61622" w14:textId="77777777">
            <w:pPr>
              <w:spacing w:after="0" w:line="240" w:lineRule="auto"/>
              <w:rPr>
                <w:rFonts w:ascii="Calibri" w:eastAsia="Times New Roman" w:hAnsi="Calibri" w:cs="Calibri"/>
              </w:rPr>
            </w:pPr>
            <w:r w:rsidRPr="00F27E4F">
              <w:rPr>
                <w:rFonts w:ascii="Calibri" w:eastAsia="Times New Roman" w:hAnsi="Calibri" w:cs="Calibri"/>
              </w:rPr>
              <w:t>Requested</w:t>
            </w:r>
          </w:p>
        </w:tc>
        <w:tc>
          <w:tcPr>
            <w:tcW w:w="1760" w:type="dxa"/>
            <w:tcBorders>
              <w:top w:val="single" w:sz="4" w:space="0" w:color="4472C4"/>
              <w:left w:val="nil"/>
              <w:bottom w:val="nil"/>
              <w:right w:val="nil"/>
            </w:tcBorders>
            <w:shd w:val="clear" w:color="auto" w:fill="auto"/>
            <w:noWrap/>
            <w:vAlign w:val="center"/>
            <w:hideMark/>
          </w:tcPr>
          <w:p w:rsidR="00F27E4F" w:rsidRPr="00F27E4F" w:rsidP="00F27E4F" w14:paraId="4CBBC70E" w14:textId="77777777">
            <w:pPr>
              <w:spacing w:after="0" w:line="240" w:lineRule="auto"/>
              <w:jc w:val="center"/>
              <w:rPr>
                <w:rFonts w:ascii="Calibri" w:eastAsia="Times New Roman" w:hAnsi="Calibri" w:cs="Calibri"/>
              </w:rPr>
            </w:pPr>
            <w:r w:rsidRPr="00F27E4F">
              <w:rPr>
                <w:rFonts w:ascii="Calibri" w:eastAsia="Times New Roman" w:hAnsi="Calibri" w:cs="Calibri"/>
              </w:rPr>
              <w:t>4</w:t>
            </w:r>
          </w:p>
        </w:tc>
        <w:tc>
          <w:tcPr>
            <w:tcW w:w="1700" w:type="dxa"/>
            <w:tcBorders>
              <w:top w:val="single" w:sz="4" w:space="0" w:color="4472C4"/>
              <w:left w:val="nil"/>
              <w:bottom w:val="nil"/>
              <w:right w:val="nil"/>
            </w:tcBorders>
            <w:shd w:val="clear" w:color="auto" w:fill="auto"/>
            <w:noWrap/>
            <w:vAlign w:val="center"/>
            <w:hideMark/>
          </w:tcPr>
          <w:p w:rsidR="00F27E4F" w:rsidRPr="00F27E4F" w:rsidP="00F27E4F" w14:paraId="5AD04079" w14:textId="77777777">
            <w:pPr>
              <w:spacing w:after="0" w:line="240" w:lineRule="auto"/>
              <w:jc w:val="center"/>
              <w:rPr>
                <w:rFonts w:ascii="Calibri" w:eastAsia="Times New Roman" w:hAnsi="Calibri" w:cs="Calibri"/>
              </w:rPr>
            </w:pPr>
            <w:r w:rsidRPr="00F27E4F">
              <w:rPr>
                <w:rFonts w:ascii="Calibri" w:eastAsia="Times New Roman" w:hAnsi="Calibri" w:cs="Calibri"/>
              </w:rPr>
              <w:t>153</w:t>
            </w:r>
          </w:p>
        </w:tc>
        <w:tc>
          <w:tcPr>
            <w:tcW w:w="1640" w:type="dxa"/>
            <w:tcBorders>
              <w:top w:val="single" w:sz="4" w:space="0" w:color="4472C4"/>
              <w:left w:val="nil"/>
              <w:bottom w:val="nil"/>
              <w:right w:val="nil"/>
            </w:tcBorders>
            <w:shd w:val="clear" w:color="auto" w:fill="auto"/>
            <w:noWrap/>
            <w:vAlign w:val="center"/>
            <w:hideMark/>
          </w:tcPr>
          <w:p w:rsidR="00F27E4F" w:rsidRPr="00F27E4F" w:rsidP="00F27E4F" w14:paraId="02463A60" w14:textId="77777777">
            <w:pPr>
              <w:spacing w:after="0" w:line="240" w:lineRule="auto"/>
              <w:jc w:val="center"/>
              <w:rPr>
                <w:rFonts w:ascii="Calibri" w:eastAsia="Times New Roman" w:hAnsi="Calibri" w:cs="Calibri"/>
              </w:rPr>
            </w:pPr>
            <w:r w:rsidRPr="00F27E4F">
              <w:rPr>
                <w:rFonts w:ascii="Calibri" w:eastAsia="Times New Roman" w:hAnsi="Calibri" w:cs="Calibri"/>
              </w:rPr>
              <w:t>612</w:t>
            </w:r>
          </w:p>
        </w:tc>
        <w:tc>
          <w:tcPr>
            <w:tcW w:w="1480" w:type="dxa"/>
            <w:tcBorders>
              <w:top w:val="single" w:sz="4" w:space="0" w:color="4472C4"/>
              <w:left w:val="nil"/>
              <w:bottom w:val="nil"/>
              <w:right w:val="nil"/>
            </w:tcBorders>
            <w:shd w:val="clear" w:color="auto" w:fill="auto"/>
            <w:noWrap/>
            <w:vAlign w:val="center"/>
            <w:hideMark/>
          </w:tcPr>
          <w:p w:rsidR="00F27E4F" w:rsidRPr="00F27E4F" w:rsidP="00F27E4F" w14:paraId="5B3A353D" w14:textId="77777777">
            <w:pPr>
              <w:spacing w:after="0" w:line="240" w:lineRule="auto"/>
              <w:jc w:val="center"/>
              <w:rPr>
                <w:rFonts w:ascii="Calibri" w:eastAsia="Times New Roman" w:hAnsi="Calibri" w:cs="Calibri"/>
              </w:rPr>
            </w:pPr>
            <w:r w:rsidRPr="00F27E4F">
              <w:rPr>
                <w:rFonts w:ascii="Calibri" w:eastAsia="Times New Roman" w:hAnsi="Calibri" w:cs="Calibri"/>
              </w:rPr>
              <w:t>1.5</w:t>
            </w:r>
          </w:p>
        </w:tc>
        <w:tc>
          <w:tcPr>
            <w:tcW w:w="1700" w:type="dxa"/>
            <w:tcBorders>
              <w:top w:val="single" w:sz="4" w:space="0" w:color="4472C4"/>
              <w:left w:val="nil"/>
              <w:bottom w:val="nil"/>
              <w:right w:val="single" w:sz="4" w:space="0" w:color="4472C4"/>
            </w:tcBorders>
            <w:shd w:val="clear" w:color="auto" w:fill="auto"/>
            <w:noWrap/>
            <w:vAlign w:val="center"/>
            <w:hideMark/>
          </w:tcPr>
          <w:p w:rsidR="00F27E4F" w:rsidRPr="00F27E4F" w:rsidP="00F27E4F" w14:paraId="63194020" w14:textId="77777777">
            <w:pPr>
              <w:spacing w:after="0" w:line="240" w:lineRule="auto"/>
              <w:jc w:val="center"/>
              <w:rPr>
                <w:rFonts w:ascii="Calibri" w:eastAsia="Times New Roman" w:hAnsi="Calibri" w:cs="Calibri"/>
              </w:rPr>
            </w:pPr>
            <w:r w:rsidRPr="00F27E4F">
              <w:rPr>
                <w:rFonts w:ascii="Calibri" w:eastAsia="Times New Roman" w:hAnsi="Calibri" w:cs="Calibri"/>
              </w:rPr>
              <w:t>918</w:t>
            </w:r>
          </w:p>
        </w:tc>
      </w:tr>
      <w:tr w14:paraId="665139C8" w14:textId="77777777" w:rsidTr="00F27E4F">
        <w:tblPrEx>
          <w:tblW w:w="10100" w:type="dxa"/>
          <w:tblLook w:val="04A0"/>
        </w:tblPrEx>
        <w:trPr>
          <w:trHeight w:val="288"/>
        </w:trPr>
        <w:tc>
          <w:tcPr>
            <w:tcW w:w="1820" w:type="dxa"/>
            <w:tcBorders>
              <w:top w:val="single" w:sz="4" w:space="0" w:color="4472C4"/>
              <w:left w:val="single" w:sz="4" w:space="0" w:color="4472C4"/>
              <w:bottom w:val="single" w:sz="4" w:space="0" w:color="4472C4"/>
              <w:right w:val="nil"/>
            </w:tcBorders>
            <w:shd w:val="clear" w:color="auto" w:fill="auto"/>
            <w:vAlign w:val="bottom"/>
            <w:hideMark/>
          </w:tcPr>
          <w:p w:rsidR="00F27E4F" w:rsidRPr="00F27E4F" w:rsidP="00F27E4F" w14:paraId="42BCB088" w14:textId="77777777">
            <w:pPr>
              <w:spacing w:after="0" w:line="240" w:lineRule="auto"/>
              <w:rPr>
                <w:rFonts w:ascii="Calibri" w:eastAsia="Times New Roman" w:hAnsi="Calibri" w:cs="Calibri"/>
              </w:rPr>
            </w:pPr>
            <w:r w:rsidRPr="00F27E4F">
              <w:rPr>
                <w:rFonts w:ascii="Calibri" w:eastAsia="Times New Roman" w:hAnsi="Calibri" w:cs="Calibri"/>
              </w:rPr>
              <w:t>Difference</w:t>
            </w:r>
          </w:p>
        </w:tc>
        <w:tc>
          <w:tcPr>
            <w:tcW w:w="1760" w:type="dxa"/>
            <w:tcBorders>
              <w:top w:val="single" w:sz="4" w:space="0" w:color="4472C4"/>
              <w:left w:val="nil"/>
              <w:bottom w:val="single" w:sz="4" w:space="0" w:color="4472C4"/>
              <w:right w:val="nil"/>
            </w:tcBorders>
            <w:shd w:val="clear" w:color="auto" w:fill="auto"/>
            <w:noWrap/>
            <w:vAlign w:val="center"/>
            <w:hideMark/>
          </w:tcPr>
          <w:p w:rsidR="00F27E4F" w:rsidRPr="00F27E4F" w:rsidP="00F27E4F" w14:paraId="5BCD2613" w14:textId="77777777">
            <w:pPr>
              <w:spacing w:after="0" w:line="240" w:lineRule="auto"/>
              <w:jc w:val="center"/>
              <w:rPr>
                <w:rFonts w:ascii="Calibri" w:eastAsia="Times New Roman" w:hAnsi="Calibri" w:cs="Calibri"/>
              </w:rPr>
            </w:pPr>
            <w:r w:rsidRPr="00F27E4F">
              <w:rPr>
                <w:rFonts w:ascii="Calibri" w:eastAsia="Times New Roman" w:hAnsi="Calibri" w:cs="Calibri"/>
              </w:rPr>
              <w:t>0</w:t>
            </w:r>
          </w:p>
        </w:tc>
        <w:tc>
          <w:tcPr>
            <w:tcW w:w="1700" w:type="dxa"/>
            <w:tcBorders>
              <w:top w:val="single" w:sz="4" w:space="0" w:color="4472C4"/>
              <w:left w:val="nil"/>
              <w:bottom w:val="single" w:sz="4" w:space="0" w:color="4472C4"/>
              <w:right w:val="nil"/>
            </w:tcBorders>
            <w:shd w:val="clear" w:color="auto" w:fill="auto"/>
            <w:noWrap/>
            <w:vAlign w:val="center"/>
            <w:hideMark/>
          </w:tcPr>
          <w:p w:rsidR="00F27E4F" w:rsidRPr="00F27E4F" w:rsidP="00F27E4F" w14:paraId="683A8A7B" w14:textId="77777777">
            <w:pPr>
              <w:spacing w:after="0" w:line="240" w:lineRule="auto"/>
              <w:jc w:val="center"/>
              <w:rPr>
                <w:rFonts w:ascii="Calibri" w:eastAsia="Times New Roman" w:hAnsi="Calibri" w:cs="Calibri"/>
              </w:rPr>
            </w:pPr>
            <w:r w:rsidRPr="00F27E4F">
              <w:rPr>
                <w:rFonts w:ascii="Calibri" w:eastAsia="Times New Roman" w:hAnsi="Calibri" w:cs="Calibri"/>
              </w:rPr>
              <w:t>-27</w:t>
            </w:r>
          </w:p>
        </w:tc>
        <w:tc>
          <w:tcPr>
            <w:tcW w:w="1640" w:type="dxa"/>
            <w:tcBorders>
              <w:top w:val="single" w:sz="4" w:space="0" w:color="4472C4"/>
              <w:left w:val="nil"/>
              <w:bottom w:val="single" w:sz="4" w:space="0" w:color="4472C4"/>
              <w:right w:val="nil"/>
            </w:tcBorders>
            <w:shd w:val="clear" w:color="auto" w:fill="auto"/>
            <w:noWrap/>
            <w:vAlign w:val="center"/>
            <w:hideMark/>
          </w:tcPr>
          <w:p w:rsidR="00F27E4F" w:rsidRPr="00F27E4F" w:rsidP="00F27E4F" w14:paraId="28DF79E2" w14:textId="77777777">
            <w:pPr>
              <w:spacing w:after="0" w:line="240" w:lineRule="auto"/>
              <w:jc w:val="center"/>
              <w:rPr>
                <w:rFonts w:ascii="Calibri" w:eastAsia="Times New Roman" w:hAnsi="Calibri" w:cs="Calibri"/>
              </w:rPr>
            </w:pPr>
            <w:r w:rsidRPr="00F27E4F">
              <w:rPr>
                <w:rFonts w:ascii="Calibri" w:eastAsia="Times New Roman" w:hAnsi="Calibri" w:cs="Calibri"/>
              </w:rPr>
              <w:t>-108</w:t>
            </w:r>
          </w:p>
        </w:tc>
        <w:tc>
          <w:tcPr>
            <w:tcW w:w="1480" w:type="dxa"/>
            <w:tcBorders>
              <w:top w:val="single" w:sz="4" w:space="0" w:color="4472C4"/>
              <w:left w:val="nil"/>
              <w:bottom w:val="single" w:sz="4" w:space="0" w:color="4472C4"/>
              <w:right w:val="nil"/>
            </w:tcBorders>
            <w:shd w:val="clear" w:color="auto" w:fill="auto"/>
            <w:noWrap/>
            <w:vAlign w:val="center"/>
            <w:hideMark/>
          </w:tcPr>
          <w:p w:rsidR="00F27E4F" w:rsidRPr="00F27E4F" w:rsidP="00F27E4F" w14:paraId="2053ADD8" w14:textId="77777777">
            <w:pPr>
              <w:spacing w:after="0" w:line="240" w:lineRule="auto"/>
              <w:jc w:val="center"/>
              <w:rPr>
                <w:rFonts w:ascii="Calibri" w:eastAsia="Times New Roman" w:hAnsi="Calibri" w:cs="Calibri"/>
              </w:rPr>
            </w:pPr>
            <w:r w:rsidRPr="00F27E4F">
              <w:rPr>
                <w:rFonts w:ascii="Calibri" w:eastAsia="Times New Roman" w:hAnsi="Calibri" w:cs="Calibri"/>
              </w:rPr>
              <w:t>0</w:t>
            </w:r>
          </w:p>
        </w:tc>
        <w:tc>
          <w:tcPr>
            <w:tcW w:w="1700" w:type="dxa"/>
            <w:tcBorders>
              <w:top w:val="single" w:sz="4" w:space="0" w:color="4472C4"/>
              <w:left w:val="nil"/>
              <w:bottom w:val="single" w:sz="4" w:space="0" w:color="4472C4"/>
              <w:right w:val="single" w:sz="4" w:space="0" w:color="4472C4"/>
            </w:tcBorders>
            <w:shd w:val="clear" w:color="auto" w:fill="auto"/>
            <w:noWrap/>
            <w:vAlign w:val="center"/>
            <w:hideMark/>
          </w:tcPr>
          <w:p w:rsidR="00F27E4F" w:rsidRPr="00F27E4F" w:rsidP="00F27E4F" w14:paraId="4540E9AC" w14:textId="77777777">
            <w:pPr>
              <w:spacing w:after="0" w:line="240" w:lineRule="auto"/>
              <w:jc w:val="center"/>
              <w:rPr>
                <w:rFonts w:ascii="Calibri" w:eastAsia="Times New Roman" w:hAnsi="Calibri" w:cs="Calibri"/>
              </w:rPr>
            </w:pPr>
            <w:r w:rsidRPr="00F27E4F">
              <w:rPr>
                <w:rFonts w:ascii="Calibri" w:eastAsia="Times New Roman" w:hAnsi="Calibri" w:cs="Calibri"/>
              </w:rPr>
              <w:t>-162</w:t>
            </w:r>
          </w:p>
        </w:tc>
      </w:tr>
    </w:tbl>
    <w:p w:rsidR="00175758" w:rsidRPr="00175758" w:rsidP="00175758" w14:paraId="1C284DFF" w14:textId="78FFC451">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175758" w:rsidRPr="00175758" w:rsidP="00175758" w14:paraId="2E8EE5AE" w14:textId="347ADA95">
      <w:pPr>
        <w:pStyle w:val="Heading1"/>
      </w:pPr>
      <w:bookmarkStart w:id="17" w:name="_Toc165020048"/>
      <w:r w:rsidRPr="00175758">
        <w:rPr>
          <w:rStyle w:val="normaltextrun"/>
        </w:rPr>
        <w:t>A.15. Reasons for Changes in Burden</w:t>
      </w:r>
      <w:bookmarkEnd w:id="17"/>
      <w:r w:rsidRPr="00175758">
        <w:rPr>
          <w:rStyle w:val="eop"/>
        </w:rPr>
        <w:t> </w:t>
      </w:r>
    </w:p>
    <w:p w:rsidR="00175758" w:rsidP="00175758" w14:paraId="3B0E0A3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decrease in estimated annual burden is due to a decrease in the respondent frame. The EIA-111 respondents who were issued export authorizations and/or presidential permits must report until those permits expire or are rescinded. Export authorizations can expire after five years, ten years, or when the affiliated transmission facility is decommissioned. Presidential permits are valid until the affiliated transmission facility is decommissioned. The net change in new permits being issued, expiring permits, and the renewal of existing permits has resulted in a decrease in respondents and the estimated annual burden. </w:t>
      </w:r>
      <w:r>
        <w:rPr>
          <w:rStyle w:val="eop"/>
          <w:rFonts w:ascii="Calibri" w:hAnsi="Calibri" w:eastAsiaTheme="majorEastAsia" w:cs="Calibri"/>
          <w:sz w:val="22"/>
          <w:szCs w:val="22"/>
        </w:rPr>
        <w:t> </w:t>
      </w:r>
    </w:p>
    <w:p w:rsidR="00175758" w:rsidP="00175758" w14:paraId="24A9ECA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175758" w:rsidRPr="00175758" w:rsidP="00175758" w14:paraId="25E9210F" w14:textId="77777777">
      <w:pPr>
        <w:pStyle w:val="Heading1"/>
        <w:rPr>
          <w:rFonts w:ascii="Segoe UI" w:hAnsi="Segoe UI" w:cs="Segoe UI"/>
          <w:sz w:val="18"/>
          <w:szCs w:val="18"/>
        </w:rPr>
      </w:pPr>
      <w:bookmarkStart w:id="18" w:name="_Toc165020049"/>
      <w:r w:rsidRPr="00175758">
        <w:rPr>
          <w:rStyle w:val="normaltextrun"/>
        </w:rPr>
        <w:t>A.16. Collection, Tabulation, and Publication Plans</w:t>
      </w:r>
      <w:bookmarkEnd w:id="18"/>
      <w:r w:rsidRPr="00175758">
        <w:rPr>
          <w:rStyle w:val="normaltextrun"/>
        </w:rPr>
        <w:t> </w:t>
      </w:r>
      <w:r w:rsidRPr="00175758">
        <w:rPr>
          <w:rStyle w:val="eop"/>
        </w:rPr>
        <w:t> </w:t>
      </w:r>
    </w:p>
    <w:p w:rsidR="00175758" w:rsidP="00175758" w14:paraId="7BA5F41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data collected on this form will be released in EIA reports and will be made available on the EIA website. </w:t>
      </w:r>
      <w:r>
        <w:rPr>
          <w:rStyle w:val="eop"/>
          <w:rFonts w:ascii="Calibri" w:hAnsi="Calibri" w:eastAsiaTheme="majorEastAsia" w:cs="Calibri"/>
          <w:sz w:val="22"/>
          <w:szCs w:val="22"/>
        </w:rPr>
        <w:t> </w:t>
      </w:r>
    </w:p>
    <w:p w:rsidR="00175758" w:rsidP="00175758" w14:paraId="2893218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175758" w:rsidRPr="00175758" w:rsidP="00175758" w14:paraId="2F7A10FC" w14:textId="77777777">
      <w:pPr>
        <w:pStyle w:val="Heading1"/>
        <w:rPr>
          <w:rFonts w:ascii="Segoe UI" w:hAnsi="Segoe UI" w:cs="Segoe UI"/>
          <w:sz w:val="18"/>
          <w:szCs w:val="18"/>
        </w:rPr>
      </w:pPr>
      <w:bookmarkStart w:id="19" w:name="_Toc165020050"/>
      <w:r w:rsidRPr="00175758">
        <w:rPr>
          <w:rStyle w:val="normaltextrun"/>
        </w:rPr>
        <w:t>A.17. OMB Number and Expiration Date</w:t>
      </w:r>
      <w:bookmarkEnd w:id="19"/>
      <w:r w:rsidRPr="00175758">
        <w:rPr>
          <w:rStyle w:val="normaltextrun"/>
        </w:rPr>
        <w:t> </w:t>
      </w:r>
      <w:r w:rsidRPr="00175758">
        <w:rPr>
          <w:rStyle w:val="eop"/>
        </w:rPr>
        <w:t> </w:t>
      </w:r>
    </w:p>
    <w:p w:rsidR="00175758" w:rsidP="00175758" w14:paraId="78EA5E5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OMB number (OMB Number 1905-0208) and expiration date will be displayed on the data collection form and the instructions.</w:t>
      </w:r>
      <w:r>
        <w:rPr>
          <w:rStyle w:val="eop"/>
          <w:rFonts w:ascii="Calibri" w:hAnsi="Calibri" w:eastAsiaTheme="majorEastAsia" w:cs="Calibri"/>
          <w:sz w:val="22"/>
          <w:szCs w:val="22"/>
        </w:rPr>
        <w:t> </w:t>
      </w:r>
    </w:p>
    <w:p w:rsidR="00175758" w:rsidP="00175758" w14:paraId="52317AA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175758" w:rsidRPr="00175758" w:rsidP="00175758" w14:paraId="4F3A62A8" w14:textId="77777777">
      <w:pPr>
        <w:pStyle w:val="Heading1"/>
        <w:rPr>
          <w:rFonts w:ascii="Segoe UI" w:hAnsi="Segoe UI" w:cs="Segoe UI"/>
          <w:sz w:val="18"/>
          <w:szCs w:val="18"/>
        </w:rPr>
      </w:pPr>
      <w:bookmarkStart w:id="20" w:name="_Toc165020051"/>
      <w:r w:rsidRPr="00175758">
        <w:rPr>
          <w:rStyle w:val="normaltextrun"/>
        </w:rPr>
        <w:t>A.18. Certification Statement</w:t>
      </w:r>
      <w:bookmarkEnd w:id="20"/>
      <w:r w:rsidRPr="00175758">
        <w:rPr>
          <w:rStyle w:val="normaltextrun"/>
        </w:rPr>
        <w:t> </w:t>
      </w:r>
      <w:r w:rsidRPr="00175758">
        <w:rPr>
          <w:rStyle w:val="eop"/>
        </w:rPr>
        <w:t> </w:t>
      </w:r>
    </w:p>
    <w:p w:rsidR="00175758" w:rsidP="00175758" w14:paraId="0DE79DA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There are no exceptions to the certification statement identified in Item 19, "Certification for Paperwork Reduction Act Submissions," of OMB Form 83-I. This information collection request complies with 5 CFR 1320.9. </w:t>
      </w:r>
      <w:r>
        <w:rPr>
          <w:rStyle w:val="eop"/>
          <w:rFonts w:ascii="Calibri" w:hAnsi="Calibri" w:eastAsiaTheme="majorEastAsia" w:cs="Calibri"/>
          <w:sz w:val="22"/>
          <w:szCs w:val="22"/>
        </w:rPr>
        <w:t> </w:t>
      </w:r>
    </w:p>
    <w:p w:rsidR="00175758" w14:paraId="7E4FE3A6" w14:textId="77777777">
      <w:pPr>
        <w:spacing w:line="240" w:lineRule="auto"/>
      </w:pPr>
    </w:p>
    <w:sectPr w:rsidSect="008F68A9">
      <w:headerReference w:type="even" r:id="rId19"/>
      <w:headerReference w:type="default" r:id="rId20"/>
      <w:footerReference w:type="even" r:id="rId21"/>
      <w:headerReference w:type="first" r:id="rId22"/>
      <w:footerReference w:type="first" r:id="rId23"/>
      <w:footnotePr>
        <w:pos w:val="beneathText"/>
      </w:footnotePr>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093344E2" w14:textId="2C72A3EC">
    <w:pPr>
      <w:pStyle w:val="Footer"/>
    </w:pPr>
    <w:r w:rsidRPr="00CB180D">
      <w:t xml:space="preserve">U.S. Energy Information Administration   |   </w:t>
    </w:r>
    <w:sdt>
      <w:sdtPr>
        <w:alias w:val="Subject"/>
        <w:id w:val="-1284035111"/>
        <w:dataBinding w:prefixMappings="xmlns:ns0='http://purl.org/dc/elements/1.1/' xmlns:ns1='http://schemas.openxmlformats.org/package/2006/metadata/core-properties' " w:xpath="/ns1:coreProperties[1]/ns0:subject[1]" w:storeItemID="{6C3C8BC8-F283-45AE-878A-BAB7291924A1}"/>
        <w:text/>
      </w:sdtPr>
      <w:sdtContent>
        <w:r w:rsidR="00671018">
          <w:t>EIA-111 Supporting Statement A</w:t>
        </w:r>
      </w:sdtContent>
    </w:sdt>
    <w:r>
      <w:tab/>
    </w:r>
    <w:r>
      <w:fldChar w:fldCharType="begin"/>
    </w:r>
    <w:r>
      <w:instrText xml:space="preserve"> PAGE   \* MERGEFORMAT </w:instrText>
    </w:r>
    <w:r>
      <w:fldChar w:fldCharType="separate"/>
    </w:r>
    <w:r w:rsidR="00E21D3A">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3286B642" w14:textId="577F9DFC">
    <w:pPr>
      <w:pStyle w:val="Footer"/>
    </w:pPr>
    <w:sdt>
      <w:sdtPr>
        <w:id w:val="823140253"/>
        <w:docPartObj>
          <w:docPartGallery w:val="Page Numbers (Bottom of Page)"/>
          <w:docPartUnique/>
        </w:docPartObj>
      </w:sdtPr>
      <w:sdtContent>
        <w:r w:rsidRPr="00CB180D">
          <w:t xml:space="preserve">U.S. Energy Information Administration   |   </w:t>
        </w:r>
        <w:sdt>
          <w:sdtPr>
            <w:alias w:val="Subject"/>
            <w:id w:val="823140254"/>
            <w:dataBinding w:prefixMappings="xmlns:ns0='http://purl.org/dc/elements/1.1/' xmlns:ns1='http://schemas.openxmlformats.org/package/2006/metadata/core-properties' " w:xpath="/ns1:coreProperties[1]/ns0:subject[1]" w:storeItemID="{6C3C8BC8-F283-45AE-878A-BAB7291924A1}"/>
            <w:text/>
          </w:sdtPr>
          <w:sdtContent>
            <w:r w:rsidR="00671018">
              <w:t>EIA-111 Supporting Statement 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750AD4F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228BCD00" w14:textId="1065F8E2">
    <w:pPr>
      <w:pStyle w:val="Footer"/>
    </w:pPr>
    <w:sdt>
      <w:sdtPr>
        <w:id w:val="37707256"/>
        <w:docPartObj>
          <w:docPartGallery w:val="Page Numbers (Bottom of Page)"/>
          <w:docPartUnique/>
        </w:docPartObj>
      </w:sdtPr>
      <w:sdtContent>
        <w:r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rsidR="00671018">
              <w:t>EIA-111 Supporting Statement 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68442C1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0360053"/>
      <w:docPartObj>
        <w:docPartGallery w:val="Page Numbers (Bottom of Page)"/>
        <w:docPartUnique/>
      </w:docPartObj>
    </w:sdtPr>
    <w:sdtContent>
      <w:p w:rsidR="00EA779A" w:rsidP="00760677" w14:paraId="18E20927"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74BB9CE7" w14:textId="0978B205">
    <w:pPr>
      <w:pStyle w:val="Footer"/>
    </w:pPr>
    <w:sdt>
      <w:sdtPr>
        <w:id w:val="1808282920"/>
        <w:docPartObj>
          <w:docPartGallery w:val="Page Numbers (Bottom of Page)"/>
          <w:docPartUnique/>
        </w:docPartObj>
      </w:sdtPr>
      <w:sdtContent>
        <w:r w:rsidRPr="00CB180D">
          <w:t xml:space="preserve">U.S. Energy Information Administration   |   </w:t>
        </w:r>
        <w:sdt>
          <w:sdtPr>
            <w:alias w:val="Subject"/>
            <w:id w:val="-2013597209"/>
            <w:dataBinding w:prefixMappings="xmlns:ns0='http://purl.org/dc/elements/1.1/' xmlns:ns1='http://schemas.openxmlformats.org/package/2006/metadata/core-properties' " w:xpath="/ns1:coreProperties[1]/ns0:subject[1]" w:storeItemID="{6C3C8BC8-F283-45AE-878A-BAB7291924A1}"/>
            <w:text/>
          </w:sdtPr>
          <w:sdtContent>
            <w:r w:rsidR="00671018">
              <w:t>EIA-111 Supporting Statement A</w:t>
            </w:r>
          </w:sdtContent>
        </w:sdt>
        <w:r w:rsidRPr="00CB180D">
          <w:tab/>
        </w:r>
      </w:sdtContent>
    </w:sdt>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5C7F45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71D77935"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48FD7F87" w14:textId="0A925FF1">
    <w:pPr>
      <w:pStyle w:val="Header"/>
    </w:pPr>
    <w:r>
      <w:t>May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52F857BC"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305A21"/>
    <w:multiLevelType w:val="multilevel"/>
    <w:tmpl w:val="C8285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1455A35"/>
    <w:multiLevelType w:val="hybridMultilevel"/>
    <w:tmpl w:val="85101D1A"/>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8">
    <w:nsid w:val="03FC10DC"/>
    <w:multiLevelType w:val="multilevel"/>
    <w:tmpl w:val="B69ADCF2"/>
    <w:numStyleLink w:val="EIAbullets"/>
  </w:abstractNum>
  <w:abstractNum w:abstractNumId="9">
    <w:nsid w:val="076F529B"/>
    <w:multiLevelType w:val="hybridMultilevel"/>
    <w:tmpl w:val="9EA22B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7C2611D"/>
    <w:multiLevelType w:val="multilevel"/>
    <w:tmpl w:val="E38C1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D385AF1"/>
    <w:multiLevelType w:val="multilevel"/>
    <w:tmpl w:val="2BD277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56599F"/>
    <w:multiLevelType w:val="hybridMultilevel"/>
    <w:tmpl w:val="E42643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2E5181C"/>
    <w:multiLevelType w:val="multilevel"/>
    <w:tmpl w:val="B69ADCF2"/>
    <w:numStyleLink w:val="EIAbullets"/>
  </w:abstractNum>
  <w:abstractNum w:abstractNumId="14">
    <w:nsid w:val="15FC0831"/>
    <w:multiLevelType w:val="multilevel"/>
    <w:tmpl w:val="ED4AF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EC7600"/>
    <w:multiLevelType w:val="hybridMultilevel"/>
    <w:tmpl w:val="95DCA000"/>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442868"/>
    <w:multiLevelType w:val="hybridMultilevel"/>
    <w:tmpl w:val="8CE6C34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F7E6225"/>
    <w:multiLevelType w:val="multilevel"/>
    <w:tmpl w:val="B69ADCF2"/>
    <w:numStyleLink w:val="EIAbullets"/>
  </w:abstractNum>
  <w:abstractNum w:abstractNumId="18">
    <w:nsid w:val="271B7F46"/>
    <w:multiLevelType w:val="multilevel"/>
    <w:tmpl w:val="B69ADCF2"/>
    <w:styleLink w:val="EIAbullets"/>
    <w:lvl w:ilvl="0">
      <w:start w:val="1"/>
      <w:numFmt w:val="bullet"/>
      <w:pStyle w:val="ListParagraph"/>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9">
    <w:nsid w:val="28661969"/>
    <w:multiLevelType w:val="hybridMultilevel"/>
    <w:tmpl w:val="240422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CC5515"/>
    <w:multiLevelType w:val="multilevel"/>
    <w:tmpl w:val="BFE40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92113F5"/>
    <w:multiLevelType w:val="multilevel"/>
    <w:tmpl w:val="80C8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2">
    <w:nsid w:val="2ECA2E7C"/>
    <w:multiLevelType w:val="multilevel"/>
    <w:tmpl w:val="10F03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8861E46"/>
    <w:multiLevelType w:val="multilevel"/>
    <w:tmpl w:val="B69ADCF2"/>
    <w:numStyleLink w:val="EIAbullets"/>
  </w:abstractNum>
  <w:abstractNum w:abstractNumId="24">
    <w:nsid w:val="3991224D"/>
    <w:multiLevelType w:val="multilevel"/>
    <w:tmpl w:val="2A626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E524C1"/>
    <w:multiLevelType w:val="hybridMultilevel"/>
    <w:tmpl w:val="B130EA84"/>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BA2386"/>
    <w:multiLevelType w:val="multilevel"/>
    <w:tmpl w:val="B69ADCF2"/>
    <w:numStyleLink w:val="EIAbullets"/>
  </w:abstractNum>
  <w:abstractNum w:abstractNumId="27">
    <w:nsid w:val="4EBF29EA"/>
    <w:multiLevelType w:val="multilevel"/>
    <w:tmpl w:val="B69ADCF2"/>
    <w:numStyleLink w:val="EIAbullets"/>
  </w:abstractNum>
  <w:abstractNum w:abstractNumId="28">
    <w:nsid w:val="559F7E48"/>
    <w:multiLevelType w:val="hybridMultilevel"/>
    <w:tmpl w:val="EEA48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32B2CBD"/>
    <w:multiLevelType w:val="multilevel"/>
    <w:tmpl w:val="B69ADCF2"/>
    <w:numStyleLink w:val="EIAbullets"/>
  </w:abstractNum>
  <w:abstractNum w:abstractNumId="30">
    <w:nsid w:val="678119A7"/>
    <w:multiLevelType w:val="multilevel"/>
    <w:tmpl w:val="B946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9F073C5"/>
    <w:multiLevelType w:val="hybridMultilevel"/>
    <w:tmpl w:val="1C8EBEF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FA5D9D"/>
    <w:multiLevelType w:val="multilevel"/>
    <w:tmpl w:val="4F5AA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863061"/>
    <w:multiLevelType w:val="multilevel"/>
    <w:tmpl w:val="3D8C7DC8"/>
    <w:lvl w:ilvl="0">
      <w:start w:val="1"/>
      <w:numFmt w:val="decimal"/>
      <w:pStyle w:val="Heading1"/>
      <w:suff w:val="nothing"/>
      <w:lvlJc w:val="left"/>
      <w:pPr>
        <w:ind w:left="0" w:firstLine="0"/>
      </w:p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34">
    <w:nsid w:val="71BF0858"/>
    <w:multiLevelType w:val="hybridMultilevel"/>
    <w:tmpl w:val="B4C68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5EE0BE0"/>
    <w:multiLevelType w:val="multilevel"/>
    <w:tmpl w:val="93883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95174B"/>
    <w:multiLevelType w:val="multilevel"/>
    <w:tmpl w:val="A938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3306982">
    <w:abstractNumId w:val="3"/>
  </w:num>
  <w:num w:numId="2" w16cid:durableId="1705670916">
    <w:abstractNumId w:val="7"/>
  </w:num>
  <w:num w:numId="3" w16cid:durableId="745496084">
    <w:abstractNumId w:val="4"/>
  </w:num>
  <w:num w:numId="4" w16cid:durableId="697196585">
    <w:abstractNumId w:val="2"/>
  </w:num>
  <w:num w:numId="5" w16cid:durableId="2120948312">
    <w:abstractNumId w:val="1"/>
  </w:num>
  <w:num w:numId="6" w16cid:durableId="1003362480">
    <w:abstractNumId w:val="0"/>
  </w:num>
  <w:num w:numId="7" w16cid:durableId="38942334">
    <w:abstractNumId w:val="33"/>
  </w:num>
  <w:num w:numId="8" w16cid:durableId="1228347188">
    <w:abstractNumId w:val="18"/>
  </w:num>
  <w:num w:numId="9" w16cid:durableId="266541259">
    <w:abstractNumId w:val="26"/>
  </w:num>
  <w:num w:numId="10" w16cid:durableId="1446925080">
    <w:abstractNumId w:val="13"/>
  </w:num>
  <w:num w:numId="11" w16cid:durableId="384135982">
    <w:abstractNumId w:val="15"/>
  </w:num>
  <w:num w:numId="12" w16cid:durableId="87164183">
    <w:abstractNumId w:val="17"/>
  </w:num>
  <w:num w:numId="13" w16cid:durableId="117914734">
    <w:abstractNumId w:val="23"/>
  </w:num>
  <w:num w:numId="14" w16cid:durableId="38284673">
    <w:abstractNumId w:val="16"/>
  </w:num>
  <w:num w:numId="15" w16cid:durableId="1946764297">
    <w:abstractNumId w:val="8"/>
  </w:num>
  <w:num w:numId="16" w16cid:durableId="1951814016">
    <w:abstractNumId w:val="31"/>
  </w:num>
  <w:num w:numId="17" w16cid:durableId="378474494">
    <w:abstractNumId w:val="27"/>
  </w:num>
  <w:num w:numId="18" w16cid:durableId="1217818863">
    <w:abstractNumId w:val="25"/>
  </w:num>
  <w:num w:numId="19" w16cid:durableId="1812823464">
    <w:abstractNumId w:val="29"/>
  </w:num>
  <w:num w:numId="20" w16cid:durableId="666130086">
    <w:abstractNumId w:val="6"/>
  </w:num>
  <w:num w:numId="21" w16cid:durableId="121000436">
    <w:abstractNumId w:val="5"/>
  </w:num>
  <w:num w:numId="22" w16cid:durableId="910774893">
    <w:abstractNumId w:val="10"/>
  </w:num>
  <w:num w:numId="23" w16cid:durableId="317536630">
    <w:abstractNumId w:val="22"/>
  </w:num>
  <w:num w:numId="24" w16cid:durableId="557476183">
    <w:abstractNumId w:val="35"/>
  </w:num>
  <w:num w:numId="25" w16cid:durableId="961306467">
    <w:abstractNumId w:val="20"/>
  </w:num>
  <w:num w:numId="26" w16cid:durableId="675231878">
    <w:abstractNumId w:val="14"/>
  </w:num>
  <w:num w:numId="27" w16cid:durableId="973366482">
    <w:abstractNumId w:val="21"/>
  </w:num>
  <w:num w:numId="28" w16cid:durableId="19205044">
    <w:abstractNumId w:val="36"/>
  </w:num>
  <w:num w:numId="29" w16cid:durableId="1603952257">
    <w:abstractNumId w:val="30"/>
  </w:num>
  <w:num w:numId="30" w16cid:durableId="1699962705">
    <w:abstractNumId w:val="24"/>
  </w:num>
  <w:num w:numId="31" w16cid:durableId="1077630008">
    <w:abstractNumId w:val="32"/>
  </w:num>
  <w:num w:numId="32" w16cid:durableId="1499149460">
    <w:abstractNumId w:val="11"/>
  </w:num>
  <w:num w:numId="33" w16cid:durableId="550850562">
    <w:abstractNumId w:val="19"/>
  </w:num>
  <w:num w:numId="34" w16cid:durableId="1486358280">
    <w:abstractNumId w:val="34"/>
  </w:num>
  <w:num w:numId="35" w16cid:durableId="1769616145">
    <w:abstractNumId w:val="28"/>
  </w:num>
  <w:num w:numId="36" w16cid:durableId="1550073763">
    <w:abstractNumId w:val="9"/>
  </w:num>
  <w:num w:numId="37" w16cid:durableId="206636618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58"/>
    <w:rsid w:val="0000019D"/>
    <w:rsid w:val="000008B5"/>
    <w:rsid w:val="0000364C"/>
    <w:rsid w:val="00004135"/>
    <w:rsid w:val="000041A1"/>
    <w:rsid w:val="000053BB"/>
    <w:rsid w:val="00011B3F"/>
    <w:rsid w:val="00013373"/>
    <w:rsid w:val="000142E5"/>
    <w:rsid w:val="00015DA7"/>
    <w:rsid w:val="00022068"/>
    <w:rsid w:val="000248CE"/>
    <w:rsid w:val="00034A4B"/>
    <w:rsid w:val="00041909"/>
    <w:rsid w:val="00046593"/>
    <w:rsid w:val="00047C08"/>
    <w:rsid w:val="000556B6"/>
    <w:rsid w:val="00055769"/>
    <w:rsid w:val="00056EC3"/>
    <w:rsid w:val="000621DC"/>
    <w:rsid w:val="00062CFE"/>
    <w:rsid w:val="00063FA9"/>
    <w:rsid w:val="0007129A"/>
    <w:rsid w:val="0007760A"/>
    <w:rsid w:val="000831C4"/>
    <w:rsid w:val="000844CA"/>
    <w:rsid w:val="00085E32"/>
    <w:rsid w:val="00091CC7"/>
    <w:rsid w:val="000B3FBE"/>
    <w:rsid w:val="000C4381"/>
    <w:rsid w:val="000C5311"/>
    <w:rsid w:val="000F040A"/>
    <w:rsid w:val="001022FE"/>
    <w:rsid w:val="001034E8"/>
    <w:rsid w:val="00112A69"/>
    <w:rsid w:val="0011541D"/>
    <w:rsid w:val="001179E2"/>
    <w:rsid w:val="00132F4A"/>
    <w:rsid w:val="00140D25"/>
    <w:rsid w:val="00160925"/>
    <w:rsid w:val="00160D58"/>
    <w:rsid w:val="00167425"/>
    <w:rsid w:val="00175361"/>
    <w:rsid w:val="00175758"/>
    <w:rsid w:val="001807A3"/>
    <w:rsid w:val="001947D5"/>
    <w:rsid w:val="001A6E1E"/>
    <w:rsid w:val="001B0E69"/>
    <w:rsid w:val="001D03A8"/>
    <w:rsid w:val="001D2E96"/>
    <w:rsid w:val="001F3A8F"/>
    <w:rsid w:val="002008B4"/>
    <w:rsid w:val="00201F24"/>
    <w:rsid w:val="00206D5A"/>
    <w:rsid w:val="002127CE"/>
    <w:rsid w:val="00215842"/>
    <w:rsid w:val="00215FCB"/>
    <w:rsid w:val="002207DF"/>
    <w:rsid w:val="00221AC2"/>
    <w:rsid w:val="00224002"/>
    <w:rsid w:val="00227E4B"/>
    <w:rsid w:val="0023015A"/>
    <w:rsid w:val="0023708A"/>
    <w:rsid w:val="0025022D"/>
    <w:rsid w:val="002530BB"/>
    <w:rsid w:val="002556F3"/>
    <w:rsid w:val="00260EDF"/>
    <w:rsid w:val="00264148"/>
    <w:rsid w:val="00267A8E"/>
    <w:rsid w:val="00271A12"/>
    <w:rsid w:val="00274179"/>
    <w:rsid w:val="002B0FD2"/>
    <w:rsid w:val="002B5EC9"/>
    <w:rsid w:val="002C378C"/>
    <w:rsid w:val="002D4FE9"/>
    <w:rsid w:val="002E18F8"/>
    <w:rsid w:val="002E3FD5"/>
    <w:rsid w:val="002E7A38"/>
    <w:rsid w:val="00306516"/>
    <w:rsid w:val="00313D14"/>
    <w:rsid w:val="00325C96"/>
    <w:rsid w:val="00330D13"/>
    <w:rsid w:val="003469CB"/>
    <w:rsid w:val="00346BDC"/>
    <w:rsid w:val="00350C8B"/>
    <w:rsid w:val="00363331"/>
    <w:rsid w:val="00371E14"/>
    <w:rsid w:val="00373208"/>
    <w:rsid w:val="00383DB3"/>
    <w:rsid w:val="003850F9"/>
    <w:rsid w:val="003854B2"/>
    <w:rsid w:val="00385AE6"/>
    <w:rsid w:val="00387C8D"/>
    <w:rsid w:val="00392DD0"/>
    <w:rsid w:val="00396BCB"/>
    <w:rsid w:val="00397825"/>
    <w:rsid w:val="003A1073"/>
    <w:rsid w:val="003A10F3"/>
    <w:rsid w:val="003A3906"/>
    <w:rsid w:val="003B03A4"/>
    <w:rsid w:val="003C03EA"/>
    <w:rsid w:val="003C690C"/>
    <w:rsid w:val="003E3BDD"/>
    <w:rsid w:val="003E40FA"/>
    <w:rsid w:val="003F24ED"/>
    <w:rsid w:val="003F3866"/>
    <w:rsid w:val="003F529E"/>
    <w:rsid w:val="004020B2"/>
    <w:rsid w:val="0042608E"/>
    <w:rsid w:val="00426481"/>
    <w:rsid w:val="00431CD7"/>
    <w:rsid w:val="00432966"/>
    <w:rsid w:val="00433C96"/>
    <w:rsid w:val="0045608E"/>
    <w:rsid w:val="0045662F"/>
    <w:rsid w:val="00466959"/>
    <w:rsid w:val="0047784B"/>
    <w:rsid w:val="004854EE"/>
    <w:rsid w:val="004946F0"/>
    <w:rsid w:val="00497C2A"/>
    <w:rsid w:val="004A729E"/>
    <w:rsid w:val="004B058E"/>
    <w:rsid w:val="004B1075"/>
    <w:rsid w:val="004B552A"/>
    <w:rsid w:val="004C14D5"/>
    <w:rsid w:val="004C277B"/>
    <w:rsid w:val="004D05FB"/>
    <w:rsid w:val="004D0F05"/>
    <w:rsid w:val="004D236B"/>
    <w:rsid w:val="004D29C7"/>
    <w:rsid w:val="004E5446"/>
    <w:rsid w:val="004E6204"/>
    <w:rsid w:val="00504119"/>
    <w:rsid w:val="00505571"/>
    <w:rsid w:val="005065CF"/>
    <w:rsid w:val="00506BB4"/>
    <w:rsid w:val="0050705F"/>
    <w:rsid w:val="005170D3"/>
    <w:rsid w:val="0052493A"/>
    <w:rsid w:val="00524A83"/>
    <w:rsid w:val="00535CAF"/>
    <w:rsid w:val="00536054"/>
    <w:rsid w:val="0053654B"/>
    <w:rsid w:val="00536CE1"/>
    <w:rsid w:val="00537C90"/>
    <w:rsid w:val="00540CC5"/>
    <w:rsid w:val="0054180D"/>
    <w:rsid w:val="00547B53"/>
    <w:rsid w:val="00552509"/>
    <w:rsid w:val="00563592"/>
    <w:rsid w:val="00571D8F"/>
    <w:rsid w:val="0057367D"/>
    <w:rsid w:val="00585BE3"/>
    <w:rsid w:val="00590293"/>
    <w:rsid w:val="005B2B58"/>
    <w:rsid w:val="005B4863"/>
    <w:rsid w:val="005C00FA"/>
    <w:rsid w:val="005C2D89"/>
    <w:rsid w:val="005C485B"/>
    <w:rsid w:val="005D39D7"/>
    <w:rsid w:val="005D5956"/>
    <w:rsid w:val="005D602C"/>
    <w:rsid w:val="005D6F63"/>
    <w:rsid w:val="005F108A"/>
    <w:rsid w:val="005F4848"/>
    <w:rsid w:val="005F55C3"/>
    <w:rsid w:val="005F778C"/>
    <w:rsid w:val="00612A58"/>
    <w:rsid w:val="0062008C"/>
    <w:rsid w:val="00620797"/>
    <w:rsid w:val="00626494"/>
    <w:rsid w:val="00641DE2"/>
    <w:rsid w:val="00643384"/>
    <w:rsid w:val="00652F00"/>
    <w:rsid w:val="0065406F"/>
    <w:rsid w:val="00663EC4"/>
    <w:rsid w:val="00666179"/>
    <w:rsid w:val="00671018"/>
    <w:rsid w:val="00677C5F"/>
    <w:rsid w:val="006A0BC7"/>
    <w:rsid w:val="006A0EB0"/>
    <w:rsid w:val="006A6190"/>
    <w:rsid w:val="006C0062"/>
    <w:rsid w:val="006C097E"/>
    <w:rsid w:val="006C2DC3"/>
    <w:rsid w:val="006D0439"/>
    <w:rsid w:val="006D466F"/>
    <w:rsid w:val="00725453"/>
    <w:rsid w:val="00737591"/>
    <w:rsid w:val="007438F2"/>
    <w:rsid w:val="00752786"/>
    <w:rsid w:val="00755C3D"/>
    <w:rsid w:val="007576EF"/>
    <w:rsid w:val="00760677"/>
    <w:rsid w:val="007609B3"/>
    <w:rsid w:val="00761C12"/>
    <w:rsid w:val="00776CF4"/>
    <w:rsid w:val="00783DF5"/>
    <w:rsid w:val="00784F89"/>
    <w:rsid w:val="00786336"/>
    <w:rsid w:val="007A4264"/>
    <w:rsid w:val="007A4378"/>
    <w:rsid w:val="007B6FA1"/>
    <w:rsid w:val="007C17C1"/>
    <w:rsid w:val="007C1889"/>
    <w:rsid w:val="007C2C68"/>
    <w:rsid w:val="007C5CE9"/>
    <w:rsid w:val="007D39CC"/>
    <w:rsid w:val="007D6AAF"/>
    <w:rsid w:val="007E0774"/>
    <w:rsid w:val="007E37FC"/>
    <w:rsid w:val="007E5A11"/>
    <w:rsid w:val="007E73E6"/>
    <w:rsid w:val="007E7B61"/>
    <w:rsid w:val="007F1954"/>
    <w:rsid w:val="007F21D7"/>
    <w:rsid w:val="007F2BB7"/>
    <w:rsid w:val="008057F8"/>
    <w:rsid w:val="00810D9E"/>
    <w:rsid w:val="008307E1"/>
    <w:rsid w:val="00867160"/>
    <w:rsid w:val="0087205B"/>
    <w:rsid w:val="00874FB8"/>
    <w:rsid w:val="00895669"/>
    <w:rsid w:val="00897946"/>
    <w:rsid w:val="008A3276"/>
    <w:rsid w:val="008A3447"/>
    <w:rsid w:val="008C4DAD"/>
    <w:rsid w:val="008E4BF2"/>
    <w:rsid w:val="008E4FA4"/>
    <w:rsid w:val="008F4CBD"/>
    <w:rsid w:val="008F68A9"/>
    <w:rsid w:val="009017AD"/>
    <w:rsid w:val="00901BED"/>
    <w:rsid w:val="00905735"/>
    <w:rsid w:val="00907274"/>
    <w:rsid w:val="009131B9"/>
    <w:rsid w:val="00935805"/>
    <w:rsid w:val="009368F3"/>
    <w:rsid w:val="00947C42"/>
    <w:rsid w:val="00950489"/>
    <w:rsid w:val="00957DE9"/>
    <w:rsid w:val="00965A44"/>
    <w:rsid w:val="00967D7C"/>
    <w:rsid w:val="009757AD"/>
    <w:rsid w:val="00980B6A"/>
    <w:rsid w:val="009818F9"/>
    <w:rsid w:val="0098618F"/>
    <w:rsid w:val="00987C32"/>
    <w:rsid w:val="00991646"/>
    <w:rsid w:val="0099448B"/>
    <w:rsid w:val="00997347"/>
    <w:rsid w:val="009B19CE"/>
    <w:rsid w:val="009C202F"/>
    <w:rsid w:val="009C77F7"/>
    <w:rsid w:val="009D3ABF"/>
    <w:rsid w:val="009E5ABC"/>
    <w:rsid w:val="009E5B9C"/>
    <w:rsid w:val="009F61F7"/>
    <w:rsid w:val="00A00D71"/>
    <w:rsid w:val="00A00EDF"/>
    <w:rsid w:val="00A05A74"/>
    <w:rsid w:val="00A15571"/>
    <w:rsid w:val="00A26A17"/>
    <w:rsid w:val="00A30169"/>
    <w:rsid w:val="00A312A3"/>
    <w:rsid w:val="00A33D9F"/>
    <w:rsid w:val="00A37229"/>
    <w:rsid w:val="00A418C9"/>
    <w:rsid w:val="00A74C9B"/>
    <w:rsid w:val="00A93478"/>
    <w:rsid w:val="00A97FE7"/>
    <w:rsid w:val="00AA46CA"/>
    <w:rsid w:val="00AA7EFA"/>
    <w:rsid w:val="00AB61B3"/>
    <w:rsid w:val="00AC323A"/>
    <w:rsid w:val="00AD6244"/>
    <w:rsid w:val="00AD6357"/>
    <w:rsid w:val="00AD7F81"/>
    <w:rsid w:val="00AE4CA9"/>
    <w:rsid w:val="00AF2CBF"/>
    <w:rsid w:val="00AF367D"/>
    <w:rsid w:val="00AF45FD"/>
    <w:rsid w:val="00B01714"/>
    <w:rsid w:val="00B35E2A"/>
    <w:rsid w:val="00B41D7A"/>
    <w:rsid w:val="00B4263D"/>
    <w:rsid w:val="00B56F49"/>
    <w:rsid w:val="00B671F4"/>
    <w:rsid w:val="00B7442A"/>
    <w:rsid w:val="00B80706"/>
    <w:rsid w:val="00B97002"/>
    <w:rsid w:val="00BA72AC"/>
    <w:rsid w:val="00BB2F70"/>
    <w:rsid w:val="00BB6CF4"/>
    <w:rsid w:val="00BC14C3"/>
    <w:rsid w:val="00BC1ABE"/>
    <w:rsid w:val="00BD2F20"/>
    <w:rsid w:val="00BD4F62"/>
    <w:rsid w:val="00BE4AFD"/>
    <w:rsid w:val="00C00590"/>
    <w:rsid w:val="00C04647"/>
    <w:rsid w:val="00C12551"/>
    <w:rsid w:val="00C211CD"/>
    <w:rsid w:val="00C25328"/>
    <w:rsid w:val="00C3744D"/>
    <w:rsid w:val="00C43A84"/>
    <w:rsid w:val="00C43D02"/>
    <w:rsid w:val="00C47039"/>
    <w:rsid w:val="00C64137"/>
    <w:rsid w:val="00C658E4"/>
    <w:rsid w:val="00C676B1"/>
    <w:rsid w:val="00C7266E"/>
    <w:rsid w:val="00C754F1"/>
    <w:rsid w:val="00C76C66"/>
    <w:rsid w:val="00C82DF9"/>
    <w:rsid w:val="00C87190"/>
    <w:rsid w:val="00C9047C"/>
    <w:rsid w:val="00C97EC2"/>
    <w:rsid w:val="00CA1564"/>
    <w:rsid w:val="00CA2A61"/>
    <w:rsid w:val="00CA7C8A"/>
    <w:rsid w:val="00CB180D"/>
    <w:rsid w:val="00CB34B0"/>
    <w:rsid w:val="00CB44E8"/>
    <w:rsid w:val="00CB7978"/>
    <w:rsid w:val="00CC1D12"/>
    <w:rsid w:val="00CE42E9"/>
    <w:rsid w:val="00CF76C5"/>
    <w:rsid w:val="00D001E4"/>
    <w:rsid w:val="00D00AA8"/>
    <w:rsid w:val="00D02778"/>
    <w:rsid w:val="00D06EF5"/>
    <w:rsid w:val="00D300F4"/>
    <w:rsid w:val="00D3344B"/>
    <w:rsid w:val="00D40175"/>
    <w:rsid w:val="00D55243"/>
    <w:rsid w:val="00D62F90"/>
    <w:rsid w:val="00D63E74"/>
    <w:rsid w:val="00D715C4"/>
    <w:rsid w:val="00D83FE2"/>
    <w:rsid w:val="00D928FD"/>
    <w:rsid w:val="00D954B4"/>
    <w:rsid w:val="00D96D3C"/>
    <w:rsid w:val="00DC79E3"/>
    <w:rsid w:val="00DE0DC5"/>
    <w:rsid w:val="00DE2D54"/>
    <w:rsid w:val="00DE7A1C"/>
    <w:rsid w:val="00E02BB0"/>
    <w:rsid w:val="00E03CE6"/>
    <w:rsid w:val="00E04947"/>
    <w:rsid w:val="00E04AA7"/>
    <w:rsid w:val="00E13716"/>
    <w:rsid w:val="00E1631C"/>
    <w:rsid w:val="00E21D3A"/>
    <w:rsid w:val="00E266FF"/>
    <w:rsid w:val="00E27661"/>
    <w:rsid w:val="00E47DB3"/>
    <w:rsid w:val="00E51F8B"/>
    <w:rsid w:val="00E5242A"/>
    <w:rsid w:val="00E53398"/>
    <w:rsid w:val="00E54FA9"/>
    <w:rsid w:val="00E66AE2"/>
    <w:rsid w:val="00E74DA4"/>
    <w:rsid w:val="00E81B89"/>
    <w:rsid w:val="00E87488"/>
    <w:rsid w:val="00E91432"/>
    <w:rsid w:val="00E91B5A"/>
    <w:rsid w:val="00EA779A"/>
    <w:rsid w:val="00EB2CA6"/>
    <w:rsid w:val="00EB341F"/>
    <w:rsid w:val="00EB6F5A"/>
    <w:rsid w:val="00EC7D4A"/>
    <w:rsid w:val="00ED218D"/>
    <w:rsid w:val="00ED2D61"/>
    <w:rsid w:val="00ED6E45"/>
    <w:rsid w:val="00EE43E4"/>
    <w:rsid w:val="00EE4BED"/>
    <w:rsid w:val="00EF13CF"/>
    <w:rsid w:val="00EF6BF6"/>
    <w:rsid w:val="00F001EA"/>
    <w:rsid w:val="00F16B90"/>
    <w:rsid w:val="00F27E4F"/>
    <w:rsid w:val="00F34F19"/>
    <w:rsid w:val="00F44A21"/>
    <w:rsid w:val="00F53384"/>
    <w:rsid w:val="00F575F0"/>
    <w:rsid w:val="00F6664C"/>
    <w:rsid w:val="00F73109"/>
    <w:rsid w:val="00F80AF1"/>
    <w:rsid w:val="00F8298C"/>
    <w:rsid w:val="00F90245"/>
    <w:rsid w:val="00F91DEB"/>
    <w:rsid w:val="00F920D9"/>
    <w:rsid w:val="00F9459F"/>
    <w:rsid w:val="00F94781"/>
    <w:rsid w:val="00F9692B"/>
    <w:rsid w:val="00FA5388"/>
    <w:rsid w:val="00FA540C"/>
    <w:rsid w:val="00FA7281"/>
    <w:rsid w:val="00FB08E3"/>
    <w:rsid w:val="00FD397B"/>
    <w:rsid w:val="00FD4B01"/>
    <w:rsid w:val="00FD7CDC"/>
    <w:rsid w:val="00FE22D2"/>
    <w:rsid w:val="00FE58E0"/>
    <w:rsid w:val="00FE74D0"/>
    <w:rsid w:val="03543BCA"/>
    <w:rsid w:val="0446FF8A"/>
    <w:rsid w:val="0AE26B80"/>
    <w:rsid w:val="0E6A2AEF"/>
    <w:rsid w:val="0F693444"/>
    <w:rsid w:val="16A9EDDC"/>
    <w:rsid w:val="1B862558"/>
    <w:rsid w:val="1DDAB993"/>
    <w:rsid w:val="1EFA6C16"/>
    <w:rsid w:val="27FCF4B1"/>
    <w:rsid w:val="2998C512"/>
    <w:rsid w:val="2AF5F19C"/>
    <w:rsid w:val="2C2229FC"/>
    <w:rsid w:val="2E0A4530"/>
    <w:rsid w:val="2EBE4CD8"/>
    <w:rsid w:val="36D9E4F3"/>
    <w:rsid w:val="37B15381"/>
    <w:rsid w:val="37DA7075"/>
    <w:rsid w:val="3CBC4935"/>
    <w:rsid w:val="3E65F7C9"/>
    <w:rsid w:val="3E98F02A"/>
    <w:rsid w:val="467C310D"/>
    <w:rsid w:val="49945226"/>
    <w:rsid w:val="4A54AC08"/>
    <w:rsid w:val="4D5FD1C5"/>
    <w:rsid w:val="4E24FA7D"/>
    <w:rsid w:val="4F4928A0"/>
    <w:rsid w:val="52051057"/>
    <w:rsid w:val="5AD926F7"/>
    <w:rsid w:val="600D6ECB"/>
    <w:rsid w:val="672170EF"/>
    <w:rsid w:val="69F2D958"/>
    <w:rsid w:val="6C981B6E"/>
    <w:rsid w:val="77EC515C"/>
    <w:rsid w:val="7C9AE8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FA31D4"/>
  <w15:docId w15:val="{F15E945E-4C46-4824-8B45-B27A53F0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line="300" w:lineRule="atLeast"/>
    </w:pPr>
  </w:style>
  <w:style w:type="paragraph" w:styleId="Heading1">
    <w:name w:val="heading 1"/>
    <w:basedOn w:val="Normal"/>
    <w:next w:val="Left05Indent"/>
    <w:link w:val="Heading1Char"/>
    <w:autoRedefine/>
    <w:uiPriority w:val="1"/>
    <w:qFormat/>
    <w:rsid w:val="00175758"/>
    <w:pPr>
      <w:keepNext/>
      <w:keepLines/>
      <w:numPr>
        <w:numId w:val="7"/>
      </w:numPr>
      <w:spacing w:after="120" w:line="380" w:lineRule="atLeast"/>
      <w:outlineLvl w:val="0"/>
    </w:pPr>
    <w:rPr>
      <w:rFonts w:ascii="Calibri" w:hAnsi="Calibri" w:eastAsiaTheme="majorEastAsia" w:cs="Calibri"/>
      <w:color w:val="1396D8"/>
      <w:sz w:val="28"/>
      <w:szCs w:val="28"/>
    </w:rPr>
  </w:style>
  <w:style w:type="paragraph" w:styleId="Heading2">
    <w:name w:val="heading 2"/>
    <w:next w:val="Normal"/>
    <w:link w:val="Heading2Char"/>
    <w:autoRedefine/>
    <w:uiPriority w:val="1"/>
    <w:qFormat/>
    <w:rsid w:val="00DE7A1C"/>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671018"/>
    <w:pPr>
      <w:outlineLvl w:val="2"/>
    </w:pPr>
    <w:rPr>
      <w:rFonts w:eastAsia="Times New Roman" w:cstheme="minorHAnsi"/>
      <w:bCs/>
      <w:i/>
      <w:color w:val="595959" w:themeColor="text1" w:themeTint="A6"/>
      <w:sz w:val="24"/>
    </w:rPr>
  </w:style>
  <w:style w:type="paragraph" w:styleId="Heading4">
    <w:name w:val="heading 4"/>
    <w:basedOn w:val="Heading3"/>
    <w:next w:val="Normal"/>
    <w:link w:val="Heading4Char"/>
    <w:autoRedefine/>
    <w:uiPriority w:val="1"/>
    <w:qFormat/>
    <w:rsid w:val="005F55C3"/>
    <w:pPr>
      <w:numPr>
        <w:ilvl w:val="3"/>
      </w:numPr>
      <w:outlineLvl w:val="3"/>
    </w:pPr>
    <w:rPr>
      <w:bCs w:val="0"/>
      <w:i w:val="0"/>
      <w:iCs/>
    </w:rPr>
  </w:style>
  <w:style w:type="paragraph" w:styleId="Heading5">
    <w:name w:val="heading 5"/>
    <w:basedOn w:val="Heading4"/>
    <w:next w:val="Normal"/>
    <w:link w:val="Heading5Char"/>
    <w:uiPriority w:val="1"/>
    <w:qFormat/>
    <w:rsid w:val="00AD6244"/>
    <w:pPr>
      <w:numPr>
        <w:ilvl w:val="4"/>
      </w:numPr>
      <w:outlineLvl w:val="4"/>
    </w:pPr>
    <w:rPr>
      <w:rFonts w:asciiTheme="majorHAnsi" w:hAnsiTheme="majorHAnsi"/>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5758"/>
    <w:rPr>
      <w:rFonts w:ascii="Calibri" w:hAnsi="Calibri" w:eastAsiaTheme="majorEastAsia" w:cs="Calibri"/>
      <w:color w:val="1396D8"/>
      <w:sz w:val="28"/>
      <w:szCs w:val="28"/>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DE7A1C"/>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671018"/>
    <w:rPr>
      <w:rFonts w:eastAsia="Times New Roman" w:cstheme="minorHAnsi"/>
      <w:b/>
      <w:bCs/>
      <w:i/>
      <w:color w:val="595959" w:themeColor="text1" w:themeTint="A6"/>
      <w:sz w:val="24"/>
      <w:szCs w:val="26"/>
    </w:rPr>
  </w:style>
  <w:style w:type="character" w:customStyle="1" w:styleId="Heading4Char">
    <w:name w:val="Heading 4 Char"/>
    <w:basedOn w:val="DefaultParagraphFont"/>
    <w:link w:val="Heading4"/>
    <w:uiPriority w:val="1"/>
    <w:rsid w:val="005F55C3"/>
    <w:rPr>
      <w:rFonts w:eastAsiaTheme="majorEastAsia" w:cstheme="majorBidi"/>
      <w:b/>
      <w:iCs/>
      <w:color w:val="595959" w:themeColor="text1" w:themeTint="A6"/>
      <w:sz w:val="24"/>
      <w:szCs w:val="26"/>
    </w:rPr>
  </w:style>
  <w:style w:type="character" w:customStyle="1" w:styleId="Heading5Char">
    <w:name w:val="Heading 5 Char"/>
    <w:basedOn w:val="DefaultParagraphFont"/>
    <w:link w:val="Heading5"/>
    <w:uiPriority w:val="1"/>
    <w:rsid w:val="00AD6244"/>
    <w:rPr>
      <w:rFonts w:asciiTheme="majorHAnsi" w:eastAsiaTheme="majorEastAsia" w:hAnsiTheme="majorHAnsi" w:cstheme="majorBidi"/>
      <w:b/>
      <w:iCs/>
      <w:color w:val="595959" w:themeColor="text1" w:themeTint="A6"/>
      <w:sz w:val="24"/>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DE7A1C"/>
    <w:pPr>
      <w:keepNext/>
      <w:spacing w:before="140" w:after="80" w:line="240" w:lineRule="auto"/>
    </w:pPr>
    <w:rPr>
      <w:b/>
      <w:bCs/>
      <w:color w:val="000000" w:themeColor="text1"/>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basedOn w:val="DefaultParagraphFont"/>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433C96"/>
    <w:rPr>
      <w:rFonts w:asciiTheme="minorHAnsi" w:hAnsiTheme="minorHAns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s="Times New Roman"/>
      <w:color w:val="1396D8"/>
      <w:szCs w:val="24"/>
    </w:rPr>
  </w:style>
  <w:style w:type="character" w:customStyle="1" w:styleId="LinkChar">
    <w:name w:val="Link Char"/>
    <w:basedOn w:val="DefaultParagraphFont"/>
    <w:link w:val="Link"/>
    <w:uiPriority w:val="11"/>
    <w:rsid w:val="004E5446"/>
    <w:rPr>
      <w:rFonts w:eastAsia="Times New Roman" w:cs="Times New Roman"/>
      <w:color w:val="1396D8"/>
      <w:szCs w:val="24"/>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B058E"/>
    <w:pPr>
      <w:numPr>
        <w:numId w:val="13"/>
      </w:numPr>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themeColor="accent1"/>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themeColor="text1"/>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basedOn w:val="DefaultParagraphFont"/>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character" w:styleId="CommentReference">
    <w:name w:val="annotation reference"/>
    <w:basedOn w:val="DefaultParagraphFont"/>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basedOn w:val="DefaultParagraphFont"/>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basedOn w:val="CommentText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paragraph" w:customStyle="1" w:styleId="paragraph">
    <w:name w:val="paragraph"/>
    <w:basedOn w:val="Normal"/>
    <w:rsid w:val="001757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5758"/>
  </w:style>
  <w:style w:type="character" w:customStyle="1" w:styleId="eop">
    <w:name w:val="eop"/>
    <w:basedOn w:val="DefaultParagraphFont"/>
    <w:rsid w:val="00175758"/>
  </w:style>
  <w:style w:type="character" w:customStyle="1" w:styleId="tabchar">
    <w:name w:val="tabchar"/>
    <w:basedOn w:val="DefaultParagraphFont"/>
    <w:rsid w:val="0017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www.eia.gov/electricity/annual/" TargetMode="External" /><Relationship Id="rId15" Type="http://schemas.openxmlformats.org/officeDocument/2006/relationships/hyperlink" Target="https://www.eia.gov/totalenergy/data/monthly/" TargetMode="External" /><Relationship Id="rId16" Type="http://schemas.openxmlformats.org/officeDocument/2006/relationships/hyperlink" Target="https://www.eia.gov/electricity/monthly/" TargetMode="External" /><Relationship Id="rId17" Type="http://schemas.openxmlformats.org/officeDocument/2006/relationships/hyperlink" Target="https://www.eia.gov/electricity/state/" TargetMode="External" /><Relationship Id="rId18" Type="http://schemas.openxmlformats.org/officeDocument/2006/relationships/hyperlink" Target="https://www.eia.gov/trilatera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4.xml" /><Relationship Id="rId22" Type="http://schemas.openxmlformats.org/officeDocument/2006/relationships/header" Target="header3.xml" /><Relationship Id="rId23" Type="http://schemas.openxmlformats.org/officeDocument/2006/relationships/footer" Target="footer5.xml" /><Relationship Id="rId24" Type="http://schemas.openxmlformats.org/officeDocument/2006/relationships/glossaryDocument" Target="glossary/document.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sqlf1.eia.doe.gov\Software\Office2013Templates\eia_report_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E100EF1B0A4499AACC6C16A60771090"/>
        <w:category>
          <w:name w:val="General"/>
          <w:gallery w:val="placeholder"/>
        </w:category>
        <w:types>
          <w:type w:val="bbPlcHdr"/>
        </w:types>
        <w:behaviors>
          <w:behavior w:val="content"/>
        </w:behaviors>
        <w:guid w:val="{548C6212-BBE5-4DF5-86E2-810320FEFB59}"/>
      </w:docPartPr>
      <w:docPartBody>
        <w:p w:rsidR="00215FCB">
          <w:pPr>
            <w:pStyle w:val="0E100EF1B0A4499AACC6C16A60771090"/>
          </w:pPr>
          <w:r w:rsidRPr="00271A1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17"/>
    <w:rsid w:val="00215FCB"/>
    <w:rsid w:val="00BA7317"/>
    <w:rsid w:val="00C470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100EF1B0A4499AACC6C16A60771090">
    <w:name w:val="0E100EF1B0A4499AACC6C16A60771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7" ma:contentTypeDescription="Create a new document." ma:contentTypeScope="" ma:versionID="d598081e55a81612c21e34561a2c031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5fba083e23a08fd45aece5de08a0db96"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01F280-C801-4528-9ADF-8D795B38EFB8}">
  <ds:schemaRefs>
    <ds:schemaRef ds:uri="http://schemas.microsoft.com/sharepoint/v3/contenttype/forms"/>
  </ds:schemaRefs>
</ds:datastoreItem>
</file>

<file path=customXml/itemProps3.xml><?xml version="1.0" encoding="utf-8"?>
<ds:datastoreItem xmlns:ds="http://schemas.openxmlformats.org/officeDocument/2006/customXml" ds:itemID="{FDAF2922-3CFC-48EF-8FE0-CE132036E0AC}">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4.xml><?xml version="1.0" encoding="utf-8"?>
<ds:datastoreItem xmlns:ds="http://schemas.openxmlformats.org/officeDocument/2006/customXml" ds:itemID="{584C2327-734E-45E7-8F4A-2B908EDB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9F58B5-9E6F-4B42-9236-BD8EC12C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1</TotalTime>
  <Pages>9</Pages>
  <Words>2701</Words>
  <Characters>15398</Characters>
  <Application>Microsoft Office Word</Application>
  <DocSecurity>0</DocSecurity>
  <Lines>128</Lines>
  <Paragraphs>36</Paragraphs>
  <ScaleCrop>false</ScaleCrop>
  <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the EIA-111 Quarterly Electricity Imports and Exports Report</dc:title>
  <dc:subject>EIA-111 Supporting Statement A</dc:subject>
  <dc:creator>Pick, Kenneth M.</dc:creator>
  <cp:lastModifiedBy>Pick, Kenneth M.</cp:lastModifiedBy>
  <cp:revision>2</cp:revision>
  <cp:lastPrinted>2011-12-12T20:42:00Z</cp:lastPrinted>
  <dcterms:created xsi:type="dcterms:W3CDTF">2024-06-26T14:20:00Z</dcterms:created>
  <dcterms:modified xsi:type="dcterms:W3CDTF">2024-06-26T14:20:00Z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