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rsidP="00DE7A1C" w14:paraId="0000D081" w14:textId="77777777">
          <w:pPr>
            <w:rPr>
              <w:noProof/>
            </w:rPr>
          </w:pPr>
        </w:p>
        <w:p w:rsidR="00041909" w:rsidP="00313D14" w14:paraId="3A4B9C29"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01B2ACB0" w14:textId="77777777"/>
    <w:p w:rsidR="00D928FD" w:rsidP="00313D14" w14:paraId="3E978A65" w14:textId="77777777">
      <w:r>
        <w:tab/>
      </w:r>
    </w:p>
    <w:p w:rsidR="00D928FD" w14:paraId="56A50FD9" w14:textId="77777777"/>
    <w:p w:rsidR="00D928FD" w14:paraId="155DC96F" w14:textId="77777777"/>
    <w:p w:rsidR="00D928FD" w14:paraId="4A055362" w14:textId="77777777"/>
    <w:p w:rsidR="001F3A8F" w:rsidP="00313D14" w14:paraId="495CA8F3" w14:textId="65BF0814">
      <w:r>
        <w:rPr>
          <w:noProof/>
        </w:rPr>
        <mc:AlternateContent>
          <mc:Choice Requires="wps">
            <w:drawing>
              <wp:anchor distT="0" distB="0" distL="114300" distR="114300" simplePos="0" relativeHeight="251660288" behindDoc="0" locked="0" layoutInCell="1" allowOverlap="1">
                <wp:simplePos x="0" y="0"/>
                <wp:positionH relativeFrom="margin">
                  <wp:posOffset>403860</wp:posOffset>
                </wp:positionH>
                <wp:positionV relativeFrom="margin">
                  <wp:posOffset>5707380</wp:posOffset>
                </wp:positionV>
                <wp:extent cx="493776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776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textId="0E546FB2">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388.8pt;height:39.15pt;margin-top:449.4pt;margin-left:31.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56458956" w14:textId="0E546FB2">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May 2024</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365760</wp:posOffset>
                </wp:positionH>
                <wp:positionV relativeFrom="paragraph">
                  <wp:posOffset>962660</wp:posOffset>
                </wp:positionV>
                <wp:extent cx="4991100" cy="2110740"/>
                <wp:effectExtent l="0" t="0" r="0" b="381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2110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3E63D5FFD2834F47882497A27A06D655"/>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14D412E5">
                                <w:pPr>
                                  <w:spacing w:line="276" w:lineRule="auto"/>
                                  <w:rPr>
                                    <w:b/>
                                    <w:sz w:val="60"/>
                                    <w:szCs w:val="60"/>
                                  </w:rPr>
                                </w:pPr>
                                <w:r>
                                  <w:rPr>
                                    <w:rFonts w:ascii="Times New Roman" w:hAnsi="Times New Roman" w:cs="Times New Roman"/>
                                    <w:b/>
                                    <w:color w:val="139CD8"/>
                                    <w:sz w:val="60"/>
                                    <w:szCs w:val="60"/>
                                  </w:rPr>
                                  <w:t>Supporting Statement B for the EIA-111 Quarterly Electricity Imports and Exports Report</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66.2pt;margin-top:75.8pt;margin-left:28.8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1652421137"/>
                        <w:placeholder>
                          <w:docPart w:val="3E63D5FFD2834F47882497A27A06D655"/>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76540576" w14:textId="14D412E5">
                          <w:pPr>
                            <w:spacing w:line="276" w:lineRule="auto"/>
                            <w:rPr>
                              <w:b/>
                              <w:sz w:val="60"/>
                              <w:szCs w:val="60"/>
                            </w:rPr>
                          </w:pPr>
                          <w:r>
                            <w:rPr>
                              <w:rFonts w:ascii="Times New Roman" w:hAnsi="Times New Roman" w:cs="Times New Roman"/>
                              <w:b/>
                              <w:color w:val="139CD8"/>
                              <w:sz w:val="60"/>
                              <w:szCs w:val="60"/>
                            </w:rPr>
                            <w:t>Supporting Statement B for the EIA-111 Quarterly Electricity Imports and Exports Report</w:t>
                          </w:r>
                        </w:p>
                      </w:sdtContent>
                    </w:sdt>
                  </w:txbxContent>
                </v:textbox>
                <w10:wrap anchorx="margin"/>
              </v:shape>
            </w:pict>
          </mc:Fallback>
        </mc:AlternateContent>
      </w:r>
      <w:r w:rsidR="00552509">
        <w:rPr>
          <w:noProof/>
          <w:color w:val="A6A6A6" w:themeColor="background1" w:themeShade="A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2A4BAD28"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343E8F6E"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5F1135C4"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rPr>
                              <w:drawing>
                                <wp:inline distT="0" distB="0" distL="0" distR="0">
                                  <wp:extent cx="2162810" cy="478120"/>
                                  <wp:effectExtent l="0" t="0" r="0" b="0"/>
                                  <wp:docPr id="139880944"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0944"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253BFE9B" w14:textId="77777777">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755C3D" w14:paraId="02CA3DA9" w14:textId="77777777">
      <w:pPr>
        <w:sectPr w:rsidSect="00EC3EED">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23AC2588" w14:textId="77777777"/>
    <w:p w:rsidR="001F3A8F" w14:paraId="1E28A189" w14:textId="77777777"/>
    <w:p w:rsidR="001F3A8F" w14:paraId="17C9C80F" w14:textId="77777777"/>
    <w:p w:rsidR="001F3A8F" w14:paraId="330C9F46" w14:textId="77777777"/>
    <w:p w:rsidR="001F3A8F" w14:paraId="06470046" w14:textId="77777777"/>
    <w:p w:rsidR="001F3A8F" w14:paraId="6CE2279D" w14:textId="77777777"/>
    <w:p w:rsidR="001F3A8F" w14:paraId="3B1695FD" w14:textId="77777777"/>
    <w:p w:rsidR="001F3A8F" w14:paraId="6C84F0BC" w14:textId="77777777"/>
    <w:p w:rsidR="001F3A8F" w14:paraId="431456BB" w14:textId="77777777"/>
    <w:p w:rsidR="001F3A8F" w14:paraId="7E501647" w14:textId="77777777"/>
    <w:p w:rsidR="001F3A8F" w14:paraId="61739388" w14:textId="77777777"/>
    <w:p w:rsidR="001F3A8F" w14:paraId="29EFBE6C" w14:textId="77777777"/>
    <w:p w:rsidR="001F3A8F" w14:paraId="6D68EBEE" w14:textId="77777777"/>
    <w:p w:rsidR="001F3A8F" w14:paraId="6D2FFA3A" w14:textId="77777777"/>
    <w:p w:rsidR="001F3A8F" w14:paraId="649F6B25" w14:textId="77777777"/>
    <w:p w:rsidR="001F3A8F" w14:paraId="52DE4FD2" w14:textId="77777777"/>
    <w:p w:rsidR="001F3A8F" w14:paraId="35A8FBEA" w14:textId="77777777"/>
    <w:p w:rsidR="001F3A8F" w14:paraId="2ED50492" w14:textId="77777777"/>
    <w:p w:rsidR="001F3A8F" w14:paraId="3D1D103C" w14:textId="77777777"/>
    <w:p w:rsidR="001F3A8F" w14:paraId="1F04944F" w14:textId="77777777"/>
    <w:p w:rsidR="001F3A8F" w:rsidP="00D928FD" w14:paraId="0DBA4B42" w14:textId="77777777"/>
    <w:p w:rsidR="005D602C" w14:paraId="3EE5CB10" w14:textId="77777777">
      <w:pPr>
        <w:pStyle w:val="Boxtext"/>
        <w:sectPr w:rsidSect="00EC3EED">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10AC0579" w14:textId="77777777">
      <w:pPr>
        <w:sectPr w:rsidSect="00EC3EED">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Bidi"/>
          <w:b w:val="0"/>
          <w:bCs w:val="0"/>
          <w:color w:val="auto"/>
          <w:sz w:val="22"/>
          <w:szCs w:val="22"/>
        </w:rPr>
        <w:id w:val="592214204"/>
        <w:docPartObj>
          <w:docPartGallery w:val="Table of Contents"/>
          <w:docPartUnique/>
        </w:docPartObj>
      </w:sdtPr>
      <w:sdtEndPr>
        <w:rPr>
          <w:noProof/>
        </w:rPr>
      </w:sdtEndPr>
      <w:sdtContent>
        <w:p w:rsidR="00AD6244" w14:paraId="325AB293" w14:textId="77777777">
          <w:pPr>
            <w:pStyle w:val="TOCHeading"/>
          </w:pPr>
          <w:r>
            <w:t>Table of Contents</w:t>
          </w:r>
        </w:p>
        <w:p w:rsidR="00EC3EED" w14:paraId="41D4EFB6" w14:textId="41A72DA5">
          <w:pPr>
            <w:pStyle w:val="TOC1"/>
            <w:rPr>
              <w:rFonts w:eastAsiaTheme="minorEastAsia"/>
              <w:noProof/>
              <w:color w:val="auto"/>
              <w:kern w:val="2"/>
              <w14:ligatures w14:val="standardContextual"/>
            </w:rPr>
          </w:pPr>
          <w:r>
            <w:rPr>
              <w:b/>
              <w:bCs/>
              <w:noProof/>
              <w:color w:val="auto"/>
            </w:rPr>
            <w:fldChar w:fldCharType="begin"/>
          </w:r>
          <w:r>
            <w:rPr>
              <w:b/>
              <w:bCs/>
              <w:noProof/>
            </w:rPr>
            <w:instrText xml:space="preserve"> TOC \o "1-5" \h \z \u </w:instrText>
          </w:r>
          <w:r>
            <w:rPr>
              <w:b/>
              <w:bCs/>
              <w:noProof/>
              <w:color w:val="auto"/>
            </w:rPr>
            <w:fldChar w:fldCharType="separate"/>
          </w:r>
          <w:hyperlink w:anchor="_Toc165018107" w:history="1">
            <w:r w:rsidRPr="002F359C">
              <w:rPr>
                <w:rStyle w:val="Hyperlink"/>
                <w:rFonts w:ascii="Calibri" w:hAnsi="Calibri" w:cs="Calibri"/>
                <w:noProof/>
              </w:rPr>
              <w:t>B.1. Respondent Universe</w:t>
            </w:r>
            <w:r>
              <w:rPr>
                <w:noProof/>
                <w:webHidden/>
              </w:rPr>
              <w:tab/>
            </w:r>
            <w:r>
              <w:rPr>
                <w:noProof/>
                <w:webHidden/>
              </w:rPr>
              <w:fldChar w:fldCharType="begin"/>
            </w:r>
            <w:r>
              <w:rPr>
                <w:noProof/>
                <w:webHidden/>
              </w:rPr>
              <w:instrText xml:space="preserve"> PAGEREF _Toc165018107 \h </w:instrText>
            </w:r>
            <w:r>
              <w:rPr>
                <w:noProof/>
                <w:webHidden/>
              </w:rPr>
              <w:fldChar w:fldCharType="separate"/>
            </w:r>
            <w:r>
              <w:rPr>
                <w:noProof/>
                <w:webHidden/>
              </w:rPr>
              <w:t>2</w:t>
            </w:r>
            <w:r>
              <w:rPr>
                <w:noProof/>
                <w:webHidden/>
              </w:rPr>
              <w:fldChar w:fldCharType="end"/>
            </w:r>
          </w:hyperlink>
        </w:p>
        <w:p w:rsidR="00EC3EED" w14:paraId="20FCF8E1" w14:textId="0F453E87">
          <w:pPr>
            <w:pStyle w:val="TOC1"/>
            <w:rPr>
              <w:rFonts w:eastAsiaTheme="minorEastAsia"/>
              <w:noProof/>
              <w:color w:val="auto"/>
              <w:kern w:val="2"/>
              <w14:ligatures w14:val="standardContextual"/>
            </w:rPr>
          </w:pPr>
          <w:hyperlink w:anchor="_Toc165018108" w:history="1">
            <w:r w:rsidRPr="002F359C">
              <w:rPr>
                <w:rStyle w:val="Hyperlink"/>
                <w:rFonts w:ascii="Calibri" w:hAnsi="Calibri" w:cs="Calibri"/>
                <w:noProof/>
              </w:rPr>
              <w:t>B.2. Statistical Methods</w:t>
            </w:r>
            <w:r>
              <w:rPr>
                <w:noProof/>
                <w:webHidden/>
              </w:rPr>
              <w:tab/>
            </w:r>
            <w:r>
              <w:rPr>
                <w:noProof/>
                <w:webHidden/>
              </w:rPr>
              <w:fldChar w:fldCharType="begin"/>
            </w:r>
            <w:r>
              <w:rPr>
                <w:noProof/>
                <w:webHidden/>
              </w:rPr>
              <w:instrText xml:space="preserve"> PAGEREF _Toc165018108 \h </w:instrText>
            </w:r>
            <w:r>
              <w:rPr>
                <w:noProof/>
                <w:webHidden/>
              </w:rPr>
              <w:fldChar w:fldCharType="separate"/>
            </w:r>
            <w:r>
              <w:rPr>
                <w:noProof/>
                <w:webHidden/>
              </w:rPr>
              <w:t>2</w:t>
            </w:r>
            <w:r>
              <w:rPr>
                <w:noProof/>
                <w:webHidden/>
              </w:rPr>
              <w:fldChar w:fldCharType="end"/>
            </w:r>
          </w:hyperlink>
        </w:p>
        <w:p w:rsidR="00EC3EED" w14:paraId="23E48876" w14:textId="73C85074">
          <w:pPr>
            <w:pStyle w:val="TOC1"/>
            <w:rPr>
              <w:rFonts w:eastAsiaTheme="minorEastAsia"/>
              <w:noProof/>
              <w:color w:val="auto"/>
              <w:kern w:val="2"/>
              <w14:ligatures w14:val="standardContextual"/>
            </w:rPr>
          </w:pPr>
          <w:hyperlink w:anchor="_Toc165018109" w:history="1">
            <w:r w:rsidRPr="002F359C">
              <w:rPr>
                <w:rStyle w:val="Hyperlink"/>
                <w:rFonts w:ascii="Calibri" w:hAnsi="Calibri" w:cs="Calibri"/>
                <w:noProof/>
              </w:rPr>
              <w:t>B.3. Maximizing Response Rates</w:t>
            </w:r>
            <w:r>
              <w:rPr>
                <w:noProof/>
                <w:webHidden/>
              </w:rPr>
              <w:tab/>
            </w:r>
            <w:r>
              <w:rPr>
                <w:noProof/>
                <w:webHidden/>
              </w:rPr>
              <w:fldChar w:fldCharType="begin"/>
            </w:r>
            <w:r>
              <w:rPr>
                <w:noProof/>
                <w:webHidden/>
              </w:rPr>
              <w:instrText xml:space="preserve"> PAGEREF _Toc165018109 \h </w:instrText>
            </w:r>
            <w:r>
              <w:rPr>
                <w:noProof/>
                <w:webHidden/>
              </w:rPr>
              <w:fldChar w:fldCharType="separate"/>
            </w:r>
            <w:r>
              <w:rPr>
                <w:noProof/>
                <w:webHidden/>
              </w:rPr>
              <w:t>2</w:t>
            </w:r>
            <w:r>
              <w:rPr>
                <w:noProof/>
                <w:webHidden/>
              </w:rPr>
              <w:fldChar w:fldCharType="end"/>
            </w:r>
          </w:hyperlink>
        </w:p>
        <w:p w:rsidR="00EC3EED" w14:paraId="1153DD9A" w14:textId="5A680CE1">
          <w:pPr>
            <w:pStyle w:val="TOC1"/>
            <w:rPr>
              <w:rFonts w:eastAsiaTheme="minorEastAsia"/>
              <w:noProof/>
              <w:color w:val="auto"/>
              <w:kern w:val="2"/>
              <w14:ligatures w14:val="standardContextual"/>
            </w:rPr>
          </w:pPr>
          <w:hyperlink w:anchor="_Toc165018110" w:history="1">
            <w:r w:rsidRPr="002F359C">
              <w:rPr>
                <w:rStyle w:val="Hyperlink"/>
                <w:rFonts w:ascii="Calibri" w:hAnsi="Calibri" w:cs="Calibri"/>
                <w:noProof/>
              </w:rPr>
              <w:t>B.4. Test Procedures and Form Consultations</w:t>
            </w:r>
            <w:r>
              <w:rPr>
                <w:noProof/>
                <w:webHidden/>
              </w:rPr>
              <w:tab/>
            </w:r>
            <w:r>
              <w:rPr>
                <w:noProof/>
                <w:webHidden/>
              </w:rPr>
              <w:fldChar w:fldCharType="begin"/>
            </w:r>
            <w:r>
              <w:rPr>
                <w:noProof/>
                <w:webHidden/>
              </w:rPr>
              <w:instrText xml:space="preserve"> PAGEREF _Toc165018110 \h </w:instrText>
            </w:r>
            <w:r>
              <w:rPr>
                <w:noProof/>
                <w:webHidden/>
              </w:rPr>
              <w:fldChar w:fldCharType="separate"/>
            </w:r>
            <w:r>
              <w:rPr>
                <w:noProof/>
                <w:webHidden/>
              </w:rPr>
              <w:t>2</w:t>
            </w:r>
            <w:r>
              <w:rPr>
                <w:noProof/>
                <w:webHidden/>
              </w:rPr>
              <w:fldChar w:fldCharType="end"/>
            </w:r>
          </w:hyperlink>
        </w:p>
        <w:p w:rsidR="00EC3EED" w14:paraId="59692267" w14:textId="4E4E5EB5">
          <w:pPr>
            <w:pStyle w:val="TOC1"/>
            <w:rPr>
              <w:rFonts w:eastAsiaTheme="minorEastAsia"/>
              <w:noProof/>
              <w:color w:val="auto"/>
              <w:kern w:val="2"/>
              <w14:ligatures w14:val="standardContextual"/>
            </w:rPr>
          </w:pPr>
          <w:hyperlink w:anchor="_Toc165018111" w:history="1">
            <w:r w:rsidRPr="002F359C">
              <w:rPr>
                <w:rStyle w:val="Hyperlink"/>
                <w:rFonts w:ascii="Calibri" w:hAnsi="Calibri" w:cs="Calibri"/>
                <w:noProof/>
              </w:rPr>
              <w:t>B.5. Statistical Consultations</w:t>
            </w:r>
            <w:r>
              <w:rPr>
                <w:noProof/>
                <w:webHidden/>
              </w:rPr>
              <w:tab/>
            </w:r>
            <w:r>
              <w:rPr>
                <w:noProof/>
                <w:webHidden/>
              </w:rPr>
              <w:fldChar w:fldCharType="begin"/>
            </w:r>
            <w:r>
              <w:rPr>
                <w:noProof/>
                <w:webHidden/>
              </w:rPr>
              <w:instrText xml:space="preserve"> PAGEREF _Toc165018111 \h </w:instrText>
            </w:r>
            <w:r>
              <w:rPr>
                <w:noProof/>
                <w:webHidden/>
              </w:rPr>
              <w:fldChar w:fldCharType="separate"/>
            </w:r>
            <w:r>
              <w:rPr>
                <w:noProof/>
                <w:webHidden/>
              </w:rPr>
              <w:t>3</w:t>
            </w:r>
            <w:r>
              <w:rPr>
                <w:noProof/>
                <w:webHidden/>
              </w:rPr>
              <w:fldChar w:fldCharType="end"/>
            </w:r>
          </w:hyperlink>
        </w:p>
        <w:p w:rsidR="00AD6244" w14:paraId="5C816D0B" w14:textId="3159B1DF">
          <w:r>
            <w:rPr>
              <w:b/>
              <w:bCs/>
              <w:noProof/>
              <w:color w:val="000000" w:themeColor="text1"/>
            </w:rPr>
            <w:fldChar w:fldCharType="end"/>
          </w:r>
        </w:p>
      </w:sdtContent>
    </w:sdt>
    <w:p w:rsidR="00612A58" w:rsidP="00612A58" w14:paraId="6C412F50" w14:textId="77777777">
      <w:pPr>
        <w:rPr>
          <w:noProof/>
        </w:rPr>
      </w:pPr>
      <w:r>
        <w:rPr>
          <w:noProof/>
        </w:rPr>
        <w:br w:type="page"/>
      </w:r>
    </w:p>
    <w:p w:rsidR="00EC3EED" w:rsidP="00EC3EED" w14:paraId="2B3DC60F" w14:textId="77777777">
      <w:pPr>
        <w:pStyle w:val="Heading1"/>
        <w:rPr>
          <w:rFonts w:ascii="Segoe UI" w:hAnsi="Segoe UI" w:cs="Segoe UI"/>
          <w:sz w:val="18"/>
          <w:szCs w:val="18"/>
        </w:rPr>
      </w:pPr>
      <w:bookmarkStart w:id="0" w:name="_Toc165018107"/>
      <w:r>
        <w:rPr>
          <w:rStyle w:val="normaltextrun"/>
          <w:rFonts w:ascii="Calibri" w:hAnsi="Calibri" w:cs="Calibri"/>
          <w:b w:val="0"/>
          <w:bCs w:val="0"/>
          <w:sz w:val="28"/>
        </w:rPr>
        <w:t>B.1. Respondent Universe</w:t>
      </w:r>
      <w:bookmarkEnd w:id="0"/>
      <w:r>
        <w:rPr>
          <w:rStyle w:val="eop"/>
          <w:rFonts w:ascii="Calibri" w:hAnsi="Calibri" w:cs="Calibri"/>
          <w:b w:val="0"/>
          <w:bCs w:val="0"/>
          <w:sz w:val="28"/>
        </w:rPr>
        <w:t> </w:t>
      </w:r>
    </w:p>
    <w:p w:rsidR="00EC3EED" w:rsidP="00EC3EED" w14:paraId="7BE3EA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Form EIA-111 collects import and export data from a </w:t>
      </w:r>
      <w:r>
        <w:rPr>
          <w:rStyle w:val="normaltextrun"/>
          <w:rFonts w:ascii="Calibri" w:hAnsi="Calibri" w:eastAsiaTheme="majorEastAsia" w:cs="Calibri"/>
          <w:i/>
          <w:iCs/>
          <w:sz w:val="22"/>
          <w:szCs w:val="22"/>
        </w:rPr>
        <w:t>census</w:t>
      </w:r>
      <w:r>
        <w:rPr>
          <w:rStyle w:val="normaltextrun"/>
          <w:rFonts w:ascii="Calibri" w:hAnsi="Calibri" w:eastAsiaTheme="majorEastAsia" w:cs="Calibri"/>
          <w:sz w:val="22"/>
          <w:szCs w:val="22"/>
        </w:rPr>
        <w:t xml:space="preserve"> of licensed importers and exporters of electricity. The data collected on Form EIA-111 provides estimates of the flow of electricity into and out of the United States. EIA collects data from U.S. entities that purchase, sell or exchange electricity, including persons authorized to export electric energy from the United States to foreign countries. These respondents report monthly flows of electric energy received or delivered across the border as a total volume in megawatt-hours and the cost associated with the transactions. EIA also collects data from U.S. Balancing Authorities that are interconnected with foreign Balancing Authorities. These respondents report actual and implemented interchange. The third group are Presidential Permit holders who construct, operate, maintain, or connect electric power transmission lines that cross the U.S. international border, and export authorization holders. These respondents report events where their Department of Energy Order flow limit terms were exceeded.</w:t>
      </w:r>
      <w:r>
        <w:rPr>
          <w:rStyle w:val="normaltextrun"/>
          <w:rFonts w:ascii="Calibri" w:hAnsi="Calibri" w:eastAsiaTheme="majorEastAsia" w:cs="Calibri"/>
          <w:i/>
          <w:iCs/>
          <w:sz w:val="22"/>
          <w:szCs w:val="22"/>
        </w:rPr>
        <w:t> </w:t>
      </w:r>
      <w:r>
        <w:rPr>
          <w:rStyle w:val="eop"/>
          <w:rFonts w:ascii="Calibri" w:hAnsi="Calibri" w:eastAsiaTheme="majorEastAsia" w:cs="Calibri"/>
          <w:sz w:val="22"/>
          <w:szCs w:val="22"/>
        </w:rPr>
        <w:t> </w:t>
      </w:r>
    </w:p>
    <w:p w:rsidR="00EC3EED" w:rsidP="00EC3EED" w14:paraId="719765F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EC3EED" w:rsidP="00EC3EED" w14:paraId="5830969E" w14:textId="77777777">
      <w:pPr>
        <w:pStyle w:val="Heading1"/>
        <w:rPr>
          <w:rFonts w:ascii="Segoe UI" w:hAnsi="Segoe UI" w:cs="Segoe UI"/>
          <w:sz w:val="18"/>
          <w:szCs w:val="18"/>
        </w:rPr>
      </w:pPr>
      <w:bookmarkStart w:id="1" w:name="_Toc165018108"/>
      <w:r>
        <w:rPr>
          <w:rStyle w:val="normaltextrun"/>
          <w:rFonts w:ascii="Calibri" w:hAnsi="Calibri" w:cs="Calibri"/>
          <w:b w:val="0"/>
          <w:bCs w:val="0"/>
          <w:sz w:val="28"/>
        </w:rPr>
        <w:t>B.2. Statistical Methods</w:t>
      </w:r>
      <w:bookmarkEnd w:id="1"/>
      <w:r>
        <w:rPr>
          <w:rStyle w:val="eop"/>
          <w:rFonts w:ascii="Calibri" w:hAnsi="Calibri" w:cs="Calibri"/>
          <w:b w:val="0"/>
          <w:bCs w:val="0"/>
          <w:sz w:val="28"/>
        </w:rPr>
        <w:t> </w:t>
      </w:r>
    </w:p>
    <w:p w:rsidR="00EC3EED" w:rsidP="00EC3EED" w14:paraId="5B0F010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There are no statistical methodologies used with this form</w:t>
      </w:r>
      <w:r>
        <w:rPr>
          <w:rStyle w:val="normaltextrun"/>
          <w:rFonts w:ascii="Calibri" w:hAnsi="Calibri" w:eastAsiaTheme="majorEastAsia" w:cs="Calibri"/>
          <w:i/>
          <w:iCs/>
          <w:sz w:val="22"/>
          <w:szCs w:val="22"/>
        </w:rPr>
        <w:t>. </w:t>
      </w:r>
      <w:r>
        <w:rPr>
          <w:rStyle w:val="eop"/>
          <w:rFonts w:ascii="Calibri" w:hAnsi="Calibri" w:eastAsiaTheme="majorEastAsia" w:cs="Calibri"/>
          <w:sz w:val="22"/>
          <w:szCs w:val="22"/>
        </w:rPr>
        <w:t> </w:t>
      </w:r>
    </w:p>
    <w:p w:rsidR="00EC3EED" w:rsidP="00EC3EED" w14:paraId="69A7CE1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EC3EED" w:rsidP="00EC3EED" w14:paraId="659988E4" w14:textId="77777777">
      <w:pPr>
        <w:pStyle w:val="Heading1"/>
        <w:rPr>
          <w:rFonts w:ascii="Segoe UI" w:hAnsi="Segoe UI" w:cs="Segoe UI"/>
          <w:sz w:val="18"/>
          <w:szCs w:val="18"/>
        </w:rPr>
      </w:pPr>
      <w:bookmarkStart w:id="2" w:name="_Toc165018109"/>
      <w:r>
        <w:rPr>
          <w:rStyle w:val="normaltextrun"/>
          <w:rFonts w:ascii="Calibri" w:hAnsi="Calibri" w:cs="Calibri"/>
          <w:b w:val="0"/>
          <w:bCs w:val="0"/>
          <w:sz w:val="28"/>
        </w:rPr>
        <w:t>B.3. Maximizing Response Rates</w:t>
      </w:r>
      <w:bookmarkEnd w:id="2"/>
      <w:r>
        <w:rPr>
          <w:rStyle w:val="eop"/>
          <w:rFonts w:ascii="Calibri" w:hAnsi="Calibri" w:cs="Calibri"/>
          <w:b w:val="0"/>
          <w:bCs w:val="0"/>
          <w:sz w:val="28"/>
        </w:rPr>
        <w:t> </w:t>
      </w:r>
    </w:p>
    <w:p w:rsidR="00EC3EED" w:rsidP="00EC3EED" w14:paraId="4E257270" w14:textId="77777777">
      <w:pPr>
        <w:pStyle w:val="paragraph"/>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To maximize response rates, the form has been designed and the instructions written to be clear and concise.</w:t>
      </w:r>
      <w:r>
        <w:rPr>
          <w:rStyle w:val="eop"/>
          <w:rFonts w:ascii="Calibri" w:hAnsi="Calibri" w:eastAsiaTheme="majorEastAsia" w:cs="Calibri"/>
          <w:sz w:val="22"/>
          <w:szCs w:val="22"/>
        </w:rPr>
        <w:t> </w:t>
      </w:r>
    </w:p>
    <w:p w:rsidR="00EC3EED" w:rsidP="00EC3EED" w14:paraId="331229D0" w14:textId="77777777">
      <w:pPr>
        <w:pStyle w:val="paragraph"/>
        <w:spacing w:before="0" w:beforeAutospacing="0" w:after="0" w:afterAutospacing="0"/>
        <w:textAlignment w:val="baseline"/>
        <w:rPr>
          <w:rFonts w:ascii="Segoe UI" w:hAnsi="Segoe UI" w:cs="Segoe UI"/>
          <w:sz w:val="18"/>
          <w:szCs w:val="18"/>
        </w:rPr>
      </w:pPr>
    </w:p>
    <w:p w:rsidR="00EC3EED" w:rsidP="00EC3EED" w14:paraId="0DA403D7" w14:textId="11B2ED4C">
      <w:pPr>
        <w:pStyle w:val="paragraph"/>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 xml:space="preserve">Non-respondents are contacted by e-mail, telephone, and letter to request their data submission. If no response occurs, additional correspondence is sent to higher level management officials to request the submission of the data. Form EIA-111 is a census and has had close to a 100% response rate for the past four quarters. </w:t>
      </w:r>
      <w:r>
        <w:rPr>
          <w:rStyle w:val="eop"/>
          <w:rFonts w:ascii="Calibri" w:hAnsi="Calibri" w:eastAsiaTheme="majorEastAsia" w:cs="Calibri"/>
          <w:sz w:val="22"/>
          <w:szCs w:val="22"/>
        </w:rPr>
        <w:t> </w:t>
      </w:r>
    </w:p>
    <w:p w:rsidR="00EC3EED" w:rsidRPr="00EC3EED" w:rsidP="00EC3EED" w14:paraId="5B33452F" w14:textId="77777777">
      <w:pPr>
        <w:pStyle w:val="paragraph"/>
        <w:spacing w:before="0" w:beforeAutospacing="0" w:after="0" w:afterAutospacing="0"/>
        <w:textAlignment w:val="baseline"/>
        <w:rPr>
          <w:rFonts w:ascii="Calibri" w:hAnsi="Calibri" w:eastAsiaTheme="majorEastAsia" w:cs="Calibri"/>
          <w:sz w:val="22"/>
          <w:szCs w:val="22"/>
        </w:rPr>
      </w:pPr>
    </w:p>
    <w:p w:rsidR="00EC3EED" w:rsidP="00EC3EED" w14:paraId="6833F7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If nonresponse does occur, EIA will know the magnitude of missing data since implemented interchange reported by Balancing Authorities will be greater than aggregated imports and exports of electricity. In that case, the ratio of aggregated transfers filed by Balancing Authorities divided by the aggregated imports and exports filed by entities will be used to adjust the payments for imports or exports. </w:t>
      </w:r>
      <w:r>
        <w:rPr>
          <w:rStyle w:val="eop"/>
          <w:rFonts w:ascii="Calibri" w:hAnsi="Calibri" w:eastAsiaTheme="majorEastAsia" w:cs="Calibri"/>
          <w:sz w:val="22"/>
          <w:szCs w:val="22"/>
        </w:rPr>
        <w:t> </w:t>
      </w:r>
    </w:p>
    <w:p w:rsidR="00EC3EED" w:rsidP="00EC3EED" w14:paraId="25E9B8C9"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EC3EED" w:rsidP="00EC3EED" w14:paraId="3EE24280" w14:textId="76C1E9AC">
      <w:pPr>
        <w:pStyle w:val="paragraph"/>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 xml:space="preserve">The reliability of data </w:t>
      </w:r>
      <w:r w:rsidR="001034AA">
        <w:rPr>
          <w:rStyle w:val="normaltextrun"/>
          <w:rFonts w:ascii="Calibri" w:hAnsi="Calibri" w:eastAsiaTheme="majorEastAsia" w:cs="Calibri"/>
          <w:sz w:val="22"/>
          <w:szCs w:val="22"/>
        </w:rPr>
        <w:t>is</w:t>
      </w:r>
      <w:r>
        <w:rPr>
          <w:rStyle w:val="normaltextrun"/>
          <w:rFonts w:ascii="Calibri" w:hAnsi="Calibri" w:eastAsiaTheme="majorEastAsia" w:cs="Calibri"/>
          <w:sz w:val="22"/>
          <w:szCs w:val="22"/>
        </w:rPr>
        <w:t xml:space="preserve"> subject to non-sampling errors. Non-sampling errors occur for all surveys and can be attributed to many sources in the collection and processing of data, such as a difference in interpretations of definitions or questions, and mistakes in recording or coding the data from respondents. Response error or reporting error (the difference between the true value and the value reported on a survey form), is typically the major component of the total survey error for this survey.</w:t>
      </w:r>
      <w:r>
        <w:rPr>
          <w:rStyle w:val="eop"/>
          <w:rFonts w:ascii="Calibri" w:hAnsi="Calibri" w:eastAsiaTheme="majorEastAsia" w:cs="Calibri"/>
          <w:sz w:val="22"/>
          <w:szCs w:val="22"/>
        </w:rPr>
        <w:t> </w:t>
      </w:r>
    </w:p>
    <w:p w:rsidR="00EC3EED" w:rsidP="00EC3EED" w14:paraId="5F91922C" w14:textId="77777777">
      <w:pPr>
        <w:pStyle w:val="paragraph"/>
        <w:spacing w:before="0" w:beforeAutospacing="0" w:after="0" w:afterAutospacing="0"/>
        <w:textAlignment w:val="baseline"/>
        <w:rPr>
          <w:rStyle w:val="eop"/>
          <w:rFonts w:ascii="Calibri" w:hAnsi="Calibri" w:eastAsiaTheme="majorEastAsia" w:cs="Calibri"/>
          <w:sz w:val="22"/>
          <w:szCs w:val="22"/>
        </w:rPr>
      </w:pPr>
    </w:p>
    <w:p w:rsidR="00EC3EED" w:rsidRPr="00EC3EED" w:rsidP="00EC3EED" w14:paraId="6CDB9AB7" w14:textId="091E0424">
      <w:pPr>
        <w:pStyle w:val="paragraph"/>
        <w:spacing w:before="0" w:beforeAutospacing="0" w:after="0" w:afterAutospacing="0"/>
        <w:textAlignment w:val="baseline"/>
        <w:rPr>
          <w:rFonts w:ascii="Calibri" w:hAnsi="Calibri" w:eastAsiaTheme="majorEastAsia" w:cs="Calibri"/>
          <w:sz w:val="22"/>
          <w:szCs w:val="22"/>
        </w:rPr>
      </w:pPr>
      <w:r>
        <w:rPr>
          <w:rStyle w:val="normaltextrun"/>
          <w:rFonts w:ascii="Calibri" w:hAnsi="Calibri" w:eastAsiaTheme="majorEastAsia" w:cs="Calibri"/>
          <w:sz w:val="22"/>
          <w:szCs w:val="22"/>
        </w:rPr>
        <w:t>To aid in detecting and minimizing response errors, data validation procedures are used to check current data. Automated edits provide a first level check as the data are submitted. Checks include verifying the current data for consistency with past data, for internal consistency (e.g. totals equal sum of parts), examining orders of magnitude, and cell position. Data elements that fail validation are flagged for manual review and possible editing.</w:t>
      </w:r>
      <w:r>
        <w:rPr>
          <w:rStyle w:val="eop"/>
          <w:rFonts w:ascii="Calibri" w:hAnsi="Calibri" w:eastAsiaTheme="majorEastAsia" w:cs="Calibri"/>
          <w:sz w:val="22"/>
          <w:szCs w:val="22"/>
        </w:rPr>
        <w:t> </w:t>
      </w:r>
    </w:p>
    <w:p w:rsidR="00EC3EED" w:rsidP="00EC3EED" w14:paraId="3FCB431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EC3EED" w:rsidP="00EC3EED" w14:paraId="73DA60E9" w14:textId="77777777">
      <w:pPr>
        <w:pStyle w:val="Heading1"/>
        <w:rPr>
          <w:rFonts w:ascii="Segoe UI" w:hAnsi="Segoe UI" w:cs="Segoe UI"/>
          <w:sz w:val="18"/>
          <w:szCs w:val="18"/>
        </w:rPr>
      </w:pPr>
      <w:bookmarkStart w:id="3" w:name="_Toc165018110"/>
      <w:r>
        <w:rPr>
          <w:rStyle w:val="normaltextrun"/>
          <w:rFonts w:ascii="Calibri" w:hAnsi="Calibri" w:cs="Calibri"/>
          <w:b w:val="0"/>
          <w:bCs w:val="0"/>
          <w:sz w:val="28"/>
        </w:rPr>
        <w:t>B.4. Test Procedures and Form Consultations</w:t>
      </w:r>
      <w:bookmarkEnd w:id="3"/>
      <w:r>
        <w:rPr>
          <w:rStyle w:val="eop"/>
          <w:rFonts w:ascii="Calibri" w:hAnsi="Calibri" w:cs="Calibri"/>
          <w:b w:val="0"/>
          <w:bCs w:val="0"/>
          <w:sz w:val="28"/>
        </w:rPr>
        <w:t> </w:t>
      </w:r>
    </w:p>
    <w:p w:rsidR="00EC3EED" w:rsidP="00EC3EED" w14:paraId="1BC4BF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Form EIA-111 has been successfully collecting data in its current form for five years. This current submission is for a no change clearance. </w:t>
      </w:r>
      <w:r>
        <w:rPr>
          <w:rStyle w:val="eop"/>
          <w:rFonts w:ascii="Calibri" w:hAnsi="Calibri" w:eastAsiaTheme="majorEastAsia" w:cs="Calibri"/>
          <w:sz w:val="22"/>
          <w:szCs w:val="22"/>
        </w:rPr>
        <w:t> </w:t>
      </w:r>
    </w:p>
    <w:p w:rsidR="00EC3EED" w:rsidP="00EC3EED" w14:paraId="65EEEC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EC3EED" w:rsidP="00EC3EED" w14:paraId="19F17CBA" w14:textId="77777777">
      <w:pPr>
        <w:pStyle w:val="Heading1"/>
        <w:rPr>
          <w:rFonts w:ascii="Segoe UI" w:hAnsi="Segoe UI" w:cs="Segoe UI"/>
          <w:sz w:val="18"/>
          <w:szCs w:val="18"/>
        </w:rPr>
      </w:pPr>
      <w:bookmarkStart w:id="4" w:name="_Toc165018111"/>
      <w:r>
        <w:rPr>
          <w:rStyle w:val="normaltextrun"/>
          <w:rFonts w:ascii="Calibri" w:hAnsi="Calibri" w:cs="Calibri"/>
          <w:b w:val="0"/>
          <w:bCs w:val="0"/>
          <w:sz w:val="28"/>
        </w:rPr>
        <w:t>B.5. Statistical Consultations</w:t>
      </w:r>
      <w:bookmarkEnd w:id="4"/>
      <w:r>
        <w:rPr>
          <w:rStyle w:val="eop"/>
          <w:rFonts w:ascii="Calibri" w:hAnsi="Calibri" w:cs="Calibri"/>
          <w:b w:val="0"/>
          <w:bCs w:val="0"/>
          <w:sz w:val="28"/>
        </w:rPr>
        <w:t> </w:t>
      </w:r>
    </w:p>
    <w:p w:rsidR="00EC3EED" w:rsidP="00EC3EED" w14:paraId="604A9E9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For information concerning this request for OMB approval, please contact Glenn McGrath, at 202-586-4325, or Glenn.Mcgrath@eia.gov.  </w:t>
      </w:r>
      <w:r>
        <w:rPr>
          <w:rStyle w:val="eop"/>
          <w:rFonts w:ascii="Calibri" w:hAnsi="Calibri" w:eastAsiaTheme="majorEastAsia" w:cs="Calibri"/>
          <w:sz w:val="22"/>
          <w:szCs w:val="22"/>
        </w:rPr>
        <w:t> </w:t>
      </w:r>
    </w:p>
    <w:p w:rsidR="00EC3EED" w:rsidP="00EC3EED" w14:paraId="29B321C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3E3BDD" w:rsidP="00EC3EED" w14:paraId="5B1D3238" w14:textId="66ECF347">
      <w:pPr>
        <w:spacing w:line="240" w:lineRule="auto"/>
      </w:pPr>
    </w:p>
    <w:sectPr w:rsidSect="00206D5A">
      <w:headerReference w:type="even" r:id="rId14"/>
      <w:headerReference w:type="default" r:id="rId15"/>
      <w:footerReference w:type="even" r:id="rId16"/>
      <w:headerReference w:type="first" r:id="rId17"/>
      <w:footerReference w:type="first" r:id="rId18"/>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551A4904" w14:textId="74694072">
    <w:pPr>
      <w:pStyle w:val="Footer"/>
    </w:pPr>
    <w:r w:rsidRPr="00CB180D">
      <w:t xml:space="preserve">U.S. Energy Information Administration   |   </w:t>
    </w:r>
    <w:sdt>
      <w:sdtPr>
        <w:alias w:val="Subject"/>
        <w:id w:val="-1284035111"/>
        <w:dataBinding w:prefixMappings="xmlns:ns0='http://purl.org/dc/elements/1.1/' xmlns:ns1='http://schemas.openxmlformats.org/package/2006/metadata/core-properties' " w:xpath="/ns1:coreProperties[1]/ns0:subject[1]" w:storeItemID="{6C3C8BC8-F283-45AE-878A-BAB7291924A1}"/>
        <w:text/>
      </w:sdtPr>
      <w:sdtContent>
        <w:r w:rsidR="00D1348E">
          <w:t>EIA-111 Supporting Statement B</w:t>
        </w:r>
      </w:sdtContent>
    </w:sdt>
    <w:r>
      <w:tab/>
    </w:r>
    <w:r>
      <w:fldChar w:fldCharType="begin"/>
    </w:r>
    <w:r>
      <w:instrText xml:space="preserve"> PAGE   \* MERGEFORMAT </w:instrText>
    </w:r>
    <w:r>
      <w:fldChar w:fldCharType="separate"/>
    </w:r>
    <w:r w:rsidR="00E21D3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063F219" w14:textId="49FA8AFB">
    <w:pPr>
      <w:pStyle w:val="Footer"/>
    </w:pPr>
    <w:sdt>
      <w:sdtPr>
        <w:id w:val="823140253"/>
        <w:docPartObj>
          <w:docPartGallery w:val="Page Numbers (Bottom of Page)"/>
          <w:docPartUnique/>
        </w:docPartObj>
      </w:sdtPr>
      <w:sdtContent>
        <w:r w:rsidRPr="00CB180D">
          <w:t xml:space="preserve">U.S. Energy Information Administration   |   </w:t>
        </w:r>
        <w:sdt>
          <w:sdtPr>
            <w:alias w:val="Subject"/>
            <w:id w:val="823140254"/>
            <w:dataBinding w:prefixMappings="xmlns:ns0='http://purl.org/dc/elements/1.1/' xmlns:ns1='http://schemas.openxmlformats.org/package/2006/metadata/core-properties' " w:xpath="/ns1:coreProperties[1]/ns0:subject[1]" w:storeItemID="{6C3C8BC8-F283-45AE-878A-BAB7291924A1}"/>
            <w:text/>
          </w:sdtPr>
          <w:sdtContent>
            <w:r w:rsidR="00D1348E">
              <w:t>EIA-111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54B77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04F20D3B" w14:textId="7C915943">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rsidR="00D1348E">
              <w:t>EIA-111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54F24A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01CBD20C"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414FA63E" w14:textId="638AD553">
    <w:pPr>
      <w:pStyle w:val="Footer"/>
    </w:pPr>
    <w:sdt>
      <w:sdtPr>
        <w:id w:val="1808282920"/>
        <w:docPartObj>
          <w:docPartGallery w:val="Page Numbers (Bottom of Page)"/>
          <w:docPartUnique/>
        </w:docPartObj>
      </w:sdtPr>
      <w:sdtContent>
        <w:r w:rsidRPr="00CB180D">
          <w:t xml:space="preserve">U.S. Energy Information Administration   |   </w:t>
        </w:r>
        <w:sdt>
          <w:sdtPr>
            <w:alias w:val="Subject"/>
            <w:id w:val="-2013597209"/>
            <w:dataBinding w:prefixMappings="xmlns:ns0='http://purl.org/dc/elements/1.1/' xmlns:ns1='http://schemas.openxmlformats.org/package/2006/metadata/core-properties' " w:xpath="/ns1:coreProperties[1]/ns0:subject[1]" w:storeItemID="{6C3C8BC8-F283-45AE-878A-BAB7291924A1}"/>
            <w:text/>
          </w:sdtPr>
          <w:sdtContent>
            <w:r w:rsidR="00D1348E">
              <w:t>EIA-111 Supporting Statement B</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27A968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280B415"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0B011E95" w14:textId="6CE18DDC">
    <w:pPr>
      <w:pStyle w:val="Header"/>
    </w:pPr>
    <w:r>
      <w:t>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266E5327"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A2386"/>
    <w:multiLevelType w:val="multilevel"/>
    <w:tmpl w:val="B69ADCF2"/>
    <w:numStyleLink w:val="EIAbullets"/>
  </w:abstractNum>
  <w:abstractNum w:abstractNumId="16">
    <w:nsid w:val="4EBF29EA"/>
    <w:multiLevelType w:val="multilevel"/>
    <w:tmpl w:val="B69ADCF2"/>
    <w:numStyleLink w:val="EIAbullets"/>
  </w:abstractNum>
  <w:abstractNum w:abstractNumId="17">
    <w:nsid w:val="632B2CBD"/>
    <w:multiLevelType w:val="multilevel"/>
    <w:tmpl w:val="B69ADCF2"/>
    <w:numStyleLink w:val="EIAbullets"/>
  </w:abstractNum>
  <w:abstractNum w:abstractNumId="18">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2061518478">
    <w:abstractNumId w:val="3"/>
  </w:num>
  <w:num w:numId="2" w16cid:durableId="620890051">
    <w:abstractNumId w:val="6"/>
  </w:num>
  <w:num w:numId="3" w16cid:durableId="1784109526">
    <w:abstractNumId w:val="4"/>
  </w:num>
  <w:num w:numId="4" w16cid:durableId="1637636866">
    <w:abstractNumId w:val="2"/>
  </w:num>
  <w:num w:numId="5" w16cid:durableId="1048411878">
    <w:abstractNumId w:val="1"/>
  </w:num>
  <w:num w:numId="6" w16cid:durableId="384376169">
    <w:abstractNumId w:val="0"/>
  </w:num>
  <w:num w:numId="7" w16cid:durableId="552888690">
    <w:abstractNumId w:val="19"/>
  </w:num>
  <w:num w:numId="8" w16cid:durableId="914051470">
    <w:abstractNumId w:val="12"/>
  </w:num>
  <w:num w:numId="9" w16cid:durableId="634986278">
    <w:abstractNumId w:val="15"/>
  </w:num>
  <w:num w:numId="10" w16cid:durableId="1228303751">
    <w:abstractNumId w:val="8"/>
  </w:num>
  <w:num w:numId="11" w16cid:durableId="251159657">
    <w:abstractNumId w:val="9"/>
  </w:num>
  <w:num w:numId="12" w16cid:durableId="1459375348">
    <w:abstractNumId w:val="11"/>
  </w:num>
  <w:num w:numId="13" w16cid:durableId="318003298">
    <w:abstractNumId w:val="13"/>
  </w:num>
  <w:num w:numId="14" w16cid:durableId="1810050287">
    <w:abstractNumId w:val="10"/>
  </w:num>
  <w:num w:numId="15" w16cid:durableId="1798985725">
    <w:abstractNumId w:val="7"/>
  </w:num>
  <w:num w:numId="16" w16cid:durableId="1677688622">
    <w:abstractNumId w:val="18"/>
  </w:num>
  <w:num w:numId="17" w16cid:durableId="693532121">
    <w:abstractNumId w:val="16"/>
  </w:num>
  <w:num w:numId="18" w16cid:durableId="1461460488">
    <w:abstractNumId w:val="14"/>
  </w:num>
  <w:num w:numId="19" w16cid:durableId="561596113">
    <w:abstractNumId w:val="17"/>
  </w:num>
  <w:num w:numId="20" w16cid:durableId="40553805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ED"/>
    <w:rsid w:val="0000019D"/>
    <w:rsid w:val="000008B5"/>
    <w:rsid w:val="0000364C"/>
    <w:rsid w:val="00004135"/>
    <w:rsid w:val="000041A1"/>
    <w:rsid w:val="000053BB"/>
    <w:rsid w:val="00011B3F"/>
    <w:rsid w:val="00013373"/>
    <w:rsid w:val="000142E5"/>
    <w:rsid w:val="00015DA7"/>
    <w:rsid w:val="000248CE"/>
    <w:rsid w:val="00034A4B"/>
    <w:rsid w:val="00041909"/>
    <w:rsid w:val="00046593"/>
    <w:rsid w:val="00047C08"/>
    <w:rsid w:val="000556B6"/>
    <w:rsid w:val="00055769"/>
    <w:rsid w:val="00056EC3"/>
    <w:rsid w:val="000621DC"/>
    <w:rsid w:val="00062CFE"/>
    <w:rsid w:val="00063FA9"/>
    <w:rsid w:val="0007129A"/>
    <w:rsid w:val="0007760A"/>
    <w:rsid w:val="000831C4"/>
    <w:rsid w:val="000844CA"/>
    <w:rsid w:val="00085E32"/>
    <w:rsid w:val="00091CC7"/>
    <w:rsid w:val="000B3FBE"/>
    <w:rsid w:val="000C4381"/>
    <w:rsid w:val="000C5311"/>
    <w:rsid w:val="000F040A"/>
    <w:rsid w:val="001022FE"/>
    <w:rsid w:val="001034AA"/>
    <w:rsid w:val="001034E8"/>
    <w:rsid w:val="00112A69"/>
    <w:rsid w:val="0011541D"/>
    <w:rsid w:val="00132F4A"/>
    <w:rsid w:val="00140D25"/>
    <w:rsid w:val="00160925"/>
    <w:rsid w:val="00160D58"/>
    <w:rsid w:val="00167425"/>
    <w:rsid w:val="00175361"/>
    <w:rsid w:val="001807A3"/>
    <w:rsid w:val="001947D5"/>
    <w:rsid w:val="001A6E1E"/>
    <w:rsid w:val="001B0E69"/>
    <w:rsid w:val="001D03A8"/>
    <w:rsid w:val="001D2E96"/>
    <w:rsid w:val="001F3A8F"/>
    <w:rsid w:val="002008B4"/>
    <w:rsid w:val="00201F24"/>
    <w:rsid w:val="00206D5A"/>
    <w:rsid w:val="002127CE"/>
    <w:rsid w:val="00215842"/>
    <w:rsid w:val="002207DF"/>
    <w:rsid w:val="00221AC2"/>
    <w:rsid w:val="00224002"/>
    <w:rsid w:val="00227E4B"/>
    <w:rsid w:val="0023015A"/>
    <w:rsid w:val="0023708A"/>
    <w:rsid w:val="0025022D"/>
    <w:rsid w:val="002530BB"/>
    <w:rsid w:val="002556F3"/>
    <w:rsid w:val="00260EDF"/>
    <w:rsid w:val="00264148"/>
    <w:rsid w:val="00267A8E"/>
    <w:rsid w:val="00271A12"/>
    <w:rsid w:val="00274179"/>
    <w:rsid w:val="002B0FD2"/>
    <w:rsid w:val="002B5EC9"/>
    <w:rsid w:val="002C378C"/>
    <w:rsid w:val="002D4FE9"/>
    <w:rsid w:val="002E18F8"/>
    <w:rsid w:val="002E3FD5"/>
    <w:rsid w:val="002E7A38"/>
    <w:rsid w:val="002F359C"/>
    <w:rsid w:val="00306516"/>
    <w:rsid w:val="00313D14"/>
    <w:rsid w:val="00325C96"/>
    <w:rsid w:val="00330D13"/>
    <w:rsid w:val="003469CB"/>
    <w:rsid w:val="00346BDC"/>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3BDD"/>
    <w:rsid w:val="003E40FA"/>
    <w:rsid w:val="003E51FA"/>
    <w:rsid w:val="003F24ED"/>
    <w:rsid w:val="003F3866"/>
    <w:rsid w:val="003F529E"/>
    <w:rsid w:val="004020B2"/>
    <w:rsid w:val="0042608E"/>
    <w:rsid w:val="00426481"/>
    <w:rsid w:val="00431CD7"/>
    <w:rsid w:val="00432966"/>
    <w:rsid w:val="00433C96"/>
    <w:rsid w:val="0045608E"/>
    <w:rsid w:val="0045662F"/>
    <w:rsid w:val="00466959"/>
    <w:rsid w:val="0047784B"/>
    <w:rsid w:val="004854EE"/>
    <w:rsid w:val="004946F0"/>
    <w:rsid w:val="00497C2A"/>
    <w:rsid w:val="004A729E"/>
    <w:rsid w:val="004B058E"/>
    <w:rsid w:val="004B1075"/>
    <w:rsid w:val="004B552A"/>
    <w:rsid w:val="004C14D5"/>
    <w:rsid w:val="004C277B"/>
    <w:rsid w:val="004D05FB"/>
    <w:rsid w:val="004D0F05"/>
    <w:rsid w:val="004D236B"/>
    <w:rsid w:val="004D29C7"/>
    <w:rsid w:val="004E5446"/>
    <w:rsid w:val="004E6204"/>
    <w:rsid w:val="00504119"/>
    <w:rsid w:val="00505571"/>
    <w:rsid w:val="005065CF"/>
    <w:rsid w:val="00506BB4"/>
    <w:rsid w:val="0050705F"/>
    <w:rsid w:val="005170D3"/>
    <w:rsid w:val="0052493A"/>
    <w:rsid w:val="00524A83"/>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B2B58"/>
    <w:rsid w:val="005B4863"/>
    <w:rsid w:val="005C00FA"/>
    <w:rsid w:val="005C2D89"/>
    <w:rsid w:val="005C485B"/>
    <w:rsid w:val="005D39D7"/>
    <w:rsid w:val="005D5956"/>
    <w:rsid w:val="005D602C"/>
    <w:rsid w:val="005D6F63"/>
    <w:rsid w:val="005F108A"/>
    <w:rsid w:val="005F4848"/>
    <w:rsid w:val="005F55C3"/>
    <w:rsid w:val="005F778C"/>
    <w:rsid w:val="00612A58"/>
    <w:rsid w:val="0062008C"/>
    <w:rsid w:val="00620797"/>
    <w:rsid w:val="00626494"/>
    <w:rsid w:val="00641DE2"/>
    <w:rsid w:val="00643384"/>
    <w:rsid w:val="00652F00"/>
    <w:rsid w:val="0065406F"/>
    <w:rsid w:val="00663EC4"/>
    <w:rsid w:val="00666179"/>
    <w:rsid w:val="00677C5F"/>
    <w:rsid w:val="006A0BC7"/>
    <w:rsid w:val="006A0EB0"/>
    <w:rsid w:val="006A6190"/>
    <w:rsid w:val="006C0062"/>
    <w:rsid w:val="006C097E"/>
    <w:rsid w:val="006C2DC3"/>
    <w:rsid w:val="006D0439"/>
    <w:rsid w:val="006D466F"/>
    <w:rsid w:val="00725453"/>
    <w:rsid w:val="00737591"/>
    <w:rsid w:val="007438F2"/>
    <w:rsid w:val="00752786"/>
    <w:rsid w:val="00755C3D"/>
    <w:rsid w:val="007576EF"/>
    <w:rsid w:val="00760677"/>
    <w:rsid w:val="007609B3"/>
    <w:rsid w:val="00761C12"/>
    <w:rsid w:val="00776CF4"/>
    <w:rsid w:val="00783DF5"/>
    <w:rsid w:val="00784F89"/>
    <w:rsid w:val="00786336"/>
    <w:rsid w:val="007A4264"/>
    <w:rsid w:val="007A4378"/>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307E1"/>
    <w:rsid w:val="00867160"/>
    <w:rsid w:val="0087205B"/>
    <w:rsid w:val="00874FB8"/>
    <w:rsid w:val="00895669"/>
    <w:rsid w:val="00897946"/>
    <w:rsid w:val="008A3276"/>
    <w:rsid w:val="008A3447"/>
    <w:rsid w:val="008C4DAD"/>
    <w:rsid w:val="008E4BF2"/>
    <w:rsid w:val="008E4FA4"/>
    <w:rsid w:val="008F4CBD"/>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3ABF"/>
    <w:rsid w:val="009E5ABC"/>
    <w:rsid w:val="009E5B9C"/>
    <w:rsid w:val="009F61F7"/>
    <w:rsid w:val="00A00D71"/>
    <w:rsid w:val="00A00EDF"/>
    <w:rsid w:val="00A05A74"/>
    <w:rsid w:val="00A15571"/>
    <w:rsid w:val="00A26A17"/>
    <w:rsid w:val="00A30169"/>
    <w:rsid w:val="00A312A3"/>
    <w:rsid w:val="00A33D9F"/>
    <w:rsid w:val="00A37229"/>
    <w:rsid w:val="00A418C9"/>
    <w:rsid w:val="00A74C9B"/>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35E2A"/>
    <w:rsid w:val="00B41D7A"/>
    <w:rsid w:val="00B4263D"/>
    <w:rsid w:val="00B56F49"/>
    <w:rsid w:val="00B671F4"/>
    <w:rsid w:val="00B7442A"/>
    <w:rsid w:val="00B80706"/>
    <w:rsid w:val="00B97002"/>
    <w:rsid w:val="00BA72AC"/>
    <w:rsid w:val="00BB2F70"/>
    <w:rsid w:val="00BB6CF4"/>
    <w:rsid w:val="00BC14C3"/>
    <w:rsid w:val="00BC1ABE"/>
    <w:rsid w:val="00BD2F20"/>
    <w:rsid w:val="00BD4F62"/>
    <w:rsid w:val="00BE4AFD"/>
    <w:rsid w:val="00C00590"/>
    <w:rsid w:val="00C04647"/>
    <w:rsid w:val="00C12551"/>
    <w:rsid w:val="00C211CD"/>
    <w:rsid w:val="00C25328"/>
    <w:rsid w:val="00C3744D"/>
    <w:rsid w:val="00C43A84"/>
    <w:rsid w:val="00C43D02"/>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34B0"/>
    <w:rsid w:val="00CB44E8"/>
    <w:rsid w:val="00CB7978"/>
    <w:rsid w:val="00CC1D12"/>
    <w:rsid w:val="00CE42E9"/>
    <w:rsid w:val="00CF76C5"/>
    <w:rsid w:val="00D001E4"/>
    <w:rsid w:val="00D00AA8"/>
    <w:rsid w:val="00D02778"/>
    <w:rsid w:val="00D06EF5"/>
    <w:rsid w:val="00D1348E"/>
    <w:rsid w:val="00D300F4"/>
    <w:rsid w:val="00D3344B"/>
    <w:rsid w:val="00D40175"/>
    <w:rsid w:val="00D55243"/>
    <w:rsid w:val="00D62F90"/>
    <w:rsid w:val="00D63E74"/>
    <w:rsid w:val="00D715C4"/>
    <w:rsid w:val="00D83FE2"/>
    <w:rsid w:val="00D928FD"/>
    <w:rsid w:val="00D954B4"/>
    <w:rsid w:val="00D96D3C"/>
    <w:rsid w:val="00DC79E3"/>
    <w:rsid w:val="00DE0DC5"/>
    <w:rsid w:val="00DE2D54"/>
    <w:rsid w:val="00DE7A1C"/>
    <w:rsid w:val="00E02BB0"/>
    <w:rsid w:val="00E03CE6"/>
    <w:rsid w:val="00E04947"/>
    <w:rsid w:val="00E04AA7"/>
    <w:rsid w:val="00E13716"/>
    <w:rsid w:val="00E1631C"/>
    <w:rsid w:val="00E21D3A"/>
    <w:rsid w:val="00E266FF"/>
    <w:rsid w:val="00E27661"/>
    <w:rsid w:val="00E47DB3"/>
    <w:rsid w:val="00E51F8B"/>
    <w:rsid w:val="00E5242A"/>
    <w:rsid w:val="00E53398"/>
    <w:rsid w:val="00E66AE2"/>
    <w:rsid w:val="00E74DA4"/>
    <w:rsid w:val="00E81B89"/>
    <w:rsid w:val="00E87488"/>
    <w:rsid w:val="00E91432"/>
    <w:rsid w:val="00E91B5A"/>
    <w:rsid w:val="00EA779A"/>
    <w:rsid w:val="00EB2CA6"/>
    <w:rsid w:val="00EB6F5A"/>
    <w:rsid w:val="00EC3EED"/>
    <w:rsid w:val="00EC7D4A"/>
    <w:rsid w:val="00ED218D"/>
    <w:rsid w:val="00ED2D61"/>
    <w:rsid w:val="00ED6E45"/>
    <w:rsid w:val="00EE43E4"/>
    <w:rsid w:val="00EE4BED"/>
    <w:rsid w:val="00EF13CF"/>
    <w:rsid w:val="00EF6BF6"/>
    <w:rsid w:val="00F001EA"/>
    <w:rsid w:val="00F16B90"/>
    <w:rsid w:val="00F34F19"/>
    <w:rsid w:val="00F4064E"/>
    <w:rsid w:val="00F44A21"/>
    <w:rsid w:val="00F53384"/>
    <w:rsid w:val="00F575F0"/>
    <w:rsid w:val="00F6664C"/>
    <w:rsid w:val="00F73109"/>
    <w:rsid w:val="00F80AF1"/>
    <w:rsid w:val="00F8298C"/>
    <w:rsid w:val="00F90245"/>
    <w:rsid w:val="00F920D9"/>
    <w:rsid w:val="00F9459F"/>
    <w:rsid w:val="00F94781"/>
    <w:rsid w:val="00F9692B"/>
    <w:rsid w:val="00FA5388"/>
    <w:rsid w:val="00FA540C"/>
    <w:rsid w:val="00FA7281"/>
    <w:rsid w:val="00FB08E3"/>
    <w:rsid w:val="00FD397B"/>
    <w:rsid w:val="00FD4B01"/>
    <w:rsid w:val="00FD7CDC"/>
    <w:rsid w:val="00FE22D2"/>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9A6E5C"/>
  <w15:docId w15:val="{9C98FD84-2D39-4F6E-87D4-F3EF35D6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40D25"/>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DE7A1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D25"/>
    <w:rPr>
      <w:rFonts w:asciiTheme="majorHAnsi" w:eastAsiaTheme="majorEastAsia" w:hAnsiTheme="majorHAnsi" w:cstheme="majorBidi"/>
      <w:b/>
      <w:bCs/>
      <w:color w:val="1396D8"/>
      <w:sz w:val="32"/>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E7A1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DE7A1C"/>
    <w:pPr>
      <w:keepNext/>
      <w:spacing w:before="140" w:after="80" w:line="240" w:lineRule="auto"/>
    </w:pPr>
    <w:rPr>
      <w:b/>
      <w:bCs/>
      <w:color w:val="000000" w:themeColor="text1"/>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semiHidden/>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semiHidden/>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customStyle="1" w:styleId="paragraph">
    <w:name w:val="paragraph"/>
    <w:basedOn w:val="Normal"/>
    <w:rsid w:val="00EC3E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3EED"/>
  </w:style>
  <w:style w:type="character" w:customStyle="1" w:styleId="eop">
    <w:name w:val="eop"/>
    <w:basedOn w:val="DefaultParagraphFont"/>
    <w:rsid w:val="00EC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E63D5FFD2834F47882497A27A06D655"/>
        <w:category>
          <w:name w:val="General"/>
          <w:gallery w:val="placeholder"/>
        </w:category>
        <w:types>
          <w:type w:val="bbPlcHdr"/>
        </w:types>
        <w:behaviors>
          <w:behavior w:val="content"/>
        </w:behaviors>
        <w:guid w:val="{80ECEC1B-A4D9-414A-85B0-9D202EA3C5D7}"/>
      </w:docPartPr>
      <w:docPartBody>
        <w:p w:rsidR="003E51FA">
          <w:pPr>
            <w:pStyle w:val="3E63D5FFD2834F47882497A27A06D655"/>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FA"/>
    <w:rsid w:val="003E51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63D5FFD2834F47882497A27A06D655">
    <w:name w:val="3E63D5FFD2834F47882497A27A06D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88c4e7-d2ae-4a4b-9907-42eca676916f">
      <Terms xmlns="http://schemas.microsoft.com/office/infopath/2007/PartnerControls"/>
    </lcf76f155ced4ddcb4097134ff3c332f>
    <Status xmlns="d588c4e7-d2ae-4a4b-9907-42eca676916f" xsi:nil="true"/>
    <TaxCatchAll xmlns="0ecc70da-eab6-411d-8058-deb5dffcc27c" xsi:nil="true"/>
    <Membership xmlns="d588c4e7-d2ae-4a4b-9907-42eca676916f">
      <UserInfo>
        <DisplayName/>
        <AccountId xsi:nil="true"/>
        <AccountType/>
      </UserInfo>
    </Membershi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948C87-55AD-48A0-90EB-709BD1056198}">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3.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customXml/itemProps4.xml><?xml version="1.0" encoding="utf-8"?>
<ds:datastoreItem xmlns:ds="http://schemas.openxmlformats.org/officeDocument/2006/customXml" ds:itemID="{82947EDF-4541-4EF8-80E9-CA305E2EB0D5}">
  <ds:schemaRefs>
    <ds:schemaRef ds:uri="http://schemas.microsoft.com/sharepoint/v3/contenttype/forms"/>
  </ds:schemaRefs>
</ds:datastoreItem>
</file>

<file path=customXml/itemProps5.xml><?xml version="1.0" encoding="utf-8"?>
<ds:datastoreItem xmlns:ds="http://schemas.openxmlformats.org/officeDocument/2006/customXml" ds:itemID="{49271B7C-1164-406F-B79B-56A9C3A6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To edit the Title: Click File&gt;under Properties edit title in the Title field</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the EIA-111 Quarterly Electricity Imports and Exports Report</dc:title>
  <dc:subject>EIA-111 Supporting Statement B</dc:subject>
  <dc:creator>Pick, Kenneth M.</dc:creator>
  <cp:lastModifiedBy>Pick, Kenneth M.</cp:lastModifiedBy>
  <cp:revision>3</cp:revision>
  <cp:lastPrinted>2011-12-12T20:42:00Z</cp:lastPrinted>
  <dcterms:created xsi:type="dcterms:W3CDTF">2024-06-26T14:21:00Z</dcterms:created>
  <dcterms:modified xsi:type="dcterms:W3CDTF">2024-06-26T14:21:00Z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