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71" w:rsidRPr="001F5B55" w:rsidRDefault="005D7C71" w:rsidP="005D7C71">
      <w:pPr>
        <w:jc w:val="center"/>
        <w:outlineLvl w:val="0"/>
        <w:rPr>
          <w:b/>
          <w:sz w:val="32"/>
          <w:szCs w:val="32"/>
        </w:rPr>
      </w:pPr>
      <w:r w:rsidRPr="001F5B55">
        <w:rPr>
          <w:b/>
          <w:sz w:val="32"/>
          <w:szCs w:val="32"/>
        </w:rPr>
        <w:t>Department of Transportation</w:t>
      </w:r>
    </w:p>
    <w:p w:rsidR="005D7C71" w:rsidRPr="001F5B55" w:rsidRDefault="005D7C71" w:rsidP="005D7C71">
      <w:pPr>
        <w:jc w:val="center"/>
        <w:outlineLvl w:val="0"/>
        <w:rPr>
          <w:b/>
          <w:sz w:val="32"/>
          <w:szCs w:val="32"/>
        </w:rPr>
      </w:pPr>
      <w:r w:rsidRPr="001F5B55">
        <w:rPr>
          <w:b/>
          <w:sz w:val="32"/>
          <w:szCs w:val="32"/>
        </w:rPr>
        <w:t>Office of the Chief Information Officer</w:t>
      </w:r>
    </w:p>
    <w:p w:rsidR="005D7C71" w:rsidRPr="001F5B55" w:rsidRDefault="005D7C71" w:rsidP="005D7C71"/>
    <w:p w:rsidR="005D7C71" w:rsidRPr="001F5B55" w:rsidRDefault="005D7C71" w:rsidP="005D7C71">
      <w:pPr>
        <w:jc w:val="center"/>
        <w:outlineLvl w:val="0"/>
        <w:rPr>
          <w:b/>
          <w:u w:val="single"/>
        </w:rPr>
      </w:pPr>
    </w:p>
    <w:p w:rsidR="005D7C71" w:rsidRPr="001F5B55" w:rsidRDefault="005D7C71" w:rsidP="005D7C71">
      <w:pPr>
        <w:jc w:val="center"/>
        <w:outlineLvl w:val="0"/>
        <w:rPr>
          <w:b/>
        </w:rPr>
      </w:pPr>
      <w:r w:rsidRPr="001F5B55">
        <w:rPr>
          <w:b/>
          <w:u w:val="single"/>
        </w:rPr>
        <w:t>SUPPORTING STATEMENT:</w:t>
      </w:r>
      <w:r w:rsidRPr="001F5B55">
        <w:rPr>
          <w:b/>
        </w:rPr>
        <w:t xml:space="preserve"> </w:t>
      </w:r>
    </w:p>
    <w:p w:rsidR="005D7C71" w:rsidRPr="001F5B55" w:rsidRDefault="005D7C71" w:rsidP="005D7C71">
      <w:pPr>
        <w:jc w:val="center"/>
        <w:outlineLvl w:val="0"/>
        <w:rPr>
          <w:b/>
        </w:rPr>
      </w:pPr>
    </w:p>
    <w:p w:rsidR="005D7C71" w:rsidRDefault="005D7C71" w:rsidP="005D7C71">
      <w:pPr>
        <w:jc w:val="center"/>
        <w:rPr>
          <w:b/>
        </w:rPr>
      </w:pPr>
      <w:r>
        <w:rPr>
          <w:b/>
        </w:rPr>
        <w:t>SUBMISSION OF TARMAC DELAY CONTINGENCY PLANS FOR FAA MODERNIZATION AND REFORM ACT</w:t>
      </w:r>
    </w:p>
    <w:p w:rsidR="005D7C71" w:rsidRPr="001F5B55" w:rsidRDefault="005D7C71" w:rsidP="005D7C71">
      <w:pPr>
        <w:jc w:val="center"/>
        <w:rPr>
          <w:b/>
        </w:rPr>
      </w:pPr>
    </w:p>
    <w:p w:rsidR="005D7C71" w:rsidRPr="001F5B55" w:rsidRDefault="005D7C71" w:rsidP="005D7C71">
      <w:pPr>
        <w:jc w:val="center"/>
        <w:outlineLvl w:val="0"/>
        <w:rPr>
          <w:b/>
          <w:u w:val="single"/>
        </w:rPr>
      </w:pPr>
      <w:r w:rsidRPr="001F5B55">
        <w:t>OMB Control Number</w:t>
      </w:r>
      <w:r w:rsidRPr="001F5B55">
        <w:rPr>
          <w:b/>
        </w:rPr>
        <w:t xml:space="preserve"> </w:t>
      </w:r>
      <w:r>
        <w:rPr>
          <w:rFonts w:cs="Arial"/>
          <w:sz w:val="22"/>
          <w:szCs w:val="22"/>
        </w:rPr>
        <w:t>XXXX</w:t>
      </w:r>
      <w:r w:rsidRPr="001F5B55">
        <w:rPr>
          <w:rFonts w:cs="Arial"/>
          <w:sz w:val="22"/>
          <w:szCs w:val="22"/>
        </w:rPr>
        <w:t>-</w:t>
      </w:r>
      <w:r>
        <w:rPr>
          <w:rFonts w:cs="Arial"/>
          <w:sz w:val="22"/>
          <w:szCs w:val="22"/>
        </w:rPr>
        <w:t>XXXX</w:t>
      </w:r>
    </w:p>
    <w:p w:rsidR="00DB6305" w:rsidRDefault="00DB6305"/>
    <w:p w:rsidR="005D7C71" w:rsidRDefault="005D7C71">
      <w:r w:rsidRPr="005D7C71">
        <w:rPr>
          <w:b/>
        </w:rPr>
        <w:t>JUSTIFICATION</w:t>
      </w:r>
    </w:p>
    <w:p w:rsidR="005D7C71" w:rsidRDefault="005D7C71"/>
    <w:p w:rsidR="005D7C71" w:rsidRDefault="005D7C71">
      <w:pPr>
        <w:rPr>
          <w:b/>
        </w:rPr>
      </w:pPr>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005D7C71" w:rsidRDefault="005D7C71">
      <w:pPr>
        <w:rPr>
          <w:b/>
        </w:rPr>
      </w:pPr>
    </w:p>
    <w:p w:rsidR="005D7C71" w:rsidRDefault="005D7C71">
      <w:r>
        <w:t>The FAA Modernization and Reform Act</w:t>
      </w:r>
      <w:r w:rsidR="00A13467">
        <w:t xml:space="preserve"> (the “Act”)</w:t>
      </w:r>
      <w:r>
        <w:t xml:space="preserve">, which was signed into law on February 14, 2012, requires </w:t>
      </w:r>
      <w:r w:rsidRPr="00747286">
        <w:t>U.S. carriers that operate scheduled passenger service or public charter service using any aircraft with a design capacity of 30 or more seats, and operators of large hub, medium hub, small hub, or non-hub U.S. airports to submit contingency plans for lengthy tarmac delays to the Secretary of Transportation for review and approval no later than May 14, 2012</w:t>
      </w:r>
      <w:r>
        <w:t xml:space="preserve">.    The Act also requires each covered carrier and airport to ensure public access to its plan after DOT approval by posting the plan on its website.   </w:t>
      </w:r>
      <w:r w:rsidR="00B871C8">
        <w:t>The submission and posting of plans</w:t>
      </w:r>
      <w:r>
        <w:t xml:space="preserve"> are specifically required by statute and are not being imposed as an exercise of the Department’s discretion.</w:t>
      </w:r>
    </w:p>
    <w:p w:rsidR="005D7C71" w:rsidRDefault="005D7C71"/>
    <w:p w:rsidR="005D7C71" w:rsidRDefault="005D7C71">
      <w:r w:rsidRPr="001F5B55">
        <w:t xml:space="preserve">2. </w:t>
      </w:r>
      <w:r w:rsidRPr="001F5B55">
        <w:rPr>
          <w:u w:val="single"/>
        </w:rPr>
        <w:t>How, by whom, and for what purpose is the information used</w:t>
      </w:r>
      <w:r w:rsidRPr="001F5B55">
        <w:t>.</w:t>
      </w:r>
      <w:r w:rsidRPr="001F5B55">
        <w:rPr>
          <w:b/>
          <w:bCs/>
          <w:i/>
          <w:iCs/>
        </w:rPr>
        <w:t xml:space="preserve"> Indicate how, by whom, and for what purpose the information is to be used</w:t>
      </w:r>
      <w:r w:rsidRPr="001F5B55">
        <w:t>.</w:t>
      </w:r>
    </w:p>
    <w:p w:rsidR="005D7C71" w:rsidRDefault="005D7C71"/>
    <w:p w:rsidR="00047FCC" w:rsidRDefault="00963F15">
      <w:r>
        <w:t xml:space="preserve">The information collection requirements are specifically required by statute and are not being imposed as an exercise of the Department’s discretion.  The Act requires </w:t>
      </w:r>
      <w:r w:rsidR="001E33F3">
        <w:t xml:space="preserve">two </w:t>
      </w:r>
      <w:r>
        <w:t>collections</w:t>
      </w:r>
      <w:r w:rsidR="00A13467">
        <w:t xml:space="preserve"> of information</w:t>
      </w:r>
      <w:r>
        <w:t>:</w:t>
      </w:r>
    </w:p>
    <w:p w:rsidR="00963F15" w:rsidRDefault="00963F15"/>
    <w:p w:rsidR="001D24E8" w:rsidRDefault="00963F15">
      <w:r>
        <w:t xml:space="preserve">The first is a requirement for </w:t>
      </w:r>
      <w:r w:rsidR="001E33F3">
        <w:t>certain U.S. Carriers and U.S. airport</w:t>
      </w:r>
      <w:r w:rsidR="00CE78CB">
        <w:t>s</w:t>
      </w:r>
      <w:r w:rsidR="00A13467" w:rsidRPr="00747286">
        <w:t xml:space="preserve"> to submit contingency plans for lengthy tarmac delays to the Secretary of Transportation for review and approval no later than May 14, 2012</w:t>
      </w:r>
      <w:r w:rsidR="00A13467">
        <w:t>.  U.S.</w:t>
      </w:r>
      <w:r w:rsidR="000A4289">
        <w:t xml:space="preserve"> carrier </w:t>
      </w:r>
      <w:r w:rsidR="00A13467">
        <w:t xml:space="preserve">contingency plans </w:t>
      </w:r>
      <w:r w:rsidR="000A4289">
        <w:t xml:space="preserve">must </w:t>
      </w:r>
      <w:r w:rsidR="00A13467">
        <w:t xml:space="preserve">contain a provision that a passenger shall have the option to deplane an aircraft and return to the airport terminal when there is an excessive tarmac delay (3 hours for domestic flights and 4 hours for international flights) at each large hub, medium hub, small hub, or non-hub U.S. airport </w:t>
      </w:r>
      <w:r w:rsidR="00A13467" w:rsidRPr="003F6153">
        <w:t>at which they operate scheduled or public charter air service</w:t>
      </w:r>
      <w:r w:rsidR="00A13467">
        <w:t xml:space="preserve">, with the following exceptions:  (1) where an air traffic controller with authority over the aircraft advises the pilot in command that permitting a passenger to deplane would significantly disrupt airport operations; or (2) where the pilot in command determines that permitting a passenger to deplane would jeopardize passenger safety or security.  The deplaning option also must be offered to a passenger if the flight in covered air transportation is </w:t>
      </w:r>
      <w:r w:rsidR="00A13467">
        <w:lastRenderedPageBreak/>
        <w:t>diverted to a commercial airport other than the originally scheduled airport.  Under the Act, U.S. carrier contingency plans must also contain a description of how the carrier will:  (1) provide adequate food, potable water, restroom facilities, comfortable cabin temperatures, and access to medical treatment for passengers onboard an aircraft when the departure of a flight is delayed or disembarkation of passengers is delayed; and (2) share facilities and make gates available at the airport in an emergency.</w:t>
      </w:r>
      <w:r w:rsidR="001D24E8">
        <w:t xml:space="preserve">  </w:t>
      </w:r>
      <w:r w:rsidR="001E33F3">
        <w:t xml:space="preserve">Airport contingency plans must contain a description of how the airport operator, to the maximum extent practicable, will:  (1) provide for the </w:t>
      </w:r>
      <w:proofErr w:type="spellStart"/>
      <w:r w:rsidR="001E33F3">
        <w:t>deplanement</w:t>
      </w:r>
      <w:proofErr w:type="spellEnd"/>
      <w:r w:rsidR="001E33F3">
        <w:t xml:space="preserve"> of passengers following excessive tarmac delays; (2) provide for the sharing of facilities and make gates available at the airport in an emergency; and (3) provide a sterile area following excessive tarmac delays for passengers who have not yet cleared U.S. Customs and Border Protection</w:t>
      </w:r>
      <w:r w:rsidR="001D24E8">
        <w:t>.</w:t>
      </w:r>
    </w:p>
    <w:p w:rsidR="001D24E8" w:rsidRDefault="001D24E8"/>
    <w:p w:rsidR="000A4289" w:rsidRDefault="001E33F3">
      <w:r>
        <w:t xml:space="preserve">Covered carriers consist of U.S. </w:t>
      </w:r>
      <w:r w:rsidRPr="00747286">
        <w:t>carriers that operate scheduled passenger service or public charter service using any aircraft with a design capacity of 30 or more seats</w:t>
      </w:r>
      <w:r>
        <w:t>.  Covered airports consists of operators of large hub, medium hub, small hub, or non-hub U.S. airports.</w:t>
      </w:r>
    </w:p>
    <w:p w:rsidR="001E33F3" w:rsidRDefault="001E33F3"/>
    <w:p w:rsidR="000A4289" w:rsidRDefault="000A4289">
      <w:r>
        <w:t xml:space="preserve">The second </w:t>
      </w:r>
      <w:r w:rsidR="001E33F3">
        <w:t xml:space="preserve">information collection </w:t>
      </w:r>
      <w:r>
        <w:t xml:space="preserve">requirement </w:t>
      </w:r>
      <w:r w:rsidR="001E33F3">
        <w:t xml:space="preserve">is </w:t>
      </w:r>
      <w:r>
        <w:t xml:space="preserve">that each covered carrier </w:t>
      </w:r>
      <w:r w:rsidR="001E33F3">
        <w:t xml:space="preserve">and airport </w:t>
      </w:r>
      <w:r w:rsidR="00665E39">
        <w:t>ensures</w:t>
      </w:r>
      <w:r>
        <w:t xml:space="preserve"> public access to its plan after DOT approval by posting the plan on its website.</w:t>
      </w:r>
    </w:p>
    <w:p w:rsidR="000A4289" w:rsidRDefault="000A4289"/>
    <w:p w:rsidR="000D46FE" w:rsidRPr="001F5B55" w:rsidRDefault="000D46FE" w:rsidP="000D46FE">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005D7C71" w:rsidRDefault="005D7C71">
      <w:pPr>
        <w:rPr>
          <w:b/>
        </w:rPr>
      </w:pPr>
    </w:p>
    <w:p w:rsidR="001C10C2" w:rsidRDefault="001C10C2">
      <w:pPr>
        <w:rPr>
          <w:b/>
        </w:rPr>
      </w:pPr>
      <w:r>
        <w:t xml:space="preserve">The Enforcement Office has established a web address for the filing of contingency plans to enable covered U.S. airlines and airports to submit easily their required plans through the World Wide Web.  </w:t>
      </w:r>
      <w:r w:rsidR="001E33F3" w:rsidDel="001E33F3">
        <w:t xml:space="preserve"> </w:t>
      </w:r>
      <w:r>
        <w:t xml:space="preserve">The Act requires covered U.S. carriers and airports to post their plans on the Internet Website of the carrier or airport if they have one. </w:t>
      </w:r>
    </w:p>
    <w:p w:rsidR="000A4289" w:rsidRDefault="000A4289">
      <w:pPr>
        <w:rPr>
          <w:b/>
        </w:rPr>
      </w:pPr>
    </w:p>
    <w:p w:rsidR="000D46FE" w:rsidRDefault="000D46FE" w:rsidP="000D46FE">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001C10C2" w:rsidRDefault="001C10C2" w:rsidP="000D46FE"/>
    <w:p w:rsidR="001C10C2" w:rsidRPr="001F5B55" w:rsidRDefault="001C10C2" w:rsidP="000D46FE">
      <w:r>
        <w:t xml:space="preserve">Not applicable.  The </w:t>
      </w:r>
      <w:bookmarkStart w:id="0" w:name="_GoBack"/>
      <w:r>
        <w:t xml:space="preserve">information collection requirements are specifically required </w:t>
      </w:r>
      <w:bookmarkEnd w:id="0"/>
      <w:r>
        <w:t>by statute and are not being imposed as an exercise of the Department’s discretion.</w:t>
      </w:r>
      <w:r w:rsidR="00A63786">
        <w:t xml:space="preserve">  </w:t>
      </w:r>
      <w:r w:rsidR="00A63786" w:rsidRPr="00BD592A">
        <w:rPr>
          <w:bCs/>
        </w:rPr>
        <w:t>The Department is not adding to the statutorily-required action nor exercising any discretion with respect to the collection. </w:t>
      </w:r>
      <w:r w:rsidR="00641F72">
        <w:rPr>
          <w:bCs/>
        </w:rPr>
        <w:t xml:space="preserve"> </w:t>
      </w:r>
      <w:r w:rsidR="00641F72" w:rsidRPr="00BD592A">
        <w:rPr>
          <w:bCs/>
        </w:rPr>
        <w:t>The Department is merely acting, as directed by Congress, as a passive recipient of the information.</w:t>
      </w:r>
    </w:p>
    <w:p w:rsidR="000D46FE" w:rsidRDefault="000D46FE">
      <w:pPr>
        <w:rPr>
          <w:b/>
        </w:rPr>
      </w:pPr>
    </w:p>
    <w:p w:rsidR="000D46FE" w:rsidRDefault="000D46FE">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p>
    <w:p w:rsidR="001C10C2" w:rsidRDefault="001C10C2"/>
    <w:p w:rsidR="001C10C2" w:rsidRDefault="006743DC">
      <w:r>
        <w:t>The statutory information collection requirements will not have a significant economic impact on a substantial number of small entities.</w:t>
      </w:r>
    </w:p>
    <w:p w:rsidR="008F71EA" w:rsidRDefault="008F71EA"/>
    <w:p w:rsidR="008F71EA" w:rsidRDefault="008F71EA">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006743DC" w:rsidRDefault="006743DC"/>
    <w:p w:rsidR="006743DC" w:rsidRDefault="006743DC">
      <w:r>
        <w:t>The information collection requirements are specifically required by statute and are not being imposed as an exercise of the Department’s discretion.  If the collection is not conducted, covered carriers and airports will be in violation of the statutory requirements</w:t>
      </w:r>
      <w:r w:rsidR="001E33F3">
        <w:t>, as would the Department</w:t>
      </w:r>
      <w:r>
        <w:t>.</w:t>
      </w:r>
    </w:p>
    <w:p w:rsidR="008F71EA" w:rsidRDefault="008F71EA"/>
    <w:p w:rsidR="008F71EA" w:rsidRPr="001F5B55" w:rsidRDefault="008F71EA" w:rsidP="008F71EA">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w:t>
      </w:r>
      <w:proofErr w:type="gramStart"/>
      <w:r w:rsidRPr="001F5B55">
        <w:rPr>
          <w:b/>
          <w:bCs/>
          <w:i/>
          <w:iCs/>
        </w:rPr>
        <w:t>)(</w:t>
      </w:r>
      <w:proofErr w:type="gramEnd"/>
      <w:r w:rsidRPr="001F5B55">
        <w:rPr>
          <w:b/>
          <w:bCs/>
          <w:i/>
          <w:iCs/>
        </w:rPr>
        <w:t>2)(</w:t>
      </w:r>
      <w:proofErr w:type="spellStart"/>
      <w:r w:rsidRPr="001F5B55">
        <w:rPr>
          <w:b/>
          <w:bCs/>
          <w:i/>
          <w:iCs/>
        </w:rPr>
        <w:t>i</w:t>
      </w:r>
      <w:proofErr w:type="spellEnd"/>
      <w:r w:rsidRPr="001F5B55">
        <w:rPr>
          <w:b/>
          <w:bCs/>
          <w:i/>
          <w:iCs/>
        </w:rPr>
        <w:t>)-(viii)</w:t>
      </w:r>
      <w:r w:rsidRPr="001F5B55">
        <w:t>:</w:t>
      </w:r>
    </w:p>
    <w:p w:rsidR="008F71EA" w:rsidRPr="001F5B55" w:rsidRDefault="008F71EA" w:rsidP="008F71EA"/>
    <w:p w:rsidR="008F71EA" w:rsidRDefault="008F71EA" w:rsidP="008F71EA">
      <w:r w:rsidRPr="001F5B55">
        <w:t>The collection of information is consistent with 5 CFR 1320.5(d</w:t>
      </w:r>
      <w:proofErr w:type="gramStart"/>
      <w:r w:rsidRPr="001F5B55">
        <w:t>)(</w:t>
      </w:r>
      <w:proofErr w:type="gramEnd"/>
      <w:r w:rsidRPr="001F5B55">
        <w:t>2)(</w:t>
      </w:r>
      <w:proofErr w:type="spellStart"/>
      <w:r w:rsidRPr="001F5B55">
        <w:t>i</w:t>
      </w:r>
      <w:proofErr w:type="spellEnd"/>
      <w:r w:rsidRPr="001F5B55">
        <w:t>)-(viii).</w:t>
      </w:r>
    </w:p>
    <w:p w:rsidR="008F71EA" w:rsidRDefault="008F71EA" w:rsidP="008F71EA"/>
    <w:p w:rsidR="00E9306B" w:rsidRDefault="00E9306B" w:rsidP="00E9306B">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8F71EA" w:rsidRDefault="008F71EA" w:rsidP="008F71EA">
      <w:pPr>
        <w:rPr>
          <w:b/>
        </w:rPr>
      </w:pPr>
    </w:p>
    <w:p w:rsidR="006743DC" w:rsidRPr="006743DC" w:rsidRDefault="00B871C8" w:rsidP="008F71EA">
      <w:r>
        <w:t xml:space="preserve">The </w:t>
      </w:r>
      <w:r w:rsidR="001E33F3">
        <w:t xml:space="preserve">Department published a notice in the Federal Register requesting public comment on the new </w:t>
      </w:r>
      <w:r>
        <w:t>requirements for submission and posting;</w:t>
      </w:r>
      <w:r>
        <w:rPr>
          <w:bCs/>
        </w:rPr>
        <w:t xml:space="preserve"> 77 FR 22630</w:t>
      </w:r>
    </w:p>
    <w:p w:rsidR="006743DC" w:rsidRDefault="006743DC" w:rsidP="008F71EA">
      <w:pPr>
        <w:rPr>
          <w:b/>
        </w:rPr>
      </w:pPr>
    </w:p>
    <w:p w:rsidR="00E9306B" w:rsidRPr="001F5B55" w:rsidRDefault="00E9306B" w:rsidP="00E9306B">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00E9306B" w:rsidRPr="001F5B55" w:rsidRDefault="00E9306B" w:rsidP="00E9306B"/>
    <w:p w:rsidR="00E9306B" w:rsidRPr="001F5B55" w:rsidRDefault="00E9306B" w:rsidP="00E9306B">
      <w:pPr>
        <w:outlineLvl w:val="0"/>
      </w:pPr>
      <w:r w:rsidRPr="001F5B55">
        <w:t xml:space="preserve">There are no payments or gifts in this </w:t>
      </w:r>
      <w:r>
        <w:t>statute</w:t>
      </w:r>
      <w:r w:rsidRPr="001F5B55">
        <w:t>.</w:t>
      </w:r>
    </w:p>
    <w:p w:rsidR="00E9306B" w:rsidRPr="001F5B55" w:rsidRDefault="00E9306B" w:rsidP="00E9306B"/>
    <w:p w:rsidR="00E9306B" w:rsidRPr="001F5B55" w:rsidRDefault="00E9306B" w:rsidP="00E9306B">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00E9306B" w:rsidRPr="001F5B55" w:rsidRDefault="00E9306B" w:rsidP="00E9306B"/>
    <w:p w:rsidR="00E9306B" w:rsidRDefault="00E9306B" w:rsidP="00E9306B">
      <w:pPr>
        <w:outlineLvl w:val="0"/>
      </w:pPr>
      <w:r w:rsidRPr="001F5B55">
        <w:t xml:space="preserve">There are no such assurances in this </w:t>
      </w:r>
      <w:r>
        <w:t>statute</w:t>
      </w:r>
      <w:r w:rsidRPr="001F5B55">
        <w:t>.</w:t>
      </w:r>
    </w:p>
    <w:p w:rsidR="00E9306B" w:rsidRPr="001F5B55" w:rsidRDefault="00E9306B" w:rsidP="00E9306B">
      <w:pPr>
        <w:outlineLvl w:val="0"/>
      </w:pPr>
    </w:p>
    <w:p w:rsidR="00E9306B" w:rsidRPr="001F5B55" w:rsidRDefault="00E9306B" w:rsidP="00E9306B">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5B55">
        <w:t>.</w:t>
      </w:r>
    </w:p>
    <w:p w:rsidR="00E9306B" w:rsidRPr="001F5B55" w:rsidRDefault="00E9306B" w:rsidP="00E9306B"/>
    <w:p w:rsidR="00E9306B" w:rsidRPr="001F5B55" w:rsidRDefault="00E9306B" w:rsidP="00E9306B">
      <w:pPr>
        <w:outlineLvl w:val="0"/>
      </w:pPr>
      <w:r w:rsidRPr="001F5B55">
        <w:t>There are no questions of this nature.</w:t>
      </w:r>
    </w:p>
    <w:p w:rsidR="00E9306B" w:rsidRDefault="00E9306B" w:rsidP="008F71EA">
      <w:pPr>
        <w:rPr>
          <w:b/>
        </w:rPr>
      </w:pPr>
    </w:p>
    <w:p w:rsidR="00E9306B" w:rsidRPr="00A63786" w:rsidRDefault="00E9306B" w:rsidP="00E9306B">
      <w:r w:rsidRPr="001F5B55">
        <w:t xml:space="preserve">12. </w:t>
      </w:r>
      <w:r w:rsidRPr="001F5B55">
        <w:rPr>
          <w:u w:val="single"/>
        </w:rPr>
        <w:t>Estimate of burden hours for information requested</w:t>
      </w:r>
      <w:r w:rsidRPr="001F5B55">
        <w:t xml:space="preserve">.  </w:t>
      </w:r>
      <w:r w:rsidRPr="001F5B55">
        <w:rPr>
          <w:b/>
          <w:bCs/>
          <w:i/>
          <w:iCs/>
        </w:rPr>
        <w:t xml:space="preserve">Provide estimates of the hour burden for the collection of information.  The statements should:  Indicate the number of respondents, frequency of response, annual hour burden, and an explanation of how the burden was estimated.  If this request for approval covers more than one form, </w:t>
      </w:r>
      <w:r w:rsidRPr="001F5B55">
        <w:rPr>
          <w:b/>
          <w:bCs/>
          <w:i/>
          <w:iCs/>
        </w:rPr>
        <w:lastRenderedPageBreak/>
        <w:t>provide separate hour burden estimates for each form.  Provide estimates of annualized cost to respondents for the hour burdens for collections of information, identifying and using appropriate wage rate categories</w:t>
      </w:r>
      <w:r w:rsidR="00A63786">
        <w:rPr>
          <w:b/>
          <w:bCs/>
          <w:i/>
          <w:iCs/>
        </w:rPr>
        <w:t>.</w:t>
      </w:r>
    </w:p>
    <w:p w:rsidR="00E9306B" w:rsidRDefault="00E9306B" w:rsidP="008F71EA">
      <w:pPr>
        <w:rPr>
          <w:b/>
        </w:rPr>
      </w:pPr>
    </w:p>
    <w:p w:rsidR="00A63786" w:rsidRPr="00417E42" w:rsidRDefault="00DF04A9" w:rsidP="00417E42">
      <w:pPr>
        <w:rPr>
          <w:i/>
        </w:rPr>
      </w:pPr>
      <w:r>
        <w:rPr>
          <w:i/>
        </w:rPr>
        <w:t>A</w:t>
      </w:r>
      <w:r w:rsidR="00417E42" w:rsidRPr="00417E42">
        <w:rPr>
          <w:i/>
        </w:rPr>
        <w:t xml:space="preserve">.  </w:t>
      </w:r>
      <w:r w:rsidR="00A63786" w:rsidRPr="00417E42">
        <w:rPr>
          <w:i/>
        </w:rPr>
        <w:t>Requirement to submit tarmac delay plan to DOT for review and approval</w:t>
      </w:r>
    </w:p>
    <w:p w:rsidR="00A63786" w:rsidRPr="00163C6D" w:rsidRDefault="00A63786" w:rsidP="00417E42"/>
    <w:p w:rsidR="00A63786" w:rsidRDefault="00A63786" w:rsidP="00417E42">
      <w:r w:rsidRPr="00417E42">
        <w:rPr>
          <w:iCs/>
        </w:rPr>
        <w:t>Respondents:</w:t>
      </w:r>
      <w:r w:rsidRPr="005D4E3D">
        <w:rPr>
          <w:i/>
          <w:iCs/>
        </w:rPr>
        <w:t xml:space="preserve"> </w:t>
      </w:r>
      <w:r>
        <w:t xml:space="preserve">Each large, medium, small and non-hub airport in the U.S.; </w:t>
      </w:r>
      <w:r w:rsidRPr="00747286">
        <w:t>U.S. carriers that operate scheduled passenger service or public charter service using any aircraft with a design capacity of 30 or more seats</w:t>
      </w:r>
      <w:r>
        <w:t xml:space="preserve">.   </w:t>
      </w:r>
    </w:p>
    <w:p w:rsidR="00A63786" w:rsidRPr="005D4E3D" w:rsidRDefault="00A63786" w:rsidP="00417E42"/>
    <w:p w:rsidR="00A63786" w:rsidRDefault="00A63786" w:rsidP="00417E42">
      <w:pPr>
        <w:rPr>
          <w:iCs/>
        </w:rPr>
      </w:pPr>
      <w:r w:rsidRPr="00417E42">
        <w:rPr>
          <w:iCs/>
        </w:rPr>
        <w:t xml:space="preserve">Estimated Number of Respondents: </w:t>
      </w:r>
      <w:r>
        <w:rPr>
          <w:i/>
          <w:iCs/>
        </w:rPr>
        <w:t xml:space="preserve"> </w:t>
      </w:r>
      <w:r>
        <w:rPr>
          <w:iCs/>
        </w:rPr>
        <w:t>368</w:t>
      </w:r>
      <w:r>
        <w:rPr>
          <w:i/>
          <w:iCs/>
        </w:rPr>
        <w:t xml:space="preserve"> </w:t>
      </w:r>
      <w:r>
        <w:rPr>
          <w:iCs/>
        </w:rPr>
        <w:t>U.S. a</w:t>
      </w:r>
      <w:r w:rsidRPr="00163C6D">
        <w:rPr>
          <w:iCs/>
        </w:rPr>
        <w:t>irports</w:t>
      </w:r>
      <w:r>
        <w:rPr>
          <w:iCs/>
        </w:rPr>
        <w:t xml:space="preserve"> and 61 U.S. airlines</w:t>
      </w:r>
      <w:r w:rsidR="00F33246">
        <w:rPr>
          <w:iCs/>
        </w:rPr>
        <w:t xml:space="preserve"> total of 429 </w:t>
      </w:r>
      <w:proofErr w:type="spellStart"/>
      <w:r w:rsidR="00F33246">
        <w:rPr>
          <w:iCs/>
        </w:rPr>
        <w:t>respondants</w:t>
      </w:r>
      <w:proofErr w:type="spellEnd"/>
      <w:r w:rsidR="00F33246">
        <w:rPr>
          <w:iCs/>
        </w:rPr>
        <w:t>.</w:t>
      </w:r>
    </w:p>
    <w:p w:rsidR="00A63786" w:rsidRPr="00417E42" w:rsidRDefault="00A63786" w:rsidP="00417E42">
      <w:pPr>
        <w:rPr>
          <w:iCs/>
        </w:rPr>
      </w:pPr>
    </w:p>
    <w:p w:rsidR="00A63786" w:rsidRPr="00417E42" w:rsidRDefault="00A63786" w:rsidP="00417E42">
      <w:r w:rsidRPr="00417E42">
        <w:rPr>
          <w:iCs/>
        </w:rPr>
        <w:t xml:space="preserve">Estimated Total Burden on Respondents: </w:t>
      </w:r>
      <w:r w:rsidR="00C75BC0">
        <w:rPr>
          <w:iCs/>
        </w:rPr>
        <w:t xml:space="preserve"> 736 hours for U.S. airports (</w:t>
      </w:r>
      <w:r w:rsidR="00C75BC0">
        <w:t>Average of 2 hours per U.S. airport to prepare and submit plan through electronic submission system</w:t>
      </w:r>
      <w:r w:rsidR="00083B8E">
        <w:t>,</w:t>
      </w:r>
      <w:r w:rsidR="00C75BC0">
        <w:t xml:space="preserve"> since airport associations have prepared templates for use by U.S. airports); </w:t>
      </w:r>
      <w:r w:rsidR="00C75BC0">
        <w:rPr>
          <w:iCs/>
        </w:rPr>
        <w:t>3</w:t>
      </w:r>
      <w:r w:rsidR="00C75BC0" w:rsidRPr="00463425">
        <w:rPr>
          <w:iCs/>
        </w:rPr>
        <w:t>0.5 hours for U.S. carrier</w:t>
      </w:r>
      <w:r w:rsidR="00C75BC0">
        <w:rPr>
          <w:iCs/>
        </w:rPr>
        <w:t>s</w:t>
      </w:r>
      <w:r w:rsidR="00C75BC0">
        <w:rPr>
          <w:i/>
          <w:iCs/>
        </w:rPr>
        <w:t xml:space="preserve"> </w:t>
      </w:r>
      <w:r w:rsidR="00C75BC0">
        <w:t>(Average of 30 minutes per U.S. carrier to prepare and submit plan through electronic submission system</w:t>
      </w:r>
      <w:r w:rsidR="00083B8E">
        <w:t>,</w:t>
      </w:r>
      <w:r w:rsidR="00C75BC0">
        <w:t xml:space="preserve"> since U.S. carriers already have such plans in place)</w:t>
      </w:r>
    </w:p>
    <w:p w:rsidR="00A63786" w:rsidRPr="00417E42" w:rsidRDefault="00A63786" w:rsidP="00417E42"/>
    <w:p w:rsidR="00A63786" w:rsidRPr="00417E42" w:rsidRDefault="00A63786" w:rsidP="00417E42">
      <w:pPr>
        <w:rPr>
          <w:iCs/>
        </w:rPr>
      </w:pPr>
      <w:r w:rsidRPr="00417E42">
        <w:t xml:space="preserve">Frequency: </w:t>
      </w:r>
      <w:r w:rsidRPr="00417E42">
        <w:rPr>
          <w:iCs/>
        </w:rPr>
        <w:t xml:space="preserve"> Every 5 years for covered U.S. airports; every 3 years for covered U.S. airlines.</w:t>
      </w:r>
    </w:p>
    <w:p w:rsidR="00A63786" w:rsidRDefault="00A63786" w:rsidP="00417E42">
      <w:pPr>
        <w:rPr>
          <w:iCs/>
        </w:rPr>
      </w:pPr>
    </w:p>
    <w:p w:rsidR="00F33246" w:rsidRDefault="00F33246" w:rsidP="00417E42">
      <w:pPr>
        <w:rPr>
          <w:iCs/>
        </w:rPr>
      </w:pPr>
      <w:r>
        <w:rPr>
          <w:iCs/>
        </w:rPr>
        <w:t xml:space="preserve">Total Burden Hours </w:t>
      </w:r>
      <w:proofErr w:type="gramStart"/>
      <w:r>
        <w:rPr>
          <w:iCs/>
        </w:rPr>
        <w:t>=(</w:t>
      </w:r>
      <w:proofErr w:type="gramEnd"/>
      <w:r>
        <w:rPr>
          <w:iCs/>
        </w:rPr>
        <w:t xml:space="preserve"> (368 airports x 2 hours) / 5 years) + ((61 airlines x 30 minutes) / 3 years) = 178 hours</w:t>
      </w:r>
    </w:p>
    <w:p w:rsidR="00F33246" w:rsidRPr="00417E42" w:rsidRDefault="00F33246" w:rsidP="00417E42">
      <w:pPr>
        <w:rPr>
          <w:iCs/>
        </w:rPr>
      </w:pPr>
    </w:p>
    <w:p w:rsidR="00A63786" w:rsidRPr="00417E42" w:rsidRDefault="00DF04A9" w:rsidP="00417E42">
      <w:pPr>
        <w:rPr>
          <w:i/>
          <w:iCs/>
        </w:rPr>
      </w:pPr>
      <w:r>
        <w:rPr>
          <w:i/>
          <w:iCs/>
        </w:rPr>
        <w:t>B</w:t>
      </w:r>
      <w:r w:rsidR="00417E42" w:rsidRPr="00417E42">
        <w:rPr>
          <w:i/>
          <w:iCs/>
        </w:rPr>
        <w:t xml:space="preserve">.  </w:t>
      </w:r>
      <w:r w:rsidR="00A63786" w:rsidRPr="00417E42">
        <w:rPr>
          <w:i/>
          <w:iCs/>
        </w:rPr>
        <w:t>Requirement to ensure public access to tarmac delay plan after DOT approval</w:t>
      </w:r>
    </w:p>
    <w:p w:rsidR="00A63786" w:rsidRPr="00417E42" w:rsidRDefault="00A63786" w:rsidP="00417E42">
      <w:pPr>
        <w:rPr>
          <w:iCs/>
        </w:rPr>
      </w:pPr>
    </w:p>
    <w:p w:rsidR="00A63786" w:rsidRPr="00417E42" w:rsidRDefault="00A63786" w:rsidP="00417E42">
      <w:r w:rsidRPr="00417E42">
        <w:rPr>
          <w:iCs/>
        </w:rPr>
        <w:t xml:space="preserve">Respondents: </w:t>
      </w:r>
      <w:r w:rsidR="00443A54">
        <w:rPr>
          <w:iCs/>
        </w:rPr>
        <w:t xml:space="preserve">  </w:t>
      </w:r>
      <w:r w:rsidRPr="00417E42">
        <w:t xml:space="preserve">Each large, medium, small and non-hub airport in the U.S.; U.S. carriers that operate scheduled passenger service or public charter service using any aircraft with a design capacity of 30 or more seats.  </w:t>
      </w:r>
    </w:p>
    <w:p w:rsidR="00A63786" w:rsidRPr="00417E42" w:rsidRDefault="00A63786" w:rsidP="00417E42">
      <w:r w:rsidRPr="00417E42">
        <w:t xml:space="preserve"> </w:t>
      </w:r>
    </w:p>
    <w:p w:rsidR="00A63786" w:rsidRPr="00417E42" w:rsidRDefault="00A63786" w:rsidP="00417E42">
      <w:pPr>
        <w:rPr>
          <w:iCs/>
        </w:rPr>
      </w:pPr>
      <w:r w:rsidRPr="00417E42">
        <w:rPr>
          <w:iCs/>
        </w:rPr>
        <w:t>Estimated Number of Respondents:  368 U.S. airports and 61 U.S. airlines</w:t>
      </w:r>
    </w:p>
    <w:p w:rsidR="00A63786" w:rsidRPr="00417E42" w:rsidRDefault="00A63786" w:rsidP="00417E42">
      <w:pPr>
        <w:rPr>
          <w:iCs/>
        </w:rPr>
      </w:pPr>
    </w:p>
    <w:p w:rsidR="00A63786" w:rsidRPr="00417E42" w:rsidRDefault="00A63786" w:rsidP="00417E42">
      <w:r w:rsidRPr="00417E42">
        <w:rPr>
          <w:iCs/>
        </w:rPr>
        <w:t xml:space="preserve">Estimated Total Burden on Respondents: </w:t>
      </w:r>
      <w:r w:rsidRPr="00417E42">
        <w:t xml:space="preserve"> 107 hours and 15 minutes (Average of 15 minutes per respondent to post plan on website)</w:t>
      </w:r>
    </w:p>
    <w:p w:rsidR="00A63786" w:rsidRPr="00417E42" w:rsidRDefault="00A63786" w:rsidP="00417E42"/>
    <w:p w:rsidR="00A63786" w:rsidRPr="00417E42" w:rsidRDefault="00A63786" w:rsidP="00417E42">
      <w:pPr>
        <w:rPr>
          <w:iCs/>
        </w:rPr>
      </w:pPr>
      <w:r w:rsidRPr="00417E42">
        <w:t xml:space="preserve">Frequency: </w:t>
      </w:r>
      <w:r w:rsidR="00443A54">
        <w:t xml:space="preserve"> </w:t>
      </w:r>
      <w:r w:rsidRPr="00417E42">
        <w:rPr>
          <w:iCs/>
        </w:rPr>
        <w:t>Every 5 years for covered U.S. airports; every 3 years for covered U.S. airlines</w:t>
      </w:r>
    </w:p>
    <w:p w:rsidR="00417E42" w:rsidRDefault="00417E42" w:rsidP="008F71EA"/>
    <w:p w:rsidR="00F33246" w:rsidRDefault="00F33246" w:rsidP="00F33246">
      <w:pPr>
        <w:rPr>
          <w:iCs/>
        </w:rPr>
      </w:pPr>
      <w:r>
        <w:rPr>
          <w:iCs/>
        </w:rPr>
        <w:t xml:space="preserve">Total Burden Hours </w:t>
      </w:r>
      <w:proofErr w:type="gramStart"/>
      <w:r>
        <w:rPr>
          <w:iCs/>
        </w:rPr>
        <w:t>=(</w:t>
      </w:r>
      <w:proofErr w:type="gramEnd"/>
      <w:r>
        <w:rPr>
          <w:iCs/>
        </w:rPr>
        <w:t xml:space="preserve"> (368 airports x 15 min) / 5 years) + ((61 airlines x 15 minutes) / 3 years) = 23 hours</w:t>
      </w:r>
    </w:p>
    <w:p w:rsidR="00F33246" w:rsidRDefault="00F33246" w:rsidP="008F71EA"/>
    <w:p w:rsidR="00F33246" w:rsidRDefault="00F33246" w:rsidP="008F71EA">
      <w:r>
        <w:t xml:space="preserve">Grand Total Annual Burden </w:t>
      </w:r>
      <w:proofErr w:type="gramStart"/>
      <w:r>
        <w:t>=  178</w:t>
      </w:r>
      <w:proofErr w:type="gramEnd"/>
      <w:r>
        <w:t xml:space="preserve"> hours (submitting) + 23 hours (posting) = 201 hours</w:t>
      </w:r>
    </w:p>
    <w:p w:rsidR="00F33246" w:rsidRPr="00417E42" w:rsidRDefault="00F33246" w:rsidP="008F71EA"/>
    <w:p w:rsidR="00E9306B" w:rsidRDefault="00E9306B" w:rsidP="008F71EA">
      <w:pPr>
        <w:rPr>
          <w:bCs/>
          <w:iCs/>
        </w:rPr>
      </w:pPr>
      <w:r w:rsidRPr="001F5B55">
        <w:lastRenderedPageBreak/>
        <w:t xml:space="preserve">13. </w:t>
      </w:r>
      <w:r w:rsidRPr="001F5B55">
        <w:rPr>
          <w:u w:val="single"/>
        </w:rPr>
        <w:t>Estimate of total annual costs to respondents</w:t>
      </w:r>
      <w:r w:rsidRPr="001F5B55">
        <w:t xml:space="preserve">.  </w:t>
      </w:r>
      <w:r w:rsidRPr="001F5B55">
        <w:rPr>
          <w:b/>
          <w:bCs/>
          <w:i/>
          <w:iCs/>
        </w:rPr>
        <w:t xml:space="preserve">Provide an estimate of the total annual cost burden to respondents or </w:t>
      </w:r>
      <w:proofErr w:type="spellStart"/>
      <w:r w:rsidRPr="001F5B55">
        <w:rPr>
          <w:b/>
          <w:bCs/>
          <w:i/>
          <w:iCs/>
        </w:rPr>
        <w:t>recordkeepers</w:t>
      </w:r>
      <w:proofErr w:type="spellEnd"/>
      <w:r w:rsidRPr="001F5B55">
        <w:rPr>
          <w:b/>
          <w:bCs/>
          <w:i/>
          <w:iCs/>
        </w:rPr>
        <w:t xml:space="preserve"> resulting from the collection of information</w:t>
      </w:r>
      <w:r w:rsidRPr="001F5B55">
        <w:rPr>
          <w:bCs/>
          <w:iCs/>
        </w:rPr>
        <w:t>.</w:t>
      </w:r>
    </w:p>
    <w:p w:rsidR="00E9306B" w:rsidRDefault="00E9306B" w:rsidP="008F71EA">
      <w:pPr>
        <w:rPr>
          <w:bCs/>
          <w:iCs/>
        </w:rPr>
      </w:pPr>
    </w:p>
    <w:p w:rsidR="00D41D40" w:rsidRDefault="00963946" w:rsidP="00354BC4">
      <w:pPr>
        <w:rPr>
          <w:bCs/>
          <w:iCs/>
        </w:rPr>
      </w:pPr>
      <w:r>
        <w:rPr>
          <w:bCs/>
          <w:iCs/>
        </w:rPr>
        <w:t xml:space="preserve">The Department estimates that the total cost </w:t>
      </w:r>
      <w:r w:rsidR="00354BC4">
        <w:rPr>
          <w:bCs/>
          <w:iCs/>
        </w:rPr>
        <w:t xml:space="preserve">burden to respondents resulting from the </w:t>
      </w:r>
      <w:r w:rsidR="00563CA8">
        <w:rPr>
          <w:bCs/>
          <w:iCs/>
        </w:rPr>
        <w:t>r</w:t>
      </w:r>
      <w:r w:rsidR="00563CA8" w:rsidRPr="008767EE">
        <w:t xml:space="preserve">equirement to </w:t>
      </w:r>
      <w:r w:rsidR="00DB6E60">
        <w:t xml:space="preserve">prepare and </w:t>
      </w:r>
      <w:r w:rsidR="00563CA8" w:rsidRPr="008767EE">
        <w:t>submit tarmac delay plan</w:t>
      </w:r>
      <w:r w:rsidR="002667FB">
        <w:t>s</w:t>
      </w:r>
      <w:r w:rsidR="00563CA8" w:rsidRPr="008767EE">
        <w:t xml:space="preserve"> to DOT for review and approval</w:t>
      </w:r>
      <w:r w:rsidR="00563CA8" w:rsidRPr="00563CA8">
        <w:rPr>
          <w:bCs/>
          <w:iCs/>
        </w:rPr>
        <w:t xml:space="preserve"> </w:t>
      </w:r>
      <w:r w:rsidR="00354BC4" w:rsidRPr="00563CA8">
        <w:rPr>
          <w:bCs/>
          <w:iCs/>
        </w:rPr>
        <w:t>will be $</w:t>
      </w:r>
      <w:r w:rsidR="00B118DD" w:rsidRPr="00B118DD">
        <w:rPr>
          <w:bCs/>
          <w:iCs/>
        </w:rPr>
        <w:t>25</w:t>
      </w:r>
      <w:r w:rsidR="00B118DD">
        <w:rPr>
          <w:bCs/>
          <w:iCs/>
        </w:rPr>
        <w:t>,</w:t>
      </w:r>
      <w:r w:rsidR="00B118DD" w:rsidRPr="00B118DD">
        <w:rPr>
          <w:bCs/>
          <w:iCs/>
        </w:rPr>
        <w:t>647.09</w:t>
      </w:r>
      <w:r w:rsidR="00354BC4">
        <w:rPr>
          <w:bCs/>
          <w:iCs/>
        </w:rPr>
        <w:t>.  This is estimated by</w:t>
      </w:r>
      <w:r w:rsidR="002667FB">
        <w:rPr>
          <w:bCs/>
          <w:iCs/>
        </w:rPr>
        <w:t xml:space="preserve"> summing the costs to</w:t>
      </w:r>
      <w:r w:rsidR="00DB6E60" w:rsidRPr="00DB6E60">
        <w:rPr>
          <w:bCs/>
          <w:iCs/>
        </w:rPr>
        <w:t xml:space="preserve"> </w:t>
      </w:r>
      <w:r w:rsidR="00DB6E60">
        <w:rPr>
          <w:bCs/>
          <w:iCs/>
        </w:rPr>
        <w:t>U.S. airports ($</w:t>
      </w:r>
      <w:r w:rsidR="00B118DD" w:rsidRPr="00B118DD">
        <w:rPr>
          <w:bCs/>
          <w:iCs/>
        </w:rPr>
        <w:t>24</w:t>
      </w:r>
      <w:r w:rsidR="00B118DD">
        <w:rPr>
          <w:bCs/>
          <w:iCs/>
        </w:rPr>
        <w:t>,</w:t>
      </w:r>
      <w:r w:rsidR="00B118DD" w:rsidRPr="00B118DD">
        <w:rPr>
          <w:bCs/>
          <w:iCs/>
        </w:rPr>
        <w:t>626.56</w:t>
      </w:r>
      <w:r w:rsidR="00DB6E60">
        <w:rPr>
          <w:bCs/>
          <w:iCs/>
        </w:rPr>
        <w:t>)</w:t>
      </w:r>
      <w:r w:rsidR="002667FB">
        <w:rPr>
          <w:bCs/>
          <w:iCs/>
        </w:rPr>
        <w:t xml:space="preserve"> </w:t>
      </w:r>
      <w:r w:rsidR="00354BC4">
        <w:rPr>
          <w:bCs/>
          <w:iCs/>
        </w:rPr>
        <w:t>and the costs to</w:t>
      </w:r>
      <w:r w:rsidR="00DB6E60" w:rsidRPr="00DB6E60">
        <w:rPr>
          <w:bCs/>
          <w:iCs/>
        </w:rPr>
        <w:t xml:space="preserve"> </w:t>
      </w:r>
      <w:r w:rsidR="00DB6E60">
        <w:rPr>
          <w:bCs/>
          <w:iCs/>
        </w:rPr>
        <w:t>U.S. carriers ($</w:t>
      </w:r>
      <w:r w:rsidR="00DB6E60" w:rsidRPr="00DB6E60">
        <w:rPr>
          <w:bCs/>
          <w:iCs/>
        </w:rPr>
        <w:t>1</w:t>
      </w:r>
      <w:r w:rsidR="00B118DD">
        <w:rPr>
          <w:bCs/>
          <w:iCs/>
        </w:rPr>
        <w:t>,</w:t>
      </w:r>
      <w:r w:rsidR="00DB6E60" w:rsidRPr="00DB6E60">
        <w:rPr>
          <w:bCs/>
          <w:iCs/>
        </w:rPr>
        <w:t>020.53</w:t>
      </w:r>
      <w:r w:rsidR="00DB6E60">
        <w:rPr>
          <w:bCs/>
          <w:iCs/>
        </w:rPr>
        <w:t>)</w:t>
      </w:r>
      <w:r w:rsidR="00354BC4">
        <w:rPr>
          <w:bCs/>
          <w:iCs/>
        </w:rPr>
        <w:t>.</w:t>
      </w:r>
      <w:r w:rsidR="00DB6E60" w:rsidRPr="00DB6E60">
        <w:rPr>
          <w:bCs/>
          <w:iCs/>
        </w:rPr>
        <w:t xml:space="preserve"> </w:t>
      </w:r>
    </w:p>
    <w:p w:rsidR="00D41D40" w:rsidRDefault="00D41D40" w:rsidP="00354BC4">
      <w:pPr>
        <w:rPr>
          <w:bCs/>
          <w:iCs/>
        </w:rPr>
      </w:pPr>
    </w:p>
    <w:p w:rsidR="00354BC4" w:rsidRDefault="00EE2F66" w:rsidP="00354BC4">
      <w:pPr>
        <w:rPr>
          <w:bCs/>
          <w:iCs/>
        </w:rPr>
      </w:pPr>
      <w:r>
        <w:rPr>
          <w:bCs/>
          <w:iCs/>
        </w:rPr>
        <w:t>For U.S. airports, the</w:t>
      </w:r>
      <w:r w:rsidR="00DF04A9">
        <w:rPr>
          <w:bCs/>
          <w:iCs/>
        </w:rPr>
        <w:t xml:space="preserve"> </w:t>
      </w:r>
      <w:r w:rsidR="00354BC4">
        <w:rPr>
          <w:bCs/>
          <w:iCs/>
        </w:rPr>
        <w:t>estimate</w:t>
      </w:r>
      <w:r w:rsidR="00DF04A9">
        <w:rPr>
          <w:bCs/>
          <w:iCs/>
        </w:rPr>
        <w:t xml:space="preserve"> </w:t>
      </w:r>
      <w:r w:rsidR="00354BC4">
        <w:rPr>
          <w:bCs/>
          <w:iCs/>
        </w:rPr>
        <w:t xml:space="preserve">is calculated by multiplying the </w:t>
      </w:r>
      <w:r w:rsidR="00194990">
        <w:rPr>
          <w:bCs/>
          <w:iCs/>
        </w:rPr>
        <w:t xml:space="preserve">number of </w:t>
      </w:r>
      <w:r>
        <w:rPr>
          <w:bCs/>
          <w:iCs/>
        </w:rPr>
        <w:t>hours</w:t>
      </w:r>
      <w:r w:rsidR="00194990">
        <w:rPr>
          <w:bCs/>
          <w:iCs/>
        </w:rPr>
        <w:t xml:space="preserve"> </w:t>
      </w:r>
      <w:r w:rsidR="00D41D40">
        <w:rPr>
          <w:bCs/>
          <w:iCs/>
        </w:rPr>
        <w:t>(</w:t>
      </w:r>
      <w:r>
        <w:rPr>
          <w:bCs/>
          <w:iCs/>
        </w:rPr>
        <w:t>2 hours per U.S. airport</w:t>
      </w:r>
      <w:r w:rsidR="00D41D40">
        <w:rPr>
          <w:bCs/>
          <w:iCs/>
        </w:rPr>
        <w:t xml:space="preserve">) </w:t>
      </w:r>
      <w:r w:rsidR="002667FB">
        <w:rPr>
          <w:bCs/>
          <w:iCs/>
        </w:rPr>
        <w:t xml:space="preserve">necessary </w:t>
      </w:r>
      <w:r w:rsidR="00354BC4">
        <w:rPr>
          <w:bCs/>
          <w:iCs/>
        </w:rPr>
        <w:t xml:space="preserve">to </w:t>
      </w:r>
      <w:r>
        <w:rPr>
          <w:bCs/>
          <w:iCs/>
        </w:rPr>
        <w:t xml:space="preserve">prepare and </w:t>
      </w:r>
      <w:r w:rsidR="00194990">
        <w:rPr>
          <w:bCs/>
          <w:iCs/>
        </w:rPr>
        <w:t>submit the plan through the electronic submission system by</w:t>
      </w:r>
      <w:r w:rsidR="00354BC4">
        <w:rPr>
          <w:bCs/>
          <w:iCs/>
        </w:rPr>
        <w:t xml:space="preserve"> the cost of an hour of time for a </w:t>
      </w:r>
      <w:r w:rsidR="009A3F78">
        <w:rPr>
          <w:bCs/>
          <w:iCs/>
        </w:rPr>
        <w:t>paralegal</w:t>
      </w:r>
      <w:r w:rsidR="00354BC4">
        <w:rPr>
          <w:bCs/>
          <w:iCs/>
        </w:rPr>
        <w:t xml:space="preserve"> (wage including benefits and oversight) at $</w:t>
      </w:r>
      <w:r w:rsidR="009A3F78">
        <w:rPr>
          <w:bCs/>
          <w:iCs/>
        </w:rPr>
        <w:t>33.46</w:t>
      </w:r>
      <w:r w:rsidR="00354BC4">
        <w:rPr>
          <w:bCs/>
          <w:iCs/>
        </w:rPr>
        <w:t xml:space="preserve"> per hour</w:t>
      </w:r>
      <w:r w:rsidR="004D0D0E">
        <w:rPr>
          <w:bCs/>
          <w:iCs/>
        </w:rPr>
        <w:t xml:space="preserve"> (the median hourly wage for </w:t>
      </w:r>
      <w:r w:rsidR="009A3F78">
        <w:rPr>
          <w:bCs/>
          <w:iCs/>
        </w:rPr>
        <w:t>paralegals</w:t>
      </w:r>
      <w:r w:rsidR="004D0D0E">
        <w:rPr>
          <w:bCs/>
          <w:iCs/>
        </w:rPr>
        <w:t xml:space="preserve"> for scheduled air transportation)</w:t>
      </w:r>
      <w:r w:rsidR="00354BC4">
        <w:rPr>
          <w:bCs/>
          <w:iCs/>
        </w:rPr>
        <w:t>.</w:t>
      </w:r>
    </w:p>
    <w:p w:rsidR="00DB6E60" w:rsidRDefault="00DB6E60" w:rsidP="00354BC4">
      <w:pPr>
        <w:rPr>
          <w:bCs/>
          <w:iCs/>
        </w:rPr>
      </w:pPr>
    </w:p>
    <w:p w:rsidR="00DB6E60" w:rsidRDefault="00DB6E60" w:rsidP="00354BC4">
      <w:pPr>
        <w:rPr>
          <w:bCs/>
          <w:iCs/>
        </w:rPr>
      </w:pPr>
      <w:r>
        <w:rPr>
          <w:bCs/>
          <w:iCs/>
        </w:rPr>
        <w:t>For U.S. Carriers, the estimate is calculated by multiplying the number of minutes (30 minutes per U.S. carrier) necessary to prepare and submit the plan through the electronic submission system by the cost of an hour of time for a paralegal (wage including benefits and oversight) at $33.46 per hour (the median hourly wage for paralegals for scheduled air transportation).</w:t>
      </w:r>
    </w:p>
    <w:p w:rsidR="002667FB" w:rsidRDefault="002667FB" w:rsidP="00354BC4">
      <w:pPr>
        <w:rPr>
          <w:bCs/>
          <w:iCs/>
        </w:rPr>
      </w:pPr>
    </w:p>
    <w:p w:rsidR="00D41D40" w:rsidRDefault="002667FB" w:rsidP="00354BC4">
      <w:pPr>
        <w:rPr>
          <w:bCs/>
          <w:iCs/>
        </w:rPr>
      </w:pPr>
      <w:r>
        <w:rPr>
          <w:bCs/>
          <w:iCs/>
        </w:rPr>
        <w:t xml:space="preserve">The Department estimates that the total </w:t>
      </w:r>
      <w:r w:rsidR="00665E39">
        <w:rPr>
          <w:bCs/>
          <w:iCs/>
        </w:rPr>
        <w:t xml:space="preserve">cost burden to respondents resulting from the requirement </w:t>
      </w:r>
      <w:r w:rsidR="00665E39">
        <w:t>that each covered carrier and airport ensures public access to its plan after DOT approval by posting the plan on its website will be $</w:t>
      </w:r>
      <w:r w:rsidR="00D41D40" w:rsidRPr="00D41D40">
        <w:t>10</w:t>
      </w:r>
      <w:r w:rsidR="00D41D40">
        <w:t>,</w:t>
      </w:r>
      <w:r w:rsidR="00D41D40" w:rsidRPr="00D41D40">
        <w:t>939.5</w:t>
      </w:r>
      <w:r w:rsidR="00D41D40">
        <w:t>0</w:t>
      </w:r>
      <w:r w:rsidR="00665E39">
        <w:t xml:space="preserve">.  </w:t>
      </w:r>
      <w:r w:rsidR="00665E39">
        <w:rPr>
          <w:bCs/>
          <w:iCs/>
        </w:rPr>
        <w:t>This is estimated by summing the costs to the U.S. carriers ($</w:t>
      </w:r>
      <w:r w:rsidR="00D41D40" w:rsidRPr="00D41D40">
        <w:rPr>
          <w:bCs/>
          <w:iCs/>
        </w:rPr>
        <w:t>1</w:t>
      </w:r>
      <w:r w:rsidR="00D41D40">
        <w:rPr>
          <w:bCs/>
          <w:iCs/>
        </w:rPr>
        <w:t>,</w:t>
      </w:r>
      <w:r w:rsidR="00D41D40" w:rsidRPr="00D41D40">
        <w:rPr>
          <w:bCs/>
          <w:iCs/>
        </w:rPr>
        <w:t>555.5</w:t>
      </w:r>
      <w:r w:rsidR="00D41D40">
        <w:rPr>
          <w:bCs/>
          <w:iCs/>
        </w:rPr>
        <w:t>0</w:t>
      </w:r>
      <w:r w:rsidR="00665E39">
        <w:rPr>
          <w:bCs/>
          <w:iCs/>
        </w:rPr>
        <w:t>) and the costs to U.S. airports ($</w:t>
      </w:r>
      <w:r w:rsidR="00D41D40" w:rsidRPr="00D41D40">
        <w:rPr>
          <w:bCs/>
          <w:iCs/>
        </w:rPr>
        <w:t>9</w:t>
      </w:r>
      <w:r w:rsidR="00D41D40">
        <w:rPr>
          <w:bCs/>
          <w:iCs/>
        </w:rPr>
        <w:t>,</w:t>
      </w:r>
      <w:r w:rsidR="00D41D40" w:rsidRPr="00D41D40">
        <w:rPr>
          <w:bCs/>
          <w:iCs/>
        </w:rPr>
        <w:t>384</w:t>
      </w:r>
      <w:r w:rsidR="00D41D40">
        <w:rPr>
          <w:bCs/>
          <w:iCs/>
        </w:rPr>
        <w:t>.00</w:t>
      </w:r>
      <w:r w:rsidR="00665E39">
        <w:rPr>
          <w:bCs/>
          <w:iCs/>
        </w:rPr>
        <w:t>).</w:t>
      </w:r>
    </w:p>
    <w:p w:rsidR="00D41D40" w:rsidRDefault="00D41D40" w:rsidP="00354BC4">
      <w:pPr>
        <w:rPr>
          <w:bCs/>
          <w:iCs/>
        </w:rPr>
      </w:pPr>
    </w:p>
    <w:p w:rsidR="00665E39" w:rsidRDefault="00665E39" w:rsidP="00354BC4">
      <w:pPr>
        <w:rPr>
          <w:bCs/>
          <w:iCs/>
        </w:rPr>
      </w:pPr>
      <w:r>
        <w:rPr>
          <w:bCs/>
          <w:iCs/>
        </w:rPr>
        <w:t xml:space="preserve">The estimate is calculated by multiplying the number of minutes </w:t>
      </w:r>
      <w:r w:rsidR="00D41D40">
        <w:rPr>
          <w:bCs/>
          <w:iCs/>
        </w:rPr>
        <w:t>(15 minutes</w:t>
      </w:r>
      <w:r w:rsidR="001D24E8">
        <w:rPr>
          <w:bCs/>
          <w:iCs/>
        </w:rPr>
        <w:t xml:space="preserve"> per U.S. carrier and </w:t>
      </w:r>
      <w:r w:rsidR="00826EEC">
        <w:rPr>
          <w:bCs/>
          <w:iCs/>
        </w:rPr>
        <w:t xml:space="preserve">per </w:t>
      </w:r>
      <w:r w:rsidR="001D24E8">
        <w:rPr>
          <w:bCs/>
          <w:iCs/>
        </w:rPr>
        <w:t>U.S. airport</w:t>
      </w:r>
      <w:r w:rsidR="00D41D40">
        <w:rPr>
          <w:bCs/>
          <w:iCs/>
        </w:rPr>
        <w:t xml:space="preserve">) </w:t>
      </w:r>
      <w:r>
        <w:rPr>
          <w:bCs/>
          <w:iCs/>
        </w:rPr>
        <w:t>necessary to submit the plan through the electronic submission system by the cost of an hour of time for a programmer (wage including benefits and oversight) at $102.00 per hour</w:t>
      </w:r>
      <w:r w:rsidR="004D0D0E">
        <w:rPr>
          <w:bCs/>
          <w:iCs/>
        </w:rPr>
        <w:t xml:space="preserve"> (the median hourly wage for computer programmers for scheduled air transportation)</w:t>
      </w:r>
      <w:r>
        <w:rPr>
          <w:bCs/>
          <w:iCs/>
        </w:rPr>
        <w:t>.</w:t>
      </w:r>
    </w:p>
    <w:p w:rsidR="00417E42" w:rsidRDefault="00417E42" w:rsidP="008F71EA">
      <w:pPr>
        <w:rPr>
          <w:bCs/>
          <w:iCs/>
        </w:rPr>
      </w:pPr>
    </w:p>
    <w:p w:rsidR="00E9306B" w:rsidRPr="001F5B55" w:rsidRDefault="00E9306B" w:rsidP="00E9306B">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00E9306B" w:rsidRPr="001F5B55" w:rsidRDefault="00E9306B" w:rsidP="00E9306B"/>
    <w:p w:rsidR="00E9306B" w:rsidRPr="001F5B55" w:rsidRDefault="00E9306B" w:rsidP="00E9306B">
      <w:pPr>
        <w:outlineLvl w:val="0"/>
      </w:pPr>
      <w:r w:rsidRPr="001F5B55">
        <w:t xml:space="preserve">There is </w:t>
      </w:r>
      <w:r w:rsidR="004E15DB">
        <w:t>minimal</w:t>
      </w:r>
      <w:r w:rsidRPr="001F5B55">
        <w:t xml:space="preserve"> cost to the federal government</w:t>
      </w:r>
      <w:r w:rsidR="004E15DB">
        <w:t xml:space="preserve"> of setting up </w:t>
      </w:r>
      <w:r w:rsidR="00544313">
        <w:t>an</w:t>
      </w:r>
      <w:r w:rsidR="004E15DB">
        <w:t xml:space="preserve"> online submission system where U.S. airlines and airports can submit their required plans</w:t>
      </w:r>
      <w:r w:rsidR="00BB13CC">
        <w:t>.  Cost is</w:t>
      </w:r>
      <w:r w:rsidR="00A3428C">
        <w:t xml:space="preserve"> estimated to be </w:t>
      </w:r>
      <w:r w:rsidR="00F37230">
        <w:t xml:space="preserve">approximately </w:t>
      </w:r>
      <w:r w:rsidR="00A3428C">
        <w:t xml:space="preserve">$15,000.  </w:t>
      </w:r>
    </w:p>
    <w:p w:rsidR="00E9306B" w:rsidRPr="001F5B55" w:rsidRDefault="00E9306B" w:rsidP="00E9306B"/>
    <w:p w:rsidR="00E9306B" w:rsidRPr="001F5B55" w:rsidRDefault="00E9306B" w:rsidP="00E9306B">
      <w:r w:rsidRPr="001F5B55">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00E9306B" w:rsidRDefault="00E9306B" w:rsidP="008F71EA">
      <w:pPr>
        <w:rPr>
          <w:b/>
        </w:rPr>
      </w:pPr>
    </w:p>
    <w:p w:rsidR="00417E42" w:rsidRPr="00417E42" w:rsidRDefault="004E15DB" w:rsidP="008F71EA">
      <w:r>
        <w:t>This is a new information collection.</w:t>
      </w:r>
    </w:p>
    <w:p w:rsidR="00417E42" w:rsidRDefault="00417E42" w:rsidP="008F71EA">
      <w:pPr>
        <w:rPr>
          <w:b/>
        </w:rPr>
      </w:pPr>
    </w:p>
    <w:p w:rsidR="00E9306B" w:rsidRPr="001F5B55" w:rsidRDefault="00E9306B" w:rsidP="00E9306B">
      <w:r w:rsidRPr="001F5B55">
        <w:lastRenderedPageBreak/>
        <w:t xml:space="preserve">16. </w:t>
      </w:r>
      <w:r w:rsidRPr="001F5B55">
        <w:rPr>
          <w:u w:val="single"/>
        </w:rPr>
        <w:t>Publication of results of data collection</w:t>
      </w:r>
      <w:r w:rsidRPr="001F5B55">
        <w:t xml:space="preserve">.  </w:t>
      </w:r>
      <w:r w:rsidRPr="001F5B55">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F5B55">
        <w:t>.</w:t>
      </w:r>
    </w:p>
    <w:p w:rsidR="00E9306B" w:rsidRPr="001F5B55" w:rsidRDefault="00E9306B" w:rsidP="00E9306B"/>
    <w:p w:rsidR="00E9306B" w:rsidRPr="001F5B55" w:rsidRDefault="004E15DB" w:rsidP="00E9306B">
      <w:pPr>
        <w:autoSpaceDE w:val="0"/>
        <w:autoSpaceDN w:val="0"/>
        <w:adjustRightInd w:val="0"/>
      </w:pPr>
      <w:r>
        <w:t>We are not planning on publishing or posting the submitted tarmac delay plans, as the airlines and airports are required by statute to post the approved plans on their websites.</w:t>
      </w:r>
      <w:r w:rsidR="00E9306B" w:rsidRPr="001F5B55">
        <w:t xml:space="preserve"> </w:t>
      </w:r>
    </w:p>
    <w:p w:rsidR="00E9306B" w:rsidRPr="001F5B55" w:rsidRDefault="00E9306B" w:rsidP="00E9306B"/>
    <w:p w:rsidR="00E9306B" w:rsidRPr="001F5B55" w:rsidRDefault="00E9306B" w:rsidP="00E9306B">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00E9306B" w:rsidRPr="001F5B55" w:rsidRDefault="00E9306B" w:rsidP="00E9306B"/>
    <w:p w:rsidR="00E9306B" w:rsidRPr="001F5B55" w:rsidRDefault="00E9306B" w:rsidP="00E9306B">
      <w:pPr>
        <w:outlineLvl w:val="0"/>
      </w:pPr>
      <w:r w:rsidRPr="001F5B55">
        <w:t>Not applicable.</w:t>
      </w:r>
    </w:p>
    <w:p w:rsidR="00E9306B" w:rsidRPr="001F5B55" w:rsidRDefault="00E9306B" w:rsidP="00E9306B"/>
    <w:p w:rsidR="00E9306B" w:rsidRPr="001F5B55" w:rsidRDefault="00E9306B" w:rsidP="00E9306B">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E9306B" w:rsidRDefault="00E9306B" w:rsidP="00E9306B">
      <w:pPr>
        <w:outlineLvl w:val="0"/>
      </w:pPr>
    </w:p>
    <w:p w:rsidR="00E9306B" w:rsidRPr="001F5B55" w:rsidRDefault="00E9306B" w:rsidP="00E9306B">
      <w:pPr>
        <w:outlineLvl w:val="0"/>
      </w:pPr>
      <w:r w:rsidRPr="001F5B55">
        <w:t>Not applicable.</w:t>
      </w:r>
    </w:p>
    <w:p w:rsidR="00E9306B" w:rsidRPr="005D7C71" w:rsidRDefault="00E9306B" w:rsidP="008F71EA">
      <w:pPr>
        <w:rPr>
          <w:b/>
        </w:rPr>
      </w:pPr>
    </w:p>
    <w:sectPr w:rsidR="00E9306B" w:rsidRPr="005D7C71" w:rsidSect="008767EE">
      <w:head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1C8" w:rsidRDefault="00B871C8" w:rsidP="005D26DD">
      <w:r>
        <w:separator/>
      </w:r>
    </w:p>
  </w:endnote>
  <w:endnote w:type="continuationSeparator" w:id="0">
    <w:p w:rsidR="00B871C8" w:rsidRDefault="00B871C8" w:rsidP="005D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1C8" w:rsidRDefault="00B871C8" w:rsidP="005D26DD">
      <w:r>
        <w:separator/>
      </w:r>
    </w:p>
  </w:footnote>
  <w:footnote w:type="continuationSeparator" w:id="0">
    <w:p w:rsidR="00B871C8" w:rsidRDefault="00B871C8" w:rsidP="005D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168"/>
      <w:docPartObj>
        <w:docPartGallery w:val="Page Numbers (Top of Page)"/>
        <w:docPartUnique/>
      </w:docPartObj>
    </w:sdtPr>
    <w:sdtEndPr/>
    <w:sdtContent>
      <w:p w:rsidR="00B871C8" w:rsidRDefault="00B871C8">
        <w:pPr>
          <w:pStyle w:val="Header"/>
          <w:jc w:val="center"/>
        </w:pPr>
        <w:r>
          <w:fldChar w:fldCharType="begin"/>
        </w:r>
        <w:r>
          <w:instrText xml:space="preserve"> PAGE   \* MERGEFORMAT </w:instrText>
        </w:r>
        <w:r>
          <w:fldChar w:fldCharType="separate"/>
        </w:r>
        <w:r w:rsidR="00DE5436">
          <w:rPr>
            <w:noProof/>
          </w:rPr>
          <w:t>3</w:t>
        </w:r>
        <w:r>
          <w:fldChar w:fldCharType="end"/>
        </w:r>
      </w:p>
    </w:sdtContent>
  </w:sdt>
  <w:p w:rsidR="00B871C8" w:rsidRDefault="00B87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E3CCE"/>
    <w:multiLevelType w:val="hybridMultilevel"/>
    <w:tmpl w:val="CEB0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71"/>
    <w:rsid w:val="00047FCC"/>
    <w:rsid w:val="00083B8E"/>
    <w:rsid w:val="000A4289"/>
    <w:rsid w:val="000D46FE"/>
    <w:rsid w:val="000D7B8F"/>
    <w:rsid w:val="00194990"/>
    <w:rsid w:val="001C10C2"/>
    <w:rsid w:val="001D24E8"/>
    <w:rsid w:val="001E33F3"/>
    <w:rsid w:val="00216E59"/>
    <w:rsid w:val="002427BF"/>
    <w:rsid w:val="002667FB"/>
    <w:rsid w:val="00311CA8"/>
    <w:rsid w:val="00354BC4"/>
    <w:rsid w:val="003E0D04"/>
    <w:rsid w:val="00417E42"/>
    <w:rsid w:val="00443A54"/>
    <w:rsid w:val="004D0D0E"/>
    <w:rsid w:val="004E15DB"/>
    <w:rsid w:val="00540EE3"/>
    <w:rsid w:val="00544313"/>
    <w:rsid w:val="00563CA8"/>
    <w:rsid w:val="005D26DD"/>
    <w:rsid w:val="005D7C71"/>
    <w:rsid w:val="00607FAE"/>
    <w:rsid w:val="006174DF"/>
    <w:rsid w:val="00641F72"/>
    <w:rsid w:val="00651785"/>
    <w:rsid w:val="00665E39"/>
    <w:rsid w:val="006743DC"/>
    <w:rsid w:val="0070571C"/>
    <w:rsid w:val="00760D5E"/>
    <w:rsid w:val="007B1023"/>
    <w:rsid w:val="007D1814"/>
    <w:rsid w:val="00826EEC"/>
    <w:rsid w:val="00827C52"/>
    <w:rsid w:val="00856A4A"/>
    <w:rsid w:val="0086666B"/>
    <w:rsid w:val="008767EE"/>
    <w:rsid w:val="008D7376"/>
    <w:rsid w:val="008F167E"/>
    <w:rsid w:val="008F346F"/>
    <w:rsid w:val="008F71EA"/>
    <w:rsid w:val="00923809"/>
    <w:rsid w:val="009473E4"/>
    <w:rsid w:val="00951124"/>
    <w:rsid w:val="00963946"/>
    <w:rsid w:val="00963F15"/>
    <w:rsid w:val="009663F7"/>
    <w:rsid w:val="009A29DA"/>
    <w:rsid w:val="009A3F78"/>
    <w:rsid w:val="00A07C39"/>
    <w:rsid w:val="00A13467"/>
    <w:rsid w:val="00A13542"/>
    <w:rsid w:val="00A1419F"/>
    <w:rsid w:val="00A16595"/>
    <w:rsid w:val="00A3428C"/>
    <w:rsid w:val="00A5104C"/>
    <w:rsid w:val="00A51EF8"/>
    <w:rsid w:val="00A63786"/>
    <w:rsid w:val="00B118DD"/>
    <w:rsid w:val="00B544EA"/>
    <w:rsid w:val="00B871C8"/>
    <w:rsid w:val="00BB13CC"/>
    <w:rsid w:val="00BD0674"/>
    <w:rsid w:val="00C75BC0"/>
    <w:rsid w:val="00CE78CB"/>
    <w:rsid w:val="00D13465"/>
    <w:rsid w:val="00D41D40"/>
    <w:rsid w:val="00DB6305"/>
    <w:rsid w:val="00DB6E60"/>
    <w:rsid w:val="00DE5436"/>
    <w:rsid w:val="00DF04A9"/>
    <w:rsid w:val="00E67389"/>
    <w:rsid w:val="00E9306B"/>
    <w:rsid w:val="00EE2F66"/>
    <w:rsid w:val="00F33246"/>
    <w:rsid w:val="00F37230"/>
    <w:rsid w:val="00F55DA1"/>
    <w:rsid w:val="00F7666A"/>
    <w:rsid w:val="00F9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71"/>
    <w:pPr>
      <w:ind w:left="720"/>
      <w:contextualSpacing/>
    </w:pPr>
  </w:style>
  <w:style w:type="character" w:styleId="CommentReference">
    <w:name w:val="annotation reference"/>
    <w:basedOn w:val="DefaultParagraphFont"/>
    <w:rsid w:val="00A13467"/>
    <w:rPr>
      <w:sz w:val="16"/>
      <w:szCs w:val="16"/>
    </w:rPr>
  </w:style>
  <w:style w:type="paragraph" w:styleId="CommentText">
    <w:name w:val="annotation text"/>
    <w:basedOn w:val="Normal"/>
    <w:link w:val="CommentTextChar"/>
    <w:rsid w:val="00A13467"/>
    <w:rPr>
      <w:sz w:val="20"/>
      <w:szCs w:val="20"/>
    </w:rPr>
  </w:style>
  <w:style w:type="character" w:customStyle="1" w:styleId="CommentTextChar">
    <w:name w:val="Comment Text Char"/>
    <w:basedOn w:val="DefaultParagraphFont"/>
    <w:link w:val="CommentText"/>
    <w:rsid w:val="00A134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467"/>
    <w:rPr>
      <w:rFonts w:ascii="Tahoma" w:hAnsi="Tahoma" w:cs="Tahoma"/>
      <w:sz w:val="16"/>
      <w:szCs w:val="16"/>
    </w:rPr>
  </w:style>
  <w:style w:type="character" w:customStyle="1" w:styleId="BalloonTextChar">
    <w:name w:val="Balloon Text Char"/>
    <w:basedOn w:val="DefaultParagraphFont"/>
    <w:link w:val="BalloonText"/>
    <w:uiPriority w:val="99"/>
    <w:semiHidden/>
    <w:rsid w:val="00A13467"/>
    <w:rPr>
      <w:rFonts w:ascii="Tahoma" w:eastAsia="Times New Roman" w:hAnsi="Tahoma" w:cs="Tahoma"/>
      <w:sz w:val="16"/>
      <w:szCs w:val="16"/>
    </w:rPr>
  </w:style>
  <w:style w:type="character" w:styleId="Hyperlink">
    <w:name w:val="Hyperlink"/>
    <w:basedOn w:val="DefaultParagraphFont"/>
    <w:uiPriority w:val="99"/>
    <w:unhideWhenUsed/>
    <w:rsid w:val="001C10C2"/>
    <w:rPr>
      <w:color w:val="0000FF" w:themeColor="hyperlink"/>
      <w:u w:val="single"/>
    </w:rPr>
  </w:style>
  <w:style w:type="paragraph" w:styleId="Header">
    <w:name w:val="header"/>
    <w:basedOn w:val="Normal"/>
    <w:link w:val="HeaderChar"/>
    <w:uiPriority w:val="99"/>
    <w:unhideWhenUsed/>
    <w:rsid w:val="005D26DD"/>
    <w:pPr>
      <w:tabs>
        <w:tab w:val="center" w:pos="4680"/>
        <w:tab w:val="right" w:pos="9360"/>
      </w:tabs>
    </w:pPr>
  </w:style>
  <w:style w:type="character" w:customStyle="1" w:styleId="HeaderChar">
    <w:name w:val="Header Char"/>
    <w:basedOn w:val="DefaultParagraphFont"/>
    <w:link w:val="Header"/>
    <w:uiPriority w:val="99"/>
    <w:rsid w:val="005D26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26DD"/>
    <w:pPr>
      <w:tabs>
        <w:tab w:val="center" w:pos="4680"/>
        <w:tab w:val="right" w:pos="9360"/>
      </w:tabs>
    </w:pPr>
  </w:style>
  <w:style w:type="character" w:customStyle="1" w:styleId="FooterChar">
    <w:name w:val="Footer Char"/>
    <w:basedOn w:val="DefaultParagraphFont"/>
    <w:link w:val="Footer"/>
    <w:uiPriority w:val="99"/>
    <w:semiHidden/>
    <w:rsid w:val="005D26DD"/>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32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71"/>
    <w:pPr>
      <w:ind w:left="720"/>
      <w:contextualSpacing/>
    </w:pPr>
  </w:style>
  <w:style w:type="character" w:styleId="CommentReference">
    <w:name w:val="annotation reference"/>
    <w:basedOn w:val="DefaultParagraphFont"/>
    <w:rsid w:val="00A13467"/>
    <w:rPr>
      <w:sz w:val="16"/>
      <w:szCs w:val="16"/>
    </w:rPr>
  </w:style>
  <w:style w:type="paragraph" w:styleId="CommentText">
    <w:name w:val="annotation text"/>
    <w:basedOn w:val="Normal"/>
    <w:link w:val="CommentTextChar"/>
    <w:rsid w:val="00A13467"/>
    <w:rPr>
      <w:sz w:val="20"/>
      <w:szCs w:val="20"/>
    </w:rPr>
  </w:style>
  <w:style w:type="character" w:customStyle="1" w:styleId="CommentTextChar">
    <w:name w:val="Comment Text Char"/>
    <w:basedOn w:val="DefaultParagraphFont"/>
    <w:link w:val="CommentText"/>
    <w:rsid w:val="00A134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467"/>
    <w:rPr>
      <w:rFonts w:ascii="Tahoma" w:hAnsi="Tahoma" w:cs="Tahoma"/>
      <w:sz w:val="16"/>
      <w:szCs w:val="16"/>
    </w:rPr>
  </w:style>
  <w:style w:type="character" w:customStyle="1" w:styleId="BalloonTextChar">
    <w:name w:val="Balloon Text Char"/>
    <w:basedOn w:val="DefaultParagraphFont"/>
    <w:link w:val="BalloonText"/>
    <w:uiPriority w:val="99"/>
    <w:semiHidden/>
    <w:rsid w:val="00A13467"/>
    <w:rPr>
      <w:rFonts w:ascii="Tahoma" w:eastAsia="Times New Roman" w:hAnsi="Tahoma" w:cs="Tahoma"/>
      <w:sz w:val="16"/>
      <w:szCs w:val="16"/>
    </w:rPr>
  </w:style>
  <w:style w:type="character" w:styleId="Hyperlink">
    <w:name w:val="Hyperlink"/>
    <w:basedOn w:val="DefaultParagraphFont"/>
    <w:uiPriority w:val="99"/>
    <w:unhideWhenUsed/>
    <w:rsid w:val="001C10C2"/>
    <w:rPr>
      <w:color w:val="0000FF" w:themeColor="hyperlink"/>
      <w:u w:val="single"/>
    </w:rPr>
  </w:style>
  <w:style w:type="paragraph" w:styleId="Header">
    <w:name w:val="header"/>
    <w:basedOn w:val="Normal"/>
    <w:link w:val="HeaderChar"/>
    <w:uiPriority w:val="99"/>
    <w:unhideWhenUsed/>
    <w:rsid w:val="005D26DD"/>
    <w:pPr>
      <w:tabs>
        <w:tab w:val="center" w:pos="4680"/>
        <w:tab w:val="right" w:pos="9360"/>
      </w:tabs>
    </w:pPr>
  </w:style>
  <w:style w:type="character" w:customStyle="1" w:styleId="HeaderChar">
    <w:name w:val="Header Char"/>
    <w:basedOn w:val="DefaultParagraphFont"/>
    <w:link w:val="Header"/>
    <w:uiPriority w:val="99"/>
    <w:rsid w:val="005D26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26DD"/>
    <w:pPr>
      <w:tabs>
        <w:tab w:val="center" w:pos="4680"/>
        <w:tab w:val="right" w:pos="9360"/>
      </w:tabs>
    </w:pPr>
  </w:style>
  <w:style w:type="character" w:customStyle="1" w:styleId="FooterChar">
    <w:name w:val="Footer Char"/>
    <w:basedOn w:val="DefaultParagraphFont"/>
    <w:link w:val="Footer"/>
    <w:uiPriority w:val="99"/>
    <w:semiHidden/>
    <w:rsid w:val="005D26DD"/>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3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09ECF-B495-4D3F-971D-F74A2FA3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Livaughn Chapman</dc:creator>
  <cp:lastModifiedBy>Claire W. Barrett</cp:lastModifiedBy>
  <cp:revision>5</cp:revision>
  <cp:lastPrinted>2012-04-17T16:16:00Z</cp:lastPrinted>
  <dcterms:created xsi:type="dcterms:W3CDTF">2012-04-20T21:03:00Z</dcterms:created>
  <dcterms:modified xsi:type="dcterms:W3CDTF">2012-04-20T21:31:00Z</dcterms:modified>
</cp:coreProperties>
</file>