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2965" w:rsidRPr="001F5B55" w:rsidP="00232965" w14:paraId="2BAA5368" w14:textId="48AE71D1">
      <w:pPr>
        <w:jc w:val="center"/>
        <w:outlineLvl w:val="0"/>
        <w:rPr>
          <w:b/>
          <w:sz w:val="32"/>
          <w:szCs w:val="32"/>
        </w:rPr>
      </w:pPr>
      <w:r w:rsidRPr="001F5B55">
        <w:rPr>
          <w:b/>
          <w:sz w:val="32"/>
          <w:szCs w:val="32"/>
        </w:rPr>
        <w:t>Department of Transportation</w:t>
      </w:r>
    </w:p>
    <w:p w:rsidR="00232965" w:rsidRPr="001F5B55" w:rsidP="00232965" w14:paraId="404E8C48" w14:textId="77777777">
      <w:pPr>
        <w:jc w:val="center"/>
        <w:outlineLvl w:val="0"/>
        <w:rPr>
          <w:b/>
          <w:sz w:val="32"/>
          <w:szCs w:val="32"/>
        </w:rPr>
      </w:pPr>
      <w:r w:rsidRPr="001F5B55">
        <w:rPr>
          <w:b/>
          <w:sz w:val="32"/>
          <w:szCs w:val="32"/>
        </w:rPr>
        <w:t>Office of the Chief Information Officer</w:t>
      </w:r>
    </w:p>
    <w:p w:rsidR="00232965" w:rsidRPr="001F5B55" w:rsidP="00232965" w14:paraId="20687548" w14:textId="77777777"/>
    <w:p w:rsidR="00232965" w:rsidRPr="001F5B55" w:rsidP="00232965" w14:paraId="62681DCD" w14:textId="77777777">
      <w:pPr>
        <w:jc w:val="center"/>
        <w:outlineLvl w:val="0"/>
        <w:rPr>
          <w:b/>
          <w:u w:val="single"/>
        </w:rPr>
      </w:pPr>
    </w:p>
    <w:p w:rsidR="00232965" w:rsidRPr="001F5B55" w:rsidP="00232965" w14:paraId="4F4C28B9" w14:textId="77777777">
      <w:pPr>
        <w:jc w:val="center"/>
        <w:outlineLvl w:val="0"/>
        <w:rPr>
          <w:b/>
        </w:rPr>
      </w:pPr>
      <w:r w:rsidRPr="001F5B55">
        <w:rPr>
          <w:b/>
          <w:u w:val="single"/>
        </w:rPr>
        <w:t>SUPPORTING STATEMENT:</w:t>
      </w:r>
      <w:r w:rsidRPr="001F5B55">
        <w:rPr>
          <w:b/>
        </w:rPr>
        <w:t xml:space="preserve"> </w:t>
      </w:r>
    </w:p>
    <w:p w:rsidR="00232965" w:rsidRPr="001F5B55" w:rsidP="00232965" w14:paraId="37C32696" w14:textId="77777777">
      <w:pPr>
        <w:jc w:val="center"/>
        <w:outlineLvl w:val="0"/>
        <w:rPr>
          <w:b/>
        </w:rPr>
      </w:pPr>
    </w:p>
    <w:p w:rsidR="00232965" w:rsidRPr="001F5B55" w:rsidP="00232965" w14:paraId="54AC191D" w14:textId="0326D80E">
      <w:pPr>
        <w:jc w:val="center"/>
        <w:rPr>
          <w:b/>
        </w:rPr>
      </w:pPr>
      <w:r>
        <w:rPr>
          <w:b/>
        </w:rPr>
        <w:t xml:space="preserve">Office of </w:t>
      </w:r>
      <w:r>
        <w:rPr>
          <w:b/>
        </w:rPr>
        <w:t>Aviation Consumer Protection Webpage</w:t>
      </w:r>
      <w:r w:rsidR="001617FB">
        <w:rPr>
          <w:b/>
        </w:rPr>
        <w:t xml:space="preserve"> On</w:t>
      </w:r>
      <w:r w:rsidR="008414E1">
        <w:rPr>
          <w:b/>
        </w:rPr>
        <w:t>l</w:t>
      </w:r>
      <w:r w:rsidR="001617FB">
        <w:rPr>
          <w:b/>
        </w:rPr>
        <w:t>ine</w:t>
      </w:r>
      <w:r>
        <w:rPr>
          <w:b/>
        </w:rPr>
        <w:t xml:space="preserve"> </w:t>
      </w:r>
      <w:r w:rsidR="00C52786">
        <w:rPr>
          <w:b/>
        </w:rPr>
        <w:t xml:space="preserve">Aviation </w:t>
      </w:r>
      <w:r w:rsidRPr="00817C56" w:rsidR="00817C56">
        <w:rPr>
          <w:b/>
        </w:rPr>
        <w:t xml:space="preserve">Online Complaint Form and Related Uses of a Modernized Aviation Consumer Protection Information Technology System </w:t>
      </w:r>
    </w:p>
    <w:p w:rsidR="00232965" w:rsidRPr="001F5B55" w:rsidP="00232965" w14:paraId="694C5875" w14:textId="77777777">
      <w:pPr>
        <w:jc w:val="center"/>
        <w:rPr>
          <w:b/>
        </w:rPr>
      </w:pPr>
    </w:p>
    <w:p w:rsidR="00232965" w:rsidRPr="001F5B55" w:rsidP="00232965" w14:paraId="30EA6210" w14:textId="77777777">
      <w:pPr>
        <w:jc w:val="center"/>
        <w:outlineLvl w:val="0"/>
        <w:rPr>
          <w:b/>
          <w:u w:val="single"/>
        </w:rPr>
      </w:pPr>
      <w:r w:rsidRPr="001F5B55">
        <w:t>OMB Control Number</w:t>
      </w:r>
      <w:r w:rsidRPr="001F5B55">
        <w:rPr>
          <w:b/>
        </w:rPr>
        <w:t xml:space="preserve"> </w:t>
      </w:r>
      <w:r w:rsidR="006E1AA1">
        <w:rPr>
          <w:rFonts w:cs="Arial"/>
          <w:sz w:val="22"/>
          <w:szCs w:val="22"/>
        </w:rPr>
        <w:t>2105-0568</w:t>
      </w:r>
    </w:p>
    <w:p w:rsidR="00232965" w:rsidP="00287240" w14:paraId="2AC0C652" w14:textId="77777777">
      <w:pPr>
        <w:rPr>
          <w:b/>
        </w:rPr>
      </w:pPr>
    </w:p>
    <w:p w:rsidR="00900B8A" w:rsidP="00900B8A" w14:paraId="40850EB5" w14:textId="77777777">
      <w:pPr>
        <w:rPr>
          <w:b/>
        </w:rPr>
      </w:pPr>
      <w:r>
        <w:rPr>
          <w:b/>
        </w:rPr>
        <w:t xml:space="preserve">SUMMARY:  </w:t>
      </w:r>
    </w:p>
    <w:p w:rsidR="00900B8A" w:rsidP="00900B8A" w14:paraId="4B920434" w14:textId="77777777">
      <w:pPr>
        <w:rPr>
          <w:b/>
        </w:rPr>
      </w:pPr>
    </w:p>
    <w:p w:rsidR="00821ADB" w:rsidP="00821ADB" w14:paraId="0850D7DB" w14:textId="70E4D3BB">
      <w:r>
        <w:t>The Department of Transportation</w:t>
      </w:r>
      <w:r w:rsidR="00D75375">
        <w:t xml:space="preserve"> (Department)</w:t>
      </w:r>
      <w:r>
        <w:t xml:space="preserve"> is </w:t>
      </w:r>
      <w:r w:rsidR="003B2476">
        <w:t>revising</w:t>
      </w:r>
      <w:r>
        <w:t xml:space="preserve"> an OMB co</w:t>
      </w:r>
      <w:r w:rsidR="006E1AA1">
        <w:t>ntrol number</w:t>
      </w:r>
      <w:r w:rsidR="001007E0">
        <w:t xml:space="preserve"> due to</w:t>
      </w:r>
      <w:r w:rsidR="00075D03">
        <w:t xml:space="preserve"> the </w:t>
      </w:r>
      <w:r w:rsidR="00E73027">
        <w:t>Office of Aviation Consumer Protection’s (OACP)</w:t>
      </w:r>
      <w:r w:rsidR="001007E0">
        <w:t xml:space="preserve"> </w:t>
      </w:r>
      <w:r w:rsidR="008C467B">
        <w:t>ongoing</w:t>
      </w:r>
      <w:r w:rsidR="00F8673A">
        <w:t xml:space="preserve"> IT system modernization projec</w:t>
      </w:r>
      <w:r w:rsidR="00075D03">
        <w:t>t.</w:t>
      </w:r>
      <w:r w:rsidR="006E1AA1">
        <w:t xml:space="preserve"> </w:t>
      </w:r>
      <w:r>
        <w:t xml:space="preserve">OACP’s legacy Consumer Complaint Application (CCA) is </w:t>
      </w:r>
      <w:r w:rsidR="00FE634B">
        <w:t>outdated,</w:t>
      </w:r>
      <w:r>
        <w:t xml:space="preserve"> and the office is modernizing the IT system to streamline the consumer complaint handling process and create greater efficiencies for OACP personnel and external users of the system (e.g., consumers</w:t>
      </w:r>
      <w:r w:rsidR="00E01942">
        <w:t xml:space="preserve"> and</w:t>
      </w:r>
      <w:r>
        <w:t xml:space="preserve"> regulated entities). The modernized IT system is known the Aviation Complaint, Enforcement, and Reporting System (ACERS).</w:t>
      </w:r>
    </w:p>
    <w:p w:rsidR="00821ADB" w:rsidP="00821ADB" w14:paraId="23276906" w14:textId="77777777"/>
    <w:p w:rsidR="00821ADB" w:rsidP="00EE4FEC" w14:paraId="107E8E72" w14:textId="24BC8AA0">
      <w:r>
        <w:t>T</w:t>
      </w:r>
      <w:r w:rsidR="008C467B">
        <w:t>his</w:t>
      </w:r>
      <w:r w:rsidR="00B748AA">
        <w:t xml:space="preserve"> supporting statement addresses </w:t>
      </w:r>
      <w:r>
        <w:t>revisions</w:t>
      </w:r>
      <w:r w:rsidR="00B748AA">
        <w:t xml:space="preserve"> being made to </w:t>
      </w:r>
      <w:r>
        <w:t>OACP’s Consumer</w:t>
      </w:r>
      <w:r>
        <w:t xml:space="preserve"> Submission process (Complaints, Comments, Compliments</w:t>
      </w:r>
      <w:r>
        <w:t>)</w:t>
      </w:r>
      <w:r>
        <w:t xml:space="preserve"> ICR</w:t>
      </w:r>
      <w:r>
        <w:t xml:space="preserve"> that is already covered by active OMB Control Number</w:t>
      </w:r>
      <w:r>
        <w:t xml:space="preserve"> </w:t>
      </w:r>
      <w:r>
        <w:t xml:space="preserve">2105-0568 </w:t>
      </w:r>
      <w:r w:rsidR="00494677">
        <w:t>(OST Docket No. DOT-OST-2011-0022)</w:t>
      </w:r>
      <w:r>
        <w:t xml:space="preserve"> and two new ICRs that are newly added to this control number (discussed below)</w:t>
      </w:r>
      <w:r w:rsidR="00277C2C">
        <w:t>.</w:t>
      </w:r>
      <w:r w:rsidR="00BD2C70">
        <w:t xml:space="preserve"> </w:t>
      </w:r>
    </w:p>
    <w:p w:rsidR="00770DD9" w:rsidRPr="007B4225" w:rsidP="008A0A6B" w14:paraId="115EB532" w14:textId="77777777">
      <w:pPr>
        <w:rPr>
          <w:u w:val="single"/>
        </w:rPr>
      </w:pPr>
    </w:p>
    <w:p w:rsidR="0019211D" w:rsidP="008A0A6B" w14:paraId="72ACBDF1" w14:textId="258CFB25">
      <w:r>
        <w:t>OA</w:t>
      </w:r>
      <w:r w:rsidR="005B461F">
        <w:t>CP</w:t>
      </w:r>
      <w:r w:rsidR="00522CC6">
        <w:t xml:space="preserve"> monitors compliance with and investigates violations of the Department’s aviation economic</w:t>
      </w:r>
      <w:r w:rsidR="00457AC3">
        <w:t xml:space="preserve"> requirements, </w:t>
      </w:r>
      <w:r w:rsidR="00E01942">
        <w:t xml:space="preserve">which includes </w:t>
      </w:r>
      <w:r w:rsidR="00457AC3">
        <w:t xml:space="preserve">consumer protection </w:t>
      </w:r>
      <w:r w:rsidR="00522CC6">
        <w:t xml:space="preserve">and civil rights requirements. </w:t>
      </w:r>
      <w:r w:rsidR="00E01942">
        <w:t xml:space="preserve"> C</w:t>
      </w:r>
      <w:r>
        <w:t>urrently</w:t>
      </w:r>
      <w:r w:rsidR="00E01942">
        <w:t>, consumers may submit service-related complaints against air carriers or air travel-related companies using an online form that can be accessed on OACP’s website.</w:t>
      </w:r>
      <w:r w:rsidR="00287240">
        <w:t xml:space="preserve"> </w:t>
      </w:r>
      <w:r w:rsidR="00004D90">
        <w:t xml:space="preserve">The </w:t>
      </w:r>
      <w:r w:rsidR="00F4138B">
        <w:t xml:space="preserve">form </w:t>
      </w:r>
      <w:r w:rsidR="00004D90">
        <w:t xml:space="preserve">includes a field for consumers </w:t>
      </w:r>
      <w:r w:rsidR="00F4138B">
        <w:t xml:space="preserve">to </w:t>
      </w:r>
      <w:r w:rsidR="00004D90">
        <w:t>describe their</w:t>
      </w:r>
      <w:r w:rsidR="00F4138B">
        <w:t xml:space="preserve"> specific air-travel related problem or </w:t>
      </w:r>
      <w:r w:rsidR="00004D90">
        <w:t xml:space="preserve">comment to </w:t>
      </w:r>
      <w:r>
        <w:t>OACP</w:t>
      </w:r>
      <w:r w:rsidR="00F4138B">
        <w:t>.</w:t>
      </w:r>
      <w:r w:rsidRPr="0019211D">
        <w:t xml:space="preserve"> </w:t>
      </w:r>
      <w:r w:rsidR="009F385A">
        <w:t xml:space="preserve">The updated consumer submission process in </w:t>
      </w:r>
      <w:r>
        <w:t xml:space="preserve">ACERS </w:t>
      </w:r>
      <w:r w:rsidR="00E01942">
        <w:t>includes</w:t>
      </w:r>
      <w:r>
        <w:t xml:space="preserve"> additional information fields</w:t>
      </w:r>
      <w:r w:rsidR="00E01942">
        <w:t>. It also ensures that individual air consumer concerns are comprehensively captured by guiding consumers to enter specific information relevant to their complaint.</w:t>
      </w:r>
    </w:p>
    <w:p w:rsidR="003D0810" w:rsidP="003D0810" w14:paraId="69183450" w14:textId="67FFCE2B"/>
    <w:p w:rsidR="00EE4FEC" w:rsidP="00900B8A" w14:paraId="3C03B30D" w14:textId="6F6BA54A">
      <w:r w:rsidRPr="00155C91">
        <w:t>Based on</w:t>
      </w:r>
      <w:r w:rsidR="00B473F9">
        <w:t xml:space="preserve"> Calendar Year (</w:t>
      </w:r>
      <w:r w:rsidRPr="00155C91">
        <w:t>CY</w:t>
      </w:r>
      <w:r w:rsidR="00B473F9">
        <w:t>)</w:t>
      </w:r>
      <w:r w:rsidR="00AD334A">
        <w:t xml:space="preserve"> </w:t>
      </w:r>
      <w:r w:rsidR="00FA36F1">
        <w:t>20</w:t>
      </w:r>
      <w:r w:rsidR="00AD334A">
        <w:t>21</w:t>
      </w:r>
      <w:r w:rsidR="008136CA">
        <w:t>/</w:t>
      </w:r>
      <w:r w:rsidR="00FA36F1">
        <w:t>20</w:t>
      </w:r>
      <w:r w:rsidR="008136CA">
        <w:t>22</w:t>
      </w:r>
      <w:r w:rsidRPr="00155C91">
        <w:t xml:space="preserve"> information</w:t>
      </w:r>
      <w:r>
        <w:rPr>
          <w:vertAlign w:val="superscript"/>
        </w:rPr>
        <w:footnoteReference w:id="2"/>
      </w:r>
      <w:r w:rsidR="004A21EB">
        <w:t>,</w:t>
      </w:r>
      <w:r w:rsidRPr="00155C91">
        <w:t xml:space="preserve"> </w:t>
      </w:r>
      <w:r w:rsidR="001C143B">
        <w:t>62,098</w:t>
      </w:r>
      <w:r w:rsidRPr="00155C91">
        <w:t xml:space="preserve"> of the </w:t>
      </w:r>
      <w:r w:rsidR="001C143B">
        <w:t xml:space="preserve">63,807 </w:t>
      </w:r>
      <w:r w:rsidR="00D803B2">
        <w:t>average</w:t>
      </w:r>
      <w:r w:rsidRPr="00155C91">
        <w:t xml:space="preserve"> total </w:t>
      </w:r>
      <w:r w:rsidRPr="00155C91" w:rsidR="00E01942">
        <w:t>cases received</w:t>
      </w:r>
      <w:r w:rsidRPr="00155C91">
        <w:t xml:space="preserve"> by </w:t>
      </w:r>
      <w:r w:rsidR="00BD1FF4">
        <w:t>O</w:t>
      </w:r>
      <w:r w:rsidR="00735F0F">
        <w:t>ACP</w:t>
      </w:r>
      <w:r w:rsidR="00FB7BA4">
        <w:t xml:space="preserve"> (approximately 97%)</w:t>
      </w:r>
      <w:r w:rsidRPr="00155C91">
        <w:t xml:space="preserve"> were submitted using the electronic online form</w:t>
      </w:r>
      <w:r w:rsidR="00FB7BA4">
        <w:t>. The vast majority of the submissions</w:t>
      </w:r>
      <w:r w:rsidR="00D803B2">
        <w:t xml:space="preserve"> </w:t>
      </w:r>
      <w:r w:rsidRPr="00155C91">
        <w:t>are</w:t>
      </w:r>
      <w:r w:rsidR="001C143B">
        <w:t xml:space="preserve"> consumer</w:t>
      </w:r>
      <w:r w:rsidRPr="00155C91">
        <w:t xml:space="preserve"> complaints. </w:t>
      </w:r>
      <w:bookmarkStart w:id="0" w:name="_Hlk169590950"/>
      <w:r w:rsidR="00004D90">
        <w:t xml:space="preserve">Information from complaints and airline and travel company responses may be used by the office to determine </w:t>
      </w:r>
      <w:r w:rsidR="00FB7BA4">
        <w:t>whether these</w:t>
      </w:r>
      <w:r w:rsidR="00004D90">
        <w:t xml:space="preserve"> </w:t>
      </w:r>
      <w:r w:rsidR="00004D90">
        <w:t xml:space="preserve">entities are in compliance with federal aviation consumer protection </w:t>
      </w:r>
      <w:r w:rsidRPr="004B2999" w:rsidR="00004D90">
        <w:t xml:space="preserve">and civil rights laws and what, if any, action should be taken regarding </w:t>
      </w:r>
      <w:r w:rsidR="00004D90">
        <w:t xml:space="preserve">issues raised in </w:t>
      </w:r>
      <w:r w:rsidRPr="004B2999" w:rsidR="00004D90">
        <w:t xml:space="preserve">consumer complaints. The information submitted via the online form </w:t>
      </w:r>
      <w:r w:rsidR="00004D90">
        <w:t xml:space="preserve">may </w:t>
      </w:r>
      <w:r w:rsidRPr="004B2999" w:rsidR="00004D90">
        <w:t xml:space="preserve">also </w:t>
      </w:r>
      <w:r w:rsidR="00004D90">
        <w:t xml:space="preserve">be used </w:t>
      </w:r>
      <w:r w:rsidRPr="004B2999" w:rsidR="00004D90">
        <w:t xml:space="preserve">to </w:t>
      </w:r>
      <w:r w:rsidRPr="007B4225" w:rsidR="00004D90">
        <w:t>ascertain consumer satisfaction with air transportation services and</w:t>
      </w:r>
      <w:r w:rsidRPr="00AC5801" w:rsidR="00004D90">
        <w:t xml:space="preserve"> </w:t>
      </w:r>
      <w:r w:rsidRPr="004B2999" w:rsidR="00004D90">
        <w:t>serve as</w:t>
      </w:r>
      <w:r w:rsidR="00004D90">
        <w:t xml:space="preserve"> a basis for rulemaking, legislation, and research.</w:t>
      </w:r>
      <w:bookmarkEnd w:id="0"/>
    </w:p>
    <w:p w:rsidR="00A31C21" w:rsidP="00EE4FEC" w14:paraId="5244683F" w14:textId="77777777"/>
    <w:p w:rsidR="00EE4FEC" w:rsidP="00EE4FEC" w14:paraId="11EBFDC6" w14:textId="5295A76A">
      <w:r>
        <w:t>As noted above, t</w:t>
      </w:r>
      <w:r>
        <w:t xml:space="preserve">he Department is also revising the </w:t>
      </w:r>
      <w:r w:rsidR="00FB7BA4">
        <w:t xml:space="preserve">OMB </w:t>
      </w:r>
      <w:r>
        <w:t>control number to include two new ICRs related to external users, such as regulated entities or government users, that may use the modernized IT system to 1) set up and manage individual accounts and 2) access complaints and other submissions and/or submit complaint responses, reports, or other information into that system. The new ICRs are added, in part, to a comment submitted during the 60-day notice comment period and are more fully addressed below.</w:t>
      </w:r>
    </w:p>
    <w:p w:rsidR="003D0810" w:rsidRPr="001F5B55" w:rsidP="00232965" w14:paraId="6EEB4341" w14:textId="77777777"/>
    <w:p w:rsidR="00232965" w:rsidP="00232965" w14:paraId="20B31A75" w14:textId="77777777">
      <w:pPr>
        <w:outlineLvl w:val="0"/>
        <w:rPr>
          <w:b/>
        </w:rPr>
      </w:pPr>
      <w:r w:rsidRPr="001F5B55">
        <w:rPr>
          <w:b/>
        </w:rPr>
        <w:t>JUSTIFICATION</w:t>
      </w:r>
      <w:r w:rsidR="00900B8A">
        <w:rPr>
          <w:b/>
        </w:rPr>
        <w:t>:</w:t>
      </w:r>
    </w:p>
    <w:p w:rsidR="00232965" w:rsidRPr="001F5B55" w:rsidP="00232965" w14:paraId="120AB1F4" w14:textId="77777777"/>
    <w:p w:rsidR="00232965" w:rsidRPr="001F5B55" w:rsidP="00232965" w14:paraId="3F59A100" w14:textId="77777777">
      <w:r w:rsidRPr="001F5B55">
        <w:t xml:space="preserve">1. </w:t>
      </w:r>
      <w:r w:rsidRPr="001F5B55">
        <w:rPr>
          <w:u w:val="single"/>
        </w:rPr>
        <w:t>Circumstances that make collection of information necessary.</w:t>
      </w:r>
      <w:r w:rsidRPr="001F5B55">
        <w:t xml:space="preserve"> </w:t>
      </w:r>
      <w:r w:rsidRPr="001F5B55">
        <w:rPr>
          <w:b/>
          <w:bCs/>
          <w:i/>
          <w:iCs/>
        </w:rPr>
        <w:t>Explain the circumstances that make the collection of information necessary.  Identify any legal or administrative requirements that necessitate the collection</w:t>
      </w:r>
      <w:r w:rsidRPr="001F5B55">
        <w:t>.</w:t>
      </w:r>
    </w:p>
    <w:p w:rsidR="00232965" w:rsidRPr="001F5B55" w:rsidP="00232965" w14:paraId="6C826227" w14:textId="77777777">
      <w:pPr>
        <w:ind w:left="720"/>
      </w:pPr>
    </w:p>
    <w:p w:rsidR="00580FA2" w:rsidP="00232965" w14:paraId="3937A57D" w14:textId="77777777">
      <w:r>
        <w:t>OACP</w:t>
      </w:r>
      <w:r w:rsidR="00522CC6">
        <w:t xml:space="preserve"> </w:t>
      </w:r>
      <w:r w:rsidR="00555FB4">
        <w:t xml:space="preserve">has </w:t>
      </w:r>
      <w:r w:rsidR="00691B3C">
        <w:t xml:space="preserve">broad </w:t>
      </w:r>
      <w:r w:rsidR="00555FB4">
        <w:t>authority u</w:t>
      </w:r>
      <w:r w:rsidR="00CD7166">
        <w:t xml:space="preserve">nder </w:t>
      </w:r>
      <w:r w:rsidR="00555FB4">
        <w:t>49</w:t>
      </w:r>
      <w:r w:rsidR="00CD7166">
        <w:t xml:space="preserve"> U.S.C.</w:t>
      </w:r>
      <w:r w:rsidR="00020C22">
        <w:t>, Subtitle VII</w:t>
      </w:r>
      <w:r w:rsidR="00555FB4">
        <w:t>,</w:t>
      </w:r>
      <w:r w:rsidR="005D7368">
        <w:t xml:space="preserve"> to investigate and enforce</w:t>
      </w:r>
      <w:r w:rsidR="00555FB4">
        <w:t xml:space="preserve"> consumer pro</w:t>
      </w:r>
      <w:r w:rsidR="000773ED">
        <w:t>tection and civil rights laws</w:t>
      </w:r>
      <w:r w:rsidR="00555FB4">
        <w:t xml:space="preserve"> and regulations related to air transportation.</w:t>
      </w:r>
      <w:r w:rsidR="000773ED">
        <w:t xml:space="preserve"> </w:t>
      </w:r>
      <w:r w:rsidR="00FB7BA4">
        <w:t xml:space="preserve">OACP is required to investigate each </w:t>
      </w:r>
      <w:r w:rsidR="000773ED">
        <w:t>disability-relate</w:t>
      </w:r>
      <w:r w:rsidR="00627551">
        <w:t xml:space="preserve">d complaint </w:t>
      </w:r>
      <w:r w:rsidR="00FB7BA4">
        <w:t>submitted by consumers pursuant to</w:t>
      </w:r>
      <w:r w:rsidR="000773ED">
        <w:t xml:space="preserve"> 49 U.S.C. § 41705.</w:t>
      </w:r>
      <w:r w:rsidRPr="00AD4CCC" w:rsidR="00AD4CCC">
        <w:t xml:space="preserve"> Information from complaints and airline and travel company responses </w:t>
      </w:r>
      <w:r w:rsidR="00AD4CCC">
        <w:t xml:space="preserve">assist </w:t>
      </w:r>
      <w:r w:rsidRPr="00AD4CCC" w:rsidR="00AD4CCC">
        <w:t xml:space="preserve">the office </w:t>
      </w:r>
      <w:r w:rsidR="00AD4CCC">
        <w:t xml:space="preserve">in </w:t>
      </w:r>
      <w:r w:rsidRPr="00AD4CCC" w:rsidR="00AD4CCC">
        <w:t>determin</w:t>
      </w:r>
      <w:r w:rsidR="00AD4CCC">
        <w:t xml:space="preserve">ing whether regulated </w:t>
      </w:r>
      <w:r w:rsidRPr="00AD4CCC" w:rsidR="00AD4CCC">
        <w:t xml:space="preserve">entities are </w:t>
      </w:r>
      <w:r w:rsidR="00AD4CCC">
        <w:t xml:space="preserve">complying </w:t>
      </w:r>
      <w:r w:rsidRPr="00AD4CCC" w:rsidR="00AD4CCC">
        <w:t xml:space="preserve">with federal aviation consumer protection and civil rights laws and what, if any, action should be taken regarding issues raised in consumer complaints. The information also </w:t>
      </w:r>
      <w:r w:rsidR="00AD4CCC">
        <w:t xml:space="preserve">helps OACP </w:t>
      </w:r>
      <w:r w:rsidRPr="00AD4CCC" w:rsidR="00AD4CCC">
        <w:t>ascertain consumer satisfaction with air transportation services and serve</w:t>
      </w:r>
      <w:r w:rsidR="00AD4CCC">
        <w:t>s</w:t>
      </w:r>
      <w:r w:rsidRPr="00AD4CCC" w:rsidR="00AD4CCC">
        <w:t xml:space="preserve"> as a basis for rulemaking, legislation, and research.</w:t>
      </w:r>
      <w:r w:rsidR="00D0535B">
        <w:t xml:space="preserve"> </w:t>
      </w:r>
    </w:p>
    <w:p w:rsidR="00580FA2" w:rsidP="00232965" w14:paraId="3FF8D066" w14:textId="77777777"/>
    <w:p w:rsidR="00232965" w:rsidP="00232965" w14:paraId="4B38EC3F" w14:textId="26D4777D">
      <w:r>
        <w:rPr>
          <w:rFonts w:eastAsia="Calibri"/>
          <w:color w:val="000000"/>
        </w:rPr>
        <w:t xml:space="preserve">Most </w:t>
      </w:r>
      <w:r w:rsidRPr="00235524" w:rsidR="00235524">
        <w:rPr>
          <w:rFonts w:eastAsia="Calibri"/>
          <w:color w:val="000000"/>
        </w:rPr>
        <w:t xml:space="preserve">complaints/comments are entered in the system, including complaints (primarily) submitted directly by consumers via a website </w:t>
      </w:r>
      <w:r>
        <w:rPr>
          <w:rFonts w:eastAsia="Calibri"/>
          <w:color w:val="000000"/>
        </w:rPr>
        <w:t>using an electronic form</w:t>
      </w:r>
      <w:r w:rsidRPr="009F385A">
        <w:rPr>
          <w:rFonts w:eastAsiaTheme="minorHAnsi"/>
          <w:shd w:val="clear" w:color="auto" w:fill="FFFFFF"/>
        </w:rPr>
        <w:t>.</w:t>
      </w:r>
      <w:r>
        <w:rPr>
          <w:rStyle w:val="FootnoteReference"/>
          <w:rFonts w:eastAsiaTheme="minorHAnsi"/>
          <w:shd w:val="clear" w:color="auto" w:fill="FFFFFF"/>
        </w:rPr>
        <w:footnoteReference w:id="3"/>
      </w:r>
      <w:r w:rsidRPr="009F385A" w:rsidR="008A0A6B">
        <w:rPr>
          <w:rFonts w:eastAsiaTheme="minorHAnsi"/>
          <w:color w:val="0563C1" w:themeColor="hyperlink"/>
          <w:shd w:val="clear" w:color="auto" w:fill="FFFFFF"/>
        </w:rPr>
        <w:t xml:space="preserve"> </w:t>
      </w:r>
      <w:r w:rsidRPr="009F385A" w:rsidR="00670E3A">
        <w:t>I</w:t>
      </w:r>
      <w:r w:rsidR="00670E3A">
        <w:t>f the</w:t>
      </w:r>
      <w:r w:rsidRPr="001F5B55" w:rsidR="00670E3A">
        <w:t xml:space="preserve"> </w:t>
      </w:r>
      <w:r>
        <w:t>electronic</w:t>
      </w:r>
      <w:r w:rsidR="00670E3A">
        <w:t xml:space="preserve"> complaint </w:t>
      </w:r>
      <w:r w:rsidR="00C70321">
        <w:t>submission process</w:t>
      </w:r>
      <w:r w:rsidR="00670E3A">
        <w:t xml:space="preserve"> is not available, the Department may receive fewer complaints, comments, and </w:t>
      </w:r>
      <w:r w:rsidR="00C70321">
        <w:t>compliments</w:t>
      </w:r>
      <w:r w:rsidR="00670E3A">
        <w:t xml:space="preserve"> from consumers.  The lack of consumer input could inhibit OACP’s ability to effectively investigate individual complaints against</w:t>
      </w:r>
      <w:r w:rsidR="00FB7BA4">
        <w:t xml:space="preserve"> </w:t>
      </w:r>
      <w:r w:rsidR="00670E3A">
        <w:t xml:space="preserve">airlines and other air travel-related companies. It would also impact OACP’s ability to </w:t>
      </w:r>
      <w:r w:rsidR="00FB7BA4">
        <w:t>identify</w:t>
      </w:r>
      <w:r w:rsidR="00670E3A">
        <w:t xml:space="preserve"> patterns and practices that </w:t>
      </w:r>
      <w:r w:rsidR="00FB7BA4">
        <w:t>may violate</w:t>
      </w:r>
      <w:r w:rsidR="00670E3A">
        <w:t xml:space="preserve"> the Department’s rules.  </w:t>
      </w:r>
    </w:p>
    <w:p w:rsidR="00A535AE" w:rsidP="00232965" w14:paraId="7E2B27BF" w14:textId="77777777"/>
    <w:p w:rsidR="00680800" w:rsidP="00232965" w14:paraId="77A8242A" w14:textId="64789E3D">
      <w:r>
        <w:t xml:space="preserve">As noted above, the two new ICRs are related to external users, such as </w:t>
      </w:r>
      <w:r w:rsidR="00332E3F">
        <w:t>regulated air carriers and airports</w:t>
      </w:r>
      <w:r>
        <w:t>, that may use the modernized IT system to 1) set up and manage individual accounts and 2) access complaints and other submissions and/or submit complaint responses, reports, or other information</w:t>
      </w:r>
      <w:r w:rsidR="00BD0B4F">
        <w:t xml:space="preserve"> to the Department</w:t>
      </w:r>
      <w:r>
        <w:t xml:space="preserve">. </w:t>
      </w:r>
    </w:p>
    <w:p w:rsidR="00B472CE" w:rsidP="002C1494" w14:paraId="0BBE8AAA" w14:textId="3227B12A"/>
    <w:p w:rsidR="001B617B" w:rsidP="002C1494" w14:paraId="091195D5" w14:textId="147C0601">
      <w:r>
        <w:t xml:space="preserve">More specifically, </w:t>
      </w:r>
      <w:r>
        <w:t>ACERS is designed to provide airlines and</w:t>
      </w:r>
      <w:r w:rsidR="00FE634B">
        <w:t xml:space="preserve"> </w:t>
      </w:r>
      <w:r>
        <w:t xml:space="preserve">air travel companies the ability to review consumer submissions about air transportation services directly within the system. The system is intended to facilitate more efficient interaction between OACP and regulated entities. As such, each carrier or air travel company that uses the system for complaint handling will need </w:t>
      </w:r>
      <w:r>
        <w:t>to set up and manage an account for their staff to be able to access the system.</w:t>
      </w:r>
      <w:r w:rsidR="00B472CE">
        <w:t xml:space="preserve"> </w:t>
      </w:r>
      <w:r w:rsidR="00AD4CCC">
        <w:t>T</w:t>
      </w:r>
      <w:r w:rsidR="00B472CE">
        <w:t xml:space="preserve">he system </w:t>
      </w:r>
      <w:r w:rsidR="00BD0B4F">
        <w:t>is</w:t>
      </w:r>
      <w:r w:rsidR="00B472CE">
        <w:t xml:space="preserve"> </w:t>
      </w:r>
      <w:r w:rsidR="00BD0B4F">
        <w:t xml:space="preserve">also </w:t>
      </w:r>
      <w:r w:rsidR="00B472CE">
        <w:t xml:space="preserve">designed </w:t>
      </w:r>
      <w:r w:rsidR="00BD0B4F">
        <w:t xml:space="preserve">to be used to </w:t>
      </w:r>
      <w:r w:rsidR="00B472CE">
        <w:t>facilitate inter-agency coordination</w:t>
      </w:r>
      <w:r w:rsidR="00BD0B4F">
        <w:t xml:space="preserve">, for example with state attorneys general, </w:t>
      </w:r>
      <w:r w:rsidR="00B472CE">
        <w:t>to protect the rights of consumers in air travel</w:t>
      </w:r>
      <w:r w:rsidR="00BD0B4F">
        <w:t>.</w:t>
      </w:r>
      <w:r w:rsidR="00FE634B">
        <w:t xml:space="preserve"> </w:t>
      </w:r>
      <w:r w:rsidR="00BD0B4F">
        <w:t>State agency</w:t>
      </w:r>
      <w:r w:rsidR="00FE634B">
        <w:t xml:space="preserve"> users will also need to set up an account</w:t>
      </w:r>
      <w:r w:rsidR="00BD0B4F">
        <w:t xml:space="preserve"> in order to use ACERS</w:t>
      </w:r>
      <w:r w:rsidR="00B472CE">
        <w:t>.</w:t>
      </w:r>
    </w:p>
    <w:p w:rsidR="00B472CE" w:rsidP="002C1494" w14:paraId="20101C80" w14:textId="77777777"/>
    <w:p w:rsidR="002C1494" w:rsidP="002C1494" w14:paraId="1D54E6ED" w14:textId="3A53D95B">
      <w:r>
        <w:t>ACERS is also designed for U.S.</w:t>
      </w:r>
      <w:r w:rsidR="00BD0B4F">
        <w:t xml:space="preserve"> air carriers,</w:t>
      </w:r>
      <w:r>
        <w:t xml:space="preserve"> foreign air carriers</w:t>
      </w:r>
      <w:r w:rsidR="00BD0B4F">
        <w:t>, and airports</w:t>
      </w:r>
      <w:r>
        <w:t xml:space="preserve"> to efficiently submit certain statutorily required reports (e.g., reports regarding disability complaints and tarmac delay incidents) that the entities previously submitted using OACP’s legacy database system or via email.</w:t>
      </w:r>
      <w:r w:rsidR="00FE634B">
        <w:t xml:space="preserve"> </w:t>
      </w:r>
      <w:r w:rsidR="00BD0B4F">
        <w:t>Further, air carriers</w:t>
      </w:r>
      <w:r w:rsidR="00FE634B">
        <w:t xml:space="preserve">, </w:t>
      </w:r>
      <w:r w:rsidR="008A0A6B">
        <w:t>air travel companies</w:t>
      </w:r>
      <w:r w:rsidR="00FE634B">
        <w:t>, and other external users</w:t>
      </w:r>
      <w:r w:rsidR="008A0A6B">
        <w:t xml:space="preserve"> will have the ability to upload complaint responses and related information to ACERS</w:t>
      </w:r>
      <w:r w:rsidR="00FE634B">
        <w:t>.</w:t>
      </w:r>
    </w:p>
    <w:p w:rsidR="00FE634B" w:rsidP="00555FB4" w14:paraId="5BC09843" w14:textId="77777777"/>
    <w:p w:rsidR="00AC3968" w:rsidRPr="00587CF6" w:rsidP="00555FB4" w14:paraId="6D3327D5" w14:textId="23A067F3">
      <w:r w:rsidRPr="001F5B55">
        <w:t>The information collection furthers the objectives of 49 U.S.C. §§</w:t>
      </w:r>
      <w:r w:rsidR="005D7368">
        <w:t xml:space="preserve"> 41712, 40101</w:t>
      </w:r>
      <w:r w:rsidRPr="001F5B55">
        <w:t>,</w:t>
      </w:r>
      <w:r w:rsidR="000773ED">
        <w:t xml:space="preserve"> 40127, </w:t>
      </w:r>
      <w:r w:rsidRPr="001F5B55">
        <w:t>41702</w:t>
      </w:r>
      <w:r w:rsidR="000773ED">
        <w:t>, and 41705</w:t>
      </w:r>
      <w:r w:rsidRPr="001F5B55">
        <w:t xml:space="preserve"> to protect consumers from unfair or deceptive practices,</w:t>
      </w:r>
      <w:r w:rsidR="000773ED">
        <w:t xml:space="preserve"> to protect the civil rights of air travelers,</w:t>
      </w:r>
      <w:r w:rsidRPr="001F5B55">
        <w:t xml:space="preserve"> and to ensure safe and adequate service in air transportation. </w:t>
      </w:r>
    </w:p>
    <w:p w:rsidR="00AC3968" w:rsidP="00232965" w14:paraId="5E8C051F" w14:textId="77777777"/>
    <w:p w:rsidR="00232965" w:rsidRPr="001F5B55" w:rsidP="00232965" w14:paraId="3CAD6216" w14:textId="77777777">
      <w:r w:rsidRPr="001F5B55">
        <w:t xml:space="preserve">2. </w:t>
      </w:r>
      <w:r w:rsidRPr="001F5B55">
        <w:rPr>
          <w:u w:val="single"/>
        </w:rPr>
        <w:t>How, by whom, and for what purpose is the information used</w:t>
      </w:r>
      <w:r w:rsidRPr="001F5B55">
        <w:t>.</w:t>
      </w:r>
      <w:r w:rsidRPr="001F5B55">
        <w:rPr>
          <w:b/>
          <w:bCs/>
          <w:i/>
          <w:iCs/>
        </w:rPr>
        <w:t xml:space="preserve"> Indicate how, by whom, and for what purpose the information is to be used</w:t>
      </w:r>
      <w:r w:rsidRPr="001F5B55">
        <w:t>.</w:t>
      </w:r>
    </w:p>
    <w:p w:rsidR="00232965" w:rsidRPr="001F5B55" w:rsidP="00232965" w14:paraId="6298A814" w14:textId="77777777"/>
    <w:p w:rsidR="00232965" w:rsidP="00232965" w14:paraId="1574E90D" w14:textId="0F8BA462">
      <w:pPr>
        <w:outlineLvl w:val="0"/>
      </w:pPr>
      <w:r>
        <w:t xml:space="preserve">A consumer </w:t>
      </w:r>
      <w:r>
        <w:t>can file a complaint</w:t>
      </w:r>
      <w:r w:rsidR="00D0535B">
        <w:t xml:space="preserve"> or comment</w:t>
      </w:r>
      <w:r w:rsidR="000773ED">
        <w:t xml:space="preserve"> with the</w:t>
      </w:r>
      <w:r w:rsidR="00CF6BE4">
        <w:t xml:space="preserve"> office</w:t>
      </w:r>
      <w:r>
        <w:t xml:space="preserve"> </w:t>
      </w:r>
      <w:r w:rsidR="00277C2C">
        <w:t xml:space="preserve">by sending a letter using </w:t>
      </w:r>
      <w:r w:rsidR="00CF6BE4">
        <w:t xml:space="preserve">regular mail, </w:t>
      </w:r>
      <w:r w:rsidR="006B3558">
        <w:t>emailing,</w:t>
      </w:r>
      <w:r w:rsidR="00CF6BE4">
        <w:t xml:space="preserve"> or by</w:t>
      </w:r>
      <w:r>
        <w:t xml:space="preserve"> </w:t>
      </w:r>
      <w:r w:rsidR="00CF6BE4">
        <w:t>filing</w:t>
      </w:r>
      <w:r>
        <w:t xml:space="preserve"> a</w:t>
      </w:r>
      <w:r w:rsidR="0025279A">
        <w:t>n electronic</w:t>
      </w:r>
      <w:r w:rsidR="00CF6BE4">
        <w:t xml:space="preserve"> complaint</w:t>
      </w:r>
      <w:r w:rsidR="00D120EB">
        <w:t xml:space="preserve"> via the consumer complaint form</w:t>
      </w:r>
      <w:r w:rsidRPr="001F5B55">
        <w:t xml:space="preserve">. </w:t>
      </w:r>
      <w:r w:rsidR="000773ED">
        <w:t>In C</w:t>
      </w:r>
      <w:r>
        <w:t>Y</w:t>
      </w:r>
      <w:r w:rsidR="005B461F">
        <w:t>s</w:t>
      </w:r>
      <w:r w:rsidR="001C143B">
        <w:t xml:space="preserve"> </w:t>
      </w:r>
      <w:r w:rsidR="00FA36F1">
        <w:t>20</w:t>
      </w:r>
      <w:r w:rsidR="001C143B">
        <w:t>21</w:t>
      </w:r>
      <w:r w:rsidR="00FA36F1">
        <w:t>/20</w:t>
      </w:r>
      <w:r w:rsidR="001C143B">
        <w:t>22</w:t>
      </w:r>
      <w:r w:rsidR="00F4138B">
        <w:t xml:space="preserve">, </w:t>
      </w:r>
      <w:r w:rsidR="001C143B">
        <w:t>62,098</w:t>
      </w:r>
      <w:r w:rsidR="00D803B2">
        <w:t xml:space="preserve"> </w:t>
      </w:r>
      <w:r w:rsidR="00617B86">
        <w:t xml:space="preserve">of the </w:t>
      </w:r>
      <w:r w:rsidR="001C143B">
        <w:t xml:space="preserve">63,807 </w:t>
      </w:r>
      <w:r w:rsidR="00E922FC">
        <w:t>average</w:t>
      </w:r>
      <w:r w:rsidR="00D0535B">
        <w:t xml:space="preserve"> complaints/comments </w:t>
      </w:r>
      <w:r>
        <w:t xml:space="preserve">submitted to </w:t>
      </w:r>
      <w:r w:rsidR="000773ED">
        <w:t>the</w:t>
      </w:r>
      <w:r w:rsidR="00617B86">
        <w:t xml:space="preserve"> office</w:t>
      </w:r>
      <w:r>
        <w:t xml:space="preserve"> were filed using the online complaint</w:t>
      </w:r>
      <w:r w:rsidR="00D0535B">
        <w:t xml:space="preserve">/comment form </w:t>
      </w:r>
      <w:r w:rsidRPr="00A31C21" w:rsidR="00D0535B">
        <w:t>(</w:t>
      </w:r>
      <w:r w:rsidRPr="00A31C21" w:rsidR="00D803B2">
        <w:t>approx</w:t>
      </w:r>
      <w:r w:rsidRPr="00A31C21" w:rsidR="00FA36F1">
        <w:t>imately</w:t>
      </w:r>
      <w:r w:rsidRPr="00A31C21" w:rsidR="00D803B2">
        <w:t xml:space="preserve"> 9</w:t>
      </w:r>
      <w:r w:rsidRPr="00A31C21" w:rsidR="00FA36F1">
        <w:t>7</w:t>
      </w:r>
      <w:r w:rsidRPr="00A31C21" w:rsidR="00D0535B">
        <w:t>%).</w:t>
      </w:r>
      <w:r w:rsidRPr="00A31C21" w:rsidR="0025279A">
        <w:t xml:space="preserve"> </w:t>
      </w:r>
    </w:p>
    <w:p w:rsidR="00232965" w:rsidP="00232965" w14:paraId="411D4CC6" w14:textId="77777777"/>
    <w:p w:rsidR="003415B2" w:rsidP="00232965" w14:paraId="1C17127C" w14:textId="60A65381">
      <w:r>
        <w:t xml:space="preserve">All complaints are entered in DOT's </w:t>
      </w:r>
      <w:r w:rsidR="00FA36F1">
        <w:t xml:space="preserve">online </w:t>
      </w:r>
      <w:r>
        <w:t>aviation industry monitoring system</w:t>
      </w:r>
      <w:r w:rsidR="005F6423">
        <w:t xml:space="preserve"> </w:t>
      </w:r>
      <w:r>
        <w:t xml:space="preserve">and </w:t>
      </w:r>
      <w:r w:rsidR="00277C2C">
        <w:t>attributed</w:t>
      </w:r>
      <w:r>
        <w:t xml:space="preserve"> to the </w:t>
      </w:r>
      <w:r w:rsidR="00FA36F1">
        <w:t xml:space="preserve">relevant </w:t>
      </w:r>
      <w:r w:rsidR="00D4231E">
        <w:t>airline</w:t>
      </w:r>
      <w:r>
        <w:t xml:space="preserve"> </w:t>
      </w:r>
      <w:r w:rsidR="005F6423">
        <w:t xml:space="preserve">or ticket agent </w:t>
      </w:r>
      <w:r>
        <w:t>in the monthly Air Travel Consumer Report. This report is distributed to the</w:t>
      </w:r>
      <w:r w:rsidR="009D08F4">
        <w:t xml:space="preserve"> air travel</w:t>
      </w:r>
      <w:r>
        <w:t xml:space="preserve"> industry and made available to the news media and the </w:t>
      </w:r>
      <w:r w:rsidR="00617B86">
        <w:t>public</w:t>
      </w:r>
      <w:r>
        <w:t xml:space="preserve"> so that consumers and air travel companies can compare the complaint </w:t>
      </w:r>
      <w:r w:rsidR="009D08F4">
        <w:t>data</w:t>
      </w:r>
      <w:r>
        <w:t xml:space="preserve"> of individual airlines and </w:t>
      </w:r>
      <w:r w:rsidR="005F6423">
        <w:t>ticket agents</w:t>
      </w:r>
      <w:r>
        <w:t xml:space="preserve">. </w:t>
      </w:r>
      <w:r w:rsidR="004C4396">
        <w:t>C</w:t>
      </w:r>
      <w:r>
        <w:t>omplaints</w:t>
      </w:r>
      <w:r w:rsidR="005857A3">
        <w:t xml:space="preserve"> and responses</w:t>
      </w:r>
      <w:r>
        <w:t xml:space="preserve"> are reviewed </w:t>
      </w:r>
      <w:r w:rsidR="00D4231E">
        <w:t xml:space="preserve">by </w:t>
      </w:r>
      <w:r w:rsidR="00316AF7">
        <w:t xml:space="preserve">the Department </w:t>
      </w:r>
      <w:r>
        <w:t xml:space="preserve">to determine the extent to which </w:t>
      </w:r>
      <w:r w:rsidR="002C1B1E">
        <w:t xml:space="preserve">air </w:t>
      </w:r>
      <w:r>
        <w:t>carriers</w:t>
      </w:r>
      <w:r w:rsidR="002C1B1E">
        <w:t xml:space="preserve"> and other</w:t>
      </w:r>
      <w:r w:rsidR="00EE2476">
        <w:t xml:space="preserve"> regulated entities</w:t>
      </w:r>
      <w:r w:rsidR="002C1B1E">
        <w:t xml:space="preserve"> comply</w:t>
      </w:r>
      <w:r>
        <w:t xml:space="preserve"> with federal aviation</w:t>
      </w:r>
      <w:r w:rsidR="000773ED">
        <w:t xml:space="preserve"> consumer protection and civil rights requirements</w:t>
      </w:r>
      <w:r w:rsidR="00691B3C">
        <w:t xml:space="preserve"> and to determine when</w:t>
      </w:r>
      <w:r w:rsidR="00C718B4">
        <w:t xml:space="preserve"> an investigation and/or</w:t>
      </w:r>
      <w:r w:rsidR="00691B3C">
        <w:t xml:space="preserve"> enforcement action may be</w:t>
      </w:r>
      <w:r w:rsidR="00CD7166">
        <w:t xml:space="preserve"> necessary</w:t>
      </w:r>
      <w:r>
        <w:t>.</w:t>
      </w:r>
      <w:r w:rsidR="00617B86">
        <w:t xml:space="preserve"> </w:t>
      </w:r>
      <w:r>
        <w:t>This system also serves as a basis for rulemaking, legislation and research.</w:t>
      </w:r>
      <w:r w:rsidR="00316AF7">
        <w:t xml:space="preserve">  </w:t>
      </w:r>
    </w:p>
    <w:p w:rsidR="00617B86" w:rsidRPr="001F5B55" w:rsidP="00232965" w14:paraId="3C2CEE9F" w14:textId="77777777"/>
    <w:p w:rsidR="00232965" w:rsidRPr="001F5B55" w:rsidP="00232965" w14:paraId="22CB1FDB" w14:textId="77777777">
      <w:r w:rsidRPr="001F5B55">
        <w:t xml:space="preserve">3. </w:t>
      </w:r>
      <w:r w:rsidRPr="001F5B55">
        <w:rPr>
          <w:u w:val="single"/>
        </w:rPr>
        <w:t>Extent of automated information collection</w:t>
      </w:r>
      <w:r w:rsidRPr="001F5B55">
        <w:t xml:space="preserve">.  </w:t>
      </w:r>
      <w:r w:rsidRPr="001F5B55">
        <w:rPr>
          <w:b/>
          <w:bCs/>
          <w:i/>
          <w:iCs/>
        </w:rPr>
        <w:t>Describe whether, and to what extent, the collection of information involves the use of automated, electronic, mechanical, or other technological collection techniques or other forms of information technology</w:t>
      </w:r>
      <w:r w:rsidRPr="001F5B55">
        <w:t>.</w:t>
      </w:r>
    </w:p>
    <w:p w:rsidR="00232965" w:rsidRPr="001F5B55" w:rsidP="00232965" w14:paraId="6591E315" w14:textId="77777777"/>
    <w:p w:rsidR="00232965" w:rsidRPr="001F5B55" w:rsidP="00232965" w14:paraId="28C18442" w14:textId="676F09E4">
      <w:r>
        <w:t>Each consumer</w:t>
      </w:r>
      <w:r w:rsidR="00F94111">
        <w:t xml:space="preserve"> and industry</w:t>
      </w:r>
      <w:r>
        <w:t xml:space="preserve"> submission</w:t>
      </w:r>
      <w:r w:rsidR="00FD57C5">
        <w:t xml:space="preserve"> (e.g., comment, report)</w:t>
      </w:r>
      <w:r>
        <w:t xml:space="preserve"> is unique</w:t>
      </w:r>
      <w:r w:rsidR="00DD6C36">
        <w:t>,</w:t>
      </w:r>
      <w:r>
        <w:t xml:space="preserve"> so there is no automation. </w:t>
      </w:r>
      <w:r w:rsidR="000E01D6">
        <w:t>Most</w:t>
      </w:r>
      <w:r>
        <w:t xml:space="preserve"> consumers that file </w:t>
      </w:r>
      <w:r w:rsidR="00AD4CCC">
        <w:t xml:space="preserve">a submission </w:t>
      </w:r>
      <w:r w:rsidR="00E80EEF">
        <w:t>use the electronic form submission process</w:t>
      </w:r>
      <w:r w:rsidR="00CD7166">
        <w:t xml:space="preserve">.  </w:t>
      </w:r>
      <w:r w:rsidR="002A3EF5">
        <w:t xml:space="preserve">Industry users already submit </w:t>
      </w:r>
      <w:r w:rsidR="00FA1F47">
        <w:t>consumer responses, reports, and other documents</w:t>
      </w:r>
      <w:r w:rsidR="00DD6C36">
        <w:t xml:space="preserve"> to OACP electronically</w:t>
      </w:r>
      <w:r w:rsidR="00FA1F47">
        <w:t>.</w:t>
      </w:r>
    </w:p>
    <w:p w:rsidR="00232965" w:rsidRPr="001F5B55" w:rsidP="00232965" w14:paraId="22FB9379" w14:textId="77777777"/>
    <w:p w:rsidR="00232965" w:rsidRPr="001F5B55" w:rsidP="00232965" w14:paraId="285544FA" w14:textId="77777777">
      <w:r w:rsidRPr="001F5B55">
        <w:t xml:space="preserve">4. </w:t>
      </w:r>
      <w:r w:rsidRPr="001F5B55">
        <w:rPr>
          <w:u w:val="single"/>
        </w:rPr>
        <w:t>Efforts to identify duplication</w:t>
      </w:r>
      <w:r w:rsidRPr="001F5B55">
        <w:t xml:space="preserve">.  </w:t>
      </w:r>
      <w:r w:rsidRPr="001F5B55">
        <w:rPr>
          <w:b/>
          <w:bCs/>
          <w:i/>
          <w:iCs/>
        </w:rPr>
        <w:t>Describe efforts to identify duplication.  Show specifically why any similar information already available cannot be used or modified for use for the purpose(s) described in 2 above</w:t>
      </w:r>
      <w:r w:rsidRPr="001F5B55">
        <w:t>.</w:t>
      </w:r>
    </w:p>
    <w:p w:rsidR="00232965" w:rsidRPr="001F5B55" w:rsidP="00232965" w14:paraId="6A43F140" w14:textId="77777777">
      <w:pPr>
        <w:rPr>
          <w:highlight w:val="yellow"/>
        </w:rPr>
      </w:pPr>
    </w:p>
    <w:p w:rsidR="00232965" w:rsidRPr="001F5B55" w:rsidP="00232965" w14:paraId="4B8B1A90" w14:textId="77777777">
      <w:r w:rsidRPr="001F5B55">
        <w:t>There is no similar information</w:t>
      </w:r>
      <w:r w:rsidR="00A62411">
        <w:t xml:space="preserve"> collected by or available to the Department</w:t>
      </w:r>
      <w:r w:rsidR="00CD7166">
        <w:t xml:space="preserve"> </w:t>
      </w:r>
      <w:r w:rsidRPr="001F5B55">
        <w:t>that could be used or modified f</w:t>
      </w:r>
      <w:r w:rsidR="00CF6BE4">
        <w:t>or th</w:t>
      </w:r>
      <w:r w:rsidR="00A62411">
        <w:t>is</w:t>
      </w:r>
      <w:r w:rsidR="00CF6BE4">
        <w:t xml:space="preserve"> </w:t>
      </w:r>
      <w:r w:rsidR="00CD7166">
        <w:t xml:space="preserve">collection of information. </w:t>
      </w:r>
      <w:r w:rsidR="00617B86">
        <w:t xml:space="preserve"> </w:t>
      </w:r>
    </w:p>
    <w:p w:rsidR="00232965" w:rsidRPr="001F5B55" w:rsidP="00232965" w14:paraId="3286D8E2" w14:textId="77777777"/>
    <w:p w:rsidR="00232965" w:rsidRPr="001F5B55" w:rsidP="00232965" w14:paraId="7A3B3662" w14:textId="77777777">
      <w:r w:rsidRPr="001F5B55">
        <w:t xml:space="preserve">5. </w:t>
      </w:r>
      <w:r w:rsidRPr="001F5B55">
        <w:rPr>
          <w:u w:val="single"/>
        </w:rPr>
        <w:t>Efforts to minimize the burden on small businesses</w:t>
      </w:r>
      <w:r w:rsidRPr="001F5B55">
        <w:t xml:space="preserve">.  </w:t>
      </w:r>
      <w:r w:rsidRPr="001F5B55">
        <w:rPr>
          <w:b/>
          <w:bCs/>
          <w:i/>
          <w:iCs/>
        </w:rPr>
        <w:t>If the collection of information has a significant impact on a substantial number of small businesses or other small entities, describe the methods used to minimize burden</w:t>
      </w:r>
      <w:r w:rsidRPr="001F5B55">
        <w:t>.</w:t>
      </w:r>
      <w:r w:rsidRPr="001F5B55">
        <w:br/>
      </w:r>
    </w:p>
    <w:p w:rsidR="00232965" w:rsidRPr="001F5B55" w:rsidP="00232965" w14:paraId="4CA2371A" w14:textId="77777777">
      <w:r>
        <w:t>This form</w:t>
      </w:r>
      <w:r w:rsidRPr="001F5B55">
        <w:t xml:space="preserve"> will not have a significant impact on a subst</w:t>
      </w:r>
      <w:r>
        <w:t xml:space="preserve">antial number of small entities.  </w:t>
      </w:r>
    </w:p>
    <w:p w:rsidR="00232965" w:rsidRPr="001F5B55" w:rsidP="00232965" w14:paraId="0628B0B3" w14:textId="77777777"/>
    <w:p w:rsidR="00232965" w:rsidRPr="001F5B55" w:rsidP="00232965" w14:paraId="620F64BE" w14:textId="77777777">
      <w:r w:rsidRPr="001F5B55">
        <w:t xml:space="preserve">6. </w:t>
      </w:r>
      <w:r w:rsidRPr="001F5B55">
        <w:rPr>
          <w:u w:val="single"/>
        </w:rPr>
        <w:t>Impact of less frequent collection of information</w:t>
      </w:r>
      <w:r w:rsidRPr="001F5B55">
        <w:t xml:space="preserve">.  </w:t>
      </w:r>
      <w:r w:rsidRPr="001F5B55">
        <w:rPr>
          <w:b/>
          <w:bCs/>
          <w:i/>
          <w:iCs/>
        </w:rPr>
        <w:t>Describe the consequence to Federal program or policy activities if the collection is not conducted or is conducted less frequently, as well as any technical or legal obstacles to reducing burden</w:t>
      </w:r>
      <w:r w:rsidRPr="001F5B55">
        <w:t>.</w:t>
      </w:r>
    </w:p>
    <w:p w:rsidR="00232965" w:rsidRPr="001F5B55" w:rsidP="00232965" w14:paraId="0398C330" w14:textId="77777777"/>
    <w:p w:rsidR="00232965" w:rsidRPr="001F5B55" w:rsidP="00602D78" w14:paraId="1684CD13" w14:textId="0D75E43B">
      <w:r>
        <w:t>If the</w:t>
      </w:r>
      <w:r w:rsidRPr="001F5B55">
        <w:t xml:space="preserve"> </w:t>
      </w:r>
      <w:r w:rsidR="00EE3D1F">
        <w:t xml:space="preserve">information </w:t>
      </w:r>
      <w:r w:rsidRPr="001F5B55">
        <w:t>collection</w:t>
      </w:r>
      <w:r w:rsidR="000773ED">
        <w:t xml:space="preserve"> </w:t>
      </w:r>
      <w:r>
        <w:t>is not available, the Department may receive f</w:t>
      </w:r>
      <w:r w:rsidR="00D266CB">
        <w:t>ewer complaints</w:t>
      </w:r>
      <w:r w:rsidR="00617B86">
        <w:t xml:space="preserve"> and comments</w:t>
      </w:r>
      <w:r w:rsidR="00D266CB">
        <w:t xml:space="preserve"> from con</w:t>
      </w:r>
      <w:r w:rsidR="00EE3D1F">
        <w:t xml:space="preserve">sumers, </w:t>
      </w:r>
      <w:r w:rsidR="00617B86">
        <w:t>most of whom file the information</w:t>
      </w:r>
      <w:r w:rsidR="000773ED">
        <w:t xml:space="preserve"> using the</w:t>
      </w:r>
      <w:r w:rsidR="00EE3D1F">
        <w:t xml:space="preserve"> </w:t>
      </w:r>
      <w:r w:rsidR="00110480">
        <w:t xml:space="preserve">electronic </w:t>
      </w:r>
      <w:r w:rsidR="00D44C13">
        <w:t>consumer complaint</w:t>
      </w:r>
      <w:r w:rsidR="00EE3D1F">
        <w:t xml:space="preserve"> form. The lack of information</w:t>
      </w:r>
      <w:r w:rsidR="00691B3C">
        <w:t xml:space="preserve"> could inhibit the office’s </w:t>
      </w:r>
      <w:r w:rsidR="00EE3D1F">
        <w:t>ability to</w:t>
      </w:r>
      <w:r w:rsidR="00D4231E">
        <w:t xml:space="preserve"> </w:t>
      </w:r>
      <w:r w:rsidR="0081218A">
        <w:t xml:space="preserve">identify opportunities to </w:t>
      </w:r>
      <w:r w:rsidR="00D4231E">
        <w:t xml:space="preserve">improve airline consumer satisfaction, </w:t>
      </w:r>
      <w:r w:rsidR="00EE3D1F">
        <w:t>effectively</w:t>
      </w:r>
      <w:r w:rsidR="00D266CB">
        <w:t xml:space="preserve"> investigate individual complaints against an air carri</w:t>
      </w:r>
      <w:r w:rsidR="00691B3C">
        <w:t>er</w:t>
      </w:r>
      <w:r w:rsidR="00BA5616">
        <w:t>,</w:t>
      </w:r>
      <w:r w:rsidR="00EE3D1F">
        <w:t xml:space="preserve"> </w:t>
      </w:r>
      <w:r w:rsidR="00D266CB">
        <w:t>and/or</w:t>
      </w:r>
      <w:r w:rsidR="00BA5616">
        <w:t xml:space="preserve"> </w:t>
      </w:r>
      <w:r w:rsidR="0081218A">
        <w:t xml:space="preserve">review air carrier practices for </w:t>
      </w:r>
      <w:r w:rsidR="00D266CB">
        <w:t xml:space="preserve">patterns and practices that may </w:t>
      </w:r>
      <w:r w:rsidR="00EE3D1F">
        <w:t>violat</w:t>
      </w:r>
      <w:r w:rsidR="0081218A">
        <w:t>e the Department’s</w:t>
      </w:r>
      <w:r w:rsidR="00D266CB">
        <w:t xml:space="preserve"> rules.</w:t>
      </w:r>
    </w:p>
    <w:p w:rsidR="00232965" w:rsidP="00232965" w14:paraId="7FBC140F" w14:textId="77777777"/>
    <w:p w:rsidR="00EE3D1F" w:rsidP="00232965" w14:paraId="6D5A928F" w14:textId="24918CEE">
      <w:r>
        <w:t>Th</w:t>
      </w:r>
      <w:r w:rsidR="004D66D5">
        <w:t xml:space="preserve">e collection serves to expedite </w:t>
      </w:r>
      <w:r w:rsidR="000773ED">
        <w:t>the</w:t>
      </w:r>
      <w:r>
        <w:t xml:space="preserve"> office’s complaint</w:t>
      </w:r>
      <w:r w:rsidR="00332E3F">
        <w:t xml:space="preserve"> and document/information</w:t>
      </w:r>
      <w:r>
        <w:t xml:space="preserve"> handling process, as electronic submissions are directly uploaded into</w:t>
      </w:r>
      <w:r w:rsidR="000773ED">
        <w:t xml:space="preserve"> the</w:t>
      </w:r>
      <w:r>
        <w:t xml:space="preserve"> electronic </w:t>
      </w:r>
      <w:r w:rsidR="00890F21">
        <w:t>IT system</w:t>
      </w:r>
      <w:r w:rsidR="00332E3F">
        <w:t xml:space="preserve"> which expedites OACP’s ability to disseminate and/or share information, as appropriate or necessary</w:t>
      </w:r>
      <w:r>
        <w:t>.</w:t>
      </w:r>
    </w:p>
    <w:p w:rsidR="00EE3D1F" w:rsidRPr="001F5B55" w:rsidP="00232965" w14:paraId="46B575C1" w14:textId="77777777"/>
    <w:p w:rsidR="00232965" w:rsidRPr="001F5B55" w:rsidP="00232965" w14:paraId="3A73460E" w14:textId="77777777">
      <w:r w:rsidRPr="001F5B55">
        <w:t xml:space="preserve">7. </w:t>
      </w:r>
      <w:r w:rsidRPr="001F5B55">
        <w:rPr>
          <w:u w:val="single"/>
        </w:rPr>
        <w:t>Special circumstances</w:t>
      </w:r>
      <w:r w:rsidRPr="001F5B55">
        <w:t xml:space="preserve">.  </w:t>
      </w:r>
      <w:r w:rsidRPr="001F5B55">
        <w:rPr>
          <w:b/>
          <w:bCs/>
          <w:i/>
          <w:iCs/>
        </w:rPr>
        <w:t>Explain any special circumstances that require the collection to be conducted in a manner inconsistent with 5 CFR 1320.5(d)(2)(i)-(viii)</w:t>
      </w:r>
      <w:r w:rsidRPr="001F5B55">
        <w:t>:</w:t>
      </w:r>
    </w:p>
    <w:p w:rsidR="00232965" w:rsidRPr="001F5B55" w:rsidP="00232965" w14:paraId="735351DD" w14:textId="77777777"/>
    <w:p w:rsidR="00232965" w:rsidRPr="001F5B55" w:rsidP="00232965" w14:paraId="5E786FC3" w14:textId="77777777">
      <w:pPr>
        <w:outlineLvl w:val="0"/>
      </w:pPr>
      <w:r w:rsidRPr="001F5B55">
        <w:t>The collection of information is consistent with 5 CFR 1320.5(d)(2)(i)-(viii).</w:t>
      </w:r>
      <w:r w:rsidRPr="001F5B55">
        <w:tab/>
      </w:r>
    </w:p>
    <w:p w:rsidR="00232965" w:rsidRPr="001F5B55" w:rsidP="00232965" w14:paraId="4D647C02" w14:textId="77777777"/>
    <w:p w:rsidR="00232965" w:rsidP="00232965" w14:paraId="22F62F59" w14:textId="77777777">
      <w:pPr>
        <w:rPr>
          <w:bCs/>
          <w:iCs/>
        </w:rPr>
      </w:pPr>
      <w:r w:rsidRPr="001F5B55">
        <w:t xml:space="preserve">8. </w:t>
      </w:r>
      <w:r w:rsidRPr="001F5B55">
        <w:rPr>
          <w:u w:val="single"/>
        </w:rPr>
        <w:t>Compliance with 5 CFR 1320.8</w:t>
      </w:r>
      <w:r w:rsidRPr="001F5B55">
        <w:t xml:space="preserve">.  </w:t>
      </w:r>
      <w:r w:rsidRPr="001F5B55">
        <w:rPr>
          <w:b/>
          <w:bCs/>
          <w:i/>
          <w:iCs/>
        </w:rPr>
        <w:t>Describe the efforts to consult with persons outside the agency to obtain their views on the availability of data, frequency of collection, the clarity of instructions and the recordkeeping disclosure, or reporting format (if any) and on the data elements to be recorded, disclosed, or reported</w:t>
      </w:r>
      <w:r w:rsidRPr="001F5B55">
        <w:rPr>
          <w:bCs/>
          <w:iCs/>
        </w:rPr>
        <w:t xml:space="preserve">. </w:t>
      </w:r>
    </w:p>
    <w:p w:rsidR="00232965" w:rsidP="00232965" w14:paraId="59831BE8" w14:textId="77777777">
      <w:pPr>
        <w:rPr>
          <w:bCs/>
          <w:iCs/>
        </w:rPr>
      </w:pPr>
    </w:p>
    <w:p w:rsidR="00F4359A" w:rsidP="007C6BFE" w14:paraId="65CEEE13" w14:textId="6178D831">
      <w:r>
        <w:t>On November</w:t>
      </w:r>
      <w:r w:rsidR="00407390">
        <w:t xml:space="preserve"> 1, 2023,</w:t>
      </w:r>
      <w:r>
        <w:t xml:space="preserve"> </w:t>
      </w:r>
      <w:r w:rsidRPr="00F83757">
        <w:t>OST published a 60-day notice in the Federal Register</w:t>
      </w:r>
      <w:r w:rsidR="008428E4">
        <w:t xml:space="preserve"> (FR) </w:t>
      </w:r>
      <w:r w:rsidRPr="00F83757">
        <w:t xml:space="preserve">soliciting comment on </w:t>
      </w:r>
      <w:r>
        <w:t>the ICR</w:t>
      </w:r>
      <w:r w:rsidRPr="00F83757">
        <w:t xml:space="preserve"> </w:t>
      </w:r>
      <w:r>
        <w:t>for which the agency is seeking reinstatement from OMB</w:t>
      </w:r>
      <w:r w:rsidRPr="00F83757">
        <w:t xml:space="preserve">. </w:t>
      </w:r>
      <w:r>
        <w:t>The comment period ended on January 2</w:t>
      </w:r>
      <w:r w:rsidR="003B2476">
        <w:t>, 2024</w:t>
      </w:r>
      <w:r>
        <w:t xml:space="preserve">. </w:t>
      </w:r>
      <w:r w:rsidR="007C6BFE">
        <w:t xml:space="preserve">We received </w:t>
      </w:r>
      <w:r w:rsidR="003B2476">
        <w:t>one substantive comment from Airlines for American (A4A)</w:t>
      </w:r>
      <w:r w:rsidR="00A27C21">
        <w:t>, which is addressed below</w:t>
      </w:r>
      <w:r w:rsidR="003B2476">
        <w:t>.</w:t>
      </w:r>
    </w:p>
    <w:p w:rsidR="00BD2C70" w:rsidP="007C6BFE" w14:paraId="5F7C41EB" w14:textId="7ABA306B"/>
    <w:p w:rsidR="007C6BFE" w:rsidP="007C6BFE" w14:paraId="15D2846D" w14:textId="62E60A9C">
      <w:r>
        <w:t xml:space="preserve">On </w:t>
      </w:r>
      <w:r w:rsidR="00CD39C8">
        <w:t>June</w:t>
      </w:r>
      <w:r w:rsidR="008428E4">
        <w:t xml:space="preserve"> </w:t>
      </w:r>
      <w:r w:rsidR="00E44C65">
        <w:t>21</w:t>
      </w:r>
      <w:r w:rsidR="003B2476">
        <w:t>, 2024</w:t>
      </w:r>
      <w:r>
        <w:t xml:space="preserve">, OST published a 30-day notice in the FR soliciting public comment on the ICR for submission to OMB. The comment period ends on </w:t>
      </w:r>
      <w:r w:rsidR="00CD39C8">
        <w:t>July</w:t>
      </w:r>
      <w:r w:rsidR="008428E4">
        <w:t xml:space="preserve"> </w:t>
      </w:r>
      <w:r w:rsidR="00E44C65">
        <w:t>22</w:t>
      </w:r>
      <w:r w:rsidR="008428E4">
        <w:t xml:space="preserve">, </w:t>
      </w:r>
      <w:r>
        <w:t>202</w:t>
      </w:r>
      <w:r w:rsidR="003B2476">
        <w:t>4</w:t>
      </w:r>
      <w:r>
        <w:t>.</w:t>
      </w:r>
      <w:r w:rsidR="008428E4">
        <w:t xml:space="preserve"> See attached, FR notices [Volume 8</w:t>
      </w:r>
      <w:r w:rsidR="003B2476">
        <w:t>8</w:t>
      </w:r>
      <w:r w:rsidR="008428E4">
        <w:t>, Number</w:t>
      </w:r>
      <w:r w:rsidR="00407390">
        <w:t xml:space="preserve"> </w:t>
      </w:r>
      <w:r w:rsidR="00A70F1B">
        <w:t>210 at 75095</w:t>
      </w:r>
      <w:r w:rsidR="008428E4">
        <w:t xml:space="preserve"> and Volume 8</w:t>
      </w:r>
      <w:r w:rsidR="003B2476">
        <w:t>9</w:t>
      </w:r>
      <w:r w:rsidR="008428E4">
        <w:t xml:space="preserve">, Number </w:t>
      </w:r>
      <w:r w:rsidR="00E44C65">
        <w:t>120</w:t>
      </w:r>
      <w:r w:rsidR="00407390">
        <w:t xml:space="preserve"> at </w:t>
      </w:r>
      <w:r w:rsidR="00E44C65">
        <w:t>52209</w:t>
      </w:r>
      <w:r w:rsidR="008428E4">
        <w:t>, respectively].</w:t>
      </w:r>
    </w:p>
    <w:p w:rsidR="001F5FB3" w:rsidP="00770DD9" w14:paraId="67CCC5D9" w14:textId="0885FE77"/>
    <w:p w:rsidR="00770DD9" w:rsidP="00770DD9" w14:paraId="50951974" w14:textId="46A961E8">
      <w:r>
        <w:t>OACP</w:t>
      </w:r>
      <w:r w:rsidR="00C96E1A">
        <w:t xml:space="preserve"> included</w:t>
      </w:r>
      <w:r>
        <w:t xml:space="preserve"> two new ICRs </w:t>
      </w:r>
      <w:r w:rsidR="00C96E1A">
        <w:t>in the 30-day notice</w:t>
      </w:r>
      <w:r>
        <w:t xml:space="preserve"> as</w:t>
      </w:r>
      <w:r w:rsidR="00F43B2E">
        <w:t xml:space="preserve"> </w:t>
      </w:r>
      <w:r>
        <w:t>related to</w:t>
      </w:r>
      <w:r w:rsidRPr="00770DD9">
        <w:t xml:space="preserve"> </w:t>
      </w:r>
      <w:r>
        <w:t xml:space="preserve">external users, such as regulated entities and other users, that may use the modernized IT system to 1) set up and manage </w:t>
      </w:r>
      <w:r>
        <w:t>individual accounts and 2) access complaints and other submissions and/or submit complaint responses, reports, or other information into that system.</w:t>
      </w:r>
      <w:r w:rsidR="00904BE3">
        <w:t xml:space="preserve">  </w:t>
      </w:r>
    </w:p>
    <w:p w:rsidR="00A31C21" w:rsidP="00770DD9" w14:paraId="6B1DEA1B" w14:textId="77777777"/>
    <w:p w:rsidR="003372F9" w:rsidP="00814B31" w14:paraId="5C045F7E" w14:textId="76536286">
      <w:r>
        <w:t xml:space="preserve">The first </w:t>
      </w:r>
      <w:r w:rsidR="00EE3EA9">
        <w:t xml:space="preserve">new </w:t>
      </w:r>
      <w:r>
        <w:t xml:space="preserve">ICR to set up and manage accounts was not </w:t>
      </w:r>
      <w:r w:rsidR="003D4ADB">
        <w:t xml:space="preserve">part of </w:t>
      </w:r>
      <w:r w:rsidR="00332E3F">
        <w:t>ACERS development</w:t>
      </w:r>
      <w:r w:rsidR="003D4ADB">
        <w:t xml:space="preserve"> at the time the 60-day notice was published</w:t>
      </w:r>
      <w:r w:rsidR="00904BE3">
        <w:t xml:space="preserve">. The </w:t>
      </w:r>
      <w:r w:rsidR="004C387E">
        <w:t xml:space="preserve">additional </w:t>
      </w:r>
      <w:r w:rsidR="00904BE3">
        <w:t>functionalit</w:t>
      </w:r>
      <w:r w:rsidR="004D1570">
        <w:t>ies</w:t>
      </w:r>
      <w:r w:rsidR="00904BE3">
        <w:t xml:space="preserve"> w</w:t>
      </w:r>
      <w:r w:rsidR="004D1570">
        <w:t>ere</w:t>
      </w:r>
      <w:r w:rsidR="00A31C21">
        <w:t xml:space="preserve"> add</w:t>
      </w:r>
      <w:r w:rsidR="00D51EC4">
        <w:t>ed</w:t>
      </w:r>
      <w:r w:rsidR="004C387E">
        <w:t xml:space="preserve"> in response to feedback from internal users and regulated </w:t>
      </w:r>
      <w:r w:rsidR="004D1570">
        <w:t>entities. This</w:t>
      </w:r>
      <w:r w:rsidR="004C387E">
        <w:t xml:space="preserve"> will facilitate use of ACERS by external entities</w:t>
      </w:r>
      <w:r w:rsidR="00A31C21">
        <w:t xml:space="preserve"> </w:t>
      </w:r>
      <w:r w:rsidR="004D1570">
        <w:t xml:space="preserve">but </w:t>
      </w:r>
      <w:r w:rsidR="004C387E">
        <w:t xml:space="preserve">will result in </w:t>
      </w:r>
      <w:r w:rsidR="00875348">
        <w:t xml:space="preserve">some </w:t>
      </w:r>
      <w:r w:rsidR="004C387E">
        <w:t xml:space="preserve">additional </w:t>
      </w:r>
      <w:r w:rsidR="00875348">
        <w:t xml:space="preserve">burden associated with </w:t>
      </w:r>
      <w:r w:rsidR="002112FC">
        <w:t>this new collection</w:t>
      </w:r>
      <w:r w:rsidR="003D4ADB">
        <w:t>.</w:t>
      </w:r>
      <w:r w:rsidR="0006321F">
        <w:t xml:space="preserve"> </w:t>
      </w:r>
      <w:r w:rsidR="005C3F97">
        <w:t>Regarding t</w:t>
      </w:r>
      <w:r w:rsidR="0006321F">
        <w:t xml:space="preserve">he second </w:t>
      </w:r>
      <w:r w:rsidR="00EE3EA9">
        <w:t xml:space="preserve">new </w:t>
      </w:r>
      <w:r w:rsidR="0006321F">
        <w:t>ICR</w:t>
      </w:r>
      <w:r w:rsidR="005C3F97">
        <w:t xml:space="preserve">, </w:t>
      </w:r>
      <w:r w:rsidR="00A17A42">
        <w:t>external entities</w:t>
      </w:r>
      <w:r w:rsidR="00052DF6">
        <w:t xml:space="preserve"> </w:t>
      </w:r>
      <w:r w:rsidR="00EE3EA9">
        <w:t>already</w:t>
      </w:r>
      <w:r w:rsidR="00775165">
        <w:t xml:space="preserve"> electronically</w:t>
      </w:r>
      <w:r w:rsidR="00052DF6">
        <w:t xml:space="preserve"> submit documents to O</w:t>
      </w:r>
      <w:r w:rsidR="00C728DE">
        <w:t>ACP in the regular course of business</w:t>
      </w:r>
      <w:r w:rsidR="000E01D6">
        <w:t>.</w:t>
      </w:r>
      <w:r w:rsidRPr="000E01D6" w:rsidR="000E01D6">
        <w:rPr>
          <w:rStyle w:val="FootnoteReference"/>
        </w:rPr>
        <w:t xml:space="preserve"> </w:t>
      </w:r>
      <w:r>
        <w:rPr>
          <w:rStyle w:val="FootnoteReference"/>
        </w:rPr>
        <w:footnoteReference w:id="4"/>
      </w:r>
      <w:r w:rsidR="000E01D6">
        <w:t xml:space="preserve"> T</w:t>
      </w:r>
      <w:r w:rsidR="0097311B">
        <w:t>his</w:t>
      </w:r>
      <w:r w:rsidR="00B8426A">
        <w:t xml:space="preserve"> PRA action </w:t>
      </w:r>
      <w:r w:rsidR="004C387E">
        <w:t>captures the</w:t>
      </w:r>
      <w:r w:rsidR="000E01D6">
        <w:t xml:space="preserve"> estimated</w:t>
      </w:r>
      <w:r w:rsidR="004C387E">
        <w:t xml:space="preserve"> burden for </w:t>
      </w:r>
      <w:r w:rsidR="00B8426A">
        <w:t xml:space="preserve">entities </w:t>
      </w:r>
      <w:r w:rsidR="004C387E">
        <w:t xml:space="preserve">to </w:t>
      </w:r>
      <w:r w:rsidR="00B8426A">
        <w:t xml:space="preserve">use ACERS to submit </w:t>
      </w:r>
      <w:r w:rsidR="004C387E">
        <w:t xml:space="preserve">responses to </w:t>
      </w:r>
      <w:r w:rsidR="000E01D6">
        <w:t xml:space="preserve">consumer </w:t>
      </w:r>
      <w:r w:rsidR="00DF4661">
        <w:t>complaints</w:t>
      </w:r>
      <w:r w:rsidR="004D1570">
        <w:t>, upload</w:t>
      </w:r>
      <w:r w:rsidR="00DF4661">
        <w:t xml:space="preserve"> </w:t>
      </w:r>
      <w:r w:rsidR="004C387E">
        <w:t xml:space="preserve">related </w:t>
      </w:r>
      <w:r w:rsidR="00B8426A">
        <w:t>document</w:t>
      </w:r>
      <w:r w:rsidR="0018334F">
        <w:t>s</w:t>
      </w:r>
      <w:r w:rsidR="004D1570">
        <w:t>, and</w:t>
      </w:r>
      <w:r w:rsidR="00DD68D5">
        <w:t xml:space="preserve"> </w:t>
      </w:r>
      <w:r w:rsidRPr="004C387E" w:rsidR="00814B31">
        <w:t xml:space="preserve">upload </w:t>
      </w:r>
      <w:r w:rsidR="00814B31">
        <w:t xml:space="preserve">additional </w:t>
      </w:r>
      <w:r w:rsidRPr="004C387E" w:rsidR="00814B31">
        <w:t xml:space="preserve">reports. At times, non-regulated entities (e.g., </w:t>
      </w:r>
      <w:r w:rsidR="00DD68D5">
        <w:t>state attorneys general</w:t>
      </w:r>
      <w:r w:rsidRPr="004C387E" w:rsidR="00814B31">
        <w:t>) may use ACERS to submit consumer complaints and referrals</w:t>
      </w:r>
      <w:r w:rsidR="00653336">
        <w:t>/reports</w:t>
      </w:r>
      <w:r w:rsidR="0018334F">
        <w:t xml:space="preserve"> to our office</w:t>
      </w:r>
      <w:r w:rsidR="00B8426A">
        <w:t>.</w:t>
      </w:r>
    </w:p>
    <w:p w:rsidR="00052DF6" w:rsidP="00B94B1B" w14:paraId="54FE5EC4" w14:textId="77777777"/>
    <w:p w:rsidR="00232965" w:rsidP="00232965" w14:paraId="482F07B7" w14:textId="05E0817B">
      <w:r>
        <w:rPr>
          <w:rFonts w:eastAsiaTheme="minorHAnsi"/>
        </w:rPr>
        <w:t>OACP more fully addresses</w:t>
      </w:r>
      <w:r w:rsidR="00E92953">
        <w:rPr>
          <w:rFonts w:eastAsiaTheme="minorHAnsi"/>
        </w:rPr>
        <w:t xml:space="preserve"> the new ICRs and</w:t>
      </w:r>
      <w:r>
        <w:rPr>
          <w:rFonts w:eastAsiaTheme="minorHAnsi"/>
        </w:rPr>
        <w:t xml:space="preserve"> </w:t>
      </w:r>
      <w:r w:rsidRPr="00805CF1">
        <w:rPr>
          <w:rFonts w:eastAsiaTheme="minorHAnsi"/>
        </w:rPr>
        <w:t>A4A</w:t>
      </w:r>
      <w:r>
        <w:rPr>
          <w:rFonts w:eastAsiaTheme="minorHAnsi"/>
        </w:rPr>
        <w:t>’s</w:t>
      </w:r>
      <w:r w:rsidRPr="00805CF1">
        <w:rPr>
          <w:rFonts w:eastAsiaTheme="minorHAnsi"/>
        </w:rPr>
        <w:t xml:space="preserve"> comment</w:t>
      </w:r>
      <w:r>
        <w:rPr>
          <w:rFonts w:eastAsiaTheme="minorHAnsi"/>
        </w:rPr>
        <w:t>s in the 30-day FR notice</w:t>
      </w:r>
      <w:r w:rsidR="00770DD9">
        <w:rPr>
          <w:rFonts w:eastAsiaTheme="minorHAnsi"/>
        </w:rPr>
        <w:t xml:space="preserve"> </w:t>
      </w:r>
      <w:r>
        <w:rPr>
          <w:rFonts w:eastAsiaTheme="minorHAnsi"/>
        </w:rPr>
        <w:t xml:space="preserve">but notes that </w:t>
      </w:r>
      <w:r w:rsidRPr="00805CF1">
        <w:rPr>
          <w:rFonts w:eastAsiaTheme="minorHAnsi"/>
        </w:rPr>
        <w:t>OACP enforcement</w:t>
      </w:r>
      <w:r>
        <w:rPr>
          <w:rFonts w:eastAsiaTheme="minorHAnsi"/>
        </w:rPr>
        <w:t>/investigatory</w:t>
      </w:r>
      <w:r w:rsidRPr="00805CF1">
        <w:rPr>
          <w:rFonts w:eastAsiaTheme="minorHAnsi"/>
        </w:rPr>
        <w:t xml:space="preserve"> policies and practices</w:t>
      </w:r>
      <w:r>
        <w:rPr>
          <w:rFonts w:eastAsiaTheme="minorHAnsi"/>
        </w:rPr>
        <w:t xml:space="preserve"> and the complaint information published in the ATCR </w:t>
      </w:r>
      <w:r w:rsidRPr="00805CF1">
        <w:rPr>
          <w:rFonts w:eastAsiaTheme="minorHAnsi"/>
        </w:rPr>
        <w:t xml:space="preserve">are outside the scope of </w:t>
      </w:r>
      <w:r>
        <w:rPr>
          <w:rFonts w:eastAsiaTheme="minorHAnsi"/>
        </w:rPr>
        <w:t>this notice.  Many of A4A’s concerns</w:t>
      </w:r>
      <w:r w:rsidR="00DD68D5">
        <w:rPr>
          <w:rFonts w:eastAsiaTheme="minorHAnsi"/>
        </w:rPr>
        <w:t xml:space="preserve"> regarding</w:t>
      </w:r>
      <w:r>
        <w:rPr>
          <w:rFonts w:eastAsiaTheme="minorHAnsi"/>
        </w:rPr>
        <w:t xml:space="preserve"> </w:t>
      </w:r>
      <w:r w:rsidR="00DD68D5">
        <w:rPr>
          <w:rFonts w:eastAsiaTheme="minorHAnsi"/>
        </w:rPr>
        <w:t xml:space="preserve">complaint </w:t>
      </w:r>
      <w:r>
        <w:rPr>
          <w:rFonts w:eastAsiaTheme="minorHAnsi"/>
        </w:rPr>
        <w:t>review and challenge processes relate to policy decisions and not to the new system.  T</w:t>
      </w:r>
      <w:r w:rsidRPr="00805CF1">
        <w:rPr>
          <w:rFonts w:eastAsiaTheme="minorHAnsi"/>
        </w:rPr>
        <w:t>he</w:t>
      </w:r>
      <w:r>
        <w:rPr>
          <w:rFonts w:eastAsiaTheme="minorHAnsi"/>
        </w:rPr>
        <w:t xml:space="preserve"> IT modernization implementing ACERS as OACP’s new IT system will allow the Department to upgrade its </w:t>
      </w:r>
      <w:r w:rsidRPr="00805CF1">
        <w:rPr>
          <w:rFonts w:eastAsiaTheme="minorHAnsi"/>
        </w:rPr>
        <w:t xml:space="preserve">online </w:t>
      </w:r>
      <w:r>
        <w:rPr>
          <w:rFonts w:eastAsiaTheme="minorHAnsi"/>
        </w:rPr>
        <w:t xml:space="preserve">consumer submission </w:t>
      </w:r>
      <w:r w:rsidRPr="00805CF1">
        <w:rPr>
          <w:rFonts w:eastAsiaTheme="minorHAnsi"/>
        </w:rPr>
        <w:t>form</w:t>
      </w:r>
      <w:r>
        <w:rPr>
          <w:rFonts w:eastAsiaTheme="minorHAnsi"/>
        </w:rPr>
        <w:t xml:space="preserve"> and provide regulated entities and certain other users with information submission and account management functionality. This </w:t>
      </w:r>
      <w:r w:rsidR="00E92953">
        <w:rPr>
          <w:rFonts w:eastAsiaTheme="minorHAnsi"/>
        </w:rPr>
        <w:t>PRA action</w:t>
      </w:r>
      <w:r>
        <w:rPr>
          <w:rFonts w:eastAsiaTheme="minorHAnsi"/>
        </w:rPr>
        <w:t xml:space="preserve"> is limited to those uses</w:t>
      </w:r>
      <w:r w:rsidRPr="00805CF1">
        <w:rPr>
          <w:rFonts w:eastAsiaTheme="minorHAnsi"/>
        </w:rPr>
        <w:t xml:space="preserve">. </w:t>
      </w:r>
    </w:p>
    <w:p w:rsidR="00653336" w:rsidRPr="001F5B55" w:rsidP="00232965" w14:paraId="60E941AF" w14:textId="77777777"/>
    <w:p w:rsidR="00232965" w:rsidRPr="001F5B55" w:rsidP="00232965" w14:paraId="4F47C136" w14:textId="77777777">
      <w:r w:rsidRPr="001F5B55">
        <w:t xml:space="preserve">9. </w:t>
      </w:r>
      <w:r w:rsidRPr="001F5B55">
        <w:rPr>
          <w:u w:val="single"/>
        </w:rPr>
        <w:t>Payments or gifts to respondents</w:t>
      </w:r>
      <w:r w:rsidRPr="001F5B55">
        <w:t xml:space="preserve">.  </w:t>
      </w:r>
      <w:r w:rsidRPr="001F5B55">
        <w:rPr>
          <w:b/>
          <w:bCs/>
          <w:i/>
          <w:iCs/>
        </w:rPr>
        <w:t>Explain any decision to provide any payment or gift to respondents, other than remuneration of contractors or grantees</w:t>
      </w:r>
      <w:r w:rsidRPr="001F5B55">
        <w:rPr>
          <w:bCs/>
          <w:iCs/>
        </w:rPr>
        <w:t>.</w:t>
      </w:r>
    </w:p>
    <w:p w:rsidR="00232965" w:rsidRPr="001F5B55" w:rsidP="00232965" w14:paraId="0ECC0445" w14:textId="77777777"/>
    <w:p w:rsidR="00232965" w:rsidRPr="001F5B55" w:rsidP="00232965" w14:paraId="43CC81C4" w14:textId="77777777">
      <w:pPr>
        <w:outlineLvl w:val="0"/>
      </w:pPr>
      <w:r w:rsidRPr="001F5B55">
        <w:t>There are no payments or gifts in this rule.</w:t>
      </w:r>
    </w:p>
    <w:p w:rsidR="00232965" w:rsidRPr="001F5B55" w:rsidP="00232965" w14:paraId="179B069C" w14:textId="77777777"/>
    <w:p w:rsidR="00232965" w:rsidRPr="001F5B55" w:rsidP="00232965" w14:paraId="3159504F" w14:textId="77777777">
      <w:r w:rsidRPr="001F5B55">
        <w:t xml:space="preserve">10. </w:t>
      </w:r>
      <w:r w:rsidRPr="001F5B55">
        <w:rPr>
          <w:u w:val="single"/>
        </w:rPr>
        <w:t>Assurance of confidentiality</w:t>
      </w:r>
      <w:r w:rsidRPr="001F5B55">
        <w:t xml:space="preserve">:  </w:t>
      </w:r>
      <w:r w:rsidRPr="001F5B55">
        <w:rPr>
          <w:b/>
          <w:bCs/>
          <w:i/>
          <w:iCs/>
        </w:rPr>
        <w:t>Describe any assurance of confidentiality provided to respondents and the basis for the assurance in statute, regulation, or agency policy</w:t>
      </w:r>
      <w:r w:rsidRPr="001F5B55">
        <w:t>.</w:t>
      </w:r>
    </w:p>
    <w:p w:rsidR="00232965" w:rsidRPr="001F5B55" w:rsidP="00232965" w14:paraId="4A6AC509" w14:textId="77777777"/>
    <w:p w:rsidR="00A70F1B" w:rsidP="00A70F1B" w14:paraId="2C6DA1FD" w14:textId="6A7B5A0C">
      <w:pPr>
        <w:rPr>
          <w:sz w:val="22"/>
          <w:szCs w:val="22"/>
        </w:rPr>
      </w:pPr>
      <w:r w:rsidRPr="00587CF6">
        <w:t>The Privacy Act is applicable and regulate</w:t>
      </w:r>
      <w:r w:rsidR="003415B2">
        <w:t>s</w:t>
      </w:r>
      <w:r w:rsidRPr="00587CF6">
        <w:t xml:space="preserve"> the manner in which the Department handle</w:t>
      </w:r>
      <w:r w:rsidR="003415B2">
        <w:t>s</w:t>
      </w:r>
      <w:r w:rsidRPr="00587CF6">
        <w:t xml:space="preserve"> </w:t>
      </w:r>
      <w:r>
        <w:t>personal</w:t>
      </w:r>
      <w:r w:rsidRPr="00587CF6">
        <w:t xml:space="preserve"> </w:t>
      </w:r>
      <w:r>
        <w:t>in</w:t>
      </w:r>
      <w:r w:rsidRPr="00587CF6">
        <w:t>formation.</w:t>
      </w:r>
      <w:r w:rsidRPr="00E82F39" w:rsidR="00E82F39">
        <w:t xml:space="preserve"> </w:t>
      </w:r>
      <w:r w:rsidR="00E82F39">
        <w:t xml:space="preserve">The information is covered by System of Records Notice (SORN) DOT/OST 102 </w:t>
      </w:r>
      <w:r w:rsidR="00F4359A">
        <w:t>–</w:t>
      </w:r>
      <w:r w:rsidR="00E82F39">
        <w:t xml:space="preserve"> Aviation Consumer Complaint Application (CCA) Online System - 84 FR 2663 – February 7, 2019</w:t>
      </w:r>
      <w:r w:rsidR="00F4359A">
        <w:t>.</w:t>
      </w:r>
      <w:r w:rsidR="00AF6B2D">
        <w:t xml:space="preserve">  </w:t>
      </w:r>
      <w:r w:rsidR="00E82F39">
        <w:t>O</w:t>
      </w:r>
      <w:r w:rsidR="001F5776">
        <w:t>n</w:t>
      </w:r>
      <w:r w:rsidR="00E82F39">
        <w:t xml:space="preserve"> December 5, 2023,</w:t>
      </w:r>
      <w:r w:rsidR="001F5776">
        <w:t xml:space="preserve"> </w:t>
      </w:r>
      <w:r w:rsidR="00AF6B2D">
        <w:t>a Privacy Impact Assessment</w:t>
      </w:r>
      <w:r w:rsidR="001F5776">
        <w:t xml:space="preserve"> </w:t>
      </w:r>
      <w:r w:rsidR="00AF6B2D">
        <w:t>(PIA)</w:t>
      </w:r>
      <w:r w:rsidR="001F5776">
        <w:t xml:space="preserve"> was made </w:t>
      </w:r>
      <w:r w:rsidR="00752089">
        <w:t xml:space="preserve">public </w:t>
      </w:r>
      <w:r w:rsidR="001F5776">
        <w:t>on the DOT’s website</w:t>
      </w:r>
      <w:r w:rsidR="00F4359A">
        <w:t>.</w:t>
      </w:r>
      <w:r w:rsidR="00E82F39">
        <w:rPr>
          <w:color w:val="1F497D"/>
        </w:rPr>
        <w:t xml:space="preserve"> </w:t>
      </w:r>
      <w:r w:rsidRPr="00F4359A" w:rsidR="00E82F39">
        <w:t xml:space="preserve">The PIA is available at </w:t>
      </w:r>
      <w:hyperlink r:id="rId6" w:history="1">
        <w:r>
          <w:rPr>
            <w:rStyle w:val="Hyperlink"/>
          </w:rPr>
          <w:t>https://www.transportation.gov/individuals/privacy/aviation-complaint-enforcement-and-reporting-system-acers</w:t>
        </w:r>
      </w:hyperlink>
      <w:r w:rsidR="00F4359A">
        <w:rPr>
          <w:rStyle w:val="Hyperlink"/>
        </w:rPr>
        <w:t>.</w:t>
      </w:r>
    </w:p>
    <w:p w:rsidR="00232965" w:rsidRPr="001F5B55" w:rsidP="00976E80" w14:paraId="45426CAA" w14:textId="77777777">
      <w:pPr>
        <w:outlineLvl w:val="0"/>
      </w:pPr>
    </w:p>
    <w:p w:rsidR="00232965" w:rsidRPr="001F5B55" w:rsidP="00232965" w14:paraId="204F9A8A" w14:textId="77777777">
      <w:r w:rsidRPr="001F5B55">
        <w:t xml:space="preserve">11. </w:t>
      </w:r>
      <w:r w:rsidRPr="001F5B55">
        <w:rPr>
          <w:u w:val="single"/>
        </w:rPr>
        <w:t>Justification for collection of sensitive information</w:t>
      </w:r>
      <w:r w:rsidRPr="001F5B55">
        <w:t xml:space="preserve">.  </w:t>
      </w:r>
      <w:r w:rsidRPr="001F5B55">
        <w:rPr>
          <w:b/>
          <w:bCs/>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w:t>
      </w:r>
      <w:r w:rsidRPr="001F5B55">
        <w:rPr>
          <w:b/>
          <w:bCs/>
          <w:i/>
          <w:iCs/>
        </w:rPr>
        <w:t>information, the explanation to be given to persons from whom the information is requested, and any steps to be taken to obtain their consent</w:t>
      </w:r>
      <w:r w:rsidRPr="001F5B55">
        <w:t>.</w:t>
      </w:r>
    </w:p>
    <w:p w:rsidR="00232965" w:rsidRPr="001F5B55" w:rsidP="00232965" w14:paraId="28E85F60" w14:textId="77777777"/>
    <w:p w:rsidR="00BE735F" w:rsidRPr="00587CF6" w:rsidP="00BE735F" w14:paraId="6C83B277" w14:textId="0C2F1676">
      <w:pPr>
        <w:pStyle w:val="Default"/>
        <w:rPr>
          <w:rFonts w:ascii="Times New Roman" w:hAnsi="Times New Roman" w:cs="Times New Roman"/>
          <w:color w:val="auto"/>
        </w:rPr>
      </w:pPr>
      <w:r w:rsidRPr="00976E80">
        <w:rPr>
          <w:rFonts w:ascii="Times New Roman" w:hAnsi="Times New Roman" w:cs="Times New Roman"/>
        </w:rPr>
        <w:t>There are no questions of this nature.</w:t>
      </w:r>
      <w:r w:rsidR="00976E80">
        <w:t xml:space="preserve"> </w:t>
      </w:r>
      <w:r w:rsidR="004D66D5">
        <w:t xml:space="preserve"> </w:t>
      </w:r>
      <w:r w:rsidR="00976E80">
        <w:rPr>
          <w:rFonts w:ascii="Times New Roman" w:hAnsi="Times New Roman" w:cs="Times New Roman"/>
          <w:color w:val="auto"/>
        </w:rPr>
        <w:t>However,</w:t>
      </w:r>
      <w:r w:rsidR="000773ED">
        <w:rPr>
          <w:rFonts w:ascii="Times New Roman" w:hAnsi="Times New Roman" w:cs="Times New Roman"/>
          <w:color w:val="auto"/>
        </w:rPr>
        <w:t xml:space="preserve"> a consumer </w:t>
      </w:r>
      <w:r w:rsidR="00BD2C70">
        <w:rPr>
          <w:rFonts w:ascii="Times New Roman" w:hAnsi="Times New Roman" w:cs="Times New Roman"/>
          <w:color w:val="auto"/>
        </w:rPr>
        <w:t xml:space="preserve">who uses the online form </w:t>
      </w:r>
      <w:r w:rsidR="00976E80">
        <w:rPr>
          <w:rFonts w:ascii="Times New Roman" w:hAnsi="Times New Roman" w:cs="Times New Roman"/>
          <w:color w:val="auto"/>
        </w:rPr>
        <w:t xml:space="preserve">may voluntarily </w:t>
      </w:r>
      <w:r w:rsidR="003656B7">
        <w:rPr>
          <w:rFonts w:ascii="Times New Roman" w:hAnsi="Times New Roman" w:cs="Times New Roman"/>
          <w:color w:val="auto"/>
        </w:rPr>
        <w:t>include information regarding a sensitive</w:t>
      </w:r>
      <w:r w:rsidR="00976E80">
        <w:rPr>
          <w:rFonts w:ascii="Times New Roman" w:hAnsi="Times New Roman" w:cs="Times New Roman"/>
          <w:color w:val="auto"/>
        </w:rPr>
        <w:t xml:space="preserve"> issue</w:t>
      </w:r>
      <w:r w:rsidR="003656B7">
        <w:rPr>
          <w:rFonts w:ascii="Times New Roman" w:hAnsi="Times New Roman" w:cs="Times New Roman"/>
          <w:color w:val="auto"/>
        </w:rPr>
        <w:t>,</w:t>
      </w:r>
      <w:r w:rsidR="00976E80">
        <w:rPr>
          <w:rFonts w:ascii="Times New Roman" w:hAnsi="Times New Roman" w:cs="Times New Roman"/>
          <w:color w:val="auto"/>
        </w:rPr>
        <w:t xml:space="preserve"> such as a passenger’s </w:t>
      </w:r>
      <w:r w:rsidR="000773ED">
        <w:rPr>
          <w:rFonts w:ascii="Times New Roman" w:hAnsi="Times New Roman" w:cs="Times New Roman"/>
          <w:color w:val="auto"/>
        </w:rPr>
        <w:t xml:space="preserve">medical condition or </w:t>
      </w:r>
      <w:r w:rsidR="00976E80">
        <w:rPr>
          <w:rFonts w:ascii="Times New Roman" w:hAnsi="Times New Roman" w:cs="Times New Roman"/>
          <w:color w:val="auto"/>
        </w:rPr>
        <w:t>disability.</w:t>
      </w:r>
      <w:r w:rsidR="00BD2C70">
        <w:rPr>
          <w:rFonts w:ascii="Times New Roman" w:hAnsi="Times New Roman" w:cs="Times New Roman"/>
          <w:color w:val="auto"/>
        </w:rPr>
        <w:t xml:space="preserve"> </w:t>
      </w:r>
      <w:r w:rsidR="00B56997">
        <w:rPr>
          <w:rFonts w:ascii="Times New Roman" w:hAnsi="Times New Roman" w:cs="Times New Roman"/>
          <w:color w:val="auto"/>
        </w:rPr>
        <w:t>Documents</w:t>
      </w:r>
      <w:r w:rsidR="00BD2C70">
        <w:rPr>
          <w:rFonts w:ascii="Times New Roman" w:hAnsi="Times New Roman" w:cs="Times New Roman"/>
          <w:color w:val="auto"/>
        </w:rPr>
        <w:t xml:space="preserve"> provided to OACP by</w:t>
      </w:r>
      <w:r w:rsidR="00521E26">
        <w:rPr>
          <w:rFonts w:ascii="Times New Roman" w:hAnsi="Times New Roman" w:cs="Times New Roman"/>
          <w:color w:val="auto"/>
        </w:rPr>
        <w:t xml:space="preserve"> external/regulated</w:t>
      </w:r>
      <w:r w:rsidR="00BD2C70">
        <w:rPr>
          <w:rFonts w:ascii="Times New Roman" w:hAnsi="Times New Roman" w:cs="Times New Roman"/>
          <w:color w:val="auto"/>
        </w:rPr>
        <w:t xml:space="preserve"> entities may also contain such information.</w:t>
      </w:r>
      <w:r w:rsidR="003656B7">
        <w:rPr>
          <w:rFonts w:ascii="Times New Roman" w:hAnsi="Times New Roman" w:cs="Times New Roman"/>
          <w:color w:val="auto"/>
        </w:rPr>
        <w:t xml:space="preserve"> </w:t>
      </w:r>
      <w:r>
        <w:rPr>
          <w:rFonts w:ascii="Times New Roman" w:hAnsi="Times New Roman" w:cs="Times New Roman"/>
          <w:color w:val="auto"/>
        </w:rPr>
        <w:t>The modernized IT system was developed to include features that make redacting PII more efficient.</w:t>
      </w:r>
    </w:p>
    <w:p w:rsidR="00BE735F" w:rsidP="00976E80" w14:paraId="2B3DEFF9" w14:textId="77777777">
      <w:pPr>
        <w:pStyle w:val="Default"/>
        <w:rPr>
          <w:rFonts w:ascii="Times New Roman" w:hAnsi="Times New Roman" w:cs="Times New Roman"/>
          <w:color w:val="auto"/>
        </w:rPr>
      </w:pPr>
    </w:p>
    <w:p w:rsidR="00976E80" w:rsidRPr="00587CF6" w:rsidP="00976E80" w14:paraId="759FA509" w14:textId="4A7E3074">
      <w:pPr>
        <w:pStyle w:val="Default"/>
        <w:rPr>
          <w:rFonts w:ascii="Times New Roman" w:hAnsi="Times New Roman" w:cs="Times New Roman"/>
          <w:color w:val="auto"/>
        </w:rPr>
      </w:pPr>
      <w:r w:rsidRPr="00587CF6">
        <w:rPr>
          <w:rFonts w:ascii="Times New Roman" w:hAnsi="Times New Roman" w:cs="Times New Roman"/>
          <w:color w:val="auto"/>
        </w:rPr>
        <w:t>The Department uses the data gathere</w:t>
      </w:r>
      <w:r>
        <w:rPr>
          <w:rFonts w:ascii="Times New Roman" w:hAnsi="Times New Roman" w:cs="Times New Roman"/>
          <w:color w:val="auto"/>
        </w:rPr>
        <w:t>d to investigate complaints and determine when it is appropriate to take</w:t>
      </w:r>
      <w:r w:rsidR="004D66D5">
        <w:rPr>
          <w:rFonts w:ascii="Times New Roman" w:hAnsi="Times New Roman" w:cs="Times New Roman"/>
          <w:color w:val="auto"/>
        </w:rPr>
        <w:t xml:space="preserve"> corrective and/or</w:t>
      </w:r>
      <w:r>
        <w:rPr>
          <w:rFonts w:ascii="Times New Roman" w:hAnsi="Times New Roman" w:cs="Times New Roman"/>
          <w:color w:val="auto"/>
        </w:rPr>
        <w:t xml:space="preserve"> enforcement action</w:t>
      </w:r>
      <w:r w:rsidR="00895A4C">
        <w:rPr>
          <w:rFonts w:ascii="Times New Roman" w:hAnsi="Times New Roman" w:cs="Times New Roman"/>
          <w:color w:val="auto"/>
        </w:rPr>
        <w:t>, including issues related to passenger</w:t>
      </w:r>
      <w:r w:rsidR="006F1EBC">
        <w:rPr>
          <w:rFonts w:ascii="Times New Roman" w:hAnsi="Times New Roman" w:cs="Times New Roman"/>
          <w:color w:val="auto"/>
        </w:rPr>
        <w:t>s with a disability and/or civil rights related incidents.</w:t>
      </w:r>
    </w:p>
    <w:p w:rsidR="00232965" w:rsidRPr="001F5B55" w:rsidP="00232965" w14:paraId="088B4F32" w14:textId="77777777"/>
    <w:p w:rsidR="00232965" w:rsidRPr="001F5B55" w:rsidP="00232965" w14:paraId="6369EDA1" w14:textId="77777777">
      <w:r w:rsidRPr="001F5B55">
        <w:t xml:space="preserve">12. </w:t>
      </w:r>
      <w:r w:rsidRPr="001F5B55">
        <w:rPr>
          <w:u w:val="single"/>
        </w:rPr>
        <w:t>Estimate of burden hours for information requested</w:t>
      </w:r>
      <w:r w:rsidRPr="001F5B55">
        <w:t xml:space="preserve">.  </w:t>
      </w:r>
      <w:r w:rsidRPr="001F5B55">
        <w:rPr>
          <w:b/>
          <w:bCs/>
          <w:i/>
          <w:iCs/>
        </w:rPr>
        <w:t>Provide estimates of the hour burden for the collection of information.  The statements should:  Indicate the number of respondents, frequency of response, annual hour burden, and an explanation of how the burden was estimated.  If this request for approval covers more than one form, provide separate hour burden estimates for each form.  Provide estimates of annualized cost to respondents for the hour burdens for collections of information, identifying and using appropriate wage rate categories</w:t>
      </w:r>
    </w:p>
    <w:p w:rsidR="00232965" w:rsidP="00232965" w14:paraId="71CE29BA" w14:textId="77777777"/>
    <w:p w:rsidR="00617B86" w:rsidP="00682AFB" w14:paraId="0D23C886" w14:textId="6FC05428">
      <w:pPr>
        <w:jc w:val="center"/>
        <w:outlineLvl w:val="0"/>
        <w:rPr>
          <w:b/>
        </w:rPr>
      </w:pPr>
      <w:r w:rsidRPr="00523225">
        <w:rPr>
          <w:b/>
        </w:rPr>
        <w:t>Table</w:t>
      </w:r>
      <w:r w:rsidR="004C068D">
        <w:rPr>
          <w:b/>
        </w:rPr>
        <w:t>s</w:t>
      </w:r>
      <w:r>
        <w:rPr>
          <w:b/>
        </w:rPr>
        <w:t xml:space="preserve"> 1</w:t>
      </w:r>
      <w:r w:rsidR="00FF7F58">
        <w:rPr>
          <w:b/>
        </w:rPr>
        <w:t>.1</w:t>
      </w:r>
      <w:r w:rsidR="004C068D">
        <w:rPr>
          <w:b/>
        </w:rPr>
        <w:t xml:space="preserve"> and 1.2</w:t>
      </w:r>
      <w:r w:rsidRPr="00523225">
        <w:rPr>
          <w:b/>
        </w:rPr>
        <w:t>:  Data for Collection</w:t>
      </w:r>
      <w:r w:rsidR="003656B7">
        <w:rPr>
          <w:b/>
        </w:rPr>
        <w:t xml:space="preserve"> of Information, On-Line Submission of Consumer Complaints</w:t>
      </w:r>
      <w:r>
        <w:rPr>
          <w:b/>
        </w:rPr>
        <w:t>/Comments via the Aviation</w:t>
      </w:r>
      <w:r w:rsidR="003656B7">
        <w:rPr>
          <w:b/>
        </w:rPr>
        <w:t xml:space="preserve"> Consumer Protection Division</w:t>
      </w:r>
      <w:r w:rsidR="004D66D5">
        <w:rPr>
          <w:b/>
        </w:rPr>
        <w:t xml:space="preserve"> (</w:t>
      </w:r>
      <w:r w:rsidR="00D803B2">
        <w:rPr>
          <w:b/>
        </w:rPr>
        <w:t>OACP</w:t>
      </w:r>
      <w:r w:rsidR="004D66D5">
        <w:rPr>
          <w:b/>
        </w:rPr>
        <w:t>)</w:t>
      </w:r>
      <w:r w:rsidR="003656B7">
        <w:rPr>
          <w:b/>
        </w:rPr>
        <w:t xml:space="preserve"> </w:t>
      </w:r>
    </w:p>
    <w:p w:rsidR="00682AFB" w:rsidP="00682AFB" w14:paraId="30D06B36" w14:textId="77777777">
      <w:pPr>
        <w:jc w:val="center"/>
        <w:outlineLvl w:val="0"/>
        <w:rPr>
          <w:b/>
        </w:rPr>
      </w:pPr>
      <w:r>
        <w:rPr>
          <w:b/>
        </w:rPr>
        <w:t>Website</w:t>
      </w:r>
      <w:r w:rsidR="00617B86">
        <w:rPr>
          <w:b/>
        </w:rPr>
        <w:t xml:space="preserve"> Electronic Form</w:t>
      </w:r>
    </w:p>
    <w:p w:rsidR="00682AFB" w:rsidP="00682AFB" w14:paraId="46ADC8BD" w14:textId="77777777">
      <w:pPr>
        <w:jc w:val="center"/>
        <w:outlineLvl w:val="0"/>
        <w:rPr>
          <w:rFonts w:cs="Arial"/>
          <w:sz w:val="22"/>
          <w:szCs w:val="22"/>
        </w:rPr>
      </w:pPr>
      <w:r>
        <w:t>(</w:t>
      </w:r>
      <w:r w:rsidRPr="001F5B55">
        <w:t>OMB Control Number</w:t>
      </w:r>
      <w:r w:rsidRPr="001F5B55">
        <w:rPr>
          <w:b/>
        </w:rPr>
        <w:t xml:space="preserve"> </w:t>
      </w:r>
      <w:r>
        <w:rPr>
          <w:rFonts w:cs="Arial"/>
          <w:sz w:val="22"/>
          <w:szCs w:val="22"/>
        </w:rPr>
        <w:t>2105-0568)</w:t>
      </w:r>
    </w:p>
    <w:p w:rsidR="00AE433F" w:rsidP="00682AFB" w14:paraId="13FAD780" w14:textId="77777777">
      <w:pPr>
        <w:jc w:val="center"/>
        <w:outlineLvl w:val="0"/>
        <w:rPr>
          <w:rFonts w:cs="Arial"/>
          <w:sz w:val="22"/>
          <w:szCs w:val="22"/>
        </w:rPr>
      </w:pPr>
    </w:p>
    <w:p w:rsidR="00AD334A" w:rsidP="00F4359A" w14:paraId="3D864CA5" w14:textId="007585F9">
      <w:pPr>
        <w:shd w:val="clear" w:color="auto" w:fill="FFFFFF"/>
      </w:pPr>
      <w:r>
        <w:t>As shown in</w:t>
      </w:r>
      <w:r w:rsidRPr="00AE433F" w:rsidR="00AE433F">
        <w:t xml:space="preserve"> </w:t>
      </w:r>
      <w:r w:rsidR="00F4359A">
        <w:t xml:space="preserve">Table 1 (below) </w:t>
      </w:r>
      <w:r w:rsidRPr="00AE433F" w:rsidR="00AE433F">
        <w:t>approximately ninety</w:t>
      </w:r>
      <w:r w:rsidR="003B2476">
        <w:t>-</w:t>
      </w:r>
      <w:r w:rsidR="003055C0">
        <w:t>seven</w:t>
      </w:r>
      <w:r w:rsidRPr="00AE433F" w:rsidR="00AE433F">
        <w:t xml:space="preserve"> </w:t>
      </w:r>
      <w:r w:rsidR="0081218A">
        <w:t xml:space="preserve">percent </w:t>
      </w:r>
      <w:r w:rsidRPr="00AE433F" w:rsidR="00AE433F">
        <w:t>of the</w:t>
      </w:r>
      <w:r w:rsidR="00F4359A">
        <w:t xml:space="preserve"> complaints</w:t>
      </w:r>
      <w:r w:rsidRPr="00AE433F" w:rsidR="00AE433F">
        <w:t xml:space="preserve"> received by OACP during CY</w:t>
      </w:r>
      <w:r w:rsidR="00021C12">
        <w:t>s</w:t>
      </w:r>
      <w:r w:rsidRPr="00AE433F" w:rsidR="00AE433F">
        <w:t xml:space="preserve"> 2</w:t>
      </w:r>
      <w:r w:rsidR="00F4359A">
        <w:t>1</w:t>
      </w:r>
      <w:r w:rsidRPr="00AE433F" w:rsidR="00AE433F">
        <w:t xml:space="preserve"> through 2</w:t>
      </w:r>
      <w:r w:rsidR="00F4359A">
        <w:t>2</w:t>
      </w:r>
      <w:r w:rsidRPr="00AE433F" w:rsidR="00AE433F">
        <w:t xml:space="preserve"> were filed using the web-based form.</w:t>
      </w:r>
    </w:p>
    <w:p w:rsidR="00AD334A" w:rsidP="00AE433F" w14:paraId="74434620" w14:textId="77777777"/>
    <w:p w:rsidR="00AD334A" w:rsidRPr="00AD334A" w:rsidP="00AD334A" w14:paraId="0F2209FA" w14:textId="5BCFDE8B">
      <w:pPr>
        <w:shd w:val="clear" w:color="auto" w:fill="FFFFFF"/>
        <w:rPr>
          <w:b/>
          <w:bCs/>
        </w:rPr>
      </w:pPr>
      <w:r w:rsidRPr="00AD334A">
        <w:rPr>
          <w:b/>
          <w:bCs/>
        </w:rPr>
        <w:t>Table 1</w:t>
      </w:r>
      <w:r w:rsidR="004C068D">
        <w:rPr>
          <w:b/>
          <w:bCs/>
        </w:rPr>
        <w:t>.1</w:t>
      </w:r>
      <w:r w:rsidRPr="00AD334A">
        <w:rPr>
          <w:b/>
          <w:bCs/>
        </w:rPr>
        <w:t>: Complaints Received by OACP (CY21/22)</w:t>
      </w:r>
    </w:p>
    <w:tbl>
      <w:tblPr>
        <w:tblW w:w="7371" w:type="dxa"/>
        <w:tblCellMar>
          <w:left w:w="0" w:type="dxa"/>
          <w:right w:w="0" w:type="dxa"/>
        </w:tblCellMar>
        <w:tblLook w:val="04A0"/>
      </w:tblPr>
      <w:tblGrid>
        <w:gridCol w:w="1458"/>
        <w:gridCol w:w="1980"/>
        <w:gridCol w:w="1800"/>
        <w:gridCol w:w="2133"/>
      </w:tblGrid>
      <w:tr w14:paraId="2F6AF05B" w14:textId="77777777">
        <w:tblPrEx>
          <w:tblW w:w="7371" w:type="dxa"/>
          <w:tblCellMar>
            <w:left w:w="0" w:type="dxa"/>
            <w:right w:w="0" w:type="dxa"/>
          </w:tblCellMar>
          <w:tblLook w:val="04A0"/>
        </w:tblPrEx>
        <w:trPr>
          <w:trHeight w:val="290"/>
        </w:trPr>
        <w:tc>
          <w:tcPr>
            <w:tcW w:w="14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27E56C60" w14:textId="77777777">
            <w:pPr>
              <w:rPr>
                <w:color w:val="000000"/>
                <w:sz w:val="22"/>
                <w:szCs w:val="22"/>
              </w:rPr>
            </w:pPr>
            <w:r w:rsidRPr="00AD334A">
              <w:rPr>
                <w:color w:val="000000"/>
              </w:rPr>
              <w:t>Calendar Year</w:t>
            </w:r>
          </w:p>
        </w:tc>
        <w:tc>
          <w:tcPr>
            <w:tcW w:w="19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277B6D54" w14:textId="77777777">
            <w:pPr>
              <w:rPr>
                <w:color w:val="000000"/>
              </w:rPr>
            </w:pPr>
            <w:r w:rsidRPr="00AD334A">
              <w:rPr>
                <w:color w:val="000000"/>
              </w:rPr>
              <w:t>Total # of Complaints Filed On-line</w:t>
            </w:r>
          </w:p>
        </w:tc>
        <w:tc>
          <w:tcPr>
            <w:tcW w:w="18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451DE9CF" w14:textId="77777777">
            <w:pPr>
              <w:rPr>
                <w:color w:val="000000"/>
              </w:rPr>
            </w:pPr>
            <w:r w:rsidRPr="00AD334A">
              <w:rPr>
                <w:color w:val="000000"/>
              </w:rPr>
              <w:t>Total # of Complaints Filed with OACP</w:t>
            </w:r>
          </w:p>
        </w:tc>
        <w:tc>
          <w:tcPr>
            <w:tcW w:w="21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279F902E" w14:textId="77777777">
            <w:pPr>
              <w:rPr>
                <w:color w:val="000000"/>
              </w:rPr>
            </w:pPr>
            <w:r w:rsidRPr="00AD334A">
              <w:rPr>
                <w:color w:val="000000"/>
              </w:rPr>
              <w:t>% of On-line Submissions</w:t>
            </w:r>
          </w:p>
        </w:tc>
      </w:tr>
      <w:tr w14:paraId="1A02A63F" w14:textId="77777777">
        <w:tblPrEx>
          <w:tblW w:w="7371" w:type="dxa"/>
          <w:tblCellMar>
            <w:left w:w="0" w:type="dxa"/>
            <w:right w:w="0" w:type="dxa"/>
          </w:tblCellMar>
          <w:tblLook w:val="04A0"/>
        </w:tblPrEx>
        <w:trPr>
          <w:trHeight w:val="290"/>
        </w:trPr>
        <w:tc>
          <w:tcPr>
            <w:tcW w:w="14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34939D04" w14:textId="77777777">
            <w:pPr>
              <w:jc w:val="right"/>
              <w:rPr>
                <w:color w:val="000000"/>
              </w:rPr>
            </w:pPr>
            <w:r w:rsidRPr="00AD334A">
              <w:rPr>
                <w:color w:val="000000"/>
              </w:rPr>
              <w:t>2021</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1DFB60A5" w14:textId="77777777">
            <w:pPr>
              <w:jc w:val="right"/>
              <w:rPr>
                <w:color w:val="000000"/>
              </w:rPr>
            </w:pPr>
            <w:r w:rsidRPr="00AD334A">
              <w:rPr>
                <w:color w:val="000000"/>
              </w:rPr>
              <w:t>48,465</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4FB76AA3" w14:textId="77777777">
            <w:pPr>
              <w:jc w:val="right"/>
              <w:rPr>
                <w:color w:val="000000"/>
              </w:rPr>
            </w:pPr>
            <w:r w:rsidRPr="00AD334A">
              <w:rPr>
                <w:color w:val="000000"/>
              </w:rPr>
              <w:t>49,958</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4A82E11B" w14:textId="77777777">
            <w:pPr>
              <w:jc w:val="right"/>
              <w:rPr>
                <w:color w:val="000000"/>
              </w:rPr>
            </w:pPr>
            <w:r w:rsidRPr="00AD334A">
              <w:rPr>
                <w:color w:val="000000"/>
              </w:rPr>
              <w:t>97.01%</w:t>
            </w:r>
          </w:p>
        </w:tc>
      </w:tr>
      <w:tr w14:paraId="158845F5" w14:textId="77777777">
        <w:tblPrEx>
          <w:tblW w:w="7371" w:type="dxa"/>
          <w:tblCellMar>
            <w:left w:w="0" w:type="dxa"/>
            <w:right w:w="0" w:type="dxa"/>
          </w:tblCellMar>
          <w:tblLook w:val="04A0"/>
        </w:tblPrEx>
        <w:trPr>
          <w:trHeight w:val="290"/>
        </w:trPr>
        <w:tc>
          <w:tcPr>
            <w:tcW w:w="14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72B085C4" w14:textId="77777777">
            <w:pPr>
              <w:jc w:val="right"/>
              <w:rPr>
                <w:color w:val="000000"/>
              </w:rPr>
            </w:pPr>
            <w:r w:rsidRPr="00AD334A">
              <w:rPr>
                <w:color w:val="000000"/>
              </w:rPr>
              <w:t>2022</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7908A9F5" w14:textId="77777777">
            <w:pPr>
              <w:jc w:val="right"/>
              <w:rPr>
                <w:color w:val="000000"/>
              </w:rPr>
            </w:pPr>
            <w:r w:rsidRPr="00AD334A">
              <w:rPr>
                <w:color w:val="000000"/>
              </w:rPr>
              <w:t>75,731</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5C6D22A6" w14:textId="77777777">
            <w:pPr>
              <w:jc w:val="right"/>
              <w:rPr>
                <w:color w:val="000000"/>
              </w:rPr>
            </w:pPr>
            <w:r w:rsidRPr="00AD334A">
              <w:rPr>
                <w:color w:val="000000"/>
              </w:rPr>
              <w:t>77,656</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AD334A" w:rsidRPr="00AD334A" w:rsidP="00AD334A" w14:paraId="61D723E0" w14:textId="77777777">
            <w:pPr>
              <w:jc w:val="right"/>
              <w:rPr>
                <w:color w:val="000000"/>
              </w:rPr>
            </w:pPr>
            <w:r w:rsidRPr="00AD334A">
              <w:rPr>
                <w:color w:val="000000"/>
              </w:rPr>
              <w:t>97.52%</w:t>
            </w:r>
          </w:p>
        </w:tc>
      </w:tr>
      <w:tr w14:paraId="6470B04B" w14:textId="77777777">
        <w:tblPrEx>
          <w:tblW w:w="7371" w:type="dxa"/>
          <w:tblCellMar>
            <w:left w:w="0" w:type="dxa"/>
            <w:right w:w="0" w:type="dxa"/>
          </w:tblCellMar>
          <w:tblLook w:val="04A0"/>
        </w:tblPrEx>
        <w:trPr>
          <w:trHeight w:val="290"/>
        </w:trPr>
        <w:tc>
          <w:tcPr>
            <w:tcW w:w="14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27F08BF7" w14:textId="77777777">
            <w:pPr>
              <w:jc w:val="right"/>
              <w:rPr>
                <w:b/>
                <w:bCs/>
                <w:color w:val="000000"/>
              </w:rPr>
            </w:pPr>
            <w:r w:rsidRPr="00AD334A">
              <w:rPr>
                <w:b/>
                <w:bCs/>
                <w:color w:val="000000"/>
              </w:rPr>
              <w:t>Average Total</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523652E7" w14:textId="77777777">
            <w:pPr>
              <w:jc w:val="right"/>
              <w:rPr>
                <w:b/>
                <w:bCs/>
                <w:color w:val="000000"/>
              </w:rPr>
            </w:pPr>
            <w:r w:rsidRPr="00AD334A">
              <w:rPr>
                <w:b/>
                <w:bCs/>
                <w:color w:val="000000"/>
              </w:rPr>
              <w:t>62,098</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09174F66" w14:textId="77777777">
            <w:pPr>
              <w:jc w:val="right"/>
              <w:rPr>
                <w:color w:val="000000"/>
              </w:rPr>
            </w:pPr>
            <w:r w:rsidRPr="00AD334A">
              <w:rPr>
                <w:color w:val="000000"/>
              </w:rPr>
              <w:t>63,807</w:t>
            </w:r>
          </w:p>
        </w:tc>
        <w:tc>
          <w:tcPr>
            <w:tcW w:w="2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D334A" w:rsidRPr="00AD334A" w:rsidP="00AD334A" w14:paraId="5E4DA99C" w14:textId="77777777">
            <w:pPr>
              <w:jc w:val="right"/>
              <w:rPr>
                <w:color w:val="000000"/>
              </w:rPr>
            </w:pPr>
            <w:r w:rsidRPr="00AD334A">
              <w:rPr>
                <w:color w:val="000000"/>
              </w:rPr>
              <w:t>97.27%</w:t>
            </w:r>
          </w:p>
        </w:tc>
      </w:tr>
    </w:tbl>
    <w:p w:rsidR="00AD334A" w:rsidRPr="00AD334A" w:rsidP="00AD334A" w14:paraId="5228194B" w14:textId="77777777">
      <w:pPr>
        <w:shd w:val="clear" w:color="auto" w:fill="FFFFFF"/>
        <w:spacing w:line="480" w:lineRule="auto"/>
        <w:ind w:firstLine="720"/>
      </w:pPr>
    </w:p>
    <w:p w:rsidR="00AD334A" w:rsidRPr="00AD334A" w:rsidP="00AD334A" w14:paraId="675F293C" w14:textId="07CDFE20">
      <w:pPr>
        <w:shd w:val="clear" w:color="auto" w:fill="FFFFFF"/>
        <w:ind w:left="720" w:hanging="720"/>
        <w:rPr>
          <w:b/>
          <w:bCs/>
        </w:rPr>
      </w:pPr>
      <w:r w:rsidRPr="00AD334A">
        <w:rPr>
          <w:b/>
          <w:bCs/>
        </w:rPr>
        <w:t xml:space="preserve">Table </w:t>
      </w:r>
      <w:r w:rsidR="00F81F65">
        <w:rPr>
          <w:b/>
          <w:bCs/>
        </w:rPr>
        <w:t>1.</w:t>
      </w:r>
      <w:r w:rsidRPr="00AD334A">
        <w:rPr>
          <w:b/>
          <w:bCs/>
        </w:rPr>
        <w:t>2: Comments (Non-complaints) Received by OACP (CY21/22)</w:t>
      </w:r>
    </w:p>
    <w:tbl>
      <w:tblPr>
        <w:tblW w:w="73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1458"/>
        <w:gridCol w:w="1980"/>
        <w:gridCol w:w="1800"/>
        <w:gridCol w:w="2133"/>
      </w:tblGrid>
      <w:tr w14:paraId="429DFEED" w14:textId="77777777">
        <w:tblPrEx>
          <w:tblW w:w="73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rPr>
          <w:trHeight w:val="290"/>
        </w:trPr>
        <w:tc>
          <w:tcPr>
            <w:tcW w:w="1458" w:type="dxa"/>
            <w:noWrap/>
            <w:tcMar>
              <w:top w:w="0" w:type="dxa"/>
              <w:left w:w="108" w:type="dxa"/>
              <w:bottom w:w="0" w:type="dxa"/>
              <w:right w:w="108" w:type="dxa"/>
            </w:tcMar>
            <w:vAlign w:val="bottom"/>
            <w:hideMark/>
          </w:tcPr>
          <w:p w:rsidR="00AD334A" w:rsidRPr="00AD334A" w:rsidP="00AD334A" w14:paraId="48BDDE94" w14:textId="77777777">
            <w:pPr>
              <w:rPr>
                <w:color w:val="000000"/>
                <w:sz w:val="22"/>
                <w:szCs w:val="22"/>
              </w:rPr>
            </w:pPr>
            <w:r w:rsidRPr="00AD334A">
              <w:rPr>
                <w:color w:val="000000"/>
              </w:rPr>
              <w:t>Calendar Year</w:t>
            </w:r>
          </w:p>
        </w:tc>
        <w:tc>
          <w:tcPr>
            <w:tcW w:w="1980" w:type="dxa"/>
            <w:noWrap/>
            <w:tcMar>
              <w:top w:w="0" w:type="dxa"/>
              <w:left w:w="108" w:type="dxa"/>
              <w:bottom w:w="0" w:type="dxa"/>
              <w:right w:w="108" w:type="dxa"/>
            </w:tcMar>
            <w:vAlign w:val="bottom"/>
          </w:tcPr>
          <w:p w:rsidR="00AD334A" w:rsidRPr="00AD334A" w:rsidP="00AD334A" w14:paraId="3710B04E" w14:textId="77777777">
            <w:pPr>
              <w:rPr>
                <w:color w:val="000000"/>
              </w:rPr>
            </w:pPr>
            <w:r w:rsidRPr="00AD334A">
              <w:rPr>
                <w:color w:val="000000"/>
              </w:rPr>
              <w:t>Total # Information Requests</w:t>
            </w:r>
          </w:p>
        </w:tc>
        <w:tc>
          <w:tcPr>
            <w:tcW w:w="1800" w:type="dxa"/>
            <w:noWrap/>
            <w:tcMar>
              <w:top w:w="0" w:type="dxa"/>
              <w:left w:w="108" w:type="dxa"/>
              <w:bottom w:w="0" w:type="dxa"/>
              <w:right w:w="108" w:type="dxa"/>
            </w:tcMar>
            <w:vAlign w:val="bottom"/>
            <w:hideMark/>
          </w:tcPr>
          <w:p w:rsidR="00AD334A" w:rsidRPr="00AD334A" w:rsidP="00AD334A" w14:paraId="16486054" w14:textId="77777777">
            <w:pPr>
              <w:rPr>
                <w:color w:val="000000"/>
              </w:rPr>
            </w:pPr>
            <w:r w:rsidRPr="00AD334A">
              <w:rPr>
                <w:color w:val="000000"/>
              </w:rPr>
              <w:t>Total #  Compliments</w:t>
            </w:r>
          </w:p>
        </w:tc>
        <w:tc>
          <w:tcPr>
            <w:tcW w:w="2133" w:type="dxa"/>
            <w:noWrap/>
            <w:tcMar>
              <w:top w:w="0" w:type="dxa"/>
              <w:left w:w="108" w:type="dxa"/>
              <w:bottom w:w="0" w:type="dxa"/>
              <w:right w:w="108" w:type="dxa"/>
            </w:tcMar>
            <w:vAlign w:val="bottom"/>
            <w:hideMark/>
          </w:tcPr>
          <w:p w:rsidR="00AD334A" w:rsidRPr="00AD334A" w:rsidP="00AD334A" w14:paraId="71A42EA2" w14:textId="77777777">
            <w:pPr>
              <w:rPr>
                <w:color w:val="000000"/>
              </w:rPr>
            </w:pPr>
            <w:r w:rsidRPr="00AD334A">
              <w:rPr>
                <w:color w:val="000000"/>
              </w:rPr>
              <w:t>Total # Opinions</w:t>
            </w:r>
          </w:p>
        </w:tc>
      </w:tr>
      <w:tr w14:paraId="2EF60BA1" w14:textId="77777777">
        <w:tblPrEx>
          <w:tblW w:w="7371" w:type="dxa"/>
          <w:tblCellMar>
            <w:left w:w="0" w:type="dxa"/>
            <w:right w:w="0" w:type="dxa"/>
          </w:tblCellMar>
          <w:tblLook w:val="04A0"/>
        </w:tblPrEx>
        <w:trPr>
          <w:trHeight w:val="290"/>
        </w:trPr>
        <w:tc>
          <w:tcPr>
            <w:tcW w:w="1458" w:type="dxa"/>
            <w:noWrap/>
            <w:tcMar>
              <w:top w:w="0" w:type="dxa"/>
              <w:left w:w="108" w:type="dxa"/>
              <w:bottom w:w="0" w:type="dxa"/>
              <w:right w:w="108" w:type="dxa"/>
            </w:tcMar>
            <w:vAlign w:val="bottom"/>
          </w:tcPr>
          <w:p w:rsidR="00AD334A" w:rsidRPr="00AD334A" w:rsidP="00AD334A" w14:paraId="4249B086" w14:textId="77777777">
            <w:pPr>
              <w:jc w:val="right"/>
              <w:rPr>
                <w:color w:val="000000"/>
              </w:rPr>
            </w:pPr>
            <w:r w:rsidRPr="00AD334A">
              <w:rPr>
                <w:color w:val="000000"/>
              </w:rPr>
              <w:t>2021</w:t>
            </w:r>
          </w:p>
        </w:tc>
        <w:tc>
          <w:tcPr>
            <w:tcW w:w="1980" w:type="dxa"/>
            <w:noWrap/>
            <w:tcMar>
              <w:top w:w="0" w:type="dxa"/>
              <w:left w:w="108" w:type="dxa"/>
              <w:bottom w:w="0" w:type="dxa"/>
              <w:right w:w="108" w:type="dxa"/>
            </w:tcMar>
            <w:vAlign w:val="bottom"/>
          </w:tcPr>
          <w:p w:rsidR="00AD334A" w:rsidRPr="00AD334A" w:rsidP="00AD334A" w14:paraId="2005EA23" w14:textId="77777777">
            <w:pPr>
              <w:jc w:val="right"/>
              <w:rPr>
                <w:color w:val="000000"/>
              </w:rPr>
            </w:pPr>
            <w:r w:rsidRPr="00AD334A">
              <w:rPr>
                <w:color w:val="000000"/>
              </w:rPr>
              <w:t>5799</w:t>
            </w:r>
          </w:p>
        </w:tc>
        <w:tc>
          <w:tcPr>
            <w:tcW w:w="1800" w:type="dxa"/>
            <w:noWrap/>
            <w:tcMar>
              <w:top w:w="0" w:type="dxa"/>
              <w:left w:w="108" w:type="dxa"/>
              <w:bottom w:w="0" w:type="dxa"/>
              <w:right w:w="108" w:type="dxa"/>
            </w:tcMar>
            <w:vAlign w:val="bottom"/>
          </w:tcPr>
          <w:p w:rsidR="00AD334A" w:rsidRPr="00AD334A" w:rsidP="00AD334A" w14:paraId="1DF3F1F2" w14:textId="77777777">
            <w:pPr>
              <w:jc w:val="right"/>
              <w:rPr>
                <w:color w:val="000000"/>
              </w:rPr>
            </w:pPr>
            <w:r w:rsidRPr="00AD334A">
              <w:rPr>
                <w:color w:val="000000"/>
              </w:rPr>
              <w:t>14</w:t>
            </w:r>
          </w:p>
        </w:tc>
        <w:tc>
          <w:tcPr>
            <w:tcW w:w="2133" w:type="dxa"/>
            <w:noWrap/>
            <w:tcMar>
              <w:top w:w="0" w:type="dxa"/>
              <w:left w:w="108" w:type="dxa"/>
              <w:bottom w:w="0" w:type="dxa"/>
              <w:right w:w="108" w:type="dxa"/>
            </w:tcMar>
            <w:vAlign w:val="bottom"/>
          </w:tcPr>
          <w:p w:rsidR="00AD334A" w:rsidRPr="00AD334A" w:rsidP="00AD334A" w14:paraId="3295915B" w14:textId="77777777">
            <w:pPr>
              <w:jc w:val="right"/>
              <w:rPr>
                <w:color w:val="000000"/>
              </w:rPr>
            </w:pPr>
            <w:r w:rsidRPr="00AD334A">
              <w:rPr>
                <w:color w:val="000000"/>
              </w:rPr>
              <w:t>444</w:t>
            </w:r>
          </w:p>
        </w:tc>
      </w:tr>
      <w:tr w14:paraId="3CF810BC" w14:textId="77777777">
        <w:tblPrEx>
          <w:tblW w:w="7371" w:type="dxa"/>
          <w:tblCellMar>
            <w:left w:w="0" w:type="dxa"/>
            <w:right w:w="0" w:type="dxa"/>
          </w:tblCellMar>
          <w:tblLook w:val="04A0"/>
        </w:tblPrEx>
        <w:trPr>
          <w:trHeight w:val="290"/>
        </w:trPr>
        <w:tc>
          <w:tcPr>
            <w:tcW w:w="1458" w:type="dxa"/>
            <w:noWrap/>
            <w:tcMar>
              <w:top w:w="0" w:type="dxa"/>
              <w:left w:w="108" w:type="dxa"/>
              <w:bottom w:w="0" w:type="dxa"/>
              <w:right w:w="108" w:type="dxa"/>
            </w:tcMar>
            <w:vAlign w:val="bottom"/>
            <w:hideMark/>
          </w:tcPr>
          <w:p w:rsidR="00AD334A" w:rsidRPr="00AD334A" w:rsidP="00AD334A" w14:paraId="3028E27A" w14:textId="77777777">
            <w:pPr>
              <w:jc w:val="right"/>
              <w:rPr>
                <w:color w:val="000000"/>
              </w:rPr>
            </w:pPr>
            <w:r w:rsidRPr="00AD334A">
              <w:rPr>
                <w:color w:val="000000"/>
              </w:rPr>
              <w:t>2022</w:t>
            </w:r>
          </w:p>
        </w:tc>
        <w:tc>
          <w:tcPr>
            <w:tcW w:w="1980" w:type="dxa"/>
            <w:noWrap/>
            <w:tcMar>
              <w:top w:w="0" w:type="dxa"/>
              <w:left w:w="108" w:type="dxa"/>
              <w:bottom w:w="0" w:type="dxa"/>
              <w:right w:w="108" w:type="dxa"/>
            </w:tcMar>
            <w:vAlign w:val="bottom"/>
            <w:hideMark/>
          </w:tcPr>
          <w:p w:rsidR="00AD334A" w:rsidRPr="00AD334A" w:rsidP="00AD334A" w14:paraId="2B8524A2" w14:textId="77777777">
            <w:pPr>
              <w:jc w:val="right"/>
              <w:rPr>
                <w:color w:val="000000"/>
              </w:rPr>
            </w:pPr>
            <w:r w:rsidRPr="00AD334A">
              <w:rPr>
                <w:color w:val="000000"/>
              </w:rPr>
              <w:t>7575</w:t>
            </w:r>
          </w:p>
        </w:tc>
        <w:tc>
          <w:tcPr>
            <w:tcW w:w="1800" w:type="dxa"/>
            <w:noWrap/>
            <w:tcMar>
              <w:top w:w="0" w:type="dxa"/>
              <w:left w:w="108" w:type="dxa"/>
              <w:bottom w:w="0" w:type="dxa"/>
              <w:right w:w="108" w:type="dxa"/>
            </w:tcMar>
            <w:vAlign w:val="bottom"/>
            <w:hideMark/>
          </w:tcPr>
          <w:p w:rsidR="00AD334A" w:rsidRPr="00AD334A" w:rsidP="00AD334A" w14:paraId="2DDB2B2D" w14:textId="77777777">
            <w:pPr>
              <w:jc w:val="right"/>
              <w:rPr>
                <w:color w:val="000000"/>
              </w:rPr>
            </w:pPr>
            <w:r w:rsidRPr="00AD334A">
              <w:rPr>
                <w:color w:val="000000"/>
              </w:rPr>
              <w:t>24</w:t>
            </w:r>
          </w:p>
        </w:tc>
        <w:tc>
          <w:tcPr>
            <w:tcW w:w="2133" w:type="dxa"/>
            <w:noWrap/>
            <w:tcMar>
              <w:top w:w="0" w:type="dxa"/>
              <w:left w:w="108" w:type="dxa"/>
              <w:bottom w:w="0" w:type="dxa"/>
              <w:right w:w="108" w:type="dxa"/>
            </w:tcMar>
            <w:vAlign w:val="bottom"/>
            <w:hideMark/>
          </w:tcPr>
          <w:p w:rsidR="00AD334A" w:rsidRPr="00AD334A" w:rsidP="00AD334A" w14:paraId="4C142C66" w14:textId="77777777">
            <w:pPr>
              <w:jc w:val="right"/>
              <w:rPr>
                <w:color w:val="000000"/>
              </w:rPr>
            </w:pPr>
            <w:r w:rsidRPr="00AD334A">
              <w:rPr>
                <w:color w:val="000000"/>
              </w:rPr>
              <w:t>1008</w:t>
            </w:r>
          </w:p>
        </w:tc>
      </w:tr>
      <w:tr w14:paraId="36EA3590" w14:textId="77777777">
        <w:tblPrEx>
          <w:tblW w:w="7371" w:type="dxa"/>
          <w:tblCellMar>
            <w:left w:w="0" w:type="dxa"/>
            <w:right w:w="0" w:type="dxa"/>
          </w:tblCellMar>
          <w:tblLook w:val="04A0"/>
        </w:tblPrEx>
        <w:trPr>
          <w:trHeight w:val="290"/>
        </w:trPr>
        <w:tc>
          <w:tcPr>
            <w:tcW w:w="1458" w:type="dxa"/>
            <w:noWrap/>
            <w:tcMar>
              <w:top w:w="0" w:type="dxa"/>
              <w:left w:w="108" w:type="dxa"/>
              <w:bottom w:w="0" w:type="dxa"/>
              <w:right w:w="108" w:type="dxa"/>
            </w:tcMar>
            <w:vAlign w:val="bottom"/>
          </w:tcPr>
          <w:p w:rsidR="00AD334A" w:rsidRPr="00AD334A" w:rsidP="00AD334A" w14:paraId="13A6C14F" w14:textId="77777777">
            <w:pPr>
              <w:jc w:val="right"/>
              <w:rPr>
                <w:color w:val="000000"/>
              </w:rPr>
            </w:pPr>
            <w:r w:rsidRPr="00AD334A">
              <w:rPr>
                <w:color w:val="000000"/>
              </w:rPr>
              <w:t>Average Total</w:t>
            </w:r>
          </w:p>
        </w:tc>
        <w:tc>
          <w:tcPr>
            <w:tcW w:w="1980" w:type="dxa"/>
            <w:noWrap/>
            <w:tcMar>
              <w:top w:w="0" w:type="dxa"/>
              <w:left w:w="108" w:type="dxa"/>
              <w:bottom w:w="0" w:type="dxa"/>
              <w:right w:w="108" w:type="dxa"/>
            </w:tcMar>
            <w:vAlign w:val="bottom"/>
          </w:tcPr>
          <w:p w:rsidR="00AD334A" w:rsidRPr="00AD334A" w:rsidP="00AD334A" w14:paraId="7F52B256" w14:textId="77777777">
            <w:pPr>
              <w:jc w:val="right"/>
              <w:rPr>
                <w:color w:val="000000"/>
              </w:rPr>
            </w:pPr>
            <w:r w:rsidRPr="00AD334A">
              <w:rPr>
                <w:color w:val="000000"/>
              </w:rPr>
              <w:t>6,687</w:t>
            </w:r>
          </w:p>
        </w:tc>
        <w:tc>
          <w:tcPr>
            <w:tcW w:w="1800" w:type="dxa"/>
            <w:noWrap/>
            <w:tcMar>
              <w:top w:w="0" w:type="dxa"/>
              <w:left w:w="108" w:type="dxa"/>
              <w:bottom w:w="0" w:type="dxa"/>
              <w:right w:w="108" w:type="dxa"/>
            </w:tcMar>
            <w:vAlign w:val="bottom"/>
          </w:tcPr>
          <w:p w:rsidR="00AD334A" w:rsidRPr="00AD334A" w:rsidP="00AD334A" w14:paraId="229087C1" w14:textId="77777777">
            <w:pPr>
              <w:jc w:val="right"/>
              <w:rPr>
                <w:color w:val="000000"/>
              </w:rPr>
            </w:pPr>
            <w:r w:rsidRPr="00AD334A">
              <w:rPr>
                <w:color w:val="000000"/>
              </w:rPr>
              <w:t>19</w:t>
            </w:r>
          </w:p>
        </w:tc>
        <w:tc>
          <w:tcPr>
            <w:tcW w:w="2133" w:type="dxa"/>
            <w:noWrap/>
            <w:tcMar>
              <w:top w:w="0" w:type="dxa"/>
              <w:left w:w="108" w:type="dxa"/>
              <w:bottom w:w="0" w:type="dxa"/>
              <w:right w:w="108" w:type="dxa"/>
            </w:tcMar>
            <w:vAlign w:val="bottom"/>
          </w:tcPr>
          <w:p w:rsidR="00AD334A" w:rsidRPr="00AD334A" w:rsidP="00AD334A" w14:paraId="1DB4A9FE" w14:textId="77777777">
            <w:pPr>
              <w:jc w:val="right"/>
              <w:rPr>
                <w:color w:val="000000"/>
              </w:rPr>
            </w:pPr>
            <w:r w:rsidRPr="00AD334A">
              <w:rPr>
                <w:color w:val="000000"/>
              </w:rPr>
              <w:t>726</w:t>
            </w:r>
          </w:p>
        </w:tc>
      </w:tr>
      <w:tr w14:paraId="2C695D69" w14:textId="77777777">
        <w:tblPrEx>
          <w:tblW w:w="7371" w:type="dxa"/>
          <w:tblCellMar>
            <w:left w:w="0" w:type="dxa"/>
            <w:right w:w="0" w:type="dxa"/>
          </w:tblCellMar>
          <w:tblLook w:val="04A0"/>
        </w:tblPrEx>
        <w:trPr>
          <w:trHeight w:val="576"/>
        </w:trPr>
        <w:tc>
          <w:tcPr>
            <w:tcW w:w="1458" w:type="dxa"/>
            <w:noWrap/>
            <w:tcMar>
              <w:top w:w="0" w:type="dxa"/>
              <w:left w:w="108" w:type="dxa"/>
              <w:bottom w:w="0" w:type="dxa"/>
              <w:right w:w="108" w:type="dxa"/>
            </w:tcMar>
            <w:vAlign w:val="bottom"/>
          </w:tcPr>
          <w:p w:rsidR="00AD334A" w:rsidRPr="00AD334A" w:rsidP="00AD334A" w14:paraId="5215A94E" w14:textId="77777777">
            <w:pPr>
              <w:jc w:val="right"/>
              <w:rPr>
                <w:color w:val="000000"/>
              </w:rPr>
            </w:pPr>
          </w:p>
        </w:tc>
        <w:tc>
          <w:tcPr>
            <w:tcW w:w="1980" w:type="dxa"/>
            <w:noWrap/>
            <w:tcMar>
              <w:top w:w="0" w:type="dxa"/>
              <w:left w:w="108" w:type="dxa"/>
              <w:bottom w:w="0" w:type="dxa"/>
              <w:right w:w="108" w:type="dxa"/>
            </w:tcMar>
            <w:vAlign w:val="bottom"/>
          </w:tcPr>
          <w:p w:rsidR="00AD334A" w:rsidRPr="00AD334A" w:rsidP="00AD334A" w14:paraId="240D06EE" w14:textId="77777777">
            <w:pPr>
              <w:jc w:val="right"/>
              <w:rPr>
                <w:color w:val="000000"/>
              </w:rPr>
            </w:pPr>
          </w:p>
        </w:tc>
        <w:tc>
          <w:tcPr>
            <w:tcW w:w="1800" w:type="dxa"/>
            <w:noWrap/>
            <w:tcMar>
              <w:top w:w="0" w:type="dxa"/>
              <w:left w:w="108" w:type="dxa"/>
              <w:bottom w:w="0" w:type="dxa"/>
              <w:right w:w="108" w:type="dxa"/>
            </w:tcMar>
            <w:vAlign w:val="bottom"/>
          </w:tcPr>
          <w:p w:rsidR="00AD334A" w:rsidRPr="00AD334A" w:rsidP="00AD334A" w14:paraId="22CF9A06" w14:textId="77777777">
            <w:pPr>
              <w:jc w:val="right"/>
              <w:rPr>
                <w:color w:val="000000"/>
              </w:rPr>
            </w:pPr>
          </w:p>
        </w:tc>
        <w:tc>
          <w:tcPr>
            <w:tcW w:w="2133" w:type="dxa"/>
            <w:noWrap/>
            <w:tcMar>
              <w:top w:w="0" w:type="dxa"/>
              <w:left w:w="108" w:type="dxa"/>
              <w:bottom w:w="0" w:type="dxa"/>
              <w:right w:w="108" w:type="dxa"/>
            </w:tcMar>
            <w:vAlign w:val="bottom"/>
          </w:tcPr>
          <w:p w:rsidR="00AD334A" w:rsidRPr="00AD334A" w:rsidP="00AD334A" w14:paraId="1154AF8D" w14:textId="77777777">
            <w:pPr>
              <w:jc w:val="center"/>
              <w:rPr>
                <w:color w:val="000000"/>
              </w:rPr>
            </w:pPr>
          </w:p>
          <w:p w:rsidR="00AD334A" w:rsidRPr="00AD334A" w:rsidP="00AD334A" w14:paraId="78DF5FC1" w14:textId="77777777">
            <w:pPr>
              <w:jc w:val="center"/>
              <w:rPr>
                <w:b/>
                <w:bCs/>
                <w:color w:val="000000"/>
              </w:rPr>
            </w:pPr>
            <w:r w:rsidRPr="00AD334A">
              <w:rPr>
                <w:b/>
                <w:bCs/>
                <w:color w:val="000000"/>
              </w:rPr>
              <w:t>Total Yearly Average: 6,782</w:t>
            </w:r>
          </w:p>
        </w:tc>
      </w:tr>
    </w:tbl>
    <w:p w:rsidR="00AD334A" w:rsidP="00AD334A" w14:paraId="13D06989" w14:textId="77777777">
      <w:pPr>
        <w:jc w:val="center"/>
      </w:pPr>
    </w:p>
    <w:p w:rsidR="009E7874" w:rsidRPr="00E92953" w:rsidP="00E92953" w14:paraId="35A4534C" w14:textId="772FE5F0">
      <w:pPr>
        <w:pStyle w:val="ListParagraph"/>
        <w:numPr>
          <w:ilvl w:val="0"/>
          <w:numId w:val="3"/>
        </w:numPr>
        <w:spacing w:line="480" w:lineRule="auto"/>
        <w:rPr>
          <w:u w:val="single"/>
        </w:rPr>
      </w:pPr>
      <w:r w:rsidRPr="00C70321">
        <w:rPr>
          <w:u w:val="single"/>
        </w:rPr>
        <w:t>Revision of Consumer Submissions (Complaints, Comments) ICR</w:t>
      </w:r>
    </w:p>
    <w:p w:rsidR="009E7874" w:rsidRPr="00347285" w:rsidP="009E7874" w14:paraId="51F263C0" w14:textId="6248DF4D">
      <w:r w:rsidRPr="00347285">
        <w:t>Burden Calculation for Complaints</w:t>
      </w:r>
      <w:r w:rsidR="00F012D8">
        <w:t xml:space="preserve"> (Table 1.1)</w:t>
      </w:r>
      <w:r w:rsidRPr="00347285">
        <w:t xml:space="preserve">: </w:t>
      </w:r>
    </w:p>
    <w:p w:rsidR="009E7874" w:rsidP="009E7874" w14:paraId="5AE98E1F" w14:textId="77777777"/>
    <w:p w:rsidR="009E7874" w:rsidP="009E7874" w14:paraId="4CFE1F24" w14:textId="77777777">
      <w:r>
        <w:rPr>
          <w:i/>
        </w:rPr>
        <w:t xml:space="preserve">Estimated Number of Respondents: </w:t>
      </w:r>
      <w:r>
        <w:t xml:space="preserve"> 62,098 (based on averaging data from CYs 2021-22).</w:t>
      </w:r>
    </w:p>
    <w:p w:rsidR="009E7874" w:rsidP="009E7874" w14:paraId="4BFD86C9" w14:textId="77777777"/>
    <w:p w:rsidR="009E7874" w:rsidP="009E7874" w14:paraId="5828BDA3" w14:textId="2A32964B">
      <w:r>
        <w:rPr>
          <w:i/>
        </w:rPr>
        <w:t xml:space="preserve">Estimated </w:t>
      </w:r>
      <w:r w:rsidR="00F012D8">
        <w:rPr>
          <w:i/>
        </w:rPr>
        <w:t xml:space="preserve"> Complaint</w:t>
      </w:r>
      <w:r>
        <w:rPr>
          <w:i/>
        </w:rPr>
        <w:t xml:space="preserve"> Burden on Respondents</w:t>
      </w:r>
      <w:r w:rsidRPr="0072606C">
        <w:rPr>
          <w:i/>
        </w:rPr>
        <w:t xml:space="preserve">: </w:t>
      </w:r>
      <w:r>
        <w:t xml:space="preserve"> 15,524.5 hours (931,470 minutes). The estimate was calculated by multiplying the average number of cases filed using the online form in CYs 21-22 (62,098) by the estimated time needed to fill out the online form (15 minutes).</w:t>
      </w:r>
      <w:r>
        <w:rPr>
          <w:rStyle w:val="FootnoteReference"/>
        </w:rPr>
        <w:footnoteReference w:id="5"/>
      </w:r>
    </w:p>
    <w:p w:rsidR="00B87669" w:rsidP="009E7874" w14:paraId="453054E5" w14:textId="77777777"/>
    <w:p w:rsidR="009E7874" w:rsidRPr="00347285" w:rsidP="009E7874" w14:paraId="4EB1BA5F" w14:textId="0CFF882C">
      <w:r w:rsidRPr="00347285">
        <w:t>Burden Calculation for Comments</w:t>
      </w:r>
      <w:r w:rsidR="00F012D8">
        <w:t xml:space="preserve"> (Table 1.2)</w:t>
      </w:r>
      <w:r w:rsidRPr="00347285">
        <w:t>:</w:t>
      </w:r>
    </w:p>
    <w:p w:rsidR="009E7874" w:rsidP="009E7874" w14:paraId="13479B8B" w14:textId="77777777"/>
    <w:p w:rsidR="009E7874" w:rsidP="009E7874" w14:paraId="3D26CC7B" w14:textId="77777777">
      <w:r>
        <w:rPr>
          <w:i/>
        </w:rPr>
        <w:t xml:space="preserve">Estimated Number of Respondents: </w:t>
      </w:r>
      <w:r>
        <w:t>6,782 (based on averaging data from CYs 2021-22).</w:t>
      </w:r>
    </w:p>
    <w:p w:rsidR="009E7874" w:rsidP="009E7874" w14:paraId="147F723D" w14:textId="77777777"/>
    <w:p w:rsidR="009E7874" w:rsidP="009E7874" w14:paraId="784E42AF" w14:textId="42FD58FF">
      <w:r>
        <w:rPr>
          <w:i/>
        </w:rPr>
        <w:t xml:space="preserve">Estimated </w:t>
      </w:r>
      <w:r w:rsidR="00F012D8">
        <w:rPr>
          <w:i/>
        </w:rPr>
        <w:t>Comment</w:t>
      </w:r>
      <w:r>
        <w:rPr>
          <w:i/>
        </w:rPr>
        <w:t xml:space="preserve"> Burden on Respondents</w:t>
      </w:r>
      <w:r w:rsidRPr="0072606C">
        <w:rPr>
          <w:i/>
        </w:rPr>
        <w:t xml:space="preserve">: </w:t>
      </w:r>
      <w:r>
        <w:t>565 hours (33,910 minutes). The estimate was calculated by multiplying the average number of cases filed using the online form in CYs  21-22 (6,782) by the estimated time needed to fill out the online form (5 minutes).</w:t>
      </w:r>
      <w:r>
        <w:rPr>
          <w:rStyle w:val="FootnoteReference"/>
        </w:rPr>
        <w:footnoteReference w:id="6"/>
      </w:r>
    </w:p>
    <w:p w:rsidR="00F012D8" w:rsidP="009E7874" w14:paraId="71CB5042" w14:textId="1D425C92"/>
    <w:p w:rsidR="00F012D8" w:rsidRPr="00347285" w:rsidP="00F012D8" w14:paraId="110AEC2D" w14:textId="4337E4ED">
      <w:pPr>
        <w:rPr>
          <w:iCs/>
        </w:rPr>
      </w:pPr>
      <w:r>
        <w:rPr>
          <w:iCs/>
        </w:rPr>
        <w:t>Total Burden Calculation for Complaints and Comments (Tables 1.1 and 1.2):</w:t>
      </w:r>
    </w:p>
    <w:p w:rsidR="00F012D8" w:rsidP="00F012D8" w14:paraId="733F73CA" w14:textId="77777777">
      <w:pPr>
        <w:rPr>
          <w:i/>
        </w:rPr>
      </w:pPr>
    </w:p>
    <w:p w:rsidR="00F012D8" w:rsidP="00F012D8" w14:paraId="4611B801" w14:textId="1ABF52BC">
      <w:r>
        <w:rPr>
          <w:i/>
        </w:rPr>
        <w:t>Estimated Total (Complaint and Comment) Burden on Respondents</w:t>
      </w:r>
      <w:r w:rsidRPr="0072606C">
        <w:rPr>
          <w:i/>
        </w:rPr>
        <w:t>:</w:t>
      </w:r>
      <w:r w:rsidRPr="00937E55">
        <w:t xml:space="preserve"> </w:t>
      </w:r>
      <w:r>
        <w:t xml:space="preserve"> 965,380 minutes</w:t>
      </w:r>
      <w:r w:rsidR="00347285">
        <w:t xml:space="preserve"> [931,470 + 33,910]</w:t>
      </w:r>
      <w:r>
        <w:t>/16,090 hours</w:t>
      </w:r>
      <w:r w:rsidR="00347285">
        <w:t xml:space="preserve"> [15,525 + 565]</w:t>
      </w:r>
      <w:r>
        <w:t>. The burden was calculated by multiplying the total estimated number of respondents by the estimated time to file a complaint (15 min. per account), plus the time to add/change other users of the account (5 min. per account).</w:t>
      </w:r>
    </w:p>
    <w:p w:rsidR="00F012D8" w:rsidP="009E7874" w14:paraId="350A14E5" w14:textId="1FBB3E70"/>
    <w:p w:rsidR="00F012D8" w:rsidP="00F012D8" w14:paraId="2D757958" w14:textId="5D24CD89">
      <w:r w:rsidRPr="001F5B55">
        <w:t xml:space="preserve">Frequency: </w:t>
      </w:r>
      <w:r>
        <w:t>A maximum of one set of information to be submitted</w:t>
      </w:r>
      <w:r w:rsidRPr="001F5B55">
        <w:t xml:space="preserve"> per year for each respondent.  (</w:t>
      </w:r>
      <w:r w:rsidRPr="009D54E0">
        <w:rPr>
          <w:iCs/>
        </w:rPr>
        <w:t>Note:</w:t>
      </w:r>
      <w:r>
        <w:rPr>
          <w:i/>
        </w:rPr>
        <w:t xml:space="preserve"> </w:t>
      </w:r>
      <w:r>
        <w:t>The</w:t>
      </w:r>
      <w:r w:rsidR="00347285">
        <w:t xml:space="preserve"> total</w:t>
      </w:r>
      <w:r>
        <w:t xml:space="preserve"> number of </w:t>
      </w:r>
      <w:r w:rsidR="00D23F25">
        <w:t>submissions</w:t>
      </w:r>
      <w:r>
        <w:t xml:space="preserve"> reflects a count for the total number of on-line complaints</w:t>
      </w:r>
      <w:r w:rsidR="00347285">
        <w:t>/comments</w:t>
      </w:r>
      <w:r>
        <w:t xml:space="preserve"> submitted to OACP and a small portion of that number may reflect multiple submissions from the same individuals).</w:t>
      </w:r>
    </w:p>
    <w:p w:rsidR="00F012D8" w:rsidP="009E7874" w14:paraId="6D57036F" w14:textId="77777777"/>
    <w:p w:rsidR="009E7874" w:rsidP="009E7874" w14:paraId="473AE866" w14:textId="0D4111C8"/>
    <w:p w:rsidR="009E7874" w:rsidP="004C068D" w14:paraId="093A3509" w14:textId="3894A449">
      <w:pPr>
        <w:jc w:val="center"/>
      </w:pPr>
      <w:r w:rsidRPr="00523225">
        <w:rPr>
          <w:b/>
        </w:rPr>
        <w:t>Table</w:t>
      </w:r>
      <w:r>
        <w:rPr>
          <w:b/>
        </w:rPr>
        <w:t>s 2.1 and 2.2</w:t>
      </w:r>
      <w:r w:rsidRPr="00523225">
        <w:rPr>
          <w:b/>
        </w:rPr>
        <w:t xml:space="preserve">:  </w:t>
      </w:r>
      <w:r w:rsidR="00CB2268">
        <w:rPr>
          <w:b/>
        </w:rPr>
        <w:t xml:space="preserve">ACERS </w:t>
      </w:r>
      <w:r w:rsidR="00FF7F58">
        <w:rPr>
          <w:b/>
        </w:rPr>
        <w:t xml:space="preserve">Account </w:t>
      </w:r>
      <w:r w:rsidR="00CB2268">
        <w:rPr>
          <w:b/>
        </w:rPr>
        <w:t>Creation</w:t>
      </w:r>
      <w:r w:rsidR="00FF7F58">
        <w:rPr>
          <w:b/>
        </w:rPr>
        <w:t xml:space="preserve"> and Management</w:t>
      </w:r>
    </w:p>
    <w:p w:rsidR="009E7874" w:rsidP="009E7874" w14:paraId="1453E653" w14:textId="77777777"/>
    <w:p w:rsidR="00596DCA" w:rsidRPr="00596DCA" w:rsidP="00596DCA" w14:paraId="223C3EEA" w14:textId="5B6918BA">
      <w:pPr>
        <w:shd w:val="clear" w:color="auto" w:fill="FFFFFF"/>
        <w:rPr>
          <w:b/>
          <w:bCs/>
        </w:rPr>
      </w:pPr>
      <w:r w:rsidRPr="00596DCA">
        <w:rPr>
          <w:b/>
          <w:bCs/>
        </w:rPr>
        <w:t>Table 2.1: List of Entities by Type and Estimated Number of Accounts</w:t>
      </w:r>
    </w:p>
    <w:tbl>
      <w:tblPr>
        <w:tblStyle w:val="TableGrid"/>
        <w:tblW w:w="8630" w:type="dxa"/>
        <w:tblLook w:val="04A0"/>
      </w:tblPr>
      <w:tblGrid>
        <w:gridCol w:w="2016"/>
        <w:gridCol w:w="2217"/>
        <w:gridCol w:w="2128"/>
        <w:gridCol w:w="2269"/>
      </w:tblGrid>
      <w:tr w14:paraId="7AEBC30B" w14:textId="77777777">
        <w:tblPrEx>
          <w:tblW w:w="8630" w:type="dxa"/>
          <w:tblLook w:val="04A0"/>
        </w:tblPrEx>
        <w:tc>
          <w:tcPr>
            <w:tcW w:w="2157" w:type="dxa"/>
          </w:tcPr>
          <w:p w:rsidR="00596DCA" w:rsidRPr="00596DCA" w:rsidP="00596DCA" w14:paraId="7C466EAC" w14:textId="77777777">
            <w:pPr>
              <w:spacing w:line="480" w:lineRule="auto"/>
              <w:rPr>
                <w:b/>
                <w:bCs/>
              </w:rPr>
            </w:pPr>
            <w:r w:rsidRPr="00596DCA">
              <w:rPr>
                <w:b/>
                <w:bCs/>
              </w:rPr>
              <w:t>Entity Type</w:t>
            </w:r>
          </w:p>
        </w:tc>
        <w:tc>
          <w:tcPr>
            <w:tcW w:w="1618" w:type="dxa"/>
          </w:tcPr>
          <w:p w:rsidR="00596DCA" w:rsidRPr="00596DCA" w:rsidP="00596DCA" w14:paraId="3510AA41" w14:textId="77777777">
            <w:pPr>
              <w:rPr>
                <w:b/>
                <w:bCs/>
              </w:rPr>
            </w:pPr>
            <w:r w:rsidRPr="00596DCA">
              <w:rPr>
                <w:b/>
                <w:bCs/>
              </w:rPr>
              <w:t>Number of Respondents/Initial Accounts</w:t>
            </w:r>
          </w:p>
        </w:tc>
        <w:tc>
          <w:tcPr>
            <w:tcW w:w="2340" w:type="dxa"/>
          </w:tcPr>
          <w:p w:rsidR="00596DCA" w:rsidRPr="00596DCA" w:rsidP="00596DCA" w14:paraId="5B605D7F" w14:textId="77777777">
            <w:pPr>
              <w:rPr>
                <w:b/>
                <w:bCs/>
              </w:rPr>
            </w:pPr>
            <w:r w:rsidRPr="00596DCA">
              <w:rPr>
                <w:b/>
                <w:bCs/>
              </w:rPr>
              <w:t>Estimated Account Holders per Entity</w:t>
            </w:r>
          </w:p>
        </w:tc>
        <w:tc>
          <w:tcPr>
            <w:tcW w:w="2515" w:type="dxa"/>
          </w:tcPr>
          <w:p w:rsidR="00596DCA" w:rsidRPr="00596DCA" w:rsidP="00596DCA" w14:paraId="1AEFC1D5" w14:textId="77777777">
            <w:pPr>
              <w:rPr>
                <w:b/>
                <w:bCs/>
              </w:rPr>
            </w:pPr>
            <w:r w:rsidRPr="00596DCA">
              <w:rPr>
                <w:b/>
                <w:bCs/>
              </w:rPr>
              <w:t xml:space="preserve">Total Estimated Account Holders per Entity </w:t>
            </w:r>
          </w:p>
        </w:tc>
      </w:tr>
      <w:tr w14:paraId="3E596A2D" w14:textId="77777777">
        <w:tblPrEx>
          <w:tblW w:w="8630" w:type="dxa"/>
          <w:tblLook w:val="04A0"/>
        </w:tblPrEx>
        <w:tc>
          <w:tcPr>
            <w:tcW w:w="2157" w:type="dxa"/>
          </w:tcPr>
          <w:p w:rsidR="00596DCA" w:rsidRPr="00596DCA" w:rsidP="00596DCA" w14:paraId="41A685D1" w14:textId="77777777">
            <w:pPr>
              <w:spacing w:line="480" w:lineRule="auto"/>
            </w:pPr>
            <w:r w:rsidRPr="00596DCA">
              <w:t>Large Air Carriers</w:t>
            </w:r>
          </w:p>
        </w:tc>
        <w:tc>
          <w:tcPr>
            <w:tcW w:w="1618" w:type="dxa"/>
          </w:tcPr>
          <w:p w:rsidR="00596DCA" w:rsidRPr="00596DCA" w:rsidP="00596DCA" w14:paraId="2C68707A" w14:textId="77777777">
            <w:pPr>
              <w:spacing w:line="480" w:lineRule="auto"/>
            </w:pPr>
            <w:r w:rsidRPr="00596DCA">
              <w:t>15</w:t>
            </w:r>
          </w:p>
        </w:tc>
        <w:tc>
          <w:tcPr>
            <w:tcW w:w="2340" w:type="dxa"/>
          </w:tcPr>
          <w:p w:rsidR="00596DCA" w:rsidRPr="00596DCA" w:rsidP="00596DCA" w14:paraId="3DAFD216" w14:textId="77777777">
            <w:pPr>
              <w:spacing w:line="480" w:lineRule="auto"/>
            </w:pPr>
            <w:r w:rsidRPr="00596DCA">
              <w:t>10</w:t>
            </w:r>
          </w:p>
        </w:tc>
        <w:tc>
          <w:tcPr>
            <w:tcW w:w="2515" w:type="dxa"/>
          </w:tcPr>
          <w:p w:rsidR="00596DCA" w:rsidRPr="00596DCA" w:rsidP="00596DCA" w14:paraId="1D1B60B3" w14:textId="77777777">
            <w:pPr>
              <w:spacing w:line="480" w:lineRule="auto"/>
            </w:pPr>
            <w:r w:rsidRPr="00596DCA">
              <w:t xml:space="preserve">150 </w:t>
            </w:r>
          </w:p>
        </w:tc>
      </w:tr>
      <w:tr w14:paraId="05A764DA" w14:textId="77777777">
        <w:tblPrEx>
          <w:tblW w:w="8630" w:type="dxa"/>
          <w:tblLook w:val="04A0"/>
        </w:tblPrEx>
        <w:tc>
          <w:tcPr>
            <w:tcW w:w="2157" w:type="dxa"/>
          </w:tcPr>
          <w:p w:rsidR="00596DCA" w:rsidRPr="00596DCA" w:rsidP="00596DCA" w14:paraId="074B0E34" w14:textId="77777777">
            <w:r w:rsidRPr="00596DCA">
              <w:t>“Other” Air Carriers</w:t>
            </w:r>
          </w:p>
        </w:tc>
        <w:tc>
          <w:tcPr>
            <w:tcW w:w="1618" w:type="dxa"/>
          </w:tcPr>
          <w:p w:rsidR="00596DCA" w:rsidRPr="00596DCA" w:rsidP="00596DCA" w14:paraId="656C89CD" w14:textId="77777777">
            <w:pPr>
              <w:spacing w:line="480" w:lineRule="auto"/>
            </w:pPr>
            <w:r w:rsidRPr="00596DCA">
              <w:t>76</w:t>
            </w:r>
          </w:p>
        </w:tc>
        <w:tc>
          <w:tcPr>
            <w:tcW w:w="2340" w:type="dxa"/>
          </w:tcPr>
          <w:p w:rsidR="00596DCA" w:rsidRPr="00596DCA" w:rsidP="00596DCA" w14:paraId="0FEF5E0F" w14:textId="77777777">
            <w:pPr>
              <w:spacing w:line="480" w:lineRule="auto"/>
            </w:pPr>
            <w:r w:rsidRPr="00596DCA">
              <w:t>2</w:t>
            </w:r>
          </w:p>
        </w:tc>
        <w:tc>
          <w:tcPr>
            <w:tcW w:w="2515" w:type="dxa"/>
          </w:tcPr>
          <w:p w:rsidR="00596DCA" w:rsidRPr="00596DCA" w:rsidP="00596DCA" w14:paraId="6CF81E18" w14:textId="77777777">
            <w:pPr>
              <w:spacing w:line="480" w:lineRule="auto"/>
            </w:pPr>
            <w:r w:rsidRPr="00596DCA">
              <w:t>152</w:t>
            </w:r>
          </w:p>
        </w:tc>
      </w:tr>
      <w:tr w14:paraId="6A1A21C9" w14:textId="77777777">
        <w:tblPrEx>
          <w:tblW w:w="8630" w:type="dxa"/>
          <w:tblLook w:val="04A0"/>
        </w:tblPrEx>
        <w:tc>
          <w:tcPr>
            <w:tcW w:w="2157" w:type="dxa"/>
          </w:tcPr>
          <w:p w:rsidR="00596DCA" w:rsidRPr="00596DCA" w:rsidP="00596DCA" w14:paraId="01D4A27E" w14:textId="77777777">
            <w:r w:rsidRPr="00596DCA">
              <w:t>Foreign Carriers</w:t>
            </w:r>
          </w:p>
        </w:tc>
        <w:tc>
          <w:tcPr>
            <w:tcW w:w="1618" w:type="dxa"/>
          </w:tcPr>
          <w:p w:rsidR="00596DCA" w:rsidRPr="00596DCA" w:rsidP="00596DCA" w14:paraId="556A5E17" w14:textId="77777777">
            <w:pPr>
              <w:spacing w:line="480" w:lineRule="auto"/>
            </w:pPr>
            <w:r w:rsidRPr="00596DCA">
              <w:t>147</w:t>
            </w:r>
          </w:p>
        </w:tc>
        <w:tc>
          <w:tcPr>
            <w:tcW w:w="2340" w:type="dxa"/>
          </w:tcPr>
          <w:p w:rsidR="00596DCA" w:rsidRPr="00596DCA" w:rsidP="00596DCA" w14:paraId="6CA8798A" w14:textId="77777777">
            <w:pPr>
              <w:spacing w:line="480" w:lineRule="auto"/>
            </w:pPr>
            <w:r w:rsidRPr="00596DCA">
              <w:t>2</w:t>
            </w:r>
          </w:p>
        </w:tc>
        <w:tc>
          <w:tcPr>
            <w:tcW w:w="2515" w:type="dxa"/>
          </w:tcPr>
          <w:p w:rsidR="00596DCA" w:rsidRPr="00596DCA" w:rsidP="00596DCA" w14:paraId="164B842B" w14:textId="77777777">
            <w:pPr>
              <w:spacing w:line="480" w:lineRule="auto"/>
            </w:pPr>
            <w:r w:rsidRPr="00596DCA">
              <w:t>294</w:t>
            </w:r>
          </w:p>
        </w:tc>
      </w:tr>
      <w:tr w14:paraId="7847DE4B" w14:textId="77777777">
        <w:tblPrEx>
          <w:tblW w:w="8630" w:type="dxa"/>
          <w:tblLook w:val="04A0"/>
        </w:tblPrEx>
        <w:tc>
          <w:tcPr>
            <w:tcW w:w="2157" w:type="dxa"/>
          </w:tcPr>
          <w:p w:rsidR="00596DCA" w:rsidRPr="00596DCA" w:rsidP="00596DCA" w14:paraId="078F16C1" w14:textId="77777777">
            <w:r w:rsidRPr="00596DCA">
              <w:t>Large Air Travel Agents</w:t>
            </w:r>
          </w:p>
        </w:tc>
        <w:tc>
          <w:tcPr>
            <w:tcW w:w="1618" w:type="dxa"/>
          </w:tcPr>
          <w:p w:rsidR="00596DCA" w:rsidRPr="00596DCA" w:rsidP="00596DCA" w14:paraId="1768B1D3" w14:textId="77777777">
            <w:pPr>
              <w:spacing w:line="480" w:lineRule="auto"/>
            </w:pPr>
            <w:r w:rsidRPr="00596DCA">
              <w:t>19</w:t>
            </w:r>
          </w:p>
        </w:tc>
        <w:tc>
          <w:tcPr>
            <w:tcW w:w="2340" w:type="dxa"/>
          </w:tcPr>
          <w:p w:rsidR="00596DCA" w:rsidRPr="00596DCA" w:rsidP="00596DCA" w14:paraId="267A989C" w14:textId="77777777">
            <w:pPr>
              <w:spacing w:line="480" w:lineRule="auto"/>
            </w:pPr>
            <w:r w:rsidRPr="00596DCA">
              <w:t>2</w:t>
            </w:r>
          </w:p>
        </w:tc>
        <w:tc>
          <w:tcPr>
            <w:tcW w:w="2515" w:type="dxa"/>
          </w:tcPr>
          <w:p w:rsidR="00596DCA" w:rsidRPr="00596DCA" w:rsidP="00596DCA" w14:paraId="483D71E9" w14:textId="77777777">
            <w:pPr>
              <w:spacing w:line="480" w:lineRule="auto"/>
            </w:pPr>
            <w:r w:rsidRPr="00596DCA">
              <w:t>38 per</w:t>
            </w:r>
          </w:p>
        </w:tc>
      </w:tr>
      <w:tr w14:paraId="21D95FE6" w14:textId="77777777">
        <w:tblPrEx>
          <w:tblW w:w="8630" w:type="dxa"/>
          <w:tblLook w:val="04A0"/>
        </w:tblPrEx>
        <w:tc>
          <w:tcPr>
            <w:tcW w:w="2157" w:type="dxa"/>
          </w:tcPr>
          <w:p w:rsidR="00596DCA" w:rsidRPr="00596DCA" w:rsidP="00596DCA" w14:paraId="7827DD9A" w14:textId="77777777">
            <w:r w:rsidRPr="00596DCA">
              <w:t>Other Travel agents and tour operators</w:t>
            </w:r>
          </w:p>
        </w:tc>
        <w:tc>
          <w:tcPr>
            <w:tcW w:w="1618" w:type="dxa"/>
          </w:tcPr>
          <w:p w:rsidR="00596DCA" w:rsidRPr="00596DCA" w:rsidP="00596DCA" w14:paraId="2C6D4E9D" w14:textId="77777777">
            <w:pPr>
              <w:spacing w:line="480" w:lineRule="auto"/>
            </w:pPr>
            <w:r w:rsidRPr="00596DCA">
              <w:t>61</w:t>
            </w:r>
          </w:p>
        </w:tc>
        <w:tc>
          <w:tcPr>
            <w:tcW w:w="2340" w:type="dxa"/>
          </w:tcPr>
          <w:p w:rsidR="00596DCA" w:rsidRPr="00596DCA" w:rsidP="00596DCA" w14:paraId="786DA5A3" w14:textId="77777777">
            <w:pPr>
              <w:spacing w:line="480" w:lineRule="auto"/>
            </w:pPr>
            <w:r w:rsidRPr="00596DCA">
              <w:t>1</w:t>
            </w:r>
          </w:p>
        </w:tc>
        <w:tc>
          <w:tcPr>
            <w:tcW w:w="2515" w:type="dxa"/>
          </w:tcPr>
          <w:p w:rsidR="00596DCA" w:rsidRPr="00596DCA" w:rsidP="00596DCA" w14:paraId="21785ECB" w14:textId="77777777">
            <w:pPr>
              <w:spacing w:line="480" w:lineRule="auto"/>
            </w:pPr>
            <w:r w:rsidRPr="00596DCA">
              <w:t>61</w:t>
            </w:r>
          </w:p>
        </w:tc>
      </w:tr>
      <w:tr w14:paraId="7649F177" w14:textId="77777777">
        <w:tblPrEx>
          <w:tblW w:w="8630" w:type="dxa"/>
          <w:tblLook w:val="04A0"/>
        </w:tblPrEx>
        <w:tc>
          <w:tcPr>
            <w:tcW w:w="2157" w:type="dxa"/>
          </w:tcPr>
          <w:p w:rsidR="00596DCA" w:rsidRPr="00596DCA" w:rsidP="00596DCA" w14:paraId="2B40BF57" w14:textId="77777777">
            <w:r w:rsidRPr="00596DCA">
              <w:t>US Airport</w:t>
            </w:r>
          </w:p>
        </w:tc>
        <w:tc>
          <w:tcPr>
            <w:tcW w:w="1618" w:type="dxa"/>
          </w:tcPr>
          <w:p w:rsidR="00596DCA" w:rsidRPr="00596DCA" w:rsidP="00596DCA" w14:paraId="6DF93CB4" w14:textId="55638D00">
            <w:pPr>
              <w:spacing w:line="480" w:lineRule="auto"/>
            </w:pPr>
            <w:r>
              <w:t>391</w:t>
            </w:r>
            <w:r>
              <w:rPr>
                <w:rStyle w:val="FootnoteReference"/>
              </w:rPr>
              <w:footnoteReference w:id="7"/>
            </w:r>
          </w:p>
        </w:tc>
        <w:tc>
          <w:tcPr>
            <w:tcW w:w="2340" w:type="dxa"/>
          </w:tcPr>
          <w:p w:rsidR="00596DCA" w:rsidRPr="00596DCA" w:rsidP="00596DCA" w14:paraId="0D9AA5E7" w14:textId="77777777">
            <w:pPr>
              <w:spacing w:line="480" w:lineRule="auto"/>
            </w:pPr>
            <w:r w:rsidRPr="00596DCA">
              <w:t>2</w:t>
            </w:r>
          </w:p>
        </w:tc>
        <w:tc>
          <w:tcPr>
            <w:tcW w:w="2515" w:type="dxa"/>
          </w:tcPr>
          <w:p w:rsidR="00596DCA" w:rsidRPr="00596DCA" w:rsidP="00596DCA" w14:paraId="00DB409A" w14:textId="6C5F43A8">
            <w:pPr>
              <w:spacing w:line="480" w:lineRule="auto"/>
            </w:pPr>
            <w:r>
              <w:t>782</w:t>
            </w:r>
          </w:p>
        </w:tc>
      </w:tr>
      <w:tr w14:paraId="56EA1FD4" w14:textId="77777777">
        <w:tblPrEx>
          <w:tblW w:w="8630" w:type="dxa"/>
          <w:tblLook w:val="04A0"/>
        </w:tblPrEx>
        <w:tc>
          <w:tcPr>
            <w:tcW w:w="2157" w:type="dxa"/>
          </w:tcPr>
          <w:p w:rsidR="00596DCA" w:rsidRPr="00596DCA" w:rsidP="00596DCA" w14:paraId="0DC151CE" w14:textId="77777777">
            <w:r w:rsidRPr="00596DCA">
              <w:t>Other Industry</w:t>
            </w:r>
            <w:r>
              <w:rPr>
                <w:vertAlign w:val="superscript"/>
              </w:rPr>
              <w:footnoteReference w:id="8"/>
            </w:r>
            <w:r w:rsidRPr="00596DCA">
              <w:t xml:space="preserve"> (e.g., State AGs)</w:t>
            </w:r>
          </w:p>
        </w:tc>
        <w:tc>
          <w:tcPr>
            <w:tcW w:w="1618" w:type="dxa"/>
          </w:tcPr>
          <w:p w:rsidR="00596DCA" w:rsidRPr="00596DCA" w:rsidP="00596DCA" w14:paraId="4C6BF652" w14:textId="41B33C7B">
            <w:pPr>
              <w:spacing w:line="480" w:lineRule="auto"/>
            </w:pPr>
            <w:r>
              <w:t>85</w:t>
            </w:r>
          </w:p>
        </w:tc>
        <w:tc>
          <w:tcPr>
            <w:tcW w:w="2340" w:type="dxa"/>
          </w:tcPr>
          <w:p w:rsidR="00596DCA" w:rsidRPr="00596DCA" w:rsidP="00596DCA" w14:paraId="64D58140" w14:textId="77777777">
            <w:r w:rsidRPr="00596DCA">
              <w:t>2 per AG (25), 1 per others</w:t>
            </w:r>
          </w:p>
        </w:tc>
        <w:tc>
          <w:tcPr>
            <w:tcW w:w="2515" w:type="dxa"/>
          </w:tcPr>
          <w:p w:rsidR="00596DCA" w:rsidRPr="00596DCA" w:rsidP="00596DCA" w14:paraId="6DCC6FCE" w14:textId="142410A1">
            <w:pPr>
              <w:spacing w:line="480" w:lineRule="auto"/>
            </w:pPr>
            <w:r>
              <w:t>110</w:t>
            </w:r>
          </w:p>
        </w:tc>
      </w:tr>
      <w:tr w14:paraId="0132F1C8" w14:textId="77777777">
        <w:tblPrEx>
          <w:tblW w:w="8630" w:type="dxa"/>
          <w:tblLook w:val="04A0"/>
        </w:tblPrEx>
        <w:tc>
          <w:tcPr>
            <w:tcW w:w="2157" w:type="dxa"/>
          </w:tcPr>
          <w:p w:rsidR="00596DCA" w:rsidRPr="00596DCA" w:rsidP="00596DCA" w14:paraId="6ED3FABA" w14:textId="77777777">
            <w:pPr>
              <w:rPr>
                <w:b/>
                <w:bCs/>
              </w:rPr>
            </w:pPr>
            <w:r w:rsidRPr="00596DCA">
              <w:rPr>
                <w:b/>
                <w:bCs/>
              </w:rPr>
              <w:t>SubTotal:</w:t>
            </w:r>
          </w:p>
        </w:tc>
        <w:tc>
          <w:tcPr>
            <w:tcW w:w="1618" w:type="dxa"/>
          </w:tcPr>
          <w:p w:rsidR="00596DCA" w:rsidRPr="00596DCA" w:rsidP="00596DCA" w14:paraId="5546B54B" w14:textId="77777777">
            <w:pPr>
              <w:spacing w:line="480" w:lineRule="auto"/>
              <w:rPr>
                <w:b/>
                <w:bCs/>
              </w:rPr>
            </w:pPr>
            <w:r w:rsidRPr="00596DCA">
              <w:rPr>
                <w:b/>
                <w:bCs/>
              </w:rPr>
              <w:t>794</w:t>
            </w:r>
          </w:p>
        </w:tc>
        <w:tc>
          <w:tcPr>
            <w:tcW w:w="2340" w:type="dxa"/>
          </w:tcPr>
          <w:p w:rsidR="00596DCA" w:rsidRPr="00596DCA" w:rsidP="00596DCA" w14:paraId="14A5E4AD" w14:textId="77777777">
            <w:pPr>
              <w:spacing w:line="480" w:lineRule="auto"/>
              <w:rPr>
                <w:b/>
                <w:bCs/>
              </w:rPr>
            </w:pPr>
          </w:p>
        </w:tc>
        <w:tc>
          <w:tcPr>
            <w:tcW w:w="2515" w:type="dxa"/>
          </w:tcPr>
          <w:p w:rsidR="00596DCA" w:rsidRPr="00596DCA" w:rsidP="00596DCA" w14:paraId="3B427FF0" w14:textId="70201D16">
            <w:pPr>
              <w:spacing w:line="480" w:lineRule="auto"/>
              <w:rPr>
                <w:b/>
                <w:bCs/>
              </w:rPr>
            </w:pPr>
            <w:r w:rsidRPr="00596DCA">
              <w:rPr>
                <w:b/>
                <w:bCs/>
              </w:rPr>
              <w:t>1,5</w:t>
            </w:r>
            <w:r w:rsidR="00F53D08">
              <w:rPr>
                <w:b/>
                <w:bCs/>
              </w:rPr>
              <w:t>8</w:t>
            </w:r>
            <w:r w:rsidRPr="00596DCA">
              <w:rPr>
                <w:b/>
                <w:bCs/>
              </w:rPr>
              <w:t>7</w:t>
            </w:r>
          </w:p>
        </w:tc>
      </w:tr>
      <w:tr w14:paraId="2BBBAA8C" w14:textId="77777777">
        <w:tblPrEx>
          <w:tblW w:w="8630" w:type="dxa"/>
          <w:tblLook w:val="04A0"/>
        </w:tblPrEx>
        <w:tc>
          <w:tcPr>
            <w:tcW w:w="2157" w:type="dxa"/>
          </w:tcPr>
          <w:p w:rsidR="00596DCA" w:rsidRPr="00596DCA" w:rsidP="00596DCA" w14:paraId="1A724619" w14:textId="77777777">
            <w:r w:rsidRPr="00596DCA">
              <w:t>Estimated Adjustments (18%)</w:t>
            </w:r>
          </w:p>
        </w:tc>
        <w:tc>
          <w:tcPr>
            <w:tcW w:w="1618" w:type="dxa"/>
          </w:tcPr>
          <w:p w:rsidR="00596DCA" w:rsidRPr="00596DCA" w:rsidP="00596DCA" w14:paraId="2CF7E8A7" w14:textId="77777777">
            <w:pPr>
              <w:spacing w:line="480" w:lineRule="auto"/>
            </w:pPr>
          </w:p>
        </w:tc>
        <w:tc>
          <w:tcPr>
            <w:tcW w:w="2340" w:type="dxa"/>
          </w:tcPr>
          <w:p w:rsidR="00596DCA" w:rsidRPr="00596DCA" w:rsidP="00596DCA" w14:paraId="3DA51D28" w14:textId="77777777">
            <w:pPr>
              <w:spacing w:line="480" w:lineRule="auto"/>
            </w:pPr>
          </w:p>
        </w:tc>
        <w:tc>
          <w:tcPr>
            <w:tcW w:w="2515" w:type="dxa"/>
          </w:tcPr>
          <w:p w:rsidR="00596DCA" w:rsidRPr="00596DCA" w:rsidP="00596DCA" w14:paraId="025C587F" w14:textId="3880AE35">
            <w:pPr>
              <w:spacing w:line="480" w:lineRule="auto"/>
            </w:pPr>
            <w:r w:rsidRPr="00596DCA">
              <w:t>2</w:t>
            </w:r>
            <w:r w:rsidR="00320C64">
              <w:t>86</w:t>
            </w:r>
          </w:p>
        </w:tc>
      </w:tr>
      <w:tr w14:paraId="5FED17EC" w14:textId="77777777">
        <w:tblPrEx>
          <w:tblW w:w="8630" w:type="dxa"/>
          <w:tblLook w:val="04A0"/>
        </w:tblPrEx>
        <w:tc>
          <w:tcPr>
            <w:tcW w:w="2157" w:type="dxa"/>
          </w:tcPr>
          <w:p w:rsidR="00596DCA" w:rsidRPr="00596DCA" w:rsidP="00596DCA" w14:paraId="598A8F5B" w14:textId="77777777">
            <w:pPr>
              <w:rPr>
                <w:b/>
                <w:bCs/>
              </w:rPr>
            </w:pPr>
            <w:r w:rsidRPr="00596DCA">
              <w:rPr>
                <w:b/>
                <w:bCs/>
              </w:rPr>
              <w:t>TOTAL:</w:t>
            </w:r>
          </w:p>
        </w:tc>
        <w:tc>
          <w:tcPr>
            <w:tcW w:w="1618" w:type="dxa"/>
          </w:tcPr>
          <w:p w:rsidR="00596DCA" w:rsidRPr="00596DCA" w:rsidP="00596DCA" w14:paraId="33AA8661" w14:textId="77777777">
            <w:pPr>
              <w:spacing w:line="480" w:lineRule="auto"/>
              <w:rPr>
                <w:b/>
                <w:bCs/>
              </w:rPr>
            </w:pPr>
            <w:r w:rsidRPr="00596DCA">
              <w:rPr>
                <w:b/>
                <w:bCs/>
              </w:rPr>
              <w:t xml:space="preserve">794 </w:t>
            </w:r>
          </w:p>
        </w:tc>
        <w:tc>
          <w:tcPr>
            <w:tcW w:w="2340" w:type="dxa"/>
          </w:tcPr>
          <w:p w:rsidR="00596DCA" w:rsidRPr="00596DCA" w:rsidP="00596DCA" w14:paraId="2FF1F56E" w14:textId="77777777">
            <w:pPr>
              <w:spacing w:line="480" w:lineRule="auto"/>
            </w:pPr>
          </w:p>
        </w:tc>
        <w:tc>
          <w:tcPr>
            <w:tcW w:w="2515" w:type="dxa"/>
          </w:tcPr>
          <w:p w:rsidR="00596DCA" w:rsidRPr="00596DCA" w:rsidP="00596DCA" w14:paraId="70614DA8" w14:textId="3BA8000B">
            <w:pPr>
              <w:spacing w:line="480" w:lineRule="auto"/>
              <w:rPr>
                <w:b/>
                <w:bCs/>
              </w:rPr>
            </w:pPr>
            <w:r>
              <w:rPr>
                <w:b/>
                <w:bCs/>
              </w:rPr>
              <w:t xml:space="preserve"> 1873</w:t>
            </w:r>
          </w:p>
        </w:tc>
      </w:tr>
    </w:tbl>
    <w:p w:rsidR="00596DCA" w:rsidRPr="00596DCA" w:rsidP="00596DCA" w14:paraId="25BB962C" w14:textId="77777777">
      <w:pPr>
        <w:shd w:val="clear" w:color="auto" w:fill="FFFFFF"/>
        <w:spacing w:line="480" w:lineRule="auto"/>
      </w:pPr>
    </w:p>
    <w:p w:rsidR="00596DCA" w:rsidRPr="00596DCA" w:rsidP="00596DCA" w14:paraId="287CDCDE" w14:textId="77777777">
      <w:pPr>
        <w:shd w:val="clear" w:color="auto" w:fill="FFFFFF"/>
        <w:spacing w:line="480" w:lineRule="auto"/>
        <w:rPr>
          <w:b/>
          <w:bCs/>
        </w:rPr>
      </w:pPr>
      <w:r w:rsidRPr="00596DCA">
        <w:rPr>
          <w:b/>
          <w:bCs/>
        </w:rPr>
        <w:t>Table 2.2 Estimated Total Burden Hours</w:t>
      </w:r>
    </w:p>
    <w:tbl>
      <w:tblPr>
        <w:tblStyle w:val="TableGrid"/>
        <w:tblW w:w="0" w:type="auto"/>
        <w:tblLook w:val="04A0"/>
      </w:tblPr>
      <w:tblGrid>
        <w:gridCol w:w="1798"/>
        <w:gridCol w:w="1617"/>
        <w:gridCol w:w="1620"/>
        <w:gridCol w:w="1890"/>
        <w:gridCol w:w="1705"/>
      </w:tblGrid>
      <w:tr w14:paraId="2A4566AA" w14:textId="77777777">
        <w:tblPrEx>
          <w:tblW w:w="0" w:type="auto"/>
          <w:tblLook w:val="04A0"/>
        </w:tblPrEx>
        <w:tc>
          <w:tcPr>
            <w:tcW w:w="1798" w:type="dxa"/>
          </w:tcPr>
          <w:p w:rsidR="00596DCA" w:rsidRPr="00596DCA" w:rsidP="00596DCA" w14:paraId="5932040B" w14:textId="77777777">
            <w:pPr>
              <w:rPr>
                <w:b/>
                <w:bCs/>
              </w:rPr>
            </w:pPr>
            <w:r w:rsidRPr="00596DCA">
              <w:rPr>
                <w:b/>
                <w:bCs/>
              </w:rPr>
              <w:t>Number of Initial Accounts</w:t>
            </w:r>
          </w:p>
        </w:tc>
        <w:tc>
          <w:tcPr>
            <w:tcW w:w="1617" w:type="dxa"/>
          </w:tcPr>
          <w:p w:rsidR="00596DCA" w:rsidRPr="00596DCA" w:rsidP="00596DCA" w14:paraId="6ED1FA34" w14:textId="77777777">
            <w:pPr>
              <w:rPr>
                <w:b/>
                <w:bCs/>
              </w:rPr>
            </w:pPr>
            <w:r w:rsidRPr="00596DCA">
              <w:rPr>
                <w:b/>
                <w:bCs/>
              </w:rPr>
              <w:t>X 30 minutes setup per account</w:t>
            </w:r>
          </w:p>
        </w:tc>
        <w:tc>
          <w:tcPr>
            <w:tcW w:w="1620" w:type="dxa"/>
          </w:tcPr>
          <w:p w:rsidR="00596DCA" w:rsidRPr="00596DCA" w:rsidP="00596DCA" w14:paraId="08787F6D" w14:textId="77777777">
            <w:pPr>
              <w:rPr>
                <w:b/>
                <w:bCs/>
              </w:rPr>
            </w:pPr>
            <w:r w:rsidRPr="00596DCA">
              <w:rPr>
                <w:b/>
                <w:bCs/>
              </w:rPr>
              <w:t xml:space="preserve">Number of “Other” Accounts </w:t>
            </w:r>
          </w:p>
        </w:tc>
        <w:tc>
          <w:tcPr>
            <w:tcW w:w="1890" w:type="dxa"/>
          </w:tcPr>
          <w:p w:rsidR="00596DCA" w:rsidRPr="00596DCA" w:rsidP="00596DCA" w14:paraId="11BD26AF" w14:textId="77777777">
            <w:pPr>
              <w:rPr>
                <w:b/>
                <w:bCs/>
              </w:rPr>
            </w:pPr>
            <w:r w:rsidRPr="00596DCA">
              <w:rPr>
                <w:b/>
                <w:bCs/>
              </w:rPr>
              <w:t>X 15 minutes setup per account</w:t>
            </w:r>
          </w:p>
        </w:tc>
        <w:tc>
          <w:tcPr>
            <w:tcW w:w="1705" w:type="dxa"/>
          </w:tcPr>
          <w:p w:rsidR="00596DCA" w:rsidRPr="00596DCA" w:rsidP="00596DCA" w14:paraId="2081AFE3" w14:textId="77777777">
            <w:pPr>
              <w:rPr>
                <w:b/>
                <w:bCs/>
              </w:rPr>
            </w:pPr>
            <w:r w:rsidRPr="00596DCA">
              <w:rPr>
                <w:b/>
                <w:bCs/>
              </w:rPr>
              <w:t>Total =</w:t>
            </w:r>
          </w:p>
        </w:tc>
      </w:tr>
      <w:tr w14:paraId="78ADE2ED" w14:textId="77777777">
        <w:tblPrEx>
          <w:tblW w:w="0" w:type="auto"/>
          <w:tblLook w:val="04A0"/>
        </w:tblPrEx>
        <w:tc>
          <w:tcPr>
            <w:tcW w:w="1798" w:type="dxa"/>
          </w:tcPr>
          <w:p w:rsidR="00596DCA" w:rsidRPr="00596DCA" w:rsidP="00596DCA" w14:paraId="4380615F" w14:textId="77777777">
            <w:pPr>
              <w:spacing w:line="480" w:lineRule="auto"/>
            </w:pPr>
            <w:r w:rsidRPr="00596DCA">
              <w:t>794</w:t>
            </w:r>
          </w:p>
        </w:tc>
        <w:tc>
          <w:tcPr>
            <w:tcW w:w="1617" w:type="dxa"/>
          </w:tcPr>
          <w:p w:rsidR="00596DCA" w:rsidRPr="00596DCA" w:rsidP="00596DCA" w14:paraId="2F245CA5" w14:textId="77777777">
            <w:r w:rsidRPr="00596DCA">
              <w:t>23,820 min./397 hr.</w:t>
            </w:r>
          </w:p>
        </w:tc>
        <w:tc>
          <w:tcPr>
            <w:tcW w:w="1620" w:type="dxa"/>
          </w:tcPr>
          <w:p w:rsidR="00596DCA" w:rsidRPr="00596DCA" w:rsidP="00596DCA" w14:paraId="2102E555" w14:textId="66D19799">
            <w:pPr>
              <w:spacing w:line="480" w:lineRule="auto"/>
            </w:pPr>
            <w:r>
              <w:t>1</w:t>
            </w:r>
            <w:r w:rsidR="00C51913">
              <w:t>079</w:t>
            </w:r>
          </w:p>
        </w:tc>
        <w:tc>
          <w:tcPr>
            <w:tcW w:w="1890" w:type="dxa"/>
          </w:tcPr>
          <w:p w:rsidR="00596DCA" w:rsidRPr="00596DCA" w:rsidP="00596DCA" w14:paraId="0724BAFC" w14:textId="1E0675F8">
            <w:r w:rsidRPr="00596DCA">
              <w:t>16,</w:t>
            </w:r>
            <w:r w:rsidR="003217FD">
              <w:t>185</w:t>
            </w:r>
            <w:r w:rsidRPr="00596DCA">
              <w:t xml:space="preserve"> min./27</w:t>
            </w:r>
            <w:r w:rsidR="00617DD0">
              <w:t>0</w:t>
            </w:r>
            <w:r w:rsidRPr="00596DCA">
              <w:t xml:space="preserve"> hr.</w:t>
            </w:r>
          </w:p>
        </w:tc>
        <w:tc>
          <w:tcPr>
            <w:tcW w:w="1705" w:type="dxa"/>
          </w:tcPr>
          <w:p w:rsidR="00596DCA" w:rsidRPr="00596DCA" w:rsidP="00596DCA" w14:paraId="27260581" w14:textId="2F871923">
            <w:r w:rsidRPr="00596DCA">
              <w:t>40,</w:t>
            </w:r>
            <w:r w:rsidR="00052388">
              <w:t>005</w:t>
            </w:r>
            <w:r w:rsidRPr="00596DCA">
              <w:t xml:space="preserve"> min./66</w:t>
            </w:r>
            <w:r w:rsidR="00052388">
              <w:t>7</w:t>
            </w:r>
            <w:r w:rsidRPr="00596DCA">
              <w:t xml:space="preserve"> hr.</w:t>
            </w:r>
          </w:p>
        </w:tc>
      </w:tr>
    </w:tbl>
    <w:p w:rsidR="009E7874" w:rsidP="009E7874" w14:paraId="6D611A13" w14:textId="77777777"/>
    <w:p w:rsidR="009E7874" w:rsidRPr="00E92953" w:rsidP="009E7874" w14:paraId="3E813EB3" w14:textId="30F8FBA4">
      <w:pPr>
        <w:pStyle w:val="ListParagraph"/>
        <w:numPr>
          <w:ilvl w:val="0"/>
          <w:numId w:val="3"/>
        </w:numPr>
        <w:shd w:val="clear" w:color="auto" w:fill="FFFFFF"/>
        <w:spacing w:line="480" w:lineRule="auto"/>
        <w:rPr>
          <w:u w:val="single"/>
        </w:rPr>
      </w:pPr>
      <w:r w:rsidRPr="001C2129">
        <w:rPr>
          <w:u w:val="single"/>
        </w:rPr>
        <w:t>External User Account Creation and Management ICR</w:t>
      </w:r>
    </w:p>
    <w:p w:rsidR="009E7874" w:rsidRPr="00EA0AA5" w:rsidP="009E7874" w14:paraId="7F4F20CE" w14:textId="5FC1D6B3">
      <w:pPr>
        <w:rPr>
          <w:u w:val="single"/>
        </w:rPr>
      </w:pPr>
      <w:r>
        <w:rPr>
          <w:i/>
        </w:rPr>
        <w:t xml:space="preserve">Respondents:  </w:t>
      </w:r>
      <w:r w:rsidR="00672509">
        <w:rPr>
          <w:u w:val="single"/>
        </w:rPr>
        <w:t xml:space="preserve">Air Travel Industry and Other Users </w:t>
      </w:r>
      <w:r w:rsidRPr="00EA0AA5" w:rsidR="00672509">
        <w:rPr>
          <w:u w:val="single"/>
        </w:rPr>
        <w:t xml:space="preserve">that </w:t>
      </w:r>
      <w:r w:rsidR="00672509">
        <w:rPr>
          <w:u w:val="single"/>
        </w:rPr>
        <w:t>Create and Manage Accounts Using OACP’s Modernized IT System.</w:t>
      </w:r>
    </w:p>
    <w:p w:rsidR="009E7874" w:rsidP="009E7874" w14:paraId="19AA7F7E" w14:textId="77777777"/>
    <w:p w:rsidR="001C484A" w:rsidP="009E7874" w14:paraId="6BAB2EFF" w14:textId="77777777">
      <w:pPr>
        <w:rPr>
          <w:i/>
        </w:rPr>
      </w:pPr>
      <w:r>
        <w:rPr>
          <w:i/>
        </w:rPr>
        <w:t xml:space="preserve">Estimated Number of Respondents: </w:t>
      </w:r>
    </w:p>
    <w:p w:rsidR="001C484A" w:rsidP="009E7874" w14:paraId="271B4DF6" w14:textId="77777777">
      <w:pPr>
        <w:rPr>
          <w:i/>
        </w:rPr>
      </w:pPr>
    </w:p>
    <w:p w:rsidR="001C484A" w:rsidRPr="001C484A" w:rsidP="009E7874" w14:paraId="00D71E14" w14:textId="0C11FB67">
      <w:pPr>
        <w:rPr>
          <w:iCs/>
        </w:rPr>
      </w:pPr>
      <w:r>
        <w:rPr>
          <w:iCs/>
        </w:rPr>
        <w:t>Total = 1,8</w:t>
      </w:r>
      <w:r w:rsidR="00567EF7">
        <w:rPr>
          <w:iCs/>
        </w:rPr>
        <w:t>73</w:t>
      </w:r>
    </w:p>
    <w:p w:rsidR="009E7874" w:rsidP="001C484A" w14:paraId="3CE9B39B" w14:textId="033E1F39">
      <w:pPr>
        <w:ind w:firstLine="720"/>
      </w:pPr>
      <w:r>
        <w:rPr>
          <w:iCs/>
        </w:rPr>
        <w:t>Initial Account Creation = 794 (</w:t>
      </w:r>
      <w:r>
        <w:rPr>
          <w:iCs/>
        </w:rPr>
        <w:t>719 air travel industry and 75 “other” users</w:t>
      </w:r>
      <w:r>
        <w:rPr>
          <w:iCs/>
        </w:rPr>
        <w:t>)</w:t>
      </w:r>
      <w:r>
        <w:t>.</w:t>
      </w:r>
    </w:p>
    <w:p w:rsidR="001C484A" w:rsidP="001C484A" w14:paraId="014079EB" w14:textId="6486C4FE">
      <w:pPr>
        <w:ind w:firstLine="720"/>
      </w:pPr>
      <w:r>
        <w:t xml:space="preserve">Supplemental Account  = </w:t>
      </w:r>
      <w:r w:rsidR="00264E70">
        <w:t>1079</w:t>
      </w:r>
      <w:r>
        <w:t xml:space="preserve"> (supplemental account holders/user).</w:t>
      </w:r>
    </w:p>
    <w:p w:rsidR="009E7874" w:rsidP="009E7874" w14:paraId="6C9C08F0" w14:textId="77777777"/>
    <w:p w:rsidR="009E7874" w:rsidP="009E7874" w14:paraId="390FD1E7" w14:textId="4DD8D8C2">
      <w:bookmarkStart w:id="1" w:name="_Hlk170318477"/>
      <w:r>
        <w:rPr>
          <w:i/>
        </w:rPr>
        <w:t>Estimated Total Burden on Respondents</w:t>
      </w:r>
      <w:r w:rsidRPr="0072606C">
        <w:rPr>
          <w:i/>
        </w:rPr>
        <w:t>:</w:t>
      </w:r>
      <w:r w:rsidRPr="00937E55">
        <w:t xml:space="preserve"> </w:t>
      </w:r>
      <w:r>
        <w:t>40,</w:t>
      </w:r>
      <w:r w:rsidR="006E10B2">
        <w:t>005</w:t>
      </w:r>
      <w:r>
        <w:t xml:space="preserve"> minutes/</w:t>
      </w:r>
      <w:r w:rsidR="006E10B2">
        <w:t>667</w:t>
      </w:r>
      <w:r>
        <w:t xml:space="preserve"> hours. The burden was calculated by multiplying the total estimated number o</w:t>
      </w:r>
      <w:r w:rsidR="00EF0287">
        <w:t>f initial accounts created</w:t>
      </w:r>
      <w:r>
        <w:t xml:space="preserve"> by the estimated time to create </w:t>
      </w:r>
      <w:r w:rsidR="006E10B2">
        <w:t>the</w:t>
      </w:r>
      <w:r>
        <w:t xml:space="preserve"> account (</w:t>
      </w:r>
      <w:r w:rsidR="001C484A">
        <w:t xml:space="preserve">794 x </w:t>
      </w:r>
      <w:r>
        <w:t>30 min.</w:t>
      </w:r>
      <w:r w:rsidR="001C484A">
        <w:t xml:space="preserve"> = </w:t>
      </w:r>
      <w:r w:rsidR="001762B6">
        <w:t>23,820 minutes/397 hours</w:t>
      </w:r>
      <w:r>
        <w:t>), plus the</w:t>
      </w:r>
      <w:r w:rsidR="006E10B2">
        <w:t xml:space="preserve"> estimated number of additional personnel added to the account </w:t>
      </w:r>
      <w:r w:rsidR="00EF0287">
        <w:t>by</w:t>
      </w:r>
      <w:r w:rsidR="006E10B2">
        <w:t xml:space="preserve"> the </w:t>
      </w:r>
      <w:r>
        <w:t xml:space="preserve">time to add/change </w:t>
      </w:r>
      <w:r w:rsidR="006E10B2">
        <w:t>those users (</w:t>
      </w:r>
      <w:r w:rsidR="00264E70">
        <w:t>1079</w:t>
      </w:r>
      <w:r w:rsidR="001C484A">
        <w:t xml:space="preserve"> x </w:t>
      </w:r>
      <w:r>
        <w:t>15 min.</w:t>
      </w:r>
      <w:r w:rsidR="001C484A">
        <w:t xml:space="preserve"> = </w:t>
      </w:r>
      <w:r w:rsidR="001762B6">
        <w:t>16,</w:t>
      </w:r>
      <w:r w:rsidR="006335D7">
        <w:t>185</w:t>
      </w:r>
      <w:r w:rsidR="001762B6">
        <w:t xml:space="preserve"> minutes/27</w:t>
      </w:r>
      <w:r w:rsidR="00973C8A">
        <w:t>0 hours</w:t>
      </w:r>
      <w:r>
        <w:t>).</w:t>
      </w:r>
    </w:p>
    <w:bookmarkEnd w:id="1"/>
    <w:p w:rsidR="00596DCA" w:rsidP="009E7874" w14:paraId="4469B80F" w14:textId="5E3FE64B"/>
    <w:p w:rsidR="00596DCA" w:rsidP="00596DCA" w14:paraId="6992FF35" w14:textId="188925AE">
      <w:r w:rsidRPr="001F5B55">
        <w:t xml:space="preserve">Frequency: </w:t>
      </w:r>
      <w:r>
        <w:t xml:space="preserve">A maximum of one </w:t>
      </w:r>
      <w:r w:rsidR="003A5358">
        <w:t>account set up per</w:t>
      </w:r>
      <w:r w:rsidR="00023C5E">
        <w:t xml:space="preserve"> user</w:t>
      </w:r>
      <w:r w:rsidR="003A5358">
        <w:t xml:space="preserve"> </w:t>
      </w:r>
      <w:r w:rsidR="00EF0287">
        <w:t xml:space="preserve">(e.g., air carrier). One time per user to add </w:t>
      </w:r>
      <w:r w:rsidR="007A0F23">
        <w:t xml:space="preserve">relevant </w:t>
      </w:r>
      <w:r w:rsidR="007A0F23">
        <w:t>user names</w:t>
      </w:r>
      <w:r w:rsidR="007A0F23">
        <w:t>/information</w:t>
      </w:r>
      <w:r w:rsidR="00EF0287">
        <w:t>; plus a</w:t>
      </w:r>
      <w:r w:rsidR="003A5358">
        <w:t>n estimate of 18</w:t>
      </w:r>
      <w:r w:rsidR="00785048">
        <w:t>% in personnel changes per account, per year</w:t>
      </w:r>
      <w:r>
        <w:t>.</w:t>
      </w:r>
    </w:p>
    <w:p w:rsidR="00596DCA" w:rsidP="009E7874" w14:paraId="5472C1EE" w14:textId="77777777"/>
    <w:p w:rsidR="00785048" w:rsidRPr="00C6179A" w:rsidP="00785048" w14:paraId="033284A5" w14:textId="6646B181">
      <w:pPr>
        <w:jc w:val="center"/>
        <w:rPr>
          <w:b/>
          <w:bCs/>
          <w:strike/>
        </w:rPr>
      </w:pPr>
      <w:r>
        <w:rPr>
          <w:b/>
          <w:bCs/>
        </w:rPr>
        <w:t>Tables 3.1 and 3.2: Uploading Responses to Consumer Complaints and Other Documents</w:t>
      </w:r>
    </w:p>
    <w:p w:rsidR="00596DCA" w:rsidP="009E7874" w14:paraId="089ACC3E" w14:textId="49FD7205"/>
    <w:p w:rsidR="00596DCA" w:rsidRPr="00F160C1" w:rsidP="00596DCA" w14:paraId="33561CA5" w14:textId="77777777">
      <w:pPr>
        <w:shd w:val="clear" w:color="auto" w:fill="FFFFFF"/>
        <w:rPr>
          <w:b/>
          <w:bCs/>
        </w:rPr>
      </w:pPr>
      <w:r w:rsidRPr="00F160C1">
        <w:rPr>
          <w:b/>
          <w:bCs/>
        </w:rPr>
        <w:t xml:space="preserve">Table </w:t>
      </w:r>
      <w:r>
        <w:rPr>
          <w:b/>
          <w:bCs/>
        </w:rPr>
        <w:t>3.1</w:t>
      </w:r>
      <w:r w:rsidRPr="00F160C1">
        <w:rPr>
          <w:b/>
          <w:bCs/>
        </w:rPr>
        <w:t>: Estimate of Regulated and Non-Regulated Entities and ACERS Submissions</w:t>
      </w:r>
    </w:p>
    <w:tbl>
      <w:tblPr>
        <w:tblStyle w:val="TableGrid"/>
        <w:tblW w:w="0" w:type="auto"/>
        <w:tblLook w:val="04A0"/>
      </w:tblPr>
      <w:tblGrid>
        <w:gridCol w:w="1816"/>
        <w:gridCol w:w="1430"/>
        <w:gridCol w:w="1487"/>
        <w:gridCol w:w="2231"/>
        <w:gridCol w:w="2038"/>
      </w:tblGrid>
      <w:tr w14:paraId="276BF7E3" w14:textId="77777777">
        <w:tblPrEx>
          <w:tblW w:w="0" w:type="auto"/>
          <w:tblLook w:val="04A0"/>
        </w:tblPrEx>
        <w:tc>
          <w:tcPr>
            <w:tcW w:w="1514" w:type="dxa"/>
          </w:tcPr>
          <w:p w:rsidR="00596DCA" w:rsidRPr="00D50B78" w14:paraId="0995BA77" w14:textId="77777777">
            <w:pPr>
              <w:spacing w:line="480" w:lineRule="auto"/>
              <w:rPr>
                <w:b/>
                <w:bCs/>
              </w:rPr>
            </w:pPr>
            <w:r w:rsidRPr="00D50B78">
              <w:rPr>
                <w:b/>
                <w:bCs/>
              </w:rPr>
              <w:t>Entity Type</w:t>
            </w:r>
          </w:p>
        </w:tc>
        <w:tc>
          <w:tcPr>
            <w:tcW w:w="1360" w:type="dxa"/>
          </w:tcPr>
          <w:p w:rsidR="00596DCA" w:rsidRPr="00D50B78" w14:paraId="501F1682" w14:textId="77777777">
            <w:pPr>
              <w:rPr>
                <w:b/>
                <w:bCs/>
              </w:rPr>
            </w:pPr>
            <w:r w:rsidRPr="00D50B78">
              <w:rPr>
                <w:b/>
                <w:bCs/>
              </w:rPr>
              <w:t>Respondent Number</w:t>
            </w:r>
          </w:p>
        </w:tc>
        <w:tc>
          <w:tcPr>
            <w:tcW w:w="1487" w:type="dxa"/>
          </w:tcPr>
          <w:p w:rsidR="00596DCA" w:rsidRPr="00D50B78" w14:paraId="53AF6AAB" w14:textId="77777777">
            <w:pPr>
              <w:rPr>
                <w:b/>
                <w:bCs/>
              </w:rPr>
            </w:pPr>
            <w:r w:rsidRPr="00D50B78">
              <w:rPr>
                <w:b/>
                <w:bCs/>
              </w:rPr>
              <w:t>Estimated Total Responses</w:t>
            </w:r>
          </w:p>
        </w:tc>
        <w:tc>
          <w:tcPr>
            <w:tcW w:w="2231" w:type="dxa"/>
          </w:tcPr>
          <w:p w:rsidR="00596DCA" w:rsidRPr="00D50B78" w14:paraId="0B9BFC1D" w14:textId="77777777">
            <w:pPr>
              <w:rPr>
                <w:b/>
                <w:bCs/>
              </w:rPr>
            </w:pPr>
            <w:r w:rsidRPr="00D50B78">
              <w:rPr>
                <w:b/>
                <w:bCs/>
              </w:rPr>
              <w:t>Estimated Initial Submissions (80%) x 5 min.</w:t>
            </w:r>
          </w:p>
        </w:tc>
        <w:tc>
          <w:tcPr>
            <w:tcW w:w="2038" w:type="dxa"/>
          </w:tcPr>
          <w:p w:rsidR="00596DCA" w:rsidRPr="00D50B78" w14:paraId="7A239DC7" w14:textId="77777777">
            <w:pPr>
              <w:rPr>
                <w:b/>
                <w:bCs/>
              </w:rPr>
            </w:pPr>
            <w:r w:rsidRPr="00D50B78">
              <w:rPr>
                <w:b/>
                <w:bCs/>
              </w:rPr>
              <w:t>Estimated Follow-Up Submissions</w:t>
            </w:r>
          </w:p>
          <w:p w:rsidR="00596DCA" w:rsidRPr="00D50B78" w14:paraId="4368D2CE" w14:textId="77777777">
            <w:pPr>
              <w:rPr>
                <w:b/>
                <w:bCs/>
              </w:rPr>
            </w:pPr>
            <w:r w:rsidRPr="00D50B78">
              <w:rPr>
                <w:b/>
                <w:bCs/>
              </w:rPr>
              <w:t>(20%) x 30 min.</w:t>
            </w:r>
          </w:p>
        </w:tc>
      </w:tr>
      <w:tr w14:paraId="4F0D152D" w14:textId="77777777">
        <w:tblPrEx>
          <w:tblW w:w="0" w:type="auto"/>
          <w:tblLook w:val="04A0"/>
        </w:tblPrEx>
        <w:tc>
          <w:tcPr>
            <w:tcW w:w="1514" w:type="dxa"/>
          </w:tcPr>
          <w:p w:rsidR="00596DCA" w14:paraId="74118B24" w14:textId="4F8A4BE3">
            <w:r>
              <w:t>Regulated (Air carriers</w:t>
            </w:r>
            <w:r w:rsidR="002F2EB2">
              <w:t xml:space="preserve"> and </w:t>
            </w:r>
            <w:r>
              <w:t>travel agents)</w:t>
            </w:r>
            <w:r w:rsidR="00626DC5">
              <w:t>*</w:t>
            </w:r>
          </w:p>
        </w:tc>
        <w:tc>
          <w:tcPr>
            <w:tcW w:w="1360" w:type="dxa"/>
          </w:tcPr>
          <w:p w:rsidR="00596DCA" w14:paraId="6013CF73" w14:textId="13E0C665">
            <w:pPr>
              <w:spacing w:line="480" w:lineRule="auto"/>
            </w:pPr>
            <w:r>
              <w:t>318</w:t>
            </w:r>
          </w:p>
        </w:tc>
        <w:tc>
          <w:tcPr>
            <w:tcW w:w="1487" w:type="dxa"/>
          </w:tcPr>
          <w:p w:rsidR="00596DCA" w14:paraId="730A53DA" w14:textId="4B18273D">
            <w:r>
              <w:t>62,098</w:t>
            </w:r>
          </w:p>
        </w:tc>
        <w:tc>
          <w:tcPr>
            <w:tcW w:w="2231" w:type="dxa"/>
          </w:tcPr>
          <w:p w:rsidR="00596DCA" w14:paraId="6E3FD3AB" w14:textId="77777777">
            <w:r>
              <w:t>49,678</w:t>
            </w:r>
          </w:p>
        </w:tc>
        <w:tc>
          <w:tcPr>
            <w:tcW w:w="2038" w:type="dxa"/>
          </w:tcPr>
          <w:p w:rsidR="00596DCA" w14:paraId="21A84288" w14:textId="77777777">
            <w:r>
              <w:t>12,420</w:t>
            </w:r>
          </w:p>
        </w:tc>
      </w:tr>
      <w:tr w14:paraId="366A294B" w14:textId="77777777">
        <w:tblPrEx>
          <w:tblW w:w="0" w:type="auto"/>
          <w:tblLook w:val="04A0"/>
        </w:tblPrEx>
        <w:tc>
          <w:tcPr>
            <w:tcW w:w="1514" w:type="dxa"/>
          </w:tcPr>
          <w:p w:rsidR="00596DCA" w14:paraId="43F23AE9" w14:textId="7A25725D">
            <w:r>
              <w:t>Other Industry</w:t>
            </w:r>
            <w:r w:rsidR="00B95B76">
              <w:t>/Entities</w:t>
            </w:r>
          </w:p>
        </w:tc>
        <w:tc>
          <w:tcPr>
            <w:tcW w:w="1360" w:type="dxa"/>
          </w:tcPr>
          <w:p w:rsidR="00596DCA" w14:paraId="3ECAD523" w14:textId="020209DB">
            <w:pPr>
              <w:spacing w:line="480" w:lineRule="auto"/>
            </w:pPr>
            <w:r>
              <w:t>85</w:t>
            </w:r>
          </w:p>
        </w:tc>
        <w:tc>
          <w:tcPr>
            <w:tcW w:w="1487" w:type="dxa"/>
          </w:tcPr>
          <w:p w:rsidR="00596DCA" w14:paraId="065F670D" w14:textId="6382736C">
            <w:r>
              <w:t>1,</w:t>
            </w:r>
            <w:r w:rsidR="00BE5B4D">
              <w:t>700</w:t>
            </w:r>
            <w:r w:rsidR="002F2EB2">
              <w:t>**</w:t>
            </w:r>
          </w:p>
        </w:tc>
        <w:tc>
          <w:tcPr>
            <w:tcW w:w="2231" w:type="dxa"/>
          </w:tcPr>
          <w:p w:rsidR="00596DCA" w14:paraId="15010E34" w14:textId="77777777">
            <w:r>
              <w:t>1,280</w:t>
            </w:r>
          </w:p>
        </w:tc>
        <w:tc>
          <w:tcPr>
            <w:tcW w:w="2038" w:type="dxa"/>
          </w:tcPr>
          <w:p w:rsidR="00596DCA" w14:paraId="648AA85F" w14:textId="77777777">
            <w:r>
              <w:t>320</w:t>
            </w:r>
          </w:p>
        </w:tc>
      </w:tr>
      <w:tr w14:paraId="63739587" w14:textId="77777777">
        <w:tblPrEx>
          <w:tblW w:w="0" w:type="auto"/>
          <w:tblLook w:val="04A0"/>
        </w:tblPrEx>
        <w:tc>
          <w:tcPr>
            <w:tcW w:w="1514" w:type="dxa"/>
          </w:tcPr>
          <w:p w:rsidR="00596DCA" w:rsidRPr="00B30418" w14:paraId="21BEE17D" w14:textId="77777777">
            <w:pPr>
              <w:spacing w:line="480" w:lineRule="auto"/>
              <w:rPr>
                <w:b/>
                <w:bCs/>
              </w:rPr>
            </w:pPr>
            <w:r w:rsidRPr="00B30418">
              <w:rPr>
                <w:b/>
                <w:bCs/>
              </w:rPr>
              <w:t>TOTAL:</w:t>
            </w:r>
          </w:p>
        </w:tc>
        <w:tc>
          <w:tcPr>
            <w:tcW w:w="1360" w:type="dxa"/>
          </w:tcPr>
          <w:p w:rsidR="00596DCA" w:rsidRPr="00B30418" w14:paraId="32DD3793" w14:textId="2B08AA62">
            <w:pPr>
              <w:spacing w:line="480" w:lineRule="auto"/>
              <w:rPr>
                <w:b/>
                <w:bCs/>
              </w:rPr>
            </w:pPr>
            <w:r w:rsidRPr="00B30418">
              <w:rPr>
                <w:b/>
                <w:bCs/>
              </w:rPr>
              <w:t>4</w:t>
            </w:r>
            <w:r w:rsidR="009A1B4B">
              <w:rPr>
                <w:b/>
                <w:bCs/>
              </w:rPr>
              <w:t>03</w:t>
            </w:r>
          </w:p>
        </w:tc>
        <w:tc>
          <w:tcPr>
            <w:tcW w:w="1487" w:type="dxa"/>
          </w:tcPr>
          <w:p w:rsidR="00596DCA" w:rsidRPr="00B30418" w14:paraId="6BA9E0F6" w14:textId="004EB109">
            <w:pPr>
              <w:spacing w:line="480" w:lineRule="auto"/>
              <w:rPr>
                <w:b/>
                <w:bCs/>
              </w:rPr>
            </w:pPr>
            <w:r>
              <w:rPr>
                <w:b/>
                <w:bCs/>
              </w:rPr>
              <w:t xml:space="preserve"> 63</w:t>
            </w:r>
            <w:r w:rsidR="00D9132A">
              <w:rPr>
                <w:b/>
                <w:bCs/>
              </w:rPr>
              <w:t>,</w:t>
            </w:r>
            <w:r>
              <w:rPr>
                <w:b/>
                <w:bCs/>
              </w:rPr>
              <w:t>7</w:t>
            </w:r>
            <w:r w:rsidR="009D6B69">
              <w:rPr>
                <w:b/>
                <w:bCs/>
              </w:rPr>
              <w:t>98</w:t>
            </w:r>
          </w:p>
        </w:tc>
        <w:tc>
          <w:tcPr>
            <w:tcW w:w="2231" w:type="dxa"/>
          </w:tcPr>
          <w:p w:rsidR="00596DCA" w:rsidRPr="00B30418" w14:paraId="6F28200C" w14:textId="71AD43C3">
            <w:pPr>
              <w:spacing w:line="480" w:lineRule="auto"/>
              <w:rPr>
                <w:b/>
                <w:bCs/>
              </w:rPr>
            </w:pPr>
            <w:r>
              <w:rPr>
                <w:b/>
                <w:bCs/>
              </w:rPr>
              <w:t xml:space="preserve"> 5</w:t>
            </w:r>
            <w:r w:rsidR="00AF02D8">
              <w:rPr>
                <w:b/>
                <w:bCs/>
              </w:rPr>
              <w:t>1,038</w:t>
            </w:r>
          </w:p>
        </w:tc>
        <w:tc>
          <w:tcPr>
            <w:tcW w:w="2038" w:type="dxa"/>
          </w:tcPr>
          <w:p w:rsidR="00596DCA" w:rsidRPr="00B30418" w14:paraId="71624EBD" w14:textId="113EC482">
            <w:pPr>
              <w:spacing w:line="480" w:lineRule="auto"/>
              <w:rPr>
                <w:b/>
                <w:bCs/>
              </w:rPr>
            </w:pPr>
            <w:r>
              <w:rPr>
                <w:b/>
                <w:bCs/>
              </w:rPr>
              <w:t xml:space="preserve"> </w:t>
            </w:r>
            <w:r w:rsidR="00CA7B67">
              <w:rPr>
                <w:b/>
                <w:bCs/>
              </w:rPr>
              <w:t>12</w:t>
            </w:r>
            <w:r w:rsidR="00D9132A">
              <w:rPr>
                <w:b/>
                <w:bCs/>
              </w:rPr>
              <w:t>,</w:t>
            </w:r>
            <w:r w:rsidR="00CA7B67">
              <w:rPr>
                <w:b/>
                <w:bCs/>
              </w:rPr>
              <w:t>7</w:t>
            </w:r>
            <w:r w:rsidR="00AF02D8">
              <w:rPr>
                <w:b/>
                <w:bCs/>
              </w:rPr>
              <w:t>60</w:t>
            </w:r>
          </w:p>
        </w:tc>
      </w:tr>
    </w:tbl>
    <w:p w:rsidR="00B95B76" w:rsidRPr="00B95B76" w:rsidP="00B95B76" w14:paraId="41CC1D7B" w14:textId="25631B28">
      <w:pPr>
        <w:shd w:val="clear" w:color="auto" w:fill="FFFFFF"/>
        <w:rPr>
          <w:sz w:val="20"/>
          <w:szCs w:val="20"/>
        </w:rPr>
      </w:pPr>
      <w:r w:rsidRPr="00B95B76">
        <w:rPr>
          <w:sz w:val="20"/>
          <w:szCs w:val="20"/>
        </w:rPr>
        <w:t>*</w:t>
      </w:r>
      <w:r w:rsidR="002F2EB2">
        <w:rPr>
          <w:sz w:val="20"/>
          <w:szCs w:val="20"/>
        </w:rPr>
        <w:t xml:space="preserve"> </w:t>
      </w:r>
      <w:r w:rsidRPr="00B95B76">
        <w:rPr>
          <w:sz w:val="20"/>
          <w:szCs w:val="20"/>
        </w:rPr>
        <w:t>See, Table 1.1</w:t>
      </w:r>
      <w:r w:rsidR="004E1BFF">
        <w:rPr>
          <w:sz w:val="20"/>
          <w:szCs w:val="20"/>
        </w:rPr>
        <w:t xml:space="preserve"> for</w:t>
      </w:r>
      <w:r>
        <w:rPr>
          <w:sz w:val="20"/>
          <w:szCs w:val="20"/>
        </w:rPr>
        <w:t xml:space="preserve"> total complaints filed.</w:t>
      </w:r>
      <w:r w:rsidR="00130A24">
        <w:rPr>
          <w:sz w:val="20"/>
          <w:szCs w:val="20"/>
        </w:rPr>
        <w:t xml:space="preserve"> </w:t>
      </w:r>
      <w:r w:rsidR="005A08CA">
        <w:rPr>
          <w:sz w:val="20"/>
          <w:szCs w:val="20"/>
        </w:rPr>
        <w:t>For number of respondents, a</w:t>
      </w:r>
      <w:r w:rsidR="00130A24">
        <w:rPr>
          <w:sz w:val="20"/>
          <w:szCs w:val="20"/>
        </w:rPr>
        <w:t>irports are not included in this number</w:t>
      </w:r>
      <w:r w:rsidR="005A08CA">
        <w:rPr>
          <w:sz w:val="20"/>
          <w:szCs w:val="20"/>
        </w:rPr>
        <w:t xml:space="preserve"> </w:t>
      </w:r>
      <w:r w:rsidR="00130A24">
        <w:rPr>
          <w:sz w:val="20"/>
          <w:szCs w:val="20"/>
        </w:rPr>
        <w:t xml:space="preserve">as they only </w:t>
      </w:r>
      <w:r w:rsidR="003A6981">
        <w:rPr>
          <w:sz w:val="20"/>
          <w:szCs w:val="20"/>
        </w:rPr>
        <w:t>submit tarmac delay contingency plans to OACP and that number is accounted for in a separate OMB control number.</w:t>
      </w:r>
    </w:p>
    <w:p w:rsidR="002F2EB2" w:rsidP="00B95B76" w14:paraId="31154384" w14:textId="02C17FC2">
      <w:pPr>
        <w:shd w:val="clear" w:color="auto" w:fill="FFFFFF"/>
        <w:rPr>
          <w:sz w:val="20"/>
          <w:szCs w:val="20"/>
        </w:rPr>
      </w:pPr>
      <w:r>
        <w:rPr>
          <w:sz w:val="20"/>
          <w:szCs w:val="20"/>
        </w:rPr>
        <w:t xml:space="preserve">**Estimating an average of </w:t>
      </w:r>
      <w:r w:rsidR="00BE5B4D">
        <w:rPr>
          <w:sz w:val="20"/>
          <w:szCs w:val="20"/>
        </w:rPr>
        <w:t>20</w:t>
      </w:r>
      <w:r>
        <w:rPr>
          <w:sz w:val="20"/>
          <w:szCs w:val="20"/>
        </w:rPr>
        <w:t xml:space="preserve"> submissions per entity, per year.</w:t>
      </w:r>
    </w:p>
    <w:p w:rsidR="00B95B76" w:rsidRPr="00B95B76" w:rsidP="00B95B76" w14:paraId="7602650F" w14:textId="77777777">
      <w:pPr>
        <w:shd w:val="clear" w:color="auto" w:fill="FFFFFF"/>
        <w:rPr>
          <w:sz w:val="20"/>
          <w:szCs w:val="20"/>
        </w:rPr>
      </w:pPr>
    </w:p>
    <w:p w:rsidR="00596DCA" w:rsidRPr="00D50B78" w:rsidP="00596DCA" w14:paraId="7A3E7378" w14:textId="77777777">
      <w:pPr>
        <w:shd w:val="clear" w:color="auto" w:fill="FFFFFF"/>
        <w:spacing w:line="480" w:lineRule="auto"/>
        <w:rPr>
          <w:b/>
          <w:bCs/>
        </w:rPr>
      </w:pPr>
      <w:r w:rsidRPr="00D50B78">
        <w:rPr>
          <w:b/>
          <w:bCs/>
        </w:rPr>
        <w:t xml:space="preserve">Table </w:t>
      </w:r>
      <w:r>
        <w:rPr>
          <w:b/>
          <w:bCs/>
        </w:rPr>
        <w:t>3</w:t>
      </w:r>
      <w:r w:rsidRPr="00D50B78">
        <w:rPr>
          <w:b/>
          <w:bCs/>
        </w:rPr>
        <w:t>.2: Estimated Burden for ACERS Response Upload and Follow-Up</w:t>
      </w:r>
    </w:p>
    <w:tbl>
      <w:tblPr>
        <w:tblStyle w:val="TableGrid"/>
        <w:tblW w:w="0" w:type="auto"/>
        <w:tblLook w:val="04A0"/>
      </w:tblPr>
      <w:tblGrid>
        <w:gridCol w:w="1975"/>
        <w:gridCol w:w="1530"/>
        <w:gridCol w:w="1710"/>
        <w:gridCol w:w="1440"/>
        <w:gridCol w:w="1710"/>
      </w:tblGrid>
      <w:tr w14:paraId="28B52FA6" w14:textId="77777777">
        <w:tblPrEx>
          <w:tblW w:w="0" w:type="auto"/>
          <w:tblLook w:val="04A0"/>
        </w:tblPrEx>
        <w:tc>
          <w:tcPr>
            <w:tcW w:w="1975" w:type="dxa"/>
          </w:tcPr>
          <w:p w:rsidR="00596DCA" w:rsidRPr="00D50B78" w14:paraId="48E0C57E" w14:textId="77777777">
            <w:pPr>
              <w:rPr>
                <w:b/>
                <w:bCs/>
              </w:rPr>
            </w:pPr>
            <w:r w:rsidRPr="00D50B78">
              <w:rPr>
                <w:b/>
                <w:bCs/>
              </w:rPr>
              <w:t>Estimated Initial Responses</w:t>
            </w:r>
          </w:p>
        </w:tc>
        <w:tc>
          <w:tcPr>
            <w:tcW w:w="1530" w:type="dxa"/>
          </w:tcPr>
          <w:p w:rsidR="00596DCA" w:rsidRPr="00D50B78" w14:paraId="72055933" w14:textId="77777777">
            <w:pPr>
              <w:rPr>
                <w:b/>
                <w:bCs/>
              </w:rPr>
            </w:pPr>
            <w:r w:rsidRPr="00D50B78">
              <w:rPr>
                <w:b/>
                <w:bCs/>
              </w:rPr>
              <w:t>X 5 min.</w:t>
            </w:r>
          </w:p>
        </w:tc>
        <w:tc>
          <w:tcPr>
            <w:tcW w:w="1710" w:type="dxa"/>
          </w:tcPr>
          <w:p w:rsidR="00596DCA" w:rsidRPr="00D50B78" w14:paraId="523BDEFB" w14:textId="77777777">
            <w:pPr>
              <w:rPr>
                <w:b/>
                <w:bCs/>
              </w:rPr>
            </w:pPr>
            <w:r w:rsidRPr="00D50B78">
              <w:rPr>
                <w:b/>
                <w:bCs/>
              </w:rPr>
              <w:t>Estimated Follow-Up Submissions</w:t>
            </w:r>
          </w:p>
        </w:tc>
        <w:tc>
          <w:tcPr>
            <w:tcW w:w="1440" w:type="dxa"/>
          </w:tcPr>
          <w:p w:rsidR="00596DCA" w:rsidRPr="00D50B78" w14:paraId="5DE61AEC" w14:textId="77777777">
            <w:pPr>
              <w:rPr>
                <w:b/>
                <w:bCs/>
              </w:rPr>
            </w:pPr>
            <w:r w:rsidRPr="00D50B78">
              <w:rPr>
                <w:b/>
                <w:bCs/>
              </w:rPr>
              <w:t>X 30 min.</w:t>
            </w:r>
          </w:p>
        </w:tc>
        <w:tc>
          <w:tcPr>
            <w:tcW w:w="1710" w:type="dxa"/>
          </w:tcPr>
          <w:p w:rsidR="00596DCA" w:rsidRPr="00D50B78" w14:paraId="5FA3C479" w14:textId="77777777">
            <w:pPr>
              <w:rPr>
                <w:b/>
                <w:bCs/>
              </w:rPr>
            </w:pPr>
            <w:r w:rsidRPr="00D50B78">
              <w:rPr>
                <w:b/>
                <w:bCs/>
              </w:rPr>
              <w:t>Total Estimated Burden</w:t>
            </w:r>
          </w:p>
        </w:tc>
      </w:tr>
      <w:tr w14:paraId="4B2CF2DC" w14:textId="77777777">
        <w:tblPrEx>
          <w:tblW w:w="0" w:type="auto"/>
          <w:tblLook w:val="04A0"/>
        </w:tblPrEx>
        <w:tc>
          <w:tcPr>
            <w:tcW w:w="1975" w:type="dxa"/>
          </w:tcPr>
          <w:p w:rsidR="00596DCA" w14:paraId="49F1B70A" w14:textId="799D698E">
            <w:r>
              <w:t>5</w:t>
            </w:r>
            <w:r w:rsidR="00037FFB">
              <w:t>1,038</w:t>
            </w:r>
          </w:p>
        </w:tc>
        <w:tc>
          <w:tcPr>
            <w:tcW w:w="1530" w:type="dxa"/>
          </w:tcPr>
          <w:p w:rsidR="00D9132A" w14:paraId="4CEF47A4" w14:textId="2B0A92C1">
            <w:r>
              <w:t>25</w:t>
            </w:r>
            <w:r w:rsidR="006B6AD2">
              <w:t>5,190</w:t>
            </w:r>
            <w:r>
              <w:t xml:space="preserve"> </w:t>
            </w:r>
            <w:r w:rsidR="00596DCA">
              <w:t>min.</w:t>
            </w:r>
            <w:r w:rsidR="00D51EC4">
              <w:t>/</w:t>
            </w:r>
          </w:p>
          <w:p w:rsidR="00596DCA" w14:paraId="5907DC43" w14:textId="3FC9B672">
            <w:r>
              <w:t>4,2</w:t>
            </w:r>
            <w:r w:rsidR="00DF024E">
              <w:t>53</w:t>
            </w:r>
            <w:r>
              <w:t xml:space="preserve"> hrs.</w:t>
            </w:r>
          </w:p>
        </w:tc>
        <w:tc>
          <w:tcPr>
            <w:tcW w:w="1710" w:type="dxa"/>
          </w:tcPr>
          <w:p w:rsidR="00596DCA" w14:paraId="1D99EA2E" w14:textId="03B77F0C">
            <w:r>
              <w:t>12,7</w:t>
            </w:r>
            <w:r w:rsidR="00037FFB">
              <w:t>60</w:t>
            </w:r>
          </w:p>
        </w:tc>
        <w:tc>
          <w:tcPr>
            <w:tcW w:w="1440" w:type="dxa"/>
          </w:tcPr>
          <w:p w:rsidR="00D9132A" w14:paraId="1E780673" w14:textId="3433E563">
            <w:r>
              <w:t>382</w:t>
            </w:r>
            <w:r>
              <w:t>,</w:t>
            </w:r>
            <w:r w:rsidR="00C25BA2">
              <w:t>800</w:t>
            </w:r>
            <w:r>
              <w:t xml:space="preserve"> </w:t>
            </w:r>
            <w:r w:rsidR="00596DCA">
              <w:t>min.</w:t>
            </w:r>
            <w:r w:rsidR="00D51EC4">
              <w:t>/</w:t>
            </w:r>
          </w:p>
          <w:p w:rsidR="00596DCA" w14:paraId="34B9B982" w14:textId="5EC0CA23">
            <w:r>
              <w:t>6,3</w:t>
            </w:r>
            <w:r w:rsidR="00390DDE">
              <w:t>80</w:t>
            </w:r>
            <w:r>
              <w:t xml:space="preserve"> hrs.</w:t>
            </w:r>
            <w:r w:rsidR="00CA7B67">
              <w:t xml:space="preserve"> </w:t>
            </w:r>
          </w:p>
        </w:tc>
        <w:tc>
          <w:tcPr>
            <w:tcW w:w="1710" w:type="dxa"/>
          </w:tcPr>
          <w:p w:rsidR="00596DCA" w14:paraId="540E7F0D" w14:textId="0AD8F8C5">
            <w:r>
              <w:t xml:space="preserve"> </w:t>
            </w:r>
            <w:r w:rsidR="00CA7B67">
              <w:t>637</w:t>
            </w:r>
            <w:r w:rsidR="00797F71">
              <w:t>,990</w:t>
            </w:r>
            <w:r w:rsidR="00D9132A">
              <w:t xml:space="preserve"> </w:t>
            </w:r>
            <w:r>
              <w:t>min.</w:t>
            </w:r>
            <w:r w:rsidR="00D51EC4">
              <w:t>/</w:t>
            </w:r>
            <w:r>
              <w:t>10,6</w:t>
            </w:r>
            <w:r w:rsidR="00797F71">
              <w:t>33</w:t>
            </w:r>
            <w:r w:rsidR="00D9132A">
              <w:t xml:space="preserve"> </w:t>
            </w:r>
            <w:r>
              <w:t>hrs.</w:t>
            </w:r>
          </w:p>
        </w:tc>
      </w:tr>
    </w:tbl>
    <w:p w:rsidR="00596DCA" w:rsidP="009E7874" w14:paraId="1B0BF68C" w14:textId="77777777"/>
    <w:p w:rsidR="009E7874" w:rsidP="009E7874" w14:paraId="715431F0" w14:textId="6B73EAD1">
      <w:pPr>
        <w:pStyle w:val="ListParagraph"/>
        <w:numPr>
          <w:ilvl w:val="0"/>
          <w:numId w:val="3"/>
        </w:numPr>
      </w:pPr>
      <w:r w:rsidRPr="00E92953">
        <w:rPr>
          <w:u w:val="single"/>
        </w:rPr>
        <w:t xml:space="preserve">IT </w:t>
      </w:r>
      <w:r w:rsidRPr="00E92953" w:rsidR="00E92953">
        <w:rPr>
          <w:u w:val="single"/>
        </w:rPr>
        <w:t>S</w:t>
      </w:r>
      <w:r w:rsidRPr="00E92953">
        <w:rPr>
          <w:u w:val="single"/>
        </w:rPr>
        <w:t>ystem</w:t>
      </w:r>
      <w:r w:rsidRPr="00E92953" w:rsidR="00E92953">
        <w:rPr>
          <w:u w:val="single"/>
        </w:rPr>
        <w:t xml:space="preserve"> </w:t>
      </w:r>
      <w:r w:rsidRPr="00E92953" w:rsidR="00672509">
        <w:rPr>
          <w:u w:val="single"/>
        </w:rPr>
        <w:t>Uploading Complaint Responses and Documents to the Modernized IT System</w:t>
      </w:r>
      <w:r>
        <w:t>:</w:t>
      </w:r>
    </w:p>
    <w:p w:rsidR="009E7874" w:rsidP="009E7874" w14:paraId="460CBDF2" w14:textId="77777777"/>
    <w:p w:rsidR="009E7874" w:rsidP="009E7874" w14:paraId="71DFCD32" w14:textId="0717AE45">
      <w:pPr>
        <w:rPr>
          <w:u w:val="single"/>
        </w:rPr>
      </w:pPr>
      <w:r>
        <w:rPr>
          <w:i/>
          <w:iCs/>
        </w:rPr>
        <w:t xml:space="preserve">Respondents: </w:t>
      </w:r>
      <w:r w:rsidR="00672509">
        <w:rPr>
          <w:u w:val="single"/>
        </w:rPr>
        <w:t xml:space="preserve">Air Travel Industry and Other Users </w:t>
      </w:r>
      <w:r w:rsidRPr="00EA0AA5" w:rsidR="00672509">
        <w:rPr>
          <w:u w:val="single"/>
        </w:rPr>
        <w:t>that</w:t>
      </w:r>
      <w:r w:rsidR="00672509">
        <w:rPr>
          <w:u w:val="single"/>
        </w:rPr>
        <w:t xml:space="preserve"> Upload Documents into OACP’s Modernized IT System</w:t>
      </w:r>
    </w:p>
    <w:p w:rsidR="009E7874" w:rsidP="009E7874" w14:paraId="31CFE0AA" w14:textId="77777777">
      <w:pPr>
        <w:rPr>
          <w:u w:val="single"/>
        </w:rPr>
      </w:pPr>
    </w:p>
    <w:p w:rsidR="0024300C" w:rsidRPr="00D4706A" w:rsidP="009E7874" w14:paraId="34BE81B2" w14:textId="142E98E3">
      <w:pPr>
        <w:rPr>
          <w:i/>
        </w:rPr>
      </w:pPr>
      <w:r>
        <w:rPr>
          <w:i/>
        </w:rPr>
        <w:t xml:space="preserve">Estimated Number of Respondents: </w:t>
      </w:r>
      <w:r>
        <w:rPr>
          <w:iCs/>
        </w:rPr>
        <w:t>4</w:t>
      </w:r>
      <w:r w:rsidR="00937A0F">
        <w:rPr>
          <w:iCs/>
        </w:rPr>
        <w:t>03</w:t>
      </w:r>
      <w:r>
        <w:rPr>
          <w:iCs/>
        </w:rPr>
        <w:t xml:space="preserve"> air travel industry and “other” users</w:t>
      </w:r>
      <w:r>
        <w:t>.</w:t>
      </w:r>
    </w:p>
    <w:p w:rsidR="00C858C1" w:rsidP="009E7874" w14:paraId="78C2B403" w14:textId="77777777"/>
    <w:p w:rsidR="009E7874" w:rsidRPr="002B044E" w:rsidP="009E7874" w14:paraId="2BA59300" w14:textId="7BA655A0">
      <w:r>
        <w:rPr>
          <w:i/>
        </w:rPr>
        <w:t>Estimated Total Burden on Respondents</w:t>
      </w:r>
      <w:r w:rsidRPr="0072606C">
        <w:rPr>
          <w:i/>
        </w:rPr>
        <w:t>:</w:t>
      </w:r>
      <w:r w:rsidRPr="00937E55">
        <w:t xml:space="preserve"> </w:t>
      </w:r>
      <w:r>
        <w:t xml:space="preserve"> 63</w:t>
      </w:r>
      <w:r w:rsidR="00D9132A">
        <w:t>7</w:t>
      </w:r>
      <w:r w:rsidR="00650820">
        <w:t>,</w:t>
      </w:r>
      <w:r w:rsidR="00E02AD5">
        <w:t>990</w:t>
      </w:r>
      <w:r>
        <w:t xml:space="preserve"> minutes/10,6</w:t>
      </w:r>
      <w:r w:rsidR="00E02AD5">
        <w:t>33</w:t>
      </w:r>
      <w:r>
        <w:t xml:space="preserve"> hours. The burden was calculated by multiplying the</w:t>
      </w:r>
      <w:r w:rsidR="00A220A1">
        <w:t xml:space="preserve"> estimated</w:t>
      </w:r>
      <w:r>
        <w:t xml:space="preserve"> </w:t>
      </w:r>
      <w:r w:rsidR="00A220A1">
        <w:t xml:space="preserve">number of initial documents to be uploaded by the </w:t>
      </w:r>
      <w:r>
        <w:t xml:space="preserve">time to upload </w:t>
      </w:r>
      <w:r w:rsidR="00A220A1">
        <w:t>the</w:t>
      </w:r>
      <w:r>
        <w:t xml:space="preserve"> document</w:t>
      </w:r>
      <w:r w:rsidR="00D36534">
        <w:t xml:space="preserve"> </w:t>
      </w:r>
      <w:r>
        <w:t>(</w:t>
      </w:r>
      <w:r w:rsidR="00AB7B26">
        <w:t xml:space="preserve">51,038 x </w:t>
      </w:r>
      <w:r>
        <w:t xml:space="preserve">5 min. </w:t>
      </w:r>
      <w:r w:rsidR="00AB7B26">
        <w:t xml:space="preserve">= </w:t>
      </w:r>
      <w:r w:rsidR="00B948E8">
        <w:t>255,190 minutes/4,253 hours</w:t>
      </w:r>
      <w:r>
        <w:t>)</w:t>
      </w:r>
      <w:r w:rsidRPr="0068557B" w:rsidR="0068557B">
        <w:rPr>
          <w:vertAlign w:val="superscript"/>
        </w:rPr>
        <w:t xml:space="preserve"> </w:t>
      </w:r>
      <w:r w:rsidR="00FB4FB0">
        <w:t>plus</w:t>
      </w:r>
      <w:r w:rsidR="00A220A1">
        <w:t xml:space="preserve"> the estimated number of follow-up documents to be uploaded by the time to upload th</w:t>
      </w:r>
      <w:r w:rsidR="002034DA">
        <w:t>e</w:t>
      </w:r>
      <w:r w:rsidR="00A220A1">
        <w:t xml:space="preserve"> documents</w:t>
      </w:r>
      <w:r>
        <w:t xml:space="preserve"> (</w:t>
      </w:r>
      <w:r w:rsidR="00FB4FB0">
        <w:t>12,76</w:t>
      </w:r>
      <w:r w:rsidR="00CF03EB">
        <w:t xml:space="preserve">0 x </w:t>
      </w:r>
      <w:r>
        <w:t xml:space="preserve">30 min. </w:t>
      </w:r>
      <w:r w:rsidR="00CF03EB">
        <w:t xml:space="preserve">= </w:t>
      </w:r>
      <w:r w:rsidR="00507B9D">
        <w:t>382,800 minutes/</w:t>
      </w:r>
      <w:r w:rsidR="00525968">
        <w:t>6,38</w:t>
      </w:r>
      <w:r w:rsidR="009F602F">
        <w:t>0</w:t>
      </w:r>
      <w:r w:rsidR="00A220A1">
        <w:t>)</w:t>
      </w:r>
      <w:r w:rsidR="00525968">
        <w:t xml:space="preserve"> hours</w:t>
      </w:r>
      <w:r w:rsidR="00A220A1">
        <w:t xml:space="preserve"> </w:t>
      </w:r>
      <w:r>
        <w:t>into the system.</w:t>
      </w:r>
    </w:p>
    <w:p w:rsidR="00AD334A" w:rsidP="00AE433F" w14:paraId="1C4D622A" w14:textId="31260626"/>
    <w:p w:rsidR="00AD334A" w:rsidRPr="00AD334A" w:rsidP="00AD334A" w14:paraId="140C4401" w14:textId="4595A7B3">
      <w:r w:rsidRPr="001F5B55">
        <w:t xml:space="preserve">Frequency: </w:t>
      </w:r>
      <w:r w:rsidR="003D517F">
        <w:t>For</w:t>
      </w:r>
      <w:r w:rsidR="00DF5012">
        <w:t xml:space="preserve"> initial responses</w:t>
      </w:r>
      <w:r w:rsidR="003D517F">
        <w:t>, the average</w:t>
      </w:r>
      <w:r w:rsidR="007F63D3">
        <w:t xml:space="preserve"> number</w:t>
      </w:r>
      <w:r w:rsidR="00001E5E">
        <w:t xml:space="preserve"> per year</w:t>
      </w:r>
      <w:r w:rsidR="00C0056A">
        <w:t>,</w:t>
      </w:r>
      <w:r w:rsidR="00A1102E">
        <w:t xml:space="preserve"> per entity</w:t>
      </w:r>
      <w:r w:rsidR="00C0056A">
        <w:t xml:space="preserve"> is</w:t>
      </w:r>
      <w:r w:rsidR="008C4AAC">
        <w:t xml:space="preserve"> 12</w:t>
      </w:r>
      <w:r w:rsidR="00C0056A">
        <w:t>7</w:t>
      </w:r>
      <w:r w:rsidR="007F63D3">
        <w:t>. For</w:t>
      </w:r>
      <w:r w:rsidR="00FD2FA1">
        <w:t xml:space="preserve"> follow-up responses, the average number per year</w:t>
      </w:r>
      <w:r w:rsidR="00590AAF">
        <w:t>,</w:t>
      </w:r>
      <w:r w:rsidR="00C0056A">
        <w:t xml:space="preserve"> per entity i</w:t>
      </w:r>
      <w:r w:rsidR="00590AAF">
        <w:t>s</w:t>
      </w:r>
      <w:r w:rsidR="007F63D3">
        <w:t xml:space="preserve"> </w:t>
      </w:r>
      <w:r w:rsidR="00516D20">
        <w:t>32</w:t>
      </w:r>
      <w:r w:rsidR="007F63D3">
        <w:t xml:space="preserve">. </w:t>
      </w:r>
      <w:r w:rsidR="00A220A1">
        <w:t>Larger carrier</w:t>
      </w:r>
      <w:r w:rsidR="002034DA">
        <w:t>s/industry will probably submit most more responses and smaller entities may submit less.</w:t>
      </w:r>
    </w:p>
    <w:p w:rsidR="00AD334A" w:rsidP="00AE433F" w14:paraId="730E23EF" w14:textId="77777777"/>
    <w:p w:rsidR="00232965" w:rsidRPr="001F5B55" w:rsidP="00232965" w14:paraId="24B05EBC" w14:textId="77777777">
      <w:r w:rsidRPr="001F5B55">
        <w:t xml:space="preserve">13. </w:t>
      </w:r>
      <w:r w:rsidRPr="001F5B55">
        <w:rPr>
          <w:u w:val="single"/>
        </w:rPr>
        <w:t>Estimate of total annual costs to respondents</w:t>
      </w:r>
      <w:r w:rsidRPr="001F5B55">
        <w:t xml:space="preserve">.  </w:t>
      </w:r>
      <w:r w:rsidRPr="001F5B55">
        <w:rPr>
          <w:b/>
          <w:bCs/>
          <w:i/>
          <w:iCs/>
        </w:rPr>
        <w:t>Provide an estimate of the total annual cost burden to respondents or record</w:t>
      </w:r>
      <w:r w:rsidR="00C52786">
        <w:rPr>
          <w:b/>
          <w:bCs/>
          <w:i/>
          <w:iCs/>
        </w:rPr>
        <w:t xml:space="preserve"> </w:t>
      </w:r>
      <w:r w:rsidRPr="001F5B55">
        <w:rPr>
          <w:b/>
          <w:bCs/>
          <w:i/>
          <w:iCs/>
        </w:rPr>
        <w:t>keepers resulting from the collection of information</w:t>
      </w:r>
      <w:r w:rsidRPr="001F5B55">
        <w:rPr>
          <w:bCs/>
          <w:iCs/>
        </w:rPr>
        <w:t xml:space="preserve">. </w:t>
      </w:r>
    </w:p>
    <w:p w:rsidR="00232965" w:rsidRPr="001F5B55" w:rsidP="00232965" w14:paraId="1D2F11D7" w14:textId="77777777">
      <w:r w:rsidRPr="001F5B55">
        <w:t xml:space="preserve"> </w:t>
      </w:r>
    </w:p>
    <w:p w:rsidR="00232965" w:rsidP="00232965" w14:paraId="31CC19C8" w14:textId="0C120D60">
      <w:r w:rsidRPr="001F5B55">
        <w:t xml:space="preserve">The Department estimates that the total annual cost burden to respondents resulting from the first requirement will be </w:t>
      </w:r>
      <w:r w:rsidR="002E7EF3">
        <w:t>negligible, as</w:t>
      </w:r>
      <w:r w:rsidR="0041686D">
        <w:t xml:space="preserve"> the vast majority of</w:t>
      </w:r>
      <w:r w:rsidR="002E7EF3">
        <w:t xml:space="preserve"> consu</w:t>
      </w:r>
      <w:r w:rsidR="006E1AA1">
        <w:t xml:space="preserve">mers </w:t>
      </w:r>
      <w:r w:rsidR="001835B3">
        <w:t>submit information</w:t>
      </w:r>
      <w:r w:rsidR="006E1AA1">
        <w:t xml:space="preserve"> via the</w:t>
      </w:r>
      <w:r w:rsidR="00327B35">
        <w:t xml:space="preserve"> </w:t>
      </w:r>
      <w:r w:rsidR="00F949F8">
        <w:t>electronic</w:t>
      </w:r>
      <w:r w:rsidR="00327B35">
        <w:t xml:space="preserve"> f</w:t>
      </w:r>
      <w:r w:rsidR="006E1AA1">
        <w:t>o</w:t>
      </w:r>
      <w:r w:rsidR="00327B35">
        <w:t>r</w:t>
      </w:r>
      <w:r w:rsidR="006E1AA1">
        <w:t>m</w:t>
      </w:r>
      <w:r w:rsidR="00287240">
        <w:t xml:space="preserve"> </w:t>
      </w:r>
      <w:r w:rsidR="00DC34A4">
        <w:t xml:space="preserve">and they </w:t>
      </w:r>
      <w:r w:rsidR="00287240">
        <w:t>will already</w:t>
      </w:r>
      <w:r w:rsidR="002E7EF3">
        <w:t xml:space="preserve"> have acc</w:t>
      </w:r>
      <w:r w:rsidR="00C56A5C">
        <w:t>ess to a computer and a web provider</w:t>
      </w:r>
      <w:r w:rsidR="006E1AA1">
        <w:t xml:space="preserve"> by which to submit their complaint or other information</w:t>
      </w:r>
      <w:r w:rsidR="002E7EF3">
        <w:t>.</w:t>
      </w:r>
      <w:r w:rsidR="00C56A5C">
        <w:t xml:space="preserve"> </w:t>
      </w:r>
    </w:p>
    <w:p w:rsidR="005C2B04" w:rsidP="00232965" w14:paraId="2938F576" w14:textId="77777777"/>
    <w:p w:rsidR="005C2B04" w:rsidRPr="001F5B55" w:rsidP="00232965" w14:paraId="39ED6FE3" w14:textId="66AE2F6B">
      <w:r>
        <w:t>The Department estimates the total annual cost burden to respondents for the second and third requirement</w:t>
      </w:r>
      <w:r w:rsidR="00E175F2">
        <w:t>s</w:t>
      </w:r>
      <w:r>
        <w:t xml:space="preserve"> will be </w:t>
      </w:r>
      <w:r w:rsidR="00756D4F">
        <w:t>$43</w:t>
      </w:r>
      <w:r w:rsidR="00C237FC">
        <w:t>1,321</w:t>
      </w:r>
      <w:r>
        <w:t>.</w:t>
      </w:r>
      <w:r>
        <w:rPr>
          <w:rStyle w:val="FootnoteReference"/>
        </w:rPr>
        <w:footnoteReference w:id="9"/>
      </w:r>
      <w:r>
        <w:t xml:space="preserve"> </w:t>
      </w:r>
      <w:r w:rsidR="00257A53">
        <w:rPr>
          <w:bCs/>
          <w:iCs/>
        </w:rPr>
        <w:t xml:space="preserve">The estimate is calculated by multiplying the number of hours </w:t>
      </w:r>
      <w:r w:rsidR="002E2882">
        <w:rPr>
          <w:bCs/>
          <w:iCs/>
        </w:rPr>
        <w:t xml:space="preserve">to </w:t>
      </w:r>
      <w:r w:rsidR="003618C7">
        <w:rPr>
          <w:bCs/>
          <w:iCs/>
        </w:rPr>
        <w:t xml:space="preserve">create/manage accounts </w:t>
      </w:r>
      <w:r w:rsidR="009D0A01">
        <w:rPr>
          <w:bCs/>
          <w:iCs/>
        </w:rPr>
        <w:t xml:space="preserve">and to upload documents </w:t>
      </w:r>
      <w:r w:rsidR="00014461">
        <w:rPr>
          <w:bCs/>
          <w:iCs/>
        </w:rPr>
        <w:t>[</w:t>
      </w:r>
      <w:r w:rsidR="003618C7">
        <w:rPr>
          <w:bCs/>
          <w:iCs/>
        </w:rPr>
        <w:t>66</w:t>
      </w:r>
      <w:r w:rsidR="005D4A80">
        <w:rPr>
          <w:bCs/>
          <w:iCs/>
        </w:rPr>
        <w:t>7</w:t>
      </w:r>
      <w:r w:rsidR="007E46D5">
        <w:rPr>
          <w:bCs/>
          <w:iCs/>
        </w:rPr>
        <w:t xml:space="preserve"> + 10,6</w:t>
      </w:r>
      <w:r w:rsidR="00640806">
        <w:rPr>
          <w:bCs/>
          <w:iCs/>
        </w:rPr>
        <w:t>33</w:t>
      </w:r>
      <w:r w:rsidR="007E46D5">
        <w:rPr>
          <w:bCs/>
          <w:iCs/>
        </w:rPr>
        <w:t xml:space="preserve"> = </w:t>
      </w:r>
      <w:r w:rsidR="007C2319">
        <w:rPr>
          <w:bCs/>
          <w:iCs/>
        </w:rPr>
        <w:t>11,</w:t>
      </w:r>
      <w:r w:rsidR="00C237FC">
        <w:rPr>
          <w:bCs/>
          <w:iCs/>
        </w:rPr>
        <w:t>300</w:t>
      </w:r>
      <w:r w:rsidR="00014461">
        <w:rPr>
          <w:bCs/>
          <w:iCs/>
        </w:rPr>
        <w:t>]</w:t>
      </w:r>
      <w:r w:rsidR="003618C7">
        <w:rPr>
          <w:bCs/>
          <w:iCs/>
        </w:rPr>
        <w:t xml:space="preserve"> </w:t>
      </w:r>
      <w:r w:rsidR="00257A53">
        <w:rPr>
          <w:bCs/>
          <w:iCs/>
        </w:rPr>
        <w:t xml:space="preserve">by the cost of an hour of time for a </w:t>
      </w:r>
      <w:r w:rsidR="001A31DA">
        <w:rPr>
          <w:bCs/>
          <w:iCs/>
        </w:rPr>
        <w:t>senior level customer service represen</w:t>
      </w:r>
      <w:r w:rsidR="0018050D">
        <w:rPr>
          <w:bCs/>
          <w:iCs/>
        </w:rPr>
        <w:t>ta</w:t>
      </w:r>
      <w:r w:rsidR="001A31DA">
        <w:rPr>
          <w:bCs/>
          <w:iCs/>
        </w:rPr>
        <w:t>t</w:t>
      </w:r>
      <w:r w:rsidR="00AF3A3E">
        <w:rPr>
          <w:bCs/>
          <w:iCs/>
        </w:rPr>
        <w:t>ive</w:t>
      </w:r>
      <w:r w:rsidR="00257A53">
        <w:rPr>
          <w:bCs/>
          <w:iCs/>
        </w:rPr>
        <w:t xml:space="preserve"> (wage including benefits and oversight) at $</w:t>
      </w:r>
      <w:r w:rsidR="003D76E9">
        <w:rPr>
          <w:bCs/>
          <w:iCs/>
        </w:rPr>
        <w:t>38.17</w:t>
      </w:r>
      <w:r w:rsidR="00257A53">
        <w:rPr>
          <w:bCs/>
          <w:iCs/>
        </w:rPr>
        <w:t xml:space="preserve"> per hour</w:t>
      </w:r>
      <w:r w:rsidR="009256BA">
        <w:rPr>
          <w:bCs/>
          <w:iCs/>
        </w:rPr>
        <w:t>.</w:t>
      </w:r>
      <w:r>
        <w:rPr>
          <w:rStyle w:val="FootnoteReference"/>
        </w:rPr>
        <w:footnoteReference w:id="10"/>
      </w:r>
    </w:p>
    <w:p w:rsidR="00232965" w:rsidRPr="001F5B55" w:rsidP="00232965" w14:paraId="7E05DBBA" w14:textId="77777777"/>
    <w:p w:rsidR="00232965" w:rsidRPr="001F5B55" w:rsidP="00232965" w14:paraId="41CB791D" w14:textId="77777777">
      <w:r w:rsidRPr="001F5B55">
        <w:t xml:space="preserve">14. </w:t>
      </w:r>
      <w:r w:rsidRPr="001F5B55">
        <w:rPr>
          <w:u w:val="single"/>
        </w:rPr>
        <w:t>Estimate of cost to the Federal government</w:t>
      </w:r>
      <w:r w:rsidRPr="001F5B55">
        <w:t xml:space="preserve">.  </w:t>
      </w:r>
      <w:r w:rsidRPr="001F5B55">
        <w:rPr>
          <w:b/>
          <w:bCs/>
          <w:i/>
          <w:iCs/>
        </w:rPr>
        <w:t>Provide estimates of annualized cost to the Federal Government</w:t>
      </w:r>
      <w:r w:rsidRPr="001F5B55">
        <w:t>.</w:t>
      </w:r>
    </w:p>
    <w:p w:rsidR="00232965" w:rsidP="00232965" w14:paraId="35F221D5" w14:textId="77777777"/>
    <w:p w:rsidR="00C314AA" w:rsidP="00E85903" w14:paraId="2508A91E" w14:textId="2399C44A">
      <w:r>
        <w:t>The annual c</w:t>
      </w:r>
      <w:r>
        <w:t>osts to the Department</w:t>
      </w:r>
      <w:r w:rsidR="00EC7434">
        <w:t xml:space="preserve"> for</w:t>
      </w:r>
      <w:r>
        <w:t xml:space="preserve"> </w:t>
      </w:r>
      <w:r w:rsidR="001406A5">
        <w:t xml:space="preserve">processing </w:t>
      </w:r>
      <w:r w:rsidR="00662C29">
        <w:t>consumer complaints</w:t>
      </w:r>
      <w:r w:rsidR="00E92953">
        <w:t>/submissions</w:t>
      </w:r>
      <w:r w:rsidR="00EC7434">
        <w:t xml:space="preserve"> is minimal, as these tasks</w:t>
      </w:r>
      <w:r>
        <w:t xml:space="preserve"> are w</w:t>
      </w:r>
      <w:r w:rsidR="006421F2">
        <w:t>ithin the scope of duties of the</w:t>
      </w:r>
      <w:r>
        <w:t xml:space="preserve"> office’s personnel</w:t>
      </w:r>
      <w:r w:rsidR="00E92953">
        <w:t xml:space="preserve"> and the majority of submissions </w:t>
      </w:r>
      <w:r w:rsidR="00627551">
        <w:t>are uploaded directly into the</w:t>
      </w:r>
      <w:r>
        <w:t xml:space="preserve"> office’s electronic database for processing.</w:t>
      </w:r>
    </w:p>
    <w:p w:rsidR="00C314AA" w:rsidP="00E85903" w14:paraId="584CBB57" w14:textId="77777777"/>
    <w:p w:rsidR="00E85903" w:rsidRPr="00587CF6" w:rsidP="00E85903" w14:paraId="12BBD179" w14:textId="66F5FA90">
      <w:r>
        <w:t>The modernized IT system</w:t>
      </w:r>
      <w:r w:rsidR="00C30B85">
        <w:t xml:space="preserve"> is </w:t>
      </w:r>
      <w:r w:rsidR="00814B31">
        <w:t xml:space="preserve">currently being developed and is anticipated to be ready for use in July 2024. OACP anticipates there will be continued development after launch based on user </w:t>
      </w:r>
      <w:r w:rsidR="00814B31">
        <w:t>feedback.  In addition, the Department will incur annual costs for operations and maintenance.</w:t>
      </w:r>
      <w:r w:rsidR="001E09DB">
        <w:t xml:space="preserve"> </w:t>
      </w:r>
      <w:r w:rsidR="00814B31">
        <w:t xml:space="preserve">The Department estimates </w:t>
      </w:r>
      <w:r w:rsidR="00B678DF">
        <w:t xml:space="preserve">annual </w:t>
      </w:r>
      <w:r w:rsidR="00900B8A">
        <w:t>operation and maintenance costs</w:t>
      </w:r>
      <w:r w:rsidR="003013A9">
        <w:t xml:space="preserve"> of </w:t>
      </w:r>
      <w:r w:rsidR="00814B31">
        <w:t xml:space="preserve">approximately </w:t>
      </w:r>
      <w:r w:rsidR="00E92953">
        <w:t>$</w:t>
      </w:r>
      <w:r w:rsidR="003013A9">
        <w:t>2</w:t>
      </w:r>
      <w:r w:rsidR="00AB0366">
        <w:t>17</w:t>
      </w:r>
      <w:r w:rsidR="00814B31">
        <w:t>,000</w:t>
      </w:r>
      <w:r w:rsidR="00A60CBA">
        <w:t xml:space="preserve"> </w:t>
      </w:r>
      <w:r w:rsidR="005E1C07">
        <w:t xml:space="preserve">and </w:t>
      </w:r>
      <w:r w:rsidR="003B60B6">
        <w:t>annual</w:t>
      </w:r>
      <w:r w:rsidR="00EA3230">
        <w:t xml:space="preserve"> software license</w:t>
      </w:r>
      <w:r w:rsidR="00247ACB">
        <w:t xml:space="preserve"> costs of</w:t>
      </w:r>
      <w:r w:rsidR="003E3F70">
        <w:t xml:space="preserve"> approximately</w:t>
      </w:r>
      <w:r w:rsidR="00247ACB">
        <w:t xml:space="preserve"> </w:t>
      </w:r>
      <w:r w:rsidR="00ED3211">
        <w:t>$</w:t>
      </w:r>
      <w:r w:rsidR="003E3F70">
        <w:t>500</w:t>
      </w:r>
      <w:r w:rsidR="00ED3211">
        <w:t>,000</w:t>
      </w:r>
      <w:r w:rsidR="0032582B">
        <w:t>.</w:t>
      </w:r>
      <w:r w:rsidR="003E3F70">
        <w:t xml:space="preserve"> [Total = approx. $717,000 with future increases to adjust for inflation].</w:t>
      </w:r>
      <w:r w:rsidR="00900B8A">
        <w:t xml:space="preserve"> </w:t>
      </w:r>
      <w:r w:rsidR="005E1C07">
        <w:t>Additional new development will be funded by a grant from the Technology Modernization Fund (TMF) that the Department received for this project. Additional development costs will vary by year.</w:t>
      </w:r>
      <w:r>
        <w:rPr>
          <w:rStyle w:val="FootnoteReference"/>
        </w:rPr>
        <w:footnoteReference w:id="11"/>
      </w:r>
    </w:p>
    <w:p w:rsidR="00232965" w:rsidRPr="001F5B55" w:rsidP="00232965" w14:paraId="4A5FD2C4" w14:textId="77777777"/>
    <w:p w:rsidR="00232965" w:rsidRPr="001F5B55" w:rsidP="00232965" w14:paraId="592591CD" w14:textId="77777777">
      <w:r w:rsidRPr="001F5B55">
        <w:t xml:space="preserve">15. </w:t>
      </w:r>
      <w:r w:rsidRPr="001F5B55">
        <w:rPr>
          <w:u w:val="single"/>
        </w:rPr>
        <w:t>Explanation of program changes or adjustments</w:t>
      </w:r>
      <w:r w:rsidRPr="001F5B55">
        <w:t xml:space="preserve">.  </w:t>
      </w:r>
      <w:r w:rsidRPr="001F5B55">
        <w:rPr>
          <w:b/>
          <w:bCs/>
          <w:i/>
          <w:iCs/>
        </w:rPr>
        <w:t>Explain the reasons for any program changes or adjustments reported</w:t>
      </w:r>
      <w:r w:rsidRPr="001F5B55">
        <w:t>.</w:t>
      </w:r>
    </w:p>
    <w:p w:rsidR="00232965" w:rsidRPr="001F5B55" w:rsidP="00232965" w14:paraId="11575532" w14:textId="77777777"/>
    <w:p w:rsidR="00232965" w:rsidP="00232965" w14:paraId="5E6C0BF8" w14:textId="504B2A20">
      <w:r>
        <w:t xml:space="preserve">The consumer complaint form has been modified to capture more information that is relevant to our office. </w:t>
      </w:r>
      <w:r w:rsidR="00256094">
        <w:t>T</w:t>
      </w:r>
      <w:r>
        <w:t>wo new ICRs were added to this OMB control number for industry account log-in/management and uploading responses to consumer complaints</w:t>
      </w:r>
      <w:r w:rsidR="00ED3211">
        <w:t xml:space="preserve"> and other information to the system</w:t>
      </w:r>
      <w:r>
        <w:t>. As such, t</w:t>
      </w:r>
      <w:r w:rsidR="006E1AA1">
        <w:t>here is a</w:t>
      </w:r>
      <w:r>
        <w:t xml:space="preserve"> net</w:t>
      </w:r>
      <w:r w:rsidR="006E1AA1">
        <w:t xml:space="preserve"> increase in</w:t>
      </w:r>
      <w:r w:rsidR="00327B35">
        <w:t xml:space="preserve"> total</w:t>
      </w:r>
      <w:r w:rsidR="006E1AA1">
        <w:t xml:space="preserve"> burden hours</w:t>
      </w:r>
      <w:r w:rsidR="00ED3211">
        <w:t>/costs</w:t>
      </w:r>
      <w:r w:rsidR="004F6702">
        <w:t>.</w:t>
      </w:r>
    </w:p>
    <w:p w:rsidR="00E85903" w:rsidRPr="001F5B55" w:rsidP="00232965" w14:paraId="72141AC2" w14:textId="77777777"/>
    <w:p w:rsidR="00232965" w:rsidRPr="001F5B55" w:rsidP="00232965" w14:paraId="08537360" w14:textId="7A54957E">
      <w:r w:rsidRPr="001F5B55">
        <w:t xml:space="preserve">16. </w:t>
      </w:r>
      <w:r w:rsidRPr="001F5B55">
        <w:rPr>
          <w:u w:val="single"/>
        </w:rPr>
        <w:t>Publication of results of data collection</w:t>
      </w:r>
      <w:r w:rsidRPr="001F5B55">
        <w:t xml:space="preserve">.  </w:t>
      </w:r>
      <w:r w:rsidRPr="001F5B55">
        <w:rPr>
          <w:b/>
          <w:bCs/>
          <w:i/>
          <w:iCs/>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1F5B55">
        <w:t>.</w:t>
      </w:r>
    </w:p>
    <w:p w:rsidR="00232965" w:rsidRPr="001F5B55" w:rsidP="00232965" w14:paraId="047DD6C3" w14:textId="77777777"/>
    <w:p w:rsidR="001617FB" w:rsidP="001617FB" w14:paraId="6AA4A2BF" w14:textId="1A091C98">
      <w:r>
        <w:t xml:space="preserve">The number of complaints </w:t>
      </w:r>
      <w:r w:rsidR="006E1AA1">
        <w:t>submitted by consumers is</w:t>
      </w:r>
      <w:r w:rsidR="00F37611">
        <w:t xml:space="preserve"> entered in</w:t>
      </w:r>
      <w:r w:rsidR="00C52786">
        <w:t>to</w:t>
      </w:r>
      <w:r w:rsidR="004D1754">
        <w:t xml:space="preserve"> the Department’s</w:t>
      </w:r>
      <w:r w:rsidR="00F37611">
        <w:t xml:space="preserve"> computerized aviation ind</w:t>
      </w:r>
      <w:r w:rsidR="006E1AA1">
        <w:t>ustry monitoring system and is</w:t>
      </w:r>
      <w:r w:rsidR="00F37611">
        <w:t xml:space="preserve"> </w:t>
      </w:r>
      <w:r w:rsidR="00C52786">
        <w:t xml:space="preserve">attributed to the airline </w:t>
      </w:r>
      <w:r>
        <w:t xml:space="preserve">or ticket agent that is the subject of the complaint </w:t>
      </w:r>
      <w:r w:rsidR="00F37611">
        <w:t xml:space="preserve">in the monthly Air Travel Consumer Report. This </w:t>
      </w:r>
      <w:r w:rsidR="00F503A2">
        <w:t xml:space="preserve">is a longstanding monthly </w:t>
      </w:r>
      <w:r w:rsidR="00F37611">
        <w:t xml:space="preserve">report </w:t>
      </w:r>
      <w:r w:rsidR="00F503A2">
        <w:t xml:space="preserve">that </w:t>
      </w:r>
      <w:r>
        <w:t xml:space="preserve">includes a variety of aviation-related information collected by the Department, including the </w:t>
      </w:r>
      <w:r w:rsidR="00F503A2">
        <w:t>number of consumer complaints</w:t>
      </w:r>
      <w:r>
        <w:t xml:space="preserve">. The report </w:t>
      </w:r>
      <w:r w:rsidR="00F37611">
        <w:t>is distributed to the industry and made available to the news media and the general public so that consumers and air travel com</w:t>
      </w:r>
      <w:r w:rsidR="006E1AA1">
        <w:t>panies can compare the</w:t>
      </w:r>
      <w:r w:rsidR="00F37611">
        <w:t xml:space="preserve"> records of individual airlines and tour operators.</w:t>
      </w:r>
      <w:r w:rsidR="004D1754">
        <w:t xml:space="preserve">  These reports are available at</w:t>
      </w:r>
      <w:r w:rsidR="00D803B2">
        <w:t xml:space="preserve"> </w:t>
      </w:r>
      <w:r w:rsidRPr="00D803B2" w:rsidR="00D803B2">
        <w:t>https://www.transportation.gov/airconsumer</w:t>
      </w:r>
      <w:hyperlink w:history="1"/>
      <w:r w:rsidR="00F97B0A">
        <w:t xml:space="preserve">.  </w:t>
      </w:r>
    </w:p>
    <w:p w:rsidR="00232965" w:rsidRPr="001F5B55" w:rsidP="00232965" w14:paraId="49046429" w14:textId="77777777"/>
    <w:p w:rsidR="00232965" w:rsidRPr="001F5B55" w:rsidP="00232965" w14:paraId="48834C84" w14:textId="77777777">
      <w:r w:rsidRPr="001F5B55">
        <w:t xml:space="preserve">17. </w:t>
      </w:r>
      <w:r w:rsidRPr="001F5B55">
        <w:rPr>
          <w:u w:val="single"/>
        </w:rPr>
        <w:t>Approval for not displaying the expiration date of OMB approval</w:t>
      </w:r>
      <w:r w:rsidRPr="001F5B55">
        <w:t xml:space="preserve">.  </w:t>
      </w:r>
      <w:r w:rsidRPr="001F5B55">
        <w:rPr>
          <w:b/>
          <w:bCs/>
          <w:i/>
          <w:iCs/>
        </w:rPr>
        <w:t>If seeking approval to not display the expiration date for OMB approval of the information collections, explain the reasons that display would be inappropriate</w:t>
      </w:r>
      <w:r w:rsidRPr="001F5B55">
        <w:t>.</w:t>
      </w:r>
    </w:p>
    <w:p w:rsidR="00232965" w:rsidRPr="001F5B55" w:rsidP="00232965" w14:paraId="701B32B3" w14:textId="77777777"/>
    <w:p w:rsidR="00232965" w:rsidRPr="001F5B55" w:rsidP="00232965" w14:paraId="5E74F98F" w14:textId="77777777">
      <w:pPr>
        <w:outlineLvl w:val="0"/>
      </w:pPr>
      <w:r w:rsidRPr="001F5B55">
        <w:t>Not applicable.</w:t>
      </w:r>
      <w:r w:rsidR="00C52786">
        <w:t xml:space="preserve"> </w:t>
      </w:r>
    </w:p>
    <w:p w:rsidR="00232965" w:rsidRPr="001F5B55" w:rsidP="00232965" w14:paraId="4896B898" w14:textId="77777777"/>
    <w:p w:rsidR="00232965" w:rsidRPr="001F5B55" w:rsidP="00232965" w14:paraId="59346A4C" w14:textId="77777777">
      <w:r w:rsidRPr="001F5B55">
        <w:t xml:space="preserve">18. </w:t>
      </w:r>
      <w:r w:rsidRPr="001F5B55">
        <w:rPr>
          <w:u w:val="single"/>
        </w:rPr>
        <w:t>Exceptions to certification statement</w:t>
      </w:r>
      <w:r w:rsidRPr="001F5B55">
        <w:t xml:space="preserve">.  </w:t>
      </w:r>
      <w:r w:rsidRPr="001F5B55">
        <w:rPr>
          <w:b/>
          <w:bCs/>
          <w:i/>
          <w:iCs/>
        </w:rPr>
        <w:t>Explain each exception to the certification statement “Certification for Paperwork Reduction Act Submissions</w:t>
      </w:r>
      <w:r>
        <w:rPr>
          <w:b/>
          <w:bCs/>
          <w:i/>
          <w:iCs/>
        </w:rPr>
        <w:t>.</w:t>
      </w:r>
      <w:r w:rsidRPr="001F5B55">
        <w:rPr>
          <w:b/>
          <w:bCs/>
          <w:i/>
          <w:iCs/>
        </w:rPr>
        <w:t xml:space="preserve">” </w:t>
      </w:r>
    </w:p>
    <w:p w:rsidR="00232965" w:rsidP="00232965" w14:paraId="4ADEBF99" w14:textId="77777777">
      <w:pPr>
        <w:outlineLvl w:val="0"/>
      </w:pPr>
    </w:p>
    <w:p w:rsidR="00232965" w:rsidRPr="001F5B55" w:rsidP="009B6D80" w14:paraId="046A98F4" w14:textId="435E1062">
      <w:pPr>
        <w:outlineLvl w:val="0"/>
      </w:pPr>
      <w:r w:rsidRPr="001F5B55">
        <w:t>Not applicable.</w:t>
      </w:r>
    </w:p>
    <w:p w:rsidR="00232965" w:rsidRPr="001F5B55" w:rsidP="00232965" w14:paraId="087A7141" w14:textId="77777777"/>
    <w:p w:rsidR="00232965" w:rsidRPr="001F5B55" w:rsidP="00232965" w14:paraId="5C578F52" w14:textId="77777777"/>
    <w:p w:rsidR="00232965" w:rsidRPr="001F5B55" w:rsidP="00232965" w14:paraId="26222C49" w14:textId="77777777"/>
    <w:sectPr w:rsidSect="00E272B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5F" w14:paraId="569CD46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089" w14:paraId="18661198" w14:textId="77777777">
    <w:pPr>
      <w:pStyle w:val="Footer"/>
      <w:jc w:val="center"/>
    </w:pPr>
    <w:r>
      <w:fldChar w:fldCharType="begin"/>
    </w:r>
    <w:r>
      <w:instrText xml:space="preserve"> PAGE   \* MERGEFORMAT </w:instrText>
    </w:r>
    <w:r>
      <w:fldChar w:fldCharType="separate"/>
    </w:r>
    <w:r w:rsidR="00457AC3">
      <w:rPr>
        <w:noProof/>
      </w:rPr>
      <w:t>1</w:t>
    </w:r>
    <w:r>
      <w:fldChar w:fldCharType="end"/>
    </w:r>
  </w:p>
  <w:p w:rsidR="00752089" w14:paraId="1EBDA0C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5F" w14:paraId="714DC7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00FA1" w:rsidP="007D3433" w14:paraId="55CD30AD" w14:textId="77777777">
      <w:r>
        <w:separator/>
      </w:r>
    </w:p>
  </w:footnote>
  <w:footnote w:type="continuationSeparator" w:id="1">
    <w:p w:rsidR="00100FA1" w:rsidP="007D3433" w14:paraId="62E9DE18" w14:textId="77777777">
      <w:r>
        <w:continuationSeparator/>
      </w:r>
    </w:p>
  </w:footnote>
  <w:footnote w:id="2">
    <w:p w:rsidR="00D803B2" w:rsidRPr="00D803B2" w:rsidP="00D803B2" w14:paraId="7B2DBF7E" w14:textId="7D645F0D">
      <w:pPr>
        <w:pStyle w:val="FootnoteText"/>
      </w:pPr>
      <w:r>
        <w:rPr>
          <w:rStyle w:val="FootnoteReference"/>
        </w:rPr>
        <w:footnoteRef/>
      </w:r>
      <w:r>
        <w:t xml:space="preserve"> </w:t>
      </w:r>
      <w:r w:rsidR="003B2476">
        <w:t xml:space="preserve"> As of CY 2020, OACP has received a higher number of online submissions than those submitted in prior CYs. For example, our CY17-19 average was 16,348 complaints submitted per year. In 2020, the total was 100,613 and were mostly related to flight cancellations and refund issues that resulted from the Covid-19 pandemic. In CYs 21 and 22, the number of submissions remain high but are lower than the number of complaints submitted in CY2020.</w:t>
      </w:r>
    </w:p>
    <w:p w:rsidR="00D803B2" w:rsidRPr="00D803B2" w:rsidP="00D803B2" w14:paraId="25184F05" w14:textId="77777777">
      <w:pPr>
        <w:rPr>
          <w:sz w:val="20"/>
          <w:szCs w:val="20"/>
        </w:rPr>
      </w:pPr>
    </w:p>
    <w:p w:rsidR="00155C91" w:rsidP="00155C91" w14:paraId="309C2B3D" w14:textId="77777777">
      <w:pPr>
        <w:pStyle w:val="FootnoteText"/>
      </w:pPr>
    </w:p>
  </w:footnote>
  <w:footnote w:id="3">
    <w:p w:rsidR="00BA09C5" w14:paraId="2F491545" w14:textId="30A90618">
      <w:pPr>
        <w:pStyle w:val="FootnoteText"/>
      </w:pPr>
      <w:r>
        <w:rPr>
          <w:rStyle w:val="FootnoteReference"/>
        </w:rPr>
        <w:footnoteRef/>
      </w:r>
      <w:r>
        <w:t xml:space="preserve"> </w:t>
      </w:r>
      <w:r w:rsidR="00B7472F">
        <w:t>The current link to the form is located</w:t>
      </w:r>
      <w:r w:rsidRPr="00235524" w:rsidR="00B7472F">
        <w:rPr>
          <w:rFonts w:eastAsia="Calibri"/>
          <w:color w:val="000000"/>
        </w:rPr>
        <w:t xml:space="preserve"> at</w:t>
      </w:r>
      <w:r w:rsidRPr="00235524" w:rsidR="00B7472F">
        <w:rPr>
          <w:rFonts w:eastAsiaTheme="minorHAnsi"/>
        </w:rPr>
        <w:t xml:space="preserve"> </w:t>
      </w:r>
      <w:r w:rsidRPr="00235524" w:rsidR="00B7472F">
        <w:rPr>
          <w:rFonts w:eastAsia="Calibri"/>
          <w:color w:val="000000"/>
        </w:rPr>
        <w:t>https://secure.dot.gov/air-travel-complaint.</w:t>
      </w:r>
      <w:r w:rsidR="00C955BB">
        <w:rPr>
          <w:rStyle w:val="CommentReference"/>
        </w:rPr>
        <w:t xml:space="preserve"> </w:t>
      </w:r>
      <w:r w:rsidR="00B7472F">
        <w:t xml:space="preserve">  Once ACERS goes live</w:t>
      </w:r>
      <w:r w:rsidR="005D6175">
        <w:t xml:space="preserve">, the new link will be </w:t>
      </w:r>
      <w:r w:rsidRPr="00115DBC" w:rsidR="00115DBC">
        <w:t xml:space="preserve"> </w:t>
      </w:r>
      <w:hyperlink r:id="rId1" w:history="1">
        <w:r w:rsidR="00115DBC">
          <w:rPr>
            <w:rStyle w:val="Hyperlink"/>
          </w:rPr>
          <w:t>https://airconsumer.dot.gov/complaint</w:t>
        </w:r>
      </w:hyperlink>
      <w:r w:rsidR="0000323F">
        <w:t>.</w:t>
      </w:r>
    </w:p>
  </w:footnote>
  <w:footnote w:id="4">
    <w:p w:rsidR="000E01D6" w:rsidP="000E01D6" w14:paraId="16E2B144" w14:textId="77777777">
      <w:pPr>
        <w:pStyle w:val="FootnoteText"/>
      </w:pPr>
      <w:r>
        <w:rPr>
          <w:rStyle w:val="FootnoteReference"/>
        </w:rPr>
        <w:footnoteRef/>
      </w:r>
      <w:r>
        <w:t xml:space="preserve"> The Department has regulations requiring air carriers/air travel industry to submit certain reports (e.g., annual disability reporting) to OACP. The burdens associated with those reports are addressed in separate OMB control numbers.</w:t>
      </w:r>
    </w:p>
  </w:footnote>
  <w:footnote w:id="5">
    <w:p w:rsidR="009E7874" w:rsidP="009E7874" w14:paraId="0A052BA3" w14:textId="77777777">
      <w:pPr>
        <w:pStyle w:val="FootnoteText"/>
      </w:pPr>
      <w:r>
        <w:rPr>
          <w:rStyle w:val="FootnoteReference"/>
        </w:rPr>
        <w:footnoteRef/>
      </w:r>
      <w:r>
        <w:t xml:space="preserve"> Feedback obtained during development of the modernized guided input process suggests that the form will take no longer than 15 minutes for a consumer to complete.</w:t>
      </w:r>
    </w:p>
    <w:p w:rsidR="007C623D" w:rsidP="009E7874" w14:paraId="451798BC" w14:textId="77777777">
      <w:pPr>
        <w:pStyle w:val="FootnoteText"/>
      </w:pPr>
    </w:p>
  </w:footnote>
  <w:footnote w:id="6">
    <w:p w:rsidR="009E7874" w:rsidP="009E7874" w14:paraId="0367CE61" w14:textId="77777777">
      <w:pPr>
        <w:pStyle w:val="FootnoteText"/>
      </w:pPr>
      <w:r>
        <w:rPr>
          <w:rStyle w:val="FootnoteReference"/>
        </w:rPr>
        <w:footnoteRef/>
      </w:r>
      <w:r>
        <w:t xml:space="preserve"> An air consumer submitting these types of filing generally provide less information, so we estimate 5 minutes is sufficient.</w:t>
      </w:r>
    </w:p>
  </w:footnote>
  <w:footnote w:id="7">
    <w:p w:rsidR="00ED3191" w:rsidP="00ED3191" w14:paraId="7C6BB205" w14:textId="0600E929">
      <w:pPr>
        <w:pStyle w:val="FootnoteText"/>
        <w:rPr>
          <w:sz w:val="19"/>
          <w:szCs w:val="19"/>
        </w:rPr>
      </w:pPr>
      <w:r>
        <w:rPr>
          <w:rStyle w:val="FootnoteReference"/>
        </w:rPr>
        <w:footnoteRef/>
      </w:r>
      <w:r>
        <w:t xml:space="preserve"> </w:t>
      </w:r>
      <w:r>
        <w:rPr>
          <w:sz w:val="19"/>
          <w:szCs w:val="19"/>
        </w:rPr>
        <w:t>Based on FAA CY22 information, there are 31 large, 33 medium, 73 small, and 254 non-hub covered airports. See, https://www.faa.gov/sites/faa.gov/files/2023-09/cy22-commercial-service-enplanements.pdf.</w:t>
      </w:r>
    </w:p>
    <w:p w:rsidR="00ED3191" w14:paraId="61DBBF38" w14:textId="4A996AD8">
      <w:pPr>
        <w:pStyle w:val="FootnoteText"/>
      </w:pPr>
    </w:p>
  </w:footnote>
  <w:footnote w:id="8">
    <w:p w:rsidR="00596DCA" w:rsidP="00596DCA" w14:paraId="41E79FB9" w14:textId="77777777">
      <w:pPr>
        <w:pStyle w:val="FootnoteText"/>
      </w:pPr>
      <w:r>
        <w:rPr>
          <w:rStyle w:val="FootnoteReference"/>
        </w:rPr>
        <w:footnoteRef/>
      </w:r>
      <w:r>
        <w:t xml:space="preserve"> The Department has an MOU with 18 AGS and another 7 are anticipated to join the MOU. This estimate considers that other government entities (including additional AGS) or users may need to access ACERS before this OMB control number needs renewed.</w:t>
      </w:r>
    </w:p>
    <w:p w:rsidR="00596DCA" w:rsidP="00596DCA" w14:paraId="6DE75F56" w14:textId="77777777">
      <w:pPr>
        <w:pStyle w:val="FootnoteText"/>
      </w:pPr>
    </w:p>
  </w:footnote>
  <w:footnote w:id="9">
    <w:p w:rsidR="008D01A0" w14:paraId="60BC8542" w14:textId="3CE33BD5">
      <w:pPr>
        <w:pStyle w:val="FootnoteText"/>
      </w:pPr>
      <w:r>
        <w:rPr>
          <w:rStyle w:val="FootnoteReference"/>
        </w:rPr>
        <w:footnoteRef/>
      </w:r>
      <w:r>
        <w:t xml:space="preserve"> Note: Th</w:t>
      </w:r>
      <w:r w:rsidR="00BD0523">
        <w:t xml:space="preserve">is SS reflects a very </w:t>
      </w:r>
      <w:r w:rsidRPr="00BD0523">
        <w:t>minor</w:t>
      </w:r>
      <w:r>
        <w:t xml:space="preserve"> adjustment of the burden/costs from the tables submitted in the FR notices. The SS </w:t>
      </w:r>
      <w:r w:rsidR="00CB6F41">
        <w:t>reflect</w:t>
      </w:r>
      <w:r>
        <w:t>s a</w:t>
      </w:r>
      <w:r w:rsidR="00CB6F41">
        <w:t xml:space="preserve"> total</w:t>
      </w:r>
      <w:r>
        <w:t xml:space="preserve"> increase o</w:t>
      </w:r>
      <w:r w:rsidR="005B4857">
        <w:t>f 12.5 hours and $477 in costs.</w:t>
      </w:r>
    </w:p>
    <w:p w:rsidR="00DF52BB" w14:paraId="13D645E3" w14:textId="77777777">
      <w:pPr>
        <w:pStyle w:val="FootnoteText"/>
      </w:pPr>
    </w:p>
  </w:footnote>
  <w:footnote w:id="10">
    <w:p w:rsidR="00CF60E8" w:rsidRPr="00DC79F8" w:rsidP="00CF60E8" w14:paraId="689FB172" w14:textId="19F7F950">
      <w:pPr>
        <w:rPr>
          <w:color w:val="1F497D"/>
          <w:sz w:val="20"/>
          <w:szCs w:val="20"/>
        </w:rPr>
      </w:pPr>
      <w:r>
        <w:rPr>
          <w:rStyle w:val="FootnoteReference"/>
        </w:rPr>
        <w:footnoteRef/>
      </w:r>
      <w:r>
        <w:t xml:space="preserve"> </w:t>
      </w:r>
      <w:r w:rsidRPr="000F6AFB">
        <w:rPr>
          <w:sz w:val="20"/>
          <w:szCs w:val="20"/>
        </w:rPr>
        <w:t>The average wage</w:t>
      </w:r>
      <w:r w:rsidR="009256BA">
        <w:rPr>
          <w:sz w:val="20"/>
          <w:szCs w:val="20"/>
        </w:rPr>
        <w:t xml:space="preserve"> for the top 10% of customer service </w:t>
      </w:r>
      <w:r w:rsidR="00F83131">
        <w:rPr>
          <w:sz w:val="20"/>
          <w:szCs w:val="20"/>
        </w:rPr>
        <w:t>representatives</w:t>
      </w:r>
      <w:r w:rsidRPr="000F6AFB">
        <w:rPr>
          <w:sz w:val="20"/>
          <w:szCs w:val="20"/>
        </w:rPr>
        <w:t xml:space="preserve"> is $</w:t>
      </w:r>
      <w:r>
        <w:rPr>
          <w:sz w:val="20"/>
          <w:szCs w:val="20"/>
        </w:rPr>
        <w:t>29</w:t>
      </w:r>
      <w:r w:rsidR="005263FD">
        <w:rPr>
          <w:sz w:val="20"/>
          <w:szCs w:val="20"/>
        </w:rPr>
        <w:t>.45</w:t>
      </w:r>
      <w:r w:rsidRPr="000F6AFB">
        <w:rPr>
          <w:sz w:val="20"/>
          <w:szCs w:val="20"/>
        </w:rPr>
        <w:t>. See,</w:t>
      </w:r>
      <w:r w:rsidRPr="003209E7">
        <w:t xml:space="preserve"> </w:t>
      </w:r>
      <w:r w:rsidRPr="00DC79F8" w:rsidR="00F83131">
        <w:rPr>
          <w:sz w:val="20"/>
          <w:szCs w:val="20"/>
        </w:rPr>
        <w:t>https://www.bls.gov/ooh/office-and-administrative-support/customer-service-representatives.htm#tab-5</w:t>
      </w:r>
      <w:r w:rsidRPr="00DC79F8" w:rsidR="00881EA9">
        <w:rPr>
          <w:sz w:val="20"/>
          <w:szCs w:val="20"/>
        </w:rPr>
        <w:t>.</w:t>
      </w:r>
    </w:p>
    <w:p w:rsidR="00CF60E8" w:rsidRPr="003209E7" w:rsidP="00CF60E8" w14:paraId="51674000" w14:textId="77777777">
      <w:pPr>
        <w:rPr>
          <w:color w:val="1F497D"/>
          <w:sz w:val="20"/>
          <w:szCs w:val="20"/>
        </w:rPr>
      </w:pPr>
      <w:r w:rsidRPr="003209E7">
        <w:rPr>
          <w:sz w:val="20"/>
          <w:szCs w:val="20"/>
        </w:rPr>
        <w:t xml:space="preserve">We account for benefits by multiplying wage rate by 29.6% </w:t>
      </w:r>
      <w:r>
        <w:rPr>
          <w:sz w:val="20"/>
          <w:szCs w:val="20"/>
        </w:rPr>
        <w:t xml:space="preserve">See, </w:t>
      </w:r>
      <w:hyperlink r:id="rId2" w:history="1">
        <w:r w:rsidRPr="003209E7">
          <w:rPr>
            <w:rStyle w:val="Hyperlink"/>
            <w:sz w:val="20"/>
            <w:szCs w:val="20"/>
          </w:rPr>
          <w:t>https://www.bls.gov/news.release/pdf/ecec.pdf</w:t>
        </w:r>
      </w:hyperlink>
      <w:r w:rsidRPr="003209E7">
        <w:rPr>
          <w:color w:val="1F497D"/>
          <w:sz w:val="20"/>
          <w:szCs w:val="20"/>
        </w:rPr>
        <w:t>.</w:t>
      </w:r>
      <w:r>
        <w:rPr>
          <w:color w:val="1F497D"/>
          <w:sz w:val="20"/>
          <w:szCs w:val="20"/>
        </w:rPr>
        <w:t xml:space="preserve"> </w:t>
      </w:r>
      <w:r w:rsidRPr="003209E7">
        <w:rPr>
          <w:sz w:val="20"/>
          <w:szCs w:val="20"/>
        </w:rPr>
        <w:t>(March 2023 BLS Employer Costs for Employee Compensation ratio of total compensation to wages &amp; salaries)</w:t>
      </w:r>
      <w:r>
        <w:rPr>
          <w:sz w:val="20"/>
          <w:szCs w:val="20"/>
        </w:rPr>
        <w:t>.</w:t>
      </w:r>
    </w:p>
    <w:p w:rsidR="0041694A" w14:paraId="6B340B74" w14:textId="010F14D3">
      <w:pPr>
        <w:pStyle w:val="FootnoteText"/>
      </w:pPr>
    </w:p>
  </w:footnote>
  <w:footnote w:id="11">
    <w:p w:rsidR="00AB0366" w14:paraId="11F34BE2" w14:textId="4FCF216C">
      <w:pPr>
        <w:pStyle w:val="FootnoteText"/>
      </w:pPr>
      <w:r>
        <w:rPr>
          <w:rStyle w:val="FootnoteReference"/>
        </w:rPr>
        <w:footnoteRef/>
      </w:r>
      <w:r>
        <w:t xml:space="preserve"> The first TMF funding was added in March 2024 in the amount of $195,024.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5F" w14:paraId="04473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5F" w14:paraId="07E57B7D" w14:textId="5F86D154">
    <w:pPr>
      <w:pStyle w:val="Header"/>
    </w:pPr>
    <w:r>
      <w:t>SS to S-83/OMB</w:t>
    </w:r>
  </w:p>
  <w:p w:rsidR="00ED2946" w14:paraId="1ED99637" w14:textId="5375B962">
    <w:pPr>
      <w:pStyle w:val="Header"/>
    </w:pPr>
    <w:r>
      <w:t xml:space="preserve">June </w:t>
    </w:r>
    <w:r w:rsidR="004E215F">
      <w:t>20</w:t>
    </w:r>
    <w:r>
      <w:t>, 2024</w:t>
    </w:r>
    <w:r w:rsidR="00580FD5">
      <w:t xml:space="preserve"> (updated 6 </w:t>
    </w:r>
    <w:r w:rsidR="004E215F">
      <w:t>20</w:t>
    </w:r>
    <w:r w:rsidR="00580FD5">
      <w:t xml:space="preserve">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215F" w14:paraId="3D4459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270EE"/>
    <w:multiLevelType w:val="hybridMultilevel"/>
    <w:tmpl w:val="4D820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7C0C50"/>
    <w:multiLevelType w:val="hybridMultilevel"/>
    <w:tmpl w:val="E8C6B4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3F92EBE"/>
    <w:multiLevelType w:val="hybridMultilevel"/>
    <w:tmpl w:val="1ED09558"/>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E9B119E"/>
    <w:multiLevelType w:val="hybridMultilevel"/>
    <w:tmpl w:val="3EC687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FD37C75"/>
    <w:multiLevelType w:val="hybridMultilevel"/>
    <w:tmpl w:val="C7810D0E"/>
    <w:lvl w:ilvl="0">
      <w:start w:val="1"/>
      <w:numFmt w:val="decimal"/>
      <w:suff w:val="noth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950820870">
    <w:abstractNumId w:val="0"/>
  </w:num>
  <w:num w:numId="2" w16cid:durableId="1784111782">
    <w:abstractNumId w:val="4"/>
  </w:num>
  <w:num w:numId="3" w16cid:durableId="1895002064">
    <w:abstractNumId w:val="1"/>
  </w:num>
  <w:num w:numId="4" w16cid:durableId="393237979">
    <w:abstractNumId w:val="3"/>
  </w:num>
  <w:num w:numId="5" w16cid:durableId="2060010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1E5E"/>
    <w:rsid w:val="0000323F"/>
    <w:rsid w:val="00004D90"/>
    <w:rsid w:val="00013BEE"/>
    <w:rsid w:val="00014461"/>
    <w:rsid w:val="00014782"/>
    <w:rsid w:val="00020C22"/>
    <w:rsid w:val="00021C12"/>
    <w:rsid w:val="0002219A"/>
    <w:rsid w:val="000236ED"/>
    <w:rsid w:val="00023C5E"/>
    <w:rsid w:val="0002548C"/>
    <w:rsid w:val="00037FFB"/>
    <w:rsid w:val="00052388"/>
    <w:rsid w:val="00052DF6"/>
    <w:rsid w:val="000601E4"/>
    <w:rsid w:val="0006321F"/>
    <w:rsid w:val="00064DF0"/>
    <w:rsid w:val="00075D03"/>
    <w:rsid w:val="000773ED"/>
    <w:rsid w:val="000A0F40"/>
    <w:rsid w:val="000A5EFA"/>
    <w:rsid w:val="000C6F9C"/>
    <w:rsid w:val="000C7E00"/>
    <w:rsid w:val="000E01D6"/>
    <w:rsid w:val="000E61EB"/>
    <w:rsid w:val="000F6AFB"/>
    <w:rsid w:val="001007E0"/>
    <w:rsid w:val="00100FA1"/>
    <w:rsid w:val="00105385"/>
    <w:rsid w:val="00110480"/>
    <w:rsid w:val="00113671"/>
    <w:rsid w:val="00115DBC"/>
    <w:rsid w:val="00130A24"/>
    <w:rsid w:val="00137568"/>
    <w:rsid w:val="001406A5"/>
    <w:rsid w:val="0014137F"/>
    <w:rsid w:val="0014706C"/>
    <w:rsid w:val="00155C91"/>
    <w:rsid w:val="00160FB6"/>
    <w:rsid w:val="001617FB"/>
    <w:rsid w:val="001645C2"/>
    <w:rsid w:val="00166119"/>
    <w:rsid w:val="0016768A"/>
    <w:rsid w:val="0017397A"/>
    <w:rsid w:val="001762B6"/>
    <w:rsid w:val="0018050D"/>
    <w:rsid w:val="0018334F"/>
    <w:rsid w:val="001835B3"/>
    <w:rsid w:val="0019211D"/>
    <w:rsid w:val="001A31DA"/>
    <w:rsid w:val="001A4D41"/>
    <w:rsid w:val="001A6EEE"/>
    <w:rsid w:val="001A6F62"/>
    <w:rsid w:val="001B617B"/>
    <w:rsid w:val="001C143B"/>
    <w:rsid w:val="001C2129"/>
    <w:rsid w:val="001C2683"/>
    <w:rsid w:val="001C484A"/>
    <w:rsid w:val="001D117D"/>
    <w:rsid w:val="001D21ED"/>
    <w:rsid w:val="001D794E"/>
    <w:rsid w:val="001E0382"/>
    <w:rsid w:val="001E09DB"/>
    <w:rsid w:val="001F07D5"/>
    <w:rsid w:val="001F368C"/>
    <w:rsid w:val="001F5776"/>
    <w:rsid w:val="001F5B55"/>
    <w:rsid w:val="001F5FB3"/>
    <w:rsid w:val="002002C5"/>
    <w:rsid w:val="002034DA"/>
    <w:rsid w:val="002108BE"/>
    <w:rsid w:val="002112FC"/>
    <w:rsid w:val="002122EA"/>
    <w:rsid w:val="00212A1B"/>
    <w:rsid w:val="0022284F"/>
    <w:rsid w:val="00232080"/>
    <w:rsid w:val="00232965"/>
    <w:rsid w:val="00235524"/>
    <w:rsid w:val="00236BB0"/>
    <w:rsid w:val="00241AF1"/>
    <w:rsid w:val="0024300C"/>
    <w:rsid w:val="002469B6"/>
    <w:rsid w:val="00247ACB"/>
    <w:rsid w:val="0025279A"/>
    <w:rsid w:val="00256094"/>
    <w:rsid w:val="00257A53"/>
    <w:rsid w:val="00264E70"/>
    <w:rsid w:val="00266F72"/>
    <w:rsid w:val="0026759C"/>
    <w:rsid w:val="00267929"/>
    <w:rsid w:val="00267B3A"/>
    <w:rsid w:val="0027236C"/>
    <w:rsid w:val="002733C1"/>
    <w:rsid w:val="002756A0"/>
    <w:rsid w:val="002763EB"/>
    <w:rsid w:val="00277C2C"/>
    <w:rsid w:val="00287240"/>
    <w:rsid w:val="00287FCC"/>
    <w:rsid w:val="002A103F"/>
    <w:rsid w:val="002A1859"/>
    <w:rsid w:val="002A3EF5"/>
    <w:rsid w:val="002B044E"/>
    <w:rsid w:val="002C1494"/>
    <w:rsid w:val="002C1B1E"/>
    <w:rsid w:val="002C6E00"/>
    <w:rsid w:val="002D5452"/>
    <w:rsid w:val="002D613F"/>
    <w:rsid w:val="002E2882"/>
    <w:rsid w:val="002E7EF3"/>
    <w:rsid w:val="002F2EB2"/>
    <w:rsid w:val="003013A9"/>
    <w:rsid w:val="003055C0"/>
    <w:rsid w:val="00316AF7"/>
    <w:rsid w:val="00317A68"/>
    <w:rsid w:val="003209E7"/>
    <w:rsid w:val="00320C64"/>
    <w:rsid w:val="003217FD"/>
    <w:rsid w:val="0032582B"/>
    <w:rsid w:val="00327170"/>
    <w:rsid w:val="00327B35"/>
    <w:rsid w:val="00330638"/>
    <w:rsid w:val="00332E3F"/>
    <w:rsid w:val="003372F9"/>
    <w:rsid w:val="003415B2"/>
    <w:rsid w:val="00347285"/>
    <w:rsid w:val="0034773B"/>
    <w:rsid w:val="003618C7"/>
    <w:rsid w:val="003656B7"/>
    <w:rsid w:val="00390DDE"/>
    <w:rsid w:val="00395241"/>
    <w:rsid w:val="003A5358"/>
    <w:rsid w:val="003A6981"/>
    <w:rsid w:val="003B2476"/>
    <w:rsid w:val="003B60B6"/>
    <w:rsid w:val="003B7202"/>
    <w:rsid w:val="003D0810"/>
    <w:rsid w:val="003D3E5C"/>
    <w:rsid w:val="003D4ADB"/>
    <w:rsid w:val="003D517F"/>
    <w:rsid w:val="003D76E9"/>
    <w:rsid w:val="003E3F70"/>
    <w:rsid w:val="00404853"/>
    <w:rsid w:val="00407390"/>
    <w:rsid w:val="0041686D"/>
    <w:rsid w:val="0041694A"/>
    <w:rsid w:val="00423DA9"/>
    <w:rsid w:val="00433FF9"/>
    <w:rsid w:val="00434187"/>
    <w:rsid w:val="00436211"/>
    <w:rsid w:val="0045191A"/>
    <w:rsid w:val="00457AC3"/>
    <w:rsid w:val="00476B29"/>
    <w:rsid w:val="00477565"/>
    <w:rsid w:val="00485B10"/>
    <w:rsid w:val="004863CE"/>
    <w:rsid w:val="00490845"/>
    <w:rsid w:val="00494677"/>
    <w:rsid w:val="00497C88"/>
    <w:rsid w:val="004A0530"/>
    <w:rsid w:val="004A21EB"/>
    <w:rsid w:val="004B2999"/>
    <w:rsid w:val="004B2B89"/>
    <w:rsid w:val="004C068D"/>
    <w:rsid w:val="004C101B"/>
    <w:rsid w:val="004C387E"/>
    <w:rsid w:val="004C4396"/>
    <w:rsid w:val="004D1570"/>
    <w:rsid w:val="004D1754"/>
    <w:rsid w:val="004D26D3"/>
    <w:rsid w:val="004D66D5"/>
    <w:rsid w:val="004E1BFF"/>
    <w:rsid w:val="004E2068"/>
    <w:rsid w:val="004E215F"/>
    <w:rsid w:val="004E7DBC"/>
    <w:rsid w:val="004F608E"/>
    <w:rsid w:val="004F632D"/>
    <w:rsid w:val="004F6702"/>
    <w:rsid w:val="005033C3"/>
    <w:rsid w:val="005066E2"/>
    <w:rsid w:val="00507B9D"/>
    <w:rsid w:val="00510B7E"/>
    <w:rsid w:val="00510E6F"/>
    <w:rsid w:val="00516D20"/>
    <w:rsid w:val="00521E26"/>
    <w:rsid w:val="00522CC6"/>
    <w:rsid w:val="00523225"/>
    <w:rsid w:val="00525968"/>
    <w:rsid w:val="005263FD"/>
    <w:rsid w:val="00531D5D"/>
    <w:rsid w:val="00536FE7"/>
    <w:rsid w:val="005540B5"/>
    <w:rsid w:val="00555FB4"/>
    <w:rsid w:val="0056456A"/>
    <w:rsid w:val="00567EF7"/>
    <w:rsid w:val="00574951"/>
    <w:rsid w:val="00580FA2"/>
    <w:rsid w:val="00580FD5"/>
    <w:rsid w:val="00583401"/>
    <w:rsid w:val="005857A3"/>
    <w:rsid w:val="00587CF6"/>
    <w:rsid w:val="005901CB"/>
    <w:rsid w:val="00590AAF"/>
    <w:rsid w:val="005924E9"/>
    <w:rsid w:val="00596DCA"/>
    <w:rsid w:val="005A08CA"/>
    <w:rsid w:val="005B461F"/>
    <w:rsid w:val="005B4857"/>
    <w:rsid w:val="005B771C"/>
    <w:rsid w:val="005C2B04"/>
    <w:rsid w:val="005C3F97"/>
    <w:rsid w:val="005D3A19"/>
    <w:rsid w:val="005D4A80"/>
    <w:rsid w:val="005D5E09"/>
    <w:rsid w:val="005D6175"/>
    <w:rsid w:val="005D7368"/>
    <w:rsid w:val="005E1C07"/>
    <w:rsid w:val="005F5451"/>
    <w:rsid w:val="005F6423"/>
    <w:rsid w:val="00602D78"/>
    <w:rsid w:val="006143B1"/>
    <w:rsid w:val="00617B86"/>
    <w:rsid w:val="00617DD0"/>
    <w:rsid w:val="00626DC5"/>
    <w:rsid w:val="00627551"/>
    <w:rsid w:val="00630885"/>
    <w:rsid w:val="006335D7"/>
    <w:rsid w:val="00640806"/>
    <w:rsid w:val="00640905"/>
    <w:rsid w:val="006421F2"/>
    <w:rsid w:val="00647E6E"/>
    <w:rsid w:val="00650820"/>
    <w:rsid w:val="00653336"/>
    <w:rsid w:val="00662C29"/>
    <w:rsid w:val="00670E3A"/>
    <w:rsid w:val="00672509"/>
    <w:rsid w:val="00676099"/>
    <w:rsid w:val="006761BC"/>
    <w:rsid w:val="00680800"/>
    <w:rsid w:val="00680988"/>
    <w:rsid w:val="00682AFB"/>
    <w:rsid w:val="0068557B"/>
    <w:rsid w:val="006866BD"/>
    <w:rsid w:val="00691B3C"/>
    <w:rsid w:val="00696AB3"/>
    <w:rsid w:val="006A4F1E"/>
    <w:rsid w:val="006B3558"/>
    <w:rsid w:val="006B6AD2"/>
    <w:rsid w:val="006D4851"/>
    <w:rsid w:val="006E0F2C"/>
    <w:rsid w:val="006E10B2"/>
    <w:rsid w:val="006E1AA1"/>
    <w:rsid w:val="006E2E69"/>
    <w:rsid w:val="006F1EBC"/>
    <w:rsid w:val="00703DA3"/>
    <w:rsid w:val="00703DAD"/>
    <w:rsid w:val="00715777"/>
    <w:rsid w:val="0072606C"/>
    <w:rsid w:val="00731B3A"/>
    <w:rsid w:val="00735F0F"/>
    <w:rsid w:val="00736E05"/>
    <w:rsid w:val="007372C8"/>
    <w:rsid w:val="00742224"/>
    <w:rsid w:val="00743966"/>
    <w:rsid w:val="00744972"/>
    <w:rsid w:val="00752089"/>
    <w:rsid w:val="00756D4F"/>
    <w:rsid w:val="00761377"/>
    <w:rsid w:val="00770DD9"/>
    <w:rsid w:val="00775165"/>
    <w:rsid w:val="00783C08"/>
    <w:rsid w:val="00785048"/>
    <w:rsid w:val="00797F71"/>
    <w:rsid w:val="007A0F23"/>
    <w:rsid w:val="007A22E5"/>
    <w:rsid w:val="007A411B"/>
    <w:rsid w:val="007B4225"/>
    <w:rsid w:val="007C0E1B"/>
    <w:rsid w:val="007C2319"/>
    <w:rsid w:val="007C438D"/>
    <w:rsid w:val="007C623D"/>
    <w:rsid w:val="007C6755"/>
    <w:rsid w:val="007C6BFE"/>
    <w:rsid w:val="007D3433"/>
    <w:rsid w:val="007E00A3"/>
    <w:rsid w:val="007E46D5"/>
    <w:rsid w:val="007F63D3"/>
    <w:rsid w:val="00805CF1"/>
    <w:rsid w:val="0081218A"/>
    <w:rsid w:val="008136CA"/>
    <w:rsid w:val="00814B31"/>
    <w:rsid w:val="00815449"/>
    <w:rsid w:val="00817C56"/>
    <w:rsid w:val="00821ADB"/>
    <w:rsid w:val="00835D35"/>
    <w:rsid w:val="008363BC"/>
    <w:rsid w:val="008414E1"/>
    <w:rsid w:val="008428E4"/>
    <w:rsid w:val="0084796B"/>
    <w:rsid w:val="008546D4"/>
    <w:rsid w:val="00866F9C"/>
    <w:rsid w:val="00875348"/>
    <w:rsid w:val="008816ED"/>
    <w:rsid w:val="00881EA9"/>
    <w:rsid w:val="0088419C"/>
    <w:rsid w:val="00887093"/>
    <w:rsid w:val="00890F21"/>
    <w:rsid w:val="0089201E"/>
    <w:rsid w:val="00895A4C"/>
    <w:rsid w:val="008A0A6B"/>
    <w:rsid w:val="008A5538"/>
    <w:rsid w:val="008A5E9A"/>
    <w:rsid w:val="008A6057"/>
    <w:rsid w:val="008C3838"/>
    <w:rsid w:val="008C467B"/>
    <w:rsid w:val="008C4AAC"/>
    <w:rsid w:val="008D01A0"/>
    <w:rsid w:val="008E6A5B"/>
    <w:rsid w:val="008F741D"/>
    <w:rsid w:val="00900B8A"/>
    <w:rsid w:val="00904BE3"/>
    <w:rsid w:val="009256BA"/>
    <w:rsid w:val="009353F4"/>
    <w:rsid w:val="00937A0F"/>
    <w:rsid w:val="00937E55"/>
    <w:rsid w:val="00941D29"/>
    <w:rsid w:val="00970139"/>
    <w:rsid w:val="00972EBB"/>
    <w:rsid w:val="0097311B"/>
    <w:rsid w:val="00973C8A"/>
    <w:rsid w:val="00975B06"/>
    <w:rsid w:val="00976443"/>
    <w:rsid w:val="00976E80"/>
    <w:rsid w:val="00977EF0"/>
    <w:rsid w:val="0098380B"/>
    <w:rsid w:val="009A1B4B"/>
    <w:rsid w:val="009B2AC2"/>
    <w:rsid w:val="009B6D80"/>
    <w:rsid w:val="009D08F4"/>
    <w:rsid w:val="009D0A01"/>
    <w:rsid w:val="009D54E0"/>
    <w:rsid w:val="009D6B69"/>
    <w:rsid w:val="009D6C32"/>
    <w:rsid w:val="009E4573"/>
    <w:rsid w:val="009E616C"/>
    <w:rsid w:val="009E7874"/>
    <w:rsid w:val="009F385A"/>
    <w:rsid w:val="009F602F"/>
    <w:rsid w:val="00A06256"/>
    <w:rsid w:val="00A10674"/>
    <w:rsid w:val="00A1102E"/>
    <w:rsid w:val="00A1513F"/>
    <w:rsid w:val="00A16106"/>
    <w:rsid w:val="00A17A42"/>
    <w:rsid w:val="00A200ED"/>
    <w:rsid w:val="00A220A1"/>
    <w:rsid w:val="00A22C28"/>
    <w:rsid w:val="00A27C21"/>
    <w:rsid w:val="00A31C21"/>
    <w:rsid w:val="00A325CC"/>
    <w:rsid w:val="00A32873"/>
    <w:rsid w:val="00A3373C"/>
    <w:rsid w:val="00A51AC5"/>
    <w:rsid w:val="00A535AE"/>
    <w:rsid w:val="00A60CBA"/>
    <w:rsid w:val="00A62411"/>
    <w:rsid w:val="00A70F1B"/>
    <w:rsid w:val="00A83097"/>
    <w:rsid w:val="00A956EF"/>
    <w:rsid w:val="00AA01D5"/>
    <w:rsid w:val="00AB0366"/>
    <w:rsid w:val="00AB7B26"/>
    <w:rsid w:val="00AB7FE4"/>
    <w:rsid w:val="00AC3968"/>
    <w:rsid w:val="00AC536C"/>
    <w:rsid w:val="00AC5801"/>
    <w:rsid w:val="00AC7C23"/>
    <w:rsid w:val="00AD17F4"/>
    <w:rsid w:val="00AD1E24"/>
    <w:rsid w:val="00AD334A"/>
    <w:rsid w:val="00AD4CCC"/>
    <w:rsid w:val="00AE433F"/>
    <w:rsid w:val="00AE557F"/>
    <w:rsid w:val="00AF02D8"/>
    <w:rsid w:val="00AF3A3E"/>
    <w:rsid w:val="00AF4D1B"/>
    <w:rsid w:val="00AF6B2D"/>
    <w:rsid w:val="00B01DF0"/>
    <w:rsid w:val="00B0513A"/>
    <w:rsid w:val="00B15D2E"/>
    <w:rsid w:val="00B17797"/>
    <w:rsid w:val="00B202D6"/>
    <w:rsid w:val="00B26A8D"/>
    <w:rsid w:val="00B30418"/>
    <w:rsid w:val="00B45612"/>
    <w:rsid w:val="00B472CE"/>
    <w:rsid w:val="00B473F9"/>
    <w:rsid w:val="00B56997"/>
    <w:rsid w:val="00B678DF"/>
    <w:rsid w:val="00B7174B"/>
    <w:rsid w:val="00B72403"/>
    <w:rsid w:val="00B7472F"/>
    <w:rsid w:val="00B748AA"/>
    <w:rsid w:val="00B83717"/>
    <w:rsid w:val="00B8426A"/>
    <w:rsid w:val="00B87669"/>
    <w:rsid w:val="00B948E8"/>
    <w:rsid w:val="00B94B1B"/>
    <w:rsid w:val="00B95B76"/>
    <w:rsid w:val="00B96BBC"/>
    <w:rsid w:val="00BA09C5"/>
    <w:rsid w:val="00BA4A67"/>
    <w:rsid w:val="00BA5616"/>
    <w:rsid w:val="00BC0D3A"/>
    <w:rsid w:val="00BC7D15"/>
    <w:rsid w:val="00BD0523"/>
    <w:rsid w:val="00BD0B4F"/>
    <w:rsid w:val="00BD1FF4"/>
    <w:rsid w:val="00BD2C70"/>
    <w:rsid w:val="00BE5B4D"/>
    <w:rsid w:val="00BE735F"/>
    <w:rsid w:val="00BE75BF"/>
    <w:rsid w:val="00BF22DD"/>
    <w:rsid w:val="00C0056A"/>
    <w:rsid w:val="00C017AD"/>
    <w:rsid w:val="00C03CFC"/>
    <w:rsid w:val="00C04CC4"/>
    <w:rsid w:val="00C104C0"/>
    <w:rsid w:val="00C1528E"/>
    <w:rsid w:val="00C237FC"/>
    <w:rsid w:val="00C2496E"/>
    <w:rsid w:val="00C25BA2"/>
    <w:rsid w:val="00C30B85"/>
    <w:rsid w:val="00C314AA"/>
    <w:rsid w:val="00C41757"/>
    <w:rsid w:val="00C420B8"/>
    <w:rsid w:val="00C51913"/>
    <w:rsid w:val="00C52786"/>
    <w:rsid w:val="00C56A5C"/>
    <w:rsid w:val="00C6179A"/>
    <w:rsid w:val="00C63740"/>
    <w:rsid w:val="00C70321"/>
    <w:rsid w:val="00C718B4"/>
    <w:rsid w:val="00C728DE"/>
    <w:rsid w:val="00C76550"/>
    <w:rsid w:val="00C81150"/>
    <w:rsid w:val="00C820BB"/>
    <w:rsid w:val="00C858C1"/>
    <w:rsid w:val="00C93488"/>
    <w:rsid w:val="00C955BB"/>
    <w:rsid w:val="00C96E1A"/>
    <w:rsid w:val="00CA7B67"/>
    <w:rsid w:val="00CB2268"/>
    <w:rsid w:val="00CB6F41"/>
    <w:rsid w:val="00CB6FD3"/>
    <w:rsid w:val="00CC5287"/>
    <w:rsid w:val="00CC5C21"/>
    <w:rsid w:val="00CD39C8"/>
    <w:rsid w:val="00CD7166"/>
    <w:rsid w:val="00CE5BE9"/>
    <w:rsid w:val="00CF03EB"/>
    <w:rsid w:val="00CF60E8"/>
    <w:rsid w:val="00CF6BE4"/>
    <w:rsid w:val="00D0535B"/>
    <w:rsid w:val="00D074F5"/>
    <w:rsid w:val="00D120EB"/>
    <w:rsid w:val="00D13306"/>
    <w:rsid w:val="00D22A69"/>
    <w:rsid w:val="00D23F25"/>
    <w:rsid w:val="00D266CB"/>
    <w:rsid w:val="00D36534"/>
    <w:rsid w:val="00D3792E"/>
    <w:rsid w:val="00D4231E"/>
    <w:rsid w:val="00D43EE3"/>
    <w:rsid w:val="00D44C13"/>
    <w:rsid w:val="00D4706A"/>
    <w:rsid w:val="00D50B78"/>
    <w:rsid w:val="00D51752"/>
    <w:rsid w:val="00D51EC4"/>
    <w:rsid w:val="00D629CC"/>
    <w:rsid w:val="00D637C1"/>
    <w:rsid w:val="00D66925"/>
    <w:rsid w:val="00D70508"/>
    <w:rsid w:val="00D75375"/>
    <w:rsid w:val="00D803B2"/>
    <w:rsid w:val="00D80E08"/>
    <w:rsid w:val="00D835B0"/>
    <w:rsid w:val="00D9132A"/>
    <w:rsid w:val="00DA6F7D"/>
    <w:rsid w:val="00DB05E8"/>
    <w:rsid w:val="00DB0FD0"/>
    <w:rsid w:val="00DB6146"/>
    <w:rsid w:val="00DC02E4"/>
    <w:rsid w:val="00DC2654"/>
    <w:rsid w:val="00DC34A4"/>
    <w:rsid w:val="00DC6969"/>
    <w:rsid w:val="00DC79F8"/>
    <w:rsid w:val="00DD68D5"/>
    <w:rsid w:val="00DD6C36"/>
    <w:rsid w:val="00DE571F"/>
    <w:rsid w:val="00DF024E"/>
    <w:rsid w:val="00DF4661"/>
    <w:rsid w:val="00DF5012"/>
    <w:rsid w:val="00DF52BB"/>
    <w:rsid w:val="00E01942"/>
    <w:rsid w:val="00E01C07"/>
    <w:rsid w:val="00E02AD5"/>
    <w:rsid w:val="00E0468E"/>
    <w:rsid w:val="00E175F2"/>
    <w:rsid w:val="00E272B4"/>
    <w:rsid w:val="00E37A6A"/>
    <w:rsid w:val="00E4278B"/>
    <w:rsid w:val="00E44C65"/>
    <w:rsid w:val="00E56D8C"/>
    <w:rsid w:val="00E6721F"/>
    <w:rsid w:val="00E71E37"/>
    <w:rsid w:val="00E73003"/>
    <w:rsid w:val="00E73027"/>
    <w:rsid w:val="00E80C57"/>
    <w:rsid w:val="00E80EEF"/>
    <w:rsid w:val="00E82F39"/>
    <w:rsid w:val="00E85903"/>
    <w:rsid w:val="00E922FC"/>
    <w:rsid w:val="00E92953"/>
    <w:rsid w:val="00E950ED"/>
    <w:rsid w:val="00E975B5"/>
    <w:rsid w:val="00EA0AA5"/>
    <w:rsid w:val="00EA3230"/>
    <w:rsid w:val="00EB7EF2"/>
    <w:rsid w:val="00EC7434"/>
    <w:rsid w:val="00ED2946"/>
    <w:rsid w:val="00ED3191"/>
    <w:rsid w:val="00ED3211"/>
    <w:rsid w:val="00EE2476"/>
    <w:rsid w:val="00EE3D1F"/>
    <w:rsid w:val="00EE3EA9"/>
    <w:rsid w:val="00EE4147"/>
    <w:rsid w:val="00EE4FEC"/>
    <w:rsid w:val="00EF0287"/>
    <w:rsid w:val="00F012D8"/>
    <w:rsid w:val="00F160C1"/>
    <w:rsid w:val="00F172A1"/>
    <w:rsid w:val="00F37611"/>
    <w:rsid w:val="00F40502"/>
    <w:rsid w:val="00F4138B"/>
    <w:rsid w:val="00F4359A"/>
    <w:rsid w:val="00F43B2E"/>
    <w:rsid w:val="00F450F8"/>
    <w:rsid w:val="00F503A2"/>
    <w:rsid w:val="00F53D08"/>
    <w:rsid w:val="00F7638A"/>
    <w:rsid w:val="00F801DF"/>
    <w:rsid w:val="00F81F65"/>
    <w:rsid w:val="00F83131"/>
    <w:rsid w:val="00F83757"/>
    <w:rsid w:val="00F83A29"/>
    <w:rsid w:val="00F84801"/>
    <w:rsid w:val="00F8673A"/>
    <w:rsid w:val="00F915D4"/>
    <w:rsid w:val="00F94111"/>
    <w:rsid w:val="00F949F8"/>
    <w:rsid w:val="00F97B0A"/>
    <w:rsid w:val="00FA1F47"/>
    <w:rsid w:val="00FA36F1"/>
    <w:rsid w:val="00FA53B9"/>
    <w:rsid w:val="00FB32C3"/>
    <w:rsid w:val="00FB4FB0"/>
    <w:rsid w:val="00FB7BA4"/>
    <w:rsid w:val="00FC0612"/>
    <w:rsid w:val="00FC5D3B"/>
    <w:rsid w:val="00FD0F72"/>
    <w:rsid w:val="00FD2FA1"/>
    <w:rsid w:val="00FD57C5"/>
    <w:rsid w:val="00FE29FE"/>
    <w:rsid w:val="00FE634B"/>
    <w:rsid w:val="00FF602F"/>
    <w:rsid w:val="00FF7391"/>
    <w:rsid w:val="00FF7F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A24086"/>
  <w15:docId w15:val="{BB77183E-753F-4402-97A4-6EDDC13C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296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2965"/>
    <w:rPr>
      <w:color w:val="0000FF"/>
      <w:u w:val="single"/>
    </w:rPr>
  </w:style>
  <w:style w:type="paragraph" w:customStyle="1" w:styleId="Default">
    <w:name w:val="Default"/>
    <w:rsid w:val="00976E80"/>
    <w:pPr>
      <w:autoSpaceDE w:val="0"/>
      <w:autoSpaceDN w:val="0"/>
      <w:adjustRightInd w:val="0"/>
    </w:pPr>
    <w:rPr>
      <w:rFonts w:ascii="Arial Narrow" w:eastAsia="Times New Roman" w:hAnsi="Arial Narrow" w:cs="Arial Narrow"/>
      <w:color w:val="000000"/>
      <w:sz w:val="24"/>
      <w:szCs w:val="24"/>
    </w:rPr>
  </w:style>
  <w:style w:type="character" w:styleId="FollowedHyperlink">
    <w:name w:val="FollowedHyperlink"/>
    <w:uiPriority w:val="99"/>
    <w:semiHidden/>
    <w:unhideWhenUsed/>
    <w:rsid w:val="00555FB4"/>
    <w:rPr>
      <w:color w:val="800080"/>
      <w:u w:val="single"/>
    </w:rPr>
  </w:style>
  <w:style w:type="paragraph" w:styleId="Header">
    <w:name w:val="header"/>
    <w:basedOn w:val="Normal"/>
    <w:link w:val="HeaderChar"/>
    <w:uiPriority w:val="99"/>
    <w:unhideWhenUsed/>
    <w:rsid w:val="007D3433"/>
    <w:pPr>
      <w:tabs>
        <w:tab w:val="center" w:pos="4680"/>
        <w:tab w:val="right" w:pos="9360"/>
      </w:tabs>
    </w:pPr>
  </w:style>
  <w:style w:type="character" w:customStyle="1" w:styleId="HeaderChar">
    <w:name w:val="Header Char"/>
    <w:link w:val="Header"/>
    <w:uiPriority w:val="99"/>
    <w:rsid w:val="007D3433"/>
    <w:rPr>
      <w:rFonts w:ascii="Times New Roman" w:eastAsia="Times New Roman" w:hAnsi="Times New Roman"/>
      <w:sz w:val="24"/>
      <w:szCs w:val="24"/>
    </w:rPr>
  </w:style>
  <w:style w:type="paragraph" w:styleId="Footer">
    <w:name w:val="footer"/>
    <w:basedOn w:val="Normal"/>
    <w:link w:val="FooterChar"/>
    <w:uiPriority w:val="99"/>
    <w:unhideWhenUsed/>
    <w:rsid w:val="007D3433"/>
    <w:pPr>
      <w:tabs>
        <w:tab w:val="center" w:pos="4680"/>
        <w:tab w:val="right" w:pos="9360"/>
      </w:tabs>
    </w:pPr>
  </w:style>
  <w:style w:type="character" w:customStyle="1" w:styleId="FooterChar">
    <w:name w:val="Footer Char"/>
    <w:link w:val="Footer"/>
    <w:uiPriority w:val="99"/>
    <w:rsid w:val="007D3433"/>
    <w:rPr>
      <w:rFonts w:ascii="Times New Roman" w:eastAsia="Times New Roman" w:hAnsi="Times New Roman"/>
      <w:sz w:val="24"/>
      <w:szCs w:val="24"/>
    </w:rPr>
  </w:style>
  <w:style w:type="character" w:styleId="CommentReference">
    <w:name w:val="annotation reference"/>
    <w:uiPriority w:val="99"/>
    <w:semiHidden/>
    <w:unhideWhenUsed/>
    <w:rsid w:val="00D4231E"/>
    <w:rPr>
      <w:sz w:val="16"/>
      <w:szCs w:val="16"/>
    </w:rPr>
  </w:style>
  <w:style w:type="paragraph" w:styleId="CommentText">
    <w:name w:val="annotation text"/>
    <w:basedOn w:val="Normal"/>
    <w:link w:val="CommentTextChar"/>
    <w:uiPriority w:val="99"/>
    <w:unhideWhenUsed/>
    <w:rsid w:val="00D4231E"/>
    <w:rPr>
      <w:sz w:val="20"/>
      <w:szCs w:val="20"/>
    </w:rPr>
  </w:style>
  <w:style w:type="character" w:customStyle="1" w:styleId="CommentTextChar">
    <w:name w:val="Comment Text Char"/>
    <w:link w:val="CommentText"/>
    <w:uiPriority w:val="99"/>
    <w:rsid w:val="00D423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4231E"/>
    <w:rPr>
      <w:b/>
      <w:bCs/>
    </w:rPr>
  </w:style>
  <w:style w:type="character" w:customStyle="1" w:styleId="CommentSubjectChar">
    <w:name w:val="Comment Subject Char"/>
    <w:link w:val="CommentSubject"/>
    <w:uiPriority w:val="99"/>
    <w:semiHidden/>
    <w:rsid w:val="00D4231E"/>
    <w:rPr>
      <w:rFonts w:ascii="Times New Roman" w:eastAsia="Times New Roman" w:hAnsi="Times New Roman"/>
      <w:b/>
      <w:bCs/>
    </w:rPr>
  </w:style>
  <w:style w:type="paragraph" w:styleId="BalloonText">
    <w:name w:val="Balloon Text"/>
    <w:basedOn w:val="Normal"/>
    <w:link w:val="BalloonTextChar"/>
    <w:uiPriority w:val="99"/>
    <w:semiHidden/>
    <w:unhideWhenUsed/>
    <w:rsid w:val="00D4231E"/>
    <w:rPr>
      <w:rFonts w:ascii="Tahoma" w:hAnsi="Tahoma" w:cs="Tahoma"/>
      <w:sz w:val="16"/>
      <w:szCs w:val="16"/>
    </w:rPr>
  </w:style>
  <w:style w:type="character" w:customStyle="1" w:styleId="BalloonTextChar">
    <w:name w:val="Balloon Text Char"/>
    <w:link w:val="BalloonText"/>
    <w:uiPriority w:val="99"/>
    <w:semiHidden/>
    <w:rsid w:val="00D4231E"/>
    <w:rPr>
      <w:rFonts w:ascii="Tahoma" w:eastAsia="Times New Roman" w:hAnsi="Tahoma" w:cs="Tahoma"/>
      <w:sz w:val="16"/>
      <w:szCs w:val="16"/>
    </w:rPr>
  </w:style>
  <w:style w:type="character" w:styleId="Mention">
    <w:name w:val="Mention"/>
    <w:uiPriority w:val="99"/>
    <w:semiHidden/>
    <w:unhideWhenUsed/>
    <w:rsid w:val="006E1AA1"/>
    <w:rPr>
      <w:color w:val="2B579A"/>
      <w:shd w:val="clear" w:color="auto" w:fill="E6E6E6"/>
    </w:rPr>
  </w:style>
  <w:style w:type="paragraph" w:styleId="FootnoteText">
    <w:name w:val="footnote text"/>
    <w:basedOn w:val="Normal"/>
    <w:link w:val="FootnoteTextChar"/>
    <w:uiPriority w:val="99"/>
    <w:unhideWhenUsed/>
    <w:rsid w:val="009E4573"/>
    <w:rPr>
      <w:sz w:val="20"/>
      <w:szCs w:val="20"/>
    </w:rPr>
  </w:style>
  <w:style w:type="character" w:customStyle="1" w:styleId="FootnoteTextChar">
    <w:name w:val="Footnote Text Char"/>
    <w:link w:val="FootnoteText"/>
    <w:uiPriority w:val="99"/>
    <w:rsid w:val="009E4573"/>
    <w:rPr>
      <w:rFonts w:ascii="Times New Roman" w:eastAsia="Times New Roman" w:hAnsi="Times New Roman"/>
    </w:rPr>
  </w:style>
  <w:style w:type="character" w:styleId="FootnoteReference">
    <w:name w:val="footnote reference"/>
    <w:uiPriority w:val="99"/>
    <w:unhideWhenUsed/>
    <w:rsid w:val="009E4573"/>
    <w:rPr>
      <w:vertAlign w:val="superscript"/>
    </w:rPr>
  </w:style>
  <w:style w:type="character" w:styleId="UnresolvedMention">
    <w:name w:val="Unresolved Mention"/>
    <w:uiPriority w:val="99"/>
    <w:semiHidden/>
    <w:unhideWhenUsed/>
    <w:rsid w:val="00D803B2"/>
    <w:rPr>
      <w:color w:val="605E5C"/>
      <w:shd w:val="clear" w:color="auto" w:fill="E1DFDD"/>
    </w:rPr>
  </w:style>
  <w:style w:type="paragraph" w:styleId="Revision">
    <w:name w:val="Revision"/>
    <w:hidden/>
    <w:uiPriority w:val="99"/>
    <w:semiHidden/>
    <w:rsid w:val="003B2476"/>
    <w:rPr>
      <w:rFonts w:ascii="Times New Roman" w:eastAsia="Times New Roman" w:hAnsi="Times New Roman"/>
      <w:sz w:val="24"/>
      <w:szCs w:val="24"/>
    </w:rPr>
  </w:style>
  <w:style w:type="paragraph" w:styleId="ListParagraph">
    <w:name w:val="List Paragraph"/>
    <w:basedOn w:val="Normal"/>
    <w:uiPriority w:val="34"/>
    <w:qFormat/>
    <w:rsid w:val="009E7874"/>
    <w:pPr>
      <w:ind w:left="720"/>
      <w:contextualSpacing/>
    </w:pPr>
  </w:style>
  <w:style w:type="table" w:styleId="TableGrid">
    <w:name w:val="Table Grid"/>
    <w:basedOn w:val="TableNormal"/>
    <w:rsid w:val="00596D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2.safelinks.protection.outlook.com/?url=https%3A%2F%2Fwww.transportation.gov%2Findividuals%2Fprivacy%2Faviation-complaint-enforcement-and-reporting-system-acers&amp;data=05%7C01%7CDaeleen.Chesley%40dot.gov%7C9e432e1f7a73448ff53108dbf5c8fcb3%7Cc4cd245b44f04395a1aa3848d258f78b%7C0%7C0%7C638374015820231632%7CUnknown%7CTWFpbGZsb3d8eyJWIjoiMC4wLjAwMDAiLCJQIjoiV2luMzIiLCJBTiI6Ik1haWwiLCJXVCI6Mn0%3D%7C3000%7C%7C%7C&amp;sdata=R%2FV2c%2BxXVny%2FRzYO2FNMuCRNfwlQ1B2C0OxchDz2oAw%3D&amp;reserved=0"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airconsumer.dot.gov/complaint"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A08C-D402-4D14-83D7-9462BCF00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DaeleenC</dc:creator>
  <cp:lastModifiedBy>Webb, Kimberly (OST)</cp:lastModifiedBy>
  <cp:revision>2</cp:revision>
  <cp:lastPrinted>2018-01-16T22:30:00Z</cp:lastPrinted>
  <dcterms:created xsi:type="dcterms:W3CDTF">2024-07-01T11:38:00Z</dcterms:created>
  <dcterms:modified xsi:type="dcterms:W3CDTF">2024-07-01T11:38:00Z</dcterms:modified>
</cp:coreProperties>
</file>