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0E3" w14:paraId="0D5140B8" w14:textId="77777777">
      <w:pPr>
        <w:suppressAutoHyphens/>
        <w:rPr>
          <w:rFonts w:ascii="Palatino" w:hAnsi="Palatino"/>
          <w:b/>
        </w:rPr>
      </w:pPr>
    </w:p>
    <w:p w:rsidR="000F20E0" w14:paraId="448536E7" w14:textId="77777777">
      <w:pPr>
        <w:suppressAutoHyphens/>
        <w:rPr>
          <w:rFonts w:ascii="Palatino" w:hAnsi="Palatino"/>
          <w:b/>
        </w:rPr>
      </w:pPr>
    </w:p>
    <w:p w:rsidR="005330E3" w14:paraId="012C9768" w14:textId="77777777">
      <w:pPr>
        <w:suppressAutoHyphens/>
        <w:jc w:val="center"/>
        <w:rPr>
          <w:rFonts w:ascii="Palatino" w:hAnsi="Palatino"/>
          <w:b/>
        </w:rPr>
      </w:pPr>
    </w:p>
    <w:p w:rsidR="005330E3" w14:paraId="26B92BFA" w14:textId="77777777">
      <w:pPr>
        <w:pStyle w:val="BodyText"/>
        <w:ind w:right="-720"/>
        <w:rPr>
          <w:rFonts w:ascii="Times New Roman" w:hAnsi="Times New Roman"/>
          <w:sz w:val="28"/>
        </w:rPr>
      </w:pPr>
      <w:r>
        <w:rPr>
          <w:rFonts w:ascii="Times New Roman" w:hAnsi="Times New Roman"/>
          <w:sz w:val="28"/>
        </w:rPr>
        <w:t>COMMERCIAL SPACE TRANSPORTATION REUSABLE LAUNCH VEHICLE MISSION LICENSING REGULATIONS</w:t>
      </w:r>
    </w:p>
    <w:p w:rsidR="005330E3" w:rsidRPr="00A6490D" w:rsidP="005330E3" w14:paraId="28D8DC55" w14:textId="77777777">
      <w:pPr>
        <w:pStyle w:val="BodyText"/>
        <w:rPr>
          <w:rFonts w:ascii="Times New Roman" w:hAnsi="Times New Roman"/>
          <w:bCs/>
          <w:sz w:val="24"/>
        </w:rPr>
      </w:pPr>
      <w:r w:rsidRPr="00A6490D">
        <w:rPr>
          <w:rFonts w:ascii="Times New Roman" w:hAnsi="Times New Roman"/>
          <w:bCs/>
          <w:sz w:val="24"/>
        </w:rPr>
        <w:t xml:space="preserve">14 CFR Part </w:t>
      </w:r>
      <w:r>
        <w:rPr>
          <w:rFonts w:ascii="Times New Roman" w:hAnsi="Times New Roman"/>
          <w:bCs/>
          <w:sz w:val="24"/>
        </w:rPr>
        <w:t>431</w:t>
      </w:r>
    </w:p>
    <w:p w:rsidR="005330E3" w:rsidP="005330E3" w14:paraId="228964F0" w14:textId="77777777">
      <w:pPr>
        <w:pStyle w:val="BodyText"/>
        <w:rPr>
          <w:rFonts w:ascii="Times New Roman" w:hAnsi="Times New Roman"/>
          <w:sz w:val="24"/>
        </w:rPr>
      </w:pPr>
      <w:r w:rsidRPr="00A6490D">
        <w:rPr>
          <w:rFonts w:ascii="Times New Roman" w:hAnsi="Times New Roman"/>
          <w:bCs/>
          <w:sz w:val="24"/>
        </w:rPr>
        <w:t xml:space="preserve">Effective </w:t>
      </w:r>
      <w:r>
        <w:rPr>
          <w:rFonts w:ascii="Times New Roman" w:hAnsi="Times New Roman"/>
          <w:sz w:val="24"/>
        </w:rPr>
        <w:t>November 2000</w:t>
      </w:r>
    </w:p>
    <w:p w:rsidR="005330E3" w:rsidP="005330E3" w14:paraId="0BF201ED" w14:textId="77777777">
      <w:pPr>
        <w:pStyle w:val="BodyText"/>
        <w:rPr>
          <w:rFonts w:ascii="Times New Roman" w:hAnsi="Times New Roman"/>
          <w:bCs/>
          <w:sz w:val="24"/>
        </w:rPr>
      </w:pPr>
      <w:r>
        <w:rPr>
          <w:rFonts w:ascii="Times New Roman" w:hAnsi="Times New Roman"/>
          <w:bCs/>
          <w:sz w:val="24"/>
        </w:rPr>
        <w:t>And</w:t>
      </w:r>
    </w:p>
    <w:p w:rsidR="009557B8" w:rsidP="009557B8" w14:paraId="5E409BCD" w14:textId="77777777">
      <w:pPr>
        <w:pStyle w:val="BodyText"/>
        <w:ind w:right="-720"/>
        <w:rPr>
          <w:rFonts w:ascii="Times New Roman" w:hAnsi="Times New Roman"/>
          <w:sz w:val="28"/>
        </w:rPr>
      </w:pPr>
      <w:r>
        <w:rPr>
          <w:rFonts w:ascii="Times New Roman" w:hAnsi="Times New Roman"/>
          <w:sz w:val="28"/>
        </w:rPr>
        <w:t>COMMERCIAL SPACE TRANSPORTATION REENTRY OF A VEHICLE OTHER THAN A REUSABLE LAUNCH VEHICLE LICENSING REGULATIONS</w:t>
      </w:r>
    </w:p>
    <w:p w:rsidR="009557B8" w:rsidRPr="00A6490D" w:rsidP="009557B8" w14:paraId="6FA60097" w14:textId="77777777">
      <w:pPr>
        <w:pStyle w:val="BodyText"/>
        <w:rPr>
          <w:rFonts w:ascii="Times New Roman" w:hAnsi="Times New Roman"/>
          <w:bCs/>
          <w:sz w:val="24"/>
        </w:rPr>
      </w:pPr>
      <w:r w:rsidRPr="00A6490D">
        <w:rPr>
          <w:rFonts w:ascii="Times New Roman" w:hAnsi="Times New Roman"/>
          <w:bCs/>
          <w:sz w:val="24"/>
        </w:rPr>
        <w:t xml:space="preserve">14 CFR Part </w:t>
      </w:r>
      <w:r>
        <w:rPr>
          <w:rFonts w:ascii="Times New Roman" w:hAnsi="Times New Roman"/>
          <w:bCs/>
          <w:sz w:val="24"/>
        </w:rPr>
        <w:t>435</w:t>
      </w:r>
    </w:p>
    <w:p w:rsidR="009557B8" w:rsidP="009557B8" w14:paraId="4E71A5C7" w14:textId="77777777">
      <w:pPr>
        <w:pStyle w:val="BodyText"/>
        <w:rPr>
          <w:rFonts w:ascii="Times New Roman" w:hAnsi="Times New Roman"/>
          <w:sz w:val="24"/>
        </w:rPr>
      </w:pPr>
      <w:r w:rsidRPr="00A6490D">
        <w:rPr>
          <w:rFonts w:ascii="Times New Roman" w:hAnsi="Times New Roman"/>
          <w:bCs/>
          <w:sz w:val="24"/>
        </w:rPr>
        <w:t xml:space="preserve">Effective </w:t>
      </w:r>
      <w:r>
        <w:rPr>
          <w:rFonts w:ascii="Times New Roman" w:hAnsi="Times New Roman"/>
          <w:sz w:val="24"/>
        </w:rPr>
        <w:t>November 2000</w:t>
      </w:r>
    </w:p>
    <w:p w:rsidR="009557B8" w:rsidRPr="00A6490D" w:rsidP="009557B8" w14:paraId="78F1A61F" w14:textId="77777777">
      <w:pPr>
        <w:pStyle w:val="BodyText"/>
        <w:rPr>
          <w:rFonts w:ascii="Times New Roman" w:hAnsi="Times New Roman"/>
          <w:bCs/>
          <w:sz w:val="24"/>
        </w:rPr>
      </w:pPr>
    </w:p>
    <w:p w:rsidR="005330E3" w:rsidRPr="00A6490D" w:rsidP="005330E3" w14:paraId="697EE381" w14:textId="77777777">
      <w:pPr>
        <w:pStyle w:val="BodyText"/>
        <w:rPr>
          <w:rFonts w:ascii="Times New Roman" w:hAnsi="Times New Roman"/>
          <w:bCs/>
          <w:sz w:val="24"/>
        </w:rPr>
      </w:pPr>
      <w:r>
        <w:rPr>
          <w:rFonts w:ascii="Times New Roman" w:hAnsi="Times New Roman"/>
          <w:bCs/>
          <w:sz w:val="24"/>
        </w:rPr>
        <w:t>OMB Control Number 2120-0643</w:t>
      </w:r>
    </w:p>
    <w:p w:rsidR="005330E3" w:rsidRPr="00A6490D" w:rsidP="005330E3" w14:paraId="43EAA999" w14:textId="77777777">
      <w:pPr>
        <w:pStyle w:val="BodyText"/>
        <w:rPr>
          <w:rFonts w:ascii="Times New Roman" w:hAnsi="Times New Roman"/>
          <w:bCs/>
          <w:sz w:val="24"/>
        </w:rPr>
      </w:pPr>
    </w:p>
    <w:p w:rsidR="005330E3" w14:paraId="1C793557" w14:textId="77777777">
      <w:pPr>
        <w:suppressAutoHyphens/>
      </w:pPr>
    </w:p>
    <w:p w:rsidR="005330E3" w14:paraId="71000D84" w14:textId="77777777">
      <w:pPr>
        <w:suppressAutoHyphens/>
        <w:rPr>
          <w:color w:val="000000"/>
        </w:rPr>
      </w:pPr>
      <w:r w:rsidRPr="008144F6">
        <w:rPr>
          <w:color w:val="000000"/>
          <w:sz w:val="24"/>
        </w:rPr>
        <w:t xml:space="preserve">This supporting statement is an update to prior justification statements.  Hence, it presents cost information that replaces prior estimates of the burden to industry and the federal government associated with the collection of information supporting the launch license and renewal application process for commercial </w:t>
      </w:r>
      <w:r>
        <w:rPr>
          <w:color w:val="000000"/>
          <w:sz w:val="24"/>
        </w:rPr>
        <w:t>R</w:t>
      </w:r>
      <w:r w:rsidRPr="008144F6">
        <w:rPr>
          <w:color w:val="000000"/>
          <w:sz w:val="24"/>
        </w:rPr>
        <w:t>LVs</w:t>
      </w:r>
      <w:r w:rsidRPr="008144F6">
        <w:rPr>
          <w:color w:val="000000"/>
        </w:rPr>
        <w:t xml:space="preserve">.  </w:t>
      </w:r>
    </w:p>
    <w:p w:rsidR="00D110DD" w14:paraId="2A1362A9" w14:textId="77777777">
      <w:pPr>
        <w:suppressAutoHyphens/>
        <w:rPr>
          <w:sz w:val="22"/>
        </w:rPr>
      </w:pPr>
    </w:p>
    <w:p w:rsidR="00B276A7" w:rsidP="00B276A7" w14:paraId="347EDC1B" w14:textId="60859AE0">
      <w:pPr>
        <w:numPr>
          <w:ilvl w:val="0"/>
          <w:numId w:val="9"/>
        </w:numPr>
        <w:suppressAutoHyphens/>
        <w:rPr>
          <w:rFonts w:ascii="Arial" w:hAnsi="Arial" w:cs="Arial"/>
          <w:b/>
          <w:sz w:val="26"/>
          <w:szCs w:val="26"/>
        </w:rPr>
      </w:pPr>
      <w:r w:rsidRPr="00D110DD">
        <w:rPr>
          <w:rFonts w:ascii="Arial" w:hAnsi="Arial" w:cs="Arial"/>
          <w:b/>
          <w:sz w:val="26"/>
          <w:szCs w:val="26"/>
        </w:rPr>
        <w:t>Justification</w:t>
      </w:r>
    </w:p>
    <w:p w:rsidR="00FB3432" w:rsidRPr="00B276A7" w:rsidP="00FB3432" w14:paraId="7AAB8F31" w14:textId="77777777">
      <w:pPr>
        <w:suppressAutoHyphens/>
        <w:ind w:left="1080"/>
        <w:rPr>
          <w:rFonts w:ascii="Arial" w:hAnsi="Arial" w:cs="Arial"/>
          <w:b/>
          <w:sz w:val="26"/>
          <w:szCs w:val="26"/>
        </w:rPr>
      </w:pPr>
    </w:p>
    <w:p w:rsidR="00FB3432" w:rsidP="00FB3432" w14:paraId="4D348DD8" w14:textId="77777777">
      <w:pPr>
        <w:pStyle w:val="ListParagraph"/>
        <w:numPr>
          <w:ilvl w:val="0"/>
          <w:numId w:val="10"/>
        </w:numPr>
        <w:tabs>
          <w:tab w:val="left" w:pos="-720"/>
          <w:tab w:val="left" w:pos="0"/>
        </w:tabs>
        <w:suppressAutoHyphens/>
        <w:rPr>
          <w:sz w:val="24"/>
          <w:szCs w:val="24"/>
        </w:rPr>
      </w:pPr>
      <w:r w:rsidRPr="00FB3432">
        <w:rPr>
          <w:rFonts w:ascii="Arial" w:hAnsi="Arial" w:cs="Arial"/>
          <w:b/>
          <w:sz w:val="26"/>
          <w:szCs w:val="26"/>
        </w:rPr>
        <w:t>Explain the circumstances that make collection of information necessary.  Identify any legal or administrative requirements that necessitate the collection.</w:t>
      </w:r>
      <w:r w:rsidRPr="00FB3432" w:rsidR="005330E3">
        <w:rPr>
          <w:sz w:val="24"/>
          <w:szCs w:val="24"/>
        </w:rPr>
        <w:t xml:space="preserve"> </w:t>
      </w:r>
    </w:p>
    <w:p w:rsidR="00FB3432" w:rsidP="00FB3432" w14:paraId="50429D93" w14:textId="77777777">
      <w:pPr>
        <w:pStyle w:val="ListParagraph"/>
        <w:tabs>
          <w:tab w:val="left" w:pos="-720"/>
          <w:tab w:val="left" w:pos="0"/>
        </w:tabs>
        <w:suppressAutoHyphens/>
        <w:rPr>
          <w:sz w:val="24"/>
          <w:szCs w:val="24"/>
        </w:rPr>
      </w:pPr>
    </w:p>
    <w:p w:rsidR="005330E3" w:rsidRPr="00FB3432" w:rsidP="00FB3432" w14:paraId="7B1A7EDA" w14:textId="74327F17">
      <w:pPr>
        <w:pStyle w:val="ListParagraph"/>
        <w:tabs>
          <w:tab w:val="left" w:pos="-720"/>
          <w:tab w:val="left" w:pos="0"/>
        </w:tabs>
        <w:suppressAutoHyphens/>
        <w:rPr>
          <w:sz w:val="24"/>
          <w:szCs w:val="24"/>
        </w:rPr>
      </w:pPr>
      <w:r w:rsidRPr="00FB3432">
        <w:rPr>
          <w:sz w:val="24"/>
          <w:szCs w:val="24"/>
        </w:rPr>
        <w:t xml:space="preserve">The data is necessary for a U.S. citizen to apply for and obtain a reusable launch vehicle (RLV) mission license </w:t>
      </w:r>
      <w:r w:rsidRPr="00FB3432" w:rsidR="00FF4E69">
        <w:rPr>
          <w:sz w:val="24"/>
          <w:szCs w:val="24"/>
        </w:rPr>
        <w:t xml:space="preserve">or a reentry license </w:t>
      </w:r>
      <w:r w:rsidRPr="00FB3432">
        <w:rPr>
          <w:sz w:val="24"/>
          <w:szCs w:val="24"/>
        </w:rPr>
        <w:t xml:space="preserve">for activities by commercial or non-federal entities (that are not done by or for the U.S. Government) as defined and required by </w:t>
      </w:r>
      <w:r w:rsidRPr="00FB3432" w:rsidR="008A07C3">
        <w:rPr>
          <w:sz w:val="24"/>
          <w:szCs w:val="24"/>
        </w:rPr>
        <w:t xml:space="preserve">51 </w:t>
      </w:r>
      <w:r w:rsidRPr="00FB3432">
        <w:rPr>
          <w:sz w:val="24"/>
          <w:szCs w:val="24"/>
        </w:rPr>
        <w:t>U.S.C.</w:t>
      </w:r>
      <w:r w:rsidRPr="00FB3432" w:rsidR="008A07C3">
        <w:rPr>
          <w:sz w:val="24"/>
          <w:szCs w:val="24"/>
        </w:rPr>
        <w:t xml:space="preserve"> 509</w:t>
      </w:r>
      <w:r w:rsidRPr="00FB3432">
        <w:rPr>
          <w:sz w:val="24"/>
          <w:szCs w:val="24"/>
        </w:rPr>
        <w:t>, formerly known as the Commercial Space Launch Act of 1984, as amended. The information is needed</w:t>
      </w:r>
      <w:r w:rsidRPr="00FB3432" w:rsidR="00B276A7">
        <w:rPr>
          <w:sz w:val="24"/>
          <w:szCs w:val="24"/>
        </w:rPr>
        <w:t xml:space="preserve"> </w:t>
      </w:r>
      <w:r w:rsidRPr="00FB3432">
        <w:rPr>
          <w:sz w:val="24"/>
          <w:szCs w:val="24"/>
        </w:rPr>
        <w:t xml:space="preserve">demonstrate to the FAA Office of Commercial Space Transportation (FAA/AST) that the proposed activity meets applicable public safety, national security, and foreign policy interests of the United States. </w:t>
      </w:r>
    </w:p>
    <w:p w:rsidR="005330E3" w:rsidRPr="00D110DD" w14:paraId="4281712C" w14:textId="77777777">
      <w:pPr>
        <w:tabs>
          <w:tab w:val="left" w:pos="-720"/>
        </w:tabs>
        <w:suppressAutoHyphens/>
        <w:rPr>
          <w:sz w:val="24"/>
          <w:szCs w:val="24"/>
        </w:rPr>
      </w:pPr>
      <w:r w:rsidRPr="00D110DD">
        <w:rPr>
          <w:sz w:val="24"/>
          <w:szCs w:val="24"/>
        </w:rPr>
        <w:t xml:space="preserve"> </w:t>
      </w:r>
    </w:p>
    <w:p w:rsidR="005330E3" w:rsidRPr="00D110DD" w14:paraId="7ADF881C" w14:textId="77777777">
      <w:pPr>
        <w:tabs>
          <w:tab w:val="left" w:pos="-720"/>
          <w:tab w:val="left" w:pos="0"/>
        </w:tabs>
        <w:suppressAutoHyphens/>
        <w:ind w:left="720"/>
        <w:rPr>
          <w:sz w:val="24"/>
          <w:szCs w:val="24"/>
        </w:rPr>
      </w:pPr>
      <w:r w:rsidRPr="00D110DD">
        <w:rPr>
          <w:sz w:val="24"/>
          <w:szCs w:val="24"/>
        </w:rPr>
        <w:t>The FAA issued the final rule for Commercial Space Transportation Reusable Launch Vehicle and Reentry Licensing Regulations in 2000</w:t>
      </w:r>
      <w:r w:rsidRPr="00D110DD" w:rsidR="00CE4A4D">
        <w:rPr>
          <w:sz w:val="24"/>
          <w:szCs w:val="24"/>
        </w:rPr>
        <w:t>. Related to these, a</w:t>
      </w:r>
      <w:r w:rsidRPr="00D110DD">
        <w:rPr>
          <w:sz w:val="24"/>
          <w:szCs w:val="24"/>
        </w:rPr>
        <w:t xml:space="preserve"> final rule for Human Space Flight Requirements for Crew and Space Flight Participants </w:t>
      </w:r>
      <w:r w:rsidRPr="00D110DD" w:rsidR="00CE4A4D">
        <w:rPr>
          <w:sz w:val="24"/>
          <w:szCs w:val="24"/>
        </w:rPr>
        <w:t xml:space="preserve">was issued in </w:t>
      </w:r>
      <w:r w:rsidRPr="00D110DD">
        <w:rPr>
          <w:sz w:val="24"/>
          <w:szCs w:val="24"/>
        </w:rPr>
        <w:t>in 2007.</w:t>
      </w:r>
    </w:p>
    <w:p w:rsidR="005330E3" w:rsidRPr="00D110DD" w14:paraId="6C75A649" w14:textId="77777777">
      <w:pPr>
        <w:tabs>
          <w:tab w:val="left" w:pos="-720"/>
          <w:tab w:val="left" w:pos="0"/>
        </w:tabs>
        <w:suppressAutoHyphens/>
        <w:ind w:left="720" w:hanging="720"/>
        <w:rPr>
          <w:sz w:val="24"/>
          <w:szCs w:val="24"/>
        </w:rPr>
      </w:pPr>
      <w:r w:rsidRPr="00D110DD">
        <w:rPr>
          <w:sz w:val="24"/>
          <w:szCs w:val="24"/>
        </w:rPr>
        <w:tab/>
      </w:r>
    </w:p>
    <w:p w:rsidR="005330E3" w:rsidRPr="00D110DD" w14:paraId="78793221" w14:textId="77777777">
      <w:pPr>
        <w:tabs>
          <w:tab w:val="left" w:pos="-720"/>
          <w:tab w:val="left" w:pos="0"/>
        </w:tabs>
        <w:suppressAutoHyphens/>
        <w:ind w:left="720" w:hanging="720"/>
        <w:rPr>
          <w:sz w:val="24"/>
          <w:szCs w:val="24"/>
        </w:rPr>
      </w:pPr>
      <w:r w:rsidRPr="00D110DD">
        <w:rPr>
          <w:sz w:val="24"/>
          <w:szCs w:val="24"/>
        </w:rPr>
        <w:tab/>
        <w:t xml:space="preserve">This information collection activity supports the Department of Transportation’s strategic goal on safety. This goal is to promote the public health and safety by working toward the elimination of transportation-related deaths, injuries, and property damage. </w:t>
      </w:r>
    </w:p>
    <w:p w:rsidR="005330E3" w:rsidRPr="00D110DD" w14:paraId="5C8526AE" w14:textId="77777777">
      <w:pPr>
        <w:tabs>
          <w:tab w:val="left" w:pos="-720"/>
        </w:tabs>
        <w:suppressAutoHyphens/>
        <w:rPr>
          <w:sz w:val="24"/>
          <w:szCs w:val="24"/>
        </w:rPr>
      </w:pPr>
    </w:p>
    <w:p w:rsidR="00084CF5" w14:paraId="7B29C370" w14:textId="77777777">
      <w:pPr>
        <w:tabs>
          <w:tab w:val="left" w:pos="-720"/>
          <w:tab w:val="left" w:pos="0"/>
        </w:tabs>
        <w:suppressAutoHyphens/>
        <w:ind w:left="720" w:hanging="720"/>
        <w:rPr>
          <w:rFonts w:ascii="Arial" w:hAnsi="Arial" w:cs="Arial"/>
          <w:b/>
          <w:sz w:val="26"/>
          <w:szCs w:val="26"/>
        </w:rPr>
      </w:pPr>
      <w:r w:rsidRPr="00D110DD">
        <w:rPr>
          <w:rFonts w:ascii="Arial" w:hAnsi="Arial" w:cs="Arial"/>
          <w:b/>
          <w:sz w:val="26"/>
          <w:szCs w:val="26"/>
        </w:rPr>
        <w:t>2.</w:t>
      </w:r>
      <w:r w:rsidRPr="00D110DD">
        <w:rPr>
          <w:rFonts w:ascii="Arial" w:hAnsi="Arial" w:cs="Arial"/>
          <w:b/>
          <w:sz w:val="26"/>
          <w:szCs w:val="26"/>
        </w:rPr>
        <w:tab/>
        <w:t>Indicate how, by whom, and for what purpose the information is to be used.  Except for a new collection, indicate the actual use the agency has made of the information received from the current collection.</w:t>
      </w:r>
    </w:p>
    <w:p w:rsidR="00084CF5" w14:paraId="0C3BA4EA" w14:textId="77777777">
      <w:pPr>
        <w:tabs>
          <w:tab w:val="left" w:pos="-720"/>
          <w:tab w:val="left" w:pos="0"/>
        </w:tabs>
        <w:suppressAutoHyphens/>
        <w:ind w:left="720" w:hanging="720"/>
        <w:rPr>
          <w:rFonts w:ascii="Arial" w:hAnsi="Arial" w:cs="Arial"/>
          <w:b/>
          <w:sz w:val="26"/>
          <w:szCs w:val="26"/>
        </w:rPr>
      </w:pPr>
    </w:p>
    <w:p w:rsidR="005330E3" w:rsidRPr="00D110DD" w14:paraId="673256FC" w14:textId="1F1C4230">
      <w:pPr>
        <w:tabs>
          <w:tab w:val="left" w:pos="-720"/>
          <w:tab w:val="left" w:pos="0"/>
        </w:tabs>
        <w:suppressAutoHyphens/>
        <w:ind w:left="720" w:hanging="720"/>
        <w:rPr>
          <w:sz w:val="24"/>
          <w:szCs w:val="24"/>
        </w:rPr>
      </w:pPr>
      <w:r>
        <w:rPr>
          <w:sz w:val="24"/>
          <w:szCs w:val="24"/>
        </w:rPr>
        <w:t xml:space="preserve">           </w:t>
      </w:r>
      <w:r w:rsidRPr="00D110DD">
        <w:rPr>
          <w:sz w:val="24"/>
          <w:szCs w:val="24"/>
        </w:rPr>
        <w:t>The information to be collected includes data required for performing a safety review, which includes a technical assessment to determine if the applicant launches or reen</w:t>
      </w:r>
      <w:r w:rsidRPr="00D110DD" w:rsidR="00BA0C58">
        <w:rPr>
          <w:sz w:val="24"/>
          <w:szCs w:val="24"/>
        </w:rPr>
        <w:t xml:space="preserve">ters an RLV </w:t>
      </w:r>
      <w:r w:rsidRPr="00D110DD" w:rsidR="00C2720E">
        <w:rPr>
          <w:sz w:val="24"/>
          <w:szCs w:val="24"/>
        </w:rPr>
        <w:t xml:space="preserve">or a reentry vehicle </w:t>
      </w:r>
      <w:r w:rsidRPr="00D110DD">
        <w:rPr>
          <w:sz w:val="24"/>
          <w:szCs w:val="24"/>
        </w:rPr>
        <w:t xml:space="preserve">to a designated site without jeopardizing public health and safety and the safety of property. </w:t>
      </w:r>
      <w:r w:rsidR="00C41C07">
        <w:rPr>
          <w:sz w:val="24"/>
          <w:szCs w:val="24"/>
        </w:rPr>
        <w:t xml:space="preserve">Applying for a license is voluntary.  US companies seeking to perform a launch or reentry of a reusable launch vehicle can apply for a license.  Foreign companies performing an RLV launch or reentry in the US can also apply for a license.  The collection of information consists of disclosures by the companies seeking a license. The collection frequency is as needed. Information collected by the FAA is not disclosed because it is proprietary.  </w:t>
      </w:r>
      <w:r w:rsidRPr="00D110DD">
        <w:rPr>
          <w:sz w:val="24"/>
          <w:szCs w:val="24"/>
        </w:rPr>
        <w:t>This information collection requirement is intended for incorporating acquired data into the license, which then becomes binding on the launch and/or reentry operator. The rule contains provisions for two types of licenses for reusable launch vehicles (RLV): mission-specific license and reentry operator license, and two types of licenses for reentry of reentry vehicles (RV) other than RLV: reentry-specific license and reentry operator license.</w:t>
      </w:r>
    </w:p>
    <w:p w:rsidR="005330E3" w:rsidRPr="00D110DD" w14:paraId="113FE14F" w14:textId="77777777">
      <w:pPr>
        <w:tabs>
          <w:tab w:val="left" w:pos="-720"/>
        </w:tabs>
        <w:suppressAutoHyphens/>
        <w:rPr>
          <w:sz w:val="24"/>
          <w:szCs w:val="24"/>
        </w:rPr>
      </w:pPr>
    </w:p>
    <w:p w:rsidR="005330E3" w:rsidRPr="00D110DD" w14:paraId="5AB34C6B" w14:textId="77777777">
      <w:pPr>
        <w:tabs>
          <w:tab w:val="left" w:pos="-720"/>
          <w:tab w:val="left" w:pos="0"/>
        </w:tabs>
        <w:suppressAutoHyphens/>
        <w:ind w:left="720" w:hanging="720"/>
        <w:rPr>
          <w:sz w:val="24"/>
          <w:szCs w:val="24"/>
        </w:rPr>
      </w:pPr>
      <w:r w:rsidRPr="00D110DD">
        <w:rPr>
          <w:sz w:val="24"/>
          <w:szCs w:val="24"/>
        </w:rPr>
        <w:tab/>
        <w:t xml:space="preserve">Under the policy review and approval process, an applicant </w:t>
      </w:r>
      <w:r w:rsidRPr="00D110DD" w:rsidR="008A07C3">
        <w:rPr>
          <w:sz w:val="24"/>
          <w:szCs w:val="24"/>
        </w:rPr>
        <w:t>is</w:t>
      </w:r>
      <w:r w:rsidRPr="00D110DD">
        <w:rPr>
          <w:sz w:val="24"/>
          <w:szCs w:val="24"/>
        </w:rPr>
        <w:t xml:space="preserve"> required to submit information that enables FAA/AST to summarize the application requirements identifying foreign ownership of the vehicle. FAA/AST determines, before issuing a license, if issuance of an RLV mission license would jeopardize the foreign policy or national security interests of the U.S. </w:t>
      </w:r>
    </w:p>
    <w:p w:rsidR="005330E3" w:rsidRPr="00D110DD" w14:paraId="2B8791F8" w14:textId="77777777">
      <w:pPr>
        <w:tabs>
          <w:tab w:val="left" w:pos="-720"/>
        </w:tabs>
        <w:suppressAutoHyphens/>
        <w:rPr>
          <w:sz w:val="24"/>
          <w:szCs w:val="24"/>
        </w:rPr>
      </w:pPr>
    </w:p>
    <w:p w:rsidR="005330E3" w:rsidRPr="00D110DD" w14:paraId="0AF79C8E" w14:textId="77777777">
      <w:pPr>
        <w:tabs>
          <w:tab w:val="left" w:pos="-720"/>
          <w:tab w:val="left" w:pos="0"/>
        </w:tabs>
        <w:suppressAutoHyphens/>
        <w:ind w:left="720" w:hanging="720"/>
        <w:rPr>
          <w:sz w:val="24"/>
          <w:szCs w:val="24"/>
        </w:rPr>
      </w:pPr>
      <w:r w:rsidRPr="00D110DD">
        <w:rPr>
          <w:sz w:val="24"/>
          <w:szCs w:val="24"/>
        </w:rPr>
        <w:tab/>
        <w:t xml:space="preserve">In accordance with the requirements of the National Environmental Policies Act, 42 U.S.C. § 4321, et. seq., (NEPA), the Council on Environmental Quality Regulations for Implementing the Procedural Provisions of NEPA, 40 CFR Parts 1500-1508, and the DOT's Procedures for Considering Environmental Impacts, DOT Order 5610.1C, applicants </w:t>
      </w:r>
      <w:r w:rsidRPr="00D110DD" w:rsidR="008A07C3">
        <w:rPr>
          <w:sz w:val="24"/>
          <w:szCs w:val="24"/>
        </w:rPr>
        <w:t>are</w:t>
      </w:r>
      <w:r w:rsidRPr="00D110DD">
        <w:rPr>
          <w:sz w:val="24"/>
          <w:szCs w:val="24"/>
        </w:rPr>
        <w:t xml:space="preserve"> required to submit environmental information concerning proposed RLVs </w:t>
      </w:r>
      <w:r w:rsidRPr="00D110DD" w:rsidR="00C2720E">
        <w:rPr>
          <w:sz w:val="24"/>
          <w:szCs w:val="24"/>
        </w:rPr>
        <w:t xml:space="preserve">and reentry vehicles </w:t>
      </w:r>
      <w:r w:rsidRPr="00D110DD">
        <w:rPr>
          <w:sz w:val="24"/>
          <w:szCs w:val="24"/>
        </w:rPr>
        <w:t xml:space="preserve">that are not currently described in the environmental impact statements, as well as payloads that may have significant environmental impacts in the event of a launch accident. </w:t>
      </w:r>
    </w:p>
    <w:p w:rsidR="005330E3" w:rsidRPr="00D110DD" w14:paraId="583DB5AC" w14:textId="77777777">
      <w:pPr>
        <w:tabs>
          <w:tab w:val="left" w:pos="-720"/>
        </w:tabs>
        <w:suppressAutoHyphens/>
        <w:rPr>
          <w:sz w:val="24"/>
          <w:szCs w:val="24"/>
        </w:rPr>
      </w:pPr>
    </w:p>
    <w:p w:rsidR="009A148E" w:rsidRPr="009A148E" w:rsidP="004C56D8" w14:paraId="526F6944" w14:textId="60C6F831">
      <w:pPr>
        <w:keepNext/>
        <w:keepLines/>
        <w:suppressAutoHyphens/>
        <w:spacing w:before="240" w:after="120"/>
        <w:ind w:left="720" w:hanging="720"/>
        <w:outlineLvl w:val="2"/>
        <w:rPr>
          <w:rFonts w:ascii="Arial" w:hAnsi="Arial" w:cs="Arial"/>
          <w:b/>
          <w:bCs/>
          <w:sz w:val="26"/>
          <w:szCs w:val="26"/>
        </w:rPr>
      </w:pPr>
      <w:r w:rsidRPr="009A148E">
        <w:rPr>
          <w:rFonts w:ascii="Arial" w:hAnsi="Arial" w:cs="Arial"/>
          <w:b/>
          <w:bCs/>
          <w:sz w:val="26"/>
          <w:szCs w:val="26"/>
        </w:rPr>
        <w:t>3.</w:t>
      </w:r>
      <w:r w:rsidRPr="009A148E">
        <w:rPr>
          <w:rFonts w:ascii="Arial" w:hAnsi="Arial" w:cs="Arial"/>
          <w:b/>
          <w:bCs/>
          <w:sz w:val="26"/>
          <w:szCs w:val="26"/>
        </w:rPr>
        <w:tab/>
        <w:t>Describe whether, and to what extent, the collection of information involves the use of automated, electronic, mechanical, or other technological collection techniques or other forms of information technology, e.g.</w:t>
      </w:r>
      <w:r w:rsidR="00FB3432">
        <w:rPr>
          <w:rFonts w:ascii="Arial" w:hAnsi="Arial" w:cs="Arial"/>
          <w:b/>
          <w:bCs/>
          <w:sz w:val="26"/>
          <w:szCs w:val="26"/>
        </w:rPr>
        <w:t>,</w:t>
      </w:r>
      <w:r w:rsidRPr="009A148E">
        <w:rPr>
          <w:rFonts w:ascii="Arial" w:hAnsi="Arial" w:cs="Arial"/>
          <w:b/>
          <w:bCs/>
          <w:sz w:val="26"/>
          <w:szCs w:val="26"/>
        </w:rPr>
        <w:t xml:space="preserve"> permitting electronic submission of responses, and the basis for the decision for adopting this means of collection.  Also describe any consideration of using information technology to reduce burden.  </w:t>
      </w:r>
    </w:p>
    <w:p w:rsidR="00DD5B55" w:rsidP="004370DA" w14:paraId="4236055A" w14:textId="77777777">
      <w:pPr>
        <w:spacing w:before="120" w:after="120"/>
        <w:ind w:left="720"/>
        <w:rPr>
          <w:sz w:val="24"/>
          <w:szCs w:val="24"/>
        </w:rPr>
      </w:pPr>
      <w:r w:rsidRPr="009A148E">
        <w:rPr>
          <w:sz w:val="24"/>
          <w:szCs w:val="24"/>
        </w:rPr>
        <w:t xml:space="preserve">AST maintains a website to improve public access to information about the licensing process.  Applicants can start the application process by filling out contact information at: </w:t>
      </w:r>
      <w:hyperlink r:id="rId6" w:history="1">
        <w:r w:rsidRPr="009A148E">
          <w:rPr>
            <w:color w:val="0563C1"/>
            <w:sz w:val="24"/>
            <w:szCs w:val="24"/>
            <w:u w:val="single"/>
          </w:rPr>
          <w:t>https://www.faa.gov/s</w:t>
        </w:r>
        <w:r w:rsidRPr="009A148E">
          <w:rPr>
            <w:color w:val="0563C1"/>
            <w:sz w:val="24"/>
            <w:szCs w:val="24"/>
            <w:u w:val="single"/>
          </w:rPr>
          <w:t>pa</w:t>
        </w:r>
        <w:r w:rsidRPr="009A148E">
          <w:rPr>
            <w:color w:val="0563C1"/>
            <w:sz w:val="24"/>
            <w:szCs w:val="24"/>
            <w:u w:val="single"/>
          </w:rPr>
          <w:t>ce/str</w:t>
        </w:r>
        <w:r w:rsidRPr="009A148E">
          <w:rPr>
            <w:color w:val="0563C1"/>
            <w:sz w:val="24"/>
            <w:szCs w:val="24"/>
            <w:u w:val="single"/>
          </w:rPr>
          <w:t>eamlin</w:t>
        </w:r>
        <w:r w:rsidRPr="009A148E">
          <w:rPr>
            <w:color w:val="0563C1"/>
            <w:sz w:val="24"/>
            <w:szCs w:val="24"/>
            <w:u w:val="single"/>
          </w:rPr>
          <w:t>ed_licensing_process/licensing_process/</w:t>
        </w:r>
      </w:hyperlink>
      <w:r w:rsidRPr="009A148E">
        <w:rPr>
          <w:sz w:val="24"/>
          <w:szCs w:val="24"/>
        </w:rPr>
        <w:t>.  Information on how to contact the FAA is located at:</w:t>
      </w:r>
    </w:p>
    <w:p w:rsidR="00DD5B55" w:rsidRPr="00DD5B55" w:rsidP="00DD5B55" w14:paraId="47F33185" w14:textId="52705F54">
      <w:pPr>
        <w:ind w:firstLine="720"/>
        <w:rPr>
          <w:sz w:val="24"/>
          <w:szCs w:val="24"/>
        </w:rPr>
      </w:pPr>
      <w:hyperlink r:id="rId7" w:history="1">
        <w:r w:rsidRPr="00DD5B55">
          <w:rPr>
            <w:rStyle w:val="Hyperlink"/>
            <w:sz w:val="24"/>
            <w:szCs w:val="24"/>
          </w:rPr>
          <w:t xml:space="preserve"> https://www.faa.g</w:t>
        </w:r>
        <w:r w:rsidRPr="00DD5B55">
          <w:rPr>
            <w:rStyle w:val="Hyperlink"/>
            <w:sz w:val="24"/>
            <w:szCs w:val="24"/>
          </w:rPr>
          <w:t>ov/s</w:t>
        </w:r>
        <w:r w:rsidRPr="00DD5B55">
          <w:rPr>
            <w:rStyle w:val="Hyperlink"/>
            <w:sz w:val="24"/>
            <w:szCs w:val="24"/>
          </w:rPr>
          <w:t>pa</w:t>
        </w:r>
        <w:r w:rsidRPr="00DD5B55">
          <w:rPr>
            <w:rStyle w:val="Hyperlink"/>
            <w:sz w:val="24"/>
            <w:szCs w:val="24"/>
          </w:rPr>
          <w:t>ce/addition</w:t>
        </w:r>
        <w:r w:rsidRPr="00DD5B55">
          <w:rPr>
            <w:rStyle w:val="Hyperlink"/>
            <w:sz w:val="24"/>
            <w:szCs w:val="24"/>
          </w:rPr>
          <w:t>al_information</w:t>
        </w:r>
      </w:hyperlink>
    </w:p>
    <w:p w:rsidR="009A148E" w:rsidRPr="009A148E" w:rsidP="00DD5B55" w14:paraId="1726311E" w14:textId="3F203E0B">
      <w:pPr>
        <w:rPr>
          <w:sz w:val="24"/>
          <w:szCs w:val="24"/>
        </w:rPr>
      </w:pPr>
    </w:p>
    <w:p w:rsidR="004C56D8" w:rsidP="004370DA" w14:paraId="5A291F7A" w14:textId="77777777">
      <w:pPr>
        <w:spacing w:before="120" w:after="120"/>
        <w:ind w:left="720"/>
        <w:rPr>
          <w:sz w:val="24"/>
          <w:szCs w:val="24"/>
        </w:rPr>
      </w:pPr>
      <w:r w:rsidRPr="009A148E">
        <w:rPr>
          <w:sz w:val="24"/>
          <w:szCs w:val="24"/>
        </w:rPr>
        <w:t xml:space="preserve">Applicants can submit application material electronically.  Application material submitted is not made available to the public on the FAA website because it is proprietary.  The FAA does publish a list of licensed launches at: </w:t>
      </w:r>
      <w:hyperlink r:id="rId8" w:history="1">
        <w:r w:rsidRPr="009A148E">
          <w:rPr>
            <w:color w:val="0563C1"/>
            <w:sz w:val="24"/>
            <w:szCs w:val="24"/>
            <w:u w:val="single"/>
          </w:rPr>
          <w:t>https://www.faa.gov/data_research/co</w:t>
        </w:r>
        <w:r w:rsidRPr="009A148E">
          <w:rPr>
            <w:color w:val="0563C1"/>
            <w:sz w:val="24"/>
            <w:szCs w:val="24"/>
            <w:u w:val="single"/>
          </w:rPr>
          <w:t>mmercial_space_data/launches/</w:t>
        </w:r>
      </w:hyperlink>
    </w:p>
    <w:p w:rsidR="005330E3" w:rsidRPr="00D110DD" w:rsidP="004370DA" w14:paraId="62806998" w14:textId="19B03B71">
      <w:pPr>
        <w:spacing w:before="120" w:after="120"/>
        <w:ind w:left="720"/>
        <w:rPr>
          <w:sz w:val="24"/>
          <w:szCs w:val="24"/>
        </w:rPr>
      </w:pPr>
      <w:r w:rsidRPr="00D110DD">
        <w:rPr>
          <w:sz w:val="24"/>
          <w:szCs w:val="24"/>
        </w:rPr>
        <w:t xml:space="preserve">However, due to the highly sensitive and proprietary nature of information collected, license applicants generally choose to submit their information through secure mail or couriers. Also, </w:t>
      </w:r>
      <w:r w:rsidR="009A148E">
        <w:rPr>
          <w:sz w:val="24"/>
          <w:szCs w:val="24"/>
        </w:rPr>
        <w:t xml:space="preserve">no new applications are allowed under </w:t>
      </w:r>
      <w:r w:rsidR="00637E1F">
        <w:rPr>
          <w:sz w:val="24"/>
          <w:szCs w:val="24"/>
        </w:rPr>
        <w:t>P</w:t>
      </w:r>
      <w:r w:rsidR="009A148E">
        <w:rPr>
          <w:sz w:val="24"/>
          <w:szCs w:val="24"/>
        </w:rPr>
        <w:t>arts 431 or 435</w:t>
      </w:r>
      <w:r w:rsidRPr="00D110DD">
        <w:rPr>
          <w:sz w:val="24"/>
          <w:szCs w:val="24"/>
        </w:rPr>
        <w:t>, and therefore the number of paperwork submissions will remain very low</w:t>
      </w:r>
      <w:r w:rsidR="009A148E">
        <w:rPr>
          <w:sz w:val="24"/>
          <w:szCs w:val="24"/>
        </w:rPr>
        <w:t xml:space="preserve"> and will consist of license modifications or license renewals</w:t>
      </w:r>
      <w:r w:rsidRPr="00D110DD">
        <w:rPr>
          <w:sz w:val="24"/>
          <w:szCs w:val="24"/>
        </w:rPr>
        <w:t>.</w:t>
      </w:r>
    </w:p>
    <w:p w:rsidR="005330E3" w14:paraId="735FC9F4" w14:textId="77777777">
      <w:pPr>
        <w:tabs>
          <w:tab w:val="left" w:pos="-720"/>
        </w:tabs>
        <w:suppressAutoHyphens/>
        <w:rPr>
          <w:sz w:val="22"/>
        </w:rPr>
      </w:pPr>
    </w:p>
    <w:p w:rsidR="008D6166" w:rsidP="009600A3" w14:paraId="074792B2" w14:textId="77777777">
      <w:pPr>
        <w:pStyle w:val="Heading3"/>
        <w:ind w:left="720" w:hanging="720"/>
      </w:pPr>
      <w:r w:rsidRPr="00D110DD">
        <w:rPr>
          <w:rFonts w:ascii="Arial" w:hAnsi="Arial" w:cs="Arial"/>
          <w:b/>
          <w:sz w:val="26"/>
          <w:szCs w:val="26"/>
        </w:rPr>
        <w:t>4.</w:t>
      </w:r>
      <w:r w:rsidRPr="00D110DD">
        <w:rPr>
          <w:rFonts w:ascii="Arial" w:hAnsi="Arial" w:cs="Arial"/>
          <w:b/>
          <w:sz w:val="26"/>
          <w:szCs w:val="26"/>
        </w:rPr>
        <w:tab/>
        <w:t>Describe efforts to identify duplication.  Show specifically why any similar information already available cannot be used or modified for use for the purposes described in Item 2 above.</w:t>
      </w:r>
      <w:r>
        <w:t xml:space="preserve"> </w:t>
      </w:r>
    </w:p>
    <w:p w:rsidR="008D6166" w:rsidP="009600A3" w14:paraId="5A98F3EC" w14:textId="77777777">
      <w:pPr>
        <w:pStyle w:val="Heading3"/>
        <w:ind w:left="720" w:hanging="720"/>
      </w:pPr>
    </w:p>
    <w:p w:rsidR="009A148E" w:rsidP="00B276A7" w14:paraId="3CD37866" w14:textId="09BC3C15">
      <w:pPr>
        <w:pStyle w:val="Heading3"/>
        <w:ind w:left="720" w:hanging="720"/>
        <w:rPr>
          <w:szCs w:val="24"/>
        </w:rPr>
      </w:pPr>
      <w:r>
        <w:tab/>
      </w:r>
      <w:r w:rsidRPr="00D110DD" w:rsidR="005330E3">
        <w:rPr>
          <w:szCs w:val="24"/>
        </w:rPr>
        <w:t xml:space="preserve">Due to the proprietary nature of the information collected, it is not publicly </w:t>
      </w:r>
      <w:r w:rsidRPr="00D110DD" w:rsidR="00342B43">
        <w:rPr>
          <w:szCs w:val="24"/>
        </w:rPr>
        <w:t>available,</w:t>
      </w:r>
      <w:r w:rsidRPr="00D110DD" w:rsidR="005330E3">
        <w:rPr>
          <w:szCs w:val="24"/>
        </w:rPr>
        <w:t xml:space="preserve"> and the FAA is the only agency that collects this type of information. </w:t>
      </w:r>
      <w:r w:rsidR="00C41C07">
        <w:rPr>
          <w:szCs w:val="24"/>
        </w:rPr>
        <w:t xml:space="preserve"> </w:t>
      </w:r>
      <w:r w:rsidR="00173AC4">
        <w:rPr>
          <w:szCs w:val="24"/>
        </w:rPr>
        <w:t xml:space="preserve">Only AST collects this type of information within the FAA.  </w:t>
      </w:r>
      <w:r w:rsidRPr="00D110DD" w:rsidR="005330E3">
        <w:rPr>
          <w:szCs w:val="24"/>
        </w:rPr>
        <w:t xml:space="preserve">The agency is not aware of other government agencies that collect such information pertaining </w:t>
      </w:r>
      <w:r w:rsidRPr="00D110DD" w:rsidR="00BA0C58">
        <w:rPr>
          <w:szCs w:val="24"/>
        </w:rPr>
        <w:t xml:space="preserve">licensing of RLV mission </w:t>
      </w:r>
      <w:r w:rsidRPr="00D110DD" w:rsidR="00C2720E">
        <w:rPr>
          <w:szCs w:val="24"/>
        </w:rPr>
        <w:t xml:space="preserve">or reentry vehicle </w:t>
      </w:r>
      <w:r w:rsidRPr="00D110DD" w:rsidR="00BA0C58">
        <w:rPr>
          <w:szCs w:val="24"/>
        </w:rPr>
        <w:t>operations</w:t>
      </w:r>
      <w:r w:rsidRPr="00D110DD" w:rsidR="005330E3">
        <w:rPr>
          <w:szCs w:val="24"/>
        </w:rPr>
        <w:t xml:space="preserve">. </w:t>
      </w:r>
    </w:p>
    <w:p w:rsidR="009A148E" w:rsidRPr="00D110DD" w:rsidP="00D110DD" w14:paraId="17BEA41E" w14:textId="77777777"/>
    <w:p w:rsidR="009A148E" w:rsidP="009600A3" w14:paraId="07AADC2F" w14:textId="6158FE87">
      <w:pPr>
        <w:pStyle w:val="Heading3"/>
        <w:ind w:left="720" w:hanging="720"/>
        <w:rPr>
          <w:rFonts w:ascii="Arial" w:hAnsi="Arial" w:cs="Arial"/>
          <w:b/>
          <w:bCs/>
          <w:sz w:val="26"/>
          <w:szCs w:val="26"/>
        </w:rPr>
      </w:pPr>
      <w:r w:rsidRPr="009A148E">
        <w:rPr>
          <w:rFonts w:ascii="Arial" w:hAnsi="Arial" w:cs="Arial"/>
          <w:b/>
          <w:bCs/>
          <w:sz w:val="26"/>
          <w:szCs w:val="26"/>
        </w:rPr>
        <w:t>5</w:t>
      </w:r>
      <w:r w:rsidR="004370DA">
        <w:rPr>
          <w:rFonts w:ascii="Arial" w:hAnsi="Arial" w:cs="Arial"/>
          <w:b/>
          <w:bCs/>
          <w:sz w:val="26"/>
          <w:szCs w:val="26"/>
        </w:rPr>
        <w:t>.</w:t>
      </w:r>
      <w:r w:rsidR="004370DA">
        <w:rPr>
          <w:rFonts w:ascii="Arial" w:hAnsi="Arial" w:cs="Arial"/>
          <w:b/>
          <w:bCs/>
          <w:sz w:val="26"/>
          <w:szCs w:val="26"/>
        </w:rPr>
        <w:tab/>
      </w:r>
      <w:r w:rsidRPr="009A148E">
        <w:rPr>
          <w:rFonts w:ascii="Arial" w:hAnsi="Arial" w:cs="Arial"/>
          <w:b/>
          <w:bCs/>
          <w:sz w:val="26"/>
          <w:szCs w:val="26"/>
        </w:rPr>
        <w:t xml:space="preserve">If the collection of information impacts small businesses or other small entities, describe any methods used to minimize burden on small businesses or other small entities.  </w:t>
      </w:r>
    </w:p>
    <w:p w:rsidR="008D6166" w:rsidRPr="00B276A7" w:rsidP="00B276A7" w14:paraId="4B4B1B97" w14:textId="77777777"/>
    <w:p w:rsidR="005330E3" w:rsidP="009A148E" w14:paraId="40CD9CEA" w14:textId="1FBC3521">
      <w:pPr>
        <w:tabs>
          <w:tab w:val="left" w:pos="-720"/>
          <w:tab w:val="left" w:pos="0"/>
        </w:tabs>
        <w:suppressAutoHyphens/>
        <w:ind w:left="720" w:hanging="720"/>
        <w:rPr>
          <w:sz w:val="22"/>
        </w:rPr>
      </w:pPr>
      <w:r>
        <w:rPr>
          <w:sz w:val="24"/>
          <w:szCs w:val="24"/>
        </w:rPr>
        <w:tab/>
      </w:r>
      <w:r w:rsidRPr="00D110DD">
        <w:rPr>
          <w:sz w:val="24"/>
          <w:szCs w:val="24"/>
        </w:rPr>
        <w:t>Pursuant to the Regulatory Flexibility Act of 1980 (RFA), FAA/AST certifies that the rule does not have a significant economic impact on a substantial number of small entities. Regulations are written to allow flexibility and innovation.</w:t>
      </w:r>
    </w:p>
    <w:p w:rsidR="005330E3" w14:paraId="285D467B" w14:textId="77777777">
      <w:pPr>
        <w:tabs>
          <w:tab w:val="left" w:pos="-720"/>
        </w:tabs>
        <w:suppressAutoHyphens/>
        <w:rPr>
          <w:sz w:val="22"/>
        </w:rPr>
      </w:pPr>
    </w:p>
    <w:p w:rsidR="009A148E" w:rsidRPr="009A148E" w:rsidP="004370DA" w14:paraId="1D65B374" w14:textId="77777777">
      <w:pPr>
        <w:keepNext/>
        <w:keepLines/>
        <w:suppressAutoHyphens/>
        <w:spacing w:before="240" w:after="120"/>
        <w:ind w:left="720" w:hanging="720"/>
        <w:outlineLvl w:val="2"/>
        <w:rPr>
          <w:rFonts w:ascii="Arial" w:hAnsi="Arial" w:cs="Arial"/>
          <w:b/>
          <w:bCs/>
          <w:sz w:val="26"/>
          <w:szCs w:val="26"/>
        </w:rPr>
      </w:pPr>
      <w:r w:rsidRPr="009A148E">
        <w:rPr>
          <w:rFonts w:ascii="Arial" w:hAnsi="Arial" w:cs="Arial"/>
          <w:b/>
          <w:bCs/>
          <w:sz w:val="26"/>
          <w:szCs w:val="26"/>
        </w:rPr>
        <w:t>6.</w:t>
      </w:r>
      <w:r w:rsidRPr="009A148E">
        <w:rPr>
          <w:rFonts w:ascii="Arial" w:hAnsi="Arial" w:cs="Arial"/>
          <w:b/>
          <w:bCs/>
          <w:sz w:val="26"/>
          <w:szCs w:val="26"/>
        </w:rPr>
        <w:tab/>
        <w:t>Describe the consequence to Federal programs or policy activities if the collection is not conducted or is conducted less frequently, as well as any technical or legal obstacles to reducing burden.</w:t>
      </w:r>
    </w:p>
    <w:p w:rsidR="005330E3" w:rsidRPr="00D110DD" w14:paraId="61A229A7" w14:textId="07F1B50C">
      <w:pPr>
        <w:tabs>
          <w:tab w:val="left" w:pos="-720"/>
          <w:tab w:val="left" w:pos="0"/>
        </w:tabs>
        <w:suppressAutoHyphens/>
        <w:ind w:left="720" w:hanging="720"/>
        <w:rPr>
          <w:sz w:val="24"/>
          <w:szCs w:val="24"/>
        </w:rPr>
      </w:pPr>
      <w:r w:rsidRPr="00D110DD">
        <w:rPr>
          <w:sz w:val="24"/>
          <w:szCs w:val="24"/>
        </w:rPr>
        <w:t xml:space="preserve"> </w:t>
      </w:r>
      <w:r w:rsidR="009600A3">
        <w:rPr>
          <w:sz w:val="24"/>
          <w:szCs w:val="24"/>
        </w:rPr>
        <w:tab/>
      </w:r>
      <w:r w:rsidRPr="00D110DD">
        <w:rPr>
          <w:sz w:val="24"/>
          <w:szCs w:val="24"/>
        </w:rPr>
        <w:t>The frequency of record</w:t>
      </w:r>
      <w:r w:rsidRPr="00D110DD" w:rsidR="00C2720E">
        <w:rPr>
          <w:sz w:val="24"/>
          <w:szCs w:val="24"/>
        </w:rPr>
        <w:t xml:space="preserve"> </w:t>
      </w:r>
      <w:r w:rsidRPr="00D110DD">
        <w:rPr>
          <w:sz w:val="24"/>
          <w:szCs w:val="24"/>
        </w:rPr>
        <w:t>keeping or reporting is contingent upon the respondent submitting a launch or reentry license application for launch or reentry of a vehicle or operation of a commercial or non-Federal reentry site.</w:t>
      </w:r>
    </w:p>
    <w:p w:rsidR="009A148E" w:rsidRPr="009A148E" w:rsidP="004370DA" w14:paraId="2524D492" w14:textId="77777777">
      <w:pPr>
        <w:keepNext/>
        <w:keepLines/>
        <w:suppressAutoHyphens/>
        <w:spacing w:before="240" w:after="120"/>
        <w:ind w:left="720" w:hanging="720"/>
        <w:outlineLvl w:val="2"/>
        <w:rPr>
          <w:rFonts w:ascii="Arial" w:hAnsi="Arial" w:cs="Arial"/>
          <w:b/>
          <w:bCs/>
          <w:sz w:val="26"/>
          <w:szCs w:val="26"/>
        </w:rPr>
      </w:pPr>
      <w:r w:rsidRPr="009A148E">
        <w:rPr>
          <w:rFonts w:ascii="Arial" w:hAnsi="Arial" w:cs="Arial"/>
          <w:b/>
          <w:bCs/>
          <w:sz w:val="26"/>
          <w:szCs w:val="26"/>
        </w:rPr>
        <w:t>7.</w:t>
      </w:r>
      <w:r w:rsidRPr="009A148E">
        <w:rPr>
          <w:rFonts w:ascii="Arial" w:hAnsi="Arial" w:cs="Arial"/>
          <w:b/>
          <w:bCs/>
          <w:sz w:val="26"/>
          <w:szCs w:val="26"/>
        </w:rPr>
        <w:tab/>
        <w:t>Explain any special circumstances that would cause the requirement to be inconsistent with guidelines 5 CFR 1320.5(d)(2)(i)-(viii).</w:t>
      </w:r>
    </w:p>
    <w:p w:rsidR="005330E3" w:rsidRPr="00D110DD" w14:paraId="10FBA3E8" w14:textId="5C780571">
      <w:pPr>
        <w:tabs>
          <w:tab w:val="left" w:pos="-720"/>
          <w:tab w:val="left" w:pos="0"/>
        </w:tabs>
        <w:suppressAutoHyphens/>
        <w:ind w:left="720" w:hanging="720"/>
        <w:rPr>
          <w:sz w:val="24"/>
          <w:szCs w:val="24"/>
        </w:rPr>
      </w:pPr>
      <w:r>
        <w:rPr>
          <w:sz w:val="22"/>
        </w:rPr>
        <w:t xml:space="preserve"> </w:t>
      </w:r>
      <w:r w:rsidR="009600A3">
        <w:rPr>
          <w:sz w:val="22"/>
        </w:rPr>
        <w:tab/>
      </w:r>
      <w:r w:rsidRPr="00D110DD">
        <w:rPr>
          <w:sz w:val="24"/>
          <w:szCs w:val="24"/>
        </w:rPr>
        <w:t xml:space="preserve">This requirement follows the guidelines in 5 CFR 1320.5(d)(2)(i)-(viii). </w:t>
      </w:r>
    </w:p>
    <w:p w:rsidR="009A148E" w:rsidRPr="009A148E" w:rsidP="004370DA" w14:paraId="20CBBDF8" w14:textId="73386522">
      <w:pPr>
        <w:keepNext/>
        <w:keepLines/>
        <w:suppressAutoHyphens/>
        <w:spacing w:before="240" w:after="120"/>
        <w:ind w:left="720" w:hanging="720"/>
        <w:outlineLvl w:val="2"/>
        <w:rPr>
          <w:rFonts w:ascii="Arial" w:hAnsi="Arial" w:cs="Arial"/>
          <w:b/>
          <w:bCs/>
          <w:sz w:val="26"/>
          <w:szCs w:val="26"/>
        </w:rPr>
      </w:pPr>
      <w:r w:rsidRPr="009A148E">
        <w:rPr>
          <w:rFonts w:ascii="Arial" w:hAnsi="Arial" w:cs="Arial"/>
          <w:b/>
          <w:bCs/>
          <w:sz w:val="26"/>
          <w:szCs w:val="26"/>
        </w:rPr>
        <w:t>8.</w:t>
      </w:r>
      <w:r w:rsidRPr="009A148E">
        <w:rPr>
          <w:rFonts w:ascii="Arial" w:hAnsi="Arial" w:cs="Arial"/>
          <w:b/>
          <w:bCs/>
          <w:sz w:val="26"/>
          <w:szCs w:val="26"/>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70DA" w:rsidP="004370DA" w14:paraId="7AEE45A9" w14:textId="77777777">
      <w:pPr>
        <w:tabs>
          <w:tab w:val="left" w:pos="-720"/>
          <w:tab w:val="left" w:pos="0"/>
        </w:tabs>
        <w:suppressAutoHyphens/>
        <w:ind w:left="720"/>
        <w:rPr>
          <w:sz w:val="24"/>
          <w:szCs w:val="24"/>
        </w:rPr>
      </w:pPr>
      <w:r w:rsidRPr="00D110DD">
        <w:rPr>
          <w:sz w:val="24"/>
          <w:szCs w:val="24"/>
        </w:rPr>
        <w:t>FAA/AST, in February 1999, released information guidelines during a public meeting that describes t</w:t>
      </w:r>
      <w:r w:rsidRPr="00D110DD" w:rsidR="00BA0C58">
        <w:rPr>
          <w:sz w:val="24"/>
          <w:szCs w:val="24"/>
        </w:rPr>
        <w:t xml:space="preserve">he information that an RLV mission license </w:t>
      </w:r>
      <w:r w:rsidRPr="00D110DD">
        <w:rPr>
          <w:sz w:val="24"/>
          <w:szCs w:val="24"/>
        </w:rPr>
        <w:t xml:space="preserve">applicant </w:t>
      </w:r>
      <w:r w:rsidRPr="00D110DD" w:rsidR="00C2720E">
        <w:rPr>
          <w:sz w:val="24"/>
          <w:szCs w:val="24"/>
        </w:rPr>
        <w:t xml:space="preserve">and a reentry vehicle applicant </w:t>
      </w:r>
      <w:r w:rsidRPr="00D110DD">
        <w:rPr>
          <w:sz w:val="24"/>
          <w:szCs w:val="24"/>
        </w:rPr>
        <w:t xml:space="preserve">should provide </w:t>
      </w:r>
      <w:r w:rsidRPr="00D110DD" w:rsidR="00BA0C58">
        <w:rPr>
          <w:sz w:val="24"/>
          <w:szCs w:val="24"/>
        </w:rPr>
        <w:t xml:space="preserve">to FAA/AST </w:t>
      </w:r>
      <w:r w:rsidRPr="00D110DD" w:rsidR="00EB08B7">
        <w:rPr>
          <w:sz w:val="24"/>
          <w:szCs w:val="24"/>
        </w:rPr>
        <w:t>to</w:t>
      </w:r>
      <w:r w:rsidRPr="00D110DD" w:rsidR="00BA0C58">
        <w:rPr>
          <w:sz w:val="24"/>
          <w:szCs w:val="24"/>
        </w:rPr>
        <w:t xml:space="preserve"> receive </w:t>
      </w:r>
      <w:r w:rsidRPr="00D110DD" w:rsidR="00C2720E">
        <w:rPr>
          <w:sz w:val="24"/>
          <w:szCs w:val="24"/>
        </w:rPr>
        <w:t>a</w:t>
      </w:r>
      <w:r w:rsidRPr="00D110DD" w:rsidR="00BA0C58">
        <w:rPr>
          <w:sz w:val="24"/>
          <w:szCs w:val="24"/>
        </w:rPr>
        <w:t>n RLV mission license</w:t>
      </w:r>
      <w:r w:rsidRPr="00D110DD" w:rsidR="00C2720E">
        <w:rPr>
          <w:sz w:val="24"/>
          <w:szCs w:val="24"/>
        </w:rPr>
        <w:t xml:space="preserve"> or reentry license</w:t>
      </w:r>
      <w:r w:rsidRPr="00D110DD">
        <w:rPr>
          <w:sz w:val="24"/>
          <w:szCs w:val="24"/>
        </w:rPr>
        <w:t>. An NPRM was published on April 21, 1999. Comments received were considered in the writing of the final rule.</w:t>
      </w:r>
    </w:p>
    <w:p w:rsidR="004370DA" w:rsidP="004370DA" w14:paraId="13443DDD" w14:textId="77777777">
      <w:pPr>
        <w:tabs>
          <w:tab w:val="left" w:pos="-720"/>
          <w:tab w:val="left" w:pos="0"/>
        </w:tabs>
        <w:suppressAutoHyphens/>
        <w:ind w:left="720"/>
        <w:rPr>
          <w:sz w:val="24"/>
          <w:szCs w:val="24"/>
        </w:rPr>
      </w:pPr>
    </w:p>
    <w:p w:rsidR="00C2720E" w:rsidRPr="00D110DD" w:rsidP="004370DA" w14:paraId="5A18CE8D" w14:textId="3D2F4D78">
      <w:pPr>
        <w:tabs>
          <w:tab w:val="left" w:pos="-720"/>
          <w:tab w:val="left" w:pos="0"/>
        </w:tabs>
        <w:suppressAutoHyphens/>
        <w:ind w:left="720"/>
        <w:rPr>
          <w:sz w:val="24"/>
          <w:szCs w:val="24"/>
        </w:rPr>
      </w:pPr>
      <w:r w:rsidRPr="00D110DD">
        <w:rPr>
          <w:sz w:val="24"/>
          <w:szCs w:val="24"/>
        </w:rPr>
        <w:t xml:space="preserve">A 60-day notice was published in the Federal Register on </w:t>
      </w:r>
      <w:r w:rsidR="009600A3">
        <w:rPr>
          <w:sz w:val="24"/>
          <w:szCs w:val="24"/>
        </w:rPr>
        <w:t>June 24, 2024, 89 FR 52533</w:t>
      </w:r>
      <w:r w:rsidR="007C6A92">
        <w:rPr>
          <w:sz w:val="24"/>
          <w:szCs w:val="24"/>
        </w:rPr>
        <w:t xml:space="preserve"> </w:t>
      </w:r>
      <w:r w:rsidRPr="00D110DD">
        <w:rPr>
          <w:sz w:val="24"/>
          <w:szCs w:val="24"/>
        </w:rPr>
        <w:t>to solicit comments on the collection related to Commercial Space Transportation Reusable Launch Vehicle Reentry Licensing Regulations. No comments were received.</w:t>
      </w:r>
    </w:p>
    <w:p w:rsidR="00C2720E" w14:paraId="04B8D0FE" w14:textId="77777777">
      <w:pPr>
        <w:tabs>
          <w:tab w:val="left" w:pos="-720"/>
        </w:tabs>
        <w:suppressAutoHyphens/>
        <w:rPr>
          <w:sz w:val="22"/>
        </w:rPr>
      </w:pPr>
    </w:p>
    <w:p w:rsidR="004370DA" w14:paraId="4E632623" w14:textId="77777777">
      <w:pPr>
        <w:tabs>
          <w:tab w:val="left" w:pos="-720"/>
          <w:tab w:val="left" w:pos="0"/>
        </w:tabs>
        <w:suppressAutoHyphens/>
        <w:ind w:left="720" w:hanging="720"/>
        <w:rPr>
          <w:sz w:val="22"/>
        </w:rPr>
      </w:pPr>
      <w:r w:rsidRPr="006A7EC1">
        <w:rPr>
          <w:rFonts w:ascii="Calibri" w:hAnsi="Calibri" w:cs="Calibri"/>
          <w:b/>
          <w:sz w:val="26"/>
          <w:szCs w:val="26"/>
        </w:rPr>
        <w:t>9.</w:t>
      </w:r>
      <w:r w:rsidRPr="006A7EC1">
        <w:rPr>
          <w:rFonts w:ascii="Calibri" w:hAnsi="Calibri" w:cs="Calibri"/>
          <w:b/>
          <w:sz w:val="26"/>
          <w:szCs w:val="26"/>
        </w:rPr>
        <w:tab/>
        <w:t>Explain any decisions to provide any payment as gift to respondents, other than remuneration of contractors or grantees.</w:t>
      </w:r>
      <w:r w:rsidR="005330E3">
        <w:rPr>
          <w:sz w:val="22"/>
        </w:rPr>
        <w:t xml:space="preserve"> </w:t>
      </w:r>
    </w:p>
    <w:p w:rsidR="004370DA" w14:paraId="3B7EAC7D" w14:textId="77777777">
      <w:pPr>
        <w:tabs>
          <w:tab w:val="left" w:pos="-720"/>
          <w:tab w:val="left" w:pos="0"/>
        </w:tabs>
        <w:suppressAutoHyphens/>
        <w:ind w:left="720" w:hanging="720"/>
        <w:rPr>
          <w:sz w:val="22"/>
        </w:rPr>
      </w:pPr>
    </w:p>
    <w:p w:rsidR="005330E3" w:rsidP="004370DA" w14:paraId="4136449D" w14:textId="4CBAF610">
      <w:pPr>
        <w:tabs>
          <w:tab w:val="left" w:pos="-720"/>
          <w:tab w:val="left" w:pos="0"/>
        </w:tabs>
        <w:suppressAutoHyphens/>
        <w:ind w:left="720"/>
        <w:rPr>
          <w:sz w:val="22"/>
        </w:rPr>
      </w:pPr>
      <w:r w:rsidRPr="00D110DD">
        <w:rPr>
          <w:sz w:val="24"/>
          <w:szCs w:val="24"/>
        </w:rPr>
        <w:t>No decision was made to provide payments or special compensation to respondents.</w:t>
      </w:r>
    </w:p>
    <w:p w:rsidR="005330E3" w14:paraId="59F3188B" w14:textId="77777777">
      <w:pPr>
        <w:tabs>
          <w:tab w:val="left" w:pos="-720"/>
        </w:tabs>
        <w:suppressAutoHyphens/>
        <w:rPr>
          <w:sz w:val="22"/>
        </w:rPr>
      </w:pPr>
    </w:p>
    <w:p w:rsidR="00902D9C" w:rsidRPr="00902D9C" w:rsidP="004370DA" w14:paraId="5E0180B5" w14:textId="77777777">
      <w:pPr>
        <w:keepNext/>
        <w:keepLines/>
        <w:suppressAutoHyphens/>
        <w:spacing w:before="240" w:after="120"/>
        <w:ind w:left="720" w:hanging="720"/>
        <w:outlineLvl w:val="2"/>
        <w:rPr>
          <w:rFonts w:ascii="Arial" w:hAnsi="Arial" w:cs="Arial"/>
          <w:b/>
          <w:bCs/>
          <w:sz w:val="26"/>
          <w:szCs w:val="26"/>
        </w:rPr>
      </w:pPr>
      <w:r w:rsidRPr="00902D9C">
        <w:rPr>
          <w:rFonts w:ascii="Arial" w:hAnsi="Arial" w:cs="Arial"/>
          <w:b/>
          <w:bCs/>
          <w:sz w:val="26"/>
          <w:szCs w:val="26"/>
        </w:rPr>
        <w:t>10.</w:t>
      </w:r>
      <w:r w:rsidRPr="00902D9C">
        <w:rPr>
          <w:rFonts w:ascii="Arial" w:hAnsi="Arial" w:cs="Arial"/>
          <w:b/>
          <w:bCs/>
          <w:sz w:val="26"/>
          <w:szCs w:val="26"/>
        </w:rPr>
        <w:tab/>
        <w:t>Describe any assurance of confidentiality provided to respondents and the basis for the assurance in statute, regulation, or agency policy.</w:t>
      </w:r>
    </w:p>
    <w:p w:rsidR="005330E3" w:rsidRPr="00D110DD" w14:paraId="7AB39563" w14:textId="27B8AFE3">
      <w:pPr>
        <w:tabs>
          <w:tab w:val="left" w:pos="-720"/>
          <w:tab w:val="left" w:pos="0"/>
        </w:tabs>
        <w:suppressAutoHyphens/>
        <w:ind w:left="720" w:hanging="720"/>
        <w:rPr>
          <w:sz w:val="24"/>
          <w:szCs w:val="24"/>
        </w:rPr>
      </w:pPr>
      <w:r>
        <w:rPr>
          <w:sz w:val="24"/>
          <w:szCs w:val="24"/>
        </w:rPr>
        <w:tab/>
      </w:r>
      <w:r w:rsidRPr="00D110DD">
        <w:rPr>
          <w:sz w:val="24"/>
          <w:szCs w:val="24"/>
        </w:rPr>
        <w:t xml:space="preserve">All information collected, including company proprietary information, will be protected in accordance with </w:t>
      </w:r>
      <w:r w:rsidR="00637E1F">
        <w:rPr>
          <w:sz w:val="24"/>
          <w:szCs w:val="24"/>
        </w:rPr>
        <w:t>P</w:t>
      </w:r>
      <w:r w:rsidRPr="00D110DD" w:rsidR="00705AEA">
        <w:rPr>
          <w:sz w:val="24"/>
          <w:szCs w:val="24"/>
        </w:rPr>
        <w:t>art 413.9 of the Code of Federal Regulations and 49 USC 70114.</w:t>
      </w:r>
    </w:p>
    <w:p w:rsidR="00705AEA" w:rsidRPr="00D110DD" w14:paraId="5676FDE9" w14:textId="77777777">
      <w:pPr>
        <w:tabs>
          <w:tab w:val="left" w:pos="-720"/>
          <w:tab w:val="left" w:pos="0"/>
        </w:tabs>
        <w:suppressAutoHyphens/>
        <w:ind w:left="720" w:hanging="720"/>
        <w:rPr>
          <w:sz w:val="24"/>
          <w:szCs w:val="24"/>
        </w:rPr>
      </w:pPr>
      <w:r w:rsidRPr="00D110DD">
        <w:rPr>
          <w:sz w:val="24"/>
          <w:szCs w:val="24"/>
        </w:rPr>
        <w:tab/>
      </w:r>
    </w:p>
    <w:p w:rsidR="00705AEA" w:rsidRPr="00D110DD" w:rsidP="00705AEA" w14:paraId="2DF7B2BB" w14:textId="77777777">
      <w:pPr>
        <w:autoSpaceDE w:val="0"/>
        <w:autoSpaceDN w:val="0"/>
        <w:adjustRightInd w:val="0"/>
        <w:spacing w:line="240" w:lineRule="atLeast"/>
        <w:ind w:left="720"/>
        <w:rPr>
          <w:color w:val="000000"/>
          <w:sz w:val="24"/>
          <w:szCs w:val="24"/>
        </w:rPr>
      </w:pPr>
      <w:r w:rsidRPr="00D110DD">
        <w:rPr>
          <w:color w:val="000000"/>
          <w:sz w:val="24"/>
          <w:szCs w:val="24"/>
        </w:rPr>
        <w:t>Under Part 413.9</w:t>
      </w:r>
      <w:r w:rsidRPr="00D110DD" w:rsidR="0019566D">
        <w:rPr>
          <w:color w:val="000000"/>
          <w:sz w:val="24"/>
          <w:szCs w:val="24"/>
        </w:rPr>
        <w:t>,</w:t>
      </w:r>
      <w:r w:rsidRPr="00D110DD">
        <w:rPr>
          <w:color w:val="000000"/>
          <w:sz w:val="24"/>
          <w:szCs w:val="24"/>
        </w:rPr>
        <w:t xml:space="preserve"> “Confidentiality</w:t>
      </w:r>
      <w:r w:rsidRPr="00D110DD" w:rsidR="0019566D">
        <w:rPr>
          <w:color w:val="000000"/>
          <w:sz w:val="24"/>
          <w:szCs w:val="24"/>
        </w:rPr>
        <w:t>,</w:t>
      </w:r>
      <w:r w:rsidRPr="00D110DD">
        <w:rPr>
          <w:color w:val="000000"/>
          <w:sz w:val="24"/>
          <w:szCs w:val="24"/>
        </w:rPr>
        <w:t>” of the Code of Federal Regulations:</w:t>
      </w:r>
    </w:p>
    <w:p w:rsidR="00705AEA" w:rsidRPr="00D110DD" w:rsidP="00705AEA" w14:paraId="129076AB" w14:textId="77777777">
      <w:pPr>
        <w:autoSpaceDE w:val="0"/>
        <w:autoSpaceDN w:val="0"/>
        <w:adjustRightInd w:val="0"/>
        <w:spacing w:line="240" w:lineRule="atLeast"/>
        <w:ind w:left="720"/>
        <w:rPr>
          <w:color w:val="000000"/>
          <w:sz w:val="24"/>
          <w:szCs w:val="24"/>
        </w:rPr>
      </w:pPr>
      <w:r w:rsidRPr="00D110DD">
        <w:rPr>
          <w:color w:val="000000"/>
          <w:sz w:val="24"/>
          <w:szCs w:val="24"/>
        </w:rPr>
        <w:t>“(a) Any person furnishing information or data to the FAA may request in writing that trade secrets or proprietary commercial or financial data be treated as confidential....”</w:t>
      </w:r>
    </w:p>
    <w:p w:rsidR="00705AEA" w:rsidRPr="00D110DD" w:rsidP="00705AEA" w14:paraId="4B254394" w14:textId="77777777">
      <w:pPr>
        <w:autoSpaceDE w:val="0"/>
        <w:autoSpaceDN w:val="0"/>
        <w:adjustRightInd w:val="0"/>
        <w:spacing w:line="240" w:lineRule="atLeast"/>
        <w:ind w:left="720"/>
        <w:rPr>
          <w:color w:val="000000"/>
          <w:sz w:val="24"/>
          <w:szCs w:val="24"/>
        </w:rPr>
      </w:pPr>
      <w:r w:rsidRPr="00D110DD">
        <w:rPr>
          <w:color w:val="000000"/>
          <w:sz w:val="24"/>
          <w:szCs w:val="24"/>
        </w:rPr>
        <w:t>... “(d) Information or data for which confidential treatment has been requested or information or data that qualifies for exemption under section 552(b)(4) of Title 5, United States Code, will not be disclosed to the public unless the Associate Administrator determines that the withholding of the information or data is contrary to the public or national interest.”</w:t>
      </w:r>
    </w:p>
    <w:p w:rsidR="00705AEA" w:rsidRPr="00D110DD" w:rsidP="00705AEA" w14:paraId="6F9E6D37" w14:textId="77777777">
      <w:pPr>
        <w:autoSpaceDE w:val="0"/>
        <w:autoSpaceDN w:val="0"/>
        <w:adjustRightInd w:val="0"/>
        <w:spacing w:line="240" w:lineRule="atLeast"/>
        <w:rPr>
          <w:color w:val="000000"/>
          <w:sz w:val="24"/>
          <w:szCs w:val="24"/>
        </w:rPr>
      </w:pPr>
    </w:p>
    <w:p w:rsidR="00705AEA" w:rsidRPr="00D110DD" w:rsidP="00705AEA" w14:paraId="2BD0B8C3" w14:textId="77777777">
      <w:pPr>
        <w:tabs>
          <w:tab w:val="left" w:pos="-720"/>
          <w:tab w:val="left" w:pos="0"/>
        </w:tabs>
        <w:suppressAutoHyphens/>
        <w:ind w:left="720" w:hanging="720"/>
        <w:rPr>
          <w:sz w:val="24"/>
          <w:szCs w:val="24"/>
        </w:rPr>
      </w:pPr>
      <w:r w:rsidRPr="00D110DD">
        <w:rPr>
          <w:color w:val="000000"/>
          <w:sz w:val="24"/>
          <w:szCs w:val="24"/>
        </w:rPr>
        <w:tab/>
        <w:t>49 U.S. Code, Subtitle IX, Chapter 701, Section</w:t>
      </w:r>
      <w:r w:rsidRPr="00D110DD" w:rsidR="0019566D">
        <w:rPr>
          <w:color w:val="000000"/>
          <w:sz w:val="24"/>
          <w:szCs w:val="24"/>
        </w:rPr>
        <w:t xml:space="preserve"> 70114, “Disclosing information,”</w:t>
      </w:r>
      <w:r w:rsidRPr="00D110DD">
        <w:rPr>
          <w:color w:val="000000"/>
          <w:sz w:val="24"/>
          <w:szCs w:val="24"/>
        </w:rPr>
        <w:t xml:space="preserve"> states that “The Secretary of Transportation, an officer or employee of the United States Government, or a person making a contract with the Secretary under section 70106(b) of this title may disclose information under this chapter that qualifies for an exemption under section 552(b)(4) of title 5 or is designated as confidential by the person or head of the executive agency providing the information only if the Secretary decides withholding the information is contrary to the public or national interest.”</w:t>
      </w:r>
    </w:p>
    <w:p w:rsidR="005330E3" w14:paraId="014CEC55" w14:textId="77777777">
      <w:pPr>
        <w:tabs>
          <w:tab w:val="left" w:pos="-720"/>
        </w:tabs>
        <w:suppressAutoHyphens/>
        <w:rPr>
          <w:sz w:val="22"/>
        </w:rPr>
      </w:pPr>
    </w:p>
    <w:p w:rsidR="003161B8" w:rsidRPr="003161B8" w:rsidP="00B276A7" w14:paraId="7F132409" w14:textId="38AF70C3">
      <w:pPr>
        <w:keepNext/>
        <w:keepLines/>
        <w:suppressAutoHyphens/>
        <w:spacing w:before="240" w:after="120"/>
        <w:ind w:left="720" w:hanging="720"/>
        <w:outlineLvl w:val="2"/>
        <w:rPr>
          <w:rFonts w:ascii="Arial" w:hAnsi="Arial" w:cs="Arial"/>
          <w:b/>
          <w:bCs/>
          <w:sz w:val="26"/>
          <w:szCs w:val="26"/>
        </w:rPr>
      </w:pPr>
      <w:r w:rsidRPr="003161B8">
        <w:rPr>
          <w:rFonts w:ascii="Arial" w:hAnsi="Arial" w:cs="Arial"/>
          <w:b/>
          <w:bCs/>
          <w:sz w:val="26"/>
          <w:szCs w:val="26"/>
        </w:rPr>
        <w:t>11.</w:t>
      </w:r>
      <w:r w:rsidRPr="003161B8">
        <w:rPr>
          <w:rFonts w:ascii="Arial" w:hAnsi="Arial" w:cs="Arial"/>
          <w:b/>
          <w:bCs/>
          <w:sz w:val="26"/>
          <w:szCs w:val="26"/>
        </w:rPr>
        <w:tab/>
        <w:t>Provide additional justification for any questions of a sensitive nature.</w:t>
      </w:r>
    </w:p>
    <w:p w:rsidR="005330E3" w:rsidRPr="00D110DD" w:rsidP="004370DA" w14:paraId="1C5A5F17" w14:textId="046BE66D">
      <w:pPr>
        <w:tabs>
          <w:tab w:val="left" w:pos="-720"/>
          <w:tab w:val="left" w:pos="0"/>
        </w:tabs>
        <w:suppressAutoHyphens/>
        <w:ind w:left="720"/>
        <w:rPr>
          <w:sz w:val="24"/>
          <w:szCs w:val="24"/>
        </w:rPr>
      </w:pPr>
      <w:r w:rsidRPr="00D110DD">
        <w:rPr>
          <w:sz w:val="24"/>
          <w:szCs w:val="24"/>
        </w:rPr>
        <w:t>No sensitive information is required.</w:t>
      </w:r>
    </w:p>
    <w:p w:rsidR="005330E3" w14:paraId="51FEB113" w14:textId="77777777">
      <w:pPr>
        <w:tabs>
          <w:tab w:val="left" w:pos="-720"/>
        </w:tabs>
        <w:suppressAutoHyphens/>
        <w:rPr>
          <w:sz w:val="22"/>
        </w:rPr>
      </w:pPr>
    </w:p>
    <w:p w:rsidR="005330E3" w14:paraId="32DBF6D3" w14:textId="77777777">
      <w:pPr>
        <w:tabs>
          <w:tab w:val="left" w:pos="-720"/>
          <w:tab w:val="left" w:pos="0"/>
        </w:tabs>
        <w:suppressAutoHyphens/>
        <w:ind w:left="720" w:hanging="720"/>
        <w:rPr>
          <w:sz w:val="22"/>
          <w:u w:val="single"/>
        </w:rPr>
      </w:pPr>
      <w:r w:rsidRPr="00D110DD">
        <w:rPr>
          <w:rFonts w:ascii="Arial" w:hAnsi="Arial" w:cs="Arial"/>
          <w:b/>
          <w:sz w:val="26"/>
          <w:szCs w:val="26"/>
        </w:rPr>
        <w:t>12.</w:t>
      </w:r>
      <w:r w:rsidRPr="00D110DD">
        <w:rPr>
          <w:rFonts w:ascii="Arial" w:hAnsi="Arial" w:cs="Arial"/>
          <w:b/>
          <w:sz w:val="26"/>
          <w:szCs w:val="26"/>
        </w:rPr>
        <w:tab/>
        <w:t>Provide estimates of the hour burden of the collection of information.</w:t>
      </w:r>
      <w:r>
        <w:rPr>
          <w:sz w:val="22"/>
          <w:u w:val="single"/>
        </w:rPr>
        <w:t xml:space="preserve"> </w:t>
      </w:r>
    </w:p>
    <w:p w:rsidR="006C6DB4" w14:paraId="02AC51D8" w14:textId="77777777">
      <w:pPr>
        <w:tabs>
          <w:tab w:val="left" w:pos="-720"/>
          <w:tab w:val="left" w:pos="0"/>
        </w:tabs>
        <w:suppressAutoHyphens/>
        <w:ind w:left="720" w:hanging="720"/>
        <w:rPr>
          <w:sz w:val="22"/>
        </w:rPr>
      </w:pPr>
    </w:p>
    <w:p w:rsidR="005330E3" w:rsidRPr="00D110DD" w14:paraId="3B98DD16" w14:textId="686E654F">
      <w:pPr>
        <w:tabs>
          <w:tab w:val="left" w:pos="-720"/>
          <w:tab w:val="left" w:pos="0"/>
        </w:tabs>
        <w:suppressAutoHyphens/>
        <w:ind w:left="720" w:hanging="720"/>
        <w:rPr>
          <w:sz w:val="24"/>
          <w:szCs w:val="24"/>
        </w:rPr>
      </w:pPr>
      <w:r>
        <w:rPr>
          <w:sz w:val="22"/>
        </w:rPr>
        <w:tab/>
      </w:r>
      <w:r w:rsidRPr="00D110DD">
        <w:rPr>
          <w:sz w:val="24"/>
          <w:szCs w:val="24"/>
        </w:rPr>
        <w:t xml:space="preserve">The burden estimates for industry in completing the </w:t>
      </w:r>
      <w:r w:rsidRPr="00D110DD" w:rsidR="007016E9">
        <w:rPr>
          <w:sz w:val="24"/>
          <w:szCs w:val="24"/>
        </w:rPr>
        <w:t>RLV mission</w:t>
      </w:r>
      <w:r w:rsidRPr="00D110DD">
        <w:rPr>
          <w:sz w:val="24"/>
          <w:szCs w:val="24"/>
        </w:rPr>
        <w:t xml:space="preserve"> license application are based on the hours required for pre-application consultation, preparation of the license application, and resolution of questions associated with the application process. </w:t>
      </w:r>
      <w:r w:rsidR="00084CF5">
        <w:rPr>
          <w:sz w:val="24"/>
          <w:szCs w:val="24"/>
        </w:rPr>
        <w:t xml:space="preserve">Because Part 450 was published in December of 2020, there are no new licenses under </w:t>
      </w:r>
      <w:r w:rsidR="006C6DB4">
        <w:rPr>
          <w:sz w:val="24"/>
          <w:szCs w:val="24"/>
        </w:rPr>
        <w:t>P</w:t>
      </w:r>
      <w:r w:rsidR="00084CF5">
        <w:rPr>
          <w:sz w:val="24"/>
          <w:szCs w:val="24"/>
        </w:rPr>
        <w:t xml:space="preserve">art 431.  All RLV and reentry operators </w:t>
      </w:r>
      <w:r w:rsidR="00DC3B39">
        <w:rPr>
          <w:sz w:val="24"/>
          <w:szCs w:val="24"/>
        </w:rPr>
        <w:t>must</w:t>
      </w:r>
      <w:r w:rsidR="00084CF5">
        <w:rPr>
          <w:sz w:val="24"/>
          <w:szCs w:val="24"/>
        </w:rPr>
        <w:t xml:space="preserve"> comply with Part 450.  Part 431 operators already h</w:t>
      </w:r>
      <w:r w:rsidR="00B06CA8">
        <w:rPr>
          <w:sz w:val="24"/>
          <w:szCs w:val="24"/>
        </w:rPr>
        <w:t>o</w:t>
      </w:r>
      <w:r w:rsidR="00084CF5">
        <w:rPr>
          <w:sz w:val="24"/>
          <w:szCs w:val="24"/>
        </w:rPr>
        <w:t>lding a lic</w:t>
      </w:r>
      <w:r w:rsidR="00B06CA8">
        <w:rPr>
          <w:sz w:val="24"/>
          <w:szCs w:val="24"/>
        </w:rPr>
        <w:t>e</w:t>
      </w:r>
      <w:r w:rsidR="00084CF5">
        <w:rPr>
          <w:sz w:val="24"/>
          <w:szCs w:val="24"/>
        </w:rPr>
        <w:t>nse at the time Part 450 was published are allowed to operate under P</w:t>
      </w:r>
      <w:r w:rsidR="00B06CA8">
        <w:rPr>
          <w:sz w:val="24"/>
          <w:szCs w:val="24"/>
        </w:rPr>
        <w:t xml:space="preserve">art 431 until 2025.  Part 431 operators can </w:t>
      </w:r>
      <w:r w:rsidR="006C6DB4">
        <w:rPr>
          <w:sz w:val="24"/>
          <w:szCs w:val="24"/>
        </w:rPr>
        <w:t>choose</w:t>
      </w:r>
      <w:r w:rsidR="00B06CA8">
        <w:rPr>
          <w:sz w:val="24"/>
          <w:szCs w:val="24"/>
        </w:rPr>
        <w:t xml:space="preserve"> to transition to Part 450.  Therefore, cost estimates assume all current Part 431 operators will continue to operate under Part 431 for the next three years.  There are 12 licenses currently under Part 431.  No new licenses will be allowed in the next three years and the FAA estimates that 4 operators will renew their </w:t>
      </w:r>
      <w:r w:rsidR="00637E1F">
        <w:rPr>
          <w:sz w:val="24"/>
          <w:szCs w:val="24"/>
        </w:rPr>
        <w:t>P</w:t>
      </w:r>
      <w:r w:rsidR="000412CA">
        <w:rPr>
          <w:sz w:val="24"/>
          <w:szCs w:val="24"/>
        </w:rPr>
        <w:t xml:space="preserve">art </w:t>
      </w:r>
      <w:r w:rsidR="00B06CA8">
        <w:rPr>
          <w:sz w:val="24"/>
          <w:szCs w:val="24"/>
        </w:rPr>
        <w:t>431 license each year</w:t>
      </w:r>
      <w:r w:rsidR="000412CA">
        <w:rPr>
          <w:sz w:val="24"/>
          <w:szCs w:val="24"/>
        </w:rPr>
        <w:t xml:space="preserve"> and 4 operators will modify their </w:t>
      </w:r>
      <w:r w:rsidR="006F61C7">
        <w:rPr>
          <w:sz w:val="24"/>
          <w:szCs w:val="24"/>
        </w:rPr>
        <w:t>P</w:t>
      </w:r>
      <w:r w:rsidR="000412CA">
        <w:rPr>
          <w:sz w:val="24"/>
          <w:szCs w:val="24"/>
        </w:rPr>
        <w:t>art 431 license each year</w:t>
      </w:r>
      <w:r w:rsidRPr="00D110DD" w:rsidR="00C2720E">
        <w:rPr>
          <w:sz w:val="24"/>
          <w:szCs w:val="24"/>
        </w:rPr>
        <w:t xml:space="preserve">. Because of the similarities between reentry vehicles and RLVs, the FAA is using </w:t>
      </w:r>
      <w:r w:rsidRPr="00D110DD" w:rsidR="007D2223">
        <w:rPr>
          <w:sz w:val="24"/>
          <w:szCs w:val="24"/>
        </w:rPr>
        <w:t xml:space="preserve">the </w:t>
      </w:r>
      <w:r w:rsidRPr="00D110DD" w:rsidR="00C2720E">
        <w:rPr>
          <w:sz w:val="24"/>
          <w:szCs w:val="24"/>
        </w:rPr>
        <w:t xml:space="preserve">burden estimates for reentry vehicles based on RLV applications. </w:t>
      </w:r>
    </w:p>
    <w:p w:rsidR="00444803" w:rsidRPr="00D110DD" w14:paraId="72666610" w14:textId="77777777">
      <w:pPr>
        <w:tabs>
          <w:tab w:val="left" w:pos="-720"/>
          <w:tab w:val="left" w:pos="0"/>
        </w:tabs>
        <w:suppressAutoHyphens/>
        <w:ind w:left="720" w:hanging="720"/>
        <w:rPr>
          <w:sz w:val="24"/>
          <w:szCs w:val="24"/>
        </w:rPr>
      </w:pPr>
    </w:p>
    <w:p w:rsidR="005330E3" w:rsidRPr="00D110DD" w14:paraId="6C7505E8" w14:textId="5E2FD7DA">
      <w:pPr>
        <w:tabs>
          <w:tab w:val="left" w:pos="-720"/>
          <w:tab w:val="left" w:pos="0"/>
        </w:tabs>
        <w:suppressAutoHyphens/>
        <w:ind w:left="720" w:hanging="720"/>
        <w:rPr>
          <w:sz w:val="24"/>
          <w:szCs w:val="24"/>
        </w:rPr>
      </w:pPr>
      <w:r w:rsidRPr="00D110DD">
        <w:rPr>
          <w:sz w:val="24"/>
          <w:szCs w:val="24"/>
        </w:rPr>
        <w:tab/>
        <w:t xml:space="preserve"> </w:t>
      </w:r>
      <w:r w:rsidRPr="00D110DD" w:rsidR="00C970A9">
        <w:rPr>
          <w:sz w:val="24"/>
          <w:szCs w:val="24"/>
        </w:rPr>
        <w:t xml:space="preserve">As shown in Table </w:t>
      </w:r>
      <w:r w:rsidR="00FB5407">
        <w:rPr>
          <w:sz w:val="24"/>
          <w:szCs w:val="24"/>
        </w:rPr>
        <w:t>2</w:t>
      </w:r>
      <w:r w:rsidRPr="00D110DD" w:rsidR="00C970A9">
        <w:rPr>
          <w:sz w:val="24"/>
          <w:szCs w:val="24"/>
        </w:rPr>
        <w:t>, the total estimated annualized cost to industry per year for all RLV mission license application</w:t>
      </w:r>
      <w:r w:rsidR="00B06CA8">
        <w:rPr>
          <w:sz w:val="24"/>
          <w:szCs w:val="24"/>
        </w:rPr>
        <w:t xml:space="preserve"> renewals</w:t>
      </w:r>
      <w:r w:rsidRPr="00D110DD" w:rsidR="00C970A9">
        <w:rPr>
          <w:sz w:val="24"/>
          <w:szCs w:val="24"/>
        </w:rPr>
        <w:t xml:space="preserve"> (and reentry vehicles) </w:t>
      </w:r>
      <w:r w:rsidRPr="00D110DD" w:rsidR="00342B43">
        <w:rPr>
          <w:sz w:val="24"/>
          <w:szCs w:val="24"/>
        </w:rPr>
        <w:t>are</w:t>
      </w:r>
      <w:r w:rsidRPr="00D110DD" w:rsidR="00C970A9">
        <w:rPr>
          <w:sz w:val="24"/>
          <w:szCs w:val="24"/>
        </w:rPr>
        <w:t xml:space="preserve"> calculated by multiplying the estimated cost to industry per application </w:t>
      </w:r>
      <w:r w:rsidR="00B06CA8">
        <w:rPr>
          <w:sz w:val="24"/>
          <w:szCs w:val="24"/>
        </w:rPr>
        <w:t xml:space="preserve">renewal </w:t>
      </w:r>
      <w:r w:rsidRPr="00D110DD" w:rsidR="00C970A9">
        <w:rPr>
          <w:sz w:val="24"/>
          <w:szCs w:val="24"/>
        </w:rPr>
        <w:t xml:space="preserve">by the total annual applications. </w:t>
      </w:r>
      <w:r w:rsidRPr="00D110DD">
        <w:rPr>
          <w:sz w:val="24"/>
          <w:szCs w:val="24"/>
        </w:rPr>
        <w:t xml:space="preserve">Discussions with industry representatives resulted in a </w:t>
      </w:r>
      <w:r w:rsidRPr="00D110DD">
        <w:rPr>
          <w:sz w:val="24"/>
          <w:szCs w:val="24"/>
        </w:rPr>
        <w:t xml:space="preserve">substantial range in the estimates of hours required to obtain a </w:t>
      </w:r>
      <w:r w:rsidRPr="00D110DD" w:rsidR="007016E9">
        <w:rPr>
          <w:sz w:val="24"/>
          <w:szCs w:val="24"/>
        </w:rPr>
        <w:t>RLV mission license</w:t>
      </w:r>
      <w:r w:rsidRPr="00D110DD">
        <w:rPr>
          <w:sz w:val="24"/>
          <w:szCs w:val="24"/>
        </w:rPr>
        <w:t xml:space="preserve">. Therefore, hours and cost estimates provided in this document encompass the </w:t>
      </w:r>
      <w:r w:rsidR="00B06CA8">
        <w:rPr>
          <w:sz w:val="24"/>
          <w:szCs w:val="24"/>
        </w:rPr>
        <w:t>average</w:t>
      </w:r>
      <w:r w:rsidRPr="00D110DD" w:rsidR="00B06CA8">
        <w:rPr>
          <w:sz w:val="24"/>
          <w:szCs w:val="24"/>
        </w:rPr>
        <w:t xml:space="preserve"> </w:t>
      </w:r>
      <w:r w:rsidRPr="00D110DD">
        <w:rPr>
          <w:sz w:val="24"/>
          <w:szCs w:val="24"/>
        </w:rPr>
        <w:t xml:space="preserve">of estimates offered by industry. The estimated cost to industry per application ranges from </w:t>
      </w:r>
      <w:r w:rsidR="007416F6">
        <w:rPr>
          <w:sz w:val="24"/>
          <w:szCs w:val="24"/>
        </w:rPr>
        <w:t>3,000 to 15,000 hours</w:t>
      </w:r>
      <w:r w:rsidRPr="00D110DD">
        <w:rPr>
          <w:sz w:val="24"/>
          <w:szCs w:val="24"/>
        </w:rPr>
        <w:t xml:space="preserve">. </w:t>
      </w:r>
      <w:r w:rsidR="007416F6">
        <w:rPr>
          <w:sz w:val="24"/>
          <w:szCs w:val="24"/>
        </w:rPr>
        <w:t xml:space="preserve"> The average cost in hours is 9,000 for an application.  As discussed in the Part 417 supporting statement, a </w:t>
      </w:r>
      <w:r w:rsidR="00077501">
        <w:rPr>
          <w:sz w:val="24"/>
          <w:szCs w:val="24"/>
        </w:rPr>
        <w:t>modification</w:t>
      </w:r>
      <w:r w:rsidR="007416F6">
        <w:rPr>
          <w:sz w:val="24"/>
          <w:szCs w:val="24"/>
        </w:rPr>
        <w:t xml:space="preserve"> is estimated to take half the time of an application</w:t>
      </w:r>
      <w:r w:rsidRPr="00077501" w:rsidR="00077501">
        <w:rPr>
          <w:sz w:val="24"/>
          <w:szCs w:val="24"/>
        </w:rPr>
        <w:t xml:space="preserve"> </w:t>
      </w:r>
      <w:r w:rsidR="00077501">
        <w:rPr>
          <w:sz w:val="24"/>
          <w:szCs w:val="24"/>
        </w:rPr>
        <w:t>and a renewal is estimated to take a tenth of the time of an application</w:t>
      </w:r>
      <w:r w:rsidR="007416F6">
        <w:rPr>
          <w:sz w:val="24"/>
          <w:szCs w:val="24"/>
        </w:rPr>
        <w:t>.  Therefore</w:t>
      </w:r>
      <w:r w:rsidR="00DC3B39">
        <w:rPr>
          <w:sz w:val="24"/>
          <w:szCs w:val="24"/>
        </w:rPr>
        <w:t>,</w:t>
      </w:r>
      <w:r w:rsidR="007416F6">
        <w:rPr>
          <w:sz w:val="24"/>
          <w:szCs w:val="24"/>
        </w:rPr>
        <w:t xml:space="preserve"> the FAA estimates a </w:t>
      </w:r>
      <w:r w:rsidR="00077501">
        <w:rPr>
          <w:sz w:val="24"/>
          <w:szCs w:val="24"/>
        </w:rPr>
        <w:t xml:space="preserve">modification </w:t>
      </w:r>
      <w:r w:rsidR="007416F6">
        <w:rPr>
          <w:sz w:val="24"/>
          <w:szCs w:val="24"/>
        </w:rPr>
        <w:t>will require 4,500 hours ({[3,000+15,000]/2}/2)</w:t>
      </w:r>
      <w:r w:rsidR="00077501">
        <w:rPr>
          <w:sz w:val="24"/>
          <w:szCs w:val="24"/>
        </w:rPr>
        <w:t xml:space="preserve"> and a renewal will require 900 </w:t>
      </w:r>
      <w:r w:rsidR="00E32987">
        <w:rPr>
          <w:sz w:val="24"/>
          <w:szCs w:val="24"/>
        </w:rPr>
        <w:t xml:space="preserve">hours </w:t>
      </w:r>
      <w:r w:rsidR="00077501">
        <w:rPr>
          <w:sz w:val="24"/>
          <w:szCs w:val="24"/>
        </w:rPr>
        <w:t>({[3,000+15,000]/2}/10)</w:t>
      </w:r>
      <w:r w:rsidR="007416F6">
        <w:rPr>
          <w:sz w:val="24"/>
          <w:szCs w:val="24"/>
        </w:rPr>
        <w:t>.</w:t>
      </w:r>
    </w:p>
    <w:p w:rsidR="005330E3" w:rsidRPr="00D110DD" w14:paraId="6070794F" w14:textId="77777777">
      <w:pPr>
        <w:tabs>
          <w:tab w:val="left" w:pos="-720"/>
        </w:tabs>
        <w:suppressAutoHyphens/>
        <w:rPr>
          <w:sz w:val="24"/>
          <w:szCs w:val="24"/>
        </w:rPr>
      </w:pPr>
    </w:p>
    <w:p w:rsidR="00FB5407" w:rsidRPr="00B276A7" w:rsidP="00FB5407" w14:paraId="55EAB86B" w14:textId="3FADAA56">
      <w:pPr>
        <w:tabs>
          <w:tab w:val="left" w:pos="-720"/>
          <w:tab w:val="left" w:pos="0"/>
        </w:tabs>
        <w:suppressAutoHyphens/>
        <w:ind w:left="720" w:hanging="720"/>
        <w:rPr>
          <w:color w:val="E7E6E6" w:themeColor="background2"/>
          <w:sz w:val="24"/>
          <w:szCs w:val="24"/>
        </w:rPr>
      </w:pPr>
      <w:r w:rsidRPr="00D110DD">
        <w:rPr>
          <w:sz w:val="24"/>
          <w:szCs w:val="24"/>
        </w:rPr>
        <w:tab/>
      </w:r>
      <w:r w:rsidRPr="0034174B" w:rsidR="0034174B">
        <w:rPr>
          <w:sz w:val="24"/>
          <w:szCs w:val="24"/>
        </w:rPr>
        <w:t>Presented below are estimates of cost for each section that results in burden costs.  The FAA estimates that the industry hourly rate ($61.10)</w:t>
      </w:r>
      <w:r w:rsidR="006C6DB4">
        <w:rPr>
          <w:sz w:val="24"/>
          <w:szCs w:val="24"/>
        </w:rPr>
        <w:t xml:space="preserve"> </w:t>
      </w:r>
      <w:r w:rsidRPr="0034174B" w:rsidR="0034174B">
        <w:rPr>
          <w:sz w:val="24"/>
          <w:szCs w:val="24"/>
        </w:rPr>
        <w:t>is the mean hourly wage for aerospace engineering personnel involved in gathering, reviewing, and formatting the information required in each license application based on the Bureau of Labor statistics. The industry hourly rate is based on aerospace engineering personnel only; it does not include rates for executive or managerial personnel. We multiplied the hourly wage rate by a fringe benefit rate of 30.03 percent.  Resulting in a fully loaded rate of $79.45.</w:t>
      </w:r>
    </w:p>
    <w:p w:rsidR="00FB5407" w:rsidRPr="00B276A7" w:rsidP="00FB5407" w14:paraId="28B1D037" w14:textId="77777777">
      <w:pPr>
        <w:tabs>
          <w:tab w:val="left" w:pos="-720"/>
          <w:tab w:val="left" w:pos="0"/>
        </w:tabs>
        <w:suppressAutoHyphens/>
        <w:ind w:left="720" w:hanging="720"/>
        <w:rPr>
          <w:color w:val="E7E6E6" w:themeColor="background2"/>
          <w:sz w:val="24"/>
          <w:szCs w:val="24"/>
        </w:rPr>
      </w:pPr>
    </w:p>
    <w:p w:rsidR="006C6DB4" w:rsidP="006C6DB4" w14:paraId="4BDAB09A" w14:textId="1FB5F218">
      <w:pPr>
        <w:keepNext/>
        <w:keepLines/>
        <w:suppressAutoHyphens/>
        <w:spacing w:before="240" w:after="120"/>
        <w:ind w:left="475" w:hanging="475"/>
        <w:outlineLvl w:val="2"/>
        <w:rPr>
          <w:rFonts w:ascii="Arial" w:hAnsi="Arial" w:cs="Arial"/>
          <w:b/>
          <w:bCs/>
          <w:sz w:val="26"/>
          <w:szCs w:val="26"/>
        </w:rPr>
      </w:pPr>
      <w:bookmarkStart w:id="0" w:name="_Toc38678150"/>
      <w:bookmarkStart w:id="1" w:name="_Toc71093546"/>
      <w:r w:rsidRPr="00FB5407">
        <w:rPr>
          <w:rFonts w:ascii="Arial" w:hAnsi="Arial" w:cs="Arial"/>
          <w:b/>
          <w:bCs/>
          <w:sz w:val="26"/>
          <w:szCs w:val="26"/>
        </w:rPr>
        <w:t>TABLE 1. Private Sector Fringe Benefit Factors</w:t>
      </w:r>
      <w:bookmarkEnd w:id="0"/>
      <w:bookmarkEnd w:id="1"/>
      <w:r w:rsidRPr="00FB5407">
        <w:rPr>
          <w:rFonts w:ascii="Arial" w:hAnsi="Arial" w:cs="Arial"/>
          <w:b/>
          <w:bCs/>
          <w:sz w:val="26"/>
          <w:szCs w:val="26"/>
        </w:rPr>
        <w:t xml:space="preserve"> and Loaded Salary</w:t>
      </w:r>
    </w:p>
    <w:p w:rsidR="00965257" w:rsidRPr="000412CA" w:rsidP="00965257" w14:paraId="3B89D5ED" w14:textId="77777777">
      <w:pPr>
        <w:ind w:left="720" w:right="720"/>
        <w:rPr>
          <w:rFonts w:cs="Arial"/>
          <w:sz w:val="24"/>
          <w:szCs w:val="24"/>
          <w:vertAlign w:val="superscrip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040"/>
        <w:gridCol w:w="2880"/>
      </w:tblGrid>
      <w:tr w14:paraId="0B9E6A44" w14:textId="77777777" w:rsidTr="00010674">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cantSplit/>
          <w:trHeight w:val="144"/>
          <w:jc w:val="center"/>
        </w:trPr>
        <w:tc>
          <w:tcPr>
            <w:tcW w:w="5040" w:type="dxa"/>
            <w:shd w:val="pct10" w:color="auto" w:fill="auto"/>
          </w:tcPr>
          <w:p w:rsidR="00FB5407" w:rsidRPr="00FB5407" w:rsidP="00FB5407" w14:paraId="7CF33A64" w14:textId="77777777">
            <w:pPr>
              <w:keepNext/>
              <w:suppressAutoHyphens/>
              <w:jc w:val="center"/>
              <w:outlineLvl w:val="5"/>
              <w:rPr>
                <w:rFonts w:ascii="Arial" w:hAnsi="Arial"/>
                <w:b/>
                <w:bCs/>
                <w:sz w:val="24"/>
                <w:szCs w:val="24"/>
              </w:rPr>
            </w:pPr>
            <w:r w:rsidRPr="00FB5407">
              <w:rPr>
                <w:rFonts w:ascii="Arial" w:hAnsi="Arial"/>
                <w:b/>
                <w:bCs/>
                <w:sz w:val="24"/>
                <w:szCs w:val="24"/>
              </w:rPr>
              <w:t>Category</w:t>
            </w:r>
          </w:p>
        </w:tc>
        <w:tc>
          <w:tcPr>
            <w:tcW w:w="2880" w:type="dxa"/>
            <w:shd w:val="pct10" w:color="auto" w:fill="auto"/>
          </w:tcPr>
          <w:p w:rsidR="00FB5407" w:rsidRPr="00FB5407" w:rsidP="00FB5407" w14:paraId="1A13FB5A" w14:textId="77777777">
            <w:pPr>
              <w:keepNext/>
              <w:suppressAutoHyphens/>
              <w:jc w:val="center"/>
              <w:outlineLvl w:val="5"/>
              <w:rPr>
                <w:rFonts w:ascii="Arial" w:hAnsi="Arial"/>
                <w:b/>
                <w:bCs/>
                <w:sz w:val="24"/>
                <w:szCs w:val="24"/>
              </w:rPr>
            </w:pPr>
            <w:r w:rsidRPr="00FB5407">
              <w:rPr>
                <w:rFonts w:ascii="Arial" w:hAnsi="Arial"/>
                <w:b/>
                <w:bCs/>
                <w:sz w:val="24"/>
                <w:szCs w:val="24"/>
              </w:rPr>
              <w:t>Government Factor</w:t>
            </w:r>
          </w:p>
        </w:tc>
      </w:tr>
      <w:tr w14:paraId="3401D578" w14:textId="77777777" w:rsidTr="00010674">
        <w:tblPrEx>
          <w:tblW w:w="0" w:type="auto"/>
          <w:jc w:val="center"/>
          <w:tblLook w:val="0000"/>
        </w:tblPrEx>
        <w:trPr>
          <w:cantSplit/>
          <w:jc w:val="center"/>
        </w:trPr>
        <w:tc>
          <w:tcPr>
            <w:tcW w:w="5040" w:type="dxa"/>
          </w:tcPr>
          <w:p w:rsidR="00FB5407" w:rsidRPr="00F139C4" w:rsidP="00FB5407" w14:paraId="575F5984" w14:textId="77777777">
            <w:pPr>
              <w:keepNext/>
              <w:keepLines/>
              <w:tabs>
                <w:tab w:val="left" w:pos="-720"/>
              </w:tabs>
              <w:suppressAutoHyphens/>
              <w:rPr>
                <w:sz w:val="24"/>
                <w:szCs w:val="24"/>
              </w:rPr>
            </w:pPr>
            <w:r w:rsidRPr="00F139C4">
              <w:rPr>
                <w:sz w:val="24"/>
                <w:szCs w:val="24"/>
              </w:rPr>
              <w:t>Total Fringe Benefit</w:t>
            </w:r>
          </w:p>
        </w:tc>
        <w:tc>
          <w:tcPr>
            <w:tcW w:w="2880" w:type="dxa"/>
            <w:vAlign w:val="bottom"/>
          </w:tcPr>
          <w:p w:rsidR="00FB5407" w:rsidRPr="00F139C4" w:rsidP="00FB5407" w14:paraId="7FF9FA3C" w14:textId="77777777">
            <w:pPr>
              <w:keepNext/>
              <w:keepLines/>
              <w:tabs>
                <w:tab w:val="left" w:pos="-720"/>
              </w:tabs>
              <w:suppressAutoHyphens/>
              <w:jc w:val="center"/>
              <w:rPr>
                <w:sz w:val="24"/>
                <w:szCs w:val="24"/>
              </w:rPr>
            </w:pPr>
            <w:r w:rsidRPr="00F139C4">
              <w:rPr>
                <w:sz w:val="24"/>
                <w:szCs w:val="24"/>
              </w:rPr>
              <w:t>30.03%</w:t>
            </w:r>
          </w:p>
        </w:tc>
      </w:tr>
      <w:tr w14:paraId="25792A67" w14:textId="77777777" w:rsidTr="00010674">
        <w:tblPrEx>
          <w:tblW w:w="0" w:type="auto"/>
          <w:jc w:val="center"/>
          <w:tblLook w:val="0000"/>
        </w:tblPrEx>
        <w:trPr>
          <w:cantSplit/>
          <w:jc w:val="center"/>
        </w:trPr>
        <w:tc>
          <w:tcPr>
            <w:tcW w:w="5040" w:type="dxa"/>
          </w:tcPr>
          <w:p w:rsidR="00FB5407" w:rsidRPr="00F139C4" w:rsidP="00FB5407" w14:paraId="4567383B" w14:textId="3E63C1AB">
            <w:pPr>
              <w:keepNext/>
              <w:keepLines/>
              <w:tabs>
                <w:tab w:val="left" w:pos="-720"/>
              </w:tabs>
              <w:suppressAutoHyphens/>
              <w:rPr>
                <w:sz w:val="24"/>
                <w:szCs w:val="24"/>
              </w:rPr>
            </w:pPr>
            <w:r w:rsidRPr="00F139C4">
              <w:rPr>
                <w:sz w:val="24"/>
                <w:szCs w:val="24"/>
              </w:rPr>
              <w:t xml:space="preserve">Industry Loaded </w:t>
            </w:r>
            <w:r w:rsidR="0034174B">
              <w:rPr>
                <w:sz w:val="24"/>
                <w:szCs w:val="24"/>
              </w:rPr>
              <w:t xml:space="preserve">Hourly </w:t>
            </w:r>
            <w:r w:rsidR="006C6DB4">
              <w:rPr>
                <w:sz w:val="24"/>
                <w:szCs w:val="24"/>
              </w:rPr>
              <w:t>R</w:t>
            </w:r>
            <w:r w:rsidR="0034174B">
              <w:rPr>
                <w:sz w:val="24"/>
                <w:szCs w:val="24"/>
              </w:rPr>
              <w:t>ate</w:t>
            </w:r>
            <w:r w:rsidRPr="00F139C4" w:rsidR="0034174B">
              <w:rPr>
                <w:sz w:val="24"/>
                <w:szCs w:val="24"/>
                <w:vertAlign w:val="superscript"/>
              </w:rPr>
              <w:t>a</w:t>
            </w:r>
          </w:p>
        </w:tc>
        <w:tc>
          <w:tcPr>
            <w:tcW w:w="2880" w:type="dxa"/>
          </w:tcPr>
          <w:p w:rsidR="00FB5407" w:rsidRPr="00F139C4" w:rsidP="00FB5407" w14:paraId="23E50EE5" w14:textId="7709F0FD">
            <w:pPr>
              <w:keepNext/>
              <w:keepLines/>
              <w:tabs>
                <w:tab w:val="left" w:pos="-720"/>
              </w:tabs>
              <w:suppressAutoHyphens/>
              <w:jc w:val="center"/>
              <w:rPr>
                <w:sz w:val="24"/>
                <w:szCs w:val="24"/>
              </w:rPr>
            </w:pPr>
            <w:r w:rsidRPr="008D74D6">
              <w:rPr>
                <w:sz w:val="24"/>
                <w:szCs w:val="24"/>
              </w:rPr>
              <w:t>$</w:t>
            </w:r>
            <w:r w:rsidR="0034174B">
              <w:rPr>
                <w:sz w:val="24"/>
                <w:szCs w:val="24"/>
              </w:rPr>
              <w:t>79.</w:t>
            </w:r>
            <w:r w:rsidR="00511BB6">
              <w:rPr>
                <w:sz w:val="24"/>
                <w:szCs w:val="24"/>
              </w:rPr>
              <w:t>45</w:t>
            </w:r>
          </w:p>
        </w:tc>
      </w:tr>
    </w:tbl>
    <w:p w:rsidR="00FB5407" w:rsidRPr="00125B19" w:rsidP="00FB5407" w14:paraId="345C88A3" w14:textId="6D997D70">
      <w:pPr>
        <w:ind w:left="720" w:right="720"/>
        <w:rPr>
          <w:sz w:val="24"/>
          <w:szCs w:val="24"/>
        </w:rPr>
      </w:pPr>
      <w:r w:rsidRPr="00F139C4">
        <w:rPr>
          <w:sz w:val="24"/>
          <w:szCs w:val="24"/>
        </w:rPr>
        <w:t>Source</w:t>
      </w:r>
      <w:r w:rsidRPr="008D74D6">
        <w:rPr>
          <w:sz w:val="24"/>
          <w:szCs w:val="24"/>
        </w:rPr>
        <w:t xml:space="preserve">:  </w:t>
      </w:r>
      <w:r w:rsidRPr="008D74D6">
        <w:rPr>
          <w:bCs/>
          <w:color w:val="555555"/>
          <w:sz w:val="24"/>
          <w:szCs w:val="24"/>
        </w:rPr>
        <w:t xml:space="preserve">Bureau of Labor statistics hourly rate of </w:t>
      </w:r>
      <w:r w:rsidRPr="006C6DB4">
        <w:rPr>
          <w:bCs/>
          <w:color w:val="555555"/>
          <w:sz w:val="24"/>
          <w:szCs w:val="24"/>
        </w:rPr>
        <w:t>$</w:t>
      </w:r>
      <w:r w:rsidRPr="006C6DB4" w:rsidR="0034174B">
        <w:rPr>
          <w:bCs/>
          <w:color w:val="555555"/>
          <w:sz w:val="24"/>
          <w:szCs w:val="24"/>
        </w:rPr>
        <w:t>61.10</w:t>
      </w:r>
      <w:r w:rsidRPr="006C6DB4">
        <w:rPr>
          <w:bCs/>
          <w:color w:val="555555"/>
          <w:sz w:val="24"/>
          <w:szCs w:val="24"/>
        </w:rPr>
        <w:t xml:space="preserve">. for an Aerospace Engineer in the Occupational Employment and Wages, May </w:t>
      </w:r>
      <w:r w:rsidRPr="006C6DB4" w:rsidR="0034174B">
        <w:rPr>
          <w:bCs/>
          <w:color w:val="555555"/>
          <w:sz w:val="24"/>
          <w:szCs w:val="24"/>
        </w:rPr>
        <w:t>2024</w:t>
      </w:r>
      <w:r w:rsidRPr="008D74D6" w:rsidR="0034174B">
        <w:rPr>
          <w:bCs/>
          <w:color w:val="555555"/>
          <w:sz w:val="24"/>
          <w:szCs w:val="24"/>
        </w:rPr>
        <w:t xml:space="preserve"> </w:t>
      </w:r>
      <w:r w:rsidRPr="008D74D6">
        <w:rPr>
          <w:bCs/>
          <w:color w:val="555555"/>
          <w:sz w:val="24"/>
          <w:szCs w:val="24"/>
        </w:rPr>
        <w:t>(https://www.bls.gov/oes/current/oes172011.htm)</w:t>
      </w:r>
      <w:r w:rsidRPr="00F139C4">
        <w:rPr>
          <w:bCs/>
          <w:color w:val="555555"/>
          <w:sz w:val="24"/>
          <w:szCs w:val="24"/>
        </w:rPr>
        <w:t xml:space="preserve"> and an hourly benefit rate for a professional and related percentage of total compensation of 30.3% in table 4 of the Employer Costs for Employee compensation for private industry workers by occupation and industry (https://www.bls.gov/news.release/pdf/ecec.pdf)</w:t>
      </w:r>
      <w:r w:rsidRPr="00FB5407">
        <w:rPr>
          <w:sz w:val="24"/>
          <w:szCs w:val="24"/>
          <w:vertAlign w:val="superscript"/>
        </w:rPr>
        <w:t>a</w:t>
      </w:r>
      <w:r w:rsidRPr="00FB5407">
        <w:rPr>
          <w:sz w:val="24"/>
          <w:szCs w:val="24"/>
        </w:rPr>
        <w:t xml:space="preserve"> Calculated as $</w:t>
      </w:r>
      <w:r w:rsidR="0034174B">
        <w:rPr>
          <w:sz w:val="24"/>
          <w:szCs w:val="24"/>
        </w:rPr>
        <w:t>61.10</w:t>
      </w:r>
      <w:r w:rsidRPr="00FE289D">
        <w:rPr>
          <w:sz w:val="24"/>
          <w:szCs w:val="24"/>
        </w:rPr>
        <w:t xml:space="preserve"> × 1.30</w:t>
      </w:r>
      <w:r w:rsidR="00511BB6">
        <w:rPr>
          <w:sz w:val="24"/>
          <w:szCs w:val="24"/>
        </w:rPr>
        <w:t>0</w:t>
      </w:r>
      <w:r w:rsidRPr="00FE289D">
        <w:rPr>
          <w:sz w:val="24"/>
          <w:szCs w:val="24"/>
        </w:rPr>
        <w:t>3 = $</w:t>
      </w:r>
      <w:r w:rsidR="0034174B">
        <w:rPr>
          <w:sz w:val="24"/>
          <w:szCs w:val="24"/>
        </w:rPr>
        <w:t>79.</w:t>
      </w:r>
      <w:r w:rsidR="00511BB6">
        <w:rPr>
          <w:sz w:val="24"/>
          <w:szCs w:val="24"/>
        </w:rPr>
        <w:t>45</w:t>
      </w:r>
      <w:r w:rsidRPr="00125B19">
        <w:rPr>
          <w:sz w:val="24"/>
          <w:szCs w:val="24"/>
        </w:rPr>
        <w:t>.</w:t>
      </w:r>
    </w:p>
    <w:p w:rsidR="005330E3" w:rsidP="00FB5407" w14:paraId="5CF2992C" w14:textId="77777777">
      <w:pPr>
        <w:tabs>
          <w:tab w:val="left" w:pos="-720"/>
          <w:tab w:val="left" w:pos="0"/>
        </w:tabs>
        <w:suppressAutoHyphens/>
        <w:ind w:left="720" w:hanging="720"/>
        <w:rPr>
          <w:sz w:val="22"/>
        </w:rPr>
      </w:pPr>
      <w:r>
        <w:rPr>
          <w:sz w:val="22"/>
        </w:rPr>
        <w:tab/>
      </w:r>
      <w:r>
        <w:rPr>
          <w:sz w:val="22"/>
        </w:rPr>
        <w:tab/>
        <w:t xml:space="preserve">  </w:t>
      </w:r>
    </w:p>
    <w:p w:rsidR="00FE289D" w:rsidP="00FE289D" w14:paraId="61EB2385" w14:textId="28AC508F">
      <w:pPr>
        <w:tabs>
          <w:tab w:val="left" w:pos="-720"/>
        </w:tabs>
        <w:suppressAutoHyphens/>
        <w:ind w:left="720"/>
        <w:rPr>
          <w:bCs/>
          <w:sz w:val="24"/>
          <w:szCs w:val="24"/>
        </w:rPr>
      </w:pPr>
      <w:r w:rsidRPr="00F139C4">
        <w:rPr>
          <w:bCs/>
          <w:sz w:val="24"/>
          <w:szCs w:val="24"/>
        </w:rPr>
        <w:t>Multiplying the industry collection of information hourly burden by the industry hourly labor cost yields $</w:t>
      </w:r>
      <w:r w:rsidR="004F3AFB">
        <w:rPr>
          <w:bCs/>
          <w:sz w:val="24"/>
          <w:szCs w:val="24"/>
        </w:rPr>
        <w:t>71</w:t>
      </w:r>
      <w:r w:rsidR="00511BB6">
        <w:rPr>
          <w:bCs/>
          <w:sz w:val="24"/>
          <w:szCs w:val="24"/>
        </w:rPr>
        <w:t>5,050</w:t>
      </w:r>
      <w:r w:rsidRPr="00F139C4">
        <w:rPr>
          <w:bCs/>
          <w:sz w:val="24"/>
          <w:szCs w:val="24"/>
        </w:rPr>
        <w:t xml:space="preserve">(calculated as </w:t>
      </w:r>
      <w:r w:rsidR="00284966">
        <w:rPr>
          <w:bCs/>
          <w:sz w:val="24"/>
          <w:szCs w:val="24"/>
        </w:rPr>
        <w:t>9,000</w:t>
      </w:r>
      <w:r w:rsidRPr="00F139C4">
        <w:rPr>
          <w:bCs/>
          <w:sz w:val="24"/>
          <w:szCs w:val="24"/>
        </w:rPr>
        <w:t xml:space="preserve"> × $</w:t>
      </w:r>
      <w:r w:rsidRPr="00F139C4" w:rsidR="004F3AFB">
        <w:rPr>
          <w:bCs/>
          <w:sz w:val="24"/>
          <w:szCs w:val="24"/>
        </w:rPr>
        <w:t>7</w:t>
      </w:r>
      <w:r w:rsidR="004F3AFB">
        <w:rPr>
          <w:bCs/>
          <w:sz w:val="24"/>
          <w:szCs w:val="24"/>
        </w:rPr>
        <w:t>9</w:t>
      </w:r>
      <w:r w:rsidRPr="00F139C4">
        <w:rPr>
          <w:bCs/>
          <w:sz w:val="24"/>
          <w:szCs w:val="24"/>
        </w:rPr>
        <w:t>.</w:t>
      </w:r>
      <w:r w:rsidR="00511BB6">
        <w:rPr>
          <w:bCs/>
          <w:sz w:val="24"/>
          <w:szCs w:val="24"/>
        </w:rPr>
        <w:t>45</w:t>
      </w:r>
      <w:r w:rsidRPr="00F139C4" w:rsidR="004F3AFB">
        <w:rPr>
          <w:bCs/>
          <w:sz w:val="24"/>
          <w:szCs w:val="24"/>
        </w:rPr>
        <w:t xml:space="preserve"> </w:t>
      </w:r>
      <w:r w:rsidRPr="00F139C4">
        <w:rPr>
          <w:bCs/>
          <w:sz w:val="24"/>
          <w:szCs w:val="24"/>
        </w:rPr>
        <w:t>= $</w:t>
      </w:r>
      <w:r w:rsidR="004F3AFB">
        <w:rPr>
          <w:bCs/>
          <w:sz w:val="24"/>
          <w:szCs w:val="24"/>
        </w:rPr>
        <w:t>71</w:t>
      </w:r>
      <w:r w:rsidR="00511BB6">
        <w:rPr>
          <w:bCs/>
          <w:sz w:val="24"/>
          <w:szCs w:val="24"/>
        </w:rPr>
        <w:t>5,050</w:t>
      </w:r>
      <w:r w:rsidRPr="00F139C4">
        <w:rPr>
          <w:bCs/>
          <w:sz w:val="24"/>
          <w:szCs w:val="24"/>
        </w:rPr>
        <w:t>) per initial application, $</w:t>
      </w:r>
      <w:r w:rsidR="004F3AFB">
        <w:rPr>
          <w:bCs/>
          <w:sz w:val="24"/>
          <w:szCs w:val="24"/>
        </w:rPr>
        <w:t>3</w:t>
      </w:r>
      <w:r w:rsidR="00511BB6">
        <w:rPr>
          <w:bCs/>
          <w:sz w:val="24"/>
          <w:szCs w:val="24"/>
        </w:rPr>
        <w:t xml:space="preserve">57,525 </w:t>
      </w:r>
      <w:r w:rsidRPr="00F139C4">
        <w:rPr>
          <w:bCs/>
          <w:sz w:val="24"/>
          <w:szCs w:val="24"/>
        </w:rPr>
        <w:t>for a major license modification application (calculated as 50% of the initial application cost) and $</w:t>
      </w:r>
      <w:r w:rsidR="004F3AFB">
        <w:rPr>
          <w:bCs/>
          <w:sz w:val="24"/>
          <w:szCs w:val="24"/>
        </w:rPr>
        <w:t>71,</w:t>
      </w:r>
      <w:r w:rsidR="00511BB6">
        <w:rPr>
          <w:bCs/>
          <w:sz w:val="24"/>
          <w:szCs w:val="24"/>
        </w:rPr>
        <w:t>505</w:t>
      </w:r>
      <w:r w:rsidRPr="00F139C4">
        <w:rPr>
          <w:bCs/>
          <w:sz w:val="24"/>
          <w:szCs w:val="24"/>
        </w:rPr>
        <w:t xml:space="preserve"> for a license renewal application (calculated as 10% of the initial application cost).  Multiplying the application cost by the estimated annual number of applications yields the annual information collection cost burden to industry associated with the regulations — $0 for initial license applications (cost is $0 because no new licenses will be issued under </w:t>
      </w:r>
      <w:r w:rsidR="006C6DB4">
        <w:rPr>
          <w:bCs/>
          <w:sz w:val="24"/>
          <w:szCs w:val="24"/>
        </w:rPr>
        <w:t>P</w:t>
      </w:r>
      <w:r w:rsidRPr="00F139C4">
        <w:rPr>
          <w:bCs/>
          <w:sz w:val="24"/>
          <w:szCs w:val="24"/>
        </w:rPr>
        <w:t xml:space="preserve">art </w:t>
      </w:r>
      <w:r w:rsidRPr="00F139C4" w:rsidR="00771941">
        <w:rPr>
          <w:bCs/>
          <w:sz w:val="24"/>
          <w:szCs w:val="24"/>
        </w:rPr>
        <w:t>4</w:t>
      </w:r>
      <w:r w:rsidR="00771941">
        <w:rPr>
          <w:bCs/>
          <w:sz w:val="24"/>
          <w:szCs w:val="24"/>
        </w:rPr>
        <w:t>31</w:t>
      </w:r>
      <w:r w:rsidRPr="00F139C4">
        <w:rPr>
          <w:bCs/>
          <w:sz w:val="24"/>
          <w:szCs w:val="24"/>
        </w:rPr>
        <w:t xml:space="preserve">, all new licenses will be issued under </w:t>
      </w:r>
      <w:r w:rsidR="006F61C7">
        <w:rPr>
          <w:bCs/>
          <w:sz w:val="24"/>
          <w:szCs w:val="24"/>
        </w:rPr>
        <w:t>P</w:t>
      </w:r>
      <w:r w:rsidRPr="00F139C4">
        <w:rPr>
          <w:bCs/>
          <w:sz w:val="24"/>
          <w:szCs w:val="24"/>
        </w:rPr>
        <w:t>art 450), $</w:t>
      </w:r>
      <w:r w:rsidR="00284966">
        <w:rPr>
          <w:bCs/>
          <w:sz w:val="24"/>
          <w:szCs w:val="24"/>
        </w:rPr>
        <w:t>1,</w:t>
      </w:r>
      <w:r w:rsidR="00377298">
        <w:rPr>
          <w:bCs/>
          <w:sz w:val="24"/>
          <w:szCs w:val="24"/>
        </w:rPr>
        <w:t>43</w:t>
      </w:r>
      <w:r w:rsidR="00511BB6">
        <w:rPr>
          <w:bCs/>
          <w:sz w:val="24"/>
          <w:szCs w:val="24"/>
        </w:rPr>
        <w:t>0,100</w:t>
      </w:r>
      <w:r w:rsidRPr="00F139C4">
        <w:rPr>
          <w:bCs/>
          <w:sz w:val="24"/>
          <w:szCs w:val="24"/>
        </w:rPr>
        <w:t xml:space="preserve"> for major license modifications, and $</w:t>
      </w:r>
      <w:r w:rsidR="00377298">
        <w:rPr>
          <w:bCs/>
          <w:sz w:val="24"/>
          <w:szCs w:val="24"/>
        </w:rPr>
        <w:t>286,</w:t>
      </w:r>
      <w:r w:rsidR="00E61802">
        <w:rPr>
          <w:bCs/>
          <w:sz w:val="24"/>
          <w:szCs w:val="24"/>
        </w:rPr>
        <w:t>020</w:t>
      </w:r>
      <w:r w:rsidR="006F61C7">
        <w:rPr>
          <w:bCs/>
          <w:sz w:val="24"/>
          <w:szCs w:val="24"/>
        </w:rPr>
        <w:t xml:space="preserve"> </w:t>
      </w:r>
      <w:r w:rsidRPr="00F139C4">
        <w:rPr>
          <w:bCs/>
          <w:sz w:val="24"/>
          <w:szCs w:val="24"/>
        </w:rPr>
        <w:t>for renewal applications.  This is summarized in Table 2.</w:t>
      </w:r>
    </w:p>
    <w:p w:rsidR="000B7BB9" w:rsidRPr="00492766" w:rsidP="00FE289D" w14:paraId="14BE8CCC" w14:textId="77777777">
      <w:pPr>
        <w:tabs>
          <w:tab w:val="left" w:pos="-720"/>
        </w:tabs>
        <w:suppressAutoHyphens/>
        <w:ind w:left="720"/>
        <w:rPr>
          <w:bCs/>
          <w:sz w:val="24"/>
          <w:szCs w:val="24"/>
        </w:rPr>
      </w:pPr>
    </w:p>
    <w:p w:rsidR="000412CA" w:rsidRPr="000412CA" w:rsidP="000412CA" w14:paraId="6D2C1BAA" w14:textId="77777777">
      <w:pPr>
        <w:keepNext/>
        <w:keepLines/>
        <w:suppressAutoHyphens/>
        <w:spacing w:before="240" w:after="120"/>
        <w:ind w:left="475" w:hanging="475"/>
        <w:outlineLvl w:val="2"/>
        <w:rPr>
          <w:rFonts w:ascii="Arial" w:hAnsi="Arial" w:cs="Arial"/>
          <w:b/>
          <w:bCs/>
          <w:sz w:val="26"/>
          <w:szCs w:val="26"/>
        </w:rPr>
      </w:pPr>
      <w:r w:rsidRPr="000412CA">
        <w:rPr>
          <w:rFonts w:ascii="Arial" w:hAnsi="Arial" w:cs="Arial"/>
          <w:b/>
          <w:bCs/>
          <w:sz w:val="26"/>
          <w:szCs w:val="26"/>
        </w:rPr>
        <w:t>TABLE 2.  Collection of Information Burden to Industry</w:t>
      </w:r>
    </w:p>
    <w:p w:rsidR="000412CA" w:rsidRPr="000412CA" w:rsidP="000412CA" w14:paraId="502E3361" w14:textId="77777777">
      <w:pPr>
        <w:ind w:left="720" w:right="720"/>
        <w:rPr>
          <w:rFonts w:cs="Arial"/>
          <w:sz w:val="24"/>
          <w:szCs w:val="24"/>
          <w:vertAlign w:val="superscript"/>
        </w:rPr>
      </w:pPr>
    </w:p>
    <w:tbl>
      <w:tblPr>
        <w:tblW w:w="101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3296"/>
        <w:gridCol w:w="1800"/>
        <w:gridCol w:w="1890"/>
        <w:gridCol w:w="1800"/>
        <w:gridCol w:w="1350"/>
      </w:tblGrid>
      <w:tr w14:paraId="6D92DF77" w14:textId="77777777" w:rsidTr="006C6DB4">
        <w:tblPrEx>
          <w:tblW w:w="101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Ex>
        <w:trPr>
          <w:cantSplit/>
          <w:trHeight w:val="144"/>
          <w:tblHeader/>
        </w:trPr>
        <w:tc>
          <w:tcPr>
            <w:tcW w:w="3296" w:type="dxa"/>
            <w:vMerge w:val="restart"/>
            <w:tcBorders>
              <w:top w:val="single" w:sz="4" w:space="0" w:color="auto"/>
              <w:left w:val="single" w:sz="4" w:space="0" w:color="auto"/>
              <w:right w:val="single" w:sz="4" w:space="0" w:color="auto"/>
            </w:tcBorders>
            <w:shd w:val="clear" w:color="auto" w:fill="E6E6E6"/>
            <w:vAlign w:val="center"/>
          </w:tcPr>
          <w:p w:rsidR="000412CA" w:rsidRPr="000412CA" w:rsidP="000412CA" w14:paraId="1775FC5D" w14:textId="77777777">
            <w:pPr>
              <w:keepNext/>
              <w:suppressAutoHyphens/>
              <w:jc w:val="center"/>
              <w:outlineLvl w:val="5"/>
              <w:rPr>
                <w:rFonts w:ascii="Arial" w:hAnsi="Arial"/>
                <w:b/>
                <w:bCs/>
                <w:sz w:val="24"/>
                <w:szCs w:val="24"/>
              </w:rPr>
            </w:pPr>
            <w:r w:rsidRPr="000412CA">
              <w:rPr>
                <w:rFonts w:ascii="Arial" w:hAnsi="Arial"/>
                <w:b/>
                <w:bCs/>
                <w:sz w:val="24"/>
                <w:szCs w:val="24"/>
              </w:rPr>
              <w:t>Category</w:t>
            </w:r>
          </w:p>
        </w:tc>
        <w:tc>
          <w:tcPr>
            <w:tcW w:w="5490" w:type="dxa"/>
            <w:gridSpan w:val="3"/>
            <w:tcBorders>
              <w:top w:val="single" w:sz="4" w:space="0" w:color="auto"/>
              <w:left w:val="single" w:sz="4" w:space="0" w:color="auto"/>
            </w:tcBorders>
            <w:shd w:val="clear" w:color="auto" w:fill="E6E6E6"/>
          </w:tcPr>
          <w:p w:rsidR="000412CA" w:rsidRPr="000412CA" w:rsidP="000412CA" w14:paraId="245F3362" w14:textId="4C5715C3">
            <w:pPr>
              <w:keepNext/>
              <w:suppressAutoHyphens/>
              <w:jc w:val="center"/>
              <w:outlineLvl w:val="5"/>
              <w:rPr>
                <w:rFonts w:ascii="Arial" w:hAnsi="Arial"/>
                <w:b/>
                <w:bCs/>
                <w:sz w:val="24"/>
                <w:szCs w:val="24"/>
              </w:rPr>
            </w:pPr>
            <w:r w:rsidRPr="000412CA">
              <w:rPr>
                <w:rFonts w:ascii="Arial" w:hAnsi="Arial"/>
                <w:b/>
                <w:bCs/>
                <w:sz w:val="24"/>
                <w:szCs w:val="24"/>
              </w:rPr>
              <w:t>Burden</w:t>
            </w:r>
          </w:p>
        </w:tc>
        <w:tc>
          <w:tcPr>
            <w:tcW w:w="1350" w:type="dxa"/>
            <w:tcBorders>
              <w:top w:val="single" w:sz="4" w:space="0" w:color="auto"/>
              <w:left w:val="single" w:sz="4" w:space="0" w:color="auto"/>
            </w:tcBorders>
            <w:shd w:val="clear" w:color="auto" w:fill="E6E6E6"/>
          </w:tcPr>
          <w:p w:rsidR="000412CA" w:rsidRPr="000412CA" w:rsidP="000412CA" w14:paraId="734307E5" w14:textId="77777777">
            <w:pPr>
              <w:keepNext/>
              <w:suppressAutoHyphens/>
              <w:jc w:val="center"/>
              <w:outlineLvl w:val="5"/>
              <w:rPr>
                <w:rFonts w:ascii="Arial" w:hAnsi="Arial"/>
                <w:b/>
                <w:bCs/>
                <w:sz w:val="24"/>
                <w:szCs w:val="24"/>
              </w:rPr>
            </w:pPr>
          </w:p>
        </w:tc>
      </w:tr>
      <w:tr w14:paraId="6BA93BCF" w14:textId="77777777" w:rsidTr="00C22AFB">
        <w:tblPrEx>
          <w:tblW w:w="10136" w:type="dxa"/>
          <w:tblInd w:w="-421" w:type="dxa"/>
          <w:tblLayout w:type="fixed"/>
          <w:tblCellMar>
            <w:left w:w="115" w:type="dxa"/>
            <w:right w:w="115" w:type="dxa"/>
          </w:tblCellMar>
          <w:tblLook w:val="00A0"/>
        </w:tblPrEx>
        <w:trPr>
          <w:cantSplit/>
          <w:trHeight w:val="602"/>
          <w:tblHeader/>
        </w:trPr>
        <w:tc>
          <w:tcPr>
            <w:tcW w:w="3296" w:type="dxa"/>
            <w:vMerge/>
            <w:tcBorders>
              <w:left w:val="single" w:sz="4" w:space="0" w:color="auto"/>
              <w:right w:val="single" w:sz="4" w:space="0" w:color="auto"/>
            </w:tcBorders>
          </w:tcPr>
          <w:p w:rsidR="000412CA" w:rsidRPr="000412CA" w:rsidP="000412CA" w14:paraId="3693BB10" w14:textId="77777777">
            <w:pPr>
              <w:rPr>
                <w:rFonts w:ascii="Arial" w:hAnsi="Arial" w:cs="Arial"/>
                <w:sz w:val="24"/>
                <w:szCs w:val="24"/>
              </w:rPr>
            </w:pPr>
          </w:p>
        </w:tc>
        <w:tc>
          <w:tcPr>
            <w:tcW w:w="1800" w:type="dxa"/>
            <w:tcBorders>
              <w:left w:val="single" w:sz="4" w:space="0" w:color="auto"/>
              <w:right w:val="single" w:sz="4" w:space="0" w:color="auto"/>
            </w:tcBorders>
            <w:shd w:val="clear" w:color="auto" w:fill="E6E6E6"/>
          </w:tcPr>
          <w:p w:rsidR="000412CA" w:rsidRPr="000412CA" w:rsidP="000412CA" w14:paraId="5C7C1EC4" w14:textId="77777777">
            <w:pPr>
              <w:keepNext/>
              <w:suppressAutoHyphens/>
              <w:jc w:val="center"/>
              <w:outlineLvl w:val="5"/>
              <w:rPr>
                <w:rFonts w:ascii="Arial" w:hAnsi="Arial"/>
                <w:b/>
                <w:bCs/>
                <w:sz w:val="24"/>
                <w:szCs w:val="24"/>
              </w:rPr>
            </w:pPr>
            <w:r w:rsidRPr="000412CA">
              <w:rPr>
                <w:rFonts w:ascii="Arial" w:hAnsi="Arial"/>
                <w:b/>
                <w:bCs/>
                <w:sz w:val="24"/>
                <w:szCs w:val="24"/>
              </w:rPr>
              <w:t>Initial</w:t>
            </w:r>
            <w:r w:rsidRPr="000412CA">
              <w:rPr>
                <w:rFonts w:ascii="Arial" w:hAnsi="Arial"/>
                <w:b/>
                <w:bCs/>
                <w:sz w:val="24"/>
                <w:szCs w:val="24"/>
              </w:rPr>
              <w:br/>
              <w:t>Application</w:t>
            </w:r>
          </w:p>
        </w:tc>
        <w:tc>
          <w:tcPr>
            <w:tcW w:w="1890" w:type="dxa"/>
            <w:tcBorders>
              <w:left w:val="single" w:sz="4" w:space="0" w:color="auto"/>
            </w:tcBorders>
            <w:shd w:val="clear" w:color="auto" w:fill="E6E6E6"/>
          </w:tcPr>
          <w:p w:rsidR="000412CA" w:rsidRPr="000412CA" w:rsidP="000412CA" w14:paraId="20B529C2" w14:textId="77777777">
            <w:pPr>
              <w:keepNext/>
              <w:suppressAutoHyphens/>
              <w:jc w:val="center"/>
              <w:outlineLvl w:val="5"/>
              <w:rPr>
                <w:rFonts w:ascii="Arial" w:hAnsi="Arial"/>
                <w:b/>
                <w:bCs/>
                <w:sz w:val="24"/>
                <w:szCs w:val="24"/>
              </w:rPr>
            </w:pPr>
            <w:r w:rsidRPr="000412CA">
              <w:rPr>
                <w:rFonts w:ascii="Arial" w:hAnsi="Arial"/>
                <w:b/>
                <w:bCs/>
                <w:sz w:val="24"/>
                <w:szCs w:val="24"/>
              </w:rPr>
              <w:t>Modification Application</w:t>
            </w:r>
            <w:r w:rsidRPr="000412CA">
              <w:rPr>
                <w:rFonts w:ascii="Arial" w:hAnsi="Arial"/>
                <w:b/>
                <w:bCs/>
                <w:sz w:val="24"/>
                <w:szCs w:val="24"/>
                <w:vertAlign w:val="superscript"/>
              </w:rPr>
              <w:t>a</w:t>
            </w:r>
          </w:p>
        </w:tc>
        <w:tc>
          <w:tcPr>
            <w:tcW w:w="1800" w:type="dxa"/>
            <w:shd w:val="clear" w:color="auto" w:fill="E6E6E6"/>
          </w:tcPr>
          <w:p w:rsidR="000412CA" w:rsidRPr="000412CA" w:rsidP="000412CA" w14:paraId="610FC82C" w14:textId="77777777">
            <w:pPr>
              <w:keepNext/>
              <w:suppressAutoHyphens/>
              <w:jc w:val="center"/>
              <w:outlineLvl w:val="5"/>
              <w:rPr>
                <w:rFonts w:ascii="Arial" w:hAnsi="Arial"/>
                <w:b/>
                <w:bCs/>
                <w:sz w:val="24"/>
                <w:szCs w:val="24"/>
              </w:rPr>
            </w:pPr>
            <w:r w:rsidRPr="000412CA">
              <w:rPr>
                <w:rFonts w:ascii="Arial" w:hAnsi="Arial"/>
                <w:b/>
                <w:bCs/>
                <w:sz w:val="24"/>
                <w:szCs w:val="24"/>
              </w:rPr>
              <w:t>Renewal</w:t>
            </w:r>
            <w:r w:rsidRPr="000412CA">
              <w:rPr>
                <w:rFonts w:ascii="Arial" w:hAnsi="Arial"/>
                <w:b/>
                <w:bCs/>
                <w:sz w:val="24"/>
                <w:szCs w:val="24"/>
              </w:rPr>
              <w:br/>
              <w:t>Application</w:t>
            </w:r>
            <w:r w:rsidRPr="000412CA">
              <w:rPr>
                <w:rFonts w:ascii="Arial" w:hAnsi="Arial"/>
                <w:b/>
                <w:bCs/>
                <w:sz w:val="24"/>
                <w:szCs w:val="24"/>
                <w:vertAlign w:val="superscript"/>
              </w:rPr>
              <w:t>b</w:t>
            </w:r>
          </w:p>
        </w:tc>
        <w:tc>
          <w:tcPr>
            <w:tcW w:w="1350" w:type="dxa"/>
            <w:shd w:val="clear" w:color="auto" w:fill="E6E6E6"/>
          </w:tcPr>
          <w:p w:rsidR="000412CA" w:rsidRPr="000412CA" w:rsidP="000412CA" w14:paraId="357F31E0" w14:textId="77777777">
            <w:pPr>
              <w:keepNext/>
              <w:suppressAutoHyphens/>
              <w:jc w:val="center"/>
              <w:outlineLvl w:val="5"/>
              <w:rPr>
                <w:rFonts w:ascii="Arial" w:hAnsi="Arial"/>
                <w:b/>
                <w:bCs/>
                <w:sz w:val="24"/>
                <w:szCs w:val="24"/>
              </w:rPr>
            </w:pPr>
            <w:r w:rsidRPr="000412CA">
              <w:rPr>
                <w:rFonts w:ascii="Arial" w:hAnsi="Arial"/>
                <w:b/>
                <w:bCs/>
                <w:sz w:val="24"/>
                <w:szCs w:val="24"/>
              </w:rPr>
              <w:t>Total</w:t>
            </w:r>
          </w:p>
        </w:tc>
      </w:tr>
      <w:tr w14:paraId="334BBF8D" w14:textId="77777777" w:rsidTr="006C6DB4">
        <w:tblPrEx>
          <w:tblW w:w="10136" w:type="dxa"/>
          <w:tblInd w:w="-421" w:type="dxa"/>
          <w:tblLayout w:type="fixed"/>
          <w:tblCellMar>
            <w:left w:w="115" w:type="dxa"/>
            <w:right w:w="115" w:type="dxa"/>
          </w:tblCellMar>
          <w:tblLook w:val="00A0"/>
        </w:tblPrEx>
        <w:trPr>
          <w:cantSplit/>
        </w:trPr>
        <w:tc>
          <w:tcPr>
            <w:tcW w:w="3296" w:type="dxa"/>
          </w:tcPr>
          <w:p w:rsidR="000412CA" w:rsidRPr="000412CA" w:rsidP="000412CA" w14:paraId="56686172" w14:textId="77777777">
            <w:pPr>
              <w:keepNext/>
              <w:keepLines/>
              <w:tabs>
                <w:tab w:val="left" w:pos="-720"/>
              </w:tabs>
              <w:suppressAutoHyphens/>
              <w:rPr>
                <w:rFonts w:ascii="Arial" w:hAnsi="Arial" w:cs="Arial"/>
                <w:sz w:val="22"/>
                <w:szCs w:val="24"/>
              </w:rPr>
            </w:pPr>
            <w:r w:rsidRPr="000412CA">
              <w:rPr>
                <w:rFonts w:ascii="Arial" w:hAnsi="Arial" w:cs="Arial"/>
                <w:sz w:val="22"/>
                <w:szCs w:val="24"/>
              </w:rPr>
              <w:t>Hours required to submit each application</w:t>
            </w:r>
          </w:p>
        </w:tc>
        <w:tc>
          <w:tcPr>
            <w:tcW w:w="1800" w:type="dxa"/>
          </w:tcPr>
          <w:p w:rsidR="000412CA" w:rsidRPr="000412CA" w:rsidP="000412CA" w14:paraId="7D6F25F5" w14:textId="43EAB0FB">
            <w:pPr>
              <w:keepNext/>
              <w:keepLines/>
              <w:tabs>
                <w:tab w:val="left" w:pos="-720"/>
              </w:tabs>
              <w:suppressAutoHyphens/>
              <w:jc w:val="center"/>
              <w:rPr>
                <w:rFonts w:ascii="Arial" w:hAnsi="Arial" w:cs="Arial"/>
                <w:sz w:val="22"/>
                <w:szCs w:val="24"/>
              </w:rPr>
            </w:pPr>
            <w:r>
              <w:rPr>
                <w:rFonts w:ascii="Arial" w:hAnsi="Arial" w:cs="Arial"/>
                <w:sz w:val="22"/>
                <w:szCs w:val="24"/>
              </w:rPr>
              <w:t>9,000</w:t>
            </w:r>
          </w:p>
        </w:tc>
        <w:tc>
          <w:tcPr>
            <w:tcW w:w="1890" w:type="dxa"/>
          </w:tcPr>
          <w:p w:rsidR="000412CA" w:rsidRPr="000412CA" w:rsidP="000412CA" w14:paraId="2C101626" w14:textId="1D94708A">
            <w:pPr>
              <w:keepNext/>
              <w:keepLines/>
              <w:tabs>
                <w:tab w:val="left" w:pos="-720"/>
              </w:tabs>
              <w:suppressAutoHyphens/>
              <w:jc w:val="center"/>
              <w:rPr>
                <w:rFonts w:ascii="Arial" w:hAnsi="Arial" w:cs="Arial"/>
                <w:sz w:val="22"/>
                <w:szCs w:val="24"/>
              </w:rPr>
            </w:pPr>
            <w:r>
              <w:rPr>
                <w:rFonts w:ascii="Arial" w:hAnsi="Arial" w:cs="Arial"/>
                <w:sz w:val="22"/>
                <w:szCs w:val="24"/>
              </w:rPr>
              <w:t>4,500</w:t>
            </w:r>
          </w:p>
        </w:tc>
        <w:tc>
          <w:tcPr>
            <w:tcW w:w="1800" w:type="dxa"/>
          </w:tcPr>
          <w:p w:rsidR="000412CA" w:rsidRPr="000412CA" w:rsidP="000412CA" w14:paraId="002E8A3F" w14:textId="62AE326D">
            <w:pPr>
              <w:keepNext/>
              <w:keepLines/>
              <w:tabs>
                <w:tab w:val="left" w:pos="-720"/>
              </w:tabs>
              <w:suppressAutoHyphens/>
              <w:jc w:val="center"/>
              <w:rPr>
                <w:rFonts w:ascii="Arial" w:hAnsi="Arial" w:cs="Arial"/>
                <w:sz w:val="22"/>
                <w:szCs w:val="24"/>
              </w:rPr>
            </w:pPr>
            <w:r>
              <w:rPr>
                <w:rFonts w:ascii="Arial" w:hAnsi="Arial" w:cs="Arial"/>
                <w:sz w:val="22"/>
                <w:szCs w:val="24"/>
              </w:rPr>
              <w:t>900</w:t>
            </w:r>
          </w:p>
        </w:tc>
        <w:tc>
          <w:tcPr>
            <w:tcW w:w="1350" w:type="dxa"/>
          </w:tcPr>
          <w:p w:rsidR="000412CA" w:rsidRPr="000412CA" w:rsidP="000412CA" w14:paraId="147A4F95" w14:textId="77777777">
            <w:pPr>
              <w:keepNext/>
              <w:keepLines/>
              <w:tabs>
                <w:tab w:val="left" w:pos="-720"/>
              </w:tabs>
              <w:suppressAutoHyphens/>
              <w:jc w:val="center"/>
              <w:rPr>
                <w:rFonts w:ascii="Arial" w:hAnsi="Arial" w:cs="Arial"/>
                <w:sz w:val="22"/>
                <w:szCs w:val="24"/>
              </w:rPr>
            </w:pPr>
          </w:p>
        </w:tc>
      </w:tr>
      <w:tr w14:paraId="23F78EBB" w14:textId="77777777" w:rsidTr="006C6DB4">
        <w:tblPrEx>
          <w:tblW w:w="10136" w:type="dxa"/>
          <w:tblInd w:w="-421" w:type="dxa"/>
          <w:tblLayout w:type="fixed"/>
          <w:tblCellMar>
            <w:left w:w="115" w:type="dxa"/>
            <w:right w:w="115" w:type="dxa"/>
          </w:tblCellMar>
          <w:tblLook w:val="00A0"/>
        </w:tblPrEx>
        <w:trPr>
          <w:cantSplit/>
        </w:trPr>
        <w:tc>
          <w:tcPr>
            <w:tcW w:w="3296" w:type="dxa"/>
          </w:tcPr>
          <w:p w:rsidR="000412CA" w:rsidRPr="000412CA" w:rsidP="000412CA" w14:paraId="7C0063CF" w14:textId="77777777">
            <w:pPr>
              <w:keepNext/>
              <w:keepLines/>
              <w:tabs>
                <w:tab w:val="left" w:pos="-720"/>
              </w:tabs>
              <w:suppressAutoHyphens/>
              <w:rPr>
                <w:rFonts w:ascii="Arial" w:hAnsi="Arial" w:cs="Arial"/>
                <w:sz w:val="22"/>
                <w:szCs w:val="24"/>
              </w:rPr>
            </w:pPr>
            <w:r w:rsidRPr="000412CA">
              <w:rPr>
                <w:rFonts w:ascii="Arial" w:hAnsi="Arial" w:cs="Arial"/>
                <w:sz w:val="22"/>
                <w:szCs w:val="24"/>
              </w:rPr>
              <w:t>Number of applications per respondent</w:t>
            </w:r>
            <w:r w:rsidRPr="000412CA">
              <w:rPr>
                <w:rFonts w:ascii="Arial" w:hAnsi="Arial" w:cs="Arial"/>
                <w:sz w:val="22"/>
                <w:szCs w:val="24"/>
                <w:vertAlign w:val="superscript"/>
              </w:rPr>
              <w:t>d</w:t>
            </w:r>
          </w:p>
        </w:tc>
        <w:tc>
          <w:tcPr>
            <w:tcW w:w="1800" w:type="dxa"/>
          </w:tcPr>
          <w:p w:rsidR="000412CA" w:rsidRPr="000412CA" w:rsidP="000412CA" w14:paraId="3601FB94"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0</w:t>
            </w:r>
          </w:p>
        </w:tc>
        <w:tc>
          <w:tcPr>
            <w:tcW w:w="1890" w:type="dxa"/>
          </w:tcPr>
          <w:p w:rsidR="000412CA" w:rsidRPr="000412CA" w:rsidP="000412CA" w14:paraId="051D2E84"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1</w:t>
            </w:r>
          </w:p>
        </w:tc>
        <w:tc>
          <w:tcPr>
            <w:tcW w:w="1800" w:type="dxa"/>
          </w:tcPr>
          <w:p w:rsidR="000412CA" w:rsidRPr="000412CA" w:rsidP="000412CA" w14:paraId="4B8E37F2"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1</w:t>
            </w:r>
          </w:p>
        </w:tc>
        <w:tc>
          <w:tcPr>
            <w:tcW w:w="1350" w:type="dxa"/>
          </w:tcPr>
          <w:p w:rsidR="000412CA" w:rsidRPr="000412CA" w:rsidP="000412CA" w14:paraId="2A052F62" w14:textId="77777777">
            <w:pPr>
              <w:keepNext/>
              <w:keepLines/>
              <w:tabs>
                <w:tab w:val="left" w:pos="-720"/>
              </w:tabs>
              <w:suppressAutoHyphens/>
              <w:jc w:val="center"/>
              <w:rPr>
                <w:rFonts w:ascii="Arial" w:hAnsi="Arial" w:cs="Arial"/>
                <w:sz w:val="22"/>
                <w:szCs w:val="24"/>
              </w:rPr>
            </w:pPr>
          </w:p>
        </w:tc>
      </w:tr>
      <w:tr w14:paraId="29DBCD50" w14:textId="77777777" w:rsidTr="006C6DB4">
        <w:tblPrEx>
          <w:tblW w:w="10136" w:type="dxa"/>
          <w:tblInd w:w="-421" w:type="dxa"/>
          <w:tblLayout w:type="fixed"/>
          <w:tblCellMar>
            <w:left w:w="115" w:type="dxa"/>
            <w:right w:w="115" w:type="dxa"/>
          </w:tblCellMar>
          <w:tblLook w:val="00A0"/>
        </w:tblPrEx>
        <w:trPr>
          <w:cantSplit/>
        </w:trPr>
        <w:tc>
          <w:tcPr>
            <w:tcW w:w="3296" w:type="dxa"/>
          </w:tcPr>
          <w:p w:rsidR="000412CA" w:rsidRPr="000412CA" w:rsidP="000412CA" w14:paraId="6B2B6463" w14:textId="77777777">
            <w:pPr>
              <w:keepNext/>
              <w:keepLines/>
              <w:tabs>
                <w:tab w:val="left" w:pos="-720"/>
              </w:tabs>
              <w:suppressAutoHyphens/>
              <w:rPr>
                <w:rFonts w:ascii="Arial" w:hAnsi="Arial" w:cs="Arial"/>
                <w:sz w:val="22"/>
                <w:szCs w:val="24"/>
              </w:rPr>
            </w:pPr>
            <w:r w:rsidRPr="000412CA">
              <w:rPr>
                <w:rFonts w:ascii="Arial" w:hAnsi="Arial" w:cs="Arial"/>
                <w:sz w:val="22"/>
                <w:szCs w:val="24"/>
              </w:rPr>
              <w:t>Annual number of applications</w:t>
            </w:r>
            <w:r w:rsidRPr="000412CA">
              <w:rPr>
                <w:rFonts w:ascii="Arial" w:hAnsi="Arial" w:cs="Arial"/>
                <w:sz w:val="22"/>
                <w:szCs w:val="24"/>
                <w:vertAlign w:val="superscript"/>
              </w:rPr>
              <w:t>c</w:t>
            </w:r>
          </w:p>
        </w:tc>
        <w:tc>
          <w:tcPr>
            <w:tcW w:w="1800" w:type="dxa"/>
          </w:tcPr>
          <w:p w:rsidR="000412CA" w:rsidRPr="000412CA" w:rsidP="000412CA" w14:paraId="7AB71C9A"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0</w:t>
            </w:r>
          </w:p>
        </w:tc>
        <w:tc>
          <w:tcPr>
            <w:tcW w:w="1890" w:type="dxa"/>
          </w:tcPr>
          <w:p w:rsidR="000412CA" w:rsidRPr="000412CA" w:rsidP="000412CA" w14:paraId="5DD13CD9" w14:textId="77777777">
            <w:pPr>
              <w:keepNext/>
              <w:keepLines/>
              <w:tabs>
                <w:tab w:val="left" w:pos="-720"/>
              </w:tabs>
              <w:suppressAutoHyphens/>
              <w:jc w:val="center"/>
              <w:rPr>
                <w:rFonts w:ascii="Arial" w:hAnsi="Arial" w:cs="Arial"/>
                <w:sz w:val="22"/>
                <w:szCs w:val="24"/>
              </w:rPr>
            </w:pPr>
            <w:r>
              <w:rPr>
                <w:rFonts w:ascii="Arial" w:hAnsi="Arial" w:cs="Arial"/>
                <w:sz w:val="22"/>
                <w:szCs w:val="24"/>
              </w:rPr>
              <w:t>4</w:t>
            </w:r>
          </w:p>
        </w:tc>
        <w:tc>
          <w:tcPr>
            <w:tcW w:w="1800" w:type="dxa"/>
          </w:tcPr>
          <w:p w:rsidR="000412CA" w:rsidRPr="000412CA" w:rsidP="000412CA" w14:paraId="3F18493E" w14:textId="77777777">
            <w:pPr>
              <w:keepNext/>
              <w:keepLines/>
              <w:tabs>
                <w:tab w:val="left" w:pos="-720"/>
              </w:tabs>
              <w:suppressAutoHyphens/>
              <w:jc w:val="center"/>
              <w:rPr>
                <w:rFonts w:ascii="Arial" w:hAnsi="Arial" w:cs="Arial"/>
                <w:sz w:val="22"/>
                <w:szCs w:val="24"/>
              </w:rPr>
            </w:pPr>
            <w:r>
              <w:rPr>
                <w:rFonts w:ascii="Arial" w:hAnsi="Arial" w:cs="Arial"/>
                <w:sz w:val="22"/>
                <w:szCs w:val="24"/>
              </w:rPr>
              <w:t>4</w:t>
            </w:r>
          </w:p>
        </w:tc>
        <w:tc>
          <w:tcPr>
            <w:tcW w:w="1350" w:type="dxa"/>
          </w:tcPr>
          <w:p w:rsidR="000412CA" w:rsidRPr="000412CA" w:rsidP="000412CA" w14:paraId="21BEA565" w14:textId="77777777">
            <w:pPr>
              <w:keepNext/>
              <w:keepLines/>
              <w:tabs>
                <w:tab w:val="left" w:pos="-720"/>
              </w:tabs>
              <w:suppressAutoHyphens/>
              <w:jc w:val="center"/>
              <w:rPr>
                <w:rFonts w:ascii="Arial" w:hAnsi="Arial" w:cs="Arial"/>
                <w:sz w:val="22"/>
                <w:szCs w:val="24"/>
              </w:rPr>
            </w:pPr>
            <w:r>
              <w:rPr>
                <w:rFonts w:ascii="Arial" w:hAnsi="Arial" w:cs="Arial"/>
                <w:sz w:val="22"/>
                <w:szCs w:val="24"/>
              </w:rPr>
              <w:t>8</w:t>
            </w:r>
          </w:p>
        </w:tc>
      </w:tr>
      <w:tr w14:paraId="01654851" w14:textId="77777777" w:rsidTr="006C6DB4">
        <w:tblPrEx>
          <w:tblW w:w="10136" w:type="dxa"/>
          <w:tblInd w:w="-421" w:type="dxa"/>
          <w:tblLayout w:type="fixed"/>
          <w:tblCellMar>
            <w:left w:w="115" w:type="dxa"/>
            <w:right w:w="115" w:type="dxa"/>
          </w:tblCellMar>
          <w:tblLook w:val="00A0"/>
        </w:tblPrEx>
        <w:trPr>
          <w:cantSplit/>
        </w:trPr>
        <w:tc>
          <w:tcPr>
            <w:tcW w:w="3296" w:type="dxa"/>
            <w:tcBorders>
              <w:bottom w:val="single" w:sz="4" w:space="0" w:color="auto"/>
            </w:tcBorders>
          </w:tcPr>
          <w:p w:rsidR="000412CA" w:rsidRPr="000412CA" w:rsidP="000412CA" w14:paraId="706043B0" w14:textId="77777777">
            <w:pPr>
              <w:keepNext/>
              <w:keepLines/>
              <w:tabs>
                <w:tab w:val="left" w:pos="-720"/>
              </w:tabs>
              <w:suppressAutoHyphens/>
              <w:rPr>
                <w:rFonts w:ascii="Arial" w:hAnsi="Arial" w:cs="Arial"/>
                <w:sz w:val="22"/>
                <w:szCs w:val="24"/>
              </w:rPr>
            </w:pPr>
            <w:r w:rsidRPr="000412CA">
              <w:rPr>
                <w:rFonts w:ascii="Arial" w:hAnsi="Arial" w:cs="Arial"/>
                <w:sz w:val="22"/>
                <w:szCs w:val="24"/>
              </w:rPr>
              <w:t>Total Hours</w:t>
            </w:r>
          </w:p>
        </w:tc>
        <w:tc>
          <w:tcPr>
            <w:tcW w:w="1800" w:type="dxa"/>
            <w:tcBorders>
              <w:bottom w:val="single" w:sz="4" w:space="0" w:color="auto"/>
            </w:tcBorders>
            <w:shd w:val="clear" w:color="auto" w:fill="auto"/>
            <w:vAlign w:val="center"/>
          </w:tcPr>
          <w:p w:rsidR="000412CA" w:rsidRPr="000412CA" w:rsidP="000412CA" w14:paraId="381197AC" w14:textId="77777777">
            <w:pPr>
              <w:keepNext/>
              <w:keepLines/>
              <w:tabs>
                <w:tab w:val="left" w:pos="-720"/>
              </w:tabs>
              <w:suppressAutoHyphens/>
              <w:jc w:val="center"/>
              <w:rPr>
                <w:rFonts w:ascii="Arial" w:hAnsi="Arial" w:cs="Arial"/>
                <w:sz w:val="22"/>
                <w:szCs w:val="22"/>
              </w:rPr>
            </w:pPr>
            <w:r w:rsidRPr="000412CA">
              <w:rPr>
                <w:rFonts w:ascii="Arial" w:hAnsi="Arial" w:cs="Arial"/>
                <w:color w:val="000000"/>
                <w:sz w:val="22"/>
                <w:szCs w:val="24"/>
              </w:rPr>
              <w:t>0</w:t>
            </w:r>
          </w:p>
        </w:tc>
        <w:tc>
          <w:tcPr>
            <w:tcW w:w="1890" w:type="dxa"/>
            <w:tcBorders>
              <w:bottom w:val="single" w:sz="4" w:space="0" w:color="auto"/>
            </w:tcBorders>
            <w:shd w:val="clear" w:color="auto" w:fill="auto"/>
            <w:vAlign w:val="center"/>
          </w:tcPr>
          <w:p w:rsidR="000412CA" w:rsidRPr="000412CA" w:rsidP="000412CA" w14:paraId="15F46825" w14:textId="4FD166B3">
            <w:pPr>
              <w:keepNext/>
              <w:keepLines/>
              <w:tabs>
                <w:tab w:val="left" w:pos="-720"/>
              </w:tabs>
              <w:suppressAutoHyphens/>
              <w:jc w:val="center"/>
              <w:rPr>
                <w:rFonts w:ascii="Arial" w:hAnsi="Arial" w:cs="Arial"/>
                <w:sz w:val="22"/>
                <w:szCs w:val="22"/>
              </w:rPr>
            </w:pPr>
            <w:r>
              <w:rPr>
                <w:rFonts w:ascii="Arial" w:hAnsi="Arial" w:cs="Arial"/>
                <w:sz w:val="22"/>
                <w:szCs w:val="22"/>
              </w:rPr>
              <w:t>18</w:t>
            </w:r>
            <w:r w:rsidR="00FF42E5">
              <w:rPr>
                <w:rFonts w:ascii="Arial" w:hAnsi="Arial" w:cs="Arial"/>
                <w:sz w:val="22"/>
                <w:szCs w:val="22"/>
              </w:rPr>
              <w:t>,</w:t>
            </w:r>
            <w:r>
              <w:rPr>
                <w:rFonts w:ascii="Arial" w:hAnsi="Arial" w:cs="Arial"/>
                <w:sz w:val="22"/>
                <w:szCs w:val="22"/>
              </w:rPr>
              <w:t>00</w:t>
            </w:r>
            <w:r w:rsidR="00FF42E5">
              <w:rPr>
                <w:rFonts w:ascii="Arial" w:hAnsi="Arial" w:cs="Arial"/>
                <w:sz w:val="22"/>
                <w:szCs w:val="22"/>
              </w:rPr>
              <w:t>0</w:t>
            </w:r>
          </w:p>
        </w:tc>
        <w:tc>
          <w:tcPr>
            <w:tcW w:w="1800" w:type="dxa"/>
            <w:tcBorders>
              <w:bottom w:val="single" w:sz="4" w:space="0" w:color="auto"/>
            </w:tcBorders>
            <w:shd w:val="clear" w:color="auto" w:fill="auto"/>
            <w:vAlign w:val="center"/>
          </w:tcPr>
          <w:p w:rsidR="000412CA" w:rsidRPr="000412CA" w:rsidP="000412CA" w14:paraId="5C4C11EE" w14:textId="006F4B74">
            <w:pPr>
              <w:keepNext/>
              <w:keepLines/>
              <w:tabs>
                <w:tab w:val="left" w:pos="-720"/>
              </w:tabs>
              <w:suppressAutoHyphens/>
              <w:jc w:val="center"/>
              <w:rPr>
                <w:rFonts w:ascii="Arial" w:hAnsi="Arial" w:cs="Arial"/>
                <w:sz w:val="22"/>
                <w:szCs w:val="22"/>
              </w:rPr>
            </w:pPr>
            <w:r>
              <w:rPr>
                <w:rFonts w:ascii="Arial" w:hAnsi="Arial" w:cs="Arial"/>
                <w:sz w:val="22"/>
                <w:szCs w:val="22"/>
              </w:rPr>
              <w:t>3</w:t>
            </w:r>
            <w:r w:rsidR="00FF42E5">
              <w:rPr>
                <w:rFonts w:ascii="Arial" w:hAnsi="Arial" w:cs="Arial"/>
                <w:sz w:val="22"/>
                <w:szCs w:val="22"/>
              </w:rPr>
              <w:t>,</w:t>
            </w:r>
            <w:r>
              <w:rPr>
                <w:rFonts w:ascii="Arial" w:hAnsi="Arial" w:cs="Arial"/>
                <w:sz w:val="22"/>
                <w:szCs w:val="22"/>
              </w:rPr>
              <w:t>600</w:t>
            </w:r>
          </w:p>
        </w:tc>
        <w:tc>
          <w:tcPr>
            <w:tcW w:w="1350" w:type="dxa"/>
            <w:tcBorders>
              <w:bottom w:val="single" w:sz="4" w:space="0" w:color="auto"/>
            </w:tcBorders>
          </w:tcPr>
          <w:p w:rsidR="000412CA" w:rsidRPr="000412CA" w:rsidP="000412CA" w14:paraId="6D58C408" w14:textId="60789F85">
            <w:pPr>
              <w:keepNext/>
              <w:keepLines/>
              <w:tabs>
                <w:tab w:val="left" w:pos="-720"/>
              </w:tabs>
              <w:suppressAutoHyphens/>
              <w:jc w:val="center"/>
              <w:rPr>
                <w:rFonts w:ascii="Arial" w:hAnsi="Arial" w:cs="Arial"/>
                <w:sz w:val="22"/>
                <w:szCs w:val="22"/>
              </w:rPr>
            </w:pPr>
            <w:r>
              <w:rPr>
                <w:rFonts w:ascii="Arial" w:hAnsi="Arial" w:cs="Arial"/>
                <w:sz w:val="22"/>
                <w:szCs w:val="22"/>
              </w:rPr>
              <w:t>21,600</w:t>
            </w:r>
          </w:p>
        </w:tc>
      </w:tr>
      <w:tr w14:paraId="6B21A6A4" w14:textId="77777777" w:rsidTr="006C6DB4">
        <w:tblPrEx>
          <w:tblW w:w="10136" w:type="dxa"/>
          <w:tblInd w:w="-421" w:type="dxa"/>
          <w:tblLayout w:type="fixed"/>
          <w:tblCellMar>
            <w:left w:w="115" w:type="dxa"/>
            <w:right w:w="115" w:type="dxa"/>
          </w:tblCellMar>
          <w:tblLook w:val="00A0"/>
        </w:tblPrEx>
        <w:trPr>
          <w:cantSplit/>
        </w:trPr>
        <w:tc>
          <w:tcPr>
            <w:tcW w:w="3296" w:type="dxa"/>
            <w:tcBorders>
              <w:bottom w:val="single" w:sz="4" w:space="0" w:color="auto"/>
            </w:tcBorders>
          </w:tcPr>
          <w:p w:rsidR="000412CA" w:rsidRPr="000412CA" w:rsidP="000412CA" w14:paraId="25940400" w14:textId="77777777">
            <w:pPr>
              <w:keepNext/>
              <w:keepLines/>
              <w:tabs>
                <w:tab w:val="left" w:pos="-720"/>
              </w:tabs>
              <w:suppressAutoHyphens/>
              <w:rPr>
                <w:rFonts w:ascii="Arial" w:hAnsi="Arial" w:cs="Arial"/>
                <w:sz w:val="22"/>
                <w:szCs w:val="24"/>
              </w:rPr>
            </w:pPr>
            <w:r w:rsidRPr="000412CA">
              <w:rPr>
                <w:rFonts w:ascii="Arial" w:hAnsi="Arial" w:cs="Arial"/>
                <w:sz w:val="22"/>
                <w:szCs w:val="24"/>
              </w:rPr>
              <w:t>Cost per application</w:t>
            </w:r>
          </w:p>
        </w:tc>
        <w:tc>
          <w:tcPr>
            <w:tcW w:w="1800" w:type="dxa"/>
            <w:tcBorders>
              <w:bottom w:val="single" w:sz="4" w:space="0" w:color="auto"/>
            </w:tcBorders>
            <w:shd w:val="clear" w:color="auto" w:fill="auto"/>
            <w:vAlign w:val="center"/>
          </w:tcPr>
          <w:p w:rsidR="000412CA" w:rsidRPr="000412CA" w:rsidP="000412CA" w14:paraId="3A6A2CCC"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 xml:space="preserve">$0 </w:t>
            </w:r>
          </w:p>
        </w:tc>
        <w:tc>
          <w:tcPr>
            <w:tcW w:w="1890" w:type="dxa"/>
            <w:tcBorders>
              <w:bottom w:val="single" w:sz="4" w:space="0" w:color="auto"/>
            </w:tcBorders>
            <w:shd w:val="clear" w:color="auto" w:fill="auto"/>
            <w:vAlign w:val="center"/>
          </w:tcPr>
          <w:p w:rsidR="000412CA" w:rsidRPr="000412CA" w:rsidP="00492766" w14:paraId="16456750" w14:textId="7A4259FF">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Pr="00E61802" w:rsidR="00E61802">
              <w:rPr>
                <w:rFonts w:ascii="Arial" w:hAnsi="Arial" w:cs="Arial"/>
                <w:sz w:val="22"/>
                <w:szCs w:val="22"/>
              </w:rPr>
              <w:t>357,525</w:t>
            </w:r>
          </w:p>
        </w:tc>
        <w:tc>
          <w:tcPr>
            <w:tcW w:w="1800" w:type="dxa"/>
            <w:tcBorders>
              <w:bottom w:val="single" w:sz="4" w:space="0" w:color="auto"/>
            </w:tcBorders>
            <w:shd w:val="clear" w:color="auto" w:fill="auto"/>
            <w:vAlign w:val="center"/>
          </w:tcPr>
          <w:p w:rsidR="000412CA" w:rsidRPr="000412CA" w:rsidP="000412CA" w14:paraId="7F993815" w14:textId="460675B3">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004F3AFB">
              <w:rPr>
                <w:bCs/>
                <w:sz w:val="24"/>
                <w:szCs w:val="24"/>
              </w:rPr>
              <w:t>71,</w:t>
            </w:r>
            <w:r w:rsidR="00E61802">
              <w:rPr>
                <w:bCs/>
                <w:sz w:val="24"/>
                <w:szCs w:val="24"/>
              </w:rPr>
              <w:t>505</w:t>
            </w:r>
          </w:p>
        </w:tc>
        <w:tc>
          <w:tcPr>
            <w:tcW w:w="1350" w:type="dxa"/>
            <w:tcBorders>
              <w:bottom w:val="single" w:sz="4" w:space="0" w:color="auto"/>
            </w:tcBorders>
          </w:tcPr>
          <w:p w:rsidR="000412CA" w:rsidRPr="000412CA" w:rsidP="000412CA" w14:paraId="34097D88" w14:textId="77777777">
            <w:pPr>
              <w:keepNext/>
              <w:keepLines/>
              <w:tabs>
                <w:tab w:val="left" w:pos="-720"/>
              </w:tabs>
              <w:suppressAutoHyphens/>
              <w:jc w:val="center"/>
              <w:rPr>
                <w:rFonts w:ascii="Arial" w:hAnsi="Arial" w:cs="Arial"/>
                <w:sz w:val="22"/>
                <w:szCs w:val="22"/>
              </w:rPr>
            </w:pPr>
          </w:p>
        </w:tc>
      </w:tr>
      <w:tr w14:paraId="7026D5F2" w14:textId="77777777" w:rsidTr="006C6DB4">
        <w:tblPrEx>
          <w:tblW w:w="10136" w:type="dxa"/>
          <w:tblInd w:w="-421" w:type="dxa"/>
          <w:tblLayout w:type="fixed"/>
          <w:tblCellMar>
            <w:left w:w="115" w:type="dxa"/>
            <w:right w:w="115" w:type="dxa"/>
          </w:tblCellMar>
          <w:tblLook w:val="00A0"/>
        </w:tblPrEx>
        <w:trPr>
          <w:cantSplit/>
        </w:trPr>
        <w:tc>
          <w:tcPr>
            <w:tcW w:w="3296" w:type="dxa"/>
          </w:tcPr>
          <w:p w:rsidR="000412CA" w:rsidRPr="000412CA" w:rsidP="000412CA" w14:paraId="0502D26D" w14:textId="77777777">
            <w:pPr>
              <w:keepNext/>
              <w:keepLines/>
              <w:tabs>
                <w:tab w:val="left" w:pos="-720"/>
              </w:tabs>
              <w:suppressAutoHyphens/>
              <w:rPr>
                <w:rFonts w:ascii="Arial" w:hAnsi="Arial" w:cs="Arial"/>
                <w:sz w:val="22"/>
                <w:szCs w:val="24"/>
              </w:rPr>
            </w:pPr>
            <w:r w:rsidRPr="000412CA">
              <w:rPr>
                <w:rFonts w:ascii="Arial" w:hAnsi="Arial" w:cs="Arial"/>
                <w:sz w:val="22"/>
                <w:szCs w:val="24"/>
              </w:rPr>
              <w:t>Annual cost</w:t>
            </w:r>
            <w:r w:rsidRPr="000412CA">
              <w:rPr>
                <w:rFonts w:ascii="Arial" w:hAnsi="Arial" w:cs="Arial"/>
                <w:sz w:val="22"/>
                <w:szCs w:val="24"/>
                <w:vertAlign w:val="superscript"/>
              </w:rPr>
              <w:t>d</w:t>
            </w:r>
          </w:p>
        </w:tc>
        <w:tc>
          <w:tcPr>
            <w:tcW w:w="1800" w:type="dxa"/>
            <w:shd w:val="clear" w:color="auto" w:fill="auto"/>
            <w:vAlign w:val="center"/>
          </w:tcPr>
          <w:p w:rsidR="000412CA" w:rsidRPr="000412CA" w:rsidP="000412CA" w14:paraId="584F41FD"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 xml:space="preserve">$0 </w:t>
            </w:r>
          </w:p>
        </w:tc>
        <w:tc>
          <w:tcPr>
            <w:tcW w:w="1890" w:type="dxa"/>
            <w:shd w:val="clear" w:color="auto" w:fill="auto"/>
            <w:vAlign w:val="center"/>
          </w:tcPr>
          <w:p w:rsidR="000412CA" w:rsidRPr="000412CA" w:rsidP="00492766" w14:paraId="73A36F0F" w14:textId="592419E8">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00492766">
              <w:rPr>
                <w:rFonts w:ascii="Arial" w:hAnsi="Arial" w:cs="Arial"/>
                <w:sz w:val="22"/>
                <w:szCs w:val="22"/>
              </w:rPr>
              <w:t>1,</w:t>
            </w:r>
            <w:r w:rsidR="004F3AFB">
              <w:rPr>
                <w:rFonts w:ascii="Arial" w:hAnsi="Arial" w:cs="Arial"/>
                <w:sz w:val="22"/>
                <w:szCs w:val="22"/>
              </w:rPr>
              <w:t>43</w:t>
            </w:r>
            <w:r w:rsidR="00E61802">
              <w:rPr>
                <w:rFonts w:ascii="Arial" w:hAnsi="Arial" w:cs="Arial"/>
                <w:sz w:val="22"/>
                <w:szCs w:val="22"/>
              </w:rPr>
              <w:t>0,100</w:t>
            </w:r>
          </w:p>
        </w:tc>
        <w:tc>
          <w:tcPr>
            <w:tcW w:w="1800" w:type="dxa"/>
            <w:shd w:val="clear" w:color="auto" w:fill="auto"/>
            <w:vAlign w:val="center"/>
          </w:tcPr>
          <w:p w:rsidR="000412CA" w:rsidRPr="000412CA" w:rsidP="000412CA" w14:paraId="5FE87EB8" w14:textId="710D0515">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004F3AFB">
              <w:rPr>
                <w:bCs/>
                <w:sz w:val="24"/>
                <w:szCs w:val="24"/>
              </w:rPr>
              <w:t>286,</w:t>
            </w:r>
            <w:r w:rsidR="00E61802">
              <w:rPr>
                <w:bCs/>
                <w:sz w:val="24"/>
                <w:szCs w:val="24"/>
              </w:rPr>
              <w:t>020</w:t>
            </w:r>
          </w:p>
        </w:tc>
        <w:tc>
          <w:tcPr>
            <w:tcW w:w="1350" w:type="dxa"/>
          </w:tcPr>
          <w:p w:rsidR="000412CA" w:rsidRPr="000412CA" w:rsidP="000412CA" w14:paraId="755244D0" w14:textId="17676EBD">
            <w:pPr>
              <w:keepNext/>
              <w:keepLines/>
              <w:tabs>
                <w:tab w:val="left" w:pos="-720"/>
              </w:tabs>
              <w:suppressAutoHyphens/>
              <w:jc w:val="center"/>
              <w:rPr>
                <w:rFonts w:ascii="Arial" w:hAnsi="Arial" w:cs="Arial"/>
                <w:sz w:val="22"/>
                <w:szCs w:val="22"/>
              </w:rPr>
            </w:pPr>
            <w:r>
              <w:rPr>
                <w:rFonts w:ascii="Arial" w:hAnsi="Arial" w:cs="Arial"/>
                <w:sz w:val="22"/>
                <w:szCs w:val="22"/>
              </w:rPr>
              <w:t>1</w:t>
            </w:r>
            <w:r w:rsidR="00661DE5">
              <w:rPr>
                <w:rFonts w:ascii="Arial" w:hAnsi="Arial" w:cs="Arial"/>
                <w:sz w:val="22"/>
                <w:szCs w:val="22"/>
              </w:rPr>
              <w:t>,</w:t>
            </w:r>
            <w:r>
              <w:rPr>
                <w:rFonts w:ascii="Arial" w:hAnsi="Arial" w:cs="Arial"/>
                <w:sz w:val="22"/>
                <w:szCs w:val="22"/>
              </w:rPr>
              <w:t>71</w:t>
            </w:r>
            <w:r w:rsidR="00E61802">
              <w:rPr>
                <w:rFonts w:ascii="Arial" w:hAnsi="Arial" w:cs="Arial"/>
                <w:sz w:val="22"/>
                <w:szCs w:val="22"/>
              </w:rPr>
              <w:t>6,120</w:t>
            </w:r>
          </w:p>
        </w:tc>
      </w:tr>
    </w:tbl>
    <w:p w:rsidR="000412CA" w:rsidRPr="000412CA" w:rsidP="000412CA" w14:paraId="1CEAA4D2" w14:textId="77777777">
      <w:pPr>
        <w:ind w:left="720" w:right="720"/>
        <w:rPr>
          <w:rFonts w:cs="Arial"/>
          <w:sz w:val="24"/>
          <w:szCs w:val="24"/>
          <w:vertAlign w:val="superscript"/>
        </w:rPr>
      </w:pPr>
    </w:p>
    <w:p w:rsidR="000412CA" w:rsidRPr="000412CA" w:rsidP="000412CA" w14:paraId="70C1C229" w14:textId="77777777">
      <w:pPr>
        <w:ind w:left="720" w:right="720"/>
        <w:rPr>
          <w:rFonts w:cs="Arial"/>
          <w:sz w:val="24"/>
          <w:szCs w:val="24"/>
        </w:rPr>
      </w:pPr>
      <w:r w:rsidRPr="000412CA">
        <w:rPr>
          <w:rFonts w:cs="Arial"/>
          <w:sz w:val="24"/>
          <w:szCs w:val="24"/>
          <w:vertAlign w:val="superscript"/>
        </w:rPr>
        <w:t>a</w:t>
      </w:r>
      <w:r w:rsidRPr="000412CA">
        <w:rPr>
          <w:rFonts w:cs="Arial"/>
          <w:sz w:val="24"/>
          <w:szCs w:val="24"/>
        </w:rPr>
        <w:t xml:space="preserve"> Includes major modifications to existing licenses.</w:t>
      </w:r>
      <w:r w:rsidRPr="000412CA">
        <w:rPr>
          <w:rFonts w:cs="Arial"/>
          <w:sz w:val="24"/>
          <w:szCs w:val="24"/>
        </w:rPr>
        <w:tab/>
      </w:r>
    </w:p>
    <w:p w:rsidR="000412CA" w:rsidRPr="000412CA" w:rsidP="000412CA" w14:paraId="54428FBC" w14:textId="77777777">
      <w:pPr>
        <w:ind w:left="720" w:right="720"/>
        <w:rPr>
          <w:rFonts w:cs="Arial"/>
          <w:sz w:val="24"/>
          <w:szCs w:val="24"/>
        </w:rPr>
      </w:pPr>
      <w:r w:rsidRPr="000412CA">
        <w:rPr>
          <w:rFonts w:cs="Arial"/>
          <w:sz w:val="24"/>
          <w:szCs w:val="24"/>
          <w:vertAlign w:val="superscript"/>
        </w:rPr>
        <w:t>b</w:t>
      </w:r>
      <w:r w:rsidRPr="000412CA">
        <w:rPr>
          <w:rFonts w:cs="Arial"/>
          <w:sz w:val="24"/>
          <w:szCs w:val="24"/>
        </w:rPr>
        <w:t xml:space="preserve"> Renewal of a license application is voluntary; a license is approved for five years.</w:t>
      </w:r>
    </w:p>
    <w:p w:rsidR="000412CA" w:rsidRPr="000412CA" w:rsidP="000412CA" w14:paraId="18910E6B" w14:textId="77FB4126">
      <w:pPr>
        <w:ind w:left="720" w:right="720"/>
        <w:rPr>
          <w:rFonts w:cs="Arial"/>
          <w:sz w:val="24"/>
          <w:szCs w:val="24"/>
        </w:rPr>
      </w:pPr>
      <w:r w:rsidRPr="000412CA">
        <w:rPr>
          <w:rFonts w:cs="Arial"/>
          <w:sz w:val="24"/>
          <w:szCs w:val="24"/>
          <w:vertAlign w:val="superscript"/>
        </w:rPr>
        <w:t>c</w:t>
      </w:r>
      <w:r w:rsidRPr="000412CA">
        <w:rPr>
          <w:rFonts w:cs="Arial"/>
          <w:sz w:val="24"/>
          <w:szCs w:val="24"/>
        </w:rPr>
        <w:t xml:space="preserve"> Federal Aviation Administration, Office of Commercial Space Transportation (FAA/AST), April </w:t>
      </w:r>
      <w:r w:rsidRPr="000412CA" w:rsidR="00661DE5">
        <w:rPr>
          <w:rFonts w:cs="Arial"/>
          <w:sz w:val="24"/>
          <w:szCs w:val="24"/>
        </w:rPr>
        <w:t>20</w:t>
      </w:r>
      <w:r w:rsidR="00661DE5">
        <w:rPr>
          <w:rFonts w:cs="Arial"/>
          <w:sz w:val="24"/>
          <w:szCs w:val="24"/>
        </w:rPr>
        <w:t>24</w:t>
      </w:r>
      <w:r w:rsidRPr="000412CA">
        <w:rPr>
          <w:rFonts w:cs="Arial"/>
          <w:sz w:val="24"/>
          <w:szCs w:val="24"/>
        </w:rPr>
        <w:t>.</w:t>
      </w:r>
    </w:p>
    <w:p w:rsidR="000412CA" w:rsidRPr="000412CA" w:rsidP="000412CA" w14:paraId="0FE2E0A9" w14:textId="19DD6384">
      <w:pPr>
        <w:ind w:left="720" w:right="720"/>
        <w:rPr>
          <w:rFonts w:cs="Arial"/>
          <w:sz w:val="24"/>
          <w:szCs w:val="24"/>
        </w:rPr>
      </w:pPr>
      <w:r w:rsidRPr="000412CA">
        <w:rPr>
          <w:rFonts w:cs="Arial"/>
          <w:sz w:val="24"/>
          <w:szCs w:val="24"/>
          <w:vertAlign w:val="superscript"/>
        </w:rPr>
        <w:t>d</w:t>
      </w:r>
      <w:r w:rsidRPr="000412CA">
        <w:rPr>
          <w:rFonts w:cs="Arial"/>
          <w:sz w:val="24"/>
          <w:szCs w:val="24"/>
        </w:rPr>
        <w:t xml:space="preserve"> Industry total cost per annum calculated as $</w:t>
      </w:r>
      <w:r w:rsidR="00661DE5">
        <w:rPr>
          <w:rFonts w:cs="Arial"/>
          <w:sz w:val="24"/>
          <w:szCs w:val="24"/>
        </w:rPr>
        <w:t>71</w:t>
      </w:r>
      <w:r w:rsidR="00E61802">
        <w:rPr>
          <w:rFonts w:cs="Arial"/>
          <w:sz w:val="24"/>
          <w:szCs w:val="24"/>
        </w:rPr>
        <w:t>5,050</w:t>
      </w:r>
      <w:r w:rsidRPr="000412CA">
        <w:rPr>
          <w:rFonts w:cs="Arial"/>
          <w:sz w:val="24"/>
          <w:szCs w:val="24"/>
        </w:rPr>
        <w:t xml:space="preserve">×0 = $0 for initial applications, major modification applications are calculated as 50% of the initial application cost, or </w:t>
      </w:r>
      <w:r w:rsidRPr="000412CA">
        <w:rPr>
          <w:rFonts w:cs="Arial"/>
          <w:sz w:val="24"/>
          <w:szCs w:val="22"/>
        </w:rPr>
        <w:t>$</w:t>
      </w:r>
      <w:r w:rsidR="00661DE5">
        <w:rPr>
          <w:rFonts w:cs="Arial"/>
          <w:sz w:val="24"/>
          <w:szCs w:val="22"/>
        </w:rPr>
        <w:t>35</w:t>
      </w:r>
      <w:r w:rsidR="00E61802">
        <w:rPr>
          <w:rFonts w:cs="Arial"/>
          <w:sz w:val="24"/>
          <w:szCs w:val="22"/>
        </w:rPr>
        <w:t>7,525</w:t>
      </w:r>
      <w:r w:rsidRPr="000412CA">
        <w:rPr>
          <w:rFonts w:cs="Arial"/>
          <w:sz w:val="24"/>
          <w:szCs w:val="24"/>
        </w:rPr>
        <w:t xml:space="preserve">x </w:t>
      </w:r>
      <w:r w:rsidR="00661DE5">
        <w:rPr>
          <w:rFonts w:cs="Arial"/>
          <w:sz w:val="24"/>
          <w:szCs w:val="24"/>
        </w:rPr>
        <w:t>4</w:t>
      </w:r>
      <w:r w:rsidRPr="000412CA" w:rsidR="00661DE5">
        <w:rPr>
          <w:rFonts w:cs="Arial"/>
          <w:sz w:val="24"/>
          <w:szCs w:val="24"/>
        </w:rPr>
        <w:t xml:space="preserve"> </w:t>
      </w:r>
      <w:r w:rsidRPr="000412CA">
        <w:rPr>
          <w:rFonts w:cs="Arial"/>
          <w:sz w:val="24"/>
          <w:szCs w:val="24"/>
        </w:rPr>
        <w:t>=</w:t>
      </w:r>
      <w:r w:rsidRPr="000412CA">
        <w:rPr>
          <w:rFonts w:cs="Arial"/>
          <w:sz w:val="24"/>
          <w:szCs w:val="22"/>
        </w:rPr>
        <w:t>$</w:t>
      </w:r>
      <w:r w:rsidR="00B276A7">
        <w:rPr>
          <w:rFonts w:cs="Arial"/>
          <w:sz w:val="24"/>
          <w:szCs w:val="22"/>
        </w:rPr>
        <w:t>1,43</w:t>
      </w:r>
      <w:r w:rsidR="00E61802">
        <w:rPr>
          <w:rFonts w:cs="Arial"/>
          <w:sz w:val="24"/>
          <w:szCs w:val="22"/>
        </w:rPr>
        <w:t>0,100</w:t>
      </w:r>
      <w:r w:rsidRPr="000412CA" w:rsidR="00B276A7">
        <w:rPr>
          <w:rFonts w:cs="Arial"/>
          <w:sz w:val="24"/>
          <w:szCs w:val="24"/>
        </w:rPr>
        <w:t>,</w:t>
      </w:r>
      <w:r w:rsidRPr="000412CA">
        <w:rPr>
          <w:rFonts w:cs="Arial"/>
          <w:sz w:val="24"/>
          <w:szCs w:val="24"/>
        </w:rPr>
        <w:t xml:space="preserve"> and renewal applications are calculated as 10% of the initial application cost, or </w:t>
      </w:r>
      <w:r w:rsidRPr="000412CA">
        <w:rPr>
          <w:rFonts w:cs="Arial"/>
          <w:sz w:val="24"/>
          <w:szCs w:val="22"/>
        </w:rPr>
        <w:t>$</w:t>
      </w:r>
      <w:r w:rsidR="00661DE5">
        <w:rPr>
          <w:rFonts w:cs="Arial"/>
          <w:sz w:val="24"/>
          <w:szCs w:val="22"/>
        </w:rPr>
        <w:t>71,</w:t>
      </w:r>
      <w:r w:rsidR="00E61802">
        <w:rPr>
          <w:rFonts w:cs="Arial"/>
          <w:sz w:val="24"/>
          <w:szCs w:val="22"/>
        </w:rPr>
        <w:t>505</w:t>
      </w:r>
      <w:r w:rsidRPr="000412CA">
        <w:rPr>
          <w:rFonts w:cs="Arial"/>
          <w:sz w:val="24"/>
          <w:szCs w:val="22"/>
        </w:rPr>
        <w:t xml:space="preserve"> </w:t>
      </w:r>
      <w:r w:rsidRPr="000412CA">
        <w:rPr>
          <w:rFonts w:cs="Arial"/>
          <w:sz w:val="24"/>
          <w:szCs w:val="24"/>
        </w:rPr>
        <w:t xml:space="preserve">x </w:t>
      </w:r>
      <w:r w:rsidR="00661DE5">
        <w:rPr>
          <w:rFonts w:cs="Arial"/>
          <w:sz w:val="24"/>
          <w:szCs w:val="24"/>
        </w:rPr>
        <w:t>4</w:t>
      </w:r>
      <w:r w:rsidRPr="000412CA" w:rsidR="00661DE5">
        <w:rPr>
          <w:rFonts w:cs="Arial"/>
          <w:sz w:val="24"/>
          <w:szCs w:val="24"/>
        </w:rPr>
        <w:t xml:space="preserve"> </w:t>
      </w:r>
      <w:r w:rsidRPr="000412CA">
        <w:rPr>
          <w:rFonts w:cs="Arial"/>
          <w:sz w:val="24"/>
          <w:szCs w:val="24"/>
        </w:rPr>
        <w:t xml:space="preserve">= </w:t>
      </w:r>
      <w:r w:rsidRPr="000412CA">
        <w:rPr>
          <w:rFonts w:cs="Arial"/>
          <w:sz w:val="24"/>
          <w:szCs w:val="22"/>
        </w:rPr>
        <w:t>$</w:t>
      </w:r>
      <w:r w:rsidR="00661DE5">
        <w:rPr>
          <w:rFonts w:cs="Arial"/>
          <w:sz w:val="24"/>
          <w:szCs w:val="22"/>
        </w:rPr>
        <w:t>286,</w:t>
      </w:r>
      <w:r w:rsidR="00E61802">
        <w:rPr>
          <w:rFonts w:cs="Arial"/>
          <w:sz w:val="24"/>
          <w:szCs w:val="22"/>
        </w:rPr>
        <w:t>020</w:t>
      </w:r>
      <w:r w:rsidR="006B3F9D">
        <w:rPr>
          <w:rFonts w:cs="Arial"/>
          <w:sz w:val="24"/>
          <w:szCs w:val="22"/>
        </w:rPr>
        <w:t xml:space="preserve"> </w:t>
      </w:r>
      <w:r w:rsidRPr="000412CA">
        <w:rPr>
          <w:rFonts w:cs="Arial"/>
          <w:sz w:val="24"/>
          <w:szCs w:val="24"/>
        </w:rPr>
        <w:t>for renewal applications.</w:t>
      </w:r>
    </w:p>
    <w:p w:rsidR="000412CA" w:rsidRPr="000412CA" w:rsidP="000412CA" w14:paraId="0DD1794E" w14:textId="77777777">
      <w:pPr>
        <w:ind w:left="720" w:right="720"/>
        <w:rPr>
          <w:rFonts w:cs="Arial"/>
          <w:sz w:val="24"/>
          <w:szCs w:val="24"/>
        </w:rPr>
      </w:pPr>
    </w:p>
    <w:p w:rsidR="000412CA" w:rsidRPr="000412CA" w:rsidP="000412CA" w14:paraId="38276ADF" w14:textId="4853C650">
      <w:pPr>
        <w:ind w:left="720" w:right="720"/>
        <w:rPr>
          <w:rFonts w:cs="Arial"/>
          <w:sz w:val="24"/>
          <w:szCs w:val="24"/>
        </w:rPr>
      </w:pPr>
      <w:r w:rsidRPr="000412CA">
        <w:rPr>
          <w:rFonts w:cs="Arial"/>
          <w:sz w:val="24"/>
          <w:szCs w:val="24"/>
        </w:rPr>
        <w:t>Thus, the total annual burden to industry is (</w:t>
      </w:r>
      <w:r w:rsidR="00FF42E5">
        <w:rPr>
          <w:rFonts w:cs="Arial"/>
          <w:sz w:val="24"/>
          <w:szCs w:val="24"/>
        </w:rPr>
        <w:t>9</w:t>
      </w:r>
      <w:r w:rsidR="00492766">
        <w:rPr>
          <w:rFonts w:cs="Arial"/>
          <w:sz w:val="24"/>
          <w:szCs w:val="24"/>
        </w:rPr>
        <w:t xml:space="preserve">,000 </w:t>
      </w:r>
      <w:r w:rsidRPr="000412CA">
        <w:rPr>
          <w:rFonts w:cs="Arial"/>
          <w:sz w:val="24"/>
          <w:szCs w:val="24"/>
        </w:rPr>
        <w:t>hours x 0) + (</w:t>
      </w:r>
      <w:r w:rsidR="00FF42E5">
        <w:rPr>
          <w:rFonts w:cs="Arial"/>
          <w:sz w:val="24"/>
          <w:szCs w:val="24"/>
        </w:rPr>
        <w:t>4,500</w:t>
      </w:r>
      <w:r w:rsidRPr="000412CA">
        <w:rPr>
          <w:rFonts w:cs="Arial"/>
          <w:sz w:val="24"/>
          <w:szCs w:val="24"/>
        </w:rPr>
        <w:t xml:space="preserve"> x </w:t>
      </w:r>
      <w:r w:rsidR="00492766">
        <w:rPr>
          <w:rFonts w:cs="Arial"/>
          <w:sz w:val="24"/>
          <w:szCs w:val="24"/>
        </w:rPr>
        <w:t>4</w:t>
      </w:r>
      <w:r w:rsidRPr="000412CA">
        <w:rPr>
          <w:rFonts w:cs="Arial"/>
          <w:sz w:val="24"/>
          <w:szCs w:val="24"/>
        </w:rPr>
        <w:t>) + (</w:t>
      </w:r>
      <w:r w:rsidR="00FF42E5">
        <w:rPr>
          <w:rFonts w:cs="Arial"/>
          <w:sz w:val="24"/>
          <w:szCs w:val="24"/>
        </w:rPr>
        <w:t>900</w:t>
      </w:r>
      <w:r w:rsidRPr="000412CA">
        <w:rPr>
          <w:rFonts w:cs="Arial"/>
          <w:sz w:val="24"/>
          <w:szCs w:val="24"/>
        </w:rPr>
        <w:t xml:space="preserve"> hours x </w:t>
      </w:r>
      <w:r w:rsidR="00492766">
        <w:rPr>
          <w:rFonts w:cs="Arial"/>
          <w:sz w:val="24"/>
          <w:szCs w:val="24"/>
        </w:rPr>
        <w:t>4</w:t>
      </w:r>
      <w:r w:rsidRPr="000412CA">
        <w:rPr>
          <w:rFonts w:cs="Arial"/>
          <w:sz w:val="24"/>
          <w:szCs w:val="24"/>
        </w:rPr>
        <w:t xml:space="preserve">) = </w:t>
      </w:r>
      <w:r w:rsidR="00FF42E5">
        <w:rPr>
          <w:rFonts w:cs="Arial"/>
          <w:b/>
          <w:sz w:val="24"/>
          <w:szCs w:val="24"/>
        </w:rPr>
        <w:t>21,600</w:t>
      </w:r>
      <w:r w:rsidRPr="000412CA">
        <w:rPr>
          <w:rFonts w:cs="Arial"/>
          <w:b/>
          <w:sz w:val="24"/>
          <w:szCs w:val="24"/>
        </w:rPr>
        <w:t xml:space="preserve"> hours</w:t>
      </w:r>
      <w:r w:rsidRPr="000412CA">
        <w:rPr>
          <w:rFonts w:cs="Arial"/>
          <w:sz w:val="24"/>
          <w:szCs w:val="24"/>
        </w:rPr>
        <w:t>.</w:t>
      </w:r>
    </w:p>
    <w:p w:rsidR="000E0B5F" w:rsidP="00965257" w14:paraId="14A6EA06" w14:textId="77777777">
      <w:pPr>
        <w:tabs>
          <w:tab w:val="left" w:pos="-720"/>
          <w:tab w:val="left" w:pos="0"/>
        </w:tabs>
        <w:suppressAutoHyphens/>
        <w:rPr>
          <w:sz w:val="22"/>
        </w:rPr>
      </w:pPr>
    </w:p>
    <w:p w:rsidR="00965257" w:rsidP="003161B8" w14:paraId="1AFC000E" w14:textId="77777777">
      <w:pPr>
        <w:tabs>
          <w:tab w:val="left" w:pos="-720"/>
          <w:tab w:val="left" w:pos="0"/>
        </w:tabs>
        <w:suppressAutoHyphens/>
        <w:ind w:left="720" w:hanging="720"/>
        <w:rPr>
          <w:sz w:val="22"/>
        </w:rPr>
      </w:pPr>
      <w:r w:rsidRPr="00D110DD">
        <w:rPr>
          <w:rFonts w:ascii="Arial" w:hAnsi="Arial" w:cs="Arial"/>
          <w:b/>
          <w:sz w:val="26"/>
          <w:szCs w:val="26"/>
        </w:rPr>
        <w:t>13.</w:t>
      </w:r>
      <w:r w:rsidRPr="00D110DD">
        <w:rPr>
          <w:rFonts w:ascii="Arial" w:hAnsi="Arial" w:cs="Arial"/>
          <w:b/>
          <w:sz w:val="26"/>
          <w:szCs w:val="26"/>
        </w:rPr>
        <w:tab/>
        <w:t>Provide an estimate of the total annual cost burden to respondents or recordkeepers resulting from the collection of information.</w:t>
      </w:r>
      <w:r w:rsidR="005330E3">
        <w:rPr>
          <w:sz w:val="22"/>
        </w:rPr>
        <w:t xml:space="preserve"> </w:t>
      </w:r>
    </w:p>
    <w:p w:rsidR="00965257" w:rsidP="003161B8" w14:paraId="618BF51B" w14:textId="77777777">
      <w:pPr>
        <w:tabs>
          <w:tab w:val="left" w:pos="-720"/>
          <w:tab w:val="left" w:pos="0"/>
        </w:tabs>
        <w:suppressAutoHyphens/>
        <w:ind w:left="720" w:hanging="720"/>
        <w:rPr>
          <w:sz w:val="22"/>
        </w:rPr>
      </w:pPr>
    </w:p>
    <w:p w:rsidR="003161B8" w:rsidRPr="00D110DD" w:rsidP="003161B8" w14:paraId="626C99C8" w14:textId="514701FF">
      <w:pPr>
        <w:tabs>
          <w:tab w:val="left" w:pos="-720"/>
          <w:tab w:val="left" w:pos="0"/>
        </w:tabs>
        <w:suppressAutoHyphens/>
        <w:ind w:left="720" w:hanging="720"/>
        <w:rPr>
          <w:sz w:val="24"/>
          <w:szCs w:val="24"/>
        </w:rPr>
      </w:pPr>
      <w:r>
        <w:rPr>
          <w:sz w:val="22"/>
        </w:rPr>
        <w:tab/>
      </w:r>
      <w:r w:rsidRPr="00D110DD" w:rsidR="005330E3">
        <w:rPr>
          <w:sz w:val="24"/>
          <w:szCs w:val="24"/>
        </w:rPr>
        <w:t>There is no additional cost other than that shown in Item 12.</w:t>
      </w:r>
    </w:p>
    <w:p w:rsidR="005330E3" w14:paraId="7B5470EF" w14:textId="77777777">
      <w:pPr>
        <w:tabs>
          <w:tab w:val="left" w:pos="-720"/>
          <w:tab w:val="left" w:pos="0"/>
        </w:tabs>
        <w:suppressAutoHyphens/>
        <w:ind w:left="720" w:hanging="720"/>
        <w:rPr>
          <w:sz w:val="22"/>
        </w:rPr>
      </w:pPr>
    </w:p>
    <w:p w:rsidR="00F60090" w:rsidRPr="00F60090" w:rsidP="00965257" w14:paraId="717D7483" w14:textId="77777777">
      <w:pPr>
        <w:keepNext/>
        <w:keepLines/>
        <w:numPr>
          <w:ilvl w:val="0"/>
          <w:numId w:val="1"/>
        </w:numPr>
        <w:tabs>
          <w:tab w:val="left" w:pos="-720"/>
          <w:tab w:val="left" w:pos="0"/>
        </w:tabs>
        <w:suppressAutoHyphens/>
        <w:rPr>
          <w:sz w:val="22"/>
        </w:rPr>
      </w:pPr>
      <w:r w:rsidRPr="00D110DD">
        <w:rPr>
          <w:rFonts w:ascii="Arial" w:hAnsi="Arial" w:cs="Arial"/>
          <w:b/>
          <w:sz w:val="26"/>
          <w:szCs w:val="26"/>
        </w:rPr>
        <w:t>Provide estimates of annualized cost to the Federal government.</w:t>
      </w:r>
    </w:p>
    <w:p w:rsidR="00F60090" w:rsidRPr="00F60090" w:rsidP="00F60090" w14:paraId="74EBB0CF" w14:textId="77777777">
      <w:pPr>
        <w:tabs>
          <w:tab w:val="left" w:pos="-720"/>
          <w:tab w:val="left" w:pos="0"/>
        </w:tabs>
        <w:suppressAutoHyphens/>
        <w:ind w:left="720"/>
        <w:rPr>
          <w:sz w:val="22"/>
        </w:rPr>
      </w:pPr>
    </w:p>
    <w:p w:rsidR="00F60090" w:rsidRPr="00F60090" w:rsidP="00965257" w14:paraId="10EAF2B5" w14:textId="3262B255">
      <w:pPr>
        <w:pStyle w:val="BodyText"/>
        <w:ind w:left="720"/>
        <w:jc w:val="left"/>
        <w:rPr>
          <w:rFonts w:ascii="Times New Roman" w:hAnsi="Times New Roman"/>
          <w:b w:val="0"/>
          <w:sz w:val="24"/>
          <w:szCs w:val="24"/>
        </w:rPr>
      </w:pPr>
      <w:r w:rsidRPr="00F60090">
        <w:rPr>
          <w:rFonts w:ascii="Times New Roman" w:hAnsi="Times New Roman"/>
          <w:b w:val="0"/>
          <w:sz w:val="24"/>
          <w:szCs w:val="24"/>
        </w:rPr>
        <w:t xml:space="preserve">The burden to the federal government associated with information collected to comply with 14 CFR </w:t>
      </w:r>
      <w:r w:rsidR="006F61C7">
        <w:rPr>
          <w:rFonts w:ascii="Times New Roman" w:hAnsi="Times New Roman"/>
          <w:b w:val="0"/>
          <w:sz w:val="24"/>
          <w:szCs w:val="24"/>
        </w:rPr>
        <w:t>P</w:t>
      </w:r>
      <w:r w:rsidRPr="00F60090" w:rsidR="006F61C7">
        <w:rPr>
          <w:rFonts w:ascii="Times New Roman" w:hAnsi="Times New Roman"/>
          <w:b w:val="0"/>
          <w:sz w:val="24"/>
          <w:szCs w:val="24"/>
        </w:rPr>
        <w:t xml:space="preserve">art </w:t>
      </w:r>
      <w:r w:rsidRPr="00F60090">
        <w:rPr>
          <w:rFonts w:ascii="Times New Roman" w:hAnsi="Times New Roman"/>
          <w:b w:val="0"/>
          <w:sz w:val="24"/>
          <w:szCs w:val="24"/>
        </w:rPr>
        <w:t>43</w:t>
      </w:r>
      <w:r>
        <w:rPr>
          <w:rFonts w:ascii="Times New Roman" w:hAnsi="Times New Roman"/>
          <w:b w:val="0"/>
          <w:sz w:val="24"/>
          <w:szCs w:val="24"/>
        </w:rPr>
        <w:t xml:space="preserve">1 </w:t>
      </w:r>
      <w:r w:rsidRPr="00F60090">
        <w:rPr>
          <w:rFonts w:ascii="Times New Roman" w:hAnsi="Times New Roman"/>
          <w:b w:val="0"/>
          <w:sz w:val="24"/>
          <w:szCs w:val="24"/>
        </w:rPr>
        <w:t xml:space="preserve">for either a Launch Operator or Launch Specific License involves several principal activities.  These activities include pre-application consultation with industry and review of preliminary information; review of the formal application and its disposition (that is, approval or disapproval); resolution of questions associated with the application; and amending an approved license.  The application review process is generally the same for either a Launch Operator or Launch Specific License, as AST determines which license type is issued based on the information submitted with </w:t>
      </w:r>
      <w:r w:rsidRPr="00F60090">
        <w:rPr>
          <w:rFonts w:ascii="Times New Roman" w:hAnsi="Times New Roman"/>
          <w:b w:val="0"/>
          <w:sz w:val="24"/>
          <w:szCs w:val="24"/>
        </w:rPr>
        <w:t xml:space="preserve">the application.  The FAA estimates that it expends as many as 3,900 hours to review and process the information collected associated with an application submittal in compliance with 14 CFR </w:t>
      </w:r>
      <w:r w:rsidRPr="00F60090" w:rsidR="006F61C7">
        <w:rPr>
          <w:rFonts w:ascii="Times New Roman" w:hAnsi="Times New Roman"/>
          <w:b w:val="0"/>
          <w:sz w:val="24"/>
          <w:szCs w:val="24"/>
        </w:rPr>
        <w:t xml:space="preserve">Part </w:t>
      </w:r>
      <w:r w:rsidRPr="00F60090">
        <w:rPr>
          <w:rFonts w:ascii="Times New Roman" w:hAnsi="Times New Roman"/>
          <w:b w:val="0"/>
          <w:sz w:val="24"/>
          <w:szCs w:val="24"/>
        </w:rPr>
        <w:t>43</w:t>
      </w:r>
      <w:r>
        <w:rPr>
          <w:rFonts w:ascii="Times New Roman" w:hAnsi="Times New Roman"/>
          <w:b w:val="0"/>
          <w:sz w:val="24"/>
          <w:szCs w:val="24"/>
        </w:rPr>
        <w:t>1</w:t>
      </w:r>
      <w:r w:rsidRPr="00F60090">
        <w:rPr>
          <w:rFonts w:ascii="Times New Roman" w:hAnsi="Times New Roman"/>
          <w:b w:val="0"/>
          <w:sz w:val="24"/>
          <w:szCs w:val="24"/>
        </w:rPr>
        <w:t>.</w:t>
      </w:r>
      <w:r>
        <w:rPr>
          <w:rStyle w:val="FootnoteReference"/>
          <w:rFonts w:ascii="Times New Roman" w:hAnsi="Times New Roman"/>
          <w:b w:val="0"/>
          <w:sz w:val="24"/>
          <w:szCs w:val="24"/>
        </w:rPr>
        <w:footnoteReference w:id="2"/>
      </w:r>
      <w:r w:rsidRPr="00F60090">
        <w:rPr>
          <w:rFonts w:ascii="Times New Roman" w:hAnsi="Times New Roman"/>
          <w:b w:val="0"/>
          <w:sz w:val="24"/>
          <w:szCs w:val="24"/>
        </w:rPr>
        <w:t xml:space="preserve">  Further, the FAA estimates that the hour burden it incurs to review information necessary to support a license renewal application can be as many as 390 hours.</w:t>
      </w:r>
      <w:r>
        <w:rPr>
          <w:rStyle w:val="FootnoteReference"/>
          <w:rFonts w:ascii="Times New Roman" w:hAnsi="Times New Roman"/>
          <w:b w:val="0"/>
          <w:sz w:val="24"/>
          <w:szCs w:val="24"/>
        </w:rPr>
        <w:footnoteReference w:id="3"/>
      </w:r>
      <w:r w:rsidRPr="00F60090">
        <w:rPr>
          <w:rFonts w:ascii="Times New Roman" w:hAnsi="Times New Roman"/>
          <w:b w:val="0"/>
          <w:sz w:val="24"/>
          <w:szCs w:val="24"/>
        </w:rPr>
        <w:t xml:space="preserve">  </w:t>
      </w:r>
    </w:p>
    <w:p w:rsidR="00965257" w:rsidP="00965257" w14:paraId="46F56070" w14:textId="77777777">
      <w:pPr>
        <w:pStyle w:val="BodyText"/>
        <w:ind w:left="720"/>
        <w:jc w:val="left"/>
        <w:rPr>
          <w:rFonts w:ascii="Times New Roman" w:hAnsi="Times New Roman"/>
          <w:b w:val="0"/>
          <w:sz w:val="24"/>
          <w:szCs w:val="24"/>
        </w:rPr>
      </w:pPr>
    </w:p>
    <w:p w:rsidR="00F60090" w:rsidP="00965257" w14:paraId="206DC6D3" w14:textId="2E7E9BED">
      <w:pPr>
        <w:pStyle w:val="BodyText"/>
        <w:ind w:left="720"/>
        <w:jc w:val="left"/>
        <w:rPr>
          <w:rFonts w:ascii="Times New Roman" w:hAnsi="Times New Roman"/>
          <w:b w:val="0"/>
          <w:sz w:val="24"/>
          <w:szCs w:val="24"/>
        </w:rPr>
      </w:pPr>
      <w:r w:rsidRPr="008D74D6">
        <w:rPr>
          <w:rFonts w:ascii="Times New Roman" w:hAnsi="Times New Roman"/>
          <w:b w:val="0"/>
          <w:sz w:val="24"/>
          <w:szCs w:val="24"/>
        </w:rPr>
        <w:t>Base salary in 202</w:t>
      </w:r>
      <w:r w:rsidRPr="00B276A7" w:rsidR="00DF3E2D">
        <w:rPr>
          <w:rFonts w:ascii="Times New Roman" w:hAnsi="Times New Roman"/>
          <w:b w:val="0"/>
          <w:sz w:val="24"/>
          <w:szCs w:val="24"/>
        </w:rPr>
        <w:t>4</w:t>
      </w:r>
      <w:r w:rsidRPr="008D74D6">
        <w:rPr>
          <w:rFonts w:ascii="Times New Roman" w:hAnsi="Times New Roman"/>
          <w:b w:val="0"/>
          <w:sz w:val="24"/>
          <w:szCs w:val="24"/>
        </w:rPr>
        <w:t xml:space="preserve"> for FAA personnel based on the GS 13 Step 5 wage for the Washington DC area is estimated to be </w:t>
      </w:r>
      <w:r w:rsidRPr="008D74D6">
        <w:rPr>
          <w:rFonts w:ascii="Times New Roman" w:hAnsi="Times New Roman"/>
          <w:b w:val="0"/>
          <w:color w:val="555555"/>
          <w:sz w:val="24"/>
          <w:szCs w:val="24"/>
        </w:rPr>
        <w:t>$</w:t>
      </w:r>
      <w:r w:rsidRPr="008D74D6" w:rsidR="00DF3E2D">
        <w:rPr>
          <w:rFonts w:ascii="Times New Roman" w:hAnsi="Times New Roman"/>
          <w:b w:val="0"/>
          <w:color w:val="555555"/>
          <w:sz w:val="24"/>
          <w:szCs w:val="24"/>
        </w:rPr>
        <w:t>133,692</w:t>
      </w:r>
      <w:r w:rsidRPr="008D74D6">
        <w:rPr>
          <w:rFonts w:ascii="Times New Roman" w:hAnsi="Times New Roman"/>
          <w:b w:val="0"/>
          <w:sz w:val="24"/>
          <w:szCs w:val="24"/>
        </w:rPr>
        <w:t>.</w:t>
      </w:r>
      <w:r>
        <w:rPr>
          <w:rStyle w:val="FootnoteReference"/>
          <w:rFonts w:ascii="Times New Roman" w:hAnsi="Times New Roman"/>
          <w:b w:val="0"/>
          <w:sz w:val="24"/>
          <w:szCs w:val="24"/>
        </w:rPr>
        <w:footnoteReference w:id="4"/>
      </w:r>
      <w:r w:rsidRPr="008D74D6">
        <w:rPr>
          <w:rFonts w:ascii="Times New Roman" w:hAnsi="Times New Roman"/>
          <w:b w:val="0"/>
          <w:sz w:val="24"/>
          <w:szCs w:val="24"/>
        </w:rPr>
        <w:t xml:space="preserve">  As summarized in Table 3</w:t>
      </w:r>
      <w:r w:rsidRPr="00B276A7">
        <w:rPr>
          <w:rFonts w:ascii="Times New Roman" w:hAnsi="Times New Roman"/>
          <w:b w:val="0"/>
          <w:sz w:val="24"/>
          <w:szCs w:val="24"/>
        </w:rPr>
        <w:t>, t</w:t>
      </w:r>
      <w:r w:rsidRPr="008D74D6">
        <w:rPr>
          <w:rFonts w:ascii="Times New Roman" w:hAnsi="Times New Roman"/>
          <w:b w:val="0"/>
          <w:sz w:val="24"/>
          <w:szCs w:val="24"/>
        </w:rPr>
        <w:t>he base salary loaded with federal government fringe benefits is $</w:t>
      </w:r>
      <w:r w:rsidRPr="00B276A7" w:rsidR="00DF3E2D">
        <w:rPr>
          <w:rFonts w:ascii="Times New Roman" w:hAnsi="Times New Roman"/>
          <w:b w:val="0"/>
          <w:sz w:val="24"/>
          <w:szCs w:val="24"/>
        </w:rPr>
        <w:t>184,629</w:t>
      </w:r>
      <w:r w:rsidRPr="008D74D6">
        <w:rPr>
          <w:rFonts w:ascii="Times New Roman" w:hAnsi="Times New Roman"/>
          <w:b w:val="0"/>
          <w:sz w:val="24"/>
          <w:szCs w:val="24"/>
        </w:rPr>
        <w:t>, resulting in an FAA hourly labor cost of $</w:t>
      </w:r>
      <w:r w:rsidRPr="00B276A7" w:rsidR="00DF3E2D">
        <w:rPr>
          <w:rFonts w:ascii="Times New Roman" w:hAnsi="Times New Roman"/>
          <w:b w:val="0"/>
          <w:sz w:val="24"/>
          <w:szCs w:val="24"/>
        </w:rPr>
        <w:t>88</w:t>
      </w:r>
      <w:r w:rsidRPr="008D74D6">
        <w:rPr>
          <w:rFonts w:ascii="Times New Roman" w:hAnsi="Times New Roman"/>
          <w:b w:val="0"/>
          <w:sz w:val="24"/>
          <w:szCs w:val="24"/>
        </w:rPr>
        <w:t>.</w:t>
      </w:r>
      <w:r w:rsidRPr="00B276A7" w:rsidR="00DF3E2D">
        <w:rPr>
          <w:rFonts w:ascii="Times New Roman" w:hAnsi="Times New Roman"/>
          <w:b w:val="0"/>
          <w:sz w:val="24"/>
          <w:szCs w:val="24"/>
        </w:rPr>
        <w:t>76</w:t>
      </w:r>
      <w:r w:rsidRPr="008D74D6">
        <w:rPr>
          <w:rFonts w:ascii="Times New Roman" w:hAnsi="Times New Roman"/>
          <w:b w:val="0"/>
          <w:sz w:val="24"/>
          <w:szCs w:val="24"/>
        </w:rPr>
        <w:t>(calculated as $</w:t>
      </w:r>
      <w:r w:rsidRPr="00B276A7" w:rsidR="00DF3E2D">
        <w:rPr>
          <w:rFonts w:ascii="Times New Roman" w:hAnsi="Times New Roman"/>
          <w:b w:val="0"/>
          <w:sz w:val="24"/>
          <w:szCs w:val="24"/>
        </w:rPr>
        <w:t>184,629</w:t>
      </w:r>
      <w:r w:rsidRPr="008D74D6">
        <w:rPr>
          <w:rFonts w:ascii="Times New Roman" w:hAnsi="Times New Roman"/>
          <w:b w:val="0"/>
          <w:sz w:val="24"/>
          <w:szCs w:val="24"/>
        </w:rPr>
        <w:t>÷ 2,080 = $</w:t>
      </w:r>
      <w:r w:rsidRPr="00B276A7" w:rsidR="00DF3E2D">
        <w:rPr>
          <w:rFonts w:ascii="Times New Roman" w:hAnsi="Times New Roman"/>
          <w:b w:val="0"/>
          <w:sz w:val="24"/>
          <w:szCs w:val="24"/>
        </w:rPr>
        <w:t>88.76</w:t>
      </w:r>
      <w:r w:rsidRPr="008D74D6">
        <w:rPr>
          <w:rFonts w:ascii="Times New Roman" w:hAnsi="Times New Roman"/>
          <w:b w:val="0"/>
          <w:sz w:val="24"/>
          <w:szCs w:val="24"/>
        </w:rPr>
        <w:t>). Multiplying the FAA hourly burden to review collected information by the federal government hourly labor cost yields $</w:t>
      </w:r>
      <w:r w:rsidRPr="00B276A7" w:rsidR="00DF3E2D">
        <w:rPr>
          <w:rFonts w:ascii="Times New Roman" w:hAnsi="Times New Roman"/>
          <w:b w:val="0"/>
          <w:sz w:val="24"/>
          <w:szCs w:val="24"/>
        </w:rPr>
        <w:t>346,164</w:t>
      </w:r>
      <w:r w:rsidRPr="008D74D6">
        <w:rPr>
          <w:rFonts w:ascii="Times New Roman" w:hAnsi="Times New Roman"/>
          <w:b w:val="0"/>
          <w:sz w:val="24"/>
          <w:szCs w:val="24"/>
        </w:rPr>
        <w:t xml:space="preserve"> (calculated as 3,900 × $</w:t>
      </w:r>
      <w:r w:rsidRPr="00B276A7" w:rsidR="00DF3E2D">
        <w:rPr>
          <w:rFonts w:ascii="Times New Roman" w:hAnsi="Times New Roman"/>
          <w:b w:val="0"/>
          <w:sz w:val="24"/>
          <w:szCs w:val="24"/>
        </w:rPr>
        <w:t>88.76</w:t>
      </w:r>
      <w:r w:rsidRPr="008D74D6">
        <w:rPr>
          <w:rFonts w:ascii="Times New Roman" w:hAnsi="Times New Roman"/>
          <w:b w:val="0"/>
          <w:sz w:val="24"/>
          <w:szCs w:val="24"/>
        </w:rPr>
        <w:t>= $</w:t>
      </w:r>
      <w:r w:rsidRPr="00B276A7" w:rsidR="00DF3E2D">
        <w:rPr>
          <w:rFonts w:ascii="Times New Roman" w:hAnsi="Times New Roman"/>
          <w:b w:val="0"/>
          <w:sz w:val="24"/>
          <w:szCs w:val="24"/>
        </w:rPr>
        <w:t>346,164</w:t>
      </w:r>
      <w:r w:rsidRPr="008D74D6">
        <w:rPr>
          <w:rFonts w:ascii="Times New Roman" w:hAnsi="Times New Roman"/>
          <w:b w:val="0"/>
          <w:sz w:val="24"/>
          <w:szCs w:val="24"/>
        </w:rPr>
        <w:t>) to review an initial application, $</w:t>
      </w:r>
      <w:r w:rsidRPr="00B276A7" w:rsidR="00DF3E2D">
        <w:rPr>
          <w:rFonts w:ascii="Times New Roman" w:hAnsi="Times New Roman"/>
          <w:b w:val="0"/>
          <w:sz w:val="24"/>
          <w:szCs w:val="24"/>
        </w:rPr>
        <w:t>173,082</w:t>
      </w:r>
      <w:r w:rsidRPr="008D74D6">
        <w:rPr>
          <w:rFonts w:ascii="Times New Roman" w:hAnsi="Times New Roman"/>
          <w:b w:val="0"/>
          <w:sz w:val="24"/>
          <w:szCs w:val="24"/>
        </w:rPr>
        <w:t xml:space="preserve"> to review a license modification (calculated as 50% of $</w:t>
      </w:r>
      <w:r w:rsidRPr="00B276A7" w:rsidR="00DF3E2D">
        <w:rPr>
          <w:rFonts w:ascii="Times New Roman" w:hAnsi="Times New Roman"/>
          <w:b w:val="0"/>
          <w:sz w:val="24"/>
          <w:szCs w:val="24"/>
        </w:rPr>
        <w:t>346,164</w:t>
      </w:r>
      <w:r w:rsidRPr="008D74D6">
        <w:rPr>
          <w:rFonts w:ascii="Times New Roman" w:hAnsi="Times New Roman"/>
          <w:b w:val="0"/>
          <w:sz w:val="24"/>
          <w:szCs w:val="24"/>
        </w:rPr>
        <w:t>), and $3</w:t>
      </w:r>
      <w:r w:rsidRPr="00B276A7" w:rsidR="00DF3E2D">
        <w:rPr>
          <w:rFonts w:ascii="Times New Roman" w:hAnsi="Times New Roman"/>
          <w:b w:val="0"/>
          <w:sz w:val="24"/>
          <w:szCs w:val="24"/>
        </w:rPr>
        <w:t>4,615</w:t>
      </w:r>
      <w:r w:rsidRPr="008D74D6">
        <w:rPr>
          <w:rFonts w:ascii="Times New Roman" w:hAnsi="Times New Roman"/>
          <w:b w:val="0"/>
          <w:sz w:val="24"/>
          <w:szCs w:val="24"/>
        </w:rPr>
        <w:t xml:space="preserve"> to review a license renewal application (calculated as 10% of $</w:t>
      </w:r>
      <w:r w:rsidRPr="00B276A7" w:rsidR="00DF3E2D">
        <w:rPr>
          <w:rFonts w:ascii="Times New Roman" w:hAnsi="Times New Roman"/>
          <w:b w:val="0"/>
          <w:sz w:val="24"/>
          <w:szCs w:val="24"/>
        </w:rPr>
        <w:t>346,164</w:t>
      </w:r>
      <w:r w:rsidRPr="008D74D6">
        <w:rPr>
          <w:rFonts w:ascii="Times New Roman" w:hAnsi="Times New Roman"/>
          <w:b w:val="0"/>
          <w:sz w:val="24"/>
          <w:szCs w:val="24"/>
        </w:rPr>
        <w:t>).  Multiplying the application cost by the estimated annual number of applications yields the annual collected information review and processing cost burden to the FAA associated with the collection — $0 for initial licenses (cost is $0</w:t>
      </w:r>
      <w:r w:rsidRPr="00F60090">
        <w:rPr>
          <w:rFonts w:ascii="Times New Roman" w:hAnsi="Times New Roman"/>
          <w:b w:val="0"/>
          <w:sz w:val="24"/>
          <w:szCs w:val="24"/>
        </w:rPr>
        <w:t xml:space="preserve"> because no new licenses will be issued under </w:t>
      </w:r>
      <w:r w:rsidR="00637E1F">
        <w:rPr>
          <w:rFonts w:ascii="Times New Roman" w:hAnsi="Times New Roman"/>
          <w:b w:val="0"/>
          <w:sz w:val="24"/>
          <w:szCs w:val="24"/>
        </w:rPr>
        <w:t>P</w:t>
      </w:r>
      <w:r w:rsidRPr="00F60090">
        <w:rPr>
          <w:rFonts w:ascii="Times New Roman" w:hAnsi="Times New Roman"/>
          <w:b w:val="0"/>
          <w:sz w:val="24"/>
          <w:szCs w:val="24"/>
        </w:rPr>
        <w:t>art 4</w:t>
      </w:r>
      <w:r>
        <w:rPr>
          <w:rFonts w:ascii="Times New Roman" w:hAnsi="Times New Roman"/>
          <w:b w:val="0"/>
          <w:sz w:val="24"/>
          <w:szCs w:val="24"/>
        </w:rPr>
        <w:t>31</w:t>
      </w:r>
      <w:r w:rsidRPr="00F60090">
        <w:rPr>
          <w:rFonts w:ascii="Times New Roman" w:hAnsi="Times New Roman"/>
          <w:b w:val="0"/>
          <w:sz w:val="24"/>
          <w:szCs w:val="24"/>
        </w:rPr>
        <w:t xml:space="preserve">, all new licenses will be issued under </w:t>
      </w:r>
      <w:r w:rsidRPr="00F60090" w:rsidR="006F61C7">
        <w:rPr>
          <w:rFonts w:ascii="Times New Roman" w:hAnsi="Times New Roman"/>
          <w:b w:val="0"/>
          <w:sz w:val="24"/>
          <w:szCs w:val="24"/>
        </w:rPr>
        <w:t>Part</w:t>
      </w:r>
      <w:r w:rsidRPr="00F60090">
        <w:rPr>
          <w:rFonts w:ascii="Times New Roman" w:hAnsi="Times New Roman"/>
          <w:b w:val="0"/>
          <w:sz w:val="24"/>
          <w:szCs w:val="24"/>
        </w:rPr>
        <w:t xml:space="preserve"> 450), $</w:t>
      </w:r>
      <w:r w:rsidR="007746E0">
        <w:rPr>
          <w:rFonts w:ascii="Times New Roman" w:hAnsi="Times New Roman"/>
          <w:b w:val="0"/>
          <w:sz w:val="24"/>
          <w:szCs w:val="24"/>
        </w:rPr>
        <w:t>692,328</w:t>
      </w:r>
      <w:r w:rsidRPr="00F60090">
        <w:rPr>
          <w:rFonts w:ascii="Times New Roman" w:hAnsi="Times New Roman"/>
          <w:b w:val="0"/>
          <w:sz w:val="24"/>
          <w:szCs w:val="24"/>
        </w:rPr>
        <w:t xml:space="preserve"> for modified licenses, and $</w:t>
      </w:r>
      <w:r w:rsidR="007746E0">
        <w:rPr>
          <w:rFonts w:ascii="Times New Roman" w:hAnsi="Times New Roman"/>
          <w:b w:val="0"/>
          <w:sz w:val="24"/>
          <w:szCs w:val="24"/>
        </w:rPr>
        <w:t>138,460</w:t>
      </w:r>
      <w:r w:rsidRPr="00F60090">
        <w:rPr>
          <w:rFonts w:ascii="Times New Roman" w:hAnsi="Times New Roman"/>
          <w:b w:val="0"/>
          <w:sz w:val="24"/>
          <w:szCs w:val="24"/>
        </w:rPr>
        <w:t xml:space="preserve"> for renewals.  This is summarized in Table 4.</w:t>
      </w:r>
    </w:p>
    <w:p w:rsidR="00965257" w:rsidRPr="00F60090" w:rsidP="00965257" w14:paraId="585F9363" w14:textId="77777777">
      <w:pPr>
        <w:pStyle w:val="BodyText"/>
        <w:ind w:left="720"/>
        <w:jc w:val="left"/>
        <w:rPr>
          <w:rFonts w:ascii="Times New Roman" w:hAnsi="Times New Roman"/>
          <w:b w:val="0"/>
          <w:sz w:val="24"/>
          <w:szCs w:val="24"/>
        </w:rPr>
      </w:pPr>
    </w:p>
    <w:p w:rsidR="00637E1F" w:rsidRPr="00637E1F" w:rsidP="00637E1F" w14:paraId="3FDE62DB" w14:textId="1AD8E472">
      <w:pPr>
        <w:pStyle w:val="Heading3"/>
        <w:keepLines/>
        <w:rPr>
          <w:b/>
          <w:bCs/>
          <w:szCs w:val="24"/>
        </w:rPr>
      </w:pPr>
      <w:r w:rsidRPr="00637E1F">
        <w:rPr>
          <w:b/>
          <w:bCs/>
          <w:szCs w:val="24"/>
        </w:rPr>
        <w:t>TABLE 3. Public Sector Fringe Benefit Factors and Loaded Salary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040"/>
        <w:gridCol w:w="2880"/>
      </w:tblGrid>
      <w:tr w14:paraId="5E5A3819" w14:textId="77777777" w:rsidTr="00CA6824">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cantSplit/>
          <w:trHeight w:val="144"/>
          <w:jc w:val="center"/>
        </w:trPr>
        <w:tc>
          <w:tcPr>
            <w:tcW w:w="5040" w:type="dxa"/>
            <w:shd w:val="pct10" w:color="auto" w:fill="auto"/>
          </w:tcPr>
          <w:p w:rsidR="00F60090" w:rsidRPr="00F60090" w:rsidP="00F60090" w14:paraId="49ECA134" w14:textId="77777777">
            <w:pPr>
              <w:pStyle w:val="Heading6"/>
              <w:rPr>
                <w:rFonts w:ascii="Times New Roman" w:hAnsi="Times New Roman"/>
                <w:b w:val="0"/>
                <w:sz w:val="24"/>
                <w:szCs w:val="24"/>
              </w:rPr>
            </w:pPr>
            <w:r w:rsidRPr="00F60090">
              <w:rPr>
                <w:rFonts w:ascii="Times New Roman" w:hAnsi="Times New Roman"/>
                <w:b w:val="0"/>
                <w:sz w:val="24"/>
                <w:szCs w:val="24"/>
              </w:rPr>
              <w:t>Category</w:t>
            </w:r>
          </w:p>
        </w:tc>
        <w:tc>
          <w:tcPr>
            <w:tcW w:w="2880" w:type="dxa"/>
            <w:shd w:val="pct10" w:color="auto" w:fill="auto"/>
          </w:tcPr>
          <w:p w:rsidR="00F60090" w:rsidRPr="00F60090" w:rsidP="00F60090" w14:paraId="15F11FB6" w14:textId="77777777">
            <w:pPr>
              <w:pStyle w:val="Heading6"/>
              <w:rPr>
                <w:rFonts w:ascii="Times New Roman" w:hAnsi="Times New Roman"/>
                <w:b w:val="0"/>
                <w:sz w:val="24"/>
                <w:szCs w:val="24"/>
              </w:rPr>
            </w:pPr>
            <w:r w:rsidRPr="00F60090">
              <w:rPr>
                <w:rFonts w:ascii="Times New Roman" w:hAnsi="Times New Roman"/>
                <w:b w:val="0"/>
                <w:sz w:val="24"/>
                <w:szCs w:val="24"/>
              </w:rPr>
              <w:t>Government Factor</w:t>
            </w:r>
          </w:p>
        </w:tc>
      </w:tr>
      <w:tr w14:paraId="78AC5E66" w14:textId="77777777" w:rsidTr="00CA6824">
        <w:tblPrEx>
          <w:tblW w:w="0" w:type="auto"/>
          <w:jc w:val="center"/>
          <w:tblLook w:val="0000"/>
        </w:tblPrEx>
        <w:trPr>
          <w:cantSplit/>
          <w:jc w:val="center"/>
        </w:trPr>
        <w:tc>
          <w:tcPr>
            <w:tcW w:w="5040" w:type="dxa"/>
          </w:tcPr>
          <w:p w:rsidR="00F60090" w:rsidRPr="00F60090" w:rsidP="00F60090" w14:paraId="4626ECA6" w14:textId="77777777">
            <w:pPr>
              <w:pStyle w:val="CellBodyLeft"/>
              <w:rPr>
                <w:rFonts w:ascii="Times New Roman" w:hAnsi="Times New Roman" w:cs="Times New Roman"/>
                <w:sz w:val="24"/>
              </w:rPr>
            </w:pPr>
            <w:r w:rsidRPr="00F60090">
              <w:rPr>
                <w:rFonts w:ascii="Times New Roman" w:hAnsi="Times New Roman" w:cs="Times New Roman"/>
                <w:sz w:val="24"/>
              </w:rPr>
              <w:t>Total Fringe Benefit</w:t>
            </w:r>
          </w:p>
        </w:tc>
        <w:tc>
          <w:tcPr>
            <w:tcW w:w="2880" w:type="dxa"/>
          </w:tcPr>
          <w:p w:rsidR="00F60090" w:rsidRPr="00F60090" w:rsidP="00F60090" w14:paraId="5E5186C7" w14:textId="77777777">
            <w:pPr>
              <w:pStyle w:val="CellBodyCenter"/>
              <w:jc w:val="left"/>
              <w:rPr>
                <w:rFonts w:ascii="Times New Roman" w:hAnsi="Times New Roman" w:cs="Times New Roman"/>
                <w:sz w:val="24"/>
              </w:rPr>
            </w:pPr>
            <w:r w:rsidRPr="00F60090">
              <w:rPr>
                <w:rFonts w:ascii="Times New Roman" w:hAnsi="Times New Roman" w:cs="Times New Roman"/>
                <w:sz w:val="24"/>
              </w:rPr>
              <w:fldChar w:fldCharType="begin"/>
            </w:r>
            <w:r w:rsidRPr="00F60090">
              <w:rPr>
                <w:rFonts w:ascii="Times New Roman" w:hAnsi="Times New Roman" w:cs="Times New Roman"/>
                <w:sz w:val="24"/>
              </w:rPr>
              <w:instrText xml:space="preserve"> =SUM(ABOVE)*100 \# "0.00%" </w:instrText>
            </w:r>
            <w:r w:rsidRPr="00F60090">
              <w:rPr>
                <w:rFonts w:ascii="Times New Roman" w:hAnsi="Times New Roman" w:cs="Times New Roman"/>
                <w:sz w:val="24"/>
              </w:rPr>
              <w:fldChar w:fldCharType="separate"/>
            </w:r>
            <w:r w:rsidRPr="00F60090">
              <w:rPr>
                <w:rFonts w:ascii="Times New Roman" w:hAnsi="Times New Roman" w:cs="Times New Roman"/>
                <w:noProof/>
                <w:sz w:val="24"/>
              </w:rPr>
              <w:t>38.1%</w:t>
            </w:r>
            <w:r w:rsidRPr="00F60090">
              <w:rPr>
                <w:rFonts w:ascii="Times New Roman" w:hAnsi="Times New Roman" w:cs="Times New Roman"/>
                <w:sz w:val="24"/>
              </w:rPr>
              <w:fldChar w:fldCharType="end"/>
            </w:r>
          </w:p>
        </w:tc>
      </w:tr>
      <w:tr w14:paraId="75FC49B1" w14:textId="77777777" w:rsidTr="00CA6824">
        <w:tblPrEx>
          <w:tblW w:w="0" w:type="auto"/>
          <w:jc w:val="center"/>
          <w:tblLook w:val="0000"/>
        </w:tblPrEx>
        <w:trPr>
          <w:cantSplit/>
          <w:jc w:val="center"/>
        </w:trPr>
        <w:tc>
          <w:tcPr>
            <w:tcW w:w="5040" w:type="dxa"/>
          </w:tcPr>
          <w:p w:rsidR="00F60090" w:rsidRPr="00F60090" w:rsidP="00F60090" w14:paraId="07AE74A8" w14:textId="77777777">
            <w:pPr>
              <w:pStyle w:val="CellBodyLeft"/>
              <w:rPr>
                <w:rFonts w:ascii="Times New Roman" w:hAnsi="Times New Roman" w:cs="Times New Roman"/>
                <w:sz w:val="24"/>
              </w:rPr>
            </w:pPr>
            <w:r w:rsidRPr="00F60090">
              <w:rPr>
                <w:rFonts w:ascii="Times New Roman" w:hAnsi="Times New Roman" w:cs="Times New Roman"/>
                <w:sz w:val="24"/>
              </w:rPr>
              <w:t>Federal Government Loaded Salary</w:t>
            </w:r>
            <w:r w:rsidRPr="00F60090">
              <w:rPr>
                <w:rFonts w:ascii="Times New Roman" w:hAnsi="Times New Roman" w:cs="Times New Roman"/>
                <w:sz w:val="24"/>
                <w:vertAlign w:val="superscript"/>
              </w:rPr>
              <w:t>a</w:t>
            </w:r>
          </w:p>
        </w:tc>
        <w:tc>
          <w:tcPr>
            <w:tcW w:w="2880" w:type="dxa"/>
          </w:tcPr>
          <w:p w:rsidR="00F60090" w:rsidRPr="00F60090" w:rsidP="00F60090" w14:paraId="4ABDFF69" w14:textId="72370C72">
            <w:pPr>
              <w:pStyle w:val="CellBodyCenter"/>
              <w:jc w:val="left"/>
              <w:rPr>
                <w:rFonts w:ascii="Times New Roman" w:hAnsi="Times New Roman" w:cs="Times New Roman"/>
                <w:sz w:val="24"/>
              </w:rPr>
            </w:pPr>
            <w:r w:rsidRPr="00F60090">
              <w:rPr>
                <w:rFonts w:ascii="Times New Roman" w:hAnsi="Times New Roman" w:cs="Times New Roman"/>
                <w:sz w:val="24"/>
              </w:rPr>
              <w:t>$</w:t>
            </w:r>
            <w:r w:rsidR="00ED39A5">
              <w:rPr>
                <w:rFonts w:ascii="Times New Roman" w:hAnsi="Times New Roman" w:cs="Times New Roman"/>
                <w:sz w:val="24"/>
              </w:rPr>
              <w:t>184,629</w:t>
            </w:r>
          </w:p>
        </w:tc>
      </w:tr>
    </w:tbl>
    <w:p w:rsidR="00F60090" w:rsidRPr="00F60090" w:rsidP="00F60090" w14:paraId="6AA3F060" w14:textId="0D4025F3">
      <w:pPr>
        <w:pStyle w:val="TableNotes"/>
        <w:rPr>
          <w:rFonts w:cs="Times New Roman"/>
        </w:rPr>
      </w:pPr>
      <w:r w:rsidRPr="00F60090">
        <w:rPr>
          <w:rFonts w:cs="Times New Roman"/>
        </w:rPr>
        <w:t xml:space="preserve">Source:   Based on Bureau of Labor Statistics Employer Costs for Employee Compensation by ownership Table 1 </w:t>
      </w:r>
      <w:r w:rsidR="00C22AFB">
        <w:rPr>
          <w:rFonts w:cs="Times New Roman"/>
        </w:rPr>
        <w:t>May 2024</w:t>
      </w:r>
      <w:r w:rsidRPr="00F60090">
        <w:rPr>
          <w:rFonts w:cs="Times New Roman"/>
        </w:rPr>
        <w:t xml:space="preserve"> (https://www.bls.gov/news.release/pdf/ecec.pdf) for government employees.</w:t>
      </w:r>
    </w:p>
    <w:p w:rsidR="00F60090" w:rsidP="00F60090" w14:paraId="2E49946D" w14:textId="3113AE6B">
      <w:pPr>
        <w:pStyle w:val="TableNotes"/>
        <w:rPr>
          <w:rFonts w:cs="Times New Roman"/>
        </w:rPr>
      </w:pPr>
      <w:r w:rsidRPr="00F60090">
        <w:rPr>
          <w:rFonts w:cs="Times New Roman"/>
          <w:vertAlign w:val="superscript"/>
        </w:rPr>
        <w:t>a</w:t>
      </w:r>
      <w:r w:rsidRPr="00F60090">
        <w:rPr>
          <w:rFonts w:cs="Times New Roman"/>
        </w:rPr>
        <w:t xml:space="preserve"> Calculated as $</w:t>
      </w:r>
      <w:r w:rsidR="00ED39A5">
        <w:rPr>
          <w:rFonts w:cs="Times New Roman"/>
          <w:color w:val="555555"/>
        </w:rPr>
        <w:t>133,692</w:t>
      </w:r>
      <w:r w:rsidRPr="00F60090">
        <w:rPr>
          <w:rFonts w:cs="Times New Roman"/>
          <w:color w:val="555555"/>
        </w:rPr>
        <w:t xml:space="preserve"> </w:t>
      </w:r>
      <w:r w:rsidRPr="00F60090">
        <w:rPr>
          <w:rFonts w:cs="Times New Roman"/>
        </w:rPr>
        <w:t>× 1.381 = $</w:t>
      </w:r>
      <w:r w:rsidR="00ED39A5">
        <w:rPr>
          <w:rFonts w:cs="Times New Roman"/>
        </w:rPr>
        <w:t>184,629</w:t>
      </w:r>
      <w:r w:rsidRPr="00F60090">
        <w:rPr>
          <w:rFonts w:cs="Times New Roman"/>
        </w:rPr>
        <w:t>.</w:t>
      </w:r>
    </w:p>
    <w:p w:rsidR="00965257" w:rsidRPr="00F60090" w:rsidP="00F60090" w14:paraId="32BC8C5E" w14:textId="77777777">
      <w:pPr>
        <w:pStyle w:val="TableNotes"/>
        <w:rPr>
          <w:rFonts w:cs="Times New Roman"/>
        </w:rPr>
      </w:pPr>
    </w:p>
    <w:p w:rsidR="00F60090" w:rsidP="00F60090" w14:paraId="57CFF59C" w14:textId="77777777">
      <w:pPr>
        <w:pStyle w:val="Heading3"/>
        <w:rPr>
          <w:b/>
          <w:bCs/>
          <w:szCs w:val="24"/>
        </w:rPr>
      </w:pPr>
      <w:r w:rsidRPr="00637E1F">
        <w:rPr>
          <w:b/>
          <w:bCs/>
          <w:szCs w:val="24"/>
        </w:rPr>
        <w:t>TABLE 4. Collection of Information Burden to Federal Government</w:t>
      </w:r>
    </w:p>
    <w:p w:rsidR="00637E1F" w:rsidRPr="00637E1F" w:rsidP="00637E1F" w14:paraId="21757FE5" w14:textId="77777777"/>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4320"/>
        <w:gridCol w:w="1599"/>
        <w:gridCol w:w="1644"/>
        <w:gridCol w:w="1754"/>
      </w:tblGrid>
      <w:tr w14:paraId="486192AB" w14:textId="77777777" w:rsidTr="00CA6824">
        <w:tblPrEx>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Ex>
        <w:trPr>
          <w:cantSplit/>
          <w:trHeight w:val="144"/>
          <w:tblHeader/>
          <w:jc w:val="center"/>
        </w:trPr>
        <w:tc>
          <w:tcPr>
            <w:tcW w:w="4320" w:type="dxa"/>
            <w:vMerge w:val="restart"/>
            <w:tcBorders>
              <w:top w:val="single" w:sz="4" w:space="0" w:color="auto"/>
              <w:left w:val="single" w:sz="4" w:space="0" w:color="auto"/>
              <w:right w:val="single" w:sz="4" w:space="0" w:color="auto"/>
            </w:tcBorders>
            <w:shd w:val="clear" w:color="auto" w:fill="E6E6E6"/>
            <w:vAlign w:val="center"/>
          </w:tcPr>
          <w:p w:rsidR="00F60090" w:rsidRPr="00637E1F" w:rsidP="00637E1F" w14:paraId="600E3D9B" w14:textId="77777777">
            <w:pPr>
              <w:keepNext/>
              <w:keepLines/>
              <w:suppressAutoHyphens/>
              <w:spacing w:before="240" w:after="120"/>
              <w:ind w:left="475" w:hanging="475"/>
              <w:outlineLvl w:val="2"/>
              <w:rPr>
                <w:rFonts w:ascii="Arial" w:hAnsi="Arial" w:cs="Arial"/>
                <w:b/>
                <w:bCs/>
                <w:sz w:val="26"/>
                <w:szCs w:val="26"/>
              </w:rPr>
            </w:pPr>
            <w:r w:rsidRPr="00637E1F">
              <w:rPr>
                <w:rFonts w:ascii="Arial" w:hAnsi="Arial" w:cs="Arial"/>
                <w:b/>
                <w:bCs/>
                <w:sz w:val="26"/>
                <w:szCs w:val="26"/>
              </w:rPr>
              <w:t>Category</w:t>
            </w:r>
          </w:p>
        </w:tc>
        <w:tc>
          <w:tcPr>
            <w:tcW w:w="4997" w:type="dxa"/>
            <w:gridSpan w:val="3"/>
            <w:tcBorders>
              <w:top w:val="single" w:sz="4" w:space="0" w:color="auto"/>
              <w:left w:val="single" w:sz="4" w:space="0" w:color="auto"/>
            </w:tcBorders>
            <w:shd w:val="clear" w:color="auto" w:fill="E6E6E6"/>
          </w:tcPr>
          <w:p w:rsidR="00F60090" w:rsidRPr="00F60090" w:rsidP="00F60090" w14:paraId="1D5E5EA5" w14:textId="77777777">
            <w:pPr>
              <w:pStyle w:val="Heading6"/>
              <w:rPr>
                <w:rFonts w:ascii="Times New Roman" w:hAnsi="Times New Roman"/>
                <w:b w:val="0"/>
                <w:sz w:val="24"/>
                <w:szCs w:val="24"/>
              </w:rPr>
            </w:pPr>
            <w:r w:rsidRPr="00F60090">
              <w:rPr>
                <w:rFonts w:ascii="Times New Roman" w:hAnsi="Times New Roman"/>
                <w:b w:val="0"/>
                <w:sz w:val="24"/>
                <w:szCs w:val="24"/>
              </w:rPr>
              <w:t>Hour Burden</w:t>
            </w:r>
          </w:p>
        </w:tc>
      </w:tr>
      <w:tr w14:paraId="11B525BE" w14:textId="77777777" w:rsidTr="00CA6824">
        <w:tblPrEx>
          <w:tblW w:w="9317" w:type="dxa"/>
          <w:jc w:val="center"/>
          <w:tblLayout w:type="fixed"/>
          <w:tblCellMar>
            <w:left w:w="115" w:type="dxa"/>
            <w:right w:w="115" w:type="dxa"/>
          </w:tblCellMar>
          <w:tblLook w:val="00A0"/>
        </w:tblPrEx>
        <w:trPr>
          <w:cantSplit/>
          <w:trHeight w:val="144"/>
          <w:tblHeader/>
          <w:jc w:val="center"/>
        </w:trPr>
        <w:tc>
          <w:tcPr>
            <w:tcW w:w="4320" w:type="dxa"/>
            <w:vMerge/>
            <w:tcBorders>
              <w:left w:val="single" w:sz="4" w:space="0" w:color="auto"/>
              <w:right w:val="single" w:sz="4" w:space="0" w:color="auto"/>
            </w:tcBorders>
          </w:tcPr>
          <w:p w:rsidR="00F60090" w:rsidRPr="00637E1F" w:rsidP="00637E1F" w14:paraId="624482D6" w14:textId="77777777">
            <w:pPr>
              <w:keepNext/>
              <w:keepLines/>
              <w:suppressAutoHyphens/>
              <w:spacing w:before="240" w:after="120"/>
              <w:ind w:left="475" w:hanging="475"/>
              <w:outlineLvl w:val="2"/>
              <w:rPr>
                <w:rFonts w:ascii="Arial" w:hAnsi="Arial" w:cs="Arial"/>
                <w:b/>
                <w:bCs/>
                <w:sz w:val="26"/>
                <w:szCs w:val="26"/>
              </w:rPr>
            </w:pPr>
          </w:p>
        </w:tc>
        <w:tc>
          <w:tcPr>
            <w:tcW w:w="1599" w:type="dxa"/>
            <w:tcBorders>
              <w:left w:val="single" w:sz="4" w:space="0" w:color="auto"/>
              <w:right w:val="single" w:sz="4" w:space="0" w:color="auto"/>
            </w:tcBorders>
            <w:shd w:val="clear" w:color="auto" w:fill="E6E6E6"/>
          </w:tcPr>
          <w:p w:rsidR="00F60090" w:rsidRPr="00F60090" w:rsidP="00F60090" w14:paraId="795C27FA" w14:textId="77777777">
            <w:pPr>
              <w:pStyle w:val="Heading6"/>
              <w:rPr>
                <w:rFonts w:ascii="Times New Roman" w:hAnsi="Times New Roman"/>
                <w:b w:val="0"/>
                <w:sz w:val="24"/>
                <w:szCs w:val="24"/>
              </w:rPr>
            </w:pPr>
            <w:r w:rsidRPr="00F60090">
              <w:rPr>
                <w:rFonts w:ascii="Times New Roman" w:hAnsi="Times New Roman"/>
                <w:b w:val="0"/>
                <w:sz w:val="24"/>
                <w:szCs w:val="24"/>
              </w:rPr>
              <w:t>Initial</w:t>
            </w:r>
            <w:r w:rsidRPr="00F60090">
              <w:rPr>
                <w:rFonts w:ascii="Times New Roman" w:hAnsi="Times New Roman"/>
                <w:b w:val="0"/>
                <w:sz w:val="24"/>
                <w:szCs w:val="24"/>
              </w:rPr>
              <w:br/>
              <w:t>Application</w:t>
            </w:r>
          </w:p>
        </w:tc>
        <w:tc>
          <w:tcPr>
            <w:tcW w:w="1644" w:type="dxa"/>
            <w:tcBorders>
              <w:left w:val="single" w:sz="4" w:space="0" w:color="auto"/>
            </w:tcBorders>
            <w:shd w:val="clear" w:color="auto" w:fill="E6E6E6"/>
          </w:tcPr>
          <w:p w:rsidR="00F60090" w:rsidRPr="00F60090" w:rsidP="00F60090" w14:paraId="5F7692A9" w14:textId="77777777">
            <w:pPr>
              <w:pStyle w:val="Heading6"/>
              <w:rPr>
                <w:rFonts w:ascii="Times New Roman" w:hAnsi="Times New Roman"/>
                <w:b w:val="0"/>
                <w:sz w:val="24"/>
                <w:szCs w:val="24"/>
              </w:rPr>
            </w:pPr>
            <w:r w:rsidRPr="00F60090">
              <w:rPr>
                <w:rFonts w:ascii="Times New Roman" w:hAnsi="Times New Roman"/>
                <w:b w:val="0"/>
                <w:sz w:val="24"/>
                <w:szCs w:val="24"/>
              </w:rPr>
              <w:t>Modification Application</w:t>
            </w:r>
            <w:r w:rsidRPr="00F60090">
              <w:rPr>
                <w:rFonts w:ascii="Times New Roman" w:hAnsi="Times New Roman"/>
                <w:b w:val="0"/>
                <w:sz w:val="24"/>
                <w:szCs w:val="24"/>
                <w:vertAlign w:val="superscript"/>
              </w:rPr>
              <w:t>a</w:t>
            </w:r>
          </w:p>
        </w:tc>
        <w:tc>
          <w:tcPr>
            <w:tcW w:w="1754" w:type="dxa"/>
            <w:shd w:val="clear" w:color="auto" w:fill="E6E6E6"/>
          </w:tcPr>
          <w:p w:rsidR="00F60090" w:rsidRPr="00F60090" w:rsidP="00F60090" w14:paraId="62E54C83" w14:textId="77777777">
            <w:pPr>
              <w:pStyle w:val="Heading6"/>
              <w:rPr>
                <w:rFonts w:ascii="Times New Roman" w:hAnsi="Times New Roman"/>
                <w:b w:val="0"/>
                <w:sz w:val="24"/>
                <w:szCs w:val="24"/>
              </w:rPr>
            </w:pPr>
            <w:r w:rsidRPr="00F60090">
              <w:rPr>
                <w:rFonts w:ascii="Times New Roman" w:hAnsi="Times New Roman"/>
                <w:b w:val="0"/>
                <w:sz w:val="24"/>
                <w:szCs w:val="24"/>
              </w:rPr>
              <w:t>Renewal</w:t>
            </w:r>
            <w:r w:rsidRPr="00F60090">
              <w:rPr>
                <w:rFonts w:ascii="Times New Roman" w:hAnsi="Times New Roman"/>
                <w:b w:val="0"/>
                <w:sz w:val="24"/>
                <w:szCs w:val="24"/>
              </w:rPr>
              <w:br/>
              <w:t>Application</w:t>
            </w:r>
            <w:r w:rsidRPr="00F60090">
              <w:rPr>
                <w:rFonts w:ascii="Times New Roman" w:hAnsi="Times New Roman"/>
                <w:b w:val="0"/>
                <w:sz w:val="24"/>
                <w:szCs w:val="24"/>
                <w:vertAlign w:val="superscript"/>
              </w:rPr>
              <w:t>b</w:t>
            </w:r>
          </w:p>
        </w:tc>
      </w:tr>
      <w:tr w14:paraId="1E4758F9" w14:textId="77777777" w:rsidTr="00CA6824">
        <w:tblPrEx>
          <w:tblW w:w="9317" w:type="dxa"/>
          <w:jc w:val="center"/>
          <w:tblLayout w:type="fixed"/>
          <w:tblCellMar>
            <w:left w:w="115" w:type="dxa"/>
            <w:right w:w="115" w:type="dxa"/>
          </w:tblCellMar>
          <w:tblLook w:val="00A0"/>
        </w:tblPrEx>
        <w:trPr>
          <w:cantSplit/>
          <w:jc w:val="center"/>
        </w:trPr>
        <w:tc>
          <w:tcPr>
            <w:tcW w:w="4320" w:type="dxa"/>
          </w:tcPr>
          <w:p w:rsidR="00F60090" w:rsidRPr="00637E1F" w:rsidP="00637E1F" w14:paraId="6D75AFEE" w14:textId="77777777">
            <w:pPr>
              <w:keepNext/>
              <w:keepLines/>
              <w:suppressAutoHyphens/>
              <w:spacing w:before="240" w:after="120"/>
              <w:ind w:left="475" w:hanging="475"/>
              <w:outlineLvl w:val="2"/>
              <w:rPr>
                <w:rFonts w:ascii="Arial" w:hAnsi="Arial" w:cs="Arial"/>
                <w:b/>
                <w:bCs/>
                <w:sz w:val="26"/>
                <w:szCs w:val="26"/>
              </w:rPr>
            </w:pPr>
            <w:r w:rsidRPr="00637E1F">
              <w:rPr>
                <w:rFonts w:ascii="Arial" w:hAnsi="Arial" w:cs="Arial"/>
                <w:b/>
                <w:bCs/>
                <w:sz w:val="26"/>
                <w:szCs w:val="26"/>
              </w:rPr>
              <w:t>Hours required to submit each application</w:t>
            </w:r>
          </w:p>
        </w:tc>
        <w:tc>
          <w:tcPr>
            <w:tcW w:w="1599" w:type="dxa"/>
          </w:tcPr>
          <w:p w:rsidR="00F60090" w:rsidRPr="00F60090" w:rsidP="00F60090" w14:paraId="56EB295B" w14:textId="77777777">
            <w:pPr>
              <w:pStyle w:val="CellBodyCenter"/>
              <w:jc w:val="left"/>
              <w:rPr>
                <w:rFonts w:ascii="Times New Roman" w:hAnsi="Times New Roman" w:cs="Times New Roman"/>
                <w:sz w:val="24"/>
              </w:rPr>
            </w:pPr>
            <w:r w:rsidRPr="00F60090">
              <w:rPr>
                <w:rFonts w:ascii="Times New Roman" w:hAnsi="Times New Roman" w:cs="Times New Roman"/>
                <w:sz w:val="24"/>
              </w:rPr>
              <w:t>3,900</w:t>
            </w:r>
          </w:p>
        </w:tc>
        <w:tc>
          <w:tcPr>
            <w:tcW w:w="1644" w:type="dxa"/>
          </w:tcPr>
          <w:p w:rsidR="00F60090" w:rsidRPr="00F60090" w:rsidP="00F60090" w14:paraId="169E777B" w14:textId="77777777">
            <w:pPr>
              <w:pStyle w:val="CellBodyCenter"/>
              <w:jc w:val="left"/>
              <w:rPr>
                <w:rFonts w:ascii="Times New Roman" w:hAnsi="Times New Roman" w:cs="Times New Roman"/>
                <w:sz w:val="24"/>
              </w:rPr>
            </w:pPr>
            <w:r w:rsidRPr="00F60090">
              <w:rPr>
                <w:rFonts w:ascii="Times New Roman" w:hAnsi="Times New Roman" w:cs="Times New Roman"/>
                <w:sz w:val="24"/>
              </w:rPr>
              <w:t>1,950</w:t>
            </w:r>
          </w:p>
        </w:tc>
        <w:tc>
          <w:tcPr>
            <w:tcW w:w="1754" w:type="dxa"/>
          </w:tcPr>
          <w:p w:rsidR="00F60090" w:rsidRPr="00F60090" w:rsidP="00F60090" w14:paraId="585A60FB" w14:textId="77777777">
            <w:pPr>
              <w:pStyle w:val="CellBodyCenter"/>
              <w:jc w:val="left"/>
              <w:rPr>
                <w:rFonts w:ascii="Times New Roman" w:hAnsi="Times New Roman" w:cs="Times New Roman"/>
                <w:sz w:val="24"/>
              </w:rPr>
            </w:pPr>
            <w:r w:rsidRPr="00F60090">
              <w:rPr>
                <w:rFonts w:ascii="Times New Roman" w:hAnsi="Times New Roman" w:cs="Times New Roman"/>
                <w:sz w:val="24"/>
              </w:rPr>
              <w:t>390</w:t>
            </w:r>
          </w:p>
        </w:tc>
      </w:tr>
      <w:tr w14:paraId="4FC6B921" w14:textId="77777777" w:rsidTr="00CA6824">
        <w:tblPrEx>
          <w:tblW w:w="9317" w:type="dxa"/>
          <w:jc w:val="center"/>
          <w:tblLayout w:type="fixed"/>
          <w:tblCellMar>
            <w:left w:w="115" w:type="dxa"/>
            <w:right w:w="115" w:type="dxa"/>
          </w:tblCellMar>
          <w:tblLook w:val="00A0"/>
        </w:tblPrEx>
        <w:trPr>
          <w:cantSplit/>
          <w:jc w:val="center"/>
        </w:trPr>
        <w:tc>
          <w:tcPr>
            <w:tcW w:w="4320" w:type="dxa"/>
          </w:tcPr>
          <w:p w:rsidR="00F60090" w:rsidRPr="00637E1F" w:rsidP="00637E1F" w14:paraId="322D0F7D" w14:textId="77777777">
            <w:pPr>
              <w:keepNext/>
              <w:keepLines/>
              <w:suppressAutoHyphens/>
              <w:spacing w:before="240" w:after="120"/>
              <w:ind w:left="475" w:hanging="475"/>
              <w:outlineLvl w:val="2"/>
              <w:rPr>
                <w:rFonts w:ascii="Arial" w:hAnsi="Arial" w:cs="Arial"/>
                <w:b/>
                <w:bCs/>
                <w:sz w:val="26"/>
                <w:szCs w:val="26"/>
              </w:rPr>
            </w:pPr>
            <w:r w:rsidRPr="00637E1F">
              <w:rPr>
                <w:rFonts w:ascii="Arial" w:hAnsi="Arial" w:cs="Arial"/>
                <w:b/>
                <w:bCs/>
                <w:sz w:val="26"/>
                <w:szCs w:val="26"/>
              </w:rPr>
              <w:t>Number of applications per respondentd</w:t>
            </w:r>
          </w:p>
        </w:tc>
        <w:tc>
          <w:tcPr>
            <w:tcW w:w="1599" w:type="dxa"/>
          </w:tcPr>
          <w:p w:rsidR="00F60090" w:rsidRPr="00F60090" w:rsidP="00F60090" w14:paraId="05B80FBF" w14:textId="77777777">
            <w:pPr>
              <w:pStyle w:val="CellBodyCenter"/>
              <w:jc w:val="left"/>
              <w:rPr>
                <w:rFonts w:ascii="Times New Roman" w:hAnsi="Times New Roman" w:cs="Times New Roman"/>
                <w:sz w:val="24"/>
              </w:rPr>
            </w:pPr>
            <w:r w:rsidRPr="00F60090">
              <w:rPr>
                <w:rFonts w:ascii="Times New Roman" w:hAnsi="Times New Roman" w:cs="Times New Roman"/>
                <w:sz w:val="24"/>
              </w:rPr>
              <w:t>1</w:t>
            </w:r>
          </w:p>
        </w:tc>
        <w:tc>
          <w:tcPr>
            <w:tcW w:w="1644" w:type="dxa"/>
          </w:tcPr>
          <w:p w:rsidR="00F60090" w:rsidRPr="00F60090" w:rsidP="00F60090" w14:paraId="0140C3FE" w14:textId="77777777">
            <w:pPr>
              <w:pStyle w:val="CellBodyCenter"/>
              <w:jc w:val="left"/>
              <w:rPr>
                <w:rFonts w:ascii="Times New Roman" w:hAnsi="Times New Roman" w:cs="Times New Roman"/>
                <w:sz w:val="24"/>
              </w:rPr>
            </w:pPr>
            <w:r w:rsidRPr="00F60090">
              <w:rPr>
                <w:rFonts w:ascii="Times New Roman" w:hAnsi="Times New Roman" w:cs="Times New Roman"/>
                <w:sz w:val="24"/>
              </w:rPr>
              <w:t>1</w:t>
            </w:r>
          </w:p>
        </w:tc>
        <w:tc>
          <w:tcPr>
            <w:tcW w:w="1754" w:type="dxa"/>
          </w:tcPr>
          <w:p w:rsidR="00F60090" w:rsidRPr="00F60090" w:rsidP="00F60090" w14:paraId="2CABA431" w14:textId="77777777">
            <w:pPr>
              <w:pStyle w:val="CellBodyCenter"/>
              <w:jc w:val="left"/>
              <w:rPr>
                <w:rFonts w:ascii="Times New Roman" w:hAnsi="Times New Roman" w:cs="Times New Roman"/>
                <w:sz w:val="24"/>
              </w:rPr>
            </w:pPr>
            <w:r w:rsidRPr="00F60090">
              <w:rPr>
                <w:rFonts w:ascii="Times New Roman" w:hAnsi="Times New Roman" w:cs="Times New Roman"/>
                <w:sz w:val="24"/>
              </w:rPr>
              <w:t>1</w:t>
            </w:r>
          </w:p>
        </w:tc>
      </w:tr>
      <w:tr w14:paraId="2B61E392" w14:textId="77777777" w:rsidTr="00CA6824">
        <w:tblPrEx>
          <w:tblW w:w="9317" w:type="dxa"/>
          <w:jc w:val="center"/>
          <w:tblLayout w:type="fixed"/>
          <w:tblCellMar>
            <w:left w:w="115" w:type="dxa"/>
            <w:right w:w="115" w:type="dxa"/>
          </w:tblCellMar>
          <w:tblLook w:val="00A0"/>
        </w:tblPrEx>
        <w:trPr>
          <w:cantSplit/>
          <w:jc w:val="center"/>
        </w:trPr>
        <w:tc>
          <w:tcPr>
            <w:tcW w:w="4320" w:type="dxa"/>
          </w:tcPr>
          <w:p w:rsidR="00F60090" w:rsidRPr="00637E1F" w:rsidP="00637E1F" w14:paraId="15B8F75A" w14:textId="77777777">
            <w:pPr>
              <w:keepNext/>
              <w:keepLines/>
              <w:suppressAutoHyphens/>
              <w:spacing w:before="240" w:after="120"/>
              <w:ind w:left="475" w:hanging="475"/>
              <w:outlineLvl w:val="2"/>
              <w:rPr>
                <w:rFonts w:ascii="Arial" w:hAnsi="Arial" w:cs="Arial"/>
                <w:b/>
                <w:bCs/>
                <w:sz w:val="26"/>
                <w:szCs w:val="26"/>
              </w:rPr>
            </w:pPr>
            <w:r w:rsidRPr="00637E1F">
              <w:rPr>
                <w:rFonts w:ascii="Arial" w:hAnsi="Arial" w:cs="Arial"/>
                <w:b/>
                <w:bCs/>
                <w:sz w:val="26"/>
                <w:szCs w:val="26"/>
              </w:rPr>
              <w:t>Annual number of applicationsc</w:t>
            </w:r>
          </w:p>
        </w:tc>
        <w:tc>
          <w:tcPr>
            <w:tcW w:w="1599" w:type="dxa"/>
          </w:tcPr>
          <w:p w:rsidR="00F60090" w:rsidRPr="00F60090" w:rsidP="00F60090" w14:paraId="73F5F715" w14:textId="77777777">
            <w:pPr>
              <w:pStyle w:val="CellBodyCenter"/>
              <w:jc w:val="left"/>
              <w:rPr>
                <w:rFonts w:ascii="Times New Roman" w:hAnsi="Times New Roman" w:cs="Times New Roman"/>
                <w:sz w:val="24"/>
              </w:rPr>
            </w:pPr>
            <w:r w:rsidRPr="00F60090">
              <w:rPr>
                <w:rFonts w:ascii="Times New Roman" w:hAnsi="Times New Roman" w:cs="Times New Roman"/>
                <w:sz w:val="24"/>
              </w:rPr>
              <w:t>0</w:t>
            </w:r>
          </w:p>
        </w:tc>
        <w:tc>
          <w:tcPr>
            <w:tcW w:w="1644" w:type="dxa"/>
          </w:tcPr>
          <w:p w:rsidR="00F60090" w:rsidRPr="00F60090" w:rsidP="00F60090" w14:paraId="3E14D418" w14:textId="77777777">
            <w:pPr>
              <w:pStyle w:val="CellBodyCenter"/>
              <w:jc w:val="left"/>
              <w:rPr>
                <w:rFonts w:ascii="Times New Roman" w:hAnsi="Times New Roman" w:cs="Times New Roman"/>
                <w:sz w:val="24"/>
              </w:rPr>
            </w:pPr>
            <w:r>
              <w:rPr>
                <w:rFonts w:ascii="Times New Roman" w:hAnsi="Times New Roman" w:cs="Times New Roman"/>
                <w:sz w:val="24"/>
              </w:rPr>
              <w:t>4</w:t>
            </w:r>
          </w:p>
        </w:tc>
        <w:tc>
          <w:tcPr>
            <w:tcW w:w="1754" w:type="dxa"/>
          </w:tcPr>
          <w:p w:rsidR="00F60090" w:rsidRPr="00F60090" w:rsidP="00F60090" w14:paraId="4019731D" w14:textId="77777777">
            <w:pPr>
              <w:pStyle w:val="CellBodyCenter"/>
              <w:jc w:val="left"/>
              <w:rPr>
                <w:rFonts w:ascii="Times New Roman" w:hAnsi="Times New Roman" w:cs="Times New Roman"/>
                <w:sz w:val="24"/>
              </w:rPr>
            </w:pPr>
            <w:r>
              <w:rPr>
                <w:rFonts w:ascii="Times New Roman" w:hAnsi="Times New Roman" w:cs="Times New Roman"/>
                <w:sz w:val="24"/>
              </w:rPr>
              <w:t>4</w:t>
            </w:r>
          </w:p>
        </w:tc>
      </w:tr>
      <w:tr w14:paraId="0D34451C" w14:textId="77777777" w:rsidTr="00CA6824">
        <w:tblPrEx>
          <w:tblW w:w="9317" w:type="dxa"/>
          <w:jc w:val="center"/>
          <w:tblLayout w:type="fixed"/>
          <w:tblCellMar>
            <w:left w:w="115" w:type="dxa"/>
            <w:right w:w="115" w:type="dxa"/>
          </w:tblCellMar>
          <w:tblLook w:val="00A0"/>
        </w:tblPrEx>
        <w:trPr>
          <w:cantSplit/>
          <w:jc w:val="center"/>
        </w:trPr>
        <w:tc>
          <w:tcPr>
            <w:tcW w:w="4320" w:type="dxa"/>
            <w:tcBorders>
              <w:bottom w:val="single" w:sz="4" w:space="0" w:color="auto"/>
            </w:tcBorders>
          </w:tcPr>
          <w:p w:rsidR="00F60090" w:rsidRPr="00637E1F" w:rsidP="00637E1F" w14:paraId="65642F2E" w14:textId="77777777">
            <w:pPr>
              <w:keepNext/>
              <w:keepLines/>
              <w:suppressAutoHyphens/>
              <w:spacing w:before="240" w:after="120"/>
              <w:ind w:left="475" w:hanging="475"/>
              <w:outlineLvl w:val="2"/>
              <w:rPr>
                <w:rFonts w:ascii="Arial" w:hAnsi="Arial" w:cs="Arial"/>
                <w:b/>
                <w:bCs/>
                <w:sz w:val="26"/>
                <w:szCs w:val="26"/>
              </w:rPr>
            </w:pPr>
            <w:r w:rsidRPr="00637E1F">
              <w:rPr>
                <w:rFonts w:ascii="Arial" w:hAnsi="Arial" w:cs="Arial"/>
                <w:b/>
                <w:bCs/>
                <w:sz w:val="26"/>
                <w:szCs w:val="26"/>
              </w:rPr>
              <w:t>Federal government cost per application</w:t>
            </w:r>
          </w:p>
        </w:tc>
        <w:tc>
          <w:tcPr>
            <w:tcW w:w="1599" w:type="dxa"/>
            <w:tcBorders>
              <w:bottom w:val="single" w:sz="4" w:space="0" w:color="auto"/>
            </w:tcBorders>
            <w:vAlign w:val="bottom"/>
          </w:tcPr>
          <w:p w:rsidR="00F60090" w:rsidRPr="00F60090" w:rsidP="00F60090" w14:paraId="4F72DB11" w14:textId="77777777">
            <w:pPr>
              <w:pStyle w:val="CellBodyCenter"/>
              <w:jc w:val="left"/>
              <w:rPr>
                <w:rFonts w:ascii="Times New Roman" w:hAnsi="Times New Roman" w:cs="Times New Roman"/>
                <w:sz w:val="24"/>
              </w:rPr>
            </w:pPr>
            <w:r w:rsidRPr="00F60090">
              <w:rPr>
                <w:rFonts w:ascii="Times New Roman" w:hAnsi="Times New Roman" w:cs="Times New Roman"/>
                <w:sz w:val="24"/>
              </w:rPr>
              <w:t>$0</w:t>
            </w:r>
          </w:p>
        </w:tc>
        <w:tc>
          <w:tcPr>
            <w:tcW w:w="1644" w:type="dxa"/>
            <w:tcBorders>
              <w:bottom w:val="single" w:sz="4" w:space="0" w:color="auto"/>
            </w:tcBorders>
            <w:vAlign w:val="bottom"/>
          </w:tcPr>
          <w:p w:rsidR="00F60090" w:rsidRPr="00F60090" w:rsidP="00F60090" w14:paraId="044AEF79" w14:textId="5B171F87">
            <w:pPr>
              <w:pStyle w:val="CellBodyCenter"/>
              <w:jc w:val="left"/>
              <w:rPr>
                <w:rFonts w:ascii="Times New Roman" w:hAnsi="Times New Roman" w:cs="Times New Roman"/>
                <w:sz w:val="24"/>
              </w:rPr>
            </w:pPr>
            <w:r w:rsidRPr="00F60090">
              <w:rPr>
                <w:rFonts w:ascii="Times New Roman" w:hAnsi="Times New Roman" w:cs="Times New Roman"/>
                <w:sz w:val="24"/>
              </w:rPr>
              <w:t>$</w:t>
            </w:r>
            <w:r w:rsidRPr="00ED39A5" w:rsidR="00ED39A5">
              <w:rPr>
                <w:rFonts w:ascii="Times New Roman" w:hAnsi="Times New Roman" w:cs="Times New Roman"/>
                <w:sz w:val="24"/>
              </w:rPr>
              <w:t>173,082</w:t>
            </w:r>
          </w:p>
        </w:tc>
        <w:tc>
          <w:tcPr>
            <w:tcW w:w="1754" w:type="dxa"/>
            <w:tcBorders>
              <w:bottom w:val="single" w:sz="4" w:space="0" w:color="auto"/>
            </w:tcBorders>
            <w:vAlign w:val="bottom"/>
          </w:tcPr>
          <w:p w:rsidR="00F60090" w:rsidRPr="00F60090" w:rsidP="00F60090" w14:paraId="49D1B5B2" w14:textId="21216406">
            <w:pPr>
              <w:pStyle w:val="CellBodyCenter"/>
              <w:jc w:val="left"/>
              <w:rPr>
                <w:rFonts w:ascii="Times New Roman" w:hAnsi="Times New Roman" w:cs="Times New Roman"/>
                <w:sz w:val="24"/>
              </w:rPr>
            </w:pPr>
            <w:r w:rsidRPr="00F60090">
              <w:rPr>
                <w:rFonts w:ascii="Times New Roman" w:hAnsi="Times New Roman" w:cs="Times New Roman"/>
                <w:sz w:val="24"/>
              </w:rPr>
              <w:t>$</w:t>
            </w:r>
            <w:r w:rsidR="00ED39A5">
              <w:rPr>
                <w:rFonts w:ascii="Times New Roman" w:hAnsi="Times New Roman" w:cs="Times New Roman"/>
                <w:sz w:val="24"/>
              </w:rPr>
              <w:t>34,616</w:t>
            </w:r>
          </w:p>
        </w:tc>
      </w:tr>
      <w:tr w14:paraId="492A866D" w14:textId="77777777" w:rsidTr="00CA6824">
        <w:tblPrEx>
          <w:tblW w:w="9317" w:type="dxa"/>
          <w:jc w:val="center"/>
          <w:tblLayout w:type="fixed"/>
          <w:tblCellMar>
            <w:left w:w="115" w:type="dxa"/>
            <w:right w:w="115" w:type="dxa"/>
          </w:tblCellMar>
          <w:tblLook w:val="00A0"/>
        </w:tblPrEx>
        <w:trPr>
          <w:cantSplit/>
          <w:jc w:val="center"/>
        </w:trPr>
        <w:tc>
          <w:tcPr>
            <w:tcW w:w="4320" w:type="dxa"/>
          </w:tcPr>
          <w:p w:rsidR="00F60090" w:rsidRPr="00637E1F" w:rsidP="00637E1F" w14:paraId="294BF5AD" w14:textId="77777777">
            <w:pPr>
              <w:keepNext/>
              <w:keepLines/>
              <w:suppressAutoHyphens/>
              <w:spacing w:before="240" w:after="120"/>
              <w:ind w:left="475" w:hanging="475"/>
              <w:outlineLvl w:val="2"/>
              <w:rPr>
                <w:rFonts w:ascii="Arial" w:hAnsi="Arial" w:cs="Arial"/>
                <w:b/>
                <w:bCs/>
                <w:sz w:val="26"/>
                <w:szCs w:val="26"/>
              </w:rPr>
            </w:pPr>
            <w:r w:rsidRPr="00637E1F">
              <w:rPr>
                <w:rFonts w:ascii="Arial" w:hAnsi="Arial" w:cs="Arial"/>
                <w:b/>
                <w:bCs/>
                <w:sz w:val="26"/>
                <w:szCs w:val="26"/>
              </w:rPr>
              <w:t>Federal government annual costd</w:t>
            </w:r>
          </w:p>
        </w:tc>
        <w:tc>
          <w:tcPr>
            <w:tcW w:w="1599" w:type="dxa"/>
            <w:vAlign w:val="bottom"/>
          </w:tcPr>
          <w:p w:rsidR="00F60090" w:rsidRPr="00F60090" w:rsidP="00F60090" w14:paraId="621CB1A8" w14:textId="77777777">
            <w:pPr>
              <w:pStyle w:val="CellBodyCenter"/>
              <w:jc w:val="left"/>
              <w:rPr>
                <w:rFonts w:ascii="Times New Roman" w:hAnsi="Times New Roman" w:cs="Times New Roman"/>
                <w:sz w:val="24"/>
              </w:rPr>
            </w:pPr>
            <w:r w:rsidRPr="00F60090">
              <w:rPr>
                <w:rFonts w:ascii="Times New Roman" w:hAnsi="Times New Roman" w:cs="Times New Roman"/>
                <w:sz w:val="24"/>
              </w:rPr>
              <w:t>$0</w:t>
            </w:r>
          </w:p>
        </w:tc>
        <w:tc>
          <w:tcPr>
            <w:tcW w:w="1644" w:type="dxa"/>
            <w:vAlign w:val="bottom"/>
          </w:tcPr>
          <w:p w:rsidR="00F60090" w:rsidRPr="00F60090" w:rsidP="00536BBC" w14:paraId="01D862A3" w14:textId="1906F5D3">
            <w:pPr>
              <w:pStyle w:val="CellBodyCenter"/>
              <w:jc w:val="left"/>
              <w:rPr>
                <w:rFonts w:ascii="Times New Roman" w:hAnsi="Times New Roman" w:cs="Times New Roman"/>
                <w:sz w:val="24"/>
              </w:rPr>
            </w:pPr>
            <w:r w:rsidRPr="00F60090">
              <w:rPr>
                <w:rFonts w:ascii="Times New Roman" w:hAnsi="Times New Roman" w:cs="Times New Roman"/>
                <w:sz w:val="24"/>
              </w:rPr>
              <w:t>$</w:t>
            </w:r>
            <w:r w:rsidR="00ED39A5">
              <w:rPr>
                <w:rFonts w:ascii="Times New Roman" w:hAnsi="Times New Roman" w:cs="Times New Roman"/>
                <w:sz w:val="24"/>
              </w:rPr>
              <w:t>692,328</w:t>
            </w:r>
          </w:p>
        </w:tc>
        <w:tc>
          <w:tcPr>
            <w:tcW w:w="1754" w:type="dxa"/>
            <w:vAlign w:val="bottom"/>
          </w:tcPr>
          <w:p w:rsidR="00F60090" w:rsidRPr="00F60090" w:rsidP="00536BBC" w14:paraId="654CAA34" w14:textId="47C64C1A">
            <w:pPr>
              <w:pStyle w:val="CellBodyCenter"/>
              <w:jc w:val="left"/>
              <w:rPr>
                <w:rFonts w:ascii="Times New Roman" w:hAnsi="Times New Roman" w:cs="Times New Roman"/>
                <w:sz w:val="24"/>
              </w:rPr>
            </w:pPr>
            <w:r w:rsidRPr="00F60090">
              <w:rPr>
                <w:rFonts w:ascii="Times New Roman" w:hAnsi="Times New Roman" w:cs="Times New Roman"/>
                <w:sz w:val="24"/>
              </w:rPr>
              <w:t>$</w:t>
            </w:r>
            <w:r w:rsidR="00ED39A5">
              <w:rPr>
                <w:rFonts w:ascii="Times New Roman" w:hAnsi="Times New Roman" w:cs="Times New Roman"/>
                <w:sz w:val="24"/>
              </w:rPr>
              <w:t>138,46</w:t>
            </w:r>
            <w:r w:rsidR="007746E0">
              <w:rPr>
                <w:rFonts w:ascii="Times New Roman" w:hAnsi="Times New Roman" w:cs="Times New Roman"/>
                <w:sz w:val="24"/>
              </w:rPr>
              <w:t>0</w:t>
            </w:r>
          </w:p>
        </w:tc>
      </w:tr>
    </w:tbl>
    <w:p w:rsidR="00F60090" w:rsidRPr="00F60090" w:rsidP="00F60090" w14:paraId="7F73E5E6" w14:textId="77777777">
      <w:pPr>
        <w:pStyle w:val="TableNotes"/>
        <w:rPr>
          <w:rFonts w:cs="Times New Roman"/>
        </w:rPr>
      </w:pPr>
      <w:r w:rsidRPr="00F60090">
        <w:rPr>
          <w:rFonts w:cs="Times New Roman"/>
          <w:vertAlign w:val="superscript"/>
        </w:rPr>
        <w:t>a</w:t>
      </w:r>
      <w:r w:rsidRPr="00F60090">
        <w:rPr>
          <w:rFonts w:cs="Times New Roman"/>
        </w:rPr>
        <w:t xml:space="preserve"> Includes major modifications to existing licenses.</w:t>
      </w:r>
    </w:p>
    <w:p w:rsidR="00F60090" w:rsidRPr="00F60090" w:rsidP="00F60090" w14:paraId="1C47B4BF" w14:textId="77777777">
      <w:pPr>
        <w:pStyle w:val="TableNotes"/>
        <w:rPr>
          <w:rFonts w:cs="Times New Roman"/>
        </w:rPr>
      </w:pPr>
      <w:r w:rsidRPr="00F60090">
        <w:rPr>
          <w:rFonts w:cs="Times New Roman"/>
          <w:vertAlign w:val="superscript"/>
        </w:rPr>
        <w:t>b</w:t>
      </w:r>
      <w:r w:rsidRPr="00F60090">
        <w:rPr>
          <w:rFonts w:cs="Times New Roman"/>
        </w:rPr>
        <w:t xml:space="preserve"> Renewal of a license application is voluntary.</w:t>
      </w:r>
    </w:p>
    <w:p w:rsidR="00F60090" w:rsidRPr="00F60090" w:rsidP="00F60090" w14:paraId="05EDD789" w14:textId="77777777">
      <w:pPr>
        <w:pStyle w:val="TableNotes"/>
        <w:rPr>
          <w:rFonts w:cs="Times New Roman"/>
        </w:rPr>
      </w:pPr>
      <w:r w:rsidRPr="00F60090">
        <w:rPr>
          <w:rFonts w:cs="Times New Roman"/>
          <w:vertAlign w:val="superscript"/>
        </w:rPr>
        <w:t>c</w:t>
      </w:r>
      <w:r w:rsidRPr="00F60090">
        <w:rPr>
          <w:rFonts w:cs="Times New Roman"/>
        </w:rPr>
        <w:t xml:space="preserve"> Federal Aviation Administration, Office of Commercial Space Transportation (FAA/AST), April 2006.</w:t>
      </w:r>
    </w:p>
    <w:p w:rsidR="00F60090" w:rsidRPr="00F60090" w:rsidP="00F60090" w14:paraId="10725593" w14:textId="615A90EE">
      <w:pPr>
        <w:pStyle w:val="TableNotes"/>
        <w:rPr>
          <w:rFonts w:cs="Times New Roman"/>
        </w:rPr>
      </w:pPr>
      <w:r w:rsidRPr="00F60090">
        <w:rPr>
          <w:rFonts w:cs="Times New Roman"/>
          <w:vertAlign w:val="superscript"/>
        </w:rPr>
        <w:t>d</w:t>
      </w:r>
      <w:r w:rsidRPr="00F60090">
        <w:rPr>
          <w:rFonts w:cs="Times New Roman"/>
        </w:rPr>
        <w:t xml:space="preserve"> Federal government total cost per annum calculated as $3</w:t>
      </w:r>
      <w:r w:rsidR="00ED39A5">
        <w:rPr>
          <w:rFonts w:cs="Times New Roman"/>
        </w:rPr>
        <w:t>46,164</w:t>
      </w:r>
      <w:r w:rsidRPr="00F60090">
        <w:rPr>
          <w:rFonts w:cs="Times New Roman"/>
        </w:rPr>
        <w:t>× 0 = $0 for initial applications; calculated as 50%, or $</w:t>
      </w:r>
      <w:r w:rsidR="00ED39A5">
        <w:rPr>
          <w:rFonts w:cs="Times New Roman"/>
        </w:rPr>
        <w:t>173,082</w:t>
      </w:r>
      <w:r w:rsidRPr="00F60090">
        <w:rPr>
          <w:rFonts w:cs="Times New Roman"/>
        </w:rPr>
        <w:t>, for each major modifications = $</w:t>
      </w:r>
      <w:r w:rsidR="00ED39A5">
        <w:rPr>
          <w:rFonts w:cs="Times New Roman"/>
        </w:rPr>
        <w:t>692,328</w:t>
      </w:r>
      <w:r w:rsidRPr="00F60090">
        <w:rPr>
          <w:rFonts w:cs="Times New Roman"/>
        </w:rPr>
        <w:t>; calculated as 10%, or $</w:t>
      </w:r>
      <w:r w:rsidR="00ED39A5">
        <w:rPr>
          <w:rFonts w:cs="Times New Roman"/>
        </w:rPr>
        <w:t>34,616</w:t>
      </w:r>
      <w:r w:rsidRPr="00F60090">
        <w:rPr>
          <w:rFonts w:cs="Times New Roman"/>
        </w:rPr>
        <w:t>, for each renewal application = $</w:t>
      </w:r>
      <w:r w:rsidR="00ED39A5">
        <w:rPr>
          <w:rFonts w:cs="Times New Roman"/>
        </w:rPr>
        <w:t>138,46</w:t>
      </w:r>
      <w:r w:rsidR="007746E0">
        <w:rPr>
          <w:rFonts w:cs="Times New Roman"/>
        </w:rPr>
        <w:t>0</w:t>
      </w:r>
      <w:r w:rsidRPr="00F60090">
        <w:rPr>
          <w:rFonts w:cs="Times New Roman"/>
        </w:rPr>
        <w:t>.</w:t>
      </w:r>
    </w:p>
    <w:p w:rsidR="00D110DD" w:rsidP="00F24FB2" w14:paraId="5CCE0E52" w14:textId="03B2A28F">
      <w:pPr>
        <w:pStyle w:val="BodyText"/>
        <w:jc w:val="left"/>
        <w:rPr>
          <w:rFonts w:ascii="Times New Roman" w:hAnsi="Times New Roman"/>
          <w:b w:val="0"/>
          <w:sz w:val="24"/>
          <w:szCs w:val="24"/>
          <w:u w:val="single"/>
        </w:rPr>
      </w:pPr>
      <w:r w:rsidRPr="00F60090">
        <w:rPr>
          <w:rFonts w:ascii="Times New Roman" w:hAnsi="Times New Roman"/>
          <w:b w:val="0"/>
          <w:sz w:val="24"/>
          <w:szCs w:val="24"/>
        </w:rPr>
        <w:t xml:space="preserve">Thus, the total cost to the FAA for processing information received under </w:t>
      </w:r>
      <w:r w:rsidRPr="00F60090" w:rsidR="006F61C7">
        <w:rPr>
          <w:rFonts w:ascii="Times New Roman" w:hAnsi="Times New Roman"/>
          <w:b w:val="0"/>
          <w:sz w:val="24"/>
          <w:szCs w:val="24"/>
        </w:rPr>
        <w:t>Part</w:t>
      </w:r>
      <w:r w:rsidRPr="00F60090">
        <w:rPr>
          <w:rFonts w:ascii="Times New Roman" w:hAnsi="Times New Roman"/>
          <w:b w:val="0"/>
          <w:sz w:val="24"/>
          <w:szCs w:val="24"/>
        </w:rPr>
        <w:t>s 43</w:t>
      </w:r>
      <w:r>
        <w:rPr>
          <w:rFonts w:ascii="Times New Roman" w:hAnsi="Times New Roman"/>
          <w:b w:val="0"/>
          <w:sz w:val="24"/>
          <w:szCs w:val="24"/>
        </w:rPr>
        <w:t>1</w:t>
      </w:r>
      <w:r w:rsidRPr="00F60090">
        <w:rPr>
          <w:rFonts w:ascii="Times New Roman" w:hAnsi="Times New Roman"/>
          <w:b w:val="0"/>
          <w:sz w:val="24"/>
          <w:szCs w:val="24"/>
        </w:rPr>
        <w:t>, is $0 + $</w:t>
      </w:r>
      <w:r w:rsidR="00ED39A5">
        <w:rPr>
          <w:rFonts w:ascii="Times New Roman" w:hAnsi="Times New Roman"/>
          <w:b w:val="0"/>
          <w:sz w:val="24"/>
          <w:szCs w:val="24"/>
        </w:rPr>
        <w:t>692,328</w:t>
      </w:r>
      <w:r w:rsidRPr="00F60090">
        <w:rPr>
          <w:rFonts w:ascii="Times New Roman" w:hAnsi="Times New Roman"/>
          <w:b w:val="0"/>
          <w:sz w:val="24"/>
          <w:szCs w:val="24"/>
        </w:rPr>
        <w:t>+ $</w:t>
      </w:r>
      <w:r w:rsidR="00ED39A5">
        <w:rPr>
          <w:rFonts w:ascii="Times New Roman" w:hAnsi="Times New Roman"/>
          <w:b w:val="0"/>
          <w:sz w:val="24"/>
          <w:szCs w:val="24"/>
        </w:rPr>
        <w:t>138,46</w:t>
      </w:r>
      <w:r w:rsidR="007746E0">
        <w:rPr>
          <w:rFonts w:ascii="Times New Roman" w:hAnsi="Times New Roman"/>
          <w:b w:val="0"/>
          <w:sz w:val="24"/>
          <w:szCs w:val="24"/>
        </w:rPr>
        <w:t>0</w:t>
      </w:r>
      <w:r w:rsidRPr="00F60090">
        <w:rPr>
          <w:rFonts w:ascii="Times New Roman" w:hAnsi="Times New Roman"/>
          <w:b w:val="0"/>
          <w:sz w:val="24"/>
          <w:szCs w:val="24"/>
        </w:rPr>
        <w:t xml:space="preserve">= </w:t>
      </w:r>
      <w:r w:rsidRPr="00F60090">
        <w:rPr>
          <w:rFonts w:ascii="Times New Roman" w:hAnsi="Times New Roman"/>
          <w:b w:val="0"/>
          <w:sz w:val="24"/>
          <w:szCs w:val="24"/>
          <w:u w:val="single"/>
        </w:rPr>
        <w:t>$</w:t>
      </w:r>
      <w:r w:rsidR="00ED39A5">
        <w:rPr>
          <w:rFonts w:ascii="Times New Roman" w:hAnsi="Times New Roman"/>
          <w:b w:val="0"/>
          <w:sz w:val="24"/>
          <w:szCs w:val="24"/>
          <w:u w:val="single"/>
        </w:rPr>
        <w:t>830,7</w:t>
      </w:r>
      <w:r w:rsidR="007746E0">
        <w:rPr>
          <w:rFonts w:ascii="Times New Roman" w:hAnsi="Times New Roman"/>
          <w:b w:val="0"/>
          <w:sz w:val="24"/>
          <w:szCs w:val="24"/>
          <w:u w:val="single"/>
        </w:rPr>
        <w:t>88</w:t>
      </w:r>
      <w:r w:rsidRPr="00F60090">
        <w:rPr>
          <w:rFonts w:ascii="Times New Roman" w:hAnsi="Times New Roman"/>
          <w:b w:val="0"/>
          <w:sz w:val="24"/>
          <w:szCs w:val="24"/>
          <w:u w:val="single"/>
        </w:rPr>
        <w:t>.</w:t>
      </w:r>
    </w:p>
    <w:p w:rsidR="00F24FB2" w:rsidRPr="00F24FB2" w:rsidP="00F24FB2" w14:paraId="61EF5171" w14:textId="77777777">
      <w:pPr>
        <w:pStyle w:val="BodyText"/>
        <w:jc w:val="left"/>
        <w:rPr>
          <w:rFonts w:ascii="Times New Roman" w:hAnsi="Times New Roman"/>
          <w:b w:val="0"/>
          <w:sz w:val="24"/>
          <w:szCs w:val="24"/>
        </w:rPr>
      </w:pPr>
    </w:p>
    <w:p w:rsidR="00D110DD" w:rsidP="00F24FB2" w14:paraId="68085101" w14:textId="7EBFA000">
      <w:pPr>
        <w:pStyle w:val="Heading3"/>
        <w:numPr>
          <w:ilvl w:val="0"/>
          <w:numId w:val="1"/>
        </w:numPr>
        <w:rPr>
          <w:sz w:val="22"/>
        </w:rPr>
      </w:pPr>
      <w:r w:rsidRPr="00D110DD">
        <w:rPr>
          <w:rFonts w:ascii="Arial" w:hAnsi="Arial" w:cs="Arial"/>
          <w:b/>
          <w:sz w:val="26"/>
          <w:szCs w:val="26"/>
        </w:rPr>
        <w:t>Explain the reasons for any program changes or adjustments.</w:t>
      </w:r>
      <w:r>
        <w:rPr>
          <w:sz w:val="22"/>
        </w:rPr>
        <w:t xml:space="preserve"> </w:t>
      </w:r>
    </w:p>
    <w:p w:rsidR="00D110DD" w:rsidP="00D110DD" w14:paraId="22187ED0" w14:textId="77777777">
      <w:pPr>
        <w:pStyle w:val="Heading3"/>
        <w:rPr>
          <w:sz w:val="22"/>
        </w:rPr>
      </w:pPr>
    </w:p>
    <w:p w:rsidR="00D110DD" w:rsidP="00D110DD" w14:paraId="20C5B72C" w14:textId="207FBE9D">
      <w:pPr>
        <w:pStyle w:val="Heading3"/>
        <w:ind w:left="720"/>
        <w:rPr>
          <w:rFonts w:ascii="Arial" w:hAnsi="Arial" w:cs="Arial"/>
          <w:b/>
          <w:bCs/>
          <w:sz w:val="26"/>
          <w:szCs w:val="26"/>
        </w:rPr>
      </w:pPr>
      <w:r w:rsidRPr="00D110DD">
        <w:rPr>
          <w:szCs w:val="24"/>
        </w:rPr>
        <w:t xml:space="preserve">Adjustments are a result of using </w:t>
      </w:r>
      <w:r w:rsidRPr="00D110DD" w:rsidR="00173AC4">
        <w:rPr>
          <w:szCs w:val="24"/>
        </w:rPr>
        <w:t>20</w:t>
      </w:r>
      <w:r w:rsidR="00173AC4">
        <w:rPr>
          <w:szCs w:val="24"/>
        </w:rPr>
        <w:t>2</w:t>
      </w:r>
      <w:r w:rsidR="00F24FB2">
        <w:rPr>
          <w:szCs w:val="24"/>
        </w:rPr>
        <w:t>4</w:t>
      </w:r>
      <w:r w:rsidRPr="00D110DD" w:rsidR="00173AC4">
        <w:rPr>
          <w:szCs w:val="24"/>
        </w:rPr>
        <w:t xml:space="preserve"> </w:t>
      </w:r>
      <w:r w:rsidRPr="00D110DD">
        <w:rPr>
          <w:szCs w:val="24"/>
        </w:rPr>
        <w:t xml:space="preserve">labor rates for the calculation of government and commercial burden costs. The government rate is based on the </w:t>
      </w:r>
      <w:r w:rsidRPr="00D110DD" w:rsidR="00173AC4">
        <w:rPr>
          <w:szCs w:val="24"/>
        </w:rPr>
        <w:t>20</w:t>
      </w:r>
      <w:r w:rsidR="00173AC4">
        <w:rPr>
          <w:szCs w:val="24"/>
        </w:rPr>
        <w:t>2</w:t>
      </w:r>
      <w:r w:rsidR="00F24FB2">
        <w:rPr>
          <w:szCs w:val="24"/>
        </w:rPr>
        <w:t>4</w:t>
      </w:r>
      <w:r w:rsidRPr="00D110DD" w:rsidR="00173AC4">
        <w:rPr>
          <w:szCs w:val="24"/>
        </w:rPr>
        <w:t xml:space="preserve"> </w:t>
      </w:r>
      <w:r w:rsidRPr="00D110DD">
        <w:rPr>
          <w:szCs w:val="24"/>
        </w:rPr>
        <w:t xml:space="preserve">national average salary and hourly rate for GS13, step 5 employees. The industry rate is based on the </w:t>
      </w:r>
      <w:r w:rsidRPr="00D110DD" w:rsidR="00173AC4">
        <w:rPr>
          <w:szCs w:val="24"/>
        </w:rPr>
        <w:t>20</w:t>
      </w:r>
      <w:r w:rsidR="00173AC4">
        <w:rPr>
          <w:szCs w:val="24"/>
        </w:rPr>
        <w:t>2</w:t>
      </w:r>
      <w:r w:rsidR="002D1194">
        <w:rPr>
          <w:szCs w:val="24"/>
        </w:rPr>
        <w:t>4</w:t>
      </w:r>
      <w:r w:rsidRPr="00D110DD" w:rsidR="00173AC4">
        <w:rPr>
          <w:szCs w:val="24"/>
        </w:rPr>
        <w:t xml:space="preserve"> </w:t>
      </w:r>
      <w:r w:rsidRPr="00D110DD">
        <w:rPr>
          <w:szCs w:val="24"/>
        </w:rPr>
        <w:t>Bureau of Labor Statistics average annual salary for aerospace engineers.  Part 43</w:t>
      </w:r>
      <w:r w:rsidR="00536BBC">
        <w:rPr>
          <w:szCs w:val="24"/>
        </w:rPr>
        <w:t>1</w:t>
      </w:r>
      <w:r w:rsidRPr="00D110DD">
        <w:rPr>
          <w:szCs w:val="24"/>
        </w:rPr>
        <w:t xml:space="preserve"> was replaced by </w:t>
      </w:r>
      <w:r w:rsidR="00F24FB2">
        <w:rPr>
          <w:szCs w:val="24"/>
        </w:rPr>
        <w:t>P</w:t>
      </w:r>
      <w:r w:rsidRPr="00D110DD">
        <w:rPr>
          <w:szCs w:val="24"/>
        </w:rPr>
        <w:t xml:space="preserve">art 450, published October 2020.  Parts </w:t>
      </w:r>
      <w:r w:rsidR="00536BBC">
        <w:rPr>
          <w:szCs w:val="24"/>
        </w:rPr>
        <w:t>431</w:t>
      </w:r>
      <w:r w:rsidRPr="00D110DD" w:rsidR="00536BBC">
        <w:rPr>
          <w:szCs w:val="24"/>
        </w:rPr>
        <w:t xml:space="preserve"> </w:t>
      </w:r>
      <w:r w:rsidR="00536BBC">
        <w:rPr>
          <w:szCs w:val="24"/>
        </w:rPr>
        <w:t>is</w:t>
      </w:r>
      <w:r w:rsidRPr="00D110DD">
        <w:rPr>
          <w:szCs w:val="24"/>
        </w:rPr>
        <w:t xml:space="preserve"> retained until 2025 and allowed to be used by operators with active licenses at the time of </w:t>
      </w:r>
      <w:r w:rsidRPr="00D110DD" w:rsidR="006F61C7">
        <w:rPr>
          <w:szCs w:val="24"/>
        </w:rPr>
        <w:t xml:space="preserve">Part </w:t>
      </w:r>
      <w:r w:rsidRPr="00D110DD">
        <w:rPr>
          <w:szCs w:val="24"/>
        </w:rPr>
        <w:t xml:space="preserve">450 publication.  This collection still applies to those operators operating under </w:t>
      </w:r>
      <w:r w:rsidR="00F24FB2">
        <w:rPr>
          <w:szCs w:val="24"/>
        </w:rPr>
        <w:t>P</w:t>
      </w:r>
      <w:r w:rsidRPr="00D110DD">
        <w:rPr>
          <w:szCs w:val="24"/>
        </w:rPr>
        <w:t xml:space="preserve">art </w:t>
      </w:r>
      <w:r w:rsidRPr="00D110DD" w:rsidR="00536BBC">
        <w:rPr>
          <w:szCs w:val="24"/>
        </w:rPr>
        <w:t>4</w:t>
      </w:r>
      <w:r w:rsidR="00536BBC">
        <w:rPr>
          <w:szCs w:val="24"/>
        </w:rPr>
        <w:t>31</w:t>
      </w:r>
      <w:r w:rsidRPr="00D110DD" w:rsidR="00536BBC">
        <w:rPr>
          <w:szCs w:val="24"/>
        </w:rPr>
        <w:t xml:space="preserve"> </w:t>
      </w:r>
      <w:r w:rsidRPr="00D110DD">
        <w:rPr>
          <w:szCs w:val="24"/>
        </w:rPr>
        <w:t>at the time o</w:t>
      </w:r>
      <w:r w:rsidR="00F24FB2">
        <w:rPr>
          <w:szCs w:val="24"/>
        </w:rPr>
        <w:t>f P</w:t>
      </w:r>
      <w:r w:rsidRPr="00D110DD">
        <w:rPr>
          <w:szCs w:val="24"/>
        </w:rPr>
        <w:t xml:space="preserve">art 450 publication that wish to continue to operate under </w:t>
      </w:r>
      <w:r w:rsidR="00F24FB2">
        <w:rPr>
          <w:szCs w:val="24"/>
        </w:rPr>
        <w:t>P</w:t>
      </w:r>
      <w:r w:rsidRPr="00D110DD">
        <w:rPr>
          <w:szCs w:val="24"/>
        </w:rPr>
        <w:t xml:space="preserve">art </w:t>
      </w:r>
      <w:r w:rsidRPr="00D110DD" w:rsidR="00536BBC">
        <w:rPr>
          <w:szCs w:val="24"/>
        </w:rPr>
        <w:t>4</w:t>
      </w:r>
      <w:r w:rsidR="00536BBC">
        <w:rPr>
          <w:szCs w:val="24"/>
        </w:rPr>
        <w:t>31</w:t>
      </w:r>
      <w:r w:rsidRPr="00D110DD">
        <w:rPr>
          <w:szCs w:val="24"/>
        </w:rPr>
        <w:t xml:space="preserve">.  The burden was adjusted assuming all operators operating under </w:t>
      </w:r>
      <w:r w:rsidRPr="00D110DD" w:rsidR="006F61C7">
        <w:rPr>
          <w:szCs w:val="24"/>
        </w:rPr>
        <w:t xml:space="preserve">Parts </w:t>
      </w:r>
      <w:r w:rsidR="00536BBC">
        <w:rPr>
          <w:szCs w:val="24"/>
        </w:rPr>
        <w:t>431</w:t>
      </w:r>
      <w:r w:rsidRPr="00D110DD">
        <w:rPr>
          <w:szCs w:val="24"/>
        </w:rPr>
        <w:t xml:space="preserve"> at the time of </w:t>
      </w:r>
      <w:r w:rsidRPr="00D110DD" w:rsidR="006F61C7">
        <w:rPr>
          <w:szCs w:val="24"/>
        </w:rPr>
        <w:t xml:space="preserve">Part </w:t>
      </w:r>
      <w:r w:rsidRPr="00D110DD">
        <w:rPr>
          <w:szCs w:val="24"/>
        </w:rPr>
        <w:t xml:space="preserve">450 publication will continue to operate under </w:t>
      </w:r>
      <w:r w:rsidR="00F24FB2">
        <w:rPr>
          <w:szCs w:val="24"/>
        </w:rPr>
        <w:t>P</w:t>
      </w:r>
      <w:r w:rsidRPr="00D110DD">
        <w:rPr>
          <w:szCs w:val="24"/>
        </w:rPr>
        <w:t>art 4</w:t>
      </w:r>
      <w:r w:rsidR="00536BBC">
        <w:rPr>
          <w:szCs w:val="24"/>
        </w:rPr>
        <w:t>3</w:t>
      </w:r>
      <w:r w:rsidRPr="00D110DD">
        <w:rPr>
          <w:szCs w:val="24"/>
        </w:rPr>
        <w:t xml:space="preserve">1.  The burden was computed using the number of active licenses at the time of </w:t>
      </w:r>
      <w:r w:rsidR="00F24FB2">
        <w:rPr>
          <w:szCs w:val="24"/>
        </w:rPr>
        <w:t>P</w:t>
      </w:r>
      <w:r w:rsidRPr="00D110DD">
        <w:rPr>
          <w:szCs w:val="24"/>
        </w:rPr>
        <w:t xml:space="preserve">art 450 publication.  The </w:t>
      </w:r>
      <w:r w:rsidRPr="00D110DD">
        <w:rPr>
          <w:szCs w:val="24"/>
        </w:rPr>
        <w:t xml:space="preserve">estimates assumed all operators allowed to operate under </w:t>
      </w:r>
      <w:r w:rsidR="00F24FB2">
        <w:rPr>
          <w:szCs w:val="24"/>
        </w:rPr>
        <w:t>P</w:t>
      </w:r>
      <w:r w:rsidRPr="00D110DD">
        <w:rPr>
          <w:szCs w:val="24"/>
        </w:rPr>
        <w:t>art 4</w:t>
      </w:r>
      <w:r w:rsidR="00536BBC">
        <w:rPr>
          <w:szCs w:val="24"/>
        </w:rPr>
        <w:t>3</w:t>
      </w:r>
      <w:r w:rsidRPr="00D110DD">
        <w:rPr>
          <w:szCs w:val="24"/>
        </w:rPr>
        <w:t xml:space="preserve">1continue to do so and renew their licenses until </w:t>
      </w:r>
      <w:r w:rsidRPr="00D110DD" w:rsidR="006F61C7">
        <w:rPr>
          <w:szCs w:val="24"/>
        </w:rPr>
        <w:t xml:space="preserve">Part </w:t>
      </w:r>
      <w:r w:rsidR="00536BBC">
        <w:rPr>
          <w:szCs w:val="24"/>
        </w:rPr>
        <w:t>431</w:t>
      </w:r>
      <w:r w:rsidRPr="00D110DD">
        <w:rPr>
          <w:szCs w:val="24"/>
        </w:rPr>
        <w:t xml:space="preserve"> </w:t>
      </w:r>
      <w:r w:rsidR="00536BBC">
        <w:rPr>
          <w:szCs w:val="24"/>
        </w:rPr>
        <w:t>is</w:t>
      </w:r>
      <w:r w:rsidRPr="00D110DD" w:rsidR="00536BBC">
        <w:rPr>
          <w:szCs w:val="24"/>
        </w:rPr>
        <w:t xml:space="preserve"> </w:t>
      </w:r>
      <w:r w:rsidRPr="00D110DD">
        <w:rPr>
          <w:szCs w:val="24"/>
        </w:rPr>
        <w:t xml:space="preserve">removed.  This estimate is conservative because it assumes no operators switch to </w:t>
      </w:r>
      <w:r w:rsidR="00F24FB2">
        <w:rPr>
          <w:szCs w:val="24"/>
        </w:rPr>
        <w:t>P</w:t>
      </w:r>
      <w:r w:rsidRPr="00D110DD">
        <w:rPr>
          <w:szCs w:val="24"/>
        </w:rPr>
        <w:t>art 450.</w:t>
      </w:r>
      <w:r w:rsidRPr="00D110DD">
        <w:rPr>
          <w:rFonts w:ascii="Arial" w:hAnsi="Arial" w:cs="Arial"/>
          <w:b/>
          <w:bCs/>
          <w:sz w:val="26"/>
          <w:szCs w:val="26"/>
        </w:rPr>
        <w:t xml:space="preserve"> </w:t>
      </w:r>
    </w:p>
    <w:p w:rsidR="00D110DD" w:rsidP="00D110DD" w14:paraId="5C10E302" w14:textId="77777777">
      <w:pPr>
        <w:pStyle w:val="Heading3"/>
        <w:rPr>
          <w:rFonts w:ascii="Arial" w:hAnsi="Arial" w:cs="Arial"/>
          <w:b/>
          <w:bCs/>
          <w:sz w:val="26"/>
          <w:szCs w:val="26"/>
        </w:rPr>
      </w:pPr>
    </w:p>
    <w:p w:rsidR="00D110DD" w:rsidRPr="00D110DD" w:rsidP="00F24FB2" w14:paraId="0EE19D45" w14:textId="77777777">
      <w:pPr>
        <w:pStyle w:val="Heading3"/>
        <w:ind w:left="720" w:hanging="720"/>
        <w:rPr>
          <w:rFonts w:ascii="Arial" w:hAnsi="Arial" w:cs="Arial"/>
          <w:b/>
          <w:bCs/>
          <w:sz w:val="26"/>
          <w:szCs w:val="26"/>
        </w:rPr>
      </w:pPr>
      <w:r w:rsidRPr="00D110DD">
        <w:rPr>
          <w:rFonts w:ascii="Arial" w:hAnsi="Arial" w:cs="Arial"/>
          <w:b/>
          <w:bCs/>
          <w:sz w:val="26"/>
          <w:szCs w:val="26"/>
        </w:rPr>
        <w:t>16.</w:t>
      </w:r>
      <w:r w:rsidRPr="00D110DD">
        <w:rPr>
          <w:rFonts w:ascii="Arial" w:hAnsi="Arial" w:cs="Arial"/>
          <w:b/>
          <w:bCs/>
          <w:sz w:val="26"/>
          <w:szCs w:val="26"/>
        </w:rPr>
        <w:tab/>
        <w:t>For collections of information whose results will be published, outline plans for tabulation, and publication.</w:t>
      </w:r>
    </w:p>
    <w:p w:rsidR="00D110DD" w:rsidRPr="00D110DD" w:rsidP="00F24FB2" w14:paraId="005B15DE" w14:textId="77777777">
      <w:pPr>
        <w:spacing w:before="120" w:after="120"/>
        <w:ind w:left="720"/>
        <w:rPr>
          <w:sz w:val="24"/>
          <w:szCs w:val="24"/>
        </w:rPr>
      </w:pPr>
      <w:r w:rsidRPr="00D110DD">
        <w:rPr>
          <w:sz w:val="24"/>
          <w:szCs w:val="24"/>
        </w:rPr>
        <w:t>We do not intend to publish this information.</w:t>
      </w:r>
    </w:p>
    <w:p w:rsidR="00D110DD" w:rsidRPr="00D110DD" w:rsidP="00F24FB2" w14:paraId="4162A929" w14:textId="77777777">
      <w:pPr>
        <w:keepNext/>
        <w:keepLines/>
        <w:suppressAutoHyphens/>
        <w:spacing w:before="240" w:after="120"/>
        <w:ind w:left="720" w:hanging="720"/>
        <w:outlineLvl w:val="2"/>
        <w:rPr>
          <w:rFonts w:ascii="Arial" w:hAnsi="Arial" w:cs="Arial"/>
          <w:b/>
          <w:bCs/>
          <w:sz w:val="26"/>
          <w:szCs w:val="26"/>
        </w:rPr>
      </w:pPr>
      <w:r w:rsidRPr="00D110DD">
        <w:rPr>
          <w:rFonts w:ascii="Arial" w:hAnsi="Arial" w:cs="Arial"/>
          <w:b/>
          <w:bCs/>
          <w:sz w:val="26"/>
          <w:szCs w:val="26"/>
        </w:rPr>
        <w:t>17.</w:t>
      </w:r>
      <w:r w:rsidRPr="00D110DD">
        <w:rPr>
          <w:rFonts w:ascii="Arial" w:hAnsi="Arial" w:cs="Arial"/>
          <w:b/>
          <w:bCs/>
          <w:sz w:val="26"/>
          <w:szCs w:val="26"/>
        </w:rPr>
        <w:tab/>
        <w:t>If seeking approval to not display the expiration date of OMB approval of the information collection, explain the reasons that display would be inappropriate.</w:t>
      </w:r>
    </w:p>
    <w:p w:rsidR="00D110DD" w:rsidRPr="00D110DD" w:rsidP="00F24FB2" w14:paraId="010056A0" w14:textId="77777777">
      <w:pPr>
        <w:spacing w:before="120" w:after="120"/>
        <w:ind w:left="480" w:firstLine="240"/>
        <w:rPr>
          <w:sz w:val="24"/>
          <w:szCs w:val="24"/>
        </w:rPr>
      </w:pPr>
      <w:r w:rsidRPr="00D110DD">
        <w:rPr>
          <w:sz w:val="24"/>
          <w:szCs w:val="24"/>
        </w:rPr>
        <w:t>No approval is sought.</w:t>
      </w:r>
    </w:p>
    <w:p w:rsidR="00D110DD" w:rsidRPr="00D110DD" w:rsidP="00F24FB2" w14:paraId="0507F9FE" w14:textId="77777777">
      <w:pPr>
        <w:keepNext/>
        <w:keepLines/>
        <w:suppressAutoHyphens/>
        <w:spacing w:before="240" w:after="120"/>
        <w:ind w:left="720" w:hanging="720"/>
        <w:outlineLvl w:val="2"/>
        <w:rPr>
          <w:rFonts w:ascii="Arial" w:hAnsi="Arial" w:cs="Arial"/>
          <w:b/>
          <w:bCs/>
          <w:sz w:val="26"/>
          <w:szCs w:val="26"/>
        </w:rPr>
      </w:pPr>
      <w:r w:rsidRPr="00D110DD">
        <w:rPr>
          <w:rFonts w:ascii="Arial" w:hAnsi="Arial" w:cs="Arial"/>
          <w:b/>
          <w:bCs/>
          <w:sz w:val="26"/>
          <w:szCs w:val="26"/>
        </w:rPr>
        <w:t>18.</w:t>
      </w:r>
      <w:r w:rsidRPr="00D110DD">
        <w:rPr>
          <w:rFonts w:ascii="Arial" w:hAnsi="Arial" w:cs="Arial"/>
          <w:b/>
          <w:bCs/>
          <w:sz w:val="26"/>
          <w:szCs w:val="26"/>
        </w:rPr>
        <w:tab/>
        <w:t>Explain each exception.</w:t>
      </w:r>
    </w:p>
    <w:p w:rsidR="00D110DD" w:rsidRPr="00D110DD" w:rsidP="00F24FB2" w14:paraId="1E0E2BCA" w14:textId="77777777">
      <w:pPr>
        <w:spacing w:before="120" w:after="120"/>
        <w:ind w:left="480" w:firstLine="240"/>
        <w:rPr>
          <w:sz w:val="24"/>
          <w:szCs w:val="24"/>
        </w:rPr>
      </w:pPr>
      <w:r w:rsidRPr="00D110DD">
        <w:rPr>
          <w:sz w:val="24"/>
          <w:szCs w:val="24"/>
        </w:rPr>
        <w:t>There are no exceptions.</w:t>
      </w:r>
    </w:p>
    <w:p w:rsidR="005330E3" w14:paraId="20B2B14B" w14:textId="77777777">
      <w:pPr>
        <w:rPr>
          <w:sz w:val="22"/>
        </w:rPr>
      </w:pPr>
    </w:p>
    <w:sectPr>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31A8" w14:paraId="42605C70" w14:textId="77777777">
      <w:r>
        <w:separator/>
      </w:r>
    </w:p>
  </w:footnote>
  <w:footnote w:type="continuationSeparator" w:id="1">
    <w:p w:rsidR="004531A8" w14:paraId="412EBB16" w14:textId="77777777">
      <w:r>
        <w:continuationSeparator/>
      </w:r>
    </w:p>
  </w:footnote>
  <w:footnote w:id="2">
    <w:p w:rsidR="00F60090" w:rsidRPr="001F0FD0" w:rsidP="00F60090" w14:paraId="5B8CBB05" w14:textId="77777777">
      <w:pPr>
        <w:pStyle w:val="FootnoteText"/>
      </w:pPr>
      <w:r w:rsidRPr="001F0FD0">
        <w:rPr>
          <w:rStyle w:val="FootnoteReference"/>
        </w:rPr>
        <w:footnoteRef/>
      </w:r>
      <w:r w:rsidRPr="001F0FD0">
        <w:t>Discussions in 2005 with AST personnel indicate that the FAA expends as much as 2.5 person-years, or 5,200 hours (calculated as 2,080 annual person-hours × 2.5 person-years = 5,240 person-hours) to execute the license application review process for a single submittal.  The hour burden to the FAA to review and process the information collected associated with an application submittal can be as much as 75 percent of the total hours expended in this process, or 3,900 hours (calculated as 0.75 × 5,200 = 3,900).</w:t>
      </w:r>
    </w:p>
  </w:footnote>
  <w:footnote w:id="3">
    <w:p w:rsidR="00F60090" w:rsidRPr="001F0FD0" w:rsidP="00F60090" w14:paraId="40EFA2BB" w14:textId="77777777">
      <w:pPr>
        <w:pStyle w:val="FootnoteText"/>
      </w:pPr>
      <w:r w:rsidRPr="001F0FD0">
        <w:rPr>
          <w:rStyle w:val="FootnoteReference"/>
        </w:rPr>
        <w:footnoteRef/>
      </w:r>
      <w:r w:rsidRPr="001F0FD0">
        <w:t xml:space="preserve"> Discussions in 2005 with AST personnel indicate that as much as 10 percent of the 3,900 hours are expended reviewing and processing the information collected to support a license renewal application.</w:t>
      </w:r>
    </w:p>
    <w:p w:rsidR="00F60090" w:rsidRPr="001F0FD0" w:rsidP="00F60090" w14:paraId="4442B9B3" w14:textId="77777777">
      <w:pPr>
        <w:pStyle w:val="FootnoteText"/>
      </w:pPr>
      <w:r w:rsidRPr="001F0FD0">
        <w:rPr>
          <w:rStyle w:val="FootnoteReference"/>
        </w:rPr>
        <w:t>7</w:t>
      </w:r>
      <w:r w:rsidRPr="001F0FD0">
        <w:t xml:space="preserve"> Data from FY15 – 17 suggests that requests for major modifications to existing license applications result in roughly 50 percent of the 3,900 hours expended for an initial application</w:t>
      </w:r>
    </w:p>
  </w:footnote>
  <w:footnote w:id="4">
    <w:p w:rsidR="00F60090" w:rsidP="00F60090" w14:paraId="4EDAD2BB" w14:textId="5C008488">
      <w:pPr>
        <w:pStyle w:val="FootnoteText"/>
      </w:pPr>
      <w:r w:rsidRPr="001F0FD0">
        <w:rPr>
          <w:rStyle w:val="FootnoteReference"/>
        </w:rPr>
        <w:t>8</w:t>
      </w:r>
      <w:r w:rsidRPr="001F0FD0">
        <w:t xml:space="preserve"> Base salary from the 202</w:t>
      </w:r>
      <w:r w:rsidR="00ED39A5">
        <w:t>4</w:t>
      </w:r>
      <w:r w:rsidRPr="001F0FD0">
        <w:t xml:space="preserve"> General Schedule Salary Table 202</w:t>
      </w:r>
      <w:r w:rsidR="00342B43">
        <w:t>4</w:t>
      </w:r>
      <w:r w:rsidRPr="001F0FD0">
        <w:t>-DCB (for the locality pay area of Washington-Baltimore, Northern Virginia, DC-MD-PA-VA-WV), GS-13, Step 5.  Fringe benefit from Economic Analysis Investment and Regulatory Decisions — Revised Guide, Federal Aviation Administration, January 1998, page 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E3A01"/>
    <w:multiLevelType w:val="hybridMultilevel"/>
    <w:tmpl w:val="F9387FC6"/>
    <w:lvl w:ilvl="0">
      <w:start w:val="1"/>
      <w:numFmt w:val="decimal"/>
      <w:lvlText w:val="%1."/>
      <w:lvlJc w:val="left"/>
      <w:pPr>
        <w:ind w:left="720" w:hanging="360"/>
      </w:pPr>
      <w:rPr>
        <w:rFonts w:ascii="Arial" w:hAnsi="Arial" w:cs="Arial" w:hint="default"/>
        <w:b/>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83723E"/>
    <w:multiLevelType w:val="hybridMultilevel"/>
    <w:tmpl w:val="2FDA15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141974"/>
    <w:multiLevelType w:val="hybridMultilevel"/>
    <w:tmpl w:val="576639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80C2AA8"/>
    <w:multiLevelType w:val="hybridMultilevel"/>
    <w:tmpl w:val="68BC5AE8"/>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64BE8"/>
    <w:multiLevelType w:val="hybridMultilevel"/>
    <w:tmpl w:val="AA76E0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7AB5521"/>
    <w:multiLevelType w:val="hybridMultilevel"/>
    <w:tmpl w:val="3906E5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E4D5222"/>
    <w:multiLevelType w:val="hybridMultilevel"/>
    <w:tmpl w:val="DE9805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C0A7207"/>
    <w:multiLevelType w:val="hybridMultilevel"/>
    <w:tmpl w:val="E97CCCB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C34037A"/>
    <w:multiLevelType w:val="hybridMultilevel"/>
    <w:tmpl w:val="6220E748"/>
    <w:lvl w:ilvl="0">
      <w:start w:val="1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337EE6"/>
    <w:multiLevelType w:val="singleLevel"/>
    <w:tmpl w:val="558AF51C"/>
    <w:lvl w:ilvl="0">
      <w:start w:val="14"/>
      <w:numFmt w:val="decimal"/>
      <w:lvlText w:val="%1."/>
      <w:lvlJc w:val="left"/>
      <w:pPr>
        <w:tabs>
          <w:tab w:val="num" w:pos="720"/>
        </w:tabs>
        <w:ind w:left="720" w:hanging="720"/>
      </w:pPr>
      <w:rPr>
        <w:rFonts w:ascii="Arial" w:hAnsi="Arial" w:cs="Arial" w:hint="default"/>
        <w:b/>
        <w:sz w:val="26"/>
        <w:szCs w:val="26"/>
      </w:rPr>
    </w:lvl>
  </w:abstractNum>
  <w:num w:numId="1" w16cid:durableId="859201166">
    <w:abstractNumId w:val="9"/>
  </w:num>
  <w:num w:numId="2" w16cid:durableId="1821119388">
    <w:abstractNumId w:val="8"/>
  </w:num>
  <w:num w:numId="3" w16cid:durableId="1187063629">
    <w:abstractNumId w:val="2"/>
  </w:num>
  <w:num w:numId="4" w16cid:durableId="46924752">
    <w:abstractNumId w:val="4"/>
  </w:num>
  <w:num w:numId="5" w16cid:durableId="398132560">
    <w:abstractNumId w:val="6"/>
  </w:num>
  <w:num w:numId="6" w16cid:durableId="36053305">
    <w:abstractNumId w:val="1"/>
  </w:num>
  <w:num w:numId="7" w16cid:durableId="4476553">
    <w:abstractNumId w:val="5"/>
  </w:num>
  <w:num w:numId="8" w16cid:durableId="2000231500">
    <w:abstractNumId w:val="7"/>
  </w:num>
  <w:num w:numId="9" w16cid:durableId="879438840">
    <w:abstractNumId w:val="3"/>
  </w:num>
  <w:num w:numId="10" w16cid:durableId="127967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B7"/>
    <w:rsid w:val="00010674"/>
    <w:rsid w:val="000412CA"/>
    <w:rsid w:val="0004324D"/>
    <w:rsid w:val="00050A58"/>
    <w:rsid w:val="00061B0E"/>
    <w:rsid w:val="00077501"/>
    <w:rsid w:val="00084CF5"/>
    <w:rsid w:val="000A0326"/>
    <w:rsid w:val="000B0713"/>
    <w:rsid w:val="000B7BB9"/>
    <w:rsid w:val="000C1606"/>
    <w:rsid w:val="000E0B5F"/>
    <w:rsid w:val="000F20E0"/>
    <w:rsid w:val="00100135"/>
    <w:rsid w:val="00125B19"/>
    <w:rsid w:val="0016670C"/>
    <w:rsid w:val="00173AC4"/>
    <w:rsid w:val="0019566D"/>
    <w:rsid w:val="001A2F4A"/>
    <w:rsid w:val="001F0FD0"/>
    <w:rsid w:val="00256DD0"/>
    <w:rsid w:val="002571AF"/>
    <w:rsid w:val="00272D07"/>
    <w:rsid w:val="00284966"/>
    <w:rsid w:val="002C03F0"/>
    <w:rsid w:val="002D1194"/>
    <w:rsid w:val="002D4AEC"/>
    <w:rsid w:val="002F6013"/>
    <w:rsid w:val="00304600"/>
    <w:rsid w:val="003161B8"/>
    <w:rsid w:val="00320C8D"/>
    <w:rsid w:val="003260B8"/>
    <w:rsid w:val="0033022B"/>
    <w:rsid w:val="0034174B"/>
    <w:rsid w:val="00342B43"/>
    <w:rsid w:val="00350BDB"/>
    <w:rsid w:val="00377298"/>
    <w:rsid w:val="00382BC7"/>
    <w:rsid w:val="003A13FE"/>
    <w:rsid w:val="003B42AA"/>
    <w:rsid w:val="003D2ADD"/>
    <w:rsid w:val="003E2914"/>
    <w:rsid w:val="003E2CE2"/>
    <w:rsid w:val="0040398D"/>
    <w:rsid w:val="00433BBC"/>
    <w:rsid w:val="004370DA"/>
    <w:rsid w:val="00444803"/>
    <w:rsid w:val="004531A8"/>
    <w:rsid w:val="00454BB7"/>
    <w:rsid w:val="00455019"/>
    <w:rsid w:val="004653EB"/>
    <w:rsid w:val="00492766"/>
    <w:rsid w:val="004C56D8"/>
    <w:rsid w:val="004F3AFB"/>
    <w:rsid w:val="00503DE3"/>
    <w:rsid w:val="00511BB6"/>
    <w:rsid w:val="00514C8B"/>
    <w:rsid w:val="00526C60"/>
    <w:rsid w:val="005330E3"/>
    <w:rsid w:val="00536BBC"/>
    <w:rsid w:val="0054054A"/>
    <w:rsid w:val="005421AC"/>
    <w:rsid w:val="00562BBF"/>
    <w:rsid w:val="005A5BF3"/>
    <w:rsid w:val="005B4B56"/>
    <w:rsid w:val="005C00C7"/>
    <w:rsid w:val="00600700"/>
    <w:rsid w:val="006244F2"/>
    <w:rsid w:val="0063038B"/>
    <w:rsid w:val="00637E1F"/>
    <w:rsid w:val="0064014E"/>
    <w:rsid w:val="006616F0"/>
    <w:rsid w:val="00661DE5"/>
    <w:rsid w:val="0067360C"/>
    <w:rsid w:val="00691014"/>
    <w:rsid w:val="006A7EC1"/>
    <w:rsid w:val="006B36BA"/>
    <w:rsid w:val="006B3F9D"/>
    <w:rsid w:val="006C6DB4"/>
    <w:rsid w:val="006F2356"/>
    <w:rsid w:val="006F61C7"/>
    <w:rsid w:val="007016E9"/>
    <w:rsid w:val="00705AEA"/>
    <w:rsid w:val="00714A1E"/>
    <w:rsid w:val="00727601"/>
    <w:rsid w:val="007416F6"/>
    <w:rsid w:val="007535F6"/>
    <w:rsid w:val="00762F6D"/>
    <w:rsid w:val="00771941"/>
    <w:rsid w:val="007746E0"/>
    <w:rsid w:val="0079259E"/>
    <w:rsid w:val="007C6A92"/>
    <w:rsid w:val="007D2223"/>
    <w:rsid w:val="008144F6"/>
    <w:rsid w:val="0083184F"/>
    <w:rsid w:val="00844A79"/>
    <w:rsid w:val="00844B2F"/>
    <w:rsid w:val="00851763"/>
    <w:rsid w:val="008A07C3"/>
    <w:rsid w:val="008A62C6"/>
    <w:rsid w:val="008D2D87"/>
    <w:rsid w:val="008D6166"/>
    <w:rsid w:val="008D74D6"/>
    <w:rsid w:val="00901CCB"/>
    <w:rsid w:val="009028BB"/>
    <w:rsid w:val="00902D9C"/>
    <w:rsid w:val="00926B76"/>
    <w:rsid w:val="0094229D"/>
    <w:rsid w:val="009516BC"/>
    <w:rsid w:val="00953B41"/>
    <w:rsid w:val="009557B8"/>
    <w:rsid w:val="00956244"/>
    <w:rsid w:val="009600A3"/>
    <w:rsid w:val="00965257"/>
    <w:rsid w:val="009A148E"/>
    <w:rsid w:val="009C4EFB"/>
    <w:rsid w:val="009D485E"/>
    <w:rsid w:val="009F0CA8"/>
    <w:rsid w:val="00A3107C"/>
    <w:rsid w:val="00A5142B"/>
    <w:rsid w:val="00A6490D"/>
    <w:rsid w:val="00AB341A"/>
    <w:rsid w:val="00AF32E0"/>
    <w:rsid w:val="00B05C3C"/>
    <w:rsid w:val="00B06CA8"/>
    <w:rsid w:val="00B2650E"/>
    <w:rsid w:val="00B276A7"/>
    <w:rsid w:val="00B34906"/>
    <w:rsid w:val="00B445CF"/>
    <w:rsid w:val="00B84E32"/>
    <w:rsid w:val="00BA0C58"/>
    <w:rsid w:val="00BE52AD"/>
    <w:rsid w:val="00C22AFB"/>
    <w:rsid w:val="00C24534"/>
    <w:rsid w:val="00C2720E"/>
    <w:rsid w:val="00C41C07"/>
    <w:rsid w:val="00C454D5"/>
    <w:rsid w:val="00C52203"/>
    <w:rsid w:val="00C7491F"/>
    <w:rsid w:val="00C86BC3"/>
    <w:rsid w:val="00C970A9"/>
    <w:rsid w:val="00CA6824"/>
    <w:rsid w:val="00CD05A4"/>
    <w:rsid w:val="00CE1B7F"/>
    <w:rsid w:val="00CE4A4D"/>
    <w:rsid w:val="00D110DD"/>
    <w:rsid w:val="00D45D3B"/>
    <w:rsid w:val="00D83615"/>
    <w:rsid w:val="00DC3B39"/>
    <w:rsid w:val="00DD5B55"/>
    <w:rsid w:val="00DF137F"/>
    <w:rsid w:val="00DF3E2D"/>
    <w:rsid w:val="00E100E6"/>
    <w:rsid w:val="00E32987"/>
    <w:rsid w:val="00E61802"/>
    <w:rsid w:val="00E758C1"/>
    <w:rsid w:val="00E90E7A"/>
    <w:rsid w:val="00EB08B7"/>
    <w:rsid w:val="00ED39A5"/>
    <w:rsid w:val="00EE2D96"/>
    <w:rsid w:val="00F139C4"/>
    <w:rsid w:val="00F1462D"/>
    <w:rsid w:val="00F15C8A"/>
    <w:rsid w:val="00F24FB2"/>
    <w:rsid w:val="00F25F4B"/>
    <w:rsid w:val="00F443ED"/>
    <w:rsid w:val="00F51145"/>
    <w:rsid w:val="00F60090"/>
    <w:rsid w:val="00F7157C"/>
    <w:rsid w:val="00F844C0"/>
    <w:rsid w:val="00FB3432"/>
    <w:rsid w:val="00FB3B20"/>
    <w:rsid w:val="00FB5407"/>
    <w:rsid w:val="00FC4088"/>
    <w:rsid w:val="00FD51EA"/>
    <w:rsid w:val="00FE289D"/>
    <w:rsid w:val="00FE3151"/>
    <w:rsid w:val="00FE40B5"/>
    <w:rsid w:val="00FE4501"/>
    <w:rsid w:val="00FF04A9"/>
    <w:rsid w:val="00FF3C7C"/>
    <w:rsid w:val="00FF42E5"/>
    <w:rsid w:val="00FF4E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11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rFonts w:ascii="Palatino" w:hAnsi="Palatino"/>
      <w:b/>
    </w:rPr>
  </w:style>
  <w:style w:type="paragraph" w:styleId="Heading2">
    <w:name w:val="heading 2"/>
    <w:basedOn w:val="Normal"/>
    <w:next w:val="Normal"/>
    <w:qFormat/>
    <w:pPr>
      <w:keepNext/>
      <w:tabs>
        <w:tab w:val="left" w:pos="-720"/>
      </w:tabs>
      <w:suppressAutoHyphens/>
      <w:outlineLvl w:val="1"/>
    </w:pPr>
    <w:rPr>
      <w:b/>
      <w:sz w:val="24"/>
    </w:rPr>
  </w:style>
  <w:style w:type="paragraph" w:styleId="Heading3">
    <w:name w:val="heading 3"/>
    <w:basedOn w:val="Normal"/>
    <w:next w:val="Normal"/>
    <w:qFormat/>
    <w:pPr>
      <w:keepNext/>
      <w:tabs>
        <w:tab w:val="left" w:pos="-720"/>
      </w:tabs>
      <w:suppressAutoHyphens/>
      <w:outlineLvl w:val="2"/>
    </w:pPr>
    <w:rPr>
      <w:sz w:val="24"/>
    </w:rPr>
  </w:style>
  <w:style w:type="paragraph" w:styleId="Heading6">
    <w:name w:val="heading 6"/>
    <w:basedOn w:val="Normal"/>
    <w:next w:val="Normal"/>
    <w:link w:val="Heading6Char"/>
    <w:semiHidden/>
    <w:unhideWhenUsed/>
    <w:qFormat/>
    <w:rsid w:val="00FB540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jc w:val="center"/>
    </w:pPr>
    <w:rPr>
      <w:rFonts w:ascii="Palatino" w:hAnsi="Palatino"/>
      <w:b/>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s>
      <w:suppressAutoHyphens/>
      <w:ind w:left="36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Indent3">
    <w:name w:val="Body Text Indent 3"/>
    <w:basedOn w:val="Normal"/>
    <w:pPr>
      <w:tabs>
        <w:tab w:val="left" w:pos="-720"/>
        <w:tab w:val="left" w:pos="0"/>
      </w:tabs>
      <w:suppressAutoHyphens/>
      <w:ind w:left="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54BB7"/>
    <w:rPr>
      <w:rFonts w:ascii="Tahoma" w:hAnsi="Tahoma" w:cs="Tahoma"/>
      <w:sz w:val="16"/>
      <w:szCs w:val="16"/>
    </w:rPr>
  </w:style>
  <w:style w:type="paragraph" w:styleId="BodyText3">
    <w:name w:val="Body Text 3"/>
    <w:basedOn w:val="Normal"/>
    <w:rsid w:val="00A6490D"/>
    <w:pPr>
      <w:spacing w:after="120"/>
    </w:pPr>
    <w:rPr>
      <w:sz w:val="16"/>
      <w:szCs w:val="16"/>
    </w:rPr>
  </w:style>
  <w:style w:type="paragraph" w:styleId="Header">
    <w:name w:val="header"/>
    <w:basedOn w:val="Normal"/>
    <w:rsid w:val="00535175"/>
    <w:pPr>
      <w:tabs>
        <w:tab w:val="center" w:pos="4320"/>
        <w:tab w:val="right" w:pos="8640"/>
      </w:tabs>
    </w:pPr>
  </w:style>
  <w:style w:type="character" w:styleId="CommentReference">
    <w:name w:val="annotation reference"/>
    <w:rsid w:val="00FB5407"/>
    <w:rPr>
      <w:sz w:val="16"/>
      <w:szCs w:val="16"/>
    </w:rPr>
  </w:style>
  <w:style w:type="paragraph" w:styleId="CommentText">
    <w:name w:val="annotation text"/>
    <w:basedOn w:val="Normal"/>
    <w:link w:val="CommentTextChar"/>
    <w:rsid w:val="00FB5407"/>
  </w:style>
  <w:style w:type="character" w:customStyle="1" w:styleId="CommentTextChar">
    <w:name w:val="Comment Text Char"/>
    <w:basedOn w:val="DefaultParagraphFont"/>
    <w:link w:val="CommentText"/>
    <w:rsid w:val="00FB5407"/>
  </w:style>
  <w:style w:type="paragraph" w:styleId="CommentSubject">
    <w:name w:val="annotation subject"/>
    <w:basedOn w:val="CommentText"/>
    <w:next w:val="CommentText"/>
    <w:link w:val="CommentSubjectChar"/>
    <w:rsid w:val="00FB5407"/>
    <w:rPr>
      <w:b/>
      <w:bCs/>
    </w:rPr>
  </w:style>
  <w:style w:type="character" w:customStyle="1" w:styleId="CommentSubjectChar">
    <w:name w:val="Comment Subject Char"/>
    <w:link w:val="CommentSubject"/>
    <w:rsid w:val="00FB5407"/>
    <w:rPr>
      <w:b/>
      <w:bCs/>
    </w:rPr>
  </w:style>
  <w:style w:type="character" w:customStyle="1" w:styleId="Heading6Char">
    <w:name w:val="Heading 6 Char"/>
    <w:link w:val="Heading6"/>
    <w:semiHidden/>
    <w:rsid w:val="00FB5407"/>
    <w:rPr>
      <w:rFonts w:ascii="Calibri" w:eastAsia="Times New Roman" w:hAnsi="Calibri" w:cs="Times New Roman"/>
      <w:b/>
      <w:bCs/>
      <w:sz w:val="22"/>
      <w:szCs w:val="22"/>
    </w:rPr>
  </w:style>
  <w:style w:type="table" w:styleId="TableGrid">
    <w:name w:val="Table Grid"/>
    <w:basedOn w:val="TableNormal"/>
    <w:rsid w:val="000B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F60090"/>
  </w:style>
  <w:style w:type="paragraph" w:customStyle="1" w:styleId="CellBodyLeft">
    <w:name w:val="CellBody Left"/>
    <w:autoRedefine/>
    <w:rsid w:val="00F60090"/>
    <w:pPr>
      <w:keepNext/>
      <w:keepLines/>
      <w:tabs>
        <w:tab w:val="left" w:pos="-720"/>
      </w:tabs>
      <w:suppressAutoHyphens/>
    </w:pPr>
    <w:rPr>
      <w:rFonts w:ascii="Arial" w:hAnsi="Arial" w:cs="Arial"/>
      <w:sz w:val="22"/>
      <w:szCs w:val="24"/>
    </w:rPr>
  </w:style>
  <w:style w:type="paragraph" w:customStyle="1" w:styleId="CellBodyCenter">
    <w:name w:val="CellBody Center"/>
    <w:basedOn w:val="CellBodyLeft"/>
    <w:autoRedefine/>
    <w:rsid w:val="00F60090"/>
    <w:pPr>
      <w:jc w:val="center"/>
    </w:pPr>
  </w:style>
  <w:style w:type="paragraph" w:customStyle="1" w:styleId="TableNotes">
    <w:name w:val="Table Notes"/>
    <w:autoRedefine/>
    <w:rsid w:val="00F60090"/>
    <w:pPr>
      <w:ind w:left="720" w:right="720"/>
    </w:pPr>
    <w:rPr>
      <w:rFonts w:cs="Arial"/>
      <w:sz w:val="24"/>
      <w:szCs w:val="24"/>
    </w:rPr>
  </w:style>
  <w:style w:type="paragraph" w:styleId="Revision">
    <w:name w:val="Revision"/>
    <w:hidden/>
    <w:uiPriority w:val="99"/>
    <w:semiHidden/>
    <w:rsid w:val="00EB08B7"/>
  </w:style>
  <w:style w:type="character" w:styleId="Hyperlink">
    <w:name w:val="Hyperlink"/>
    <w:basedOn w:val="DefaultParagraphFont"/>
    <w:rsid w:val="00EB08B7"/>
    <w:rPr>
      <w:color w:val="0563C1" w:themeColor="hyperlink"/>
      <w:u w:val="single"/>
    </w:rPr>
  </w:style>
  <w:style w:type="character" w:styleId="UnresolvedMention">
    <w:name w:val="Unresolved Mention"/>
    <w:basedOn w:val="DefaultParagraphFont"/>
    <w:uiPriority w:val="99"/>
    <w:semiHidden/>
    <w:unhideWhenUsed/>
    <w:rsid w:val="00EB08B7"/>
    <w:rPr>
      <w:color w:val="605E5C"/>
      <w:shd w:val="clear" w:color="auto" w:fill="E1DFDD"/>
    </w:rPr>
  </w:style>
  <w:style w:type="paragraph" w:styleId="ListParagraph">
    <w:name w:val="List Paragraph"/>
    <w:basedOn w:val="Normal"/>
    <w:uiPriority w:val="34"/>
    <w:qFormat/>
    <w:rsid w:val="00FB3432"/>
    <w:pPr>
      <w:ind w:left="720"/>
      <w:contextualSpacing/>
    </w:pPr>
  </w:style>
  <w:style w:type="character" w:styleId="FollowedHyperlink">
    <w:name w:val="FollowedHyperlink"/>
    <w:basedOn w:val="DefaultParagraphFont"/>
    <w:rsid w:val="00FB3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space/streamlined_licensing_process/licensing_process/" TargetMode="External" /><Relationship Id="rId7" Type="http://schemas.openxmlformats.org/officeDocument/2006/relationships/hyperlink" Target="%20https://www.faa.gov/space/additional_information" TargetMode="External" /><Relationship Id="rId8" Type="http://schemas.openxmlformats.org/officeDocument/2006/relationships/hyperlink" Target="https://www.faa.gov/data_research/commercial_space_data/launch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8BFF-1F21-4CD7-BE6F-D0FB612E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2025-03-14T14:44:00Z</dcterms:created>
  <dcterms:modified xsi:type="dcterms:W3CDTF">2025-03-14T14:44:00Z</dcterms:modified>
</cp:coreProperties>
</file>