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A6C88" w:rsidP="00C64707" w14:paraId="4C3D70B9" w14:textId="671A3E3E">
      <w:pPr>
        <w:shd w:val="clear" w:color="auto" w:fill="FFFFFF"/>
        <w:spacing w:after="0" w:line="240" w:lineRule="auto"/>
        <w:jc w:val="center"/>
        <w:rPr>
          <w:rFonts w:ascii="Arial" w:eastAsia="Times New Roman" w:hAnsi="Arial" w:cs="Arial"/>
          <w:b/>
          <w:bCs/>
          <w:color w:val="555555"/>
          <w:sz w:val="24"/>
          <w:szCs w:val="24"/>
        </w:rPr>
      </w:pPr>
      <w:r w:rsidRPr="00CA6C88">
        <w:rPr>
          <w:rFonts w:ascii="Arial" w:eastAsia="Times New Roman" w:hAnsi="Arial" w:cs="Arial"/>
          <w:b/>
          <w:bCs/>
          <w:color w:val="555555"/>
          <w:sz w:val="24"/>
          <w:szCs w:val="24"/>
        </w:rPr>
        <w:t>COMMERCIAL SPACE TRANSPORTATION LICENSING REGULATIONS</w:t>
      </w:r>
    </w:p>
    <w:p w:rsidR="002115A2" w:rsidRPr="00CA6C88" w:rsidP="00C64707" w14:paraId="6C1A44EB" w14:textId="41BBFD90">
      <w:pPr>
        <w:shd w:val="clear" w:color="auto" w:fill="FFFFFF"/>
        <w:spacing w:after="0" w:line="240" w:lineRule="auto"/>
        <w:jc w:val="center"/>
        <w:rPr>
          <w:rFonts w:ascii="Arial" w:eastAsia="Times New Roman" w:hAnsi="Arial" w:cs="Arial"/>
          <w:b/>
          <w:bCs/>
          <w:color w:val="555555"/>
          <w:sz w:val="24"/>
          <w:szCs w:val="24"/>
        </w:rPr>
      </w:pPr>
      <w:r w:rsidRPr="00CA6C88">
        <w:rPr>
          <w:rFonts w:ascii="Arial" w:eastAsia="Times New Roman" w:hAnsi="Arial" w:cs="Arial"/>
          <w:b/>
          <w:bCs/>
          <w:color w:val="555555"/>
          <w:sz w:val="24"/>
          <w:szCs w:val="24"/>
        </w:rPr>
        <w:t>OMB 2120-</w:t>
      </w:r>
      <w:r w:rsidRPr="00CA6C88" w:rsidR="00A737FD">
        <w:rPr>
          <w:rFonts w:ascii="Arial" w:eastAsia="Times New Roman" w:hAnsi="Arial" w:cs="Arial"/>
          <w:b/>
          <w:bCs/>
          <w:color w:val="555555"/>
          <w:sz w:val="24"/>
          <w:szCs w:val="24"/>
        </w:rPr>
        <w:t>0608</w:t>
      </w:r>
    </w:p>
    <w:p w:rsidR="002115A2" w:rsidRPr="00CA6C88" w:rsidP="00C64707" w14:paraId="46D2D1CC" w14:textId="77777777">
      <w:pPr>
        <w:shd w:val="clear" w:color="auto" w:fill="FFFFFF"/>
        <w:spacing w:after="0" w:line="240" w:lineRule="auto"/>
        <w:jc w:val="center"/>
        <w:rPr>
          <w:rFonts w:ascii="Arial" w:eastAsia="Times New Roman" w:hAnsi="Arial" w:cs="Arial"/>
          <w:b/>
          <w:bCs/>
          <w:color w:val="555555"/>
          <w:sz w:val="24"/>
          <w:szCs w:val="24"/>
        </w:rPr>
      </w:pPr>
    </w:p>
    <w:p w:rsidR="00A737FD" w:rsidRPr="004B55E1" w:rsidP="00B21B92" w14:paraId="289438EE" w14:textId="7D0A4FDC">
      <w:pPr>
        <w:tabs>
          <w:tab w:val="left" w:pos="4170"/>
        </w:tabs>
        <w:spacing w:before="360" w:after="360" w:line="240" w:lineRule="auto"/>
        <w:rPr>
          <w:rFonts w:ascii="Times New Roman" w:eastAsia="Times New Roman" w:hAnsi="Times New Roman" w:cs="Times New Roman"/>
          <w:b/>
          <w:sz w:val="24"/>
          <w:szCs w:val="24"/>
        </w:rPr>
      </w:pPr>
      <w:r w:rsidRPr="004B55E1">
        <w:rPr>
          <w:rFonts w:ascii="Times New Roman" w:eastAsia="Times New Roman" w:hAnsi="Times New Roman" w:cs="Times New Roman"/>
          <w:b/>
          <w:sz w:val="24"/>
          <w:szCs w:val="24"/>
        </w:rPr>
        <w:t xml:space="preserve">This supporting statement is an update to prior justification statements.  Hence, it presents cost information that replaces prior estimates of the burden to industry and the federal government associated with the collection of information supporting the launch </w:t>
      </w:r>
      <w:r w:rsidRPr="004B55E1" w:rsidR="00371D97">
        <w:rPr>
          <w:rFonts w:ascii="Times New Roman" w:eastAsia="Times New Roman" w:hAnsi="Times New Roman" w:cs="Times New Roman"/>
          <w:b/>
          <w:sz w:val="24"/>
          <w:szCs w:val="24"/>
        </w:rPr>
        <w:t>license and</w:t>
      </w:r>
      <w:r w:rsidRPr="004B55E1">
        <w:rPr>
          <w:rFonts w:ascii="Times New Roman" w:eastAsia="Times New Roman" w:hAnsi="Times New Roman" w:cs="Times New Roman"/>
          <w:b/>
          <w:sz w:val="24"/>
          <w:szCs w:val="24"/>
        </w:rPr>
        <w:t xml:space="preserve"> renewal application process for commercial </w:t>
      </w:r>
      <w:r w:rsidRPr="004B55E1" w:rsidR="004B55E1">
        <w:rPr>
          <w:rFonts w:ascii="Times New Roman" w:eastAsia="Times New Roman" w:hAnsi="Times New Roman" w:cs="Times New Roman"/>
          <w:b/>
          <w:sz w:val="24"/>
          <w:szCs w:val="24"/>
        </w:rPr>
        <w:t>expendable launch vehicles (</w:t>
      </w:r>
      <w:r w:rsidRPr="004B55E1">
        <w:rPr>
          <w:rFonts w:ascii="Times New Roman" w:eastAsia="Times New Roman" w:hAnsi="Times New Roman" w:cs="Times New Roman"/>
          <w:b/>
          <w:sz w:val="24"/>
          <w:szCs w:val="24"/>
        </w:rPr>
        <w:t>ELVs</w:t>
      </w:r>
      <w:r w:rsidRPr="004B55E1" w:rsidR="004B55E1">
        <w:rPr>
          <w:rFonts w:ascii="Times New Roman" w:eastAsia="Times New Roman" w:hAnsi="Times New Roman" w:cs="Times New Roman"/>
          <w:b/>
          <w:sz w:val="24"/>
          <w:szCs w:val="24"/>
        </w:rPr>
        <w:t>)</w:t>
      </w:r>
      <w:r w:rsidRPr="004B55E1">
        <w:rPr>
          <w:rFonts w:ascii="Times New Roman" w:eastAsia="Times New Roman" w:hAnsi="Times New Roman" w:cs="Times New Roman"/>
          <w:b/>
          <w:sz w:val="24"/>
          <w:szCs w:val="24"/>
        </w:rPr>
        <w:t xml:space="preserve">.  </w:t>
      </w:r>
    </w:p>
    <w:p w:rsidR="00A737FD" w:rsidRPr="004B55E1" w:rsidP="00B21B92" w14:paraId="5958CC6A" w14:textId="6AA85DD8">
      <w:pPr>
        <w:tabs>
          <w:tab w:val="left" w:pos="4170"/>
        </w:tabs>
        <w:spacing w:before="360" w:after="360" w:line="240" w:lineRule="auto"/>
        <w:rPr>
          <w:rFonts w:ascii="Times New Roman" w:eastAsia="Times New Roman" w:hAnsi="Times New Roman" w:cs="Times New Roman"/>
          <w:b/>
          <w:sz w:val="24"/>
          <w:szCs w:val="24"/>
        </w:rPr>
      </w:pPr>
      <w:r w:rsidRPr="004B55E1">
        <w:rPr>
          <w:rFonts w:ascii="Times New Roman" w:eastAsia="Times New Roman" w:hAnsi="Times New Roman" w:cs="Times New Roman"/>
          <w:b/>
          <w:sz w:val="24"/>
          <w:szCs w:val="24"/>
        </w:rPr>
        <w:t>This collection changed because part 450 was published and it replaces the requirements of parts 401,413,415, and 417.  No new licenses under those parts can be issued.  However, this collection is still necessary because operators that had a license at the time part 450 came into effect can still operate under their existing license for up to 5 years.  Expiring licenses will be allowed to be renewed up to the five-year period.  Burden due to new licenses are zero and the burdens for modifications and renewals are estimated based on the number of active licenses at the time part 450 became effective.  Explanation of the burden to operators can be found in question 12 and an explanation of the burden changes to the government can be found on question 14.</w:t>
      </w:r>
    </w:p>
    <w:p w:rsidR="00A737FD" w:rsidRPr="004B55E1" w:rsidP="00A737FD" w14:paraId="3EA6E310" w14:textId="77777777">
      <w:pPr>
        <w:tabs>
          <w:tab w:val="left" w:pos="4170"/>
        </w:tabs>
        <w:spacing w:before="360" w:after="360" w:line="240" w:lineRule="auto"/>
        <w:jc w:val="center"/>
        <w:rPr>
          <w:rFonts w:ascii="Times New Roman" w:eastAsia="Times New Roman" w:hAnsi="Times New Roman" w:cs="Times New Roman"/>
          <w:b/>
          <w:sz w:val="24"/>
          <w:szCs w:val="24"/>
        </w:rPr>
      </w:pPr>
      <w:r w:rsidRPr="004B55E1">
        <w:rPr>
          <w:rFonts w:ascii="Times New Roman" w:eastAsia="Times New Roman" w:hAnsi="Times New Roman" w:cs="Times New Roman"/>
          <w:b/>
          <w:sz w:val="24"/>
          <w:szCs w:val="24"/>
        </w:rPr>
        <w:t>TITLE 14, CODE OF FEDERAL REGULATIONS, PARTS 401, 413, 415, AND 417: LICENSING AND SAFETY REQUIREMENTS FOR LAUNCH (FOR EXPENDABLE LAUNCH VEHICLES)</w:t>
      </w:r>
    </w:p>
    <w:p w:rsidR="002115A2" w:rsidRPr="00926EE3" w:rsidP="00926EE3" w14:paraId="20C764A4" w14:textId="5C00D519">
      <w:pPr>
        <w:keepNext/>
        <w:keepLines/>
        <w:suppressAutoHyphens/>
        <w:spacing w:before="240" w:after="120" w:line="240" w:lineRule="auto"/>
        <w:ind w:left="475" w:hanging="475"/>
        <w:outlineLvl w:val="2"/>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A.</w:t>
      </w:r>
      <w:r w:rsidRPr="004B55E1">
        <w:rPr>
          <w:rFonts w:ascii="Times New Roman" w:eastAsia="Times New Roman" w:hAnsi="Times New Roman" w:cs="Times New Roman"/>
          <w:b/>
          <w:bCs/>
          <w:sz w:val="24"/>
          <w:szCs w:val="24"/>
        </w:rPr>
        <w:tab/>
        <w:t>Justification</w:t>
      </w:r>
    </w:p>
    <w:p w:rsidR="00C64707" w:rsidRPr="004B55E1" w:rsidP="00C64707" w14:paraId="1C6C9FC7"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4B55E1" w:rsidP="00C64707" w14:paraId="0E3A519D"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1. Explain the circumstances that make the collection of information necessary. Identify any legal or administrative requirements that necessitate the collection.</w:t>
      </w:r>
    </w:p>
    <w:p w:rsidR="00A737FD" w:rsidRPr="004B55E1" w:rsidP="00A737FD" w14:paraId="517DC1CC" w14:textId="75261B3D">
      <w:pPr>
        <w:pStyle w:val="BodyText"/>
        <w:rPr>
          <w:rFonts w:ascii="Times New Roman" w:eastAsia="Times New Roman" w:hAnsi="Times New Roman" w:cs="Times New Roman"/>
          <w:sz w:val="24"/>
          <w:szCs w:val="24"/>
        </w:rPr>
      </w:pPr>
      <w:r w:rsidRPr="004B55E1">
        <w:rPr>
          <w:rFonts w:ascii="Times New Roman" w:eastAsia="Times New Roman" w:hAnsi="Times New Roman" w:cs="Times New Roman"/>
          <w:color w:val="555555"/>
          <w:sz w:val="24"/>
          <w:szCs w:val="24"/>
        </w:rPr>
        <w:tab/>
      </w:r>
      <w:r w:rsidRPr="004B55E1" w:rsidR="00C64707">
        <w:rPr>
          <w:rFonts w:ascii="Times New Roman" w:eastAsia="Times New Roman" w:hAnsi="Times New Roman" w:cs="Times New Roman"/>
          <w:color w:val="555555"/>
          <w:sz w:val="24"/>
          <w:szCs w:val="24"/>
        </w:rPr>
        <w:br/>
      </w:r>
      <w:r w:rsidRPr="004B55E1">
        <w:rPr>
          <w:rFonts w:ascii="Times New Roman" w:eastAsia="Times New Roman" w:hAnsi="Times New Roman" w:cs="Times New Roman"/>
          <w:sz w:val="24"/>
          <w:szCs w:val="24"/>
        </w:rPr>
        <w:t xml:space="preserve">51 U.S.C. Subtitle V, Ch. 509 </w:t>
      </w:r>
      <w:r w:rsidRPr="004B55E1">
        <w:rPr>
          <w:rFonts w:ascii="Times New Roman" w:eastAsia="Times New Roman" w:hAnsi="Times New Roman" w:cs="Times New Roman"/>
          <w:sz w:val="24"/>
          <w:szCs w:val="24"/>
        </w:rPr>
        <w:noBreakHyphen/>
      </w:r>
      <w:r w:rsidRPr="004B55E1">
        <w:rPr>
          <w:rFonts w:ascii="Times New Roman" w:eastAsia="Times New Roman" w:hAnsi="Times New Roman" w:cs="Times New Roman"/>
          <w:sz w:val="24"/>
          <w:szCs w:val="24"/>
        </w:rPr>
        <w:noBreakHyphen/>
        <w:t xml:space="preserve"> Commercial Space Launch Activities, 51 U.S.C. §§ 50901</w:t>
      </w:r>
      <w:r w:rsidRPr="004B55E1">
        <w:rPr>
          <w:rFonts w:ascii="Times New Roman" w:eastAsia="Times New Roman" w:hAnsi="Times New Roman" w:cs="Times New Roman"/>
          <w:sz w:val="24"/>
          <w:szCs w:val="24"/>
        </w:rPr>
        <w:noBreakHyphen/>
        <w:t xml:space="preserve">50921 (2011), requires certain data be provided in applying for a license to conduct commercial space launch activities.  These data are required to demonstrate to the Federal Aviation Administration (FAA), Office of Commercial Space Transportation (AST), that a license applicant’s proposed activities meet applicable public safety, national security, and foreign policy interests of the United States.  </w:t>
      </w:r>
    </w:p>
    <w:p w:rsidR="00C64707" w:rsidRPr="004B55E1" w:rsidP="00A737FD" w14:paraId="6E59AFFA" w14:textId="0B683610">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sz w:val="24"/>
          <w:szCs w:val="24"/>
        </w:rPr>
        <w:t xml:space="preserve">14 CFR parts 413, 415, and 417 collectively provide requirements to launch license applicants.  Parts 413 and 415 establish requirements for obtaining a license to launch an expendable launch vehicle (ELV).  Part 417 codifies safety responsibilities and requirements that apply to a licensed ELV launch.  Together, parts 413, 415, and 417 prescribe standardized application requirements and clarify safety issues that an applicant must address.  Preparation of an application requires the collection of information.  The following sections cause industry and the federal government to collect and review, respectively, information used to apply for a launch operator or launch specific license:  413.7, Application; 415.25, Application requirements for policy review; 415.33, Safety Organization; 415.35, Acceptable flight risk; 415.37, Flight readiness and communications plan; 415.39, Safety at end of launch; 415.41, Accident investigation plan; </w:t>
      </w:r>
      <w:r w:rsidRPr="004B55E1">
        <w:rPr>
          <w:rFonts w:ascii="Times New Roman" w:eastAsia="Times New Roman" w:hAnsi="Times New Roman" w:cs="Times New Roman"/>
          <w:sz w:val="24"/>
          <w:szCs w:val="24"/>
        </w:rPr>
        <w:t>415.59, Information requirements for payload review; 417.11, Continuing accuracy of license application; application for modification of license; 417.13, Agreement(s) with federal launch range; 417.15, Records; 417.17, Launch reporting requirements; 417.19, Registration of space objects; 415.103, General; 415.203,  Environmental information; and 417.203, Compliance</w:t>
      </w:r>
      <w:r w:rsidRPr="004B55E1" w:rsidR="0014495C">
        <w:rPr>
          <w:rFonts w:ascii="Times New Roman" w:eastAsia="Times New Roman" w:hAnsi="Times New Roman" w:cs="Times New Roman"/>
          <w:sz w:val="24"/>
          <w:szCs w:val="24"/>
        </w:rPr>
        <w:t>.</w:t>
      </w:r>
      <w:r w:rsidRPr="004B55E1">
        <w:rPr>
          <w:rFonts w:ascii="Times New Roman" w:eastAsia="Times New Roman" w:hAnsi="Times New Roman" w:cs="Times New Roman"/>
          <w:color w:val="555555"/>
          <w:sz w:val="24"/>
          <w:szCs w:val="24"/>
        </w:rPr>
        <w:t xml:space="preserve">  </w:t>
      </w:r>
    </w:p>
    <w:p w:rsidR="00C64707" w:rsidRPr="004B55E1" w:rsidP="00C64707" w14:paraId="61B68773" w14:textId="1DD24B82">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color w:val="555555"/>
          <w:sz w:val="24"/>
          <w:szCs w:val="24"/>
        </w:rPr>
        <w:t>.</w:t>
      </w:r>
      <w:r w:rsidRPr="004B55E1">
        <w:rPr>
          <w:rFonts w:ascii="Times New Roman" w:eastAsia="Times New Roman" w:hAnsi="Times New Roman" w:cs="Times New Roman"/>
          <w:color w:val="555555"/>
          <w:sz w:val="24"/>
          <w:szCs w:val="24"/>
        </w:rPr>
        <w:br/>
      </w:r>
    </w:p>
    <w:p w:rsidR="00C64707" w:rsidRPr="004B55E1" w:rsidP="00C64707" w14:paraId="32771FF2"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2. Indicate how, by whom, and for what purpose the information is to be used. Except for a new collection, indicate the actual use the agency has made of the information received from the current collection.</w:t>
      </w:r>
    </w:p>
    <w:p w:rsidR="003617C0" w:rsidRPr="004B55E1" w:rsidP="00C64707" w14:paraId="0F96D1EB" w14:textId="77777777">
      <w:pPr>
        <w:shd w:val="clear" w:color="auto" w:fill="FFFFFF"/>
        <w:spacing w:after="0" w:line="240" w:lineRule="auto"/>
        <w:rPr>
          <w:rFonts w:ascii="Times New Roman" w:eastAsia="Times New Roman" w:hAnsi="Times New Roman" w:cs="Times New Roman"/>
          <w:color w:val="555555"/>
          <w:sz w:val="24"/>
          <w:szCs w:val="24"/>
        </w:rPr>
      </w:pPr>
    </w:p>
    <w:p w:rsidR="003617C0" w:rsidRPr="004B55E1" w:rsidP="003617C0" w14:paraId="274340AF" w14:textId="77777777">
      <w:pPr>
        <w:spacing w:before="120" w:after="12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All entities wishing to obtain or maintain a license to conduct commercial space launch activities are mandated to report information to this collection. The information collected is used by AST to determine and verify the ability and competency of a launch license applicant to conduct a commercial space launch operation in a safe and efficient manner.  Information is collected before and after the issuance of either a launch-specific license or a launch operator license.  An applicant's license proposal is assessed in terms of significant policy issues affecting the national security, foreign policy interests, or international obligations of the United States.  Information collected allows AST to make a preliminary assessment of a launch proposal prior to beginning general licensing application procedures.  After favorable review by AST of an applicant’s proposal in terms of policy implications, the applicant must demonstrate that it can safely launch its vehicle with payload.  To achieve this end, AST’s safety evaluation process requires an applicant to submit information, including a safety program plan, a launch safety design and operations document, and an accident investigation plan.  </w:t>
      </w:r>
    </w:p>
    <w:p w:rsidR="003617C0" w:rsidRPr="004B55E1" w:rsidP="003617C0" w14:paraId="5A154D6B" w14:textId="77777777">
      <w:pPr>
        <w:spacing w:before="120" w:after="12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Further, in accordance with the requirements of the National Environmental Policies Act, 42 U.S.C. § 4321, et. seq., (NEPA), the Council on Environmental Quality Regulations for Implementing the Procedural Provisions of NEPA, 40 CFR Parts 1500-1508, and the DOT's Procedures for Considering Environmental Impacts, (that is, DOT Order 5610.1C), applicants are required to submit environmental information to AST.  This includes information concerning proposed new launch sites and launch vehicles not currently described in the environmental impact statements, as well as payloads that may have significant environmental impacts in the event of a launch accident.</w:t>
      </w:r>
    </w:p>
    <w:p w:rsidR="00C64707" w:rsidRPr="004B55E1" w:rsidP="00C64707" w14:paraId="7A27863F" w14:textId="69E3B2A1">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sz w:val="24"/>
          <w:szCs w:val="24"/>
        </w:rPr>
        <w:t>A licensee must satisfy pre-launch reporting requirements by providing launch specific information, including flight path data, payload design criteria, and mission specific launch waivers from federal sites or launch sites, not later than 60 days prior to the scheduled launch date.  Each licensee is also required to register the name and mission of the payload with AST in accordance with Article IV of the 1975 Convention on Registration of Objects Launched into Outer Space Treaty</w:t>
      </w:r>
      <w:r w:rsidR="008F141E">
        <w:rPr>
          <w:rFonts w:ascii="Times New Roman" w:eastAsia="Times New Roman" w:hAnsi="Times New Roman" w:cs="Times New Roman"/>
          <w:sz w:val="24"/>
          <w:szCs w:val="24"/>
        </w:rPr>
        <w:t>.</w:t>
      </w:r>
      <w:r w:rsidRPr="004B55E1">
        <w:rPr>
          <w:rFonts w:ascii="Times New Roman" w:eastAsia="Times New Roman" w:hAnsi="Times New Roman" w:cs="Times New Roman"/>
          <w:color w:val="555555"/>
          <w:sz w:val="24"/>
          <w:szCs w:val="24"/>
        </w:rPr>
        <w:br/>
      </w:r>
      <w:r w:rsidRPr="004B55E1">
        <w:rPr>
          <w:rFonts w:ascii="Times New Roman" w:eastAsia="Times New Roman" w:hAnsi="Times New Roman" w:cs="Times New Roman"/>
          <w:color w:val="555555"/>
          <w:sz w:val="24"/>
          <w:szCs w:val="24"/>
        </w:rPr>
        <w:br/>
      </w:r>
    </w:p>
    <w:p w:rsidR="00C64707" w:rsidRPr="004B55E1" w:rsidP="00C64707" w14:paraId="595607EF"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3617C0" w:rsidRPr="004B55E1" w:rsidP="00C64707" w14:paraId="4C876EBF" w14:textId="77777777">
      <w:pPr>
        <w:shd w:val="clear" w:color="auto" w:fill="FFFFFF"/>
        <w:spacing w:after="0" w:line="240" w:lineRule="auto"/>
        <w:rPr>
          <w:rFonts w:ascii="Times New Roman" w:eastAsia="Times New Roman" w:hAnsi="Times New Roman" w:cs="Times New Roman"/>
          <w:color w:val="555555"/>
          <w:sz w:val="24"/>
          <w:szCs w:val="24"/>
        </w:rPr>
      </w:pPr>
    </w:p>
    <w:p w:rsidR="003617C0" w:rsidRPr="004B55E1" w:rsidP="003617C0" w14:paraId="2F9A7E9A" w14:textId="77777777">
      <w:pPr>
        <w:spacing w:before="120" w:after="12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AST maintains a website to improve public access to information about the licensing process.  Applicants can start the application process by filling out contact information at: </w:t>
      </w:r>
      <w:hyperlink r:id="rId6" w:history="1">
        <w:r w:rsidRPr="004B55E1">
          <w:rPr>
            <w:rFonts w:ascii="Times New Roman" w:eastAsia="Times New Roman" w:hAnsi="Times New Roman" w:cs="Times New Roman"/>
            <w:color w:val="0563C1" w:themeColor="hyperlink"/>
            <w:sz w:val="24"/>
            <w:szCs w:val="24"/>
            <w:u w:val="single"/>
          </w:rPr>
          <w:t>https://www.faa.gov/space/streamlined_licensing_process/licensing_process/</w:t>
        </w:r>
      </w:hyperlink>
      <w:r w:rsidRPr="004B55E1">
        <w:rPr>
          <w:rFonts w:ascii="Times New Roman" w:eastAsia="Times New Roman" w:hAnsi="Times New Roman" w:cs="Times New Roman"/>
          <w:sz w:val="24"/>
          <w:szCs w:val="24"/>
        </w:rPr>
        <w:t xml:space="preserve">.  Information on how to contact the FAA is located at: </w:t>
      </w:r>
      <w:hyperlink r:id="rId7" w:history="1">
        <w:r w:rsidRPr="004B55E1">
          <w:rPr>
            <w:rFonts w:ascii="Times New Roman" w:eastAsia="Times New Roman" w:hAnsi="Times New Roman" w:cs="Times New Roman"/>
            <w:color w:val="0563C1" w:themeColor="hyperlink"/>
            <w:sz w:val="24"/>
            <w:szCs w:val="24"/>
            <w:u w:val="single"/>
          </w:rPr>
          <w:t>https://www.faa.gov/space/streamlined_licensing_process/licensing_process/media/Pre-Application_Initial_Contact_Information_final.pdf</w:t>
        </w:r>
      </w:hyperlink>
      <w:r w:rsidRPr="004B55E1">
        <w:rPr>
          <w:rFonts w:ascii="Times New Roman" w:eastAsia="Times New Roman" w:hAnsi="Times New Roman" w:cs="Times New Roman"/>
          <w:sz w:val="24"/>
          <w:szCs w:val="24"/>
        </w:rPr>
        <w:t xml:space="preserve">.  </w:t>
      </w:r>
    </w:p>
    <w:p w:rsidR="003617C0" w:rsidRPr="004B55E1" w:rsidP="003617C0" w14:paraId="554595CE" w14:textId="6990E1EA">
      <w:pPr>
        <w:spacing w:before="120" w:after="12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Applicants can send information requests using:</w:t>
      </w:r>
    </w:p>
    <w:p w:rsidR="003617C0" w:rsidRPr="004B55E1" w:rsidP="003617C0" w14:paraId="3DB617D2" w14:textId="3E8E3CD1">
      <w:pPr>
        <w:spacing w:before="120" w:after="120" w:line="240" w:lineRule="auto"/>
        <w:rPr>
          <w:rFonts w:ascii="Times New Roman" w:eastAsia="Times New Roman" w:hAnsi="Times New Roman" w:cs="Times New Roman"/>
          <w:sz w:val="24"/>
          <w:szCs w:val="24"/>
        </w:rPr>
      </w:pPr>
      <w:hyperlink r:id="rId8" w:history="1">
        <w:r w:rsidRPr="004B55E1">
          <w:rPr>
            <w:rStyle w:val="Hyperlink"/>
            <w:rFonts w:ascii="Times New Roman" w:eastAsia="Times New Roman" w:hAnsi="Times New Roman" w:cs="Times New Roman"/>
            <w:sz w:val="24"/>
            <w:szCs w:val="24"/>
          </w:rPr>
          <w:t>https://www.faa.gov/contact_faa/</w:t>
        </w:r>
      </w:hyperlink>
    </w:p>
    <w:p w:rsidR="003617C0" w:rsidRPr="004B55E1" w:rsidP="003617C0" w14:paraId="0DBCB0CE" w14:textId="77777777">
      <w:pPr>
        <w:spacing w:before="120" w:after="12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Applicants can submit application material electronically.  Application material submitted is not made available to the public on the FAA website because it is proprietary.  The FAA does publish a list of licensed launches at: </w:t>
      </w:r>
      <w:hyperlink r:id="rId9" w:history="1">
        <w:r w:rsidRPr="004B55E1">
          <w:rPr>
            <w:rFonts w:ascii="Times New Roman" w:eastAsia="Times New Roman" w:hAnsi="Times New Roman" w:cs="Times New Roman"/>
            <w:color w:val="0563C1" w:themeColor="hyperlink"/>
            <w:sz w:val="24"/>
            <w:szCs w:val="24"/>
            <w:u w:val="single"/>
          </w:rPr>
          <w:t>https://www.faa.gov/data_research/commercial_space_data/launches/</w:t>
        </w:r>
      </w:hyperlink>
    </w:p>
    <w:p w:rsidR="00C64707" w:rsidRPr="004B55E1" w:rsidP="00C64707" w14:paraId="547B4F23" w14:textId="010F8C56">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color w:val="555555"/>
          <w:sz w:val="24"/>
          <w:szCs w:val="24"/>
        </w:rPr>
        <w:br/>
      </w:r>
    </w:p>
    <w:p w:rsidR="00BE02FE" w:rsidRPr="004B55E1" w:rsidP="00BE02FE" w14:paraId="46BCF49B"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4. Describe efforts to identify duplication. Show specifically why any similar information already available cannot be used or modified for use for the purposes described in Item 2 above.</w:t>
      </w:r>
    </w:p>
    <w:p w:rsidR="00BE02FE" w:rsidRPr="004B55E1" w:rsidP="00BE02FE" w14:paraId="602ED435" w14:textId="0EB166AF">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sz w:val="24"/>
          <w:szCs w:val="24"/>
        </w:rPr>
        <w:t xml:space="preserve">  </w:t>
      </w:r>
    </w:p>
    <w:p w:rsidR="00371D97" w:rsidRPr="004B55E1" w:rsidP="00371D97" w14:paraId="37C48AF2" w14:textId="08F6404C">
      <w:pPr>
        <w:spacing w:before="120" w:after="12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The FAA participates in the Common Standards Working Group</w:t>
      </w:r>
      <w:r w:rsidR="008F141E">
        <w:rPr>
          <w:rFonts w:ascii="Times New Roman" w:eastAsia="Times New Roman" w:hAnsi="Times New Roman" w:cs="Times New Roman"/>
          <w:sz w:val="24"/>
          <w:szCs w:val="24"/>
        </w:rPr>
        <w:t xml:space="preserve"> (CSWG)</w:t>
      </w:r>
      <w:r w:rsidRPr="004B55E1">
        <w:rPr>
          <w:rFonts w:ascii="Times New Roman" w:eastAsia="Times New Roman" w:hAnsi="Times New Roman" w:cs="Times New Roman"/>
          <w:sz w:val="24"/>
          <w:szCs w:val="24"/>
        </w:rPr>
        <w:t xml:space="preserve"> to avoid duplication of requirements between the FAA, the Space Force, and NASA.  The FAA has agreements to share information with other Federal entities and avoid duplicating requirements.  For example, an operator launching from Cape Canaveral Space Force Station (CCSFS) does not have to submit and comply with FAA ground safety requirements if they comply with the ground safety requirements of CCSFS.</w:t>
      </w:r>
    </w:p>
    <w:p w:rsidR="00BE02FE" w:rsidRPr="004B55E1" w:rsidP="00371D97" w14:paraId="4D0B263E" w14:textId="264ECEA7">
      <w:pPr>
        <w:spacing w:before="120" w:after="12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To decrease industry burden, the applicant may submit any documentation, without reformatting, that has previously been submitted to a Federal Launch Range.  In general, an applicant can submit information in any format.  Unique information routinely constitutes a small portion of the data collected.  Furthermore, an applicant may reference previously submitted information with noted changes.  Collection of information for the purposes of launch and reentry is unique.</w:t>
      </w:r>
    </w:p>
    <w:p w:rsidR="00C64707" w:rsidRPr="004B55E1" w:rsidP="00C64707" w14:paraId="2476AABB" w14:textId="15205831">
      <w:pPr>
        <w:shd w:val="clear" w:color="auto" w:fill="FFFFFF"/>
        <w:spacing w:after="0" w:line="240" w:lineRule="auto"/>
        <w:rPr>
          <w:rFonts w:ascii="Times New Roman" w:eastAsia="Times New Roman" w:hAnsi="Times New Roman" w:cs="Times New Roman"/>
          <w:color w:val="555555"/>
          <w:sz w:val="24"/>
          <w:szCs w:val="24"/>
        </w:rPr>
      </w:pPr>
    </w:p>
    <w:p w:rsidR="00C64707" w:rsidRPr="004B55E1" w:rsidP="00C64707" w14:paraId="1A30189C" w14:textId="54AEA060">
      <w:pPr>
        <w:shd w:val="clear" w:color="auto" w:fill="FFFFFF"/>
        <w:spacing w:after="0" w:line="240" w:lineRule="auto"/>
        <w:rPr>
          <w:rFonts w:ascii="Times New Roman" w:eastAsia="Times New Roman" w:hAnsi="Times New Roman" w:cs="Times New Roman"/>
          <w:color w:val="555555"/>
          <w:sz w:val="24"/>
          <w:szCs w:val="24"/>
        </w:rPr>
      </w:pPr>
    </w:p>
    <w:p w:rsidR="00C64707" w:rsidRPr="004B55E1" w:rsidP="00C64707" w14:paraId="422CC8DA"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5. If the collection of information involves small businesses or other small entities, describe the methods used to minimize burden.</w:t>
      </w:r>
    </w:p>
    <w:p w:rsidR="00CA6C88" w:rsidRPr="004B55E1" w:rsidP="00C723A8" w14:paraId="124792E3" w14:textId="6A0D52A9">
      <w:pPr>
        <w:pStyle w:val="BodyText"/>
        <w:rPr>
          <w:rFonts w:ascii="Times New Roman" w:eastAsia="Times New Roman" w:hAnsi="Times New Roman" w:cs="Times New Roman"/>
          <w:sz w:val="24"/>
          <w:szCs w:val="24"/>
        </w:rPr>
      </w:pPr>
      <w:r w:rsidRPr="004B55E1">
        <w:rPr>
          <w:rFonts w:ascii="Times New Roman" w:eastAsia="Times New Roman" w:hAnsi="Times New Roman" w:cs="Times New Roman"/>
          <w:color w:val="555555"/>
          <w:sz w:val="24"/>
          <w:szCs w:val="24"/>
        </w:rPr>
        <w:br/>
      </w:r>
      <w:r w:rsidRPr="004B55E1" w:rsidR="00C723A8">
        <w:rPr>
          <w:rFonts w:ascii="Times New Roman" w:eastAsia="Times New Roman" w:hAnsi="Times New Roman" w:cs="Times New Roman"/>
          <w:sz w:val="24"/>
          <w:szCs w:val="24"/>
        </w:rPr>
        <w:t>Pursuant to the Regulatory Flexibility Act of 1980 (RFA), AST certified in the final rule (71 FR 50537) that the regulation would not have a significant economic impact on a substantial number of small entities.  The regulations are written to allow flexibility and inno</w:t>
      </w:r>
      <w:r w:rsidRPr="004B55E1">
        <w:rPr>
          <w:rFonts w:ascii="Times New Roman" w:eastAsia="Times New Roman" w:hAnsi="Times New Roman" w:cs="Times New Roman"/>
          <w:sz w:val="24"/>
          <w:szCs w:val="24"/>
        </w:rPr>
        <w:t>vation</w:t>
      </w:r>
      <w:r w:rsidR="008F141E">
        <w:rPr>
          <w:rFonts w:ascii="Times New Roman" w:eastAsia="Times New Roman" w:hAnsi="Times New Roman" w:cs="Times New Roman"/>
          <w:sz w:val="24"/>
          <w:szCs w:val="24"/>
        </w:rPr>
        <w:t>.</w:t>
      </w:r>
    </w:p>
    <w:p w:rsidR="00C64707" w:rsidRPr="004B55E1" w:rsidP="00C64707" w14:paraId="1ABF1F6C"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color w:val="555555"/>
          <w:sz w:val="24"/>
          <w:szCs w:val="24"/>
        </w:rPr>
        <w:br/>
      </w:r>
    </w:p>
    <w:p w:rsidR="00C64707" w:rsidRPr="004B55E1" w:rsidP="00C64707" w14:paraId="31253F7D"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6. Describe the consequence to Federal program or policy activities if the collection is not conducted or is conducted less frequently, as well as any technical or legal obstacles to reducing burden.</w:t>
      </w:r>
    </w:p>
    <w:p w:rsidR="00C723A8" w:rsidRPr="004B55E1" w:rsidP="00C723A8" w14:paraId="44F4287C" w14:textId="4EA00B3E">
      <w:pPr>
        <w:pStyle w:val="BodyText"/>
        <w:rPr>
          <w:rFonts w:ascii="Times New Roman" w:eastAsia="Times New Roman" w:hAnsi="Times New Roman" w:cs="Times New Roman"/>
          <w:sz w:val="24"/>
          <w:szCs w:val="24"/>
        </w:rPr>
      </w:pPr>
      <w:r w:rsidRPr="004B55E1">
        <w:rPr>
          <w:rFonts w:ascii="Times New Roman" w:eastAsia="Times New Roman" w:hAnsi="Times New Roman" w:cs="Times New Roman"/>
          <w:color w:val="555555"/>
          <w:sz w:val="24"/>
          <w:szCs w:val="24"/>
        </w:rPr>
        <w:br/>
      </w:r>
      <w:r w:rsidRPr="004B55E1">
        <w:rPr>
          <w:rFonts w:ascii="Times New Roman" w:eastAsia="Times New Roman" w:hAnsi="Times New Roman" w:cs="Times New Roman"/>
          <w:sz w:val="24"/>
          <w:szCs w:val="24"/>
        </w:rPr>
        <w:t xml:space="preserve">AST cannot authorize the launch of a launch vehicle without the necessary application material.  Many launch operators hold launch operator licenses, which allow multiple launches under a </w:t>
      </w:r>
      <w:r w:rsidRPr="004B55E1">
        <w:rPr>
          <w:rFonts w:ascii="Times New Roman" w:eastAsia="Times New Roman" w:hAnsi="Times New Roman" w:cs="Times New Roman"/>
          <w:sz w:val="24"/>
          <w:szCs w:val="24"/>
        </w:rPr>
        <w:t xml:space="preserve">single license, significantly reducing burden.  These licenses are good for 5 </w:t>
      </w:r>
      <w:r w:rsidRPr="004B55E1" w:rsidR="00CA6C88">
        <w:rPr>
          <w:rFonts w:ascii="Times New Roman" w:eastAsia="Times New Roman" w:hAnsi="Times New Roman" w:cs="Times New Roman"/>
          <w:sz w:val="24"/>
          <w:szCs w:val="24"/>
        </w:rPr>
        <w:t>years and</w:t>
      </w:r>
      <w:r w:rsidRPr="004B55E1">
        <w:rPr>
          <w:rFonts w:ascii="Times New Roman" w:eastAsia="Times New Roman" w:hAnsi="Times New Roman" w:cs="Times New Roman"/>
          <w:sz w:val="24"/>
          <w:szCs w:val="24"/>
        </w:rPr>
        <w:t xml:space="preserve"> can be renewed with minimal burden.  Reducing the burden further by extending the license period could impact AST’s ability to protect public health and safety.</w:t>
      </w:r>
    </w:p>
    <w:p w:rsidR="00C64707" w:rsidRPr="004B55E1" w:rsidP="00C64707" w14:paraId="5CEAEDFB"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color w:val="555555"/>
          <w:sz w:val="24"/>
          <w:szCs w:val="24"/>
        </w:rPr>
        <w:br/>
      </w:r>
    </w:p>
    <w:p w:rsidR="00C64707" w:rsidRPr="004B55E1" w:rsidP="00C64707" w14:paraId="3BB89917"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7. Explain any special circumstances that would cause an information collection to be conducted in a manner:</w:t>
      </w:r>
    </w:p>
    <w:p w:rsidR="00C723A8" w:rsidRPr="004B55E1" w:rsidP="00C64707" w14:paraId="329B81B1" w14:textId="77777777">
      <w:pPr>
        <w:shd w:val="clear" w:color="auto" w:fill="FFFFFF"/>
        <w:spacing w:after="0" w:line="240" w:lineRule="auto"/>
        <w:rPr>
          <w:rFonts w:ascii="Times New Roman" w:hAnsi="Times New Roman" w:cs="Times New Roman"/>
          <w:sz w:val="24"/>
          <w:szCs w:val="24"/>
        </w:rPr>
      </w:pPr>
    </w:p>
    <w:p w:rsidR="00C64707" w:rsidRPr="004B55E1" w:rsidP="00C64707" w14:paraId="6A65DD21" w14:textId="3F86D4B9">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hAnsi="Times New Roman" w:cs="Times New Roman"/>
          <w:sz w:val="24"/>
          <w:szCs w:val="24"/>
        </w:rPr>
        <w:t>This requirement follows the guidelines in 5 CFR 1320.5(d)(2)(i)-(viii).</w:t>
      </w:r>
      <w:r w:rsidRPr="004B55E1">
        <w:rPr>
          <w:rFonts w:ascii="Times New Roman" w:eastAsia="Times New Roman" w:hAnsi="Times New Roman" w:cs="Times New Roman"/>
          <w:color w:val="555555"/>
          <w:sz w:val="24"/>
          <w:szCs w:val="24"/>
        </w:rPr>
        <w:br/>
      </w:r>
    </w:p>
    <w:p w:rsidR="00C64707" w:rsidRPr="004B55E1" w:rsidP="00C64707" w14:paraId="60E1210A"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4B55E1" w:rsidP="00BE02FE" w14:paraId="37BD659C" w14:textId="028FFEA6">
      <w:pPr>
        <w:pStyle w:val="BodyText"/>
        <w:rPr>
          <w:rFonts w:ascii="Times New Roman" w:eastAsia="Times New Roman" w:hAnsi="Times New Roman" w:cs="Times New Roman"/>
          <w:sz w:val="24"/>
          <w:szCs w:val="24"/>
        </w:rPr>
      </w:pPr>
      <w:r w:rsidRPr="004B55E1">
        <w:rPr>
          <w:rFonts w:ascii="Times New Roman" w:eastAsia="Times New Roman" w:hAnsi="Times New Roman" w:cs="Times New Roman"/>
          <w:color w:val="555555"/>
          <w:sz w:val="24"/>
          <w:szCs w:val="24"/>
        </w:rPr>
        <w:br/>
      </w:r>
      <w:r w:rsidRPr="004B55E1" w:rsidR="00C90E69">
        <w:rPr>
          <w:rFonts w:ascii="Times New Roman" w:eastAsia="Times New Roman" w:hAnsi="Times New Roman" w:cs="Times New Roman"/>
          <w:sz w:val="24"/>
          <w:szCs w:val="24"/>
        </w:rPr>
        <w:t>A notice was published in the Federal Register on June 24, 2024 (89 FR 52532).  No comments were received.</w:t>
      </w:r>
      <w:r w:rsidRPr="004B55E1" w:rsidR="00BE02FE">
        <w:rPr>
          <w:rFonts w:ascii="Times New Roman" w:eastAsia="Times New Roman" w:hAnsi="Times New Roman" w:cs="Times New Roman"/>
          <w:sz w:val="24"/>
          <w:szCs w:val="24"/>
        </w:rPr>
        <w:t xml:space="preserve"> There was no other communication with the stakeholders aside from what is in this collection.</w:t>
      </w:r>
    </w:p>
    <w:p w:rsidR="00C64707" w:rsidRPr="004B55E1" w:rsidP="00C64707" w14:paraId="6E3F66E3" w14:textId="243C7C0B">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color w:val="555555"/>
          <w:sz w:val="24"/>
          <w:szCs w:val="24"/>
        </w:rPr>
        <w:t>.</w:t>
      </w:r>
    </w:p>
    <w:p w:rsidR="00C64707" w:rsidRPr="004B55E1" w:rsidP="00C64707" w14:paraId="115B1405"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9. Explain any decisions to provide payments or gifts to respondents, other than remuneration of contractors or grantees.</w:t>
      </w:r>
    </w:p>
    <w:p w:rsidR="00C90E69" w:rsidRPr="004B55E1" w:rsidP="00C90E69" w14:paraId="7DF890DC" w14:textId="43DA50AB">
      <w:pPr>
        <w:pStyle w:val="BodyText"/>
        <w:rPr>
          <w:rFonts w:ascii="Times New Roman" w:eastAsia="Times New Roman" w:hAnsi="Times New Roman" w:cs="Times New Roman"/>
          <w:sz w:val="24"/>
          <w:szCs w:val="24"/>
        </w:rPr>
      </w:pPr>
      <w:r w:rsidRPr="004B55E1">
        <w:rPr>
          <w:rFonts w:ascii="Times New Roman" w:eastAsia="Times New Roman" w:hAnsi="Times New Roman" w:cs="Times New Roman"/>
          <w:color w:val="555555"/>
          <w:sz w:val="24"/>
          <w:szCs w:val="24"/>
        </w:rPr>
        <w:br/>
      </w:r>
      <w:r w:rsidRPr="004B55E1">
        <w:rPr>
          <w:rFonts w:ascii="Times New Roman" w:eastAsia="Times New Roman" w:hAnsi="Times New Roman" w:cs="Times New Roman"/>
          <w:sz w:val="24"/>
          <w:szCs w:val="24"/>
        </w:rPr>
        <w:t>No decision was made to provide payments or special compensation to respondents.</w:t>
      </w:r>
    </w:p>
    <w:p w:rsidR="00C64707" w:rsidRPr="004B55E1" w:rsidP="00C64707" w14:paraId="641F3E7B" w14:textId="295576A1">
      <w:pPr>
        <w:shd w:val="clear" w:color="auto" w:fill="FFFFFF"/>
        <w:spacing w:after="0" w:line="240" w:lineRule="auto"/>
        <w:rPr>
          <w:rFonts w:ascii="Times New Roman" w:eastAsia="Times New Roman" w:hAnsi="Times New Roman" w:cs="Times New Roman"/>
          <w:color w:val="555555"/>
          <w:sz w:val="24"/>
          <w:szCs w:val="24"/>
        </w:rPr>
      </w:pPr>
    </w:p>
    <w:p w:rsidR="00C64707" w:rsidRPr="004B55E1" w:rsidP="00C64707" w14:paraId="096D5D00" w14:textId="423B1713">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10. Describe any assurance of confidentiality provided to respondents and the basis for assurance in statute, regulation, or agency policy.</w:t>
      </w:r>
      <w:r w:rsidRPr="004B55E1">
        <w:rPr>
          <w:rFonts w:ascii="Times New Roman" w:eastAsia="Times New Roman" w:hAnsi="Times New Roman" w:cs="Times New Roman"/>
          <w:color w:val="555555"/>
          <w:sz w:val="24"/>
          <w:szCs w:val="24"/>
        </w:rPr>
        <w:br/>
      </w:r>
    </w:p>
    <w:p w:rsidR="00C90E69" w:rsidRPr="004B55E1" w:rsidP="00C90E69" w14:paraId="5A4AD353" w14:textId="77777777">
      <w:pPr>
        <w:spacing w:after="120" w:line="276" w:lineRule="auto"/>
        <w:rPr>
          <w:rFonts w:ascii="Times New Roman" w:eastAsia="Calibri" w:hAnsi="Times New Roman" w:cs="Times New Roman"/>
          <w:sz w:val="24"/>
          <w:szCs w:val="24"/>
        </w:rPr>
      </w:pPr>
      <w:r w:rsidRPr="004B55E1">
        <w:rPr>
          <w:rFonts w:ascii="Times New Roman" w:eastAsia="Calibri" w:hAnsi="Times New Roman" w:cs="Times New Roman"/>
          <w:sz w:val="24"/>
          <w:szCs w:val="24"/>
        </w:rPr>
        <w:t>Presently AST is legally bound by 14 CFR Part 413 regulations that address License Application Procedures.  § 413.9 Confidentiality, states the following:</w:t>
      </w:r>
    </w:p>
    <w:p w:rsidR="00C90E69" w:rsidRPr="004B55E1" w:rsidP="00C90E69" w14:paraId="039A04B4" w14:textId="288BE509">
      <w:pPr>
        <w:autoSpaceDE w:val="0"/>
        <w:autoSpaceDN w:val="0"/>
        <w:adjustRightInd w:val="0"/>
        <w:spacing w:after="0" w:line="240" w:lineRule="auto"/>
        <w:rPr>
          <w:rFonts w:ascii="Times New Roman" w:eastAsia="Calibri" w:hAnsi="Times New Roman" w:cs="Times New Roman"/>
          <w:i/>
          <w:sz w:val="24"/>
          <w:szCs w:val="24"/>
        </w:rPr>
      </w:pPr>
      <w:r w:rsidRPr="004B55E1">
        <w:rPr>
          <w:rFonts w:ascii="Times New Roman" w:eastAsia="Calibri" w:hAnsi="Times New Roman" w:cs="Times New Roman"/>
          <w:i/>
          <w:sz w:val="24"/>
          <w:szCs w:val="24"/>
        </w:rPr>
        <w:t xml:space="preserve">(a) Any person furnishing information or data to the FAA may request in writing that trade secrets or proprietary commercial or financial data be treated as confidential. The request must be made at the time the information or data is </w:t>
      </w:r>
      <w:r w:rsidRPr="004B55E1" w:rsidR="00AB25C3">
        <w:rPr>
          <w:rFonts w:ascii="Times New Roman" w:eastAsia="Calibri" w:hAnsi="Times New Roman" w:cs="Times New Roman"/>
          <w:i/>
          <w:sz w:val="24"/>
          <w:szCs w:val="24"/>
        </w:rPr>
        <w:t>submitted and</w:t>
      </w:r>
      <w:r w:rsidRPr="004B55E1">
        <w:rPr>
          <w:rFonts w:ascii="Times New Roman" w:eastAsia="Calibri" w:hAnsi="Times New Roman" w:cs="Times New Roman"/>
          <w:i/>
          <w:sz w:val="24"/>
          <w:szCs w:val="24"/>
        </w:rPr>
        <w:t xml:space="preserve"> state the </w:t>
      </w:r>
      <w:r w:rsidRPr="004B55E1">
        <w:rPr>
          <w:rFonts w:ascii="Times New Roman" w:eastAsia="Calibri" w:hAnsi="Times New Roman" w:cs="Times New Roman"/>
          <w:i/>
          <w:sz w:val="24"/>
          <w:szCs w:val="24"/>
        </w:rPr>
        <w:t>period of time</w:t>
      </w:r>
      <w:r w:rsidRPr="004B55E1">
        <w:rPr>
          <w:rFonts w:ascii="Times New Roman" w:eastAsia="Calibri" w:hAnsi="Times New Roman" w:cs="Times New Roman"/>
          <w:i/>
          <w:sz w:val="24"/>
          <w:szCs w:val="24"/>
        </w:rPr>
        <w:t xml:space="preserve"> for which confidential treatment is desired.</w:t>
      </w:r>
    </w:p>
    <w:p w:rsidR="00C90E69" w:rsidRPr="004B55E1" w:rsidP="00C90E69" w14:paraId="46B30FEF" w14:textId="77777777">
      <w:pPr>
        <w:autoSpaceDE w:val="0"/>
        <w:autoSpaceDN w:val="0"/>
        <w:adjustRightInd w:val="0"/>
        <w:spacing w:after="0" w:line="240" w:lineRule="auto"/>
        <w:ind w:left="450"/>
        <w:rPr>
          <w:rFonts w:ascii="Times New Roman" w:eastAsia="Calibri" w:hAnsi="Times New Roman" w:cs="Times New Roman"/>
          <w:i/>
          <w:sz w:val="24"/>
          <w:szCs w:val="24"/>
        </w:rPr>
      </w:pPr>
    </w:p>
    <w:p w:rsidR="00C90E69" w:rsidRPr="004B55E1" w:rsidP="00C90E69" w14:paraId="5E77138C" w14:textId="77777777">
      <w:pPr>
        <w:autoSpaceDE w:val="0"/>
        <w:autoSpaceDN w:val="0"/>
        <w:adjustRightInd w:val="0"/>
        <w:spacing w:after="0" w:line="240" w:lineRule="auto"/>
        <w:rPr>
          <w:rFonts w:ascii="Times New Roman" w:eastAsia="Calibri" w:hAnsi="Times New Roman" w:cs="Times New Roman"/>
          <w:i/>
          <w:sz w:val="24"/>
          <w:szCs w:val="24"/>
        </w:rPr>
      </w:pPr>
      <w:r w:rsidRPr="004B55E1">
        <w:rPr>
          <w:rFonts w:ascii="Times New Roman" w:eastAsia="Calibri" w:hAnsi="Times New Roman" w:cs="Times New Roman"/>
          <w:i/>
          <w:sz w:val="24"/>
          <w:szCs w:val="24"/>
        </w:rPr>
        <w:t>(b) Information or data for which any person or agency requests confidentiality must be clearly marked with an identifying legend, such as "Proprietary Information," "Proprietary Commercial Information," "Trade Secret," or " Confidential Treatment Requested." Where this marking proves impracticable, a cover sheet containing the identifying legend must be securely attached to the compilation of information or data for which confidential treatment is requested.</w:t>
      </w:r>
    </w:p>
    <w:p w:rsidR="00C90E69" w:rsidRPr="004B55E1" w:rsidP="00C90E69" w14:paraId="1935C5E4" w14:textId="77777777">
      <w:pPr>
        <w:autoSpaceDE w:val="0"/>
        <w:autoSpaceDN w:val="0"/>
        <w:adjustRightInd w:val="0"/>
        <w:spacing w:after="0" w:line="240" w:lineRule="auto"/>
        <w:ind w:left="450"/>
        <w:rPr>
          <w:rFonts w:ascii="Times New Roman" w:eastAsia="Calibri" w:hAnsi="Times New Roman" w:cs="Times New Roman"/>
          <w:i/>
          <w:sz w:val="24"/>
          <w:szCs w:val="24"/>
        </w:rPr>
      </w:pPr>
    </w:p>
    <w:p w:rsidR="00C90E69" w:rsidRPr="004B55E1" w:rsidP="00C90E69" w14:paraId="3EF5821C" w14:textId="77777777">
      <w:pPr>
        <w:autoSpaceDE w:val="0"/>
        <w:autoSpaceDN w:val="0"/>
        <w:adjustRightInd w:val="0"/>
        <w:spacing w:after="0" w:line="240" w:lineRule="auto"/>
        <w:rPr>
          <w:rFonts w:ascii="Times New Roman" w:eastAsia="Calibri" w:hAnsi="Times New Roman" w:cs="Times New Roman"/>
          <w:i/>
          <w:sz w:val="24"/>
          <w:szCs w:val="24"/>
        </w:rPr>
      </w:pPr>
      <w:r w:rsidRPr="004B55E1">
        <w:rPr>
          <w:rFonts w:ascii="Times New Roman" w:eastAsia="Calibri" w:hAnsi="Times New Roman" w:cs="Times New Roman"/>
          <w:i/>
          <w:sz w:val="24"/>
          <w:szCs w:val="24"/>
        </w:rPr>
        <w:t xml:space="preserve">(c) If a person requests that previously submitted information or data be treated confidentially, the FAA will do so to the extent practicable </w:t>
      </w:r>
      <w:r w:rsidRPr="004B55E1">
        <w:rPr>
          <w:rFonts w:ascii="Times New Roman" w:eastAsia="Calibri" w:hAnsi="Times New Roman" w:cs="Times New Roman"/>
          <w:i/>
          <w:sz w:val="24"/>
          <w:szCs w:val="24"/>
        </w:rPr>
        <w:t>in light of</w:t>
      </w:r>
      <w:r w:rsidRPr="004B55E1">
        <w:rPr>
          <w:rFonts w:ascii="Times New Roman" w:eastAsia="Calibri" w:hAnsi="Times New Roman" w:cs="Times New Roman"/>
          <w:i/>
          <w:sz w:val="24"/>
          <w:szCs w:val="24"/>
        </w:rPr>
        <w:t xml:space="preserve"> any prior distribution of the information or data.</w:t>
      </w:r>
    </w:p>
    <w:p w:rsidR="00C90E69" w:rsidRPr="004B55E1" w:rsidP="00C90E69" w14:paraId="6B8D548B" w14:textId="77777777">
      <w:pPr>
        <w:autoSpaceDE w:val="0"/>
        <w:autoSpaceDN w:val="0"/>
        <w:adjustRightInd w:val="0"/>
        <w:spacing w:after="0" w:line="240" w:lineRule="auto"/>
        <w:ind w:left="450"/>
        <w:rPr>
          <w:rFonts w:ascii="Times New Roman" w:eastAsia="Calibri" w:hAnsi="Times New Roman" w:cs="Times New Roman"/>
          <w:i/>
          <w:sz w:val="24"/>
          <w:szCs w:val="24"/>
        </w:rPr>
      </w:pPr>
    </w:p>
    <w:p w:rsidR="00C90E69" w:rsidRPr="004B55E1" w:rsidP="00C90E69" w14:paraId="27F159AD" w14:textId="77777777">
      <w:pPr>
        <w:autoSpaceDE w:val="0"/>
        <w:autoSpaceDN w:val="0"/>
        <w:adjustRightInd w:val="0"/>
        <w:spacing w:after="0" w:line="240" w:lineRule="auto"/>
        <w:rPr>
          <w:rFonts w:ascii="Times New Roman" w:eastAsia="Calibri" w:hAnsi="Times New Roman" w:cs="Times New Roman"/>
          <w:i/>
          <w:sz w:val="24"/>
          <w:szCs w:val="24"/>
        </w:rPr>
      </w:pPr>
      <w:r w:rsidRPr="004B55E1">
        <w:rPr>
          <w:rFonts w:ascii="Times New Roman" w:eastAsia="Calibri" w:hAnsi="Times New Roman" w:cs="Times New Roman"/>
          <w:i/>
          <w:sz w:val="24"/>
          <w:szCs w:val="24"/>
        </w:rPr>
        <w:t>(d) Information or data for which confidential treatment has been requested or information or data that qualifies for exemption under section 552(b)(4) of Title 5, United States Code, will not be disclosed to the public unless the Associate Administrator determines that the withholding of the information or data is contrary to the public or national interest.</w:t>
      </w:r>
    </w:p>
    <w:p w:rsidR="00C64707" w:rsidRPr="004B55E1" w:rsidP="00C64707" w14:paraId="5BDA6334" w14:textId="6FF10D24">
      <w:pPr>
        <w:shd w:val="clear" w:color="auto" w:fill="FFFFFF"/>
        <w:spacing w:after="0" w:line="240" w:lineRule="auto"/>
        <w:rPr>
          <w:rFonts w:ascii="Times New Roman" w:eastAsia="Times New Roman" w:hAnsi="Times New Roman" w:cs="Times New Roman"/>
          <w:color w:val="555555"/>
          <w:sz w:val="24"/>
          <w:szCs w:val="24"/>
        </w:rPr>
      </w:pPr>
    </w:p>
    <w:p w:rsidR="00C64707" w:rsidRPr="004B55E1" w:rsidP="00C64707" w14:paraId="641C9F40"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5104D7" w:rsidP="005104D7" w14:paraId="5E8A17C8" w14:textId="0D9204BC">
      <w:pPr>
        <w:pStyle w:val="BodyText"/>
        <w:rPr>
          <w:rFonts w:ascii="Times New Roman" w:eastAsia="Times New Roman" w:hAnsi="Times New Roman" w:cs="Times New Roman"/>
          <w:sz w:val="24"/>
          <w:szCs w:val="24"/>
        </w:rPr>
      </w:pPr>
      <w:r w:rsidRPr="004B55E1">
        <w:rPr>
          <w:rFonts w:ascii="Times New Roman" w:eastAsia="Times New Roman" w:hAnsi="Times New Roman" w:cs="Times New Roman"/>
          <w:color w:val="555555"/>
          <w:sz w:val="24"/>
          <w:szCs w:val="24"/>
        </w:rPr>
        <w:br/>
      </w:r>
      <w:r w:rsidRPr="004B55E1" w:rsidR="0021602F">
        <w:rPr>
          <w:rFonts w:ascii="Times New Roman" w:eastAsia="Times New Roman" w:hAnsi="Times New Roman" w:cs="Times New Roman"/>
          <w:sz w:val="24"/>
          <w:szCs w:val="24"/>
        </w:rPr>
        <w:t>No sensitive information is required.</w:t>
      </w:r>
      <w:r w:rsidRPr="004B55E1">
        <w:rPr>
          <w:rFonts w:ascii="Times New Roman" w:eastAsia="Times New Roman" w:hAnsi="Times New Roman" w:cs="Times New Roman"/>
          <w:color w:val="555555"/>
          <w:sz w:val="24"/>
          <w:szCs w:val="24"/>
        </w:rPr>
        <w:br/>
      </w:r>
    </w:p>
    <w:p w:rsidR="00C64707" w:rsidRPr="004B55E1" w:rsidP="00C64707" w14:paraId="2D15BDBB" w14:textId="79DC2E6D">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12. Provide estimates of the hour burden of the collection of information. The statement should:</w:t>
      </w:r>
    </w:p>
    <w:p w:rsidR="00C64707" w:rsidRPr="004B55E1" w:rsidP="00C64707" w14:paraId="361C74D8" w14:textId="77777777">
      <w:pPr>
        <w:numPr>
          <w:ilvl w:val="0"/>
          <w:numId w:val="2"/>
        </w:numPr>
        <w:shd w:val="clear" w:color="auto" w:fill="FFFFFF"/>
        <w:spacing w:before="100" w:beforeAutospacing="1" w:after="225"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B24D05" w:rsidRPr="005104D7" w:rsidP="005104D7" w14:paraId="032EFFC8" w14:textId="50E28E38">
      <w:pPr>
        <w:numPr>
          <w:ilvl w:val="0"/>
          <w:numId w:val="2"/>
        </w:numPr>
        <w:shd w:val="clear" w:color="auto" w:fill="FFFFFF"/>
        <w:spacing w:before="100" w:beforeAutospacing="1" w:after="225"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B24D05" w:rsidRPr="004B55E1" w:rsidP="00B24D05" w14:paraId="254FCB04" w14:textId="71FA6AB0">
      <w:pPr>
        <w:spacing w:before="120" w:after="120" w:line="240" w:lineRule="auto"/>
        <w:ind w:left="48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The burden to industry for collecting information to comply with 14 CFR parts 413, 415, and 417 for either a Launch Operator or Launch Specific License involves several principal activities.  These activities include pre-application consultation with AST, preparation of the license application, and resolution of questions associated with the application.  The application process is generally the same for either Launch Operator or Launch Specific Licenses, as AST determines which license type is issued based on the information submitted with the application.  The FAA estimates that the hour burden to industry for the collection of information necessary to comply with 14 CFR parts 413, 415, and 417 in order </w:t>
      </w:r>
      <w:r w:rsidRPr="004B55E1">
        <w:rPr>
          <w:rFonts w:ascii="Times New Roman" w:eastAsia="Times New Roman" w:hAnsi="Times New Roman" w:cs="Times New Roman"/>
          <w:sz w:val="24"/>
          <w:szCs w:val="24"/>
        </w:rPr>
        <w:t xml:space="preserve">to complete and submit a license </w:t>
      </w:r>
      <w:r w:rsidR="00F03CE9">
        <w:rPr>
          <w:rFonts w:ascii="Times New Roman" w:eastAsia="Times New Roman" w:hAnsi="Times New Roman" w:cs="Times New Roman"/>
          <w:sz w:val="24"/>
          <w:szCs w:val="24"/>
        </w:rPr>
        <w:t>pre-</w:t>
      </w:r>
      <w:r w:rsidRPr="004B55E1">
        <w:rPr>
          <w:rFonts w:ascii="Times New Roman" w:eastAsia="Times New Roman" w:hAnsi="Times New Roman" w:cs="Times New Roman"/>
          <w:sz w:val="24"/>
          <w:szCs w:val="24"/>
        </w:rPr>
        <w:t>application can be as many as 2,808 hours.</w:t>
      </w:r>
      <w:r>
        <w:rPr>
          <w:rFonts w:ascii="Times New Roman" w:eastAsia="Times New Roman" w:hAnsi="Times New Roman" w:cs="Times New Roman"/>
          <w:sz w:val="24"/>
          <w:szCs w:val="24"/>
          <w:vertAlign w:val="superscript"/>
        </w:rPr>
        <w:footnoteReference w:id="2"/>
      </w:r>
      <w:r w:rsidRPr="004B55E1">
        <w:rPr>
          <w:rFonts w:ascii="Times New Roman" w:eastAsia="Times New Roman" w:hAnsi="Times New Roman" w:cs="Times New Roman"/>
          <w:sz w:val="24"/>
          <w:szCs w:val="24"/>
        </w:rPr>
        <w:t xml:space="preserve">  Further, the FAA estimates that the hour burden to industry for the collection of information necessary to support a license modification is roughly 1,404 hours and a license renewal application can be as many as 281 hours.</w:t>
      </w:r>
      <w:r>
        <w:rPr>
          <w:rFonts w:ascii="Times New Roman" w:eastAsia="Times New Roman" w:hAnsi="Times New Roman" w:cs="Times New Roman"/>
          <w:sz w:val="24"/>
          <w:szCs w:val="24"/>
          <w:vertAlign w:val="superscript"/>
        </w:rPr>
        <w:footnoteReference w:id="3"/>
      </w:r>
      <w:r w:rsidRPr="004B55E1">
        <w:rPr>
          <w:rFonts w:ascii="Times New Roman" w:eastAsia="Times New Roman" w:hAnsi="Times New Roman" w:cs="Times New Roman"/>
          <w:sz w:val="24"/>
          <w:szCs w:val="24"/>
        </w:rPr>
        <w:t xml:space="preserve">  </w:t>
      </w:r>
    </w:p>
    <w:p w:rsidR="00B24D05" w:rsidRPr="004B55E1" w:rsidP="00B24D05" w14:paraId="012C2D34" w14:textId="6CE6EC23">
      <w:pPr>
        <w:spacing w:before="120" w:after="120" w:line="240" w:lineRule="auto"/>
        <w:ind w:left="48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Industry base salary is estimated to be $121,118</w:t>
      </w:r>
      <w:r>
        <w:rPr>
          <w:rFonts w:ascii="Times New Roman" w:eastAsia="Times New Roman" w:hAnsi="Times New Roman" w:cs="Times New Roman"/>
          <w:sz w:val="24"/>
          <w:szCs w:val="24"/>
          <w:vertAlign w:val="superscript"/>
        </w:rPr>
        <w:footnoteReference w:id="4"/>
      </w:r>
      <w:r w:rsidRPr="004B55E1">
        <w:rPr>
          <w:rFonts w:ascii="Times New Roman" w:eastAsia="Times New Roman" w:hAnsi="Times New Roman" w:cs="Times New Roman"/>
          <w:sz w:val="24"/>
          <w:szCs w:val="24"/>
        </w:rPr>
        <w:t>. Base salary is loaded the commercial fringe rate based on information available from the Aerospace Industry Association database.  As summarized in Table 1, this results in an estimated industry loaded salary of $157,</w:t>
      </w:r>
      <w:r w:rsidR="00AA5EAB">
        <w:rPr>
          <w:rFonts w:ascii="Times New Roman" w:eastAsia="Times New Roman" w:hAnsi="Times New Roman" w:cs="Times New Roman"/>
          <w:sz w:val="24"/>
          <w:szCs w:val="24"/>
        </w:rPr>
        <w:t>489</w:t>
      </w:r>
      <w:r w:rsidRPr="004B55E1">
        <w:rPr>
          <w:rFonts w:ascii="Times New Roman" w:eastAsia="Times New Roman" w:hAnsi="Times New Roman" w:cs="Times New Roman"/>
          <w:sz w:val="24"/>
          <w:szCs w:val="24"/>
        </w:rPr>
        <w:t>; accordingly, hourly labor costs are $75.</w:t>
      </w:r>
      <w:r w:rsidR="00AA5EAB">
        <w:rPr>
          <w:rFonts w:ascii="Times New Roman" w:eastAsia="Times New Roman" w:hAnsi="Times New Roman" w:cs="Times New Roman"/>
          <w:sz w:val="24"/>
          <w:szCs w:val="24"/>
        </w:rPr>
        <w:t>72</w:t>
      </w:r>
      <w:r w:rsidRPr="004B55E1">
        <w:rPr>
          <w:rFonts w:ascii="Times New Roman" w:eastAsia="Times New Roman" w:hAnsi="Times New Roman" w:cs="Times New Roman"/>
          <w:sz w:val="24"/>
          <w:szCs w:val="24"/>
        </w:rPr>
        <w:t xml:space="preserve"> (calculated as $157,</w:t>
      </w:r>
      <w:r w:rsidR="00AA5EAB">
        <w:rPr>
          <w:rFonts w:ascii="Times New Roman" w:eastAsia="Times New Roman" w:hAnsi="Times New Roman" w:cs="Times New Roman"/>
          <w:sz w:val="24"/>
          <w:szCs w:val="24"/>
        </w:rPr>
        <w:t>489</w:t>
      </w:r>
      <w:r w:rsidRPr="004B55E1">
        <w:rPr>
          <w:rFonts w:ascii="Times New Roman" w:eastAsia="Times New Roman" w:hAnsi="Times New Roman" w:cs="Times New Roman"/>
          <w:sz w:val="24"/>
          <w:szCs w:val="24"/>
        </w:rPr>
        <w:t xml:space="preserve"> ÷ 2,080 = $75.</w:t>
      </w:r>
      <w:r w:rsidR="00AA5EAB">
        <w:rPr>
          <w:rFonts w:ascii="Times New Roman" w:eastAsia="Times New Roman" w:hAnsi="Times New Roman" w:cs="Times New Roman"/>
          <w:sz w:val="24"/>
          <w:szCs w:val="24"/>
        </w:rPr>
        <w:t>72</w:t>
      </w:r>
      <w:r w:rsidRPr="004B55E1">
        <w:rPr>
          <w:rFonts w:ascii="Times New Roman" w:eastAsia="Times New Roman" w:hAnsi="Times New Roman" w:cs="Times New Roman"/>
          <w:sz w:val="24"/>
          <w:szCs w:val="24"/>
        </w:rPr>
        <w:t>).</w:t>
      </w:r>
    </w:p>
    <w:p w:rsidR="00B24D05" w:rsidRPr="004B55E1" w:rsidP="00B24D05" w14:paraId="16CEC1B7" w14:textId="77777777">
      <w:pPr>
        <w:keepNext/>
        <w:keepLines/>
        <w:suppressAutoHyphens/>
        <w:spacing w:before="240" w:after="120" w:line="240" w:lineRule="auto"/>
        <w:ind w:left="475" w:hanging="475"/>
        <w:outlineLvl w:val="2"/>
        <w:rPr>
          <w:rFonts w:ascii="Times New Roman" w:eastAsia="Times New Roman" w:hAnsi="Times New Roman" w:cs="Times New Roman"/>
          <w:b/>
          <w:bCs/>
          <w:sz w:val="24"/>
          <w:szCs w:val="24"/>
        </w:rPr>
      </w:pPr>
      <w:bookmarkStart w:id="0" w:name="_Toc38678150"/>
      <w:bookmarkStart w:id="1" w:name="_Toc71093546"/>
      <w:r w:rsidRPr="004B55E1">
        <w:rPr>
          <w:rFonts w:ascii="Times New Roman" w:eastAsia="Times New Roman" w:hAnsi="Times New Roman" w:cs="Times New Roman"/>
          <w:b/>
          <w:bCs/>
          <w:sz w:val="24"/>
          <w:szCs w:val="24"/>
        </w:rPr>
        <w:t>TABLE 1. Private Sector Fringe Benefit Factors</w:t>
      </w:r>
      <w:bookmarkEnd w:id="0"/>
      <w:bookmarkEnd w:id="1"/>
      <w:r w:rsidRPr="004B55E1">
        <w:rPr>
          <w:rFonts w:ascii="Times New Roman" w:eastAsia="Times New Roman" w:hAnsi="Times New Roman" w:cs="Times New Roman"/>
          <w:b/>
          <w:bCs/>
          <w:sz w:val="24"/>
          <w:szCs w:val="24"/>
        </w:rPr>
        <w:t xml:space="preserve"> and Loaded Salary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5040"/>
        <w:gridCol w:w="2880"/>
      </w:tblGrid>
      <w:tr w14:paraId="138591FD" w14:textId="77777777" w:rsidTr="00614A47">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cantSplit/>
          <w:trHeight w:val="144"/>
          <w:jc w:val="center"/>
        </w:trPr>
        <w:tc>
          <w:tcPr>
            <w:tcW w:w="5040" w:type="dxa"/>
            <w:shd w:val="pct10" w:color="auto" w:fill="auto"/>
          </w:tcPr>
          <w:p w:rsidR="00B24D05" w:rsidRPr="004B55E1" w:rsidP="00B24D05" w14:paraId="14EA4833"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Category</w:t>
            </w:r>
          </w:p>
        </w:tc>
        <w:tc>
          <w:tcPr>
            <w:tcW w:w="2880" w:type="dxa"/>
            <w:shd w:val="pct10" w:color="auto" w:fill="auto"/>
          </w:tcPr>
          <w:p w:rsidR="00B24D05" w:rsidRPr="004B55E1" w:rsidP="00B24D05" w14:paraId="7AE08CC6"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Government Factor</w:t>
            </w:r>
          </w:p>
        </w:tc>
      </w:tr>
      <w:tr w14:paraId="6D4645C3" w14:textId="77777777" w:rsidTr="00614A47">
        <w:tblPrEx>
          <w:tblW w:w="0" w:type="auto"/>
          <w:jc w:val="center"/>
          <w:tblLook w:val="0000"/>
        </w:tblPrEx>
        <w:trPr>
          <w:cantSplit/>
          <w:jc w:val="center"/>
        </w:trPr>
        <w:tc>
          <w:tcPr>
            <w:tcW w:w="5040" w:type="dxa"/>
          </w:tcPr>
          <w:p w:rsidR="00B24D05" w:rsidRPr="004B55E1" w:rsidP="00B24D05" w14:paraId="063E5122"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Total Fringe Benefit</w:t>
            </w:r>
          </w:p>
        </w:tc>
        <w:tc>
          <w:tcPr>
            <w:tcW w:w="2880" w:type="dxa"/>
            <w:vAlign w:val="bottom"/>
          </w:tcPr>
          <w:p w:rsidR="00B24D05" w:rsidRPr="004B55E1" w:rsidP="00B24D05" w14:paraId="1FBB3E00"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30.03%</w:t>
            </w:r>
          </w:p>
        </w:tc>
      </w:tr>
      <w:tr w14:paraId="09EACBFB" w14:textId="77777777" w:rsidTr="00614A47">
        <w:tblPrEx>
          <w:tblW w:w="0" w:type="auto"/>
          <w:jc w:val="center"/>
          <w:tblLook w:val="0000"/>
        </w:tblPrEx>
        <w:trPr>
          <w:cantSplit/>
          <w:jc w:val="center"/>
        </w:trPr>
        <w:tc>
          <w:tcPr>
            <w:tcW w:w="5040" w:type="dxa"/>
          </w:tcPr>
          <w:p w:rsidR="00B24D05" w:rsidRPr="004B55E1" w:rsidP="00B24D05" w14:paraId="3BEF39C9"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Industry Loaded </w:t>
            </w:r>
            <w:r w:rsidRPr="004B55E1">
              <w:rPr>
                <w:rFonts w:ascii="Times New Roman" w:eastAsia="Times New Roman" w:hAnsi="Times New Roman" w:cs="Times New Roman"/>
                <w:sz w:val="24"/>
                <w:szCs w:val="24"/>
              </w:rPr>
              <w:t>Salary</w:t>
            </w:r>
            <w:r w:rsidRPr="004B55E1">
              <w:rPr>
                <w:rFonts w:ascii="Times New Roman" w:eastAsia="Times New Roman" w:hAnsi="Times New Roman" w:cs="Times New Roman"/>
                <w:sz w:val="24"/>
                <w:szCs w:val="24"/>
                <w:vertAlign w:val="superscript"/>
              </w:rPr>
              <w:t>a</w:t>
            </w:r>
          </w:p>
        </w:tc>
        <w:tc>
          <w:tcPr>
            <w:tcW w:w="2880" w:type="dxa"/>
          </w:tcPr>
          <w:p w:rsidR="00B24D05" w:rsidRPr="004B55E1" w:rsidP="00B24D05" w14:paraId="638895E1" w14:textId="148681E6">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$157,</w:t>
            </w:r>
            <w:r w:rsidR="0029616A">
              <w:rPr>
                <w:rFonts w:ascii="Times New Roman" w:eastAsia="Times New Roman" w:hAnsi="Times New Roman" w:cs="Times New Roman"/>
                <w:sz w:val="24"/>
                <w:szCs w:val="24"/>
              </w:rPr>
              <w:t>489</w:t>
            </w:r>
          </w:p>
        </w:tc>
      </w:tr>
    </w:tbl>
    <w:p w:rsidR="00B24D05" w:rsidRPr="004B55E1" w:rsidP="00B24D05" w14:paraId="0FA01D99" w14:textId="5182A1CD">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Source:  </w:t>
      </w:r>
      <w:r w:rsidRPr="004B55E1">
        <w:rPr>
          <w:rFonts w:ascii="Times New Roman" w:eastAsia="Times New Roman" w:hAnsi="Times New Roman" w:cs="Times New Roman"/>
          <w:bCs/>
          <w:color w:val="555555"/>
          <w:sz w:val="24"/>
          <w:szCs w:val="24"/>
        </w:rPr>
        <w:t>Bureau of Labor statistics hourly rate of $</w:t>
      </w:r>
      <w:r w:rsidR="002F47F9">
        <w:rPr>
          <w:rFonts w:ascii="Times New Roman" w:eastAsia="Times New Roman" w:hAnsi="Times New Roman" w:cs="Times New Roman"/>
          <w:bCs/>
          <w:color w:val="555555"/>
          <w:sz w:val="24"/>
          <w:szCs w:val="24"/>
        </w:rPr>
        <w:t>61.</w:t>
      </w:r>
      <w:r w:rsidR="00D07809">
        <w:rPr>
          <w:rFonts w:ascii="Times New Roman" w:eastAsia="Times New Roman" w:hAnsi="Times New Roman" w:cs="Times New Roman"/>
          <w:bCs/>
          <w:color w:val="555555"/>
          <w:sz w:val="24"/>
          <w:szCs w:val="24"/>
        </w:rPr>
        <w:t xml:space="preserve">10 </w:t>
      </w:r>
      <w:r w:rsidRPr="004B55E1" w:rsidR="00D07809">
        <w:rPr>
          <w:rFonts w:ascii="Times New Roman" w:eastAsia="Times New Roman" w:hAnsi="Times New Roman" w:cs="Times New Roman"/>
          <w:bCs/>
          <w:color w:val="555555"/>
          <w:sz w:val="24"/>
          <w:szCs w:val="24"/>
        </w:rPr>
        <w:t>for</w:t>
      </w:r>
      <w:r w:rsidRPr="004B55E1">
        <w:rPr>
          <w:rFonts w:ascii="Times New Roman" w:eastAsia="Times New Roman" w:hAnsi="Times New Roman" w:cs="Times New Roman"/>
          <w:bCs/>
          <w:color w:val="555555"/>
          <w:sz w:val="24"/>
          <w:szCs w:val="24"/>
        </w:rPr>
        <w:t xml:space="preserve"> an Aerospace Engineer in the Occupational Employment and Wages, May 202</w:t>
      </w:r>
      <w:r w:rsidR="002F47F9">
        <w:rPr>
          <w:rFonts w:ascii="Times New Roman" w:eastAsia="Times New Roman" w:hAnsi="Times New Roman" w:cs="Times New Roman"/>
          <w:bCs/>
          <w:color w:val="555555"/>
          <w:sz w:val="24"/>
          <w:szCs w:val="24"/>
        </w:rPr>
        <w:t>4</w:t>
      </w:r>
      <w:r w:rsidRPr="004B55E1">
        <w:rPr>
          <w:rFonts w:ascii="Times New Roman" w:eastAsia="Times New Roman" w:hAnsi="Times New Roman" w:cs="Times New Roman"/>
          <w:bCs/>
          <w:color w:val="555555"/>
          <w:sz w:val="24"/>
          <w:szCs w:val="24"/>
        </w:rPr>
        <w:t xml:space="preserve"> (https://www.bls.gov/oes/current/oes172011.htm) and an hourly benefit rate for a professional and related percentage of total compensation of 30.3% in table 4 of the Employer Costs for Employee compensation for private industry workers by occupation and industry (https://www.bls.gov/news.release/pdf/ecec.pdf)</w:t>
      </w:r>
      <w:r w:rsidRPr="004B55E1">
        <w:rPr>
          <w:rFonts w:ascii="Times New Roman" w:eastAsia="Times New Roman" w:hAnsi="Times New Roman" w:cs="Times New Roman"/>
          <w:sz w:val="24"/>
          <w:szCs w:val="24"/>
          <w:vertAlign w:val="superscript"/>
        </w:rPr>
        <w:t>a</w:t>
      </w:r>
      <w:r w:rsidRPr="004B55E1">
        <w:rPr>
          <w:rFonts w:ascii="Times New Roman" w:eastAsia="Times New Roman" w:hAnsi="Times New Roman" w:cs="Times New Roman"/>
          <w:sz w:val="24"/>
          <w:szCs w:val="24"/>
        </w:rPr>
        <w:t xml:space="preserve"> Calculated as $121,118 × 1.30</w:t>
      </w:r>
      <w:r w:rsidR="0029616A">
        <w:rPr>
          <w:rFonts w:ascii="Times New Roman" w:eastAsia="Times New Roman" w:hAnsi="Times New Roman" w:cs="Times New Roman"/>
          <w:sz w:val="24"/>
          <w:szCs w:val="24"/>
        </w:rPr>
        <w:t>0</w:t>
      </w:r>
      <w:r w:rsidRPr="004B55E1">
        <w:rPr>
          <w:rFonts w:ascii="Times New Roman" w:eastAsia="Times New Roman" w:hAnsi="Times New Roman" w:cs="Times New Roman"/>
          <w:sz w:val="24"/>
          <w:szCs w:val="24"/>
        </w:rPr>
        <w:t>3 = $157,</w:t>
      </w:r>
      <w:r w:rsidR="0029616A">
        <w:rPr>
          <w:rFonts w:ascii="Times New Roman" w:eastAsia="Times New Roman" w:hAnsi="Times New Roman" w:cs="Times New Roman"/>
          <w:sz w:val="24"/>
          <w:szCs w:val="24"/>
        </w:rPr>
        <w:t>489</w:t>
      </w:r>
      <w:r w:rsidRPr="004B55E1">
        <w:rPr>
          <w:rFonts w:ascii="Times New Roman" w:eastAsia="Times New Roman" w:hAnsi="Times New Roman" w:cs="Times New Roman"/>
          <w:sz w:val="24"/>
          <w:szCs w:val="24"/>
        </w:rPr>
        <w:t>.</w:t>
      </w:r>
    </w:p>
    <w:p w:rsidR="00B24D05" w:rsidRPr="004B55E1" w:rsidP="00B24D05" w14:paraId="0C9C4004" w14:textId="302E7DB8">
      <w:pPr>
        <w:spacing w:before="120" w:after="120" w:line="240" w:lineRule="auto"/>
        <w:ind w:left="48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Multiplying the industry collection of information hourly burden by the industry hourly labor cost yields $213,043 (calculated as 2,808 × $75.87 = $213,043) per initial </w:t>
      </w:r>
      <w:r w:rsidR="00F03CE9">
        <w:rPr>
          <w:rFonts w:ascii="Times New Roman" w:eastAsia="Times New Roman" w:hAnsi="Times New Roman" w:cs="Times New Roman"/>
          <w:sz w:val="24"/>
          <w:szCs w:val="24"/>
        </w:rPr>
        <w:t>pre-</w:t>
      </w:r>
      <w:r w:rsidRPr="004B55E1">
        <w:rPr>
          <w:rFonts w:ascii="Times New Roman" w:eastAsia="Times New Roman" w:hAnsi="Times New Roman" w:cs="Times New Roman"/>
          <w:sz w:val="24"/>
          <w:szCs w:val="24"/>
        </w:rPr>
        <w:t xml:space="preserve">application, $106,521 for a major license modification application (calculated as 50% of the initial application cost) and $21,304 for a license renewal application (calculated as 10% of the initial application cost).  Multiplying the application cost by the estimated annual number of applications yields the annual information collection cost burden to industry associated with the regulations — $0 for initial license applications (cost is $0 because no new licenses will be issued under </w:t>
      </w:r>
      <w:r w:rsidRPr="004B55E1">
        <w:rPr>
          <w:rFonts w:ascii="Times New Roman" w:eastAsia="Times New Roman" w:hAnsi="Times New Roman" w:cs="Times New Roman"/>
          <w:sz w:val="24"/>
          <w:szCs w:val="24"/>
        </w:rPr>
        <w:t>part</w:t>
      </w:r>
      <w:r w:rsidRPr="004B55E1">
        <w:rPr>
          <w:rFonts w:ascii="Times New Roman" w:eastAsia="Times New Roman" w:hAnsi="Times New Roman" w:cs="Times New Roman"/>
          <w:sz w:val="24"/>
          <w:szCs w:val="24"/>
        </w:rPr>
        <w:t xml:space="preserve"> 417, all new licenses will be issued under part 450), $639,126 for major license modifications, and $127,824 for renewal applications.  This is summarized in Table 2.</w:t>
      </w:r>
    </w:p>
    <w:p w:rsidR="00B24D05" w:rsidRPr="004B55E1" w:rsidP="00B24D05" w14:paraId="61508D3A" w14:textId="77777777">
      <w:pPr>
        <w:keepNext/>
        <w:keepLines/>
        <w:suppressAutoHyphens/>
        <w:spacing w:before="240" w:after="120" w:line="240" w:lineRule="auto"/>
        <w:ind w:left="475" w:hanging="475"/>
        <w:outlineLvl w:val="2"/>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TABLE 2.  Collection of Information Burden to Industry</w:t>
      </w:r>
    </w:p>
    <w:p w:rsidR="00B24D05" w:rsidRPr="004B55E1" w:rsidP="00B24D05" w14:paraId="6A46D79D" w14:textId="77777777">
      <w:pPr>
        <w:spacing w:after="0" w:line="240" w:lineRule="auto"/>
        <w:ind w:left="720" w:right="720"/>
        <w:rPr>
          <w:rFonts w:ascii="Times New Roman" w:eastAsia="Times New Roman" w:hAnsi="Times New Roman" w:cs="Times New Roman"/>
          <w:sz w:val="24"/>
          <w:szCs w:val="24"/>
          <w:vertAlign w:val="superscript"/>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4320"/>
        <w:gridCol w:w="1615"/>
        <w:gridCol w:w="1710"/>
        <w:gridCol w:w="1672"/>
        <w:gridCol w:w="1478"/>
      </w:tblGrid>
      <w:tr w14:paraId="75CA40F7" w14:textId="77777777" w:rsidTr="00614A47">
        <w:tblPrEx>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Ex>
        <w:trPr>
          <w:cantSplit/>
          <w:trHeight w:val="144"/>
          <w:tblHeader/>
          <w:jc w:val="center"/>
        </w:trPr>
        <w:tc>
          <w:tcPr>
            <w:tcW w:w="4320" w:type="dxa"/>
            <w:vMerge w:val="restart"/>
            <w:tcBorders>
              <w:top w:val="single" w:sz="4" w:space="0" w:color="auto"/>
              <w:left w:val="single" w:sz="4" w:space="0" w:color="auto"/>
              <w:right w:val="single" w:sz="4" w:space="0" w:color="auto"/>
            </w:tcBorders>
            <w:shd w:val="clear" w:color="auto" w:fill="E6E6E6"/>
            <w:vAlign w:val="center"/>
          </w:tcPr>
          <w:p w:rsidR="00B24D05" w:rsidRPr="004B55E1" w:rsidP="00B24D05" w14:paraId="3ACA914E"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Category</w:t>
            </w:r>
          </w:p>
        </w:tc>
        <w:tc>
          <w:tcPr>
            <w:tcW w:w="4997" w:type="dxa"/>
            <w:gridSpan w:val="3"/>
            <w:tcBorders>
              <w:top w:val="single" w:sz="4" w:space="0" w:color="auto"/>
              <w:left w:val="single" w:sz="4" w:space="0" w:color="auto"/>
            </w:tcBorders>
            <w:shd w:val="clear" w:color="auto" w:fill="E6E6E6"/>
          </w:tcPr>
          <w:p w:rsidR="00B24D05" w:rsidRPr="004B55E1" w:rsidP="00B24D05" w14:paraId="08352D10"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Hour Burden</w:t>
            </w:r>
          </w:p>
        </w:tc>
        <w:tc>
          <w:tcPr>
            <w:tcW w:w="1478" w:type="dxa"/>
            <w:tcBorders>
              <w:top w:val="single" w:sz="4" w:space="0" w:color="auto"/>
              <w:left w:val="single" w:sz="4" w:space="0" w:color="auto"/>
            </w:tcBorders>
            <w:shd w:val="clear" w:color="auto" w:fill="E6E6E6"/>
          </w:tcPr>
          <w:p w:rsidR="00B24D05" w:rsidRPr="004B55E1" w:rsidP="00B24D05" w14:paraId="7B0E7C7A" w14:textId="77777777">
            <w:pPr>
              <w:keepNext/>
              <w:suppressAutoHyphens/>
              <w:spacing w:after="0" w:line="240" w:lineRule="auto"/>
              <w:jc w:val="center"/>
              <w:outlineLvl w:val="5"/>
              <w:rPr>
                <w:rFonts w:ascii="Times New Roman" w:eastAsia="Times New Roman" w:hAnsi="Times New Roman" w:cs="Times New Roman"/>
                <w:b/>
                <w:bCs/>
                <w:sz w:val="24"/>
                <w:szCs w:val="24"/>
              </w:rPr>
            </w:pPr>
          </w:p>
        </w:tc>
      </w:tr>
      <w:tr w14:paraId="4FB8584B" w14:textId="77777777" w:rsidTr="00614A47">
        <w:tblPrEx>
          <w:tblW w:w="10795" w:type="dxa"/>
          <w:jc w:val="center"/>
          <w:tblLayout w:type="fixed"/>
          <w:tblCellMar>
            <w:left w:w="115" w:type="dxa"/>
            <w:right w:w="115" w:type="dxa"/>
          </w:tblCellMar>
          <w:tblLook w:val="00A0"/>
        </w:tblPrEx>
        <w:trPr>
          <w:cantSplit/>
          <w:trHeight w:val="144"/>
          <w:tblHeader/>
          <w:jc w:val="center"/>
        </w:trPr>
        <w:tc>
          <w:tcPr>
            <w:tcW w:w="4320" w:type="dxa"/>
            <w:vMerge/>
            <w:tcBorders>
              <w:left w:val="single" w:sz="4" w:space="0" w:color="auto"/>
              <w:right w:val="single" w:sz="4" w:space="0" w:color="auto"/>
            </w:tcBorders>
          </w:tcPr>
          <w:p w:rsidR="00B24D05" w:rsidRPr="004B55E1" w:rsidP="00B24D05" w14:paraId="6B2B2C41" w14:textId="77777777">
            <w:pPr>
              <w:spacing w:after="0" w:line="240" w:lineRule="auto"/>
              <w:rPr>
                <w:rFonts w:ascii="Times New Roman" w:eastAsia="Times New Roman" w:hAnsi="Times New Roman" w:cs="Times New Roman"/>
                <w:sz w:val="24"/>
                <w:szCs w:val="24"/>
              </w:rPr>
            </w:pPr>
          </w:p>
        </w:tc>
        <w:tc>
          <w:tcPr>
            <w:tcW w:w="1615" w:type="dxa"/>
            <w:tcBorders>
              <w:left w:val="single" w:sz="4" w:space="0" w:color="auto"/>
              <w:right w:val="single" w:sz="4" w:space="0" w:color="auto"/>
            </w:tcBorders>
            <w:shd w:val="clear" w:color="auto" w:fill="E6E6E6"/>
          </w:tcPr>
          <w:p w:rsidR="00B24D05" w:rsidRPr="004B55E1" w:rsidP="00B24D05" w14:paraId="724DA26F" w14:textId="33156D8B">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Initial</w:t>
            </w:r>
            <w:r w:rsidR="00F03CE9">
              <w:rPr>
                <w:rFonts w:ascii="Times New Roman" w:eastAsia="Times New Roman" w:hAnsi="Times New Roman" w:cs="Times New Roman"/>
                <w:b/>
                <w:bCs/>
                <w:sz w:val="24"/>
                <w:szCs w:val="24"/>
              </w:rPr>
              <w:t xml:space="preserve"> Pre-</w:t>
            </w:r>
            <w:r w:rsidRPr="004B55E1">
              <w:rPr>
                <w:rFonts w:ascii="Times New Roman" w:eastAsia="Times New Roman" w:hAnsi="Times New Roman" w:cs="Times New Roman"/>
                <w:b/>
                <w:bCs/>
                <w:sz w:val="24"/>
                <w:szCs w:val="24"/>
              </w:rPr>
              <w:br/>
              <w:t>Application</w:t>
            </w:r>
          </w:p>
        </w:tc>
        <w:tc>
          <w:tcPr>
            <w:tcW w:w="1710" w:type="dxa"/>
            <w:tcBorders>
              <w:left w:val="single" w:sz="4" w:space="0" w:color="auto"/>
            </w:tcBorders>
            <w:shd w:val="clear" w:color="auto" w:fill="E6E6E6"/>
          </w:tcPr>
          <w:p w:rsidR="00B24D05" w:rsidRPr="004B55E1" w:rsidP="00B24D05" w14:paraId="275D8106"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 xml:space="preserve">Modification </w:t>
            </w:r>
            <w:r w:rsidRPr="004B55E1">
              <w:rPr>
                <w:rFonts w:ascii="Times New Roman" w:eastAsia="Times New Roman" w:hAnsi="Times New Roman" w:cs="Times New Roman"/>
                <w:b/>
                <w:bCs/>
                <w:sz w:val="24"/>
                <w:szCs w:val="24"/>
              </w:rPr>
              <w:t>Application</w:t>
            </w:r>
            <w:r w:rsidRPr="004B55E1">
              <w:rPr>
                <w:rFonts w:ascii="Times New Roman" w:eastAsia="Times New Roman" w:hAnsi="Times New Roman" w:cs="Times New Roman"/>
                <w:b/>
                <w:bCs/>
                <w:sz w:val="24"/>
                <w:szCs w:val="24"/>
                <w:vertAlign w:val="superscript"/>
              </w:rPr>
              <w:t>a</w:t>
            </w:r>
          </w:p>
        </w:tc>
        <w:tc>
          <w:tcPr>
            <w:tcW w:w="1672" w:type="dxa"/>
            <w:shd w:val="clear" w:color="auto" w:fill="E6E6E6"/>
          </w:tcPr>
          <w:p w:rsidR="00B24D05" w:rsidRPr="004B55E1" w:rsidP="00B24D05" w14:paraId="492B9108"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Renewal</w:t>
            </w:r>
            <w:r w:rsidRPr="004B55E1">
              <w:rPr>
                <w:rFonts w:ascii="Times New Roman" w:eastAsia="Times New Roman" w:hAnsi="Times New Roman" w:cs="Times New Roman"/>
                <w:b/>
                <w:bCs/>
                <w:sz w:val="24"/>
                <w:szCs w:val="24"/>
              </w:rPr>
              <w:br/>
            </w:r>
            <w:r w:rsidRPr="004B55E1">
              <w:rPr>
                <w:rFonts w:ascii="Times New Roman" w:eastAsia="Times New Roman" w:hAnsi="Times New Roman" w:cs="Times New Roman"/>
                <w:b/>
                <w:bCs/>
                <w:sz w:val="24"/>
                <w:szCs w:val="24"/>
              </w:rPr>
              <w:t>Application</w:t>
            </w:r>
            <w:r w:rsidRPr="004B55E1">
              <w:rPr>
                <w:rFonts w:ascii="Times New Roman" w:eastAsia="Times New Roman" w:hAnsi="Times New Roman" w:cs="Times New Roman"/>
                <w:b/>
                <w:bCs/>
                <w:sz w:val="24"/>
                <w:szCs w:val="24"/>
                <w:vertAlign w:val="superscript"/>
              </w:rPr>
              <w:t>b</w:t>
            </w:r>
          </w:p>
        </w:tc>
        <w:tc>
          <w:tcPr>
            <w:tcW w:w="1478" w:type="dxa"/>
            <w:shd w:val="clear" w:color="auto" w:fill="E6E6E6"/>
          </w:tcPr>
          <w:p w:rsidR="00B24D05" w:rsidRPr="004B55E1" w:rsidP="00B24D05" w14:paraId="2767AF2F"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Total</w:t>
            </w:r>
          </w:p>
        </w:tc>
      </w:tr>
      <w:tr w14:paraId="39EE6D1F" w14:textId="77777777" w:rsidTr="00614A47">
        <w:tblPrEx>
          <w:tblW w:w="10795" w:type="dxa"/>
          <w:jc w:val="center"/>
          <w:tblLayout w:type="fixed"/>
          <w:tblCellMar>
            <w:left w:w="115" w:type="dxa"/>
            <w:right w:w="115" w:type="dxa"/>
          </w:tblCellMar>
          <w:tblLook w:val="00A0"/>
        </w:tblPrEx>
        <w:trPr>
          <w:cantSplit/>
          <w:jc w:val="center"/>
        </w:trPr>
        <w:tc>
          <w:tcPr>
            <w:tcW w:w="4320" w:type="dxa"/>
          </w:tcPr>
          <w:p w:rsidR="00B24D05" w:rsidRPr="004B55E1" w:rsidP="00B24D05" w14:paraId="6E201441"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Hours required to submit each application</w:t>
            </w:r>
          </w:p>
        </w:tc>
        <w:tc>
          <w:tcPr>
            <w:tcW w:w="1615" w:type="dxa"/>
          </w:tcPr>
          <w:p w:rsidR="00B24D05" w:rsidRPr="004B55E1" w:rsidP="00B24D05" w14:paraId="5FB5E7BD"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2,808</w:t>
            </w:r>
          </w:p>
        </w:tc>
        <w:tc>
          <w:tcPr>
            <w:tcW w:w="1710" w:type="dxa"/>
          </w:tcPr>
          <w:p w:rsidR="00B24D05" w:rsidRPr="004B55E1" w:rsidP="00B24D05" w14:paraId="60882DAD"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1,404</w:t>
            </w:r>
          </w:p>
        </w:tc>
        <w:tc>
          <w:tcPr>
            <w:tcW w:w="1672" w:type="dxa"/>
          </w:tcPr>
          <w:p w:rsidR="00B24D05" w:rsidRPr="004B55E1" w:rsidP="00B24D05" w14:paraId="634D34E4"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281</w:t>
            </w:r>
          </w:p>
        </w:tc>
        <w:tc>
          <w:tcPr>
            <w:tcW w:w="1478" w:type="dxa"/>
          </w:tcPr>
          <w:p w:rsidR="00B24D05" w:rsidRPr="004B55E1" w:rsidP="00B24D05" w14:paraId="23F2F003"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p>
        </w:tc>
      </w:tr>
      <w:tr w14:paraId="372A3AE6" w14:textId="77777777" w:rsidTr="00614A47">
        <w:tblPrEx>
          <w:tblW w:w="10795" w:type="dxa"/>
          <w:jc w:val="center"/>
          <w:tblLayout w:type="fixed"/>
          <w:tblCellMar>
            <w:left w:w="115" w:type="dxa"/>
            <w:right w:w="115" w:type="dxa"/>
          </w:tblCellMar>
          <w:tblLook w:val="00A0"/>
        </w:tblPrEx>
        <w:trPr>
          <w:cantSplit/>
          <w:jc w:val="center"/>
        </w:trPr>
        <w:tc>
          <w:tcPr>
            <w:tcW w:w="4320" w:type="dxa"/>
          </w:tcPr>
          <w:p w:rsidR="00B24D05" w:rsidRPr="004B55E1" w:rsidP="00B24D05" w14:paraId="0ADD036D"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Number of applications per </w:t>
            </w:r>
            <w:r w:rsidRPr="004B55E1">
              <w:rPr>
                <w:rFonts w:ascii="Times New Roman" w:eastAsia="Times New Roman" w:hAnsi="Times New Roman" w:cs="Times New Roman"/>
                <w:sz w:val="24"/>
                <w:szCs w:val="24"/>
              </w:rPr>
              <w:t>respondent</w:t>
            </w:r>
            <w:r w:rsidRPr="004B55E1">
              <w:rPr>
                <w:rFonts w:ascii="Times New Roman" w:eastAsia="Times New Roman" w:hAnsi="Times New Roman" w:cs="Times New Roman"/>
                <w:sz w:val="24"/>
                <w:szCs w:val="24"/>
                <w:vertAlign w:val="superscript"/>
              </w:rPr>
              <w:t>d</w:t>
            </w:r>
          </w:p>
        </w:tc>
        <w:tc>
          <w:tcPr>
            <w:tcW w:w="1615" w:type="dxa"/>
          </w:tcPr>
          <w:p w:rsidR="00B24D05" w:rsidRPr="004B55E1" w:rsidP="00B24D05" w14:paraId="5BD912CF"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0</w:t>
            </w:r>
          </w:p>
        </w:tc>
        <w:tc>
          <w:tcPr>
            <w:tcW w:w="1710" w:type="dxa"/>
          </w:tcPr>
          <w:p w:rsidR="00B24D05" w:rsidRPr="004B55E1" w:rsidP="00B24D05" w14:paraId="31B38177"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w:t>
            </w:r>
          </w:p>
        </w:tc>
        <w:tc>
          <w:tcPr>
            <w:tcW w:w="1672" w:type="dxa"/>
          </w:tcPr>
          <w:p w:rsidR="00B24D05" w:rsidRPr="004B55E1" w:rsidP="00B24D05" w14:paraId="4E7A8C25"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w:t>
            </w:r>
          </w:p>
        </w:tc>
        <w:tc>
          <w:tcPr>
            <w:tcW w:w="1478" w:type="dxa"/>
          </w:tcPr>
          <w:p w:rsidR="00B24D05" w:rsidRPr="004B55E1" w:rsidP="00B24D05" w14:paraId="4E5F4015"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p>
        </w:tc>
      </w:tr>
      <w:tr w14:paraId="27EAF18C" w14:textId="77777777" w:rsidTr="00614A47">
        <w:tblPrEx>
          <w:tblW w:w="10795" w:type="dxa"/>
          <w:jc w:val="center"/>
          <w:tblLayout w:type="fixed"/>
          <w:tblCellMar>
            <w:left w:w="115" w:type="dxa"/>
            <w:right w:w="115" w:type="dxa"/>
          </w:tblCellMar>
          <w:tblLook w:val="00A0"/>
        </w:tblPrEx>
        <w:trPr>
          <w:cantSplit/>
          <w:jc w:val="center"/>
        </w:trPr>
        <w:tc>
          <w:tcPr>
            <w:tcW w:w="4320" w:type="dxa"/>
          </w:tcPr>
          <w:p w:rsidR="00B24D05" w:rsidRPr="004B55E1" w:rsidP="00B24D05" w14:paraId="6A225827"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Annual number of </w:t>
            </w:r>
            <w:r w:rsidRPr="004B55E1">
              <w:rPr>
                <w:rFonts w:ascii="Times New Roman" w:eastAsia="Times New Roman" w:hAnsi="Times New Roman" w:cs="Times New Roman"/>
                <w:sz w:val="24"/>
                <w:szCs w:val="24"/>
              </w:rPr>
              <w:t>applications</w:t>
            </w:r>
            <w:r w:rsidRPr="004B55E1">
              <w:rPr>
                <w:rFonts w:ascii="Times New Roman" w:eastAsia="Times New Roman" w:hAnsi="Times New Roman" w:cs="Times New Roman"/>
                <w:sz w:val="24"/>
                <w:szCs w:val="24"/>
                <w:vertAlign w:val="superscript"/>
              </w:rPr>
              <w:t>c</w:t>
            </w:r>
          </w:p>
        </w:tc>
        <w:tc>
          <w:tcPr>
            <w:tcW w:w="1615" w:type="dxa"/>
          </w:tcPr>
          <w:p w:rsidR="00B24D05" w:rsidRPr="004B55E1" w:rsidP="00B24D05" w14:paraId="429CBEC3"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0</w:t>
            </w:r>
          </w:p>
        </w:tc>
        <w:tc>
          <w:tcPr>
            <w:tcW w:w="1710" w:type="dxa"/>
          </w:tcPr>
          <w:p w:rsidR="00B24D05" w:rsidRPr="004B55E1" w:rsidP="00B24D05" w14:paraId="124F1C94"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6</w:t>
            </w:r>
          </w:p>
        </w:tc>
        <w:tc>
          <w:tcPr>
            <w:tcW w:w="1672" w:type="dxa"/>
          </w:tcPr>
          <w:p w:rsidR="00B24D05" w:rsidRPr="004B55E1" w:rsidP="00B24D05" w14:paraId="00081629"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6</w:t>
            </w:r>
          </w:p>
        </w:tc>
        <w:tc>
          <w:tcPr>
            <w:tcW w:w="1478" w:type="dxa"/>
          </w:tcPr>
          <w:p w:rsidR="00B24D05" w:rsidRPr="004B55E1" w:rsidP="00B24D05" w14:paraId="5146E5CE"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12</w:t>
            </w:r>
          </w:p>
        </w:tc>
      </w:tr>
      <w:tr w14:paraId="26B7CB55" w14:textId="77777777" w:rsidTr="00614A47">
        <w:tblPrEx>
          <w:tblW w:w="10795" w:type="dxa"/>
          <w:jc w:val="center"/>
          <w:tblLayout w:type="fixed"/>
          <w:tblCellMar>
            <w:left w:w="115" w:type="dxa"/>
            <w:right w:w="115" w:type="dxa"/>
          </w:tblCellMar>
          <w:tblLook w:val="00A0"/>
        </w:tblPrEx>
        <w:trPr>
          <w:cantSplit/>
          <w:jc w:val="center"/>
        </w:trPr>
        <w:tc>
          <w:tcPr>
            <w:tcW w:w="4320" w:type="dxa"/>
            <w:tcBorders>
              <w:bottom w:val="single" w:sz="4" w:space="0" w:color="auto"/>
            </w:tcBorders>
          </w:tcPr>
          <w:p w:rsidR="00B24D05" w:rsidRPr="004B55E1" w:rsidP="00B24D05" w14:paraId="7B414393"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Total Hours</w:t>
            </w:r>
          </w:p>
        </w:tc>
        <w:tc>
          <w:tcPr>
            <w:tcW w:w="1615" w:type="dxa"/>
            <w:tcBorders>
              <w:bottom w:val="single" w:sz="4" w:space="0" w:color="auto"/>
            </w:tcBorders>
            <w:shd w:val="clear" w:color="auto" w:fill="auto"/>
            <w:vAlign w:val="center"/>
          </w:tcPr>
          <w:p w:rsidR="00B24D05" w:rsidRPr="004B55E1" w:rsidP="00B24D05" w14:paraId="11CA55B1"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color w:val="000000"/>
                <w:sz w:val="24"/>
                <w:szCs w:val="24"/>
              </w:rPr>
              <w:t>0</w:t>
            </w:r>
          </w:p>
        </w:tc>
        <w:tc>
          <w:tcPr>
            <w:tcW w:w="1710" w:type="dxa"/>
            <w:tcBorders>
              <w:bottom w:val="single" w:sz="4" w:space="0" w:color="auto"/>
            </w:tcBorders>
            <w:shd w:val="clear" w:color="auto" w:fill="auto"/>
            <w:vAlign w:val="center"/>
          </w:tcPr>
          <w:p w:rsidR="00B24D05" w:rsidRPr="004B55E1" w:rsidP="00B24D05" w14:paraId="1A46215F"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8,424</w:t>
            </w:r>
          </w:p>
        </w:tc>
        <w:tc>
          <w:tcPr>
            <w:tcW w:w="1672" w:type="dxa"/>
            <w:tcBorders>
              <w:bottom w:val="single" w:sz="4" w:space="0" w:color="auto"/>
            </w:tcBorders>
            <w:shd w:val="clear" w:color="auto" w:fill="auto"/>
            <w:vAlign w:val="center"/>
          </w:tcPr>
          <w:p w:rsidR="00B24D05" w:rsidRPr="004B55E1" w:rsidP="00B24D05" w14:paraId="0F7B0A96"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1,686</w:t>
            </w:r>
          </w:p>
        </w:tc>
        <w:tc>
          <w:tcPr>
            <w:tcW w:w="1478" w:type="dxa"/>
            <w:tcBorders>
              <w:bottom w:val="single" w:sz="4" w:space="0" w:color="auto"/>
            </w:tcBorders>
          </w:tcPr>
          <w:p w:rsidR="00B24D05" w:rsidRPr="004B55E1" w:rsidP="00B24D05" w14:paraId="7E51E47F"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10,110</w:t>
            </w:r>
          </w:p>
        </w:tc>
      </w:tr>
      <w:tr w14:paraId="073939D5" w14:textId="77777777" w:rsidTr="00614A47">
        <w:tblPrEx>
          <w:tblW w:w="10795" w:type="dxa"/>
          <w:jc w:val="center"/>
          <w:tblLayout w:type="fixed"/>
          <w:tblCellMar>
            <w:left w:w="115" w:type="dxa"/>
            <w:right w:w="115" w:type="dxa"/>
          </w:tblCellMar>
          <w:tblLook w:val="00A0"/>
        </w:tblPrEx>
        <w:trPr>
          <w:cantSplit/>
          <w:jc w:val="center"/>
        </w:trPr>
        <w:tc>
          <w:tcPr>
            <w:tcW w:w="4320" w:type="dxa"/>
            <w:tcBorders>
              <w:bottom w:val="single" w:sz="4" w:space="0" w:color="auto"/>
            </w:tcBorders>
          </w:tcPr>
          <w:p w:rsidR="00B24D05" w:rsidRPr="004B55E1" w:rsidP="00B24D05" w14:paraId="740044A2"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Cost per application</w:t>
            </w:r>
          </w:p>
        </w:tc>
        <w:tc>
          <w:tcPr>
            <w:tcW w:w="1615" w:type="dxa"/>
            <w:tcBorders>
              <w:bottom w:val="single" w:sz="4" w:space="0" w:color="auto"/>
            </w:tcBorders>
            <w:shd w:val="clear" w:color="auto" w:fill="auto"/>
            <w:vAlign w:val="center"/>
          </w:tcPr>
          <w:p w:rsidR="00B24D05" w:rsidRPr="004B55E1" w:rsidP="00B24D05" w14:paraId="4955E300"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$0 </w:t>
            </w:r>
          </w:p>
        </w:tc>
        <w:tc>
          <w:tcPr>
            <w:tcW w:w="1710" w:type="dxa"/>
            <w:tcBorders>
              <w:bottom w:val="single" w:sz="4" w:space="0" w:color="auto"/>
            </w:tcBorders>
            <w:shd w:val="clear" w:color="auto" w:fill="auto"/>
            <w:vAlign w:val="center"/>
          </w:tcPr>
          <w:p w:rsidR="00B24D05" w:rsidRPr="004B55E1" w:rsidP="00B24D05" w14:paraId="7EF2636B"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$106,521</w:t>
            </w:r>
          </w:p>
        </w:tc>
        <w:tc>
          <w:tcPr>
            <w:tcW w:w="1672" w:type="dxa"/>
            <w:tcBorders>
              <w:bottom w:val="single" w:sz="4" w:space="0" w:color="auto"/>
            </w:tcBorders>
            <w:shd w:val="clear" w:color="auto" w:fill="auto"/>
            <w:vAlign w:val="center"/>
          </w:tcPr>
          <w:p w:rsidR="00B24D05" w:rsidRPr="004B55E1" w:rsidP="00B24D05" w14:paraId="33DCF9B5"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$21,304 </w:t>
            </w:r>
          </w:p>
        </w:tc>
        <w:tc>
          <w:tcPr>
            <w:tcW w:w="1478" w:type="dxa"/>
            <w:tcBorders>
              <w:bottom w:val="single" w:sz="4" w:space="0" w:color="auto"/>
            </w:tcBorders>
          </w:tcPr>
          <w:p w:rsidR="00B24D05" w:rsidRPr="004B55E1" w:rsidP="00B24D05" w14:paraId="3F6455B8"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p>
        </w:tc>
      </w:tr>
      <w:tr w14:paraId="56F9E567" w14:textId="77777777" w:rsidTr="00614A47">
        <w:tblPrEx>
          <w:tblW w:w="10795" w:type="dxa"/>
          <w:jc w:val="center"/>
          <w:tblLayout w:type="fixed"/>
          <w:tblCellMar>
            <w:left w:w="115" w:type="dxa"/>
            <w:right w:w="115" w:type="dxa"/>
          </w:tblCellMar>
          <w:tblLook w:val="00A0"/>
        </w:tblPrEx>
        <w:trPr>
          <w:cantSplit/>
          <w:jc w:val="center"/>
        </w:trPr>
        <w:tc>
          <w:tcPr>
            <w:tcW w:w="4320" w:type="dxa"/>
          </w:tcPr>
          <w:p w:rsidR="00B24D05" w:rsidRPr="004B55E1" w:rsidP="00B24D05" w14:paraId="396C4685"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Annual </w:t>
            </w:r>
            <w:r w:rsidRPr="004B55E1">
              <w:rPr>
                <w:rFonts w:ascii="Times New Roman" w:eastAsia="Times New Roman" w:hAnsi="Times New Roman" w:cs="Times New Roman"/>
                <w:sz w:val="24"/>
                <w:szCs w:val="24"/>
              </w:rPr>
              <w:t>cost</w:t>
            </w:r>
            <w:r w:rsidRPr="004B55E1">
              <w:rPr>
                <w:rFonts w:ascii="Times New Roman" w:eastAsia="Times New Roman" w:hAnsi="Times New Roman" w:cs="Times New Roman"/>
                <w:sz w:val="24"/>
                <w:szCs w:val="24"/>
                <w:vertAlign w:val="superscript"/>
              </w:rPr>
              <w:t>d</w:t>
            </w:r>
          </w:p>
        </w:tc>
        <w:tc>
          <w:tcPr>
            <w:tcW w:w="1615" w:type="dxa"/>
            <w:shd w:val="clear" w:color="auto" w:fill="auto"/>
            <w:vAlign w:val="center"/>
          </w:tcPr>
          <w:p w:rsidR="00B24D05" w:rsidRPr="004B55E1" w:rsidP="00B24D05" w14:paraId="09DA2141"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$0 </w:t>
            </w:r>
          </w:p>
        </w:tc>
        <w:tc>
          <w:tcPr>
            <w:tcW w:w="1710" w:type="dxa"/>
            <w:shd w:val="clear" w:color="auto" w:fill="auto"/>
            <w:vAlign w:val="center"/>
          </w:tcPr>
          <w:p w:rsidR="00B24D05" w:rsidRPr="004B55E1" w:rsidP="00B24D05" w14:paraId="103A724A"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$639,126 </w:t>
            </w:r>
          </w:p>
        </w:tc>
        <w:tc>
          <w:tcPr>
            <w:tcW w:w="1672" w:type="dxa"/>
            <w:shd w:val="clear" w:color="auto" w:fill="auto"/>
            <w:vAlign w:val="center"/>
          </w:tcPr>
          <w:p w:rsidR="00B24D05" w:rsidRPr="004B55E1" w:rsidP="00B24D05" w14:paraId="2D3F32C9"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$127,824</w:t>
            </w:r>
          </w:p>
        </w:tc>
        <w:tc>
          <w:tcPr>
            <w:tcW w:w="1478" w:type="dxa"/>
          </w:tcPr>
          <w:p w:rsidR="00B24D05" w:rsidRPr="004B55E1" w:rsidP="00B24D05" w14:paraId="6C8C21CF"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p>
        </w:tc>
      </w:tr>
    </w:tbl>
    <w:p w:rsidR="00B24D05" w:rsidRPr="004B55E1" w:rsidP="00B24D05" w14:paraId="4BE28D23" w14:textId="77777777">
      <w:pPr>
        <w:spacing w:after="0" w:line="240" w:lineRule="auto"/>
        <w:ind w:left="720" w:right="720"/>
        <w:rPr>
          <w:rFonts w:ascii="Times New Roman" w:eastAsia="Times New Roman" w:hAnsi="Times New Roman" w:cs="Times New Roman"/>
          <w:sz w:val="24"/>
          <w:szCs w:val="24"/>
          <w:vertAlign w:val="superscript"/>
        </w:rPr>
      </w:pPr>
    </w:p>
    <w:p w:rsidR="00B24D05" w:rsidRPr="004B55E1" w:rsidP="00B24D05" w14:paraId="4D4D670F" w14:textId="77777777">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vertAlign w:val="superscript"/>
        </w:rPr>
        <w:t>a</w:t>
      </w:r>
      <w:r w:rsidRPr="004B55E1">
        <w:rPr>
          <w:rFonts w:ascii="Times New Roman" w:eastAsia="Times New Roman" w:hAnsi="Times New Roman" w:cs="Times New Roman"/>
          <w:sz w:val="24"/>
          <w:szCs w:val="24"/>
        </w:rPr>
        <w:t xml:space="preserve"> Includes major modifications to existing licenses.</w:t>
      </w:r>
      <w:r w:rsidRPr="004B55E1">
        <w:rPr>
          <w:rFonts w:ascii="Times New Roman" w:eastAsia="Times New Roman" w:hAnsi="Times New Roman" w:cs="Times New Roman"/>
          <w:sz w:val="24"/>
          <w:szCs w:val="24"/>
        </w:rPr>
        <w:tab/>
      </w:r>
    </w:p>
    <w:p w:rsidR="00B24D05" w:rsidRPr="004B55E1" w:rsidP="00B24D05" w14:paraId="2D778125" w14:textId="77777777">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vertAlign w:val="superscript"/>
        </w:rPr>
        <w:t>b</w:t>
      </w:r>
      <w:r w:rsidRPr="004B55E1">
        <w:rPr>
          <w:rFonts w:ascii="Times New Roman" w:eastAsia="Times New Roman" w:hAnsi="Times New Roman" w:cs="Times New Roman"/>
          <w:sz w:val="24"/>
          <w:szCs w:val="24"/>
        </w:rPr>
        <w:t xml:space="preserve"> Renewal of a license application is voluntary; a license is approved for five years.</w:t>
      </w:r>
    </w:p>
    <w:p w:rsidR="00B24D05" w:rsidRPr="004B55E1" w:rsidP="00B24D05" w14:paraId="5CA221FC" w14:textId="77777777">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vertAlign w:val="superscript"/>
        </w:rPr>
        <w:t>c</w:t>
      </w:r>
      <w:r w:rsidRPr="004B55E1">
        <w:rPr>
          <w:rFonts w:ascii="Times New Roman" w:eastAsia="Times New Roman" w:hAnsi="Times New Roman" w:cs="Times New Roman"/>
          <w:sz w:val="24"/>
          <w:szCs w:val="24"/>
        </w:rPr>
        <w:t xml:space="preserve"> Federal Aviation Administration, Office of Commercial Space Transportation (FAA/AST), April 2006.</w:t>
      </w:r>
    </w:p>
    <w:p w:rsidR="00B24D05" w:rsidRPr="004B55E1" w:rsidP="00B24D05" w14:paraId="52FEAD91" w14:textId="4874640D">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vertAlign w:val="superscript"/>
        </w:rPr>
        <w:t>d</w:t>
      </w:r>
      <w:r w:rsidRPr="004B55E1">
        <w:rPr>
          <w:rFonts w:ascii="Times New Roman" w:eastAsia="Times New Roman" w:hAnsi="Times New Roman" w:cs="Times New Roman"/>
          <w:sz w:val="24"/>
          <w:szCs w:val="24"/>
        </w:rPr>
        <w:t xml:space="preserve"> Industry total cost per annum calculated as $217,451 ×0 = $0 for initial applications, major modification applications are calculated as 50% of the initial application cost, or $108,725 x 6 =$</w:t>
      </w:r>
      <w:r w:rsidRPr="004B55E1" w:rsidR="00A5106D">
        <w:rPr>
          <w:rFonts w:ascii="Times New Roman" w:eastAsia="Times New Roman" w:hAnsi="Times New Roman" w:cs="Times New Roman"/>
          <w:sz w:val="24"/>
          <w:szCs w:val="24"/>
        </w:rPr>
        <w:t>652,350,</w:t>
      </w:r>
      <w:r w:rsidRPr="004B55E1">
        <w:rPr>
          <w:rFonts w:ascii="Times New Roman" w:eastAsia="Times New Roman" w:hAnsi="Times New Roman" w:cs="Times New Roman"/>
          <w:sz w:val="24"/>
          <w:szCs w:val="24"/>
        </w:rPr>
        <w:t xml:space="preserve"> and renewal applications are calculated as 10% of the initial application cost, or $21,745 x 6 = $130,470 for renewal applications.</w:t>
      </w:r>
    </w:p>
    <w:p w:rsidR="00B24D05" w:rsidRPr="004B55E1" w:rsidP="00B24D05" w14:paraId="0F557888" w14:textId="77777777">
      <w:pPr>
        <w:spacing w:after="0" w:line="240" w:lineRule="auto"/>
        <w:ind w:left="720" w:right="720"/>
        <w:rPr>
          <w:rFonts w:ascii="Times New Roman" w:eastAsia="Times New Roman" w:hAnsi="Times New Roman" w:cs="Times New Roman"/>
          <w:sz w:val="24"/>
          <w:szCs w:val="24"/>
        </w:rPr>
      </w:pPr>
    </w:p>
    <w:p w:rsidR="00B24D05" w:rsidRPr="004B55E1" w:rsidP="00B24D05" w14:paraId="5CFDBF9D" w14:textId="77777777">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Thus, the total annual burden to industry is (2,808 hours x 0) + (1,404 x 6) + (281 hours x 6) = </w:t>
      </w:r>
      <w:r w:rsidRPr="004B55E1">
        <w:rPr>
          <w:rFonts w:ascii="Times New Roman" w:eastAsia="Times New Roman" w:hAnsi="Times New Roman" w:cs="Times New Roman"/>
          <w:b/>
          <w:sz w:val="24"/>
          <w:szCs w:val="24"/>
        </w:rPr>
        <w:t>10,110 hours</w:t>
      </w:r>
      <w:r w:rsidRPr="004B55E1">
        <w:rPr>
          <w:rFonts w:ascii="Times New Roman" w:eastAsia="Times New Roman" w:hAnsi="Times New Roman" w:cs="Times New Roman"/>
          <w:sz w:val="24"/>
          <w:szCs w:val="24"/>
        </w:rPr>
        <w:t>.</w:t>
      </w:r>
    </w:p>
    <w:p w:rsidR="001F0724" w:rsidRPr="004B55E1" w:rsidP="00B24D05" w14:paraId="1E8A3193" w14:textId="615B9EA1">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color w:val="555555"/>
          <w:sz w:val="24"/>
          <w:szCs w:val="24"/>
        </w:rPr>
        <w:br/>
      </w:r>
      <w:r w:rsidRPr="004B55E1" w:rsidR="00B24D05">
        <w:rPr>
          <w:rFonts w:ascii="Times New Roman" w:eastAsia="Times New Roman" w:hAnsi="Times New Roman" w:cs="Times New Roman"/>
          <w:color w:val="555555"/>
          <w:sz w:val="24"/>
          <w:szCs w:val="24"/>
        </w:rPr>
        <w:t>.</w:t>
      </w:r>
    </w:p>
    <w:p w:rsidR="00C64707" w:rsidRPr="004B55E1" w:rsidP="00C64707" w14:paraId="369C8675"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13. Provide an estimate for the total annual cost burden to respondents or record keepers resulting from the collection of information.</w:t>
      </w:r>
    </w:p>
    <w:p w:rsidR="00B24D05" w:rsidRPr="004B55E1" w:rsidP="00B24D05" w14:paraId="2AD6B54A" w14:textId="77777777">
      <w:pPr>
        <w:pStyle w:val="BodyText"/>
        <w:rPr>
          <w:rFonts w:ascii="Times New Roman" w:eastAsia="Times New Roman" w:hAnsi="Times New Roman" w:cs="Times New Roman"/>
          <w:sz w:val="24"/>
          <w:szCs w:val="24"/>
        </w:rPr>
      </w:pPr>
      <w:r w:rsidRPr="004B55E1">
        <w:rPr>
          <w:rFonts w:ascii="Times New Roman" w:eastAsia="Times New Roman" w:hAnsi="Times New Roman" w:cs="Times New Roman"/>
          <w:color w:val="555555"/>
          <w:sz w:val="24"/>
          <w:szCs w:val="24"/>
        </w:rPr>
        <w:br/>
      </w:r>
      <w:r w:rsidRPr="004B55E1">
        <w:rPr>
          <w:rFonts w:ascii="Times New Roman" w:eastAsia="Times New Roman" w:hAnsi="Times New Roman" w:cs="Times New Roman"/>
          <w:sz w:val="24"/>
          <w:szCs w:val="24"/>
        </w:rPr>
        <w:t>There are neither capital and start-up costs nor operation and maintenance costs resulting from the collection of information in addition to those shown above in item 12.</w:t>
      </w:r>
    </w:p>
    <w:p w:rsidR="00C64707" w:rsidRPr="004B55E1" w:rsidP="00C64707" w14:paraId="2DDEF6DE" w14:textId="09F5B266">
      <w:pPr>
        <w:shd w:val="clear" w:color="auto" w:fill="FFFFFF"/>
        <w:spacing w:after="0" w:line="240" w:lineRule="auto"/>
        <w:rPr>
          <w:rFonts w:ascii="Times New Roman" w:eastAsia="Times New Roman" w:hAnsi="Times New Roman" w:cs="Times New Roman"/>
          <w:color w:val="555555"/>
          <w:sz w:val="24"/>
          <w:szCs w:val="24"/>
        </w:rPr>
      </w:pPr>
    </w:p>
    <w:p w:rsidR="00C64707" w:rsidRPr="004B55E1" w:rsidP="00C64707" w14:paraId="0A0BEC7A" w14:textId="6E58643B">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color w:val="555555"/>
          <w:sz w:val="24"/>
          <w:szCs w:val="24"/>
        </w:rPr>
        <w:t>.</w:t>
      </w:r>
    </w:p>
    <w:p w:rsidR="00C64707" w:rsidRPr="004B55E1" w:rsidP="00C64707" w14:paraId="067BC297"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24D05" w:rsidRPr="004B55E1" w:rsidP="00B24D05" w14:paraId="4C549E1E" w14:textId="77777777">
      <w:pPr>
        <w:pStyle w:val="BodyText"/>
        <w:rPr>
          <w:rFonts w:ascii="Times New Roman" w:eastAsia="Times New Roman" w:hAnsi="Times New Roman" w:cs="Times New Roman"/>
          <w:sz w:val="24"/>
          <w:szCs w:val="24"/>
        </w:rPr>
      </w:pPr>
      <w:r w:rsidRPr="004B55E1">
        <w:rPr>
          <w:rFonts w:ascii="Times New Roman" w:eastAsia="Times New Roman" w:hAnsi="Times New Roman" w:cs="Times New Roman"/>
          <w:color w:val="555555"/>
          <w:sz w:val="24"/>
          <w:szCs w:val="24"/>
        </w:rPr>
        <w:br/>
      </w:r>
      <w:r w:rsidRPr="004B55E1">
        <w:rPr>
          <w:rFonts w:ascii="Times New Roman" w:eastAsia="Times New Roman" w:hAnsi="Times New Roman" w:cs="Times New Roman"/>
          <w:sz w:val="24"/>
          <w:szCs w:val="24"/>
        </w:rPr>
        <w:t xml:space="preserve">The burden to the federal government associated with information collected to comply with 14 CFR parts 413, 415, and 417 for either a Launch Operator or Launch Specific License involves several principal activities.  These activities include pre-application consultation with industry and review of preliminary information; review of the formal application and its disposition (that is, approval or disapproval); resolution of questions associated with the application; and amending an approved license.  The application review process is generally the same for either a Launch Operator or Launch Specific License, as AST determines which license type is issued </w:t>
      </w:r>
      <w:r w:rsidRPr="004B55E1">
        <w:rPr>
          <w:rFonts w:ascii="Times New Roman" w:eastAsia="Times New Roman" w:hAnsi="Times New Roman" w:cs="Times New Roman"/>
          <w:sz w:val="24"/>
          <w:szCs w:val="24"/>
        </w:rPr>
        <w:t>based on the information submitted with the application.  The FAA estimates that it expends as many as 3,900 hours to review and process the information collected associated with an application submittal in compliance with 14 CFR parts 413, 415, and 417.</w:t>
      </w:r>
      <w:r>
        <w:rPr>
          <w:rFonts w:ascii="Times New Roman" w:eastAsia="Times New Roman" w:hAnsi="Times New Roman" w:cs="Times New Roman"/>
          <w:sz w:val="24"/>
          <w:szCs w:val="24"/>
          <w:vertAlign w:val="superscript"/>
        </w:rPr>
        <w:footnoteReference w:id="5"/>
      </w:r>
      <w:r w:rsidRPr="004B55E1">
        <w:rPr>
          <w:rFonts w:ascii="Times New Roman" w:eastAsia="Times New Roman" w:hAnsi="Times New Roman" w:cs="Times New Roman"/>
          <w:sz w:val="24"/>
          <w:szCs w:val="24"/>
        </w:rPr>
        <w:t xml:space="preserve">  Further, the FAA estimates that the hour burden it incurs to review information necessary to support a license renewal application can be as many as 390 hours.</w:t>
      </w:r>
      <w:r>
        <w:rPr>
          <w:rFonts w:ascii="Times New Roman" w:eastAsia="Times New Roman" w:hAnsi="Times New Roman" w:cs="Times New Roman"/>
          <w:sz w:val="24"/>
          <w:szCs w:val="24"/>
          <w:vertAlign w:val="superscript"/>
        </w:rPr>
        <w:footnoteReference w:id="6"/>
      </w:r>
      <w:r w:rsidRPr="004B55E1">
        <w:rPr>
          <w:rFonts w:ascii="Times New Roman" w:eastAsia="Times New Roman" w:hAnsi="Times New Roman" w:cs="Times New Roman"/>
          <w:sz w:val="24"/>
          <w:szCs w:val="24"/>
        </w:rPr>
        <w:t xml:space="preserve">  </w:t>
      </w:r>
    </w:p>
    <w:p w:rsidR="00B24D05" w:rsidRPr="004B55E1" w:rsidP="00B24D05" w14:paraId="6542D0DE" w14:textId="77777777">
      <w:pPr>
        <w:spacing w:before="120" w:after="120" w:line="240" w:lineRule="auto"/>
        <w:ind w:left="48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Base salary in 2021 for FAA personnel based on the GS 13 Step 5 wage for the Washington DC area is estimated to be </w:t>
      </w:r>
      <w:r w:rsidRPr="004B55E1">
        <w:rPr>
          <w:rFonts w:ascii="Times New Roman" w:eastAsia="Times New Roman" w:hAnsi="Times New Roman" w:cs="Times New Roman"/>
          <w:color w:val="555555"/>
          <w:sz w:val="24"/>
          <w:szCs w:val="24"/>
        </w:rPr>
        <w:t>$117,516</w:t>
      </w:r>
      <w:r w:rsidRPr="004B55E1">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
      </w:r>
      <w:r w:rsidRPr="004B55E1">
        <w:rPr>
          <w:rFonts w:ascii="Times New Roman" w:eastAsia="Times New Roman" w:hAnsi="Times New Roman" w:cs="Times New Roman"/>
          <w:sz w:val="24"/>
          <w:szCs w:val="24"/>
        </w:rPr>
        <w:t xml:space="preserve">  As summarized in Table 3, the base salary loaded with federal government fringe benefits is $162,290, resulting in an FAA hourly labor cost of $78.02 (calculated as $162,290÷ 2,080 = $78.02). Multiplying the FAA hourly burden to review collected information by the federal government hourly labor cost yields $304,278 (calculated as 3,900 × $78.02= $304,278) to review an initial application, $152,139 to review a license modification (calculated as 50% of $304,278), and $30,428 to review a license renewal application (calculated as 10% of $304,278).  Multiplying the application cost by the estimated annual number of applications yields the annual collected information review and processing cost burden to the FAA associated with the collection — $0 for initial licenses (cost is $0 because no new licenses will be issued under </w:t>
      </w:r>
      <w:r w:rsidRPr="004B55E1">
        <w:rPr>
          <w:rFonts w:ascii="Times New Roman" w:eastAsia="Times New Roman" w:hAnsi="Times New Roman" w:cs="Times New Roman"/>
          <w:sz w:val="24"/>
          <w:szCs w:val="24"/>
        </w:rPr>
        <w:t>part</w:t>
      </w:r>
      <w:r w:rsidRPr="004B55E1">
        <w:rPr>
          <w:rFonts w:ascii="Times New Roman" w:eastAsia="Times New Roman" w:hAnsi="Times New Roman" w:cs="Times New Roman"/>
          <w:sz w:val="24"/>
          <w:szCs w:val="24"/>
        </w:rPr>
        <w:t xml:space="preserve"> 417, all new licenses will be issued under part 450), $912,834 for modified licenses, and $182,568 for renewals.  This is summarized in Table 4.</w:t>
      </w:r>
    </w:p>
    <w:p w:rsidR="00B24D05" w:rsidRPr="004B55E1" w:rsidP="00B24D05" w14:paraId="4F53CB09" w14:textId="77777777">
      <w:pPr>
        <w:keepNext/>
        <w:keepLines/>
        <w:suppressAutoHyphens/>
        <w:spacing w:before="240" w:after="120" w:line="240" w:lineRule="auto"/>
        <w:ind w:left="475" w:hanging="475"/>
        <w:outlineLvl w:val="2"/>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TABLE 3. Public Sector Fringe Benefit Factors and Loaded Salary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5040"/>
        <w:gridCol w:w="2880"/>
      </w:tblGrid>
      <w:tr w14:paraId="58BBA94B" w14:textId="77777777" w:rsidTr="00614A47">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cantSplit/>
          <w:trHeight w:val="144"/>
          <w:jc w:val="center"/>
        </w:trPr>
        <w:tc>
          <w:tcPr>
            <w:tcW w:w="5040" w:type="dxa"/>
            <w:shd w:val="pct10" w:color="auto" w:fill="auto"/>
          </w:tcPr>
          <w:p w:rsidR="00B24D05" w:rsidRPr="004B55E1" w:rsidP="00B24D05" w14:paraId="5CA0F1CF"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Category</w:t>
            </w:r>
          </w:p>
        </w:tc>
        <w:tc>
          <w:tcPr>
            <w:tcW w:w="2880" w:type="dxa"/>
            <w:shd w:val="pct10" w:color="auto" w:fill="auto"/>
          </w:tcPr>
          <w:p w:rsidR="00B24D05" w:rsidRPr="004B55E1" w:rsidP="00B24D05" w14:paraId="25696E5D"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Government Factor</w:t>
            </w:r>
          </w:p>
        </w:tc>
      </w:tr>
      <w:tr w14:paraId="59979D4D" w14:textId="77777777" w:rsidTr="00614A47">
        <w:tblPrEx>
          <w:tblW w:w="0" w:type="auto"/>
          <w:jc w:val="center"/>
          <w:tblLook w:val="0000"/>
        </w:tblPrEx>
        <w:trPr>
          <w:cantSplit/>
          <w:jc w:val="center"/>
        </w:trPr>
        <w:tc>
          <w:tcPr>
            <w:tcW w:w="5040" w:type="dxa"/>
          </w:tcPr>
          <w:p w:rsidR="00B24D05" w:rsidRPr="004B55E1" w:rsidP="00B24D05" w14:paraId="325A9556"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Total Fringe Benefit</w:t>
            </w:r>
          </w:p>
        </w:tc>
        <w:tc>
          <w:tcPr>
            <w:tcW w:w="2880" w:type="dxa"/>
          </w:tcPr>
          <w:p w:rsidR="00B24D05" w:rsidRPr="004B55E1" w:rsidP="00B24D05" w14:paraId="581FDE14"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fldChar w:fldCharType="begin"/>
            </w:r>
            <w:r w:rsidRPr="004B55E1">
              <w:rPr>
                <w:rFonts w:ascii="Times New Roman" w:eastAsia="Times New Roman" w:hAnsi="Times New Roman" w:cs="Times New Roman"/>
                <w:sz w:val="24"/>
                <w:szCs w:val="24"/>
              </w:rPr>
              <w:instrText xml:space="preserve"> =SUM(ABOVE)*100 \# "0.00%" </w:instrText>
            </w:r>
            <w:r w:rsidRPr="004B55E1">
              <w:rPr>
                <w:rFonts w:ascii="Times New Roman" w:eastAsia="Times New Roman" w:hAnsi="Times New Roman" w:cs="Times New Roman"/>
                <w:sz w:val="24"/>
                <w:szCs w:val="24"/>
              </w:rPr>
              <w:fldChar w:fldCharType="separate"/>
            </w:r>
            <w:r w:rsidRPr="004B55E1">
              <w:rPr>
                <w:rFonts w:ascii="Times New Roman" w:eastAsia="Times New Roman" w:hAnsi="Times New Roman" w:cs="Times New Roman"/>
                <w:noProof/>
                <w:sz w:val="24"/>
                <w:szCs w:val="24"/>
              </w:rPr>
              <w:t>38.1%</w:t>
            </w:r>
            <w:r w:rsidRPr="004B55E1">
              <w:rPr>
                <w:rFonts w:ascii="Times New Roman" w:eastAsia="Times New Roman" w:hAnsi="Times New Roman" w:cs="Times New Roman"/>
                <w:sz w:val="24"/>
                <w:szCs w:val="24"/>
              </w:rPr>
              <w:fldChar w:fldCharType="end"/>
            </w:r>
          </w:p>
        </w:tc>
      </w:tr>
      <w:tr w14:paraId="29D310D8" w14:textId="77777777" w:rsidTr="00614A47">
        <w:tblPrEx>
          <w:tblW w:w="0" w:type="auto"/>
          <w:jc w:val="center"/>
          <w:tblLook w:val="0000"/>
        </w:tblPrEx>
        <w:trPr>
          <w:cantSplit/>
          <w:jc w:val="center"/>
        </w:trPr>
        <w:tc>
          <w:tcPr>
            <w:tcW w:w="5040" w:type="dxa"/>
          </w:tcPr>
          <w:p w:rsidR="00B24D05" w:rsidRPr="004B55E1" w:rsidP="00B24D05" w14:paraId="287A6C5D"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Federal Government Loaded </w:t>
            </w:r>
            <w:r w:rsidRPr="004B55E1">
              <w:rPr>
                <w:rFonts w:ascii="Times New Roman" w:eastAsia="Times New Roman" w:hAnsi="Times New Roman" w:cs="Times New Roman"/>
                <w:sz w:val="24"/>
                <w:szCs w:val="24"/>
              </w:rPr>
              <w:t>Salary</w:t>
            </w:r>
            <w:r w:rsidRPr="004B55E1">
              <w:rPr>
                <w:rFonts w:ascii="Times New Roman" w:eastAsia="Times New Roman" w:hAnsi="Times New Roman" w:cs="Times New Roman"/>
                <w:sz w:val="24"/>
                <w:szCs w:val="24"/>
                <w:vertAlign w:val="superscript"/>
              </w:rPr>
              <w:t>a</w:t>
            </w:r>
          </w:p>
        </w:tc>
        <w:tc>
          <w:tcPr>
            <w:tcW w:w="2880" w:type="dxa"/>
          </w:tcPr>
          <w:p w:rsidR="00B24D05" w:rsidRPr="004B55E1" w:rsidP="00B24D05" w14:paraId="7B9BFA02"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$162,290</w:t>
            </w:r>
          </w:p>
        </w:tc>
      </w:tr>
    </w:tbl>
    <w:p w:rsidR="00B24D05" w:rsidRPr="004B55E1" w:rsidP="00B24D05" w14:paraId="2139FA86" w14:textId="6CDC2157">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Source:   Based on Bureau of Labor Statistics Employer Costs for Employee Compensation by ownership Table 1 June 2021 (https://www.bls.gov/news.release/pdf/ecec.pdf) for government employees.</w:t>
      </w:r>
    </w:p>
    <w:p w:rsidR="00B24D05" w:rsidRPr="004B55E1" w:rsidP="00B24D05" w14:paraId="484CA82B" w14:textId="77777777">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vertAlign w:val="superscript"/>
        </w:rPr>
        <w:t>a</w:t>
      </w:r>
      <w:r w:rsidRPr="004B55E1">
        <w:rPr>
          <w:rFonts w:ascii="Times New Roman" w:eastAsia="Times New Roman" w:hAnsi="Times New Roman" w:cs="Times New Roman"/>
          <w:sz w:val="24"/>
          <w:szCs w:val="24"/>
        </w:rPr>
        <w:t xml:space="preserve"> Calculated as $</w:t>
      </w:r>
      <w:r w:rsidRPr="004B55E1">
        <w:rPr>
          <w:rFonts w:ascii="Times New Roman" w:eastAsia="Times New Roman" w:hAnsi="Times New Roman" w:cs="Times New Roman"/>
          <w:color w:val="555555"/>
          <w:sz w:val="24"/>
          <w:szCs w:val="24"/>
        </w:rPr>
        <w:t xml:space="preserve">117,516 </w:t>
      </w:r>
      <w:r w:rsidRPr="004B55E1">
        <w:rPr>
          <w:rFonts w:ascii="Times New Roman" w:eastAsia="Times New Roman" w:hAnsi="Times New Roman" w:cs="Times New Roman"/>
          <w:sz w:val="24"/>
          <w:szCs w:val="24"/>
        </w:rPr>
        <w:t>× 1.381 = $162,290.</w:t>
      </w:r>
    </w:p>
    <w:p w:rsidR="00B24D05" w:rsidRPr="004B55E1" w:rsidP="00B24D05" w14:paraId="3FDC4A05" w14:textId="77777777">
      <w:pPr>
        <w:keepNext/>
        <w:keepLines/>
        <w:suppressAutoHyphens/>
        <w:spacing w:before="240" w:after="120" w:line="240" w:lineRule="auto"/>
        <w:ind w:left="475" w:hanging="475"/>
        <w:outlineLvl w:val="2"/>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TABLE 4. Collection of Information Burden to Federal Government</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4320"/>
        <w:gridCol w:w="1599"/>
        <w:gridCol w:w="1644"/>
        <w:gridCol w:w="1754"/>
      </w:tblGrid>
      <w:tr w14:paraId="6961935B" w14:textId="77777777" w:rsidTr="00614A47">
        <w:tblPrEx>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Ex>
        <w:trPr>
          <w:cantSplit/>
          <w:trHeight w:val="144"/>
          <w:tblHeader/>
          <w:jc w:val="center"/>
        </w:trPr>
        <w:tc>
          <w:tcPr>
            <w:tcW w:w="4320" w:type="dxa"/>
            <w:vMerge w:val="restart"/>
            <w:tcBorders>
              <w:top w:val="single" w:sz="4" w:space="0" w:color="auto"/>
              <w:left w:val="single" w:sz="4" w:space="0" w:color="auto"/>
              <w:right w:val="single" w:sz="4" w:space="0" w:color="auto"/>
            </w:tcBorders>
            <w:shd w:val="clear" w:color="auto" w:fill="E6E6E6"/>
            <w:vAlign w:val="center"/>
          </w:tcPr>
          <w:p w:rsidR="00B24D05" w:rsidRPr="004B55E1" w:rsidP="00B24D05" w14:paraId="011077D7"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Category</w:t>
            </w:r>
          </w:p>
        </w:tc>
        <w:tc>
          <w:tcPr>
            <w:tcW w:w="4997" w:type="dxa"/>
            <w:gridSpan w:val="3"/>
            <w:tcBorders>
              <w:top w:val="single" w:sz="4" w:space="0" w:color="auto"/>
              <w:left w:val="single" w:sz="4" w:space="0" w:color="auto"/>
            </w:tcBorders>
            <w:shd w:val="clear" w:color="auto" w:fill="E6E6E6"/>
          </w:tcPr>
          <w:p w:rsidR="00B24D05" w:rsidRPr="004B55E1" w:rsidP="00B24D05" w14:paraId="6FD2144C"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Hour Burden</w:t>
            </w:r>
          </w:p>
        </w:tc>
      </w:tr>
      <w:tr w14:paraId="4B1545EF" w14:textId="77777777" w:rsidTr="00614A47">
        <w:tblPrEx>
          <w:tblW w:w="9317" w:type="dxa"/>
          <w:jc w:val="center"/>
          <w:tblLayout w:type="fixed"/>
          <w:tblCellMar>
            <w:left w:w="115" w:type="dxa"/>
            <w:right w:w="115" w:type="dxa"/>
          </w:tblCellMar>
          <w:tblLook w:val="00A0"/>
        </w:tblPrEx>
        <w:trPr>
          <w:cantSplit/>
          <w:trHeight w:val="144"/>
          <w:tblHeader/>
          <w:jc w:val="center"/>
        </w:trPr>
        <w:tc>
          <w:tcPr>
            <w:tcW w:w="4320" w:type="dxa"/>
            <w:vMerge/>
            <w:tcBorders>
              <w:left w:val="single" w:sz="4" w:space="0" w:color="auto"/>
              <w:right w:val="single" w:sz="4" w:space="0" w:color="auto"/>
            </w:tcBorders>
          </w:tcPr>
          <w:p w:rsidR="00B24D05" w:rsidRPr="004B55E1" w:rsidP="00B24D05" w14:paraId="5F5EF714" w14:textId="77777777">
            <w:pPr>
              <w:spacing w:after="0" w:line="240" w:lineRule="auto"/>
              <w:rPr>
                <w:rFonts w:ascii="Times New Roman" w:eastAsia="Times New Roman" w:hAnsi="Times New Roman" w:cs="Times New Roman"/>
                <w:sz w:val="24"/>
                <w:szCs w:val="24"/>
              </w:rPr>
            </w:pPr>
          </w:p>
        </w:tc>
        <w:tc>
          <w:tcPr>
            <w:tcW w:w="1599" w:type="dxa"/>
            <w:tcBorders>
              <w:left w:val="single" w:sz="4" w:space="0" w:color="auto"/>
              <w:right w:val="single" w:sz="4" w:space="0" w:color="auto"/>
            </w:tcBorders>
            <w:shd w:val="clear" w:color="auto" w:fill="E6E6E6"/>
          </w:tcPr>
          <w:p w:rsidR="00B24D05" w:rsidRPr="004B55E1" w:rsidP="00B24D05" w14:paraId="59399F1E"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Initial</w:t>
            </w:r>
            <w:r w:rsidRPr="004B55E1">
              <w:rPr>
                <w:rFonts w:ascii="Times New Roman" w:eastAsia="Times New Roman" w:hAnsi="Times New Roman" w:cs="Times New Roman"/>
                <w:b/>
                <w:bCs/>
                <w:sz w:val="24"/>
                <w:szCs w:val="24"/>
              </w:rPr>
              <w:br/>
              <w:t>Application</w:t>
            </w:r>
          </w:p>
        </w:tc>
        <w:tc>
          <w:tcPr>
            <w:tcW w:w="1644" w:type="dxa"/>
            <w:tcBorders>
              <w:left w:val="single" w:sz="4" w:space="0" w:color="auto"/>
            </w:tcBorders>
            <w:shd w:val="clear" w:color="auto" w:fill="E6E6E6"/>
          </w:tcPr>
          <w:p w:rsidR="00B24D05" w:rsidRPr="004B55E1" w:rsidP="00B24D05" w14:paraId="129A2E79"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 xml:space="preserve">Modification </w:t>
            </w:r>
            <w:r w:rsidRPr="004B55E1">
              <w:rPr>
                <w:rFonts w:ascii="Times New Roman" w:eastAsia="Times New Roman" w:hAnsi="Times New Roman" w:cs="Times New Roman"/>
                <w:b/>
                <w:bCs/>
                <w:sz w:val="24"/>
                <w:szCs w:val="24"/>
              </w:rPr>
              <w:t>Application</w:t>
            </w:r>
            <w:r w:rsidRPr="004B55E1">
              <w:rPr>
                <w:rFonts w:ascii="Times New Roman" w:eastAsia="Times New Roman" w:hAnsi="Times New Roman" w:cs="Times New Roman"/>
                <w:b/>
                <w:bCs/>
                <w:sz w:val="24"/>
                <w:szCs w:val="24"/>
                <w:vertAlign w:val="superscript"/>
              </w:rPr>
              <w:t>a</w:t>
            </w:r>
          </w:p>
        </w:tc>
        <w:tc>
          <w:tcPr>
            <w:tcW w:w="1754" w:type="dxa"/>
            <w:shd w:val="clear" w:color="auto" w:fill="E6E6E6"/>
          </w:tcPr>
          <w:p w:rsidR="00B24D05" w:rsidRPr="004B55E1" w:rsidP="00B24D05" w14:paraId="3FF59300" w14:textId="77777777">
            <w:pPr>
              <w:keepNext/>
              <w:suppressAutoHyphens/>
              <w:spacing w:after="0" w:line="240" w:lineRule="auto"/>
              <w:jc w:val="center"/>
              <w:outlineLvl w:val="5"/>
              <w:rPr>
                <w:rFonts w:ascii="Times New Roman" w:eastAsia="Times New Roman" w:hAnsi="Times New Roman" w:cs="Times New Roman"/>
                <w:b/>
                <w:bCs/>
                <w:sz w:val="24"/>
                <w:szCs w:val="24"/>
              </w:rPr>
            </w:pPr>
            <w:r w:rsidRPr="004B55E1">
              <w:rPr>
                <w:rFonts w:ascii="Times New Roman" w:eastAsia="Times New Roman" w:hAnsi="Times New Roman" w:cs="Times New Roman"/>
                <w:b/>
                <w:bCs/>
                <w:sz w:val="24"/>
                <w:szCs w:val="24"/>
              </w:rPr>
              <w:t>Renewal</w:t>
            </w:r>
            <w:r w:rsidRPr="004B55E1">
              <w:rPr>
                <w:rFonts w:ascii="Times New Roman" w:eastAsia="Times New Roman" w:hAnsi="Times New Roman" w:cs="Times New Roman"/>
                <w:b/>
                <w:bCs/>
                <w:sz w:val="24"/>
                <w:szCs w:val="24"/>
              </w:rPr>
              <w:br/>
            </w:r>
            <w:r w:rsidRPr="004B55E1">
              <w:rPr>
                <w:rFonts w:ascii="Times New Roman" w:eastAsia="Times New Roman" w:hAnsi="Times New Roman" w:cs="Times New Roman"/>
                <w:b/>
                <w:bCs/>
                <w:sz w:val="24"/>
                <w:szCs w:val="24"/>
              </w:rPr>
              <w:t>Application</w:t>
            </w:r>
            <w:r w:rsidRPr="004B55E1">
              <w:rPr>
                <w:rFonts w:ascii="Times New Roman" w:eastAsia="Times New Roman" w:hAnsi="Times New Roman" w:cs="Times New Roman"/>
                <w:b/>
                <w:bCs/>
                <w:sz w:val="24"/>
                <w:szCs w:val="24"/>
                <w:vertAlign w:val="superscript"/>
              </w:rPr>
              <w:t>b</w:t>
            </w:r>
          </w:p>
        </w:tc>
      </w:tr>
      <w:tr w14:paraId="5FF2A5AF" w14:textId="77777777" w:rsidTr="00614A47">
        <w:tblPrEx>
          <w:tblW w:w="9317" w:type="dxa"/>
          <w:jc w:val="center"/>
          <w:tblLayout w:type="fixed"/>
          <w:tblCellMar>
            <w:left w:w="115" w:type="dxa"/>
            <w:right w:w="115" w:type="dxa"/>
          </w:tblCellMar>
          <w:tblLook w:val="00A0"/>
        </w:tblPrEx>
        <w:trPr>
          <w:cantSplit/>
          <w:jc w:val="center"/>
        </w:trPr>
        <w:tc>
          <w:tcPr>
            <w:tcW w:w="4320" w:type="dxa"/>
          </w:tcPr>
          <w:p w:rsidR="00B24D05" w:rsidRPr="004B55E1" w:rsidP="00B24D05" w14:paraId="0A28C0FD"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Hours required to submit each application</w:t>
            </w:r>
          </w:p>
        </w:tc>
        <w:tc>
          <w:tcPr>
            <w:tcW w:w="1599" w:type="dxa"/>
          </w:tcPr>
          <w:p w:rsidR="00B24D05" w:rsidRPr="004B55E1" w:rsidP="00B24D05" w14:paraId="5880513F"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3,900</w:t>
            </w:r>
          </w:p>
        </w:tc>
        <w:tc>
          <w:tcPr>
            <w:tcW w:w="1644" w:type="dxa"/>
          </w:tcPr>
          <w:p w:rsidR="00B24D05" w:rsidRPr="004B55E1" w:rsidP="00B24D05" w14:paraId="4DB9C596"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1,950</w:t>
            </w:r>
          </w:p>
        </w:tc>
        <w:tc>
          <w:tcPr>
            <w:tcW w:w="1754" w:type="dxa"/>
          </w:tcPr>
          <w:p w:rsidR="00B24D05" w:rsidRPr="004B55E1" w:rsidP="00B24D05" w14:paraId="6ADDF451"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390</w:t>
            </w:r>
          </w:p>
        </w:tc>
      </w:tr>
      <w:tr w14:paraId="59011F1B" w14:textId="77777777" w:rsidTr="00614A47">
        <w:tblPrEx>
          <w:tblW w:w="9317" w:type="dxa"/>
          <w:jc w:val="center"/>
          <w:tblLayout w:type="fixed"/>
          <w:tblCellMar>
            <w:left w:w="115" w:type="dxa"/>
            <w:right w:w="115" w:type="dxa"/>
          </w:tblCellMar>
          <w:tblLook w:val="00A0"/>
        </w:tblPrEx>
        <w:trPr>
          <w:cantSplit/>
          <w:jc w:val="center"/>
        </w:trPr>
        <w:tc>
          <w:tcPr>
            <w:tcW w:w="4320" w:type="dxa"/>
          </w:tcPr>
          <w:p w:rsidR="00B24D05" w:rsidRPr="004B55E1" w:rsidP="00B24D05" w14:paraId="7ACB17E4"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Number of applications per </w:t>
            </w:r>
            <w:r w:rsidRPr="004B55E1">
              <w:rPr>
                <w:rFonts w:ascii="Times New Roman" w:eastAsia="Times New Roman" w:hAnsi="Times New Roman" w:cs="Times New Roman"/>
                <w:sz w:val="24"/>
                <w:szCs w:val="24"/>
              </w:rPr>
              <w:t>respondent</w:t>
            </w:r>
            <w:r w:rsidRPr="004B55E1">
              <w:rPr>
                <w:rFonts w:ascii="Times New Roman" w:eastAsia="Times New Roman" w:hAnsi="Times New Roman" w:cs="Times New Roman"/>
                <w:sz w:val="24"/>
                <w:szCs w:val="24"/>
                <w:vertAlign w:val="superscript"/>
              </w:rPr>
              <w:t>d</w:t>
            </w:r>
          </w:p>
        </w:tc>
        <w:tc>
          <w:tcPr>
            <w:tcW w:w="1599" w:type="dxa"/>
          </w:tcPr>
          <w:p w:rsidR="00B24D05" w:rsidRPr="004B55E1" w:rsidP="00B24D05" w14:paraId="5C60868E"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w:t>
            </w:r>
          </w:p>
        </w:tc>
        <w:tc>
          <w:tcPr>
            <w:tcW w:w="1644" w:type="dxa"/>
          </w:tcPr>
          <w:p w:rsidR="00B24D05" w:rsidRPr="004B55E1" w:rsidP="00B24D05" w14:paraId="7E16D1D2"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w:t>
            </w:r>
          </w:p>
        </w:tc>
        <w:tc>
          <w:tcPr>
            <w:tcW w:w="1754" w:type="dxa"/>
          </w:tcPr>
          <w:p w:rsidR="00B24D05" w:rsidRPr="004B55E1" w:rsidP="00B24D05" w14:paraId="4C7C5621"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w:t>
            </w:r>
          </w:p>
        </w:tc>
      </w:tr>
      <w:tr w14:paraId="5A13F7B3" w14:textId="77777777" w:rsidTr="00614A47">
        <w:tblPrEx>
          <w:tblW w:w="9317" w:type="dxa"/>
          <w:jc w:val="center"/>
          <w:tblLayout w:type="fixed"/>
          <w:tblCellMar>
            <w:left w:w="115" w:type="dxa"/>
            <w:right w:w="115" w:type="dxa"/>
          </w:tblCellMar>
          <w:tblLook w:val="00A0"/>
        </w:tblPrEx>
        <w:trPr>
          <w:cantSplit/>
          <w:jc w:val="center"/>
        </w:trPr>
        <w:tc>
          <w:tcPr>
            <w:tcW w:w="4320" w:type="dxa"/>
          </w:tcPr>
          <w:p w:rsidR="00B24D05" w:rsidRPr="004B55E1" w:rsidP="00B24D05" w14:paraId="1B1336F6"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Annual number of </w:t>
            </w:r>
            <w:r w:rsidRPr="004B55E1">
              <w:rPr>
                <w:rFonts w:ascii="Times New Roman" w:eastAsia="Times New Roman" w:hAnsi="Times New Roman" w:cs="Times New Roman"/>
                <w:sz w:val="24"/>
                <w:szCs w:val="24"/>
              </w:rPr>
              <w:t>applications</w:t>
            </w:r>
            <w:r w:rsidRPr="004B55E1">
              <w:rPr>
                <w:rFonts w:ascii="Times New Roman" w:eastAsia="Times New Roman" w:hAnsi="Times New Roman" w:cs="Times New Roman"/>
                <w:sz w:val="24"/>
                <w:szCs w:val="24"/>
                <w:vertAlign w:val="superscript"/>
              </w:rPr>
              <w:t>c</w:t>
            </w:r>
          </w:p>
        </w:tc>
        <w:tc>
          <w:tcPr>
            <w:tcW w:w="1599" w:type="dxa"/>
          </w:tcPr>
          <w:p w:rsidR="00B24D05" w:rsidRPr="004B55E1" w:rsidP="00B24D05" w14:paraId="4B304146"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0</w:t>
            </w:r>
          </w:p>
        </w:tc>
        <w:tc>
          <w:tcPr>
            <w:tcW w:w="1644" w:type="dxa"/>
          </w:tcPr>
          <w:p w:rsidR="00B24D05" w:rsidRPr="004B55E1" w:rsidP="00B24D05" w14:paraId="15450654"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6</w:t>
            </w:r>
          </w:p>
        </w:tc>
        <w:tc>
          <w:tcPr>
            <w:tcW w:w="1754" w:type="dxa"/>
          </w:tcPr>
          <w:p w:rsidR="00B24D05" w:rsidRPr="004B55E1" w:rsidP="00B24D05" w14:paraId="14108D93"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6</w:t>
            </w:r>
          </w:p>
        </w:tc>
      </w:tr>
      <w:tr w14:paraId="393B4C89" w14:textId="77777777" w:rsidTr="00614A47">
        <w:tblPrEx>
          <w:tblW w:w="9317" w:type="dxa"/>
          <w:jc w:val="center"/>
          <w:tblLayout w:type="fixed"/>
          <w:tblCellMar>
            <w:left w:w="115" w:type="dxa"/>
            <w:right w:w="115" w:type="dxa"/>
          </w:tblCellMar>
          <w:tblLook w:val="00A0"/>
        </w:tblPrEx>
        <w:trPr>
          <w:cantSplit/>
          <w:jc w:val="center"/>
        </w:trPr>
        <w:tc>
          <w:tcPr>
            <w:tcW w:w="4320" w:type="dxa"/>
            <w:tcBorders>
              <w:bottom w:val="single" w:sz="4" w:space="0" w:color="auto"/>
            </w:tcBorders>
          </w:tcPr>
          <w:p w:rsidR="00B24D05" w:rsidRPr="004B55E1" w:rsidP="00B24D05" w14:paraId="4B1269D0"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Federal government cost per application</w:t>
            </w:r>
          </w:p>
        </w:tc>
        <w:tc>
          <w:tcPr>
            <w:tcW w:w="1599" w:type="dxa"/>
            <w:tcBorders>
              <w:bottom w:val="single" w:sz="4" w:space="0" w:color="auto"/>
            </w:tcBorders>
            <w:vAlign w:val="bottom"/>
          </w:tcPr>
          <w:p w:rsidR="00B24D05" w:rsidRPr="004B55E1" w:rsidP="00B24D05" w14:paraId="1C723DF6"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$0</w:t>
            </w:r>
          </w:p>
        </w:tc>
        <w:tc>
          <w:tcPr>
            <w:tcW w:w="1644" w:type="dxa"/>
            <w:tcBorders>
              <w:bottom w:val="single" w:sz="4" w:space="0" w:color="auto"/>
            </w:tcBorders>
            <w:vAlign w:val="bottom"/>
          </w:tcPr>
          <w:p w:rsidR="00B24D05" w:rsidRPr="004B55E1" w:rsidP="00B24D05" w14:paraId="65BFC155"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$152,139</w:t>
            </w:r>
          </w:p>
        </w:tc>
        <w:tc>
          <w:tcPr>
            <w:tcW w:w="1754" w:type="dxa"/>
            <w:tcBorders>
              <w:bottom w:val="single" w:sz="4" w:space="0" w:color="auto"/>
            </w:tcBorders>
            <w:vAlign w:val="bottom"/>
          </w:tcPr>
          <w:p w:rsidR="00B24D05" w:rsidRPr="004B55E1" w:rsidP="00B24D05" w14:paraId="0868D836"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$30,428</w:t>
            </w:r>
          </w:p>
        </w:tc>
      </w:tr>
      <w:tr w14:paraId="3323A070" w14:textId="77777777" w:rsidTr="00614A47">
        <w:tblPrEx>
          <w:tblW w:w="9317" w:type="dxa"/>
          <w:jc w:val="center"/>
          <w:tblLayout w:type="fixed"/>
          <w:tblCellMar>
            <w:left w:w="115" w:type="dxa"/>
            <w:right w:w="115" w:type="dxa"/>
          </w:tblCellMar>
          <w:tblLook w:val="00A0"/>
        </w:tblPrEx>
        <w:trPr>
          <w:cantSplit/>
          <w:jc w:val="center"/>
        </w:trPr>
        <w:tc>
          <w:tcPr>
            <w:tcW w:w="4320" w:type="dxa"/>
          </w:tcPr>
          <w:p w:rsidR="00B24D05" w:rsidRPr="004B55E1" w:rsidP="00B24D05" w14:paraId="32F3F119" w14:textId="77777777">
            <w:pPr>
              <w:keepNext/>
              <w:keepLines/>
              <w:tabs>
                <w:tab w:val="left" w:pos="-720"/>
              </w:tabs>
              <w:suppressAutoHyphens/>
              <w:spacing w:after="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Federal government annual </w:t>
            </w:r>
            <w:r w:rsidRPr="004B55E1">
              <w:rPr>
                <w:rFonts w:ascii="Times New Roman" w:eastAsia="Times New Roman" w:hAnsi="Times New Roman" w:cs="Times New Roman"/>
                <w:sz w:val="24"/>
                <w:szCs w:val="24"/>
              </w:rPr>
              <w:t>cost</w:t>
            </w:r>
            <w:r w:rsidRPr="004B55E1">
              <w:rPr>
                <w:rFonts w:ascii="Times New Roman" w:eastAsia="Times New Roman" w:hAnsi="Times New Roman" w:cs="Times New Roman"/>
                <w:sz w:val="24"/>
                <w:szCs w:val="24"/>
                <w:vertAlign w:val="superscript"/>
              </w:rPr>
              <w:t>d</w:t>
            </w:r>
          </w:p>
        </w:tc>
        <w:tc>
          <w:tcPr>
            <w:tcW w:w="1599" w:type="dxa"/>
            <w:vAlign w:val="bottom"/>
          </w:tcPr>
          <w:p w:rsidR="00B24D05" w:rsidRPr="004B55E1" w:rsidP="00B24D05" w14:paraId="537510F1"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$0</w:t>
            </w:r>
          </w:p>
        </w:tc>
        <w:tc>
          <w:tcPr>
            <w:tcW w:w="1644" w:type="dxa"/>
            <w:vAlign w:val="bottom"/>
          </w:tcPr>
          <w:p w:rsidR="00B24D05" w:rsidRPr="004B55E1" w:rsidP="00B24D05" w14:paraId="4D17C49E"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$912,834</w:t>
            </w:r>
          </w:p>
        </w:tc>
        <w:tc>
          <w:tcPr>
            <w:tcW w:w="1754" w:type="dxa"/>
            <w:vAlign w:val="bottom"/>
          </w:tcPr>
          <w:p w:rsidR="00B24D05" w:rsidRPr="004B55E1" w:rsidP="00B24D05" w14:paraId="23DEBDC9" w14:textId="77777777">
            <w:pPr>
              <w:keepNext/>
              <w:keepLines/>
              <w:tabs>
                <w:tab w:val="left" w:pos="-720"/>
              </w:tabs>
              <w:suppressAutoHyphens/>
              <w:spacing w:after="0" w:line="240" w:lineRule="auto"/>
              <w:jc w:val="center"/>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$182,568</w:t>
            </w:r>
          </w:p>
        </w:tc>
      </w:tr>
    </w:tbl>
    <w:p w:rsidR="00B24D05" w:rsidRPr="004B55E1" w:rsidP="00B24D05" w14:paraId="78CEA90C" w14:textId="77777777">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vertAlign w:val="superscript"/>
        </w:rPr>
        <w:t>a</w:t>
      </w:r>
      <w:r w:rsidRPr="004B55E1">
        <w:rPr>
          <w:rFonts w:ascii="Times New Roman" w:eastAsia="Times New Roman" w:hAnsi="Times New Roman" w:cs="Times New Roman"/>
          <w:sz w:val="24"/>
          <w:szCs w:val="24"/>
        </w:rPr>
        <w:t xml:space="preserve"> Includes major modifications to existing licenses.</w:t>
      </w:r>
    </w:p>
    <w:p w:rsidR="00B24D05" w:rsidRPr="004B55E1" w:rsidP="00B24D05" w14:paraId="2B3832B0" w14:textId="77777777">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vertAlign w:val="superscript"/>
        </w:rPr>
        <w:t>b</w:t>
      </w:r>
      <w:r w:rsidRPr="004B55E1">
        <w:rPr>
          <w:rFonts w:ascii="Times New Roman" w:eastAsia="Times New Roman" w:hAnsi="Times New Roman" w:cs="Times New Roman"/>
          <w:sz w:val="24"/>
          <w:szCs w:val="24"/>
        </w:rPr>
        <w:t xml:space="preserve"> Renewal of a license application is voluntary.</w:t>
      </w:r>
    </w:p>
    <w:p w:rsidR="00B24D05" w:rsidRPr="004B55E1" w:rsidP="00B24D05" w14:paraId="25FD5132" w14:textId="77777777">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vertAlign w:val="superscript"/>
        </w:rPr>
        <w:t>c</w:t>
      </w:r>
      <w:r w:rsidRPr="004B55E1">
        <w:rPr>
          <w:rFonts w:ascii="Times New Roman" w:eastAsia="Times New Roman" w:hAnsi="Times New Roman" w:cs="Times New Roman"/>
          <w:sz w:val="24"/>
          <w:szCs w:val="24"/>
        </w:rPr>
        <w:t xml:space="preserve"> Federal Aviation Administration, Office of Commercial Space Transportation (FAA/AST), April 2006.</w:t>
      </w:r>
    </w:p>
    <w:p w:rsidR="00B24D05" w:rsidRPr="004B55E1" w:rsidP="00B24D05" w14:paraId="0220BB0B" w14:textId="77777777">
      <w:pPr>
        <w:spacing w:after="0" w:line="240" w:lineRule="auto"/>
        <w:ind w:left="720" w:right="72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vertAlign w:val="superscript"/>
        </w:rPr>
        <w:t>d</w:t>
      </w:r>
      <w:r w:rsidRPr="004B55E1">
        <w:rPr>
          <w:rFonts w:ascii="Times New Roman" w:eastAsia="Times New Roman" w:hAnsi="Times New Roman" w:cs="Times New Roman"/>
          <w:sz w:val="24"/>
          <w:szCs w:val="24"/>
        </w:rPr>
        <w:t xml:space="preserve"> Federal government total cost per annum calculated as $304,278 × 0 = $0 for initial applications; calculated as 50%, or $152,139, for each major modifications = $912,834; calculated as 10%, or $30,428, for each renewal application = $182,568.</w:t>
      </w:r>
    </w:p>
    <w:p w:rsidR="00771C53" w:rsidRPr="004B55E1" w:rsidP="00B24D05" w14:paraId="1BE5D190" w14:textId="598789E2">
      <w:pPr>
        <w:spacing w:before="120" w:after="120" w:line="240" w:lineRule="auto"/>
        <w:ind w:left="480"/>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 xml:space="preserve">Thus, the total cost to the FAA for processing information received under parts 413, 415, and 417 is $0 + $912,834+ $182,568 = </w:t>
      </w:r>
      <w:r w:rsidRPr="004B55E1">
        <w:rPr>
          <w:rFonts w:ascii="Times New Roman" w:eastAsia="Times New Roman" w:hAnsi="Times New Roman" w:cs="Times New Roman"/>
          <w:b/>
          <w:sz w:val="24"/>
          <w:szCs w:val="24"/>
          <w:u w:val="single"/>
        </w:rPr>
        <w:t>$1,095,402.</w:t>
      </w:r>
    </w:p>
    <w:p w:rsidR="00C64707" w:rsidRPr="004B55E1" w:rsidP="00C64707" w14:paraId="5AA539CF"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br/>
      </w:r>
    </w:p>
    <w:p w:rsidR="00C64707" w:rsidRPr="004B55E1" w:rsidP="00C64707" w14:paraId="0FA79265"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15. Explain the reasons for any program changes or adjustments.</w:t>
      </w:r>
    </w:p>
    <w:p w:rsidR="00B24D05" w:rsidRPr="004B55E1" w:rsidP="00B24D05" w14:paraId="15C3F73E" w14:textId="77777777">
      <w:pPr>
        <w:spacing w:before="120" w:after="120" w:line="240" w:lineRule="auto"/>
        <w:rPr>
          <w:rFonts w:ascii="Times New Roman" w:eastAsia="Times New Roman" w:hAnsi="Times New Roman" w:cs="Times New Roman"/>
          <w:sz w:val="24"/>
          <w:szCs w:val="24"/>
        </w:rPr>
      </w:pPr>
    </w:p>
    <w:p w:rsidR="00C64707" w:rsidRPr="004B55E1" w:rsidP="00B24D05" w14:paraId="2AA7D827" w14:textId="5D482BF6">
      <w:pPr>
        <w:spacing w:before="120" w:after="120" w:line="240" w:lineRule="auto"/>
        <w:rPr>
          <w:rFonts w:ascii="Times New Roman" w:eastAsia="Times New Roman" w:hAnsi="Times New Roman" w:cs="Times New Roman"/>
          <w:sz w:val="24"/>
          <w:szCs w:val="24"/>
        </w:rPr>
      </w:pPr>
      <w:r w:rsidRPr="00C121BB">
        <w:rPr>
          <w:rFonts w:ascii="Times New Roman" w:eastAsia="Times New Roman" w:hAnsi="Times New Roman" w:cs="Times New Roman"/>
          <w:sz w:val="24"/>
          <w:szCs w:val="24"/>
        </w:rPr>
        <w:t xml:space="preserve">Part 413 was amended and parts 415 and 417 were replaced by part 450, published October 2020.  Parts 415 and 417 are retained until 2025 and allowed to be used by operators with active licenses at the time of part 450 publication.  This collection still applies to those operators operating under parts 415 and 417 at the time of part 450 publication that wishing to continue to operate under parts 415 and 417.  The burden was adjusted assuming all operators operating under parts 415 and 417 at the time of part 450 publication will continue to operate under parts 415 and 417.  The burden was computed using the number of active licenses at the time of part 450 publication.  The estimates assumed all operators allowed to operate under parts 415 and 417 continue to do so and renew their licenses until parts 415 and 417 are removed. </w:t>
      </w:r>
      <w:r w:rsidRPr="00A46DE2">
        <w:rPr>
          <w:rFonts w:ascii="Times New Roman" w:eastAsia="Times New Roman" w:hAnsi="Times New Roman" w:cs="Times New Roman"/>
          <w:color w:val="000000" w:themeColor="text1"/>
          <w:sz w:val="24"/>
          <w:szCs w:val="24"/>
        </w:rPr>
        <w:t>Part 417</w:t>
      </w:r>
      <w:r w:rsidRPr="00A46DE2" w:rsidR="001A3F2D">
        <w:rPr>
          <w:rFonts w:ascii="Times New Roman" w:eastAsia="Times New Roman" w:hAnsi="Times New Roman" w:cs="Times New Roman"/>
          <w:color w:val="000000" w:themeColor="text1"/>
          <w:sz w:val="24"/>
          <w:szCs w:val="24"/>
        </w:rPr>
        <w:t xml:space="preserve"> </w:t>
      </w:r>
      <w:r w:rsidRPr="00A46DE2" w:rsidR="00440DDC">
        <w:rPr>
          <w:rFonts w:ascii="Times New Roman" w:eastAsia="Times New Roman" w:hAnsi="Times New Roman" w:cs="Times New Roman"/>
          <w:color w:val="000000" w:themeColor="text1"/>
          <w:sz w:val="24"/>
          <w:szCs w:val="24"/>
        </w:rPr>
        <w:t xml:space="preserve">expires </w:t>
      </w:r>
      <w:r w:rsidRPr="00A46DE2">
        <w:rPr>
          <w:rFonts w:ascii="Times New Roman" w:eastAsia="Times New Roman" w:hAnsi="Times New Roman" w:cs="Times New Roman"/>
          <w:color w:val="000000" w:themeColor="text1"/>
          <w:sz w:val="24"/>
          <w:szCs w:val="24"/>
        </w:rPr>
        <w:t>March 202</w:t>
      </w:r>
      <w:r w:rsidRPr="00A46DE2" w:rsidR="008F141E">
        <w:rPr>
          <w:rFonts w:ascii="Times New Roman" w:eastAsia="Times New Roman" w:hAnsi="Times New Roman" w:cs="Times New Roman"/>
          <w:color w:val="000000" w:themeColor="text1"/>
          <w:sz w:val="24"/>
          <w:szCs w:val="24"/>
        </w:rPr>
        <w:t>6</w:t>
      </w:r>
      <w:r w:rsidRPr="00A46DE2">
        <w:rPr>
          <w:rFonts w:ascii="Times New Roman" w:eastAsia="Times New Roman" w:hAnsi="Times New Roman" w:cs="Times New Roman"/>
          <w:color w:val="000000" w:themeColor="text1"/>
          <w:sz w:val="24"/>
          <w:szCs w:val="24"/>
        </w:rPr>
        <w:t xml:space="preserve">.  A new collection for part 450 will be </w:t>
      </w:r>
      <w:r w:rsidRPr="00A46DE2" w:rsidR="00440DDC">
        <w:rPr>
          <w:rFonts w:ascii="Times New Roman" w:eastAsia="Times New Roman" w:hAnsi="Times New Roman" w:cs="Times New Roman"/>
          <w:color w:val="000000" w:themeColor="text1"/>
          <w:sz w:val="24"/>
          <w:szCs w:val="24"/>
        </w:rPr>
        <w:t>forthcoming in the future</w:t>
      </w:r>
      <w:r w:rsidRPr="00A46DE2">
        <w:rPr>
          <w:rFonts w:ascii="Times New Roman" w:eastAsia="Times New Roman" w:hAnsi="Times New Roman" w:cs="Times New Roman"/>
          <w:color w:val="000000" w:themeColor="text1"/>
          <w:sz w:val="24"/>
          <w:szCs w:val="24"/>
        </w:rPr>
        <w:t xml:space="preserve">. This estimate is </w:t>
      </w:r>
      <w:r w:rsidRPr="00C121BB">
        <w:rPr>
          <w:rFonts w:ascii="Times New Roman" w:eastAsia="Times New Roman" w:hAnsi="Times New Roman" w:cs="Times New Roman"/>
          <w:sz w:val="24"/>
          <w:szCs w:val="24"/>
        </w:rPr>
        <w:t>conservative because it assumes no operators switch to part 450.</w:t>
      </w:r>
    </w:p>
    <w:p w:rsidR="00C64707" w:rsidRPr="004B55E1" w:rsidP="00C64707" w14:paraId="43CA0B56" w14:textId="19F0B1BC">
      <w:pPr>
        <w:shd w:val="clear" w:color="auto" w:fill="FFFFFF"/>
        <w:spacing w:after="0" w:line="240" w:lineRule="auto"/>
        <w:rPr>
          <w:rFonts w:ascii="Times New Roman" w:eastAsia="Times New Roman" w:hAnsi="Times New Roman" w:cs="Times New Roman"/>
          <w:color w:val="555555"/>
          <w:sz w:val="24"/>
          <w:szCs w:val="24"/>
        </w:rPr>
      </w:pPr>
    </w:p>
    <w:p w:rsidR="00C64707" w:rsidRPr="004B55E1" w:rsidP="00C64707" w14:paraId="3921AEBF"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4B55E1" w:rsidP="009F4E05" w14:paraId="5C399A52" w14:textId="52878110">
      <w:pPr>
        <w:pStyle w:val="BodyText"/>
        <w:rPr>
          <w:rFonts w:ascii="Times New Roman" w:eastAsia="Times New Roman" w:hAnsi="Times New Roman" w:cs="Times New Roman"/>
          <w:sz w:val="24"/>
          <w:szCs w:val="24"/>
        </w:rPr>
      </w:pPr>
      <w:r w:rsidRPr="004B55E1">
        <w:rPr>
          <w:rFonts w:ascii="Times New Roman" w:eastAsia="Times New Roman" w:hAnsi="Times New Roman" w:cs="Times New Roman"/>
          <w:color w:val="555555"/>
          <w:sz w:val="24"/>
          <w:szCs w:val="24"/>
        </w:rPr>
        <w:br/>
      </w:r>
      <w:r w:rsidRPr="004B55E1" w:rsidR="009F4E05">
        <w:rPr>
          <w:rFonts w:ascii="Times New Roman" w:eastAsia="Times New Roman" w:hAnsi="Times New Roman" w:cs="Times New Roman"/>
          <w:sz w:val="24"/>
          <w:szCs w:val="24"/>
        </w:rPr>
        <w:t>We do not intend to publish this information.</w:t>
      </w:r>
    </w:p>
    <w:p w:rsidR="00C64707" w:rsidRPr="004B55E1" w:rsidP="00C64707" w14:paraId="05058BEC"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color w:val="555555"/>
          <w:sz w:val="24"/>
          <w:szCs w:val="24"/>
        </w:rPr>
        <w:br/>
      </w:r>
    </w:p>
    <w:p w:rsidR="00C64707" w:rsidRPr="004B55E1" w:rsidP="00C64707" w14:paraId="40D58F29"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17. If seeking approval to not display the expiration date for OMB approval of the information collection, explain the reasons why display would be inappropriate.</w:t>
      </w:r>
    </w:p>
    <w:p w:rsidR="009F4E05" w:rsidRPr="004B55E1" w:rsidP="00C64707" w14:paraId="1C2D8743"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4B55E1" w:rsidP="009F4E05" w14:paraId="5BE1FB19" w14:textId="6104A311">
      <w:pPr>
        <w:spacing w:before="120" w:after="120" w:line="240" w:lineRule="auto"/>
        <w:rPr>
          <w:rFonts w:ascii="Times New Roman" w:eastAsia="Times New Roman" w:hAnsi="Times New Roman" w:cs="Times New Roman"/>
          <w:sz w:val="24"/>
          <w:szCs w:val="24"/>
        </w:rPr>
      </w:pPr>
      <w:r w:rsidRPr="004B55E1">
        <w:rPr>
          <w:rFonts w:ascii="Times New Roman" w:eastAsia="Times New Roman" w:hAnsi="Times New Roman" w:cs="Times New Roman"/>
          <w:sz w:val="24"/>
          <w:szCs w:val="24"/>
        </w:rPr>
        <w:t>AST is seeking approval to not display the expiration date of OMB approval of the information collection on the pre-application initial contact information form because Applicants seeking a license to launch or reenter a vehicle are required by 14 CFR section 413.5 to submit information regarding their proposal before they apply for the license. Early consultation helps an applicant to identify possible regulatory issues at the planning stage when changes to an application or the proposed licensed or permitted activities are less likely to result in significant delay or cost to the applicant</w:t>
      </w:r>
      <w:r w:rsidR="008F141E">
        <w:rPr>
          <w:rFonts w:ascii="Times New Roman" w:eastAsia="Times New Roman" w:hAnsi="Times New Roman" w:cs="Times New Roman"/>
          <w:sz w:val="24"/>
          <w:szCs w:val="24"/>
        </w:rPr>
        <w:t>.</w:t>
      </w:r>
    </w:p>
    <w:p w:rsidR="00C64707" w:rsidRPr="004B55E1" w:rsidP="00C64707" w14:paraId="2958D9D1" w14:textId="26FC1127">
      <w:pPr>
        <w:shd w:val="clear" w:color="auto" w:fill="FFFFFF"/>
        <w:spacing w:after="0" w:line="240" w:lineRule="auto"/>
        <w:rPr>
          <w:rFonts w:ascii="Times New Roman" w:eastAsia="Times New Roman" w:hAnsi="Times New Roman" w:cs="Times New Roman"/>
          <w:color w:val="555555"/>
          <w:sz w:val="24"/>
          <w:szCs w:val="24"/>
        </w:rPr>
      </w:pPr>
    </w:p>
    <w:p w:rsidR="00C64707" w:rsidRPr="004B55E1" w:rsidP="00C64707" w14:paraId="50A8FD9E" w14:textId="77777777">
      <w:pPr>
        <w:shd w:val="clear" w:color="auto" w:fill="FFFFFF"/>
        <w:spacing w:after="0" w:line="240" w:lineRule="auto"/>
        <w:rPr>
          <w:rFonts w:ascii="Times New Roman" w:eastAsia="Times New Roman" w:hAnsi="Times New Roman" w:cs="Times New Roman"/>
          <w:color w:val="555555"/>
          <w:sz w:val="24"/>
          <w:szCs w:val="24"/>
        </w:rPr>
      </w:pPr>
      <w:r w:rsidRPr="004B55E1">
        <w:rPr>
          <w:rFonts w:ascii="Times New Roman" w:eastAsia="Times New Roman" w:hAnsi="Times New Roman" w:cs="Times New Roman"/>
          <w:b/>
          <w:bCs/>
          <w:color w:val="555555"/>
          <w:sz w:val="24"/>
          <w:szCs w:val="24"/>
        </w:rPr>
        <w:t>18. Explain each exception to the topics of the certification statement identified in “Certification for Paperwork Reduction Act Submissions.”</w:t>
      </w:r>
    </w:p>
    <w:p w:rsidR="00CA6C88" w:rsidRPr="004B55E1" w:rsidP="00CA6C88" w14:paraId="337A84EC" w14:textId="77777777">
      <w:pPr>
        <w:pStyle w:val="BodyText"/>
        <w:rPr>
          <w:rFonts w:ascii="Times New Roman" w:eastAsia="Times New Roman" w:hAnsi="Times New Roman" w:cs="Times New Roman"/>
          <w:sz w:val="24"/>
          <w:szCs w:val="24"/>
        </w:rPr>
      </w:pPr>
      <w:r w:rsidRPr="004B55E1">
        <w:rPr>
          <w:rFonts w:ascii="Times New Roman" w:eastAsia="Times New Roman" w:hAnsi="Times New Roman" w:cs="Times New Roman"/>
          <w:color w:val="555555"/>
          <w:sz w:val="24"/>
          <w:szCs w:val="24"/>
        </w:rPr>
        <w:br/>
      </w:r>
      <w:r w:rsidRPr="004B55E1">
        <w:rPr>
          <w:rFonts w:ascii="Times New Roman" w:eastAsia="Times New Roman" w:hAnsi="Times New Roman" w:cs="Times New Roman"/>
          <w:sz w:val="24"/>
          <w:szCs w:val="24"/>
        </w:rPr>
        <w:t>There are no exceptions.</w:t>
      </w:r>
    </w:p>
    <w:p w:rsidR="00C64707" w:rsidRPr="004B55E1" w:rsidP="00C64707" w14:paraId="3EC57B5B" w14:textId="7E4A2653">
      <w:pPr>
        <w:shd w:val="clear" w:color="auto" w:fill="FFFFFF"/>
        <w:spacing w:after="0" w:line="240" w:lineRule="auto"/>
        <w:rPr>
          <w:rFonts w:ascii="Times New Roman" w:eastAsia="Times New Roman" w:hAnsi="Times New Roman" w:cs="Times New Roman"/>
          <w:color w:val="555555"/>
          <w:sz w:val="24"/>
          <w:szCs w:val="24"/>
        </w:rPr>
      </w:pPr>
    </w:p>
    <w:p w:rsidR="005B4EB0" w:rsidRPr="004B55E1" w14:paraId="391A36FD"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6756" w:rsidP="00B24D05" w14:paraId="19B2625F" w14:textId="77777777">
      <w:pPr>
        <w:spacing w:after="0" w:line="240" w:lineRule="auto"/>
      </w:pPr>
      <w:r>
        <w:separator/>
      </w:r>
    </w:p>
  </w:footnote>
  <w:footnote w:type="continuationSeparator" w:id="1">
    <w:p w:rsidR="002E6756" w:rsidP="00B24D05" w14:paraId="70040A68" w14:textId="77777777">
      <w:pPr>
        <w:spacing w:after="0" w:line="240" w:lineRule="auto"/>
      </w:pPr>
      <w:r>
        <w:continuationSeparator/>
      </w:r>
    </w:p>
  </w:footnote>
  <w:footnote w:id="2">
    <w:p w:rsidR="00B24D05" w:rsidRPr="00D2115B" w:rsidP="00B24D05" w14:paraId="0DACCB72" w14:textId="77777777">
      <w:pPr>
        <w:pStyle w:val="FootnoteText"/>
        <w:rPr>
          <w:rFonts w:ascii="Times New Roman" w:hAnsi="Times New Roman"/>
        </w:rPr>
      </w:pPr>
      <w:r w:rsidRPr="002B4BC6">
        <w:rPr>
          <w:rStyle w:val="FootnoteReference"/>
        </w:rPr>
        <w:footnoteRef/>
      </w:r>
      <w:r w:rsidRPr="002B4BC6">
        <w:rPr>
          <w:rFonts w:ascii="Times New Roman" w:hAnsi="Times New Roman"/>
        </w:rPr>
        <w:t xml:space="preserve"> </w:t>
      </w:r>
      <w:r w:rsidRPr="00D2115B">
        <w:rPr>
          <w:rFonts w:ascii="Times New Roman" w:hAnsi="Times New Roman"/>
        </w:rPr>
        <w:t xml:space="preserve">Discussions in 2005 with AST personnel indicate that industry expends </w:t>
      </w:r>
      <w:r w:rsidRPr="00D2115B">
        <w:rPr>
          <w:rFonts w:ascii="Times New Roman" w:hAnsi="Times New Roman"/>
        </w:rPr>
        <w:t>in excess of</w:t>
      </w:r>
      <w:r w:rsidRPr="00D2115B">
        <w:rPr>
          <w:rFonts w:ascii="Times New Roman" w:hAnsi="Times New Roman"/>
        </w:rPr>
        <w:t xml:space="preserve"> 3 person-years, or 6,240 hours (calculated as 2,080 annual person-hours × 3 person-years = 6,240 person-hours) per applicant to comply with the entire license application process.  The hour burden to industry for the collection of information necessary to support the application process can be as much as 45 percent of the total hours expended in this process, or 2,808 hours (calculated as 0.45 × 6,240 = 2,808).</w:t>
      </w:r>
    </w:p>
  </w:footnote>
  <w:footnote w:id="3">
    <w:p w:rsidR="00B24D05" w:rsidRPr="00D2115B" w:rsidP="00B24D05" w14:paraId="39058CFC" w14:textId="77777777">
      <w:pPr>
        <w:pStyle w:val="FootnoteText"/>
        <w:rPr>
          <w:rFonts w:ascii="Times New Roman" w:hAnsi="Times New Roman"/>
        </w:rPr>
      </w:pPr>
      <w:r w:rsidRPr="00D2115B">
        <w:rPr>
          <w:rStyle w:val="FootnoteReference"/>
        </w:rPr>
        <w:footnoteRef/>
      </w:r>
      <w:r w:rsidRPr="00D2115B">
        <w:rPr>
          <w:rFonts w:ascii="Times New Roman" w:hAnsi="Times New Roman"/>
        </w:rPr>
        <w:t xml:space="preserve"> Discussions in 2005 with AST personnel indicate that as much as 10 percent of the 2,808 hours are expended collecting information necessary to support a license renewal application.  In addition, data suggests that major modifications require as much as 50% of the 2,808 hours expended for initial applications.</w:t>
      </w:r>
    </w:p>
  </w:footnote>
  <w:footnote w:id="4">
    <w:p w:rsidR="00B24D05" w:rsidRPr="00D2115B" w:rsidP="00B24D05" w14:paraId="24FE7EB5" w14:textId="77777777">
      <w:pPr>
        <w:pStyle w:val="FootnoteText"/>
        <w:rPr>
          <w:rFonts w:ascii="Times New Roman" w:hAnsi="Times New Roman"/>
        </w:rPr>
      </w:pPr>
      <w:r w:rsidRPr="00D2115B">
        <w:rPr>
          <w:rStyle w:val="FootnoteReference"/>
          <w:rFonts w:ascii="Times New Roman" w:hAnsi="Times New Roman"/>
        </w:rPr>
        <w:footnoteRef/>
      </w:r>
      <w:r w:rsidRPr="00D2115B">
        <w:rPr>
          <w:rFonts w:ascii="Times New Roman" w:hAnsi="Times New Roman"/>
        </w:rPr>
        <w:t xml:space="preserve"> Space transportation salaries are based on information obtained from the U.S. Bureau of Labor Statistics (BLS) and the Aerospace Industry Association (AIA) and adjusted for inflation.  </w:t>
      </w:r>
    </w:p>
  </w:footnote>
  <w:footnote w:id="5">
    <w:p w:rsidR="00B24D05" w:rsidRPr="00D2115B" w:rsidP="00B24D05" w14:paraId="2FE748A8" w14:textId="77777777">
      <w:pPr>
        <w:pStyle w:val="FootnoteText"/>
      </w:pPr>
      <w:r w:rsidRPr="00D2115B">
        <w:rPr>
          <w:rStyle w:val="FootnoteReference"/>
        </w:rPr>
        <w:footnoteRef/>
      </w:r>
      <w:r w:rsidRPr="00D2115B">
        <w:rPr>
          <w:rFonts w:ascii="Times New Roman" w:hAnsi="Times New Roman"/>
        </w:rPr>
        <w:t>Discussions in 2005 with AST personnel indicate that the FAA expends as much as 2.5 person-years, or 5,200 hours (calculated as 2,080 annual person-hours × 2.5 person-years = 5,240 person-hours) to execute the license application review process for a single submittal.  The hour burden to the FAA to review and process the information collected associated with an application submittal can be as much as 75 percent of the total hours expended in this process, or 3,900 hours (calculated as 0.75 × 5,200 = 3,900).</w:t>
      </w:r>
    </w:p>
  </w:footnote>
  <w:footnote w:id="6">
    <w:p w:rsidR="00B24D05" w:rsidRPr="00D2115B" w:rsidP="00B24D05" w14:paraId="56DB1FBC" w14:textId="77777777">
      <w:pPr>
        <w:pStyle w:val="FootnoteText"/>
        <w:rPr>
          <w:rFonts w:ascii="Times New Roman" w:hAnsi="Times New Roman"/>
        </w:rPr>
      </w:pPr>
      <w:r w:rsidRPr="00D2115B">
        <w:rPr>
          <w:rStyle w:val="FootnoteReference"/>
        </w:rPr>
        <w:footnoteRef/>
      </w:r>
      <w:r w:rsidRPr="00D2115B">
        <w:rPr>
          <w:rFonts w:ascii="Times New Roman" w:hAnsi="Times New Roman"/>
        </w:rPr>
        <w:t xml:space="preserve"> Discussions in 2005 with AST personnel indicate that as much as 10 percent of the 3,900 hours are expended reviewing and processing the information collected to support a license renewal application.</w:t>
      </w:r>
    </w:p>
    <w:p w:rsidR="00B24D05" w:rsidRPr="00D2115B" w:rsidP="00B24D05" w14:paraId="2F5D4CCF" w14:textId="77777777">
      <w:pPr>
        <w:pStyle w:val="FootnoteText"/>
        <w:rPr>
          <w:rFonts w:ascii="Times New Roman" w:hAnsi="Times New Roman"/>
        </w:rPr>
      </w:pPr>
      <w:r w:rsidRPr="00D2115B">
        <w:rPr>
          <w:rStyle w:val="FootnoteReference"/>
        </w:rPr>
        <w:t>7</w:t>
      </w:r>
      <w:r w:rsidRPr="00D2115B">
        <w:rPr>
          <w:rFonts w:ascii="Times New Roman" w:hAnsi="Times New Roman"/>
        </w:rPr>
        <w:t xml:space="preserve"> Data from FY15 – 17 suggests that requests for major modifications to existing license applications result in roughly 50 percent of the 3,900 hours expended for an initial application</w:t>
      </w:r>
    </w:p>
  </w:footnote>
  <w:footnote w:id="7">
    <w:p w:rsidR="00B24D05" w:rsidRPr="00D2115B" w:rsidP="00B24D05" w14:paraId="29586F0D" w14:textId="77777777">
      <w:pPr>
        <w:pStyle w:val="FootnoteText"/>
        <w:rPr>
          <w:rFonts w:ascii="Times New Roman" w:hAnsi="Times New Roman"/>
        </w:rPr>
      </w:pPr>
      <w:r w:rsidRPr="00D2115B">
        <w:rPr>
          <w:rStyle w:val="FootnoteReference"/>
          <w:rFonts w:ascii="Times New Roman" w:hAnsi="Times New Roman"/>
        </w:rPr>
        <w:t>8</w:t>
      </w:r>
      <w:r w:rsidRPr="00D2115B">
        <w:rPr>
          <w:rFonts w:ascii="Times New Roman" w:hAnsi="Times New Roman"/>
        </w:rPr>
        <w:t xml:space="preserve"> Base salary from the 2021 General Schedule Salary Table 2021-DCB (for the locality pay area of Washington-Baltimore, Northern Virginia, DC-MD-PA-VA-WV), GS-13, Step 5.  Fringe benefit from Economic Analysis Investment and Regulatory Decisions — Revised Guide, Federal Aviation Administration, January 1998, page 4-22.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084125">
    <w:abstractNumId w:val="0"/>
  </w:num>
  <w:num w:numId="2" w16cid:durableId="1750882832">
    <w:abstractNumId w:val="1"/>
  </w:num>
  <w:num w:numId="3" w16cid:durableId="29191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7CC8"/>
    <w:rsid w:val="00043D3A"/>
    <w:rsid w:val="000C1606"/>
    <w:rsid w:val="000C78FA"/>
    <w:rsid w:val="001032E6"/>
    <w:rsid w:val="001374BB"/>
    <w:rsid w:val="0014495C"/>
    <w:rsid w:val="001464DF"/>
    <w:rsid w:val="001A3F2D"/>
    <w:rsid w:val="001F0724"/>
    <w:rsid w:val="002115A2"/>
    <w:rsid w:val="0021602F"/>
    <w:rsid w:val="00273C7B"/>
    <w:rsid w:val="0029616A"/>
    <w:rsid w:val="002B4BC6"/>
    <w:rsid w:val="002D72F4"/>
    <w:rsid w:val="002E6756"/>
    <w:rsid w:val="002F47F9"/>
    <w:rsid w:val="003617C0"/>
    <w:rsid w:val="00371D97"/>
    <w:rsid w:val="00381505"/>
    <w:rsid w:val="003E506A"/>
    <w:rsid w:val="00440DDC"/>
    <w:rsid w:val="00476499"/>
    <w:rsid w:val="00484F9D"/>
    <w:rsid w:val="00497061"/>
    <w:rsid w:val="004B55E1"/>
    <w:rsid w:val="004B6BC0"/>
    <w:rsid w:val="004F5A6E"/>
    <w:rsid w:val="005104D7"/>
    <w:rsid w:val="005B4EB0"/>
    <w:rsid w:val="00653530"/>
    <w:rsid w:val="00771C53"/>
    <w:rsid w:val="007A1424"/>
    <w:rsid w:val="007C23F5"/>
    <w:rsid w:val="007D2FB5"/>
    <w:rsid w:val="00831015"/>
    <w:rsid w:val="008F141E"/>
    <w:rsid w:val="00926EE3"/>
    <w:rsid w:val="009F4E05"/>
    <w:rsid w:val="00A30D59"/>
    <w:rsid w:val="00A324E2"/>
    <w:rsid w:val="00A46DE2"/>
    <w:rsid w:val="00A5106D"/>
    <w:rsid w:val="00A522A8"/>
    <w:rsid w:val="00A737FD"/>
    <w:rsid w:val="00A8023F"/>
    <w:rsid w:val="00A85363"/>
    <w:rsid w:val="00A9607C"/>
    <w:rsid w:val="00AA5EAB"/>
    <w:rsid w:val="00AB25C3"/>
    <w:rsid w:val="00B21B92"/>
    <w:rsid w:val="00B24D05"/>
    <w:rsid w:val="00B37E4C"/>
    <w:rsid w:val="00BE02FE"/>
    <w:rsid w:val="00BE7373"/>
    <w:rsid w:val="00C121BB"/>
    <w:rsid w:val="00C64707"/>
    <w:rsid w:val="00C658D6"/>
    <w:rsid w:val="00C723A8"/>
    <w:rsid w:val="00C90E69"/>
    <w:rsid w:val="00CA6C88"/>
    <w:rsid w:val="00D07809"/>
    <w:rsid w:val="00D102E7"/>
    <w:rsid w:val="00D2115B"/>
    <w:rsid w:val="00D56ED8"/>
    <w:rsid w:val="00D674E2"/>
    <w:rsid w:val="00D8374E"/>
    <w:rsid w:val="00D926FD"/>
    <w:rsid w:val="00E45679"/>
    <w:rsid w:val="00E66580"/>
    <w:rsid w:val="00E9483D"/>
    <w:rsid w:val="00F03CE9"/>
    <w:rsid w:val="00F122B0"/>
    <w:rsid w:val="00FB24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190A4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
    <w:name w:val="Body Text"/>
    <w:basedOn w:val="Normal"/>
    <w:link w:val="BodyTextChar"/>
    <w:uiPriority w:val="99"/>
    <w:unhideWhenUsed/>
    <w:rsid w:val="00A737FD"/>
    <w:pPr>
      <w:spacing w:after="120"/>
    </w:pPr>
  </w:style>
  <w:style w:type="character" w:customStyle="1" w:styleId="BodyTextChar">
    <w:name w:val="Body Text Char"/>
    <w:basedOn w:val="DefaultParagraphFont"/>
    <w:link w:val="BodyText"/>
    <w:uiPriority w:val="99"/>
    <w:rsid w:val="00A737FD"/>
  </w:style>
  <w:style w:type="character" w:styleId="Hyperlink">
    <w:name w:val="Hyperlink"/>
    <w:basedOn w:val="DefaultParagraphFont"/>
    <w:uiPriority w:val="99"/>
    <w:unhideWhenUsed/>
    <w:rsid w:val="003617C0"/>
    <w:rPr>
      <w:color w:val="0563C1" w:themeColor="hyperlink"/>
      <w:u w:val="single"/>
    </w:rPr>
  </w:style>
  <w:style w:type="character" w:styleId="UnresolvedMention">
    <w:name w:val="Unresolved Mention"/>
    <w:basedOn w:val="DefaultParagraphFont"/>
    <w:uiPriority w:val="99"/>
    <w:semiHidden/>
    <w:unhideWhenUsed/>
    <w:rsid w:val="003617C0"/>
    <w:rPr>
      <w:color w:val="605E5C"/>
      <w:shd w:val="clear" w:color="auto" w:fill="E1DFDD"/>
    </w:rPr>
  </w:style>
  <w:style w:type="paragraph" w:styleId="FootnoteText">
    <w:name w:val="footnote text"/>
    <w:basedOn w:val="Normal"/>
    <w:link w:val="FootnoteTextChar"/>
    <w:uiPriority w:val="99"/>
    <w:semiHidden/>
    <w:unhideWhenUsed/>
    <w:rsid w:val="00B24D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D05"/>
    <w:rPr>
      <w:sz w:val="20"/>
      <w:szCs w:val="20"/>
    </w:rPr>
  </w:style>
  <w:style w:type="character" w:styleId="FootnoteReference">
    <w:name w:val="footnote reference"/>
    <w:semiHidden/>
    <w:rsid w:val="00B24D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aa.gov/space/streamlined_licensing_process/licensing_process/" TargetMode="External" /><Relationship Id="rId7" Type="http://schemas.openxmlformats.org/officeDocument/2006/relationships/hyperlink" Target="https://www.faa.gov/space/streamlined_licensing_process/licensing_process/media/Pre-Application_Initial_Contact_Information_final.pdf" TargetMode="External" /><Relationship Id="rId8" Type="http://schemas.openxmlformats.org/officeDocument/2006/relationships/hyperlink" Target="https://www.faa.gov/contact_faa/" TargetMode="External" /><Relationship Id="rId9" Type="http://schemas.openxmlformats.org/officeDocument/2006/relationships/hyperlink" Target="https://www.faa.gov/data_research/commercial_space_data/launch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EDB7-951A-47DA-920C-CA897363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3652</Words>
  <Characters>20822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Bishop, Doris D (FAA)</cp:lastModifiedBy>
  <cp:revision>2</cp:revision>
  <cp:lastPrinted>2025-02-13T17:52:00Z</cp:lastPrinted>
  <dcterms:created xsi:type="dcterms:W3CDTF">2025-02-13T19:06:00Z</dcterms:created>
  <dcterms:modified xsi:type="dcterms:W3CDTF">2025-02-13T19:06:00Z</dcterms:modified>
</cp:coreProperties>
</file>