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142E14" w:rsidP="00FA2F70" w14:paraId="7B8B87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Supporting Statement for Paperwork Reduction Act Submissions</w:t>
      </w:r>
    </w:p>
    <w:p w:rsidR="009E118C" w:rsidP="00887BCA" w14:paraId="04559C6F" w14:textId="192F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OMB Control Number</w:t>
      </w:r>
      <w:r w:rsidR="00142E14">
        <w:rPr>
          <w:rFonts w:ascii="Helvetica" w:hAnsi="Helvetica"/>
          <w:b/>
          <w:color w:val="000000" w:themeColor="text1"/>
          <w:sz w:val="28"/>
        </w:rPr>
        <w:t xml:space="preserve">: </w:t>
      </w:r>
      <w:r w:rsidRPr="00142E14">
        <w:rPr>
          <w:rFonts w:ascii="Helvetica" w:hAnsi="Helvetica"/>
          <w:b/>
          <w:color w:val="000000" w:themeColor="text1"/>
          <w:sz w:val="28"/>
        </w:rPr>
        <w:t xml:space="preserve"> 2502-</w:t>
      </w:r>
      <w:r w:rsidRPr="00142E14" w:rsidR="00887BCA">
        <w:rPr>
          <w:rFonts w:ascii="Helvetica" w:hAnsi="Helvetica"/>
          <w:b/>
          <w:color w:val="000000" w:themeColor="text1"/>
          <w:sz w:val="28"/>
        </w:rPr>
        <w:t>0555</w:t>
      </w:r>
    </w:p>
    <w:p w:rsidR="00142E14" w:rsidRPr="00142E14" w:rsidP="00887BCA" w14:paraId="4A4C289C" w14:textId="20179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Pr>
          <w:rFonts w:ascii="Helvetica" w:hAnsi="Helvetica"/>
          <w:b/>
          <w:color w:val="000000" w:themeColor="text1"/>
          <w:sz w:val="28"/>
        </w:rPr>
        <w:t xml:space="preserve">OMB Title:  </w:t>
      </w:r>
      <w:r w:rsidR="00A22DE8">
        <w:rPr>
          <w:rFonts w:ascii="Helvetica" w:hAnsi="Helvetica"/>
          <w:b/>
          <w:color w:val="000000" w:themeColor="text1"/>
          <w:sz w:val="28"/>
        </w:rPr>
        <w:t>Request for Withdrawals from Replacements Reserves / Residual Receipts Funds</w:t>
      </w:r>
    </w:p>
    <w:p w:rsidR="009E118C" w:rsidRPr="00142E14" w:rsidP="00887BCA" w14:paraId="635EF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w:t>
      </w:r>
      <w:r w:rsidRPr="00142E14" w:rsidR="00887BCA">
        <w:rPr>
          <w:rFonts w:ascii="Helvetica" w:hAnsi="Helvetica"/>
          <w:b/>
          <w:color w:val="000000" w:themeColor="text1"/>
          <w:sz w:val="28"/>
        </w:rPr>
        <w:t>HUD-9250</w:t>
      </w:r>
      <w:r w:rsidRPr="00142E14">
        <w:rPr>
          <w:rFonts w:ascii="Helvetica" w:hAnsi="Helvetica"/>
          <w:b/>
          <w:color w:val="000000" w:themeColor="text1"/>
          <w:sz w:val="28"/>
        </w:rPr>
        <w:t>)</w:t>
      </w:r>
    </w:p>
    <w:p w:rsidR="009E118C" w:rsidRPr="00142E14" w:rsidP="00FA2F70" w14:paraId="4E310E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009E118C" w:rsidRPr="00142E14" w:rsidP="00FA2F70" w14:paraId="4B06BC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142E14">
        <w:rPr>
          <w:rFonts w:ascii="Helvetica" w:hAnsi="Helvetica"/>
          <w:b/>
          <w:color w:val="000000" w:themeColor="text1"/>
          <w:sz w:val="24"/>
        </w:rPr>
        <w:t xml:space="preserve">A. </w:t>
      </w:r>
      <w:r w:rsidRPr="00142E14">
        <w:rPr>
          <w:rFonts w:ascii="Helvetica" w:hAnsi="Helvetica"/>
          <w:b/>
          <w:color w:val="000000" w:themeColor="text1"/>
          <w:sz w:val="24"/>
        </w:rPr>
        <w:tab/>
        <w:t>Justification</w:t>
      </w:r>
    </w:p>
    <w:p w:rsidR="00FA2F70" w:rsidRPr="00142E14" w:rsidP="00FA2F70" w14:paraId="5C6991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7572FC75" w14:textId="77777777" w:rsidTr="00D35DDB">
        <w:tblPrEx>
          <w:tblW w:w="0" w:type="auto"/>
          <w:tblInd w:w="108" w:type="dxa"/>
          <w:tblLook w:val="04A0"/>
        </w:tblPrEx>
        <w:tc>
          <w:tcPr>
            <w:tcW w:w="9360" w:type="dxa"/>
            <w:shd w:val="clear" w:color="auto" w:fill="auto"/>
          </w:tcPr>
          <w:p w:rsidR="00FA2F70" w:rsidRPr="00142E14" w:rsidP="001B4FB5" w14:paraId="58EE4E0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42E14" w:rsidR="00A352F3">
              <w:rPr>
                <w:rFonts w:ascii="Times New Roman" w:hAnsi="Times New Roman"/>
                <w:b/>
                <w:color w:val="000000" w:themeColor="text1"/>
                <w:sz w:val="24"/>
                <w:szCs w:val="24"/>
              </w:rPr>
              <w:t xml:space="preserve"> Include a statement regarding the changes for this submission. (Example:  The </w:t>
            </w:r>
            <w:r w:rsidRPr="00142E14" w:rsidR="00A352F3">
              <w:rPr>
                <w:rFonts w:ascii="Times New Roman" w:hAnsi="Times New Roman"/>
                <w:b/>
                <w:color w:val="000000" w:themeColor="text1"/>
                <w:sz w:val="24"/>
                <w:szCs w:val="24"/>
              </w:rPr>
              <w:t>changes</w:t>
            </w:r>
            <w:r w:rsidRPr="00142E14" w:rsidR="00A352F3">
              <w:rPr>
                <w:rFonts w:ascii="Times New Roman" w:hAnsi="Times New Roman"/>
                <w:b/>
                <w:color w:val="000000" w:themeColor="text1"/>
                <w:sz w:val="24"/>
                <w:szCs w:val="24"/>
              </w:rPr>
              <w:t xml:space="preserve"> for this submittal </w:t>
            </w:r>
            <w:r w:rsidRPr="00142E14" w:rsidR="00A352F3">
              <w:rPr>
                <w:rFonts w:ascii="Times New Roman" w:hAnsi="Times New Roman"/>
                <w:b/>
                <w:color w:val="000000" w:themeColor="text1"/>
                <w:sz w:val="24"/>
                <w:szCs w:val="24"/>
              </w:rPr>
              <w:t>is</w:t>
            </w:r>
            <w:r w:rsidRPr="00142E14" w:rsidR="00A352F3">
              <w:rPr>
                <w:rFonts w:ascii="Times New Roman" w:hAnsi="Times New Roman"/>
                <w:b/>
                <w:color w:val="000000" w:themeColor="text1"/>
                <w:sz w:val="24"/>
                <w:szCs w:val="24"/>
              </w:rPr>
              <w:t xml:space="preserve"> as follows or the difference between this submission and the last is as follows....)</w:t>
            </w:r>
          </w:p>
          <w:p w:rsidR="00FA2F70" w:rsidRPr="00142E14" w:rsidP="001B4FB5" w14:paraId="493446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1CE5B3F4" w14:textId="77777777" w:rsidTr="00D35DDB">
        <w:tblPrEx>
          <w:tblW w:w="0" w:type="auto"/>
          <w:tblInd w:w="108" w:type="dxa"/>
          <w:tblLook w:val="04A0"/>
        </w:tblPrEx>
        <w:tc>
          <w:tcPr>
            <w:tcW w:w="9360" w:type="dxa"/>
            <w:shd w:val="clear" w:color="auto" w:fill="auto"/>
          </w:tcPr>
          <w:p w:rsidR="00FA2F70" w:rsidRPr="00142E14" w:rsidP="001B4FB5" w14:paraId="574C159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This information is necessary to effectively monitor withdrawals from Reserves for Replacement escrows and/or Residual Receipt Funds.  Regulations 24 CFR 880.601 and 880.602 govern residual receipts accounts and replacement reserve accounts and require HUD approval and compliance with HUD guidelines outlined in HUD Handbook 4350.1 for withdrawals from the accounts.  Copies of the regulatory and administrative guidelines are attached to this submission.</w:t>
            </w:r>
          </w:p>
        </w:tc>
      </w:tr>
    </w:tbl>
    <w:p w:rsidR="00FA2F70" w:rsidRPr="00142E14" w:rsidP="00FA2F70" w14:paraId="3335468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017206D2" w14:textId="77777777" w:rsidTr="00D35DDB">
        <w:tblPrEx>
          <w:tblW w:w="0" w:type="auto"/>
          <w:tblInd w:w="108" w:type="dxa"/>
          <w:tblLook w:val="04A0"/>
        </w:tblPrEx>
        <w:tc>
          <w:tcPr>
            <w:tcW w:w="9360" w:type="dxa"/>
            <w:shd w:val="clear" w:color="auto" w:fill="auto"/>
          </w:tcPr>
          <w:p w:rsidR="00FA2F70" w:rsidRPr="00142E14" w:rsidP="001B4FB5" w14:paraId="1DE03776"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2. Indicate how, by whom, and for what purpose the information is to be used. </w:t>
            </w:r>
            <w:r w:rsidRPr="00142E14">
              <w:rPr>
                <w:rFonts w:ascii="Times New Roman" w:hAnsi="Times New Roman"/>
                <w:b/>
                <w:i/>
                <w:color w:val="000000" w:themeColor="text1"/>
                <w:sz w:val="24"/>
                <w:szCs w:val="24"/>
              </w:rPr>
              <w:t>Except for a new collection</w:t>
            </w:r>
            <w:r w:rsidRPr="00142E14">
              <w:rPr>
                <w:rFonts w:ascii="Times New Roman" w:hAnsi="Times New Roman"/>
                <w:b/>
                <w:color w:val="000000" w:themeColor="text1"/>
                <w:sz w:val="24"/>
                <w:szCs w:val="24"/>
              </w:rPr>
              <w:t xml:space="preserve">, indicate the actual use the agency has made of the information received from the current collection. </w:t>
            </w:r>
          </w:p>
          <w:p w:rsidR="00FA2F70" w:rsidRPr="00142E14" w:rsidP="001B4FB5" w14:paraId="3DBC72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0A46FB95" w14:textId="77777777" w:rsidTr="00D35DDB">
        <w:tblPrEx>
          <w:tblW w:w="0" w:type="auto"/>
          <w:tblInd w:w="108" w:type="dxa"/>
          <w:tblLook w:val="04A0"/>
        </w:tblPrEx>
        <w:tc>
          <w:tcPr>
            <w:tcW w:w="9360" w:type="dxa"/>
            <w:shd w:val="clear" w:color="auto" w:fill="auto"/>
          </w:tcPr>
          <w:p w:rsidR="004A3C65" w:rsidRPr="00142E14" w:rsidP="004A3C65" w14:paraId="0E7C62AF" w14:textId="2534EA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Project owners are required to submit the form HUD-9250 information when requesting a withdrawal of funds from the Reserve for Replacement</w:t>
            </w:r>
            <w:r w:rsidRPr="00142E14" w:rsidR="00D310D3">
              <w:rPr>
                <w:rFonts w:ascii="Courier" w:hAnsi="Courier"/>
                <w:color w:val="000000" w:themeColor="text1"/>
                <w:sz w:val="24"/>
              </w:rPr>
              <w:t>s</w:t>
            </w:r>
            <w:r w:rsidRPr="00142E14">
              <w:rPr>
                <w:rFonts w:ascii="Courier" w:hAnsi="Courier"/>
                <w:color w:val="000000" w:themeColor="text1"/>
                <w:sz w:val="24"/>
              </w:rPr>
              <w:t xml:space="preserve"> or Residual Receipt</w:t>
            </w:r>
            <w:r w:rsidRPr="00142E14" w:rsidR="00D310D3">
              <w:rPr>
                <w:rFonts w:ascii="Courier" w:hAnsi="Courier"/>
                <w:color w:val="000000" w:themeColor="text1"/>
                <w:sz w:val="24"/>
              </w:rPr>
              <w:t>s</w:t>
            </w:r>
            <w:r w:rsidRPr="00142E14">
              <w:rPr>
                <w:rFonts w:ascii="Courier" w:hAnsi="Courier"/>
                <w:color w:val="000000" w:themeColor="text1"/>
                <w:sz w:val="24"/>
              </w:rPr>
              <w:t xml:space="preserve"> escrow.  HUD reviews this information to ensure that funds are withdrawn and used in accordance with regulatory and administrative policy.  HUD annually receives form requests from approximately 27% of the project </w:t>
            </w:r>
            <w:r w:rsidR="00D40568">
              <w:rPr>
                <w:rFonts w:ascii="Courier" w:hAnsi="Courier"/>
                <w:color w:val="000000" w:themeColor="text1"/>
                <w:sz w:val="24"/>
              </w:rPr>
              <w:t xml:space="preserve">owner </w:t>
            </w:r>
            <w:r w:rsidRPr="00142E14">
              <w:rPr>
                <w:rFonts w:ascii="Courier" w:hAnsi="Courier"/>
                <w:color w:val="000000" w:themeColor="text1"/>
                <w:sz w:val="24"/>
              </w:rPr>
              <w:t>population.</w:t>
            </w:r>
          </w:p>
          <w:p w:rsidR="004A3C65" w:rsidRPr="00142E14" w:rsidP="004A3C65" w14:paraId="54E296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4A3C65" w:rsidRPr="00142E14" w:rsidP="004A3C65" w14:paraId="13B40042" w14:textId="2C3EE2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Owners make requests in writing using form HUD-9250, Funds Authorizations, along with supporting documentation.  HUD or the lender/servicer will make reasonable effort to review and act upon the owner's request within </w:t>
            </w:r>
            <w:r w:rsidR="00D40568">
              <w:rPr>
                <w:rFonts w:ascii="Courier" w:hAnsi="Courier"/>
                <w:color w:val="000000" w:themeColor="text1"/>
                <w:sz w:val="24"/>
              </w:rPr>
              <w:t>30</w:t>
            </w:r>
            <w:r w:rsidRPr="00142E14">
              <w:rPr>
                <w:rFonts w:ascii="Courier" w:hAnsi="Courier"/>
                <w:color w:val="000000" w:themeColor="text1"/>
                <w:sz w:val="24"/>
              </w:rPr>
              <w:t xml:space="preserve"> days and, if approved, prepare, sign, and provide the form HUD-9250 to the lender/servicer of record.  Supporting documentation must be attached to </w:t>
            </w:r>
            <w:r w:rsidRPr="00142E14">
              <w:rPr>
                <w:rFonts w:ascii="Courier" w:hAnsi="Courier"/>
                <w:color w:val="000000" w:themeColor="text1"/>
                <w:sz w:val="24"/>
              </w:rPr>
              <w:t>the</w:t>
            </w:r>
            <w:r w:rsidR="009F6D8A">
              <w:rPr>
                <w:rFonts w:ascii="Courier" w:hAnsi="Courier"/>
                <w:color w:val="000000" w:themeColor="text1"/>
                <w:sz w:val="24"/>
              </w:rPr>
              <w:t xml:space="preserve"> </w:t>
            </w:r>
            <w:r w:rsidRPr="00142E14">
              <w:rPr>
                <w:rFonts w:ascii="Courier" w:hAnsi="Courier"/>
                <w:color w:val="000000" w:themeColor="text1"/>
                <w:sz w:val="24"/>
              </w:rPr>
              <w:t>HUD</w:t>
            </w:r>
            <w:r w:rsidRPr="00142E14">
              <w:rPr>
                <w:rFonts w:ascii="Courier" w:hAnsi="Courier"/>
                <w:color w:val="000000" w:themeColor="text1"/>
                <w:sz w:val="24"/>
              </w:rPr>
              <w:t xml:space="preserve">-9250.  Examples of supporting documentation include a detailed description of the work done or to be done; a copy of paid invoice(s); three formal or informal bids; a copy of the bid specifications; an owner’s certification that funds were </w:t>
            </w:r>
            <w:r w:rsidRPr="00142E14" w:rsidR="009F6D8A">
              <w:rPr>
                <w:rFonts w:ascii="Courier" w:hAnsi="Courier"/>
                <w:color w:val="000000" w:themeColor="text1"/>
                <w:sz w:val="24"/>
              </w:rPr>
              <w:t>spent,</w:t>
            </w:r>
            <w:r w:rsidRPr="00142E14">
              <w:rPr>
                <w:rFonts w:ascii="Courier" w:hAnsi="Courier"/>
                <w:color w:val="000000" w:themeColor="text1"/>
                <w:sz w:val="24"/>
              </w:rPr>
              <w:t xml:space="preserve"> and work was done as required by HUD; and appropriate explanations as to other uses of the funds.  </w:t>
            </w:r>
          </w:p>
          <w:p w:rsidR="004A3C65" w:rsidRPr="00142E14" w:rsidP="004A3C65" w14:paraId="7B7AA0A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4A3C65" w14:paraId="2A729EE8" w14:textId="457182E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Adjustments have been made due to Notice H 2012-14 “Use of “New Regulation” Section 8 Housing Assistance Payments (HAP) </w:t>
            </w:r>
            <w:r w:rsidRPr="00142E14" w:rsidR="00D310D3">
              <w:rPr>
                <w:rFonts w:ascii="Courier" w:hAnsi="Courier"/>
                <w:color w:val="000000" w:themeColor="text1"/>
                <w:sz w:val="24"/>
              </w:rPr>
              <w:t>C</w:t>
            </w:r>
            <w:r w:rsidRPr="00142E14">
              <w:rPr>
                <w:rFonts w:ascii="Courier" w:hAnsi="Courier"/>
                <w:color w:val="000000" w:themeColor="text1"/>
                <w:sz w:val="24"/>
              </w:rPr>
              <w:t xml:space="preserve">ontracts Residual Receipts to Offset Project-Based Section 8 Housing Assistance Payments”.  The new regulation and/or the various HAP contract forms used for new regulation projects explicitly permit HUD to use </w:t>
            </w:r>
            <w:r w:rsidRPr="00142E14" w:rsidR="00D310D3">
              <w:rPr>
                <w:rFonts w:ascii="Courier" w:hAnsi="Courier"/>
                <w:color w:val="000000" w:themeColor="text1"/>
                <w:sz w:val="24"/>
              </w:rPr>
              <w:t>r</w:t>
            </w:r>
            <w:r w:rsidRPr="00142E14">
              <w:rPr>
                <w:rFonts w:ascii="Courier" w:hAnsi="Courier"/>
                <w:color w:val="000000" w:themeColor="text1"/>
                <w:sz w:val="24"/>
              </w:rPr>
              <w:t xml:space="preserve">esidual </w:t>
            </w:r>
            <w:r w:rsidRPr="00142E14" w:rsidR="00D310D3">
              <w:rPr>
                <w:rFonts w:ascii="Courier" w:hAnsi="Courier"/>
                <w:color w:val="000000" w:themeColor="text1"/>
                <w:sz w:val="24"/>
              </w:rPr>
              <w:t>r</w:t>
            </w:r>
            <w:r w:rsidRPr="00142E14">
              <w:rPr>
                <w:rFonts w:ascii="Courier" w:hAnsi="Courier"/>
                <w:color w:val="000000" w:themeColor="text1"/>
                <w:sz w:val="24"/>
              </w:rPr>
              <w:t xml:space="preserve">eceipts to reduce housing assistance payments. (See 24 CFR §§ 880.205(e), 881.205(e), and 883.306(e)).  This Notice sets forth the policy and procedures for the Department’s use of new regulation </w:t>
            </w:r>
            <w:r w:rsidRPr="00142E14" w:rsidR="00D310D3">
              <w:rPr>
                <w:rFonts w:ascii="Courier" w:hAnsi="Courier"/>
                <w:color w:val="000000" w:themeColor="text1"/>
                <w:sz w:val="24"/>
              </w:rPr>
              <w:t>r</w:t>
            </w:r>
            <w:r w:rsidRPr="00142E14">
              <w:rPr>
                <w:rFonts w:ascii="Courier" w:hAnsi="Courier"/>
                <w:color w:val="000000" w:themeColor="text1"/>
                <w:sz w:val="24"/>
              </w:rPr>
              <w:t xml:space="preserve">esidual </w:t>
            </w:r>
            <w:r w:rsidRPr="00142E14" w:rsidR="00D310D3">
              <w:rPr>
                <w:rFonts w:ascii="Courier" w:hAnsi="Courier"/>
                <w:color w:val="000000" w:themeColor="text1"/>
                <w:sz w:val="24"/>
              </w:rPr>
              <w:t>r</w:t>
            </w:r>
            <w:r w:rsidRPr="00142E14">
              <w:rPr>
                <w:rFonts w:ascii="Courier" w:hAnsi="Courier"/>
                <w:color w:val="000000" w:themeColor="text1"/>
                <w:sz w:val="24"/>
              </w:rPr>
              <w:t xml:space="preserve">eceipts to offset housing assistance payments.  </w:t>
            </w:r>
          </w:p>
        </w:tc>
      </w:tr>
    </w:tbl>
    <w:p w:rsidR="00FA2F70" w:rsidRPr="00142E14" w:rsidP="00FA2F70" w14:paraId="602E39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1EB73CF1" w14:textId="77777777" w:rsidTr="00D35DDB">
        <w:tblPrEx>
          <w:tblW w:w="0" w:type="auto"/>
          <w:tblInd w:w="108" w:type="dxa"/>
          <w:tblLook w:val="04A0"/>
        </w:tblPrEx>
        <w:tc>
          <w:tcPr>
            <w:tcW w:w="9360" w:type="dxa"/>
            <w:shd w:val="clear" w:color="auto" w:fill="auto"/>
          </w:tcPr>
          <w:p w:rsidR="00FA2F70" w:rsidRPr="00142E14" w:rsidP="001B4FB5" w14:paraId="686784AD"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142E14" w:rsidP="001B4FB5" w14:paraId="6659D117" w14:textId="77777777">
            <w:pPr>
              <w:spacing w:after="0" w:line="240" w:lineRule="auto"/>
              <w:rPr>
                <w:rFonts w:ascii="Times New Roman" w:hAnsi="Times New Roman"/>
                <w:b/>
                <w:color w:val="000000" w:themeColor="text1"/>
                <w:sz w:val="24"/>
                <w:szCs w:val="24"/>
              </w:rPr>
            </w:pPr>
          </w:p>
        </w:tc>
      </w:tr>
      <w:tr w14:paraId="68F90DAA" w14:textId="77777777" w:rsidTr="00D35DDB">
        <w:tblPrEx>
          <w:tblW w:w="0" w:type="auto"/>
          <w:tblInd w:w="108" w:type="dxa"/>
          <w:tblLook w:val="04A0"/>
        </w:tblPrEx>
        <w:tc>
          <w:tcPr>
            <w:tcW w:w="9360" w:type="dxa"/>
            <w:shd w:val="clear" w:color="auto" w:fill="auto"/>
          </w:tcPr>
          <w:p w:rsidR="00FA2F70" w:rsidRPr="00142E14" w:rsidP="00D310D3" w14:paraId="76A9BE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There are no immediate plans to automate this process. However, the form is available in a fillable format.  The request for use of funds must include additional supporting documentation, and no practical automation processes are available to satisfy this requirement.  The form and supporting documentation may be scanned and submitted electronically at the owner’s option.</w:t>
            </w:r>
          </w:p>
        </w:tc>
      </w:tr>
    </w:tbl>
    <w:p w:rsidR="00FA2F70" w:rsidRPr="00142E14" w:rsidP="00FA2F70" w14:paraId="358E13C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684160E" w14:textId="77777777" w:rsidTr="00D35DDB">
        <w:tblPrEx>
          <w:tblW w:w="0" w:type="auto"/>
          <w:tblInd w:w="108" w:type="dxa"/>
          <w:tblLook w:val="04A0"/>
        </w:tblPrEx>
        <w:tc>
          <w:tcPr>
            <w:tcW w:w="9360" w:type="dxa"/>
            <w:shd w:val="clear" w:color="auto" w:fill="auto"/>
          </w:tcPr>
          <w:p w:rsidR="00FA2F70" w:rsidRPr="00142E14" w:rsidP="001B4FB5" w14:paraId="269A0ED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142E14" w:rsidP="001B4FB5" w14:paraId="7F381B81" w14:textId="77777777">
            <w:pPr>
              <w:spacing w:after="0" w:line="240" w:lineRule="auto"/>
              <w:rPr>
                <w:rFonts w:ascii="Times New Roman" w:hAnsi="Times New Roman"/>
                <w:b/>
                <w:color w:val="000000" w:themeColor="text1"/>
                <w:sz w:val="24"/>
                <w:szCs w:val="24"/>
              </w:rPr>
            </w:pPr>
          </w:p>
        </w:tc>
      </w:tr>
      <w:tr w14:paraId="527511AB" w14:textId="77777777" w:rsidTr="00D35DDB">
        <w:tblPrEx>
          <w:tblW w:w="0" w:type="auto"/>
          <w:tblInd w:w="108" w:type="dxa"/>
          <w:tblLook w:val="04A0"/>
        </w:tblPrEx>
        <w:tc>
          <w:tcPr>
            <w:tcW w:w="9360" w:type="dxa"/>
            <w:shd w:val="clear" w:color="auto" w:fill="auto"/>
          </w:tcPr>
          <w:p w:rsidR="00FA2F70" w:rsidRPr="00142E14" w:rsidP="00D310D3" w14:paraId="344EEA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 information is not available from any other source.</w:t>
            </w:r>
          </w:p>
        </w:tc>
      </w:tr>
    </w:tbl>
    <w:p w:rsidR="00FA2F70" w:rsidRPr="00142E14" w:rsidP="00FA2F70" w14:paraId="7033A203"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CB50106" w14:textId="77777777" w:rsidTr="00D35DDB">
        <w:tblPrEx>
          <w:tblW w:w="0" w:type="auto"/>
          <w:tblInd w:w="108" w:type="dxa"/>
          <w:tblLook w:val="04A0"/>
        </w:tblPrEx>
        <w:tc>
          <w:tcPr>
            <w:tcW w:w="9360" w:type="dxa"/>
            <w:shd w:val="clear" w:color="auto" w:fill="auto"/>
          </w:tcPr>
          <w:p w:rsidR="00FA2F70" w:rsidRPr="00142E14" w:rsidP="001B4FB5" w14:paraId="07DB4594"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142E14" w:rsidP="001B4FB5" w14:paraId="0208F53E" w14:textId="77777777">
            <w:pPr>
              <w:spacing w:after="0" w:line="240" w:lineRule="auto"/>
              <w:rPr>
                <w:rFonts w:ascii="Times New Roman" w:hAnsi="Times New Roman"/>
                <w:b/>
                <w:color w:val="000000" w:themeColor="text1"/>
                <w:sz w:val="24"/>
                <w:szCs w:val="24"/>
              </w:rPr>
            </w:pPr>
          </w:p>
        </w:tc>
      </w:tr>
      <w:tr w14:paraId="72A105EC" w14:textId="77777777" w:rsidTr="00D35DDB">
        <w:tblPrEx>
          <w:tblW w:w="0" w:type="auto"/>
          <w:tblInd w:w="108" w:type="dxa"/>
          <w:tblLook w:val="04A0"/>
        </w:tblPrEx>
        <w:tc>
          <w:tcPr>
            <w:tcW w:w="9360" w:type="dxa"/>
            <w:shd w:val="clear" w:color="auto" w:fill="auto"/>
          </w:tcPr>
          <w:p w:rsidR="00FA2F70" w:rsidRPr="00142E14" w:rsidP="00D310D3" w14:paraId="36F511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This collection of information does not impact small businesses or other small entities, except for certain nonprofit owners of multifamily housing. Nonprofit owners are required to submit the form HUD-9250 information when requesting a withdrawal of funds from the Reserve for Replacement</w:t>
            </w:r>
            <w:r w:rsidRPr="00142E14" w:rsidR="004D5943">
              <w:rPr>
                <w:rFonts w:ascii="Courier" w:hAnsi="Courier"/>
                <w:color w:val="000000" w:themeColor="text1"/>
                <w:sz w:val="24"/>
              </w:rPr>
              <w:t>s</w:t>
            </w:r>
            <w:r w:rsidRPr="00142E14">
              <w:rPr>
                <w:rFonts w:ascii="Courier" w:hAnsi="Courier"/>
                <w:color w:val="000000" w:themeColor="text1"/>
                <w:sz w:val="24"/>
              </w:rPr>
              <w:t xml:space="preserve"> or Residual Receipts escrow.  HUD reviews this information to ensure that funds are withdrawn and used in accordance with regulatory and administrative policy</w:t>
            </w:r>
            <w:r w:rsidRPr="00142E14" w:rsidR="004D5943">
              <w:rPr>
                <w:rFonts w:ascii="Courier" w:hAnsi="Courier"/>
                <w:color w:val="000000" w:themeColor="text1"/>
                <w:sz w:val="24"/>
              </w:rPr>
              <w:t>.</w:t>
            </w:r>
          </w:p>
        </w:tc>
      </w:tr>
    </w:tbl>
    <w:p w:rsidR="00FA2F70" w:rsidRPr="00142E14" w:rsidP="00FA2F70" w14:paraId="266D2460"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5E4F4D7A" w14:textId="77777777" w:rsidTr="00D35DDB">
        <w:tblPrEx>
          <w:tblW w:w="0" w:type="auto"/>
          <w:tblInd w:w="108" w:type="dxa"/>
          <w:tblLook w:val="04A0"/>
        </w:tblPrEx>
        <w:tc>
          <w:tcPr>
            <w:tcW w:w="9360" w:type="dxa"/>
            <w:shd w:val="clear" w:color="auto" w:fill="auto"/>
          </w:tcPr>
          <w:p w:rsidR="00FA2F70" w:rsidRPr="00142E14" w:rsidP="001B4FB5" w14:paraId="4419313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142E14" w:rsidP="001B4FB5" w14:paraId="15830479" w14:textId="77777777">
            <w:pPr>
              <w:spacing w:after="0" w:line="240" w:lineRule="auto"/>
              <w:rPr>
                <w:rFonts w:ascii="Times New Roman" w:hAnsi="Times New Roman"/>
                <w:b/>
                <w:color w:val="000000" w:themeColor="text1"/>
                <w:sz w:val="24"/>
                <w:szCs w:val="24"/>
              </w:rPr>
            </w:pPr>
          </w:p>
        </w:tc>
      </w:tr>
      <w:tr w14:paraId="22F77E20" w14:textId="77777777" w:rsidTr="00D35DDB">
        <w:tblPrEx>
          <w:tblW w:w="0" w:type="auto"/>
          <w:tblInd w:w="108" w:type="dxa"/>
          <w:tblLook w:val="04A0"/>
        </w:tblPrEx>
        <w:tc>
          <w:tcPr>
            <w:tcW w:w="9360" w:type="dxa"/>
            <w:shd w:val="clear" w:color="auto" w:fill="auto"/>
          </w:tcPr>
          <w:p w:rsidR="00FA2F70" w:rsidRPr="00142E14" w:rsidP="004D5943" w14:paraId="235C3204" w14:textId="579C82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Without this collection, HUD would be unable to monitor owner/agent withdrawals from the Reserve for Replacements or Residual Receipts escrows.  The Department would be unable to ensure that funds are not misused, and that</w:t>
            </w:r>
            <w:r w:rsidR="00B356FA">
              <w:rPr>
                <w:rFonts w:ascii="Courier" w:hAnsi="Courier"/>
                <w:color w:val="000000" w:themeColor="text1"/>
                <w:sz w:val="24"/>
              </w:rPr>
              <w:t xml:space="preserve"> enough</w:t>
            </w:r>
            <w:r w:rsidRPr="00142E14">
              <w:rPr>
                <w:rFonts w:ascii="Courier" w:hAnsi="Courier"/>
                <w:color w:val="000000" w:themeColor="text1"/>
                <w:sz w:val="24"/>
              </w:rPr>
              <w:t xml:space="preserve"> funds remain available for future capital improvements or replacements at the project site.</w:t>
            </w:r>
          </w:p>
        </w:tc>
      </w:tr>
    </w:tbl>
    <w:p w:rsidR="00FA2F70" w:rsidRPr="00142E14" w:rsidP="00FA2F70" w14:paraId="0BAE4DB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85DDA7B" w14:textId="77777777" w:rsidTr="00D35DDB">
        <w:tblPrEx>
          <w:tblW w:w="0" w:type="auto"/>
          <w:tblInd w:w="108" w:type="dxa"/>
          <w:tblLook w:val="04A0"/>
        </w:tblPrEx>
        <w:tc>
          <w:tcPr>
            <w:tcW w:w="9360" w:type="dxa"/>
            <w:shd w:val="clear" w:color="auto" w:fill="auto"/>
          </w:tcPr>
          <w:p w:rsidR="00FA2F70" w:rsidRPr="00142E14" w:rsidP="001B4FB5" w14:paraId="38E8593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142E14" w:rsidP="001B4FB5" w14:paraId="44B491B7" w14:textId="77777777">
            <w:pPr>
              <w:spacing w:after="0" w:line="240" w:lineRule="auto"/>
              <w:rPr>
                <w:rFonts w:ascii="Times New Roman" w:hAnsi="Times New Roman"/>
                <w:b/>
                <w:color w:val="000000" w:themeColor="text1"/>
                <w:sz w:val="24"/>
                <w:szCs w:val="24"/>
              </w:rPr>
            </w:pPr>
          </w:p>
          <w:p w:rsidR="00FA2F70" w:rsidRPr="00142E14" w:rsidP="001B4FB5" w14:paraId="5E46EC6D"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respondents to report information to the agency more often than quarterly; </w:t>
            </w:r>
          </w:p>
          <w:p w:rsidR="00D35DDB" w:rsidRPr="00142E14" w:rsidP="004D5943" w14:paraId="61E8EE5B" w14:textId="48CE06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There is no requirement for respondents to report the information more </w:t>
            </w:r>
            <w:r w:rsidR="00D40568">
              <w:rPr>
                <w:rFonts w:ascii="Courier" w:hAnsi="Courier"/>
                <w:color w:val="000000" w:themeColor="text1"/>
                <w:sz w:val="24"/>
              </w:rPr>
              <w:t xml:space="preserve">often </w:t>
            </w:r>
            <w:r w:rsidRPr="00142E14">
              <w:rPr>
                <w:rFonts w:ascii="Courier" w:hAnsi="Courier"/>
                <w:color w:val="000000" w:themeColor="text1"/>
                <w:sz w:val="24"/>
              </w:rPr>
              <w:t>than quarterly.</w:t>
            </w:r>
          </w:p>
          <w:p w:rsidR="004D5943" w:rsidRPr="00142E14" w:rsidP="004D5943" w14:paraId="400D14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rsidR="00FA2F70" w:rsidRPr="00142E14" w:rsidP="001B4FB5" w14:paraId="50D1398C"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respondents to prepare a written response to a collection of information in fewer than 30 days after receipt of it; </w:t>
            </w:r>
          </w:p>
          <w:p w:rsidR="00D35DDB" w:rsidRPr="00142E14" w:rsidP="004D5943" w14:paraId="05998C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There is no requirement for respondents to prepare a written response to a collection in fewer than 30 days. The form is used by </w:t>
            </w:r>
            <w:r w:rsidRPr="00142E14">
              <w:rPr>
                <w:rFonts w:ascii="Courier" w:hAnsi="Courier"/>
                <w:color w:val="000000" w:themeColor="text1"/>
                <w:sz w:val="24"/>
              </w:rPr>
              <w:t>owner</w:t>
            </w:r>
            <w:r w:rsidRPr="00142E14">
              <w:rPr>
                <w:rFonts w:ascii="Courier" w:hAnsi="Courier"/>
                <w:color w:val="000000" w:themeColor="text1"/>
                <w:sz w:val="24"/>
              </w:rPr>
              <w:t>/managers to request funds.  HUD does not require use of the form for any other purpose.</w:t>
            </w:r>
          </w:p>
          <w:p w:rsidR="004D5943" w:rsidRPr="00142E14" w:rsidP="004D5943" w14:paraId="6EB764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7450FC" w:rsidRPr="00142E14" w:rsidP="001B4FB5" w14:paraId="0C985D0C"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respondents to submit more than an original and two copies of any document; </w:t>
            </w:r>
          </w:p>
          <w:p w:rsidR="007450FC" w:rsidRPr="00142E14" w:rsidP="004D5943" w14:paraId="4C364C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requirement for respondents to submit more than an original of any document.</w:t>
            </w:r>
          </w:p>
          <w:p w:rsidR="004D5943" w:rsidRPr="00142E14" w:rsidP="004D5943" w14:paraId="5A1945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1B4FB5" w14:paraId="168AC1DF"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respondents to retain records, other than health, medical, government contract, grant-in-aid, or tax records, for more than three years; </w:t>
            </w:r>
          </w:p>
          <w:p w:rsidR="00D35DDB" w:rsidRPr="00142E14" w:rsidP="00CB3B53" w14:paraId="643C411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Other than for purposes of maintaining warranty information provided with work and materials provided to the project, there is no requirement for respondents to retain records other than health, medical, government contract, grant-in-aid, or tax records for more than three years.</w:t>
            </w:r>
          </w:p>
          <w:p w:rsidR="00CB3B53" w:rsidRPr="00142E14" w:rsidP="00CB3B53" w14:paraId="769A92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1B4FB5" w14:paraId="22EE90D2"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in</w:t>
            </w:r>
            <w:r w:rsidRPr="00142E14">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p>
          <w:p w:rsidR="00123347" w:rsidRPr="00142E14" w:rsidP="00CB3B53" w14:paraId="35368C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This collection is not made in connection with a statistical survey.</w:t>
            </w:r>
          </w:p>
          <w:p w:rsidR="00CB3B53" w:rsidRPr="00142E14" w:rsidP="00CB3B53" w14:paraId="08AF43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1B4FB5" w14:paraId="46BA6DB6"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the use of a statistical data classification that has not been reviewed and approved by OMB; </w:t>
            </w:r>
          </w:p>
          <w:p w:rsidR="00D35DDB" w:rsidRPr="00142E14" w:rsidP="00CB3B53" w14:paraId="790FB309" w14:textId="2A4BA1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There is no use of </w:t>
            </w:r>
            <w:r w:rsidRPr="00142E14">
              <w:rPr>
                <w:rFonts w:ascii="Courier" w:hAnsi="Courier"/>
                <w:color w:val="000000" w:themeColor="text1"/>
                <w:sz w:val="24"/>
              </w:rPr>
              <w:t>a statistical</w:t>
            </w:r>
            <w:r w:rsidRPr="00142E14">
              <w:rPr>
                <w:rFonts w:ascii="Courier" w:hAnsi="Courier"/>
                <w:color w:val="000000" w:themeColor="text1"/>
                <w:sz w:val="24"/>
              </w:rPr>
              <w:t xml:space="preserve"> data classification with this collection.</w:t>
            </w:r>
          </w:p>
          <w:p w:rsidR="00CB3B53" w:rsidRPr="00142E14" w:rsidP="00CB3B53" w14:paraId="6A544AE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1B4FB5" w14:paraId="3EC9F8F3"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that</w:t>
            </w:r>
            <w:r w:rsidRPr="00142E14">
              <w:rPr>
                <w:rFonts w:ascii="Times New Roman" w:hAnsi="Times New Roman"/>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142E14" w:rsidP="00CB3B53" w14:paraId="656060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pledge of confidentiality that is not supported by authority established in statute or regulation.</w:t>
            </w:r>
          </w:p>
          <w:p w:rsidR="00CB3B53" w:rsidRPr="00142E14" w:rsidP="00CB3B53" w14:paraId="3D58D5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142E14" w:rsidP="001B4FB5" w14:paraId="1401C66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w:t>
            </w:r>
            <w:r w:rsidRPr="00142E14">
              <w:rPr>
                <w:rFonts w:ascii="Times New Roman" w:hAnsi="Times New Roman"/>
                <w:color w:val="000000" w:themeColor="text1"/>
                <w:sz w:val="24"/>
                <w:szCs w:val="24"/>
              </w:rPr>
              <w:t>requiring</w:t>
            </w:r>
            <w:r w:rsidRPr="00142E14">
              <w:rPr>
                <w:rFonts w:ascii="Times New Roman" w:hAnsi="Times New Roman"/>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FA2F70" w:rsidRPr="00142E14" w:rsidP="00CB3B53" w14:paraId="2325B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There is no requirement for respondents to submit proprietary trade secrets, or other confidential information.</w:t>
            </w:r>
          </w:p>
        </w:tc>
      </w:tr>
      <w:tr w14:paraId="121FAFC0" w14:textId="77777777" w:rsidTr="00D35DDB">
        <w:tblPrEx>
          <w:tblW w:w="0" w:type="auto"/>
          <w:tblInd w:w="108" w:type="dxa"/>
          <w:tblLook w:val="04A0"/>
        </w:tblPrEx>
        <w:tc>
          <w:tcPr>
            <w:tcW w:w="9360" w:type="dxa"/>
            <w:shd w:val="clear" w:color="auto" w:fill="auto"/>
          </w:tcPr>
          <w:p w:rsidR="00FA2F70" w:rsidRPr="00142E14" w:rsidP="001B4FB5" w14:paraId="4393A4A2" w14:textId="77777777">
            <w:pPr>
              <w:spacing w:after="0" w:line="240" w:lineRule="auto"/>
              <w:rPr>
                <w:rFonts w:ascii="Times New Roman" w:hAnsi="Times New Roman"/>
                <w:b/>
                <w:color w:val="000000" w:themeColor="text1"/>
                <w:sz w:val="24"/>
                <w:szCs w:val="24"/>
              </w:rPr>
            </w:pPr>
          </w:p>
        </w:tc>
      </w:tr>
    </w:tbl>
    <w:p w:rsidR="00FA2F70" w:rsidRPr="00142E14" w:rsidP="00FA2F70" w14:paraId="64A60482"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456F356" w14:textId="77777777" w:rsidTr="00D35DDB">
        <w:tblPrEx>
          <w:tblW w:w="0" w:type="auto"/>
          <w:tblInd w:w="108" w:type="dxa"/>
          <w:tblLook w:val="04A0"/>
        </w:tblPrEx>
        <w:tc>
          <w:tcPr>
            <w:tcW w:w="9360" w:type="dxa"/>
            <w:shd w:val="clear" w:color="auto" w:fill="auto"/>
          </w:tcPr>
          <w:p w:rsidR="0021340A" w:rsidRPr="00142E14" w:rsidP="001B4FB5" w14:paraId="5007CC10"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8. If applicable, provide a copy and identify the date and page number of </w:t>
            </w:r>
            <w:r w:rsidRPr="00142E14">
              <w:rPr>
                <w:rFonts w:ascii="Times New Roman" w:hAnsi="Times New Roman"/>
                <w:b/>
                <w:color w:val="000000" w:themeColor="text1"/>
                <w:sz w:val="24"/>
                <w:szCs w:val="24"/>
              </w:rPr>
              <w:t>publication</w:t>
            </w:r>
            <w:r w:rsidRPr="00142E14">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142E14" w:rsidP="009B0365" w14:paraId="562C5DAC" w14:textId="77777777">
            <w:pPr>
              <w:spacing w:after="0" w:line="240" w:lineRule="auto"/>
              <w:rPr>
                <w:rFonts w:ascii="Times New Roman" w:hAnsi="Times New Roman"/>
                <w:color w:val="000000" w:themeColor="text1"/>
              </w:rPr>
            </w:pPr>
          </w:p>
          <w:p w:rsidR="00FA2F70" w:rsidRPr="00142E14" w:rsidP="00611B03" w14:paraId="0458F90C" w14:textId="77777777">
            <w:pPr>
              <w:spacing w:after="0" w:line="240" w:lineRule="auto"/>
              <w:rPr>
                <w:rFonts w:ascii="Times New Roman" w:hAnsi="Times New Roman"/>
                <w:b/>
                <w:color w:val="000000" w:themeColor="text1"/>
                <w:sz w:val="24"/>
                <w:szCs w:val="24"/>
              </w:rPr>
            </w:pPr>
          </w:p>
        </w:tc>
      </w:tr>
      <w:tr w14:paraId="0D068116" w14:textId="77777777" w:rsidTr="00D35DDB">
        <w:tblPrEx>
          <w:tblW w:w="0" w:type="auto"/>
          <w:tblInd w:w="108" w:type="dxa"/>
          <w:tblLook w:val="04A0"/>
        </w:tblPrEx>
        <w:tc>
          <w:tcPr>
            <w:tcW w:w="9360" w:type="dxa"/>
            <w:shd w:val="clear" w:color="auto" w:fill="auto"/>
          </w:tcPr>
          <w:p w:rsidR="00FA2F70" w:rsidRPr="00142E14" w:rsidP="00CB3B53" w14:paraId="76C209FF" w14:textId="6B2F1B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611B03">
              <w:rPr>
                <w:rFonts w:ascii="Courier" w:hAnsi="Courier"/>
                <w:color w:val="000000" w:themeColor="text1"/>
                <w:sz w:val="24"/>
              </w:rPr>
              <w:t xml:space="preserve">In accordance with 5CFR 1320.8(d), this information collection soliciting public comments was announced in the Federal Register on </w:t>
            </w:r>
            <w:r w:rsidRPr="00611B03">
              <w:rPr>
                <w:rFonts w:ascii="Courier" w:hAnsi="Courier"/>
                <w:b/>
                <w:bCs/>
                <w:color w:val="000000" w:themeColor="text1"/>
                <w:sz w:val="24"/>
              </w:rPr>
              <w:t>April 12, 2024</w:t>
            </w:r>
            <w:r w:rsidRPr="00611B03">
              <w:rPr>
                <w:rFonts w:ascii="Courier" w:hAnsi="Courier"/>
                <w:color w:val="000000" w:themeColor="text1"/>
                <w:sz w:val="24"/>
              </w:rPr>
              <w:t xml:space="preserve">, Volume </w:t>
            </w:r>
            <w:r w:rsidRPr="00611B03">
              <w:rPr>
                <w:rFonts w:ascii="Courier" w:hAnsi="Courier"/>
                <w:b/>
                <w:bCs/>
                <w:color w:val="000000" w:themeColor="text1"/>
                <w:sz w:val="24"/>
              </w:rPr>
              <w:t>89</w:t>
            </w:r>
            <w:r w:rsidRPr="00611B03">
              <w:rPr>
                <w:rFonts w:ascii="Courier" w:hAnsi="Courier"/>
                <w:color w:val="000000" w:themeColor="text1"/>
                <w:sz w:val="24"/>
              </w:rPr>
              <w:t xml:space="preserve">, No. </w:t>
            </w:r>
            <w:r w:rsidRPr="00611B03">
              <w:rPr>
                <w:rFonts w:ascii="Courier" w:hAnsi="Courier"/>
                <w:b/>
                <w:bCs/>
                <w:color w:val="000000" w:themeColor="text1"/>
                <w:sz w:val="24"/>
              </w:rPr>
              <w:t>72</w:t>
            </w:r>
            <w:r w:rsidRPr="00611B03">
              <w:rPr>
                <w:rFonts w:ascii="Courier" w:hAnsi="Courier"/>
                <w:color w:val="000000" w:themeColor="text1"/>
                <w:sz w:val="24"/>
              </w:rPr>
              <w:t xml:space="preserve">, Pages </w:t>
            </w:r>
            <w:r w:rsidRPr="00611B03">
              <w:rPr>
                <w:rFonts w:ascii="Courier" w:hAnsi="Courier"/>
                <w:b/>
                <w:bCs/>
                <w:color w:val="000000" w:themeColor="text1"/>
                <w:sz w:val="24"/>
              </w:rPr>
              <w:t>25894</w:t>
            </w:r>
            <w:r w:rsidRPr="00611B03">
              <w:rPr>
                <w:rFonts w:ascii="Courier" w:hAnsi="Courier"/>
                <w:color w:val="000000" w:themeColor="text1"/>
                <w:sz w:val="24"/>
              </w:rPr>
              <w:t>.  (0) Comments received.</w:t>
            </w:r>
          </w:p>
        </w:tc>
      </w:tr>
    </w:tbl>
    <w:p w:rsidR="00FA2F70" w:rsidRPr="00142E14" w:rsidP="00FA2F70" w14:paraId="4D92EFCD"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01A1E42" w14:textId="77777777" w:rsidTr="00D35DDB">
        <w:tblPrEx>
          <w:tblW w:w="0" w:type="auto"/>
          <w:tblInd w:w="108" w:type="dxa"/>
          <w:tblLook w:val="04A0"/>
        </w:tblPrEx>
        <w:tc>
          <w:tcPr>
            <w:tcW w:w="9360" w:type="dxa"/>
            <w:shd w:val="clear" w:color="auto" w:fill="auto"/>
          </w:tcPr>
          <w:p w:rsidR="0021340A" w:rsidRPr="00142E14" w:rsidP="001B4FB5" w14:paraId="190657E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9. Explain any decision to provide any payment or gift to respondents, other than re</w:t>
            </w:r>
            <w:r w:rsidRPr="00142E14" w:rsidR="00CB3B53">
              <w:rPr>
                <w:rFonts w:ascii="Times New Roman" w:hAnsi="Times New Roman"/>
                <w:b/>
                <w:color w:val="000000" w:themeColor="text1"/>
                <w:sz w:val="24"/>
                <w:szCs w:val="24"/>
              </w:rPr>
              <w:t>m</w:t>
            </w:r>
            <w:r w:rsidRPr="00142E14">
              <w:rPr>
                <w:rFonts w:ascii="Times New Roman" w:hAnsi="Times New Roman"/>
                <w:b/>
                <w:color w:val="000000" w:themeColor="text1"/>
                <w:sz w:val="24"/>
                <w:szCs w:val="24"/>
              </w:rPr>
              <w:t>u</w:t>
            </w:r>
            <w:r w:rsidRPr="00142E14" w:rsidR="00CB3B53">
              <w:rPr>
                <w:rFonts w:ascii="Times New Roman" w:hAnsi="Times New Roman"/>
                <w:b/>
                <w:color w:val="000000" w:themeColor="text1"/>
                <w:sz w:val="24"/>
                <w:szCs w:val="24"/>
              </w:rPr>
              <w:t>n</w:t>
            </w:r>
            <w:r w:rsidRPr="00142E14">
              <w:rPr>
                <w:rFonts w:ascii="Times New Roman" w:hAnsi="Times New Roman"/>
                <w:b/>
                <w:color w:val="000000" w:themeColor="text1"/>
                <w:sz w:val="24"/>
                <w:szCs w:val="24"/>
              </w:rPr>
              <w:t xml:space="preserve">eration of contractors or grantees. </w:t>
            </w:r>
          </w:p>
          <w:p w:rsidR="0021340A" w:rsidRPr="00142E14" w:rsidP="001B4FB5" w14:paraId="2366F6E3" w14:textId="77777777">
            <w:pPr>
              <w:spacing w:after="0" w:line="240" w:lineRule="auto"/>
              <w:rPr>
                <w:rFonts w:ascii="Times New Roman" w:hAnsi="Times New Roman"/>
                <w:color w:val="000000" w:themeColor="text1"/>
                <w:sz w:val="24"/>
                <w:szCs w:val="24"/>
              </w:rPr>
            </w:pPr>
          </w:p>
        </w:tc>
      </w:tr>
      <w:tr w14:paraId="50D99DF6" w14:textId="77777777" w:rsidTr="00D35DDB">
        <w:tblPrEx>
          <w:tblW w:w="0" w:type="auto"/>
          <w:tblInd w:w="108" w:type="dxa"/>
          <w:tblLook w:val="04A0"/>
        </w:tblPrEx>
        <w:tc>
          <w:tcPr>
            <w:tcW w:w="9360" w:type="dxa"/>
            <w:shd w:val="clear" w:color="auto" w:fill="auto"/>
          </w:tcPr>
          <w:p w:rsidR="0021340A" w:rsidRPr="00142E14" w:rsidP="00CB3B53" w14:paraId="4507A1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are no payments or gifts offered to respondents.</w:t>
            </w:r>
          </w:p>
        </w:tc>
      </w:tr>
    </w:tbl>
    <w:p w:rsidR="00FA2F70" w:rsidRPr="00142E14" w:rsidP="00FA2F70" w14:paraId="478DB7D0"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0674DEC" w14:textId="77777777" w:rsidTr="00D35DDB">
        <w:tblPrEx>
          <w:tblW w:w="0" w:type="auto"/>
          <w:tblInd w:w="108" w:type="dxa"/>
          <w:tblLook w:val="04A0"/>
        </w:tblPrEx>
        <w:tc>
          <w:tcPr>
            <w:tcW w:w="9360" w:type="dxa"/>
            <w:shd w:val="clear" w:color="auto" w:fill="auto"/>
          </w:tcPr>
          <w:p w:rsidR="0021340A" w:rsidRPr="00142E14" w:rsidP="001B4FB5" w14:paraId="22D1916A"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21340A" w:rsidRPr="00142E14" w:rsidP="001B4FB5" w14:paraId="5CC443BB" w14:textId="77777777">
            <w:pPr>
              <w:spacing w:after="0" w:line="240" w:lineRule="auto"/>
              <w:rPr>
                <w:rFonts w:ascii="Times New Roman" w:hAnsi="Times New Roman"/>
                <w:b/>
                <w:color w:val="000000" w:themeColor="text1"/>
                <w:sz w:val="24"/>
                <w:szCs w:val="24"/>
              </w:rPr>
            </w:pPr>
          </w:p>
        </w:tc>
      </w:tr>
      <w:tr w14:paraId="21068CA0" w14:textId="77777777" w:rsidTr="00D35DDB">
        <w:tblPrEx>
          <w:tblW w:w="0" w:type="auto"/>
          <w:tblInd w:w="108" w:type="dxa"/>
          <w:tblLook w:val="04A0"/>
        </w:tblPrEx>
        <w:tc>
          <w:tcPr>
            <w:tcW w:w="9360" w:type="dxa"/>
            <w:shd w:val="clear" w:color="auto" w:fill="auto"/>
          </w:tcPr>
          <w:p w:rsidR="0021340A" w:rsidRPr="00142E14" w:rsidP="00CB3B53" w14:paraId="462553A4" w14:textId="144298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BB2058">
              <w:rPr>
                <w:rFonts w:ascii="Courier" w:hAnsi="Courier"/>
                <w:color w:val="000000" w:themeColor="text1"/>
                <w:sz w:val="24"/>
              </w:rPr>
              <w:t>A Privacy Threshold Analysis has been approved for this collection.  HUD is committed to protecting the privacy of individuals’ information stored electronically or in paper form, in accordance with federal privacy laws, guidance, and best practices.</w:t>
            </w:r>
          </w:p>
        </w:tc>
      </w:tr>
    </w:tbl>
    <w:p w:rsidR="00FA2F70" w:rsidRPr="00142E14" w:rsidP="00FA2F70" w14:paraId="134DABFF"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55F308AD" w14:textId="77777777" w:rsidTr="00D35DDB">
        <w:tblPrEx>
          <w:tblW w:w="0" w:type="auto"/>
          <w:tblInd w:w="108" w:type="dxa"/>
          <w:tblLook w:val="04A0"/>
        </w:tblPrEx>
        <w:tc>
          <w:tcPr>
            <w:tcW w:w="9360" w:type="dxa"/>
            <w:shd w:val="clear" w:color="auto" w:fill="auto"/>
          </w:tcPr>
          <w:p w:rsidR="0021340A" w:rsidRPr="00142E14" w:rsidP="001B4FB5" w14:paraId="25CC0F42"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142E14" w:rsidP="001B4FB5" w14:paraId="2072249B" w14:textId="77777777">
            <w:pPr>
              <w:spacing w:after="0" w:line="240" w:lineRule="auto"/>
              <w:rPr>
                <w:rFonts w:ascii="Times New Roman" w:hAnsi="Times New Roman"/>
                <w:b/>
                <w:color w:val="000000" w:themeColor="text1"/>
                <w:sz w:val="24"/>
                <w:szCs w:val="24"/>
              </w:rPr>
            </w:pPr>
          </w:p>
        </w:tc>
      </w:tr>
      <w:tr w14:paraId="1D3766A2" w14:textId="77777777" w:rsidTr="00D35DDB">
        <w:tblPrEx>
          <w:tblW w:w="0" w:type="auto"/>
          <w:tblInd w:w="108" w:type="dxa"/>
          <w:tblLook w:val="04A0"/>
        </w:tblPrEx>
        <w:tc>
          <w:tcPr>
            <w:tcW w:w="9360" w:type="dxa"/>
            <w:shd w:val="clear" w:color="auto" w:fill="auto"/>
          </w:tcPr>
          <w:p w:rsidR="0021340A" w:rsidRPr="00142E14" w:rsidP="00CB3B53" w14:paraId="67A0C1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Respondents are not requested to provide information of a sensitive nature, such as sexual, religious beliefs, and other matters that are commonly considered private.</w:t>
            </w:r>
          </w:p>
        </w:tc>
      </w:tr>
    </w:tbl>
    <w:p w:rsidR="00FA2F70" w:rsidRPr="00142E14" w:rsidP="00FA2F70" w14:paraId="71691F2E"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1253"/>
        <w:gridCol w:w="1357"/>
        <w:gridCol w:w="1216"/>
        <w:gridCol w:w="1205"/>
        <w:gridCol w:w="1153"/>
        <w:gridCol w:w="864"/>
        <w:gridCol w:w="1170"/>
        <w:gridCol w:w="1034"/>
      </w:tblGrid>
      <w:tr w14:paraId="3DE38F9D" w14:textId="77777777" w:rsidTr="009A5B99">
        <w:tblPrEx>
          <w:tblW w:w="0" w:type="auto"/>
          <w:tblInd w:w="108" w:type="dxa"/>
          <w:tblLook w:val="04A0"/>
        </w:tblPrEx>
        <w:tc>
          <w:tcPr>
            <w:tcW w:w="9252" w:type="dxa"/>
            <w:gridSpan w:val="8"/>
            <w:shd w:val="clear" w:color="auto" w:fill="auto"/>
          </w:tcPr>
          <w:p w:rsidR="0021340A" w:rsidRPr="00142E14" w:rsidP="001B4FB5" w14:paraId="68DE08BE"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12. Provide estimates of the hour burden of the collection of information. The statement should: </w:t>
            </w:r>
          </w:p>
          <w:p w:rsidR="0021340A" w:rsidRPr="00142E14" w:rsidP="001B4FB5" w14:paraId="2902438E" w14:textId="77777777">
            <w:pPr>
              <w:spacing w:after="0" w:line="240" w:lineRule="auto"/>
              <w:rPr>
                <w:rFonts w:ascii="Times New Roman" w:hAnsi="Times New Roman"/>
                <w:b/>
                <w:color w:val="000000" w:themeColor="text1"/>
                <w:sz w:val="24"/>
                <w:szCs w:val="24"/>
              </w:rPr>
            </w:pPr>
          </w:p>
          <w:p w:rsidR="0021340A" w:rsidRPr="00142E14" w:rsidP="001B4FB5" w14:paraId="56E672F4" w14:textId="549D7218">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Indicate the number of respondents, frequency of response, annual burden</w:t>
            </w:r>
            <w:r w:rsidR="00D40568">
              <w:rPr>
                <w:rFonts w:ascii="Times New Roman" w:hAnsi="Times New Roman"/>
                <w:color w:val="000000" w:themeColor="text1"/>
                <w:sz w:val="24"/>
                <w:szCs w:val="24"/>
              </w:rPr>
              <w:t xml:space="preserve"> hours</w:t>
            </w:r>
            <w:r w:rsidRPr="00142E14">
              <w:rPr>
                <w:rFonts w:ascii="Times New Roman" w:hAnsi="Times New Roman"/>
                <w:color w:val="000000" w:themeColor="text1"/>
                <w:sz w:val="24"/>
                <w:szCs w:val="24"/>
              </w:rPr>
              <w:t xml:space="preserve">, and an explanation of how the burden was estimated. Unless directed to do so, agencies should not conduct special surveys to obtain information on which to base burden </w:t>
            </w:r>
            <w:r w:rsidR="00D40568">
              <w:rPr>
                <w:rFonts w:ascii="Times New Roman" w:hAnsi="Times New Roman"/>
                <w:color w:val="000000" w:themeColor="text1"/>
                <w:sz w:val="24"/>
                <w:szCs w:val="24"/>
              </w:rPr>
              <w:t xml:space="preserve">hour </w:t>
            </w:r>
            <w:r w:rsidRPr="00142E14">
              <w:rPr>
                <w:rFonts w:ascii="Times New Roman" w:hAnsi="Times New Roman"/>
                <w:color w:val="000000" w:themeColor="text1"/>
                <w:sz w:val="24"/>
                <w:szCs w:val="24"/>
              </w:rPr>
              <w:t xml:space="preserve">estimates. Consultation with a sample (fewer than 10) of potential respondents is desirable. If the burden </w:t>
            </w:r>
            <w:r w:rsidR="00D40568">
              <w:rPr>
                <w:rFonts w:ascii="Times New Roman" w:hAnsi="Times New Roman"/>
                <w:color w:val="000000" w:themeColor="text1"/>
                <w:sz w:val="24"/>
                <w:szCs w:val="24"/>
              </w:rPr>
              <w:t xml:space="preserve">hours </w:t>
            </w:r>
            <w:r w:rsidRPr="00142E14">
              <w:rPr>
                <w:rFonts w:ascii="Times New Roman" w:hAnsi="Times New Roman"/>
                <w:color w:val="000000" w:themeColor="text1"/>
                <w:sz w:val="24"/>
                <w:szCs w:val="24"/>
              </w:rPr>
              <w:t>on respondents is expected to vary widely because of differences in activity, size, or complexity, show the range of estimated burden</w:t>
            </w:r>
            <w:r w:rsidR="00D40568">
              <w:rPr>
                <w:rFonts w:ascii="Times New Roman" w:hAnsi="Times New Roman"/>
                <w:color w:val="000000" w:themeColor="text1"/>
                <w:sz w:val="24"/>
                <w:szCs w:val="24"/>
              </w:rPr>
              <w:t xml:space="preserve"> hours</w:t>
            </w:r>
            <w:r w:rsidRPr="00142E14">
              <w:rPr>
                <w:rFonts w:ascii="Times New Roman" w:hAnsi="Times New Roman"/>
                <w:color w:val="000000" w:themeColor="text1"/>
                <w:sz w:val="24"/>
                <w:szCs w:val="24"/>
              </w:rPr>
              <w:t xml:space="preserve">, and explain the reasons for the variance. Generally, estimates should not include burden hours for customary and usual business practices. </w:t>
            </w:r>
          </w:p>
          <w:p w:rsidR="00D35DDB" w:rsidRPr="00142E14" w:rsidP="001B4FB5" w14:paraId="61D4E8B5" w14:textId="77777777">
            <w:pPr>
              <w:spacing w:after="0" w:line="240" w:lineRule="auto"/>
              <w:rPr>
                <w:rFonts w:ascii="Times New Roman" w:hAnsi="Times New Roman"/>
                <w:color w:val="000000" w:themeColor="text1"/>
                <w:sz w:val="24"/>
                <w:szCs w:val="24"/>
              </w:rPr>
            </w:pPr>
          </w:p>
          <w:p w:rsidR="0021340A" w:rsidRPr="00142E14" w:rsidP="001B4FB5" w14:paraId="3FF06170" w14:textId="1AB6784C">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If this request for approval covers more than one form, provide separate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 estimates for each form and aggregate the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s in Item 13 of OMB Form 83-I. </w:t>
            </w:r>
          </w:p>
          <w:p w:rsidR="00D35DDB" w:rsidRPr="00142E14" w:rsidP="001B4FB5" w14:paraId="03D6DEEE" w14:textId="77777777">
            <w:pPr>
              <w:spacing w:after="0" w:line="240" w:lineRule="auto"/>
              <w:rPr>
                <w:rFonts w:ascii="Times New Roman" w:hAnsi="Times New Roman"/>
                <w:color w:val="000000" w:themeColor="text1"/>
                <w:sz w:val="24"/>
                <w:szCs w:val="24"/>
              </w:rPr>
            </w:pPr>
          </w:p>
          <w:p w:rsidR="0021340A" w:rsidRPr="00142E14" w:rsidP="001B4FB5" w14:paraId="653310BF" w14:textId="6531C2DD">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Provide estimates of annualized cost to respondents for the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142E14" w:rsidP="001B4FB5" w14:paraId="731669BE" w14:textId="77777777">
            <w:pPr>
              <w:spacing w:after="0" w:line="240" w:lineRule="auto"/>
              <w:rPr>
                <w:rFonts w:ascii="Times New Roman" w:hAnsi="Times New Roman"/>
                <w:b/>
                <w:color w:val="000000" w:themeColor="text1"/>
                <w:sz w:val="24"/>
                <w:szCs w:val="24"/>
              </w:rPr>
            </w:pPr>
          </w:p>
        </w:tc>
      </w:tr>
      <w:tr w14:paraId="28FFF1BC" w14:textId="77777777" w:rsidTr="009A5B99">
        <w:tblPrEx>
          <w:tblW w:w="0" w:type="auto"/>
          <w:tblInd w:w="108" w:type="dxa"/>
          <w:tblLook w:val="04A0"/>
        </w:tblPrEx>
        <w:tc>
          <w:tcPr>
            <w:tcW w:w="9252" w:type="dxa"/>
            <w:gridSpan w:val="8"/>
            <w:tcBorders>
              <w:bottom w:val="single" w:sz="4" w:space="0" w:color="auto"/>
            </w:tcBorders>
            <w:shd w:val="clear" w:color="auto" w:fill="auto"/>
          </w:tcPr>
          <w:p w:rsidR="0021340A" w:rsidRPr="00142E14" w:rsidP="001B4FB5" w14:paraId="5E0961F6" w14:textId="77777777">
            <w:pPr>
              <w:spacing w:after="0" w:line="240" w:lineRule="auto"/>
              <w:rPr>
                <w:rFonts w:ascii="Times New Roman" w:hAnsi="Times New Roman"/>
                <w:b/>
                <w:color w:val="000000" w:themeColor="text1"/>
                <w:sz w:val="24"/>
                <w:szCs w:val="24"/>
              </w:rPr>
            </w:pPr>
          </w:p>
        </w:tc>
      </w:tr>
      <w:tr w14:paraId="0D0B5D9C" w14:textId="77777777" w:rsidTr="009A5B99">
        <w:tblPrEx>
          <w:tblW w:w="0" w:type="auto"/>
          <w:tblInd w:w="108" w:type="dxa"/>
          <w:tblLook w:val="0000"/>
        </w:tblPrEx>
        <w:tc>
          <w:tcPr>
            <w:tcW w:w="125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DE98B31" w14:textId="77777777">
            <w:pPr>
              <w:rPr>
                <w:rFonts w:ascii="Helvetica" w:hAnsi="Helvetica"/>
                <w:b/>
                <w:bCs/>
                <w:color w:val="000000" w:themeColor="text1"/>
                <w:sz w:val="18"/>
              </w:rPr>
            </w:pPr>
            <w:r w:rsidRPr="00142E14">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A6656E" w14:paraId="038DC519"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Number of Respondents</w:t>
            </w:r>
          </w:p>
        </w:tc>
        <w:tc>
          <w:tcPr>
            <w:tcW w:w="1216"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0CF11F1" w14:textId="0448C9F7">
            <w:pPr>
              <w:ind w:left="72" w:right="-108"/>
              <w:jc w:val="center"/>
              <w:rPr>
                <w:rFonts w:ascii="Helvetica" w:hAnsi="Helvetica"/>
                <w:b/>
                <w:bCs/>
                <w:color w:val="000000" w:themeColor="text1"/>
                <w:sz w:val="18"/>
                <w:vertAlign w:val="superscript"/>
              </w:rPr>
            </w:pPr>
            <w:r w:rsidRPr="00142E14">
              <w:rPr>
                <w:rFonts w:ascii="Helvetica" w:hAnsi="Helvetica"/>
                <w:b/>
                <w:bCs/>
                <w:color w:val="000000" w:themeColor="text1"/>
                <w:sz w:val="18"/>
              </w:rPr>
              <w:t>Frequency of Response</w:t>
            </w:r>
            <w:r w:rsidRPr="00142E14" w:rsidR="00F70C61">
              <w:rPr>
                <w:rFonts w:ascii="Helvetica" w:hAnsi="Helvetica"/>
                <w:b/>
                <w:bCs/>
                <w:color w:val="000000" w:themeColor="text1"/>
                <w:sz w:val="18"/>
                <w:vertAlign w:val="superscript"/>
              </w:rPr>
              <w:t>1</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B106EA" w14:paraId="52F03DCA" w14:textId="77777777">
            <w:pPr>
              <w:jc w:val="center"/>
              <w:rPr>
                <w:rFonts w:ascii="Helvetica" w:hAnsi="Helvetica"/>
                <w:b/>
                <w:bCs/>
                <w:color w:val="000000" w:themeColor="text1"/>
                <w:sz w:val="18"/>
              </w:rPr>
            </w:pPr>
            <w:r w:rsidRPr="00142E14">
              <w:rPr>
                <w:rFonts w:ascii="Helvetica" w:hAnsi="Helvetica"/>
                <w:b/>
                <w:bCs/>
                <w:color w:val="000000" w:themeColor="text1"/>
                <w:sz w:val="18"/>
              </w:rPr>
              <w:t>Responses Per Year</w:t>
            </w:r>
          </w:p>
        </w:tc>
        <w:tc>
          <w:tcPr>
            <w:tcW w:w="1153" w:type="dxa"/>
            <w:tcBorders>
              <w:top w:val="single" w:sz="4" w:space="0" w:color="auto"/>
              <w:left w:val="single" w:sz="4" w:space="0" w:color="auto"/>
              <w:bottom w:val="single" w:sz="4" w:space="0" w:color="auto"/>
              <w:right w:val="single" w:sz="4" w:space="0" w:color="auto"/>
            </w:tcBorders>
            <w:vAlign w:val="center"/>
          </w:tcPr>
          <w:p w:rsidR="00A6656E" w:rsidRPr="00142E14" w:rsidP="00A6656E" w14:paraId="657F564E" w14:textId="59DF1EC7">
            <w:pPr>
              <w:ind w:right="-108"/>
              <w:jc w:val="center"/>
              <w:rPr>
                <w:rFonts w:ascii="Helvetica" w:hAnsi="Helvetica"/>
                <w:b/>
                <w:bCs/>
                <w:color w:val="000000" w:themeColor="text1"/>
                <w:sz w:val="18"/>
              </w:rPr>
            </w:pPr>
            <w:r w:rsidRPr="00142E14">
              <w:rPr>
                <w:rFonts w:ascii="Helvetica" w:hAnsi="Helvetica"/>
                <w:b/>
                <w:bCs/>
                <w:color w:val="000000" w:themeColor="text1"/>
                <w:sz w:val="18"/>
              </w:rPr>
              <w:t>Burden Hours Per Response</w:t>
            </w:r>
            <w:r w:rsidRPr="00142E14" w:rsidR="00F70C61">
              <w:rPr>
                <w:rFonts w:ascii="Helvetica" w:hAnsi="Helvetica"/>
                <w:b/>
                <w:bCs/>
                <w:color w:val="000000" w:themeColor="text1"/>
                <w:sz w:val="18"/>
                <w:vertAlign w:val="superscript"/>
              </w:rPr>
              <w:t>2</w:t>
            </w: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A6656E" w14:paraId="611EEC10"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Annual Burden Hours</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A531A12" w14:textId="1B20881E">
            <w:pPr>
              <w:ind w:right="-108"/>
              <w:jc w:val="center"/>
              <w:rPr>
                <w:rFonts w:ascii="Helvetica" w:hAnsi="Helvetica"/>
                <w:b/>
                <w:bCs/>
                <w:color w:val="000000" w:themeColor="text1"/>
                <w:sz w:val="18"/>
              </w:rPr>
            </w:pPr>
            <w:r w:rsidRPr="00142E14">
              <w:rPr>
                <w:rFonts w:ascii="Helvetica" w:hAnsi="Helvetica"/>
                <w:b/>
                <w:bCs/>
                <w:color w:val="000000" w:themeColor="text1"/>
                <w:sz w:val="18"/>
              </w:rPr>
              <w:t>Hourly Cost per Response</w:t>
            </w:r>
            <w:r w:rsidR="00450139">
              <w:rPr>
                <w:rFonts w:ascii="Helvetica" w:hAnsi="Helvetica"/>
                <w:b/>
                <w:bCs/>
                <w:color w:val="000000" w:themeColor="text1"/>
                <w:sz w:val="18"/>
                <w:vertAlign w:val="superscript"/>
              </w:rPr>
              <w:t>3</w:t>
            </w:r>
          </w:p>
        </w:tc>
        <w:tc>
          <w:tcPr>
            <w:tcW w:w="1034" w:type="dxa"/>
            <w:tcBorders>
              <w:top w:val="single" w:sz="4" w:space="0" w:color="auto"/>
              <w:left w:val="single" w:sz="4" w:space="0" w:color="auto"/>
              <w:bottom w:val="single" w:sz="4" w:space="0" w:color="auto"/>
              <w:right w:val="single" w:sz="4" w:space="0" w:color="auto"/>
            </w:tcBorders>
          </w:tcPr>
          <w:p w:rsidR="00A6656E" w:rsidRPr="00142E14" w:rsidP="00B106EA" w14:paraId="611C12D5"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Total Annual Cost</w:t>
            </w:r>
          </w:p>
        </w:tc>
      </w:tr>
      <w:tr w14:paraId="71EE9E4C" w14:textId="77777777" w:rsidTr="009A5B99">
        <w:tblPrEx>
          <w:tblW w:w="0" w:type="auto"/>
          <w:tblInd w:w="108" w:type="dxa"/>
          <w:tblLook w:val="0000"/>
        </w:tblPrEx>
        <w:trPr>
          <w:trHeight w:val="458"/>
        </w:trPr>
        <w:tc>
          <w:tcPr>
            <w:tcW w:w="125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0812D030" w14:textId="267E98A3">
            <w:pPr>
              <w:rPr>
                <w:rFonts w:ascii="Helvetica" w:hAnsi="Helvetica"/>
                <w:bCs/>
                <w:color w:val="000000" w:themeColor="text1"/>
                <w:sz w:val="18"/>
              </w:rPr>
            </w:pPr>
            <w:bookmarkStart w:id="0" w:name="_Hlk46339008"/>
            <w:r w:rsidRPr="00142E14">
              <w:rPr>
                <w:rFonts w:ascii="Helvetica" w:hAnsi="Helvetica"/>
                <w:bCs/>
                <w:color w:val="000000" w:themeColor="text1"/>
                <w:sz w:val="18"/>
              </w:rPr>
              <w:t>HUD-9250</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B106EA" w14:paraId="54C982D9" w14:textId="3B5D6D75">
            <w:pPr>
              <w:jc w:val="center"/>
              <w:rPr>
                <w:rFonts w:ascii="Helvetica" w:hAnsi="Helvetica"/>
                <w:bCs/>
                <w:color w:val="000000" w:themeColor="text1"/>
                <w:sz w:val="18"/>
              </w:rPr>
            </w:pPr>
            <w:r>
              <w:rPr>
                <w:rFonts w:ascii="Helvetica" w:hAnsi="Helvetica"/>
                <w:bCs/>
                <w:color w:val="000000" w:themeColor="text1"/>
                <w:sz w:val="18"/>
              </w:rPr>
              <w:t>30,</w:t>
            </w:r>
            <w:r w:rsidR="00DF2C38">
              <w:rPr>
                <w:rFonts w:ascii="Helvetica" w:hAnsi="Helvetica"/>
                <w:bCs/>
                <w:color w:val="000000" w:themeColor="text1"/>
                <w:sz w:val="18"/>
              </w:rPr>
              <w:t>791</w:t>
            </w:r>
          </w:p>
        </w:tc>
        <w:tc>
          <w:tcPr>
            <w:tcW w:w="1216"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51ADAEA0" w14:textId="394034F7">
            <w:pPr>
              <w:jc w:val="center"/>
              <w:rPr>
                <w:rFonts w:ascii="Helvetica" w:hAnsi="Helvetica"/>
                <w:bCs/>
                <w:color w:val="000000" w:themeColor="text1"/>
                <w:sz w:val="18"/>
              </w:rPr>
            </w:pPr>
            <w:r w:rsidRPr="00142E14">
              <w:rPr>
                <w:rFonts w:ascii="Helvetica" w:hAnsi="Helvetica"/>
                <w:bCs/>
                <w:color w:val="000000" w:themeColor="text1"/>
                <w:sz w:val="18"/>
              </w:rPr>
              <w:t>Varies</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B106EA" w14:paraId="0F110A44" w14:textId="2604F93E">
            <w:pPr>
              <w:jc w:val="center"/>
              <w:rPr>
                <w:rFonts w:ascii="Helvetica" w:hAnsi="Helvetica"/>
                <w:bCs/>
                <w:color w:val="000000" w:themeColor="text1"/>
                <w:sz w:val="18"/>
              </w:rPr>
            </w:pPr>
            <w:r>
              <w:rPr>
                <w:rFonts w:ascii="Helvetica" w:hAnsi="Helvetica"/>
                <w:bCs/>
                <w:color w:val="000000" w:themeColor="text1"/>
                <w:sz w:val="18"/>
              </w:rPr>
              <w:t>8,</w:t>
            </w:r>
            <w:r w:rsidR="00C624C4">
              <w:rPr>
                <w:rFonts w:ascii="Helvetica" w:hAnsi="Helvetica"/>
                <w:bCs/>
                <w:color w:val="000000" w:themeColor="text1"/>
                <w:sz w:val="18"/>
              </w:rPr>
              <w:t>314</w:t>
            </w:r>
          </w:p>
        </w:tc>
        <w:tc>
          <w:tcPr>
            <w:tcW w:w="115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1BC399E3" w14:textId="117B7A25">
            <w:pPr>
              <w:jc w:val="center"/>
              <w:rPr>
                <w:rFonts w:ascii="Helvetica" w:hAnsi="Helvetica"/>
                <w:bCs/>
                <w:color w:val="000000" w:themeColor="text1"/>
                <w:sz w:val="18"/>
              </w:rPr>
            </w:pPr>
            <w:r>
              <w:rPr>
                <w:rFonts w:ascii="Helvetica" w:hAnsi="Helvetica"/>
                <w:bCs/>
                <w:color w:val="000000" w:themeColor="text1"/>
                <w:sz w:val="18"/>
              </w:rPr>
              <w:t>1</w:t>
            </w: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142E14" w:rsidP="00B106EA" w14:paraId="39F3625F" w14:textId="7521B95C">
            <w:pPr>
              <w:jc w:val="center"/>
              <w:rPr>
                <w:rFonts w:ascii="Helvetica" w:hAnsi="Helvetica"/>
                <w:bCs/>
                <w:color w:val="000000" w:themeColor="text1"/>
                <w:sz w:val="18"/>
              </w:rPr>
            </w:pPr>
            <w:r w:rsidRPr="00606E96">
              <w:rPr>
                <w:rFonts w:ascii="Helvetica" w:hAnsi="Helvetica"/>
                <w:bCs/>
                <w:color w:val="000000" w:themeColor="text1"/>
                <w:sz w:val="18"/>
              </w:rPr>
              <w:t>8,</w:t>
            </w:r>
            <w:r w:rsidR="00060981">
              <w:rPr>
                <w:rFonts w:ascii="Helvetica" w:hAnsi="Helvetica"/>
                <w:bCs/>
                <w:color w:val="000000" w:themeColor="text1"/>
                <w:sz w:val="18"/>
              </w:rPr>
              <w:t>314</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4911A63C" w14:textId="301E379C">
            <w:pPr>
              <w:jc w:val="right"/>
              <w:rPr>
                <w:rFonts w:ascii="Helvetica" w:hAnsi="Helvetica"/>
                <w:bCs/>
                <w:color w:val="000000" w:themeColor="text1"/>
                <w:sz w:val="18"/>
              </w:rPr>
            </w:pPr>
            <w:r w:rsidRPr="00142E14">
              <w:rPr>
                <w:rFonts w:ascii="Helvetica" w:hAnsi="Helvetica"/>
                <w:bCs/>
                <w:color w:val="000000" w:themeColor="text1"/>
                <w:sz w:val="18"/>
              </w:rPr>
              <w:t>$</w:t>
            </w:r>
            <w:r w:rsidR="00A80F64">
              <w:rPr>
                <w:rFonts w:ascii="Helvetica" w:hAnsi="Helvetica"/>
                <w:bCs/>
                <w:color w:val="000000" w:themeColor="text1"/>
                <w:sz w:val="18"/>
              </w:rPr>
              <w:t>38.</w:t>
            </w:r>
            <w:r w:rsidR="00D40CFA">
              <w:rPr>
                <w:rFonts w:ascii="Helvetica" w:hAnsi="Helvetica"/>
                <w:bCs/>
                <w:color w:val="000000" w:themeColor="text1"/>
                <w:sz w:val="18"/>
              </w:rPr>
              <w:t>48</w:t>
            </w:r>
          </w:p>
        </w:tc>
        <w:tc>
          <w:tcPr>
            <w:tcW w:w="1034" w:type="dxa"/>
            <w:tcBorders>
              <w:top w:val="single" w:sz="4" w:space="0" w:color="auto"/>
              <w:left w:val="single" w:sz="4" w:space="0" w:color="auto"/>
              <w:bottom w:val="single" w:sz="4" w:space="0" w:color="auto"/>
              <w:right w:val="single" w:sz="4" w:space="0" w:color="auto"/>
            </w:tcBorders>
          </w:tcPr>
          <w:p w:rsidR="00A6656E" w:rsidRPr="00142E14" w:rsidP="00B106EA" w14:paraId="45232FD3" w14:textId="6687E8ED">
            <w:pPr>
              <w:jc w:val="right"/>
              <w:rPr>
                <w:rFonts w:ascii="Helvetica" w:hAnsi="Helvetica"/>
                <w:bCs/>
                <w:color w:val="000000" w:themeColor="text1"/>
                <w:sz w:val="18"/>
              </w:rPr>
            </w:pPr>
            <w:r>
              <w:rPr>
                <w:rFonts w:ascii="Helvetica" w:hAnsi="Helvetica"/>
                <w:bCs/>
                <w:color w:val="000000" w:themeColor="text1"/>
                <w:sz w:val="18"/>
              </w:rPr>
              <w:t>$</w:t>
            </w:r>
            <w:r w:rsidR="00D40CFA">
              <w:rPr>
                <w:rFonts w:ascii="Helvetica" w:hAnsi="Helvetica"/>
                <w:bCs/>
                <w:color w:val="000000" w:themeColor="text1"/>
                <w:sz w:val="18"/>
              </w:rPr>
              <w:t>319,867</w:t>
            </w:r>
          </w:p>
        </w:tc>
      </w:tr>
      <w:bookmarkEnd w:id="0"/>
      <w:tr w14:paraId="10E66974" w14:textId="77777777" w:rsidTr="009A5B99">
        <w:tblPrEx>
          <w:tblW w:w="0" w:type="auto"/>
          <w:tblInd w:w="108" w:type="dxa"/>
          <w:tblLook w:val="0000"/>
        </w:tblPrEx>
        <w:tc>
          <w:tcPr>
            <w:tcW w:w="1253" w:type="dxa"/>
            <w:tcBorders>
              <w:top w:val="single" w:sz="4" w:space="0" w:color="auto"/>
              <w:left w:val="single" w:sz="4" w:space="0" w:color="auto"/>
              <w:bottom w:val="single" w:sz="4" w:space="0" w:color="auto"/>
              <w:right w:val="single" w:sz="4" w:space="0" w:color="auto"/>
            </w:tcBorders>
            <w:vAlign w:val="center"/>
          </w:tcPr>
          <w:p w:rsidR="009A5B99" w:rsidRPr="0006154B" w:rsidP="009A5B99" w14:paraId="6A3BB1FB" w14:textId="77777777">
            <w:pPr>
              <w:rPr>
                <w:rFonts w:ascii="Helvetica" w:hAnsi="Helvetica"/>
                <w:b/>
                <w:bCs/>
                <w:color w:val="000000" w:themeColor="text1"/>
                <w:sz w:val="18"/>
              </w:rPr>
            </w:pPr>
            <w:r w:rsidRPr="0006154B">
              <w:rPr>
                <w:rFonts w:ascii="Helvetica" w:hAnsi="Helvetica"/>
                <w:b/>
                <w:bCs/>
                <w:color w:val="000000" w:themeColor="text1"/>
                <w:sz w:val="18"/>
              </w:rPr>
              <w:t>TOTALS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A5B99" w:rsidRPr="0006154B" w:rsidP="009A5B99" w14:paraId="0F27EB70" w14:textId="25F04906">
            <w:pPr>
              <w:jc w:val="center"/>
              <w:rPr>
                <w:rFonts w:ascii="Helvetica" w:hAnsi="Helvetica"/>
                <w:bCs/>
                <w:color w:val="000000" w:themeColor="text1"/>
                <w:sz w:val="18"/>
              </w:rPr>
            </w:pPr>
            <w:r>
              <w:rPr>
                <w:rFonts w:ascii="Helvetica" w:hAnsi="Helvetica"/>
                <w:bCs/>
                <w:color w:val="000000" w:themeColor="text1"/>
                <w:sz w:val="18"/>
              </w:rPr>
              <w:t>30,791</w:t>
            </w:r>
          </w:p>
        </w:tc>
        <w:tc>
          <w:tcPr>
            <w:tcW w:w="1216" w:type="dxa"/>
            <w:tcBorders>
              <w:top w:val="single" w:sz="4" w:space="0" w:color="auto"/>
              <w:left w:val="single" w:sz="4" w:space="0" w:color="auto"/>
              <w:bottom w:val="single" w:sz="4" w:space="0" w:color="auto"/>
              <w:right w:val="single" w:sz="4" w:space="0" w:color="auto"/>
            </w:tcBorders>
            <w:shd w:val="clear" w:color="auto" w:fill="000000"/>
            <w:vAlign w:val="center"/>
          </w:tcPr>
          <w:p w:rsidR="009A5B99" w:rsidRPr="0006154B" w:rsidP="009A5B99" w14:paraId="097FE7D4" w14:textId="77777777">
            <w:pPr>
              <w:jc w:val="center"/>
              <w:rPr>
                <w:rFonts w:ascii="Helvetica" w:hAnsi="Helvetica"/>
                <w:bCs/>
                <w:color w:val="000000" w:themeColor="text1"/>
                <w:sz w:val="18"/>
              </w:rPr>
            </w:pP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9A5B99" w:rsidRPr="0006154B" w:rsidP="009A5B99" w14:paraId="0AED7614" w14:textId="7F47F2C6">
            <w:pPr>
              <w:jc w:val="center"/>
              <w:rPr>
                <w:rFonts w:ascii="Helvetica" w:hAnsi="Helvetica"/>
                <w:bCs/>
                <w:color w:val="000000" w:themeColor="text1"/>
                <w:sz w:val="18"/>
              </w:rPr>
            </w:pPr>
            <w:r>
              <w:rPr>
                <w:rFonts w:ascii="Helvetica" w:hAnsi="Helvetica"/>
                <w:bCs/>
                <w:color w:val="000000" w:themeColor="text1"/>
                <w:sz w:val="18"/>
              </w:rPr>
              <w:t>8,314</w:t>
            </w:r>
          </w:p>
        </w:tc>
        <w:tc>
          <w:tcPr>
            <w:tcW w:w="1153" w:type="dxa"/>
            <w:tcBorders>
              <w:top w:val="single" w:sz="4" w:space="0" w:color="auto"/>
              <w:left w:val="single" w:sz="4" w:space="0" w:color="auto"/>
              <w:bottom w:val="single" w:sz="4" w:space="0" w:color="auto"/>
              <w:right w:val="single" w:sz="4" w:space="0" w:color="auto"/>
            </w:tcBorders>
            <w:shd w:val="clear" w:color="auto" w:fill="000000"/>
            <w:vAlign w:val="center"/>
          </w:tcPr>
          <w:p w:rsidR="009A5B99" w:rsidRPr="0006154B" w:rsidP="009A5B99" w14:paraId="52D78A5F" w14:textId="77777777">
            <w:pPr>
              <w:jc w:val="center"/>
              <w:rPr>
                <w:rFonts w:ascii="Helvetica" w:hAnsi="Helvetica"/>
                <w:bCs/>
                <w:color w:val="000000" w:themeColor="text1"/>
                <w:sz w:val="18"/>
              </w:rPr>
            </w:pP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rsidR="009A5B99" w:rsidRPr="0006154B" w:rsidP="009A5B99" w14:paraId="31E445B0" w14:textId="6ACC2CFB">
            <w:pPr>
              <w:jc w:val="center"/>
              <w:rPr>
                <w:rFonts w:ascii="Helvetica" w:hAnsi="Helvetica"/>
                <w:bCs/>
                <w:color w:val="000000" w:themeColor="text1"/>
                <w:sz w:val="18"/>
              </w:rPr>
            </w:pPr>
            <w:r w:rsidRPr="0006154B">
              <w:rPr>
                <w:rFonts w:ascii="Helvetica" w:hAnsi="Helvetica"/>
                <w:bCs/>
                <w:color w:val="000000" w:themeColor="text1"/>
                <w:sz w:val="18"/>
              </w:rPr>
              <w:t>8,</w:t>
            </w:r>
            <w:r>
              <w:rPr>
                <w:rFonts w:ascii="Helvetica" w:hAnsi="Helvetica"/>
                <w:bCs/>
                <w:color w:val="000000" w:themeColor="text1"/>
                <w:sz w:val="18"/>
              </w:rPr>
              <w:t>314</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9A5B99" w:rsidRPr="0006154B" w:rsidP="009A5B99" w14:paraId="1D524F59" w14:textId="77777777">
            <w:pPr>
              <w:jc w:val="right"/>
              <w:rPr>
                <w:rFonts w:ascii="Helvetica" w:hAnsi="Helvetica"/>
                <w:bCs/>
                <w:color w:val="000000" w:themeColor="text1"/>
                <w:sz w:val="18"/>
              </w:rPr>
            </w:pPr>
          </w:p>
        </w:tc>
        <w:tc>
          <w:tcPr>
            <w:tcW w:w="1034" w:type="dxa"/>
            <w:tcBorders>
              <w:top w:val="single" w:sz="4" w:space="0" w:color="auto"/>
              <w:left w:val="single" w:sz="4" w:space="0" w:color="auto"/>
              <w:bottom w:val="single" w:sz="4" w:space="0" w:color="auto"/>
              <w:right w:val="single" w:sz="4" w:space="0" w:color="auto"/>
            </w:tcBorders>
          </w:tcPr>
          <w:p w:rsidR="009A5B99" w:rsidRPr="0006154B" w:rsidP="009A5B99" w14:paraId="79BADE13" w14:textId="57CAB4E3">
            <w:pPr>
              <w:jc w:val="right"/>
              <w:rPr>
                <w:rFonts w:ascii="Helvetica" w:hAnsi="Helvetica"/>
                <w:bCs/>
                <w:color w:val="000000" w:themeColor="text1"/>
                <w:sz w:val="18"/>
              </w:rPr>
            </w:pPr>
            <w:r>
              <w:rPr>
                <w:rFonts w:ascii="Helvetica" w:hAnsi="Helvetica"/>
                <w:bCs/>
                <w:color w:val="000000" w:themeColor="text1"/>
                <w:sz w:val="18"/>
              </w:rPr>
              <w:t>$</w:t>
            </w:r>
            <w:r w:rsidR="00217EA8">
              <w:rPr>
                <w:rFonts w:ascii="Helvetica" w:hAnsi="Helvetica"/>
                <w:bCs/>
                <w:color w:val="000000" w:themeColor="text1"/>
                <w:sz w:val="18"/>
              </w:rPr>
              <w:t>31</w:t>
            </w:r>
            <w:r w:rsidR="00E0738D">
              <w:rPr>
                <w:rFonts w:ascii="Helvetica" w:hAnsi="Helvetica"/>
                <w:bCs/>
                <w:color w:val="000000" w:themeColor="text1"/>
                <w:sz w:val="18"/>
              </w:rPr>
              <w:t>9,867</w:t>
            </w:r>
          </w:p>
        </w:tc>
      </w:tr>
    </w:tbl>
    <w:p w:rsidR="005917C9" w:rsidRPr="00142E14" w:rsidP="005917C9" w14:paraId="72684601" w14:textId="39DBFE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sidRPr="00142E14">
        <w:rPr>
          <w:rFonts w:ascii="Courier" w:hAnsi="Courier"/>
          <w:color w:val="000000" w:themeColor="text1"/>
          <w:sz w:val="18"/>
          <w:szCs w:val="18"/>
          <w:vertAlign w:val="superscript"/>
        </w:rPr>
        <w:t xml:space="preserve">1 </w:t>
      </w:r>
      <w:r w:rsidRPr="00142E14">
        <w:rPr>
          <w:rFonts w:ascii="Courier" w:hAnsi="Courier"/>
          <w:color w:val="000000" w:themeColor="text1"/>
          <w:sz w:val="18"/>
          <w:szCs w:val="18"/>
        </w:rPr>
        <w:t>Approximately 2</w:t>
      </w:r>
      <w:r w:rsidR="001279B2">
        <w:rPr>
          <w:rFonts w:ascii="Courier" w:hAnsi="Courier"/>
          <w:color w:val="000000" w:themeColor="text1"/>
          <w:sz w:val="18"/>
          <w:szCs w:val="18"/>
        </w:rPr>
        <w:t>7</w:t>
      </w:r>
      <w:r w:rsidRPr="00142E14">
        <w:rPr>
          <w:rFonts w:ascii="Courier" w:hAnsi="Courier"/>
          <w:color w:val="000000" w:themeColor="text1"/>
          <w:sz w:val="18"/>
          <w:szCs w:val="18"/>
        </w:rPr>
        <w:t xml:space="preserve">% of the project </w:t>
      </w:r>
      <w:r w:rsidR="00D40568">
        <w:rPr>
          <w:rFonts w:ascii="Courier" w:hAnsi="Courier"/>
          <w:color w:val="000000" w:themeColor="text1"/>
          <w:sz w:val="18"/>
          <w:szCs w:val="18"/>
        </w:rPr>
        <w:t xml:space="preserve">owner </w:t>
      </w:r>
      <w:r w:rsidRPr="00142E14">
        <w:rPr>
          <w:rFonts w:ascii="Courier" w:hAnsi="Courier"/>
          <w:color w:val="000000" w:themeColor="text1"/>
          <w:sz w:val="18"/>
          <w:szCs w:val="18"/>
        </w:rPr>
        <w:t>population requests use of reserves annually.</w:t>
      </w:r>
    </w:p>
    <w:p w:rsidR="00D8312B" w:rsidP="00F70C61" w14:paraId="110A25B9" w14:textId="5E49EC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24"/>
          <w:vertAlign w:val="superscript"/>
        </w:rPr>
      </w:pPr>
      <w:r w:rsidRPr="00142E14">
        <w:rPr>
          <w:rFonts w:ascii="Courier" w:hAnsi="Courier"/>
          <w:color w:val="000000" w:themeColor="text1"/>
          <w:sz w:val="24"/>
          <w:vertAlign w:val="superscript"/>
        </w:rPr>
        <w:t xml:space="preserve">2 </w:t>
      </w:r>
      <w:r>
        <w:rPr>
          <w:rFonts w:ascii="Courier" w:hAnsi="Courier"/>
          <w:color w:val="000000" w:themeColor="text1"/>
          <w:sz w:val="18"/>
          <w:szCs w:val="18"/>
        </w:rPr>
        <w:t xml:space="preserve">Burden hours are based on an estimate of the owner or owner’s staff (Property Manager) to review the instructions and complete the form. </w:t>
      </w:r>
    </w:p>
    <w:p w:rsidR="00450139" w:rsidP="00450139" w14:paraId="3C89C8E8" w14:textId="08A7239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Pr>
          <w:rFonts w:ascii="Courier" w:hAnsi="Courier"/>
          <w:color w:val="000000" w:themeColor="text1"/>
          <w:sz w:val="24"/>
          <w:vertAlign w:val="superscript"/>
        </w:rPr>
        <w:t>3</w:t>
      </w:r>
      <w:r w:rsidRPr="00142E14">
        <w:rPr>
          <w:rFonts w:ascii="Courier" w:hAnsi="Courier"/>
          <w:color w:val="000000" w:themeColor="text1"/>
          <w:sz w:val="24"/>
          <w:vertAlign w:val="superscript"/>
        </w:rPr>
        <w:t xml:space="preserve"> </w:t>
      </w:r>
      <w:r w:rsidRPr="00142E14">
        <w:rPr>
          <w:rFonts w:ascii="Courier" w:hAnsi="Courier"/>
          <w:color w:val="000000" w:themeColor="text1"/>
          <w:sz w:val="18"/>
          <w:szCs w:val="18"/>
        </w:rPr>
        <w:t xml:space="preserve">The hourly cost has been adjusted based on information gathered from Bureau of Labor Statistics (Occupation Code 11-9141) with median hourly wage </w:t>
      </w:r>
      <w:r w:rsidR="00C85781">
        <w:rPr>
          <w:rFonts w:ascii="Courier" w:hAnsi="Courier"/>
          <w:color w:val="000000" w:themeColor="text1"/>
          <w:sz w:val="18"/>
          <w:szCs w:val="18"/>
        </w:rPr>
        <w:t xml:space="preserve">plus BLS employer costs for employee compensation </w:t>
      </w:r>
      <w:r w:rsidR="005F69BA">
        <w:rPr>
          <w:rFonts w:ascii="Courier" w:hAnsi="Courier"/>
          <w:color w:val="000000" w:themeColor="text1"/>
          <w:sz w:val="18"/>
          <w:szCs w:val="18"/>
        </w:rPr>
        <w:t>at</w:t>
      </w:r>
      <w:r w:rsidR="00E51415">
        <w:rPr>
          <w:rFonts w:ascii="Courier" w:hAnsi="Courier"/>
          <w:color w:val="000000" w:themeColor="text1"/>
          <w:sz w:val="18"/>
          <w:szCs w:val="18"/>
        </w:rPr>
        <w:t xml:space="preserve"> 31.9%.</w:t>
      </w:r>
    </w:p>
    <w:p w:rsidR="00450139" w:rsidRPr="00142E14" w:rsidP="00F70C61" w14:paraId="7E67E65E" w14:textId="0CED4AD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p>
    <w:p w:rsidR="00D35DDB" w:rsidRPr="00142E14" w:rsidP="00FA2F70" w14:paraId="2D912F40" w14:textId="77777777">
      <w:pPr>
        <w:spacing w:after="0" w:line="240" w:lineRule="auto"/>
        <w:rPr>
          <w:rFonts w:ascii="Times New Roman" w:hAnsi="Times New Roman"/>
          <w:b/>
          <w:color w:val="000000" w:themeColor="text1"/>
          <w:sz w:val="24"/>
          <w:szCs w:val="24"/>
        </w:rPr>
      </w:pPr>
    </w:p>
    <w:p w:rsidR="00FA2F70" w:rsidRPr="00142E14" w:rsidP="00FA2F70" w14:paraId="4B9A9B76"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br w:type="page"/>
      </w:r>
    </w:p>
    <w:tbl>
      <w:tblPr>
        <w:tblW w:w="0" w:type="auto"/>
        <w:tblInd w:w="108" w:type="dxa"/>
        <w:tblLook w:val="04A0"/>
      </w:tblPr>
      <w:tblGrid>
        <w:gridCol w:w="9252"/>
      </w:tblGrid>
      <w:tr w14:paraId="50FEC3AE" w14:textId="77777777" w:rsidTr="00D35DDB">
        <w:tblPrEx>
          <w:tblW w:w="0" w:type="auto"/>
          <w:tblInd w:w="108" w:type="dxa"/>
          <w:tblLook w:val="04A0"/>
        </w:tblPrEx>
        <w:tc>
          <w:tcPr>
            <w:tcW w:w="9360" w:type="dxa"/>
            <w:shd w:val="clear" w:color="auto" w:fill="auto"/>
          </w:tcPr>
          <w:p w:rsidR="0021340A" w:rsidRPr="00142E14" w:rsidP="001B4FB5" w14:paraId="054AE7E5" w14:textId="410D8E86">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burden </w:t>
            </w:r>
            <w:r w:rsidR="00D40568">
              <w:rPr>
                <w:rFonts w:ascii="Times New Roman" w:hAnsi="Times New Roman"/>
                <w:b/>
                <w:color w:val="000000" w:themeColor="text1"/>
                <w:sz w:val="24"/>
                <w:szCs w:val="24"/>
              </w:rPr>
              <w:t xml:space="preserve">hour </w:t>
            </w:r>
            <w:r w:rsidRPr="00142E14">
              <w:rPr>
                <w:rFonts w:ascii="Times New Roman" w:hAnsi="Times New Roman"/>
                <w:b/>
                <w:color w:val="000000" w:themeColor="text1"/>
                <w:sz w:val="24"/>
                <w:szCs w:val="24"/>
              </w:rPr>
              <w:t xml:space="preserve">shown in Items 12 and 14). </w:t>
            </w:r>
          </w:p>
          <w:p w:rsidR="0021340A" w:rsidRPr="00142E14" w:rsidP="001B4FB5" w14:paraId="25AEF07E" w14:textId="77777777">
            <w:pPr>
              <w:spacing w:after="0" w:line="240" w:lineRule="auto"/>
              <w:rPr>
                <w:rFonts w:ascii="Times New Roman" w:hAnsi="Times New Roman"/>
                <w:b/>
                <w:color w:val="000000" w:themeColor="text1"/>
                <w:sz w:val="24"/>
                <w:szCs w:val="24"/>
              </w:rPr>
            </w:pPr>
          </w:p>
          <w:p w:rsidR="0021340A" w:rsidRPr="00142E14" w:rsidP="001B4FB5" w14:paraId="434CE35F"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142E14">
              <w:rPr>
                <w:rFonts w:ascii="Times New Roman" w:hAnsi="Times New Roman"/>
                <w:color w:val="000000" w:themeColor="text1"/>
                <w:sz w:val="24"/>
                <w:szCs w:val="24"/>
              </w:rPr>
              <w:t>take into account</w:t>
            </w:r>
            <w:r w:rsidRPr="00142E14">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42E14">
              <w:rPr>
                <w:rFonts w:ascii="Times New Roman" w:hAnsi="Times New Roman"/>
                <w:color w:val="000000" w:themeColor="text1"/>
                <w:sz w:val="24"/>
                <w:szCs w:val="24"/>
              </w:rPr>
              <w:t>time period</w:t>
            </w:r>
            <w:r w:rsidRPr="00142E14">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142E14" w:rsidP="001B4FB5" w14:paraId="77BB85EE" w14:textId="77777777">
            <w:pPr>
              <w:spacing w:after="0" w:line="240" w:lineRule="auto"/>
              <w:rPr>
                <w:rFonts w:ascii="Times New Roman" w:hAnsi="Times New Roman"/>
                <w:color w:val="000000" w:themeColor="text1"/>
                <w:sz w:val="24"/>
                <w:szCs w:val="24"/>
              </w:rPr>
            </w:pPr>
          </w:p>
          <w:p w:rsidR="0021340A" w:rsidRPr="00142E14" w:rsidP="001B4FB5" w14:paraId="700DF42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142E14" w:rsidP="001B4FB5" w14:paraId="625D076F" w14:textId="77777777">
            <w:pPr>
              <w:spacing w:after="0" w:line="240" w:lineRule="auto"/>
              <w:rPr>
                <w:rFonts w:ascii="Times New Roman" w:hAnsi="Times New Roman"/>
                <w:color w:val="000000" w:themeColor="text1"/>
                <w:sz w:val="24"/>
                <w:szCs w:val="24"/>
              </w:rPr>
            </w:pPr>
          </w:p>
          <w:p w:rsidR="0021340A" w:rsidRPr="00142E14" w:rsidP="001B4FB5" w14:paraId="25F32A3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142E14" w:rsidP="001B4FB5" w14:paraId="7CA7EB67" w14:textId="77777777">
            <w:pPr>
              <w:spacing w:after="0" w:line="240" w:lineRule="auto"/>
              <w:rPr>
                <w:rFonts w:ascii="Times New Roman" w:hAnsi="Times New Roman"/>
                <w:b/>
                <w:color w:val="000000" w:themeColor="text1"/>
                <w:sz w:val="24"/>
                <w:szCs w:val="24"/>
              </w:rPr>
            </w:pPr>
          </w:p>
        </w:tc>
      </w:tr>
      <w:tr w14:paraId="6BEBA68C" w14:textId="77777777" w:rsidTr="00D35DDB">
        <w:tblPrEx>
          <w:tblW w:w="0" w:type="auto"/>
          <w:tblInd w:w="108" w:type="dxa"/>
          <w:tblLook w:val="04A0"/>
        </w:tblPrEx>
        <w:tc>
          <w:tcPr>
            <w:tcW w:w="9360" w:type="dxa"/>
            <w:shd w:val="clear" w:color="auto" w:fill="auto"/>
          </w:tcPr>
          <w:p w:rsidR="0021340A" w:rsidRPr="00142E14" w:rsidP="00C01C49" w14:paraId="58A5CE64" w14:textId="29A9684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Cost estimates vary based on project owner/manager’s choices to submit requests for draws on reserve for replacements or residual receipts more frequently than annually, such as quarterly.  It is estimated that approximately 2</w:t>
            </w:r>
            <w:r w:rsidR="00B85311">
              <w:rPr>
                <w:rFonts w:ascii="Courier" w:hAnsi="Courier"/>
                <w:color w:val="000000" w:themeColor="text1"/>
                <w:sz w:val="24"/>
              </w:rPr>
              <w:t>7</w:t>
            </w:r>
            <w:r w:rsidRPr="00142E14">
              <w:rPr>
                <w:rFonts w:ascii="Courier" w:hAnsi="Courier"/>
                <w:color w:val="000000" w:themeColor="text1"/>
                <w:sz w:val="24"/>
              </w:rPr>
              <w:t xml:space="preserve">% of respondents choose to make periodic withdrawals to stabilize project cash flow </w:t>
            </w:r>
            <w:r w:rsidRPr="00142E14">
              <w:rPr>
                <w:rFonts w:ascii="Courier" w:hAnsi="Courier"/>
                <w:color w:val="000000" w:themeColor="text1"/>
                <w:sz w:val="24"/>
              </w:rPr>
              <w:t>in the course of</w:t>
            </w:r>
            <w:r w:rsidRPr="00142E14">
              <w:rPr>
                <w:rFonts w:ascii="Courier" w:hAnsi="Courier"/>
                <w:color w:val="000000" w:themeColor="text1"/>
                <w:sz w:val="24"/>
              </w:rPr>
              <w:t xml:space="preserve"> a year.</w:t>
            </w:r>
          </w:p>
        </w:tc>
      </w:tr>
    </w:tbl>
    <w:p w:rsidR="0021340A" w:rsidRPr="00142E14" w:rsidP="00FA2F70" w14:paraId="4A6128FE"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286"/>
        <w:gridCol w:w="1357"/>
        <w:gridCol w:w="1199"/>
        <w:gridCol w:w="1247"/>
        <w:gridCol w:w="1128"/>
        <w:gridCol w:w="876"/>
        <w:gridCol w:w="1077"/>
        <w:gridCol w:w="980"/>
        <w:gridCol w:w="102"/>
      </w:tblGrid>
      <w:tr w14:paraId="2E087C05" w14:textId="77777777" w:rsidTr="00B335D8">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gridSpan w:val="9"/>
            <w:tcBorders>
              <w:top w:val="nil"/>
              <w:left w:val="nil"/>
              <w:bottom w:val="nil"/>
              <w:right w:val="nil"/>
            </w:tcBorders>
            <w:shd w:val="clear" w:color="auto" w:fill="auto"/>
          </w:tcPr>
          <w:p w:rsidR="0021340A" w:rsidRPr="00142E14" w:rsidP="001B4FB5" w14:paraId="0C6E73EA"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14. Provide estimates of annualized costs to the Federal government. Also</w:t>
            </w:r>
            <w:r w:rsidRPr="00522D15">
              <w:rPr>
                <w:rFonts w:ascii="Times New Roman" w:hAnsi="Times New Roman"/>
                <w:b/>
                <w:color w:val="000000" w:themeColor="text1"/>
                <w:sz w:val="24"/>
                <w:szCs w:val="24"/>
              </w:rPr>
              <w:t>, provide a description of the method used to estimate cost,</w:t>
            </w:r>
            <w:r w:rsidRPr="00142E14">
              <w:rPr>
                <w:rFonts w:ascii="Times New Roman" w:hAnsi="Times New Roman"/>
                <w:b/>
                <w:color w:val="000000" w:themeColor="text1"/>
                <w:sz w:val="24"/>
                <w:szCs w:val="24"/>
              </w:rPr>
              <w:t xml:space="preserve">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142E14" w:rsidP="001B4FB5" w14:paraId="0461911B" w14:textId="77777777">
            <w:pPr>
              <w:spacing w:after="0" w:line="240" w:lineRule="auto"/>
              <w:rPr>
                <w:rFonts w:ascii="Times New Roman" w:hAnsi="Times New Roman"/>
                <w:color w:val="000000" w:themeColor="text1"/>
                <w:sz w:val="24"/>
                <w:szCs w:val="24"/>
              </w:rPr>
            </w:pPr>
          </w:p>
        </w:tc>
      </w:tr>
      <w:tr w14:paraId="4E7A8987" w14:textId="77777777" w:rsidTr="00B335D8">
        <w:tblPrEx>
          <w:tblW w:w="0" w:type="auto"/>
          <w:tblInd w:w="108" w:type="dxa"/>
          <w:tblBorders>
            <w:insideH w:val="single" w:sz="4" w:space="0" w:color="auto"/>
          </w:tblBorders>
          <w:tblLook w:val="0000"/>
        </w:tblPrEx>
        <w:trPr>
          <w:gridAfter w:val="1"/>
          <w:wAfter w:w="109" w:type="dxa"/>
        </w:trPr>
        <w:tc>
          <w:tcPr>
            <w:tcW w:w="129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31B52B9C" w14:textId="77777777">
            <w:pPr>
              <w:rPr>
                <w:rFonts w:ascii="Helvetica" w:hAnsi="Helvetica"/>
                <w:b/>
                <w:bCs/>
                <w:color w:val="000000" w:themeColor="text1"/>
                <w:sz w:val="18"/>
              </w:rPr>
            </w:pPr>
            <w:r w:rsidRPr="00142E14">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0E56C0CA"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312EB2F1" w14:textId="77777777">
            <w:pPr>
              <w:ind w:left="72" w:right="-108"/>
              <w:jc w:val="center"/>
              <w:rPr>
                <w:rFonts w:ascii="Helvetica" w:hAnsi="Helvetica"/>
                <w:b/>
                <w:bCs/>
                <w:color w:val="000000" w:themeColor="text1"/>
                <w:sz w:val="18"/>
              </w:rPr>
            </w:pPr>
            <w:r w:rsidRPr="00142E14">
              <w:rPr>
                <w:rFonts w:ascii="Helvetica" w:hAnsi="Helvetica"/>
                <w:b/>
                <w:bCs/>
                <w:color w:val="000000" w:themeColor="text1"/>
                <w:sz w:val="18"/>
              </w:rPr>
              <w:t>Frequency of Response</w:t>
            </w:r>
          </w:p>
        </w:tc>
        <w:tc>
          <w:tcPr>
            <w:tcW w:w="1226"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67938BCF" w14:textId="25F81B7C">
            <w:pPr>
              <w:jc w:val="center"/>
              <w:rPr>
                <w:rFonts w:ascii="Helvetica" w:hAnsi="Helvetica"/>
                <w:b/>
                <w:bCs/>
                <w:color w:val="000000" w:themeColor="text1"/>
                <w:sz w:val="18"/>
              </w:rPr>
            </w:pPr>
            <w:r>
              <w:rPr>
                <w:rFonts w:ascii="Helvetica" w:hAnsi="Helvetica"/>
                <w:b/>
                <w:bCs/>
                <w:color w:val="000000" w:themeColor="text1"/>
                <w:sz w:val="18"/>
              </w:rPr>
              <w:t>*</w:t>
            </w:r>
            <w:r w:rsidRPr="00142E14">
              <w:rPr>
                <w:rFonts w:ascii="Helvetica" w:hAnsi="Helvetica"/>
                <w:b/>
                <w:bCs/>
                <w:color w:val="000000" w:themeColor="text1"/>
                <w:sz w:val="18"/>
              </w:rPr>
              <w:t>Responses Per Year</w:t>
            </w:r>
          </w:p>
        </w:tc>
        <w:tc>
          <w:tcPr>
            <w:tcW w:w="1132"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2267703F"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Burden Hours Per Response</w:t>
            </w:r>
          </w:p>
        </w:tc>
        <w:tc>
          <w:tcPr>
            <w:tcW w:w="878"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549F7E0"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31B74828" w14:textId="3F59AE45">
            <w:pPr>
              <w:ind w:right="-108"/>
              <w:jc w:val="center"/>
              <w:rPr>
                <w:rFonts w:ascii="Helvetica" w:hAnsi="Helvetica"/>
                <w:b/>
                <w:bCs/>
                <w:color w:val="000000" w:themeColor="text1"/>
                <w:sz w:val="18"/>
              </w:rPr>
            </w:pPr>
            <w:r>
              <w:rPr>
                <w:rFonts w:ascii="Helvetica" w:hAnsi="Helvetica"/>
                <w:b/>
                <w:bCs/>
                <w:color w:val="000000" w:themeColor="text1"/>
                <w:sz w:val="18"/>
              </w:rPr>
              <w:t>**</w:t>
            </w:r>
            <w:r w:rsidRPr="00142E14">
              <w:rPr>
                <w:rFonts w:ascii="Helvetica" w:hAnsi="Helvetica"/>
                <w:b/>
                <w:bCs/>
                <w:color w:val="000000" w:themeColor="text1"/>
                <w:sz w:val="18"/>
              </w:rPr>
              <w:t>Hourly Cost per Response</w:t>
            </w:r>
          </w:p>
        </w:tc>
        <w:tc>
          <w:tcPr>
            <w:tcW w:w="981" w:type="dxa"/>
            <w:tcBorders>
              <w:top w:val="single" w:sz="4" w:space="0" w:color="auto"/>
              <w:left w:val="single" w:sz="4" w:space="0" w:color="auto"/>
              <w:bottom w:val="single" w:sz="4" w:space="0" w:color="auto"/>
              <w:right w:val="single" w:sz="4" w:space="0" w:color="auto"/>
            </w:tcBorders>
            <w:shd w:val="clear" w:color="auto" w:fill="D9D9D9"/>
          </w:tcPr>
          <w:p w:rsidR="00A6656E" w:rsidRPr="00142E14" w:rsidP="00B106EA" w14:paraId="5F580311"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Total Annual Cost</w:t>
            </w:r>
          </w:p>
        </w:tc>
      </w:tr>
      <w:tr w14:paraId="31F7D1C3" w14:textId="77777777" w:rsidTr="00B335D8">
        <w:tblPrEx>
          <w:tblW w:w="0" w:type="auto"/>
          <w:tblInd w:w="108" w:type="dxa"/>
          <w:tblBorders>
            <w:insideH w:val="single" w:sz="4" w:space="0" w:color="auto"/>
          </w:tblBorders>
          <w:tblLook w:val="0000"/>
        </w:tblPrEx>
        <w:trPr>
          <w:gridAfter w:val="1"/>
          <w:wAfter w:w="109" w:type="dxa"/>
        </w:trPr>
        <w:tc>
          <w:tcPr>
            <w:tcW w:w="129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4DFADE87" w14:textId="46430A72">
            <w:pPr>
              <w:rPr>
                <w:rFonts w:ascii="Helvetica" w:hAnsi="Helvetica"/>
                <w:bCs/>
                <w:color w:val="000000" w:themeColor="text1"/>
                <w:sz w:val="18"/>
              </w:rPr>
            </w:pPr>
            <w:r w:rsidRPr="00142E14">
              <w:rPr>
                <w:rFonts w:ascii="Helvetica" w:hAnsi="Helvetica"/>
                <w:bCs/>
                <w:color w:val="000000" w:themeColor="text1"/>
                <w:sz w:val="18"/>
              </w:rPr>
              <w:t>H-9250</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2C37BCC2" w14:textId="31564407">
            <w:pPr>
              <w:jc w:val="center"/>
              <w:rPr>
                <w:rFonts w:ascii="Helvetica" w:hAnsi="Helvetica"/>
                <w:bCs/>
                <w:color w:val="000000" w:themeColor="text1"/>
                <w:sz w:val="18"/>
              </w:rPr>
            </w:pPr>
            <w:r w:rsidRPr="00142E14">
              <w:rPr>
                <w:rFonts w:ascii="Helvetica" w:hAnsi="Helvetica"/>
                <w:bCs/>
                <w:color w:val="000000" w:themeColor="text1"/>
                <w:sz w:val="18"/>
              </w:rPr>
              <w:t>30,</w:t>
            </w:r>
            <w:r w:rsidR="00D16CB3">
              <w:rPr>
                <w:rFonts w:ascii="Helvetica" w:hAnsi="Helvetica"/>
                <w:bCs/>
                <w:color w:val="000000" w:themeColor="text1"/>
                <w:sz w:val="18"/>
              </w:rPr>
              <w:t>791</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1511E8A" w14:textId="7B59CA72">
            <w:pPr>
              <w:jc w:val="center"/>
              <w:rPr>
                <w:rFonts w:ascii="Helvetica" w:hAnsi="Helvetica"/>
                <w:bCs/>
                <w:color w:val="000000" w:themeColor="text1"/>
                <w:sz w:val="18"/>
              </w:rPr>
            </w:pPr>
            <w:r w:rsidRPr="00142E14">
              <w:rPr>
                <w:rFonts w:ascii="Helvetica" w:hAnsi="Helvetica"/>
                <w:bCs/>
                <w:color w:val="000000" w:themeColor="text1"/>
                <w:sz w:val="18"/>
              </w:rPr>
              <w:t>varies</w:t>
            </w:r>
          </w:p>
        </w:tc>
        <w:tc>
          <w:tcPr>
            <w:tcW w:w="1226"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500D7996" w14:textId="4F9C461F">
            <w:pPr>
              <w:jc w:val="center"/>
              <w:rPr>
                <w:rFonts w:ascii="Helvetica" w:hAnsi="Helvetica"/>
                <w:bCs/>
                <w:color w:val="000000" w:themeColor="text1"/>
                <w:sz w:val="18"/>
              </w:rPr>
            </w:pPr>
            <w:r w:rsidRPr="00142E14">
              <w:rPr>
                <w:rFonts w:ascii="Helvetica" w:hAnsi="Helvetica"/>
                <w:bCs/>
                <w:color w:val="000000" w:themeColor="text1"/>
                <w:sz w:val="18"/>
              </w:rPr>
              <w:t>8,</w:t>
            </w:r>
            <w:r w:rsidR="00AF31EA">
              <w:rPr>
                <w:rFonts w:ascii="Helvetica" w:hAnsi="Helvetica"/>
                <w:bCs/>
                <w:color w:val="000000" w:themeColor="text1"/>
                <w:sz w:val="18"/>
              </w:rPr>
              <w:t>314</w:t>
            </w:r>
          </w:p>
        </w:tc>
        <w:tc>
          <w:tcPr>
            <w:tcW w:w="1132"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2FFE473C" w14:textId="004E7D18">
            <w:pPr>
              <w:jc w:val="center"/>
              <w:rPr>
                <w:rFonts w:ascii="Helvetica" w:hAnsi="Helvetica"/>
                <w:bCs/>
                <w:color w:val="000000" w:themeColor="text1"/>
                <w:sz w:val="18"/>
              </w:rPr>
            </w:pPr>
            <w:r w:rsidRPr="00142E14">
              <w:rPr>
                <w:rFonts w:ascii="Helvetica" w:hAnsi="Helvetica"/>
                <w:bCs/>
                <w:color w:val="000000" w:themeColor="text1"/>
                <w:sz w:val="18"/>
              </w:rPr>
              <w:t>0.5</w:t>
            </w:r>
          </w:p>
        </w:tc>
        <w:tc>
          <w:tcPr>
            <w:tcW w:w="878"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48FF972C" w14:textId="1129BDC6">
            <w:pPr>
              <w:jc w:val="center"/>
              <w:rPr>
                <w:rFonts w:ascii="Helvetica" w:hAnsi="Helvetica"/>
                <w:bCs/>
                <w:color w:val="000000" w:themeColor="text1"/>
                <w:sz w:val="18"/>
              </w:rPr>
            </w:pPr>
            <w:r w:rsidRPr="00142E14">
              <w:rPr>
                <w:rFonts w:ascii="Helvetica" w:hAnsi="Helvetica"/>
                <w:bCs/>
                <w:color w:val="000000" w:themeColor="text1"/>
                <w:sz w:val="18"/>
              </w:rPr>
              <w:t>4,</w:t>
            </w:r>
            <w:r w:rsidR="00AF31EA">
              <w:rPr>
                <w:rFonts w:ascii="Helvetica" w:hAnsi="Helvetica"/>
                <w:bCs/>
                <w:color w:val="000000" w:themeColor="text1"/>
                <w:sz w:val="18"/>
              </w:rPr>
              <w:t>157</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10574CAD" w14:textId="6102232A">
            <w:pPr>
              <w:jc w:val="right"/>
              <w:rPr>
                <w:rFonts w:ascii="Helvetica" w:hAnsi="Helvetica"/>
                <w:bCs/>
                <w:color w:val="000000" w:themeColor="text1"/>
                <w:sz w:val="18"/>
              </w:rPr>
            </w:pPr>
            <w:r w:rsidRPr="00142E14">
              <w:rPr>
                <w:rFonts w:ascii="Helvetica" w:hAnsi="Helvetica"/>
                <w:bCs/>
                <w:color w:val="000000" w:themeColor="text1"/>
                <w:sz w:val="18"/>
              </w:rPr>
              <w:t>$4</w:t>
            </w:r>
            <w:r w:rsidR="00C55141">
              <w:rPr>
                <w:rFonts w:ascii="Helvetica" w:hAnsi="Helvetica"/>
                <w:bCs/>
                <w:color w:val="000000" w:themeColor="text1"/>
                <w:sz w:val="18"/>
              </w:rPr>
              <w:t>4.94</w:t>
            </w:r>
          </w:p>
        </w:tc>
        <w:tc>
          <w:tcPr>
            <w:tcW w:w="981" w:type="dxa"/>
            <w:tcBorders>
              <w:top w:val="single" w:sz="4" w:space="0" w:color="auto"/>
              <w:left w:val="single" w:sz="4" w:space="0" w:color="auto"/>
              <w:bottom w:val="single" w:sz="4" w:space="0" w:color="auto"/>
              <w:right w:val="single" w:sz="4" w:space="0" w:color="auto"/>
            </w:tcBorders>
            <w:shd w:val="clear" w:color="auto" w:fill="D9D9D9"/>
          </w:tcPr>
          <w:p w:rsidR="00A6656E" w:rsidRPr="00142E14" w:rsidP="00B106EA" w14:paraId="00254C96" w14:textId="7FC31610">
            <w:pPr>
              <w:jc w:val="right"/>
              <w:rPr>
                <w:rFonts w:ascii="Helvetica" w:hAnsi="Helvetica"/>
                <w:bCs/>
                <w:color w:val="000000" w:themeColor="text1"/>
                <w:sz w:val="18"/>
              </w:rPr>
            </w:pPr>
            <w:r w:rsidRPr="00142E14">
              <w:rPr>
                <w:rFonts w:ascii="Helvetica" w:hAnsi="Helvetica"/>
                <w:bCs/>
                <w:color w:val="000000" w:themeColor="text1"/>
                <w:sz w:val="18"/>
              </w:rPr>
              <w:t>$186,</w:t>
            </w:r>
            <w:r w:rsidR="00C55141">
              <w:rPr>
                <w:rFonts w:ascii="Helvetica" w:hAnsi="Helvetica"/>
                <w:bCs/>
                <w:color w:val="000000" w:themeColor="text1"/>
                <w:sz w:val="18"/>
              </w:rPr>
              <w:t>799</w:t>
            </w:r>
          </w:p>
        </w:tc>
      </w:tr>
      <w:tr w14:paraId="775495DA" w14:textId="77777777" w:rsidTr="00B335D8">
        <w:tblPrEx>
          <w:tblW w:w="0" w:type="auto"/>
          <w:tblInd w:w="108" w:type="dxa"/>
          <w:tblBorders>
            <w:insideH w:val="single" w:sz="4" w:space="0" w:color="auto"/>
          </w:tblBorders>
          <w:tblLook w:val="0000"/>
        </w:tblPrEx>
        <w:trPr>
          <w:gridAfter w:val="1"/>
          <w:wAfter w:w="109" w:type="dxa"/>
        </w:trPr>
        <w:tc>
          <w:tcPr>
            <w:tcW w:w="1293"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0B36F352" w14:textId="77777777">
            <w:pPr>
              <w:rPr>
                <w:rFonts w:ascii="Helvetica" w:hAnsi="Helvetica"/>
                <w:b/>
                <w:bCs/>
                <w:color w:val="000000" w:themeColor="text1"/>
                <w:sz w:val="18"/>
              </w:rPr>
            </w:pPr>
            <w:r w:rsidRPr="00142E14">
              <w:rPr>
                <w:rFonts w:ascii="Helvetica" w:hAnsi="Helvetica"/>
                <w:b/>
                <w:bCs/>
                <w:color w:val="000000" w:themeColor="text1"/>
                <w:sz w:val="18"/>
              </w:rPr>
              <w:t>TOTALS</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56214B9B" w14:textId="520EB69F">
            <w:pPr>
              <w:jc w:val="center"/>
              <w:rPr>
                <w:rFonts w:ascii="Helvetica" w:hAnsi="Helvetica"/>
                <w:bCs/>
                <w:color w:val="000000" w:themeColor="text1"/>
                <w:sz w:val="18"/>
              </w:rPr>
            </w:pPr>
            <w:r w:rsidRPr="00142E14">
              <w:rPr>
                <w:rFonts w:ascii="Helvetica" w:hAnsi="Helvetica"/>
                <w:bCs/>
                <w:color w:val="000000" w:themeColor="text1"/>
                <w:sz w:val="18"/>
              </w:rPr>
              <w:t>30,</w:t>
            </w:r>
            <w:r w:rsidR="00D16CB3">
              <w:rPr>
                <w:rFonts w:ascii="Helvetica" w:hAnsi="Helvetica"/>
                <w:bCs/>
                <w:color w:val="000000" w:themeColor="text1"/>
                <w:sz w:val="18"/>
              </w:rPr>
              <w:t>791</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2E14" w:rsidP="00B106EA" w14:paraId="565E69B3" w14:textId="77777777">
            <w:pPr>
              <w:jc w:val="center"/>
              <w:rPr>
                <w:rFonts w:ascii="Helvetica" w:hAnsi="Helvetica"/>
                <w:bCs/>
                <w:color w:val="000000" w:themeColor="text1"/>
                <w:sz w:val="18"/>
              </w:rPr>
            </w:pPr>
          </w:p>
        </w:tc>
        <w:tc>
          <w:tcPr>
            <w:tcW w:w="1226"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7F09E38C" w14:textId="22538F04">
            <w:pPr>
              <w:jc w:val="center"/>
              <w:rPr>
                <w:rFonts w:ascii="Helvetica" w:hAnsi="Helvetica"/>
                <w:bCs/>
                <w:color w:val="000000" w:themeColor="text1"/>
                <w:sz w:val="18"/>
              </w:rPr>
            </w:pPr>
            <w:r w:rsidRPr="00142E14">
              <w:rPr>
                <w:rFonts w:ascii="Helvetica" w:hAnsi="Helvetica"/>
                <w:bCs/>
                <w:color w:val="000000" w:themeColor="text1"/>
                <w:sz w:val="18"/>
              </w:rPr>
              <w:t>8,</w:t>
            </w:r>
            <w:r>
              <w:rPr>
                <w:rFonts w:ascii="Helvetica" w:hAnsi="Helvetica"/>
                <w:bCs/>
                <w:color w:val="000000" w:themeColor="text1"/>
                <w:sz w:val="18"/>
              </w:rPr>
              <w:t>314</w:t>
            </w:r>
          </w:p>
        </w:tc>
        <w:tc>
          <w:tcPr>
            <w:tcW w:w="1132"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2E14" w:rsidP="00B106EA" w14:paraId="396B64CD" w14:textId="77777777">
            <w:pPr>
              <w:jc w:val="center"/>
              <w:rPr>
                <w:rFonts w:ascii="Helvetica" w:hAnsi="Helvetica"/>
                <w:bCs/>
                <w:color w:val="000000" w:themeColor="text1"/>
                <w:sz w:val="18"/>
              </w:rPr>
            </w:pPr>
          </w:p>
        </w:tc>
        <w:tc>
          <w:tcPr>
            <w:tcW w:w="878" w:type="dxa"/>
            <w:tcBorders>
              <w:top w:val="single" w:sz="4" w:space="0" w:color="auto"/>
              <w:left w:val="single" w:sz="4" w:space="0" w:color="auto"/>
              <w:bottom w:val="single" w:sz="4" w:space="0" w:color="auto"/>
              <w:right w:val="single" w:sz="4" w:space="0" w:color="auto"/>
            </w:tcBorders>
            <w:vAlign w:val="center"/>
          </w:tcPr>
          <w:p w:rsidR="00A6656E" w:rsidRPr="00142E14" w:rsidP="00B106EA" w14:paraId="6806D886" w14:textId="18CD784A">
            <w:pPr>
              <w:jc w:val="center"/>
              <w:rPr>
                <w:rFonts w:ascii="Helvetica" w:hAnsi="Helvetica"/>
                <w:bCs/>
                <w:color w:val="000000" w:themeColor="text1"/>
                <w:sz w:val="18"/>
              </w:rPr>
            </w:pPr>
            <w:r w:rsidRPr="00142E14">
              <w:rPr>
                <w:rFonts w:ascii="Helvetica" w:hAnsi="Helvetica"/>
                <w:bCs/>
                <w:color w:val="000000" w:themeColor="text1"/>
                <w:sz w:val="18"/>
              </w:rPr>
              <w:t>4,</w:t>
            </w:r>
            <w:r>
              <w:rPr>
                <w:rFonts w:ascii="Helvetica" w:hAnsi="Helvetica"/>
                <w:bCs/>
                <w:color w:val="000000" w:themeColor="text1"/>
                <w:sz w:val="18"/>
              </w:rPr>
              <w:t>157</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142E14" w:rsidP="00B106EA" w14:paraId="69AD7487" w14:textId="77777777">
            <w:pPr>
              <w:jc w:val="right"/>
              <w:rPr>
                <w:rFonts w:ascii="Helvetica" w:hAnsi="Helvetica"/>
                <w:bCs/>
                <w:color w:val="000000" w:themeColor="text1"/>
                <w:sz w:val="18"/>
              </w:rPr>
            </w:pPr>
          </w:p>
        </w:tc>
        <w:tc>
          <w:tcPr>
            <w:tcW w:w="981" w:type="dxa"/>
            <w:tcBorders>
              <w:top w:val="single" w:sz="4" w:space="0" w:color="auto"/>
              <w:left w:val="single" w:sz="4" w:space="0" w:color="auto"/>
              <w:bottom w:val="single" w:sz="4" w:space="0" w:color="auto"/>
              <w:right w:val="single" w:sz="4" w:space="0" w:color="auto"/>
            </w:tcBorders>
            <w:shd w:val="clear" w:color="auto" w:fill="D9D9D9"/>
          </w:tcPr>
          <w:p w:rsidR="00A6656E" w:rsidRPr="00142E14" w:rsidP="00B106EA" w14:paraId="3E5C55CE" w14:textId="760C18B9">
            <w:pPr>
              <w:jc w:val="right"/>
              <w:rPr>
                <w:rFonts w:ascii="Helvetica" w:hAnsi="Helvetica"/>
                <w:bCs/>
                <w:color w:val="000000" w:themeColor="text1"/>
                <w:sz w:val="18"/>
              </w:rPr>
            </w:pPr>
            <w:r w:rsidRPr="00142E14">
              <w:rPr>
                <w:rFonts w:ascii="Helvetica" w:hAnsi="Helvetica"/>
                <w:bCs/>
                <w:color w:val="000000" w:themeColor="text1"/>
                <w:sz w:val="18"/>
              </w:rPr>
              <w:t>$186</w:t>
            </w:r>
            <w:r w:rsidR="00C55141">
              <w:rPr>
                <w:rFonts w:ascii="Helvetica" w:hAnsi="Helvetica"/>
                <w:bCs/>
                <w:color w:val="000000" w:themeColor="text1"/>
                <w:sz w:val="18"/>
              </w:rPr>
              <w:t>,799</w:t>
            </w:r>
          </w:p>
        </w:tc>
      </w:tr>
    </w:tbl>
    <w:p w:rsidR="00B335D8" w:rsidRPr="00142E14" w:rsidP="00B335D8" w14:paraId="3DA965C0" w14:textId="2286BC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Pr>
          <w:rFonts w:ascii="Courier" w:hAnsi="Courier"/>
          <w:color w:val="000000" w:themeColor="text1"/>
          <w:sz w:val="18"/>
          <w:szCs w:val="18"/>
          <w:vertAlign w:val="superscript"/>
        </w:rPr>
        <w:t>*</w:t>
      </w:r>
      <w:r w:rsidRPr="00142E14">
        <w:rPr>
          <w:rFonts w:ascii="Courier" w:hAnsi="Courier"/>
          <w:color w:val="000000" w:themeColor="text1"/>
          <w:sz w:val="18"/>
          <w:szCs w:val="18"/>
          <w:vertAlign w:val="superscript"/>
        </w:rPr>
        <w:t xml:space="preserve"> </w:t>
      </w:r>
      <w:r>
        <w:rPr>
          <w:rFonts w:ascii="Courier" w:hAnsi="Courier"/>
          <w:color w:val="000000" w:themeColor="text1"/>
          <w:sz w:val="18"/>
          <w:szCs w:val="18"/>
        </w:rPr>
        <w:t xml:space="preserve">Number of </w:t>
      </w:r>
      <w:r w:rsidR="00C42138">
        <w:rPr>
          <w:rFonts w:ascii="Courier" w:hAnsi="Courier"/>
          <w:color w:val="000000" w:themeColor="text1"/>
          <w:sz w:val="18"/>
          <w:szCs w:val="18"/>
        </w:rPr>
        <w:t>respondents is based on data obtained from HUD systems for processed transactions.</w:t>
      </w:r>
      <w:r w:rsidRPr="00142E14">
        <w:rPr>
          <w:rFonts w:ascii="Courier" w:hAnsi="Courier"/>
          <w:color w:val="000000" w:themeColor="text1"/>
          <w:sz w:val="18"/>
          <w:szCs w:val="18"/>
        </w:rPr>
        <w:t xml:space="preserve"> </w:t>
      </w:r>
    </w:p>
    <w:p w:rsidR="00B335D8" w:rsidRPr="00142E14" w:rsidP="00B335D8" w14:paraId="26B14B1F" w14:textId="74A02B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Pr>
          <w:rFonts w:ascii="Courier" w:hAnsi="Courier"/>
          <w:color w:val="000000" w:themeColor="text1"/>
          <w:sz w:val="24"/>
          <w:vertAlign w:val="superscript"/>
        </w:rPr>
        <w:t>**</w:t>
      </w:r>
      <w:r w:rsidRPr="007A50FC">
        <w:rPr>
          <w:rFonts w:ascii="Courier" w:hAnsi="Courier"/>
          <w:color w:val="000000" w:themeColor="text1"/>
          <w:sz w:val="18"/>
          <w:szCs w:val="18"/>
        </w:rPr>
        <w:t xml:space="preserve"> </w:t>
      </w:r>
      <w:r>
        <w:rPr>
          <w:rFonts w:ascii="Courier" w:hAnsi="Courier"/>
          <w:color w:val="000000" w:themeColor="text1"/>
          <w:sz w:val="18"/>
          <w:szCs w:val="18"/>
        </w:rPr>
        <w:t>GS Salary table 2023: estimated cost per hour plus 1.319</w:t>
      </w:r>
      <w:r w:rsidR="00B03593">
        <w:rPr>
          <w:rFonts w:ascii="Courier" w:hAnsi="Courier"/>
          <w:color w:val="000000" w:themeColor="text1"/>
          <w:sz w:val="18"/>
          <w:szCs w:val="18"/>
        </w:rPr>
        <w:t xml:space="preserve"> benefits multiplier for HUD staff (GS-12) to review and process the documents for this collection.</w:t>
      </w:r>
    </w:p>
    <w:p w:rsidR="00D35DDB" w:rsidRPr="00142E14" w:rsidP="00FA2F70" w14:paraId="60494982" w14:textId="77777777">
      <w:pPr>
        <w:spacing w:after="0" w:line="240" w:lineRule="auto"/>
        <w:rPr>
          <w:rFonts w:ascii="Times New Roman" w:hAnsi="Times New Roman"/>
          <w:color w:val="000000" w:themeColor="text1"/>
          <w:sz w:val="24"/>
          <w:szCs w:val="24"/>
        </w:rPr>
      </w:pPr>
    </w:p>
    <w:p w:rsidR="00D35DDB" w:rsidRPr="00142E14" w:rsidP="00FA2F70" w14:paraId="7695F902"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139B09A0" w14:textId="77777777" w:rsidTr="00D35DDB">
        <w:tblPrEx>
          <w:tblW w:w="0" w:type="auto"/>
          <w:tblInd w:w="108" w:type="dxa"/>
          <w:tblLook w:val="04A0"/>
        </w:tblPrEx>
        <w:tc>
          <w:tcPr>
            <w:tcW w:w="9360" w:type="dxa"/>
            <w:shd w:val="clear" w:color="auto" w:fill="auto"/>
          </w:tcPr>
          <w:p w:rsidR="0021340A" w:rsidRPr="00142E14" w:rsidP="001B4FB5" w14:paraId="727EBA6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142E14" w:rsidP="001B4FB5" w14:paraId="02C32625" w14:textId="77777777">
            <w:pPr>
              <w:spacing w:after="0" w:line="240" w:lineRule="auto"/>
              <w:rPr>
                <w:rFonts w:ascii="Times New Roman" w:hAnsi="Times New Roman"/>
                <w:color w:val="000000" w:themeColor="text1"/>
                <w:sz w:val="24"/>
                <w:szCs w:val="24"/>
              </w:rPr>
            </w:pPr>
          </w:p>
        </w:tc>
      </w:tr>
      <w:tr w14:paraId="79561432" w14:textId="77777777" w:rsidTr="00D35DDB">
        <w:tblPrEx>
          <w:tblW w:w="0" w:type="auto"/>
          <w:tblInd w:w="108" w:type="dxa"/>
          <w:tblLook w:val="04A0"/>
        </w:tblPrEx>
        <w:tc>
          <w:tcPr>
            <w:tcW w:w="9360" w:type="dxa"/>
            <w:shd w:val="clear" w:color="auto" w:fill="auto"/>
          </w:tcPr>
          <w:p w:rsidR="00607FC3" w:rsidRPr="00142E14" w:rsidP="00606E96" w14:paraId="05052155" w14:textId="516274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24"/>
              </w:rPr>
            </w:pPr>
            <w:r w:rsidRPr="00606E96">
              <w:rPr>
                <w:rFonts w:ascii="Courier" w:hAnsi="Courier"/>
                <w:color w:val="000000" w:themeColor="text1"/>
                <w:sz w:val="24"/>
              </w:rPr>
              <w:t>Reinstatement, with change, of previously approved collection for which approval has expired</w:t>
            </w:r>
            <w:r w:rsidRPr="00142E14" w:rsidR="00C01C49">
              <w:rPr>
                <w:rFonts w:ascii="Courier" w:hAnsi="Courier"/>
                <w:color w:val="000000" w:themeColor="text1"/>
                <w:sz w:val="24"/>
              </w:rPr>
              <w:t xml:space="preserve">.  </w:t>
            </w:r>
          </w:p>
          <w:p w:rsidR="0021340A" w:rsidRPr="00142E14" w:rsidP="00C01C49" w14:paraId="3DCCEABC" w14:textId="3486A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 xml:space="preserve">The non-substantial change in inventory in item 13 </w:t>
            </w:r>
            <w:r w:rsidRPr="00142E14" w:rsidR="00311B38">
              <w:rPr>
                <w:rFonts w:ascii="Courier" w:hAnsi="Courier"/>
                <w:color w:val="000000" w:themeColor="text1"/>
                <w:sz w:val="24"/>
              </w:rPr>
              <w:t xml:space="preserve">above </w:t>
            </w:r>
            <w:r w:rsidRPr="00142E14">
              <w:rPr>
                <w:rFonts w:ascii="Courier" w:hAnsi="Courier"/>
                <w:color w:val="000000" w:themeColor="text1"/>
                <w:sz w:val="24"/>
              </w:rPr>
              <w:t xml:space="preserve">reflects project owners that paid or prepaid their mortgage loan and no longer have a regulatory or Section 8 HAP contract requirement to HUD to maintain residual receipts or reserve for replacements escrows. The change in inventory also includes newly insured projects that have been added to the portfolio since </w:t>
            </w:r>
            <w:r w:rsidR="00D40568">
              <w:rPr>
                <w:rFonts w:ascii="Courier" w:hAnsi="Courier"/>
                <w:color w:val="000000" w:themeColor="text1"/>
                <w:sz w:val="24"/>
              </w:rPr>
              <w:t xml:space="preserve">the </w:t>
            </w:r>
            <w:r w:rsidRPr="00142E14">
              <w:rPr>
                <w:rFonts w:ascii="Courier" w:hAnsi="Courier"/>
                <w:color w:val="000000" w:themeColor="text1"/>
                <w:sz w:val="24"/>
              </w:rPr>
              <w:t>last report.</w:t>
            </w:r>
          </w:p>
        </w:tc>
      </w:tr>
    </w:tbl>
    <w:p w:rsidR="00FA2F70" w:rsidRPr="00142E14" w:rsidP="00FA2F70" w14:paraId="7651C390"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4427C471" w14:textId="77777777" w:rsidTr="00D35DDB">
        <w:tblPrEx>
          <w:tblW w:w="0" w:type="auto"/>
          <w:tblInd w:w="108" w:type="dxa"/>
          <w:tblLook w:val="04A0"/>
        </w:tblPrEx>
        <w:tc>
          <w:tcPr>
            <w:tcW w:w="9360" w:type="dxa"/>
            <w:shd w:val="clear" w:color="auto" w:fill="auto"/>
          </w:tcPr>
          <w:p w:rsidR="0021340A" w:rsidRPr="00142E14" w:rsidP="001B4FB5" w14:paraId="39C85FD4"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142E14" w:rsidP="001B4FB5" w14:paraId="57110CE0" w14:textId="77777777">
            <w:pPr>
              <w:spacing w:after="0" w:line="240" w:lineRule="auto"/>
              <w:rPr>
                <w:rFonts w:ascii="Times New Roman" w:hAnsi="Times New Roman"/>
                <w:b/>
                <w:color w:val="000000" w:themeColor="text1"/>
                <w:sz w:val="24"/>
                <w:szCs w:val="24"/>
              </w:rPr>
            </w:pPr>
          </w:p>
        </w:tc>
      </w:tr>
      <w:tr w14:paraId="7BFF4419" w14:textId="77777777" w:rsidTr="00D35DDB">
        <w:tblPrEx>
          <w:tblW w:w="0" w:type="auto"/>
          <w:tblInd w:w="108" w:type="dxa"/>
          <w:tblLook w:val="04A0"/>
        </w:tblPrEx>
        <w:tc>
          <w:tcPr>
            <w:tcW w:w="9360" w:type="dxa"/>
            <w:shd w:val="clear" w:color="auto" w:fill="auto"/>
          </w:tcPr>
          <w:p w:rsidR="0021340A" w:rsidRPr="00142E14" w:rsidP="00C01C49" w14:paraId="44A7FF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The results of this information collection will not be published.</w:t>
            </w:r>
            <w:r w:rsidRPr="00142E14">
              <w:rPr>
                <w:rFonts w:ascii="Times New Roman" w:hAnsi="Times New Roman"/>
                <w:b/>
                <w:color w:val="000000" w:themeColor="text1"/>
                <w:sz w:val="24"/>
                <w:szCs w:val="24"/>
              </w:rPr>
              <w:t xml:space="preserve">  </w:t>
            </w:r>
          </w:p>
        </w:tc>
      </w:tr>
    </w:tbl>
    <w:p w:rsidR="00FA2F70" w:rsidRPr="00142E14" w:rsidP="00FA2F70" w14:paraId="0AE4802D"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D6BD0F2" w14:textId="77777777" w:rsidTr="00D35DDB">
        <w:tblPrEx>
          <w:tblW w:w="0" w:type="auto"/>
          <w:tblInd w:w="108" w:type="dxa"/>
          <w:tblLook w:val="04A0"/>
        </w:tblPrEx>
        <w:tc>
          <w:tcPr>
            <w:tcW w:w="9360" w:type="dxa"/>
            <w:shd w:val="clear" w:color="auto" w:fill="auto"/>
          </w:tcPr>
          <w:p w:rsidR="0021340A" w:rsidRPr="00142E14" w:rsidP="001B4FB5" w14:paraId="7B15F305"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142E14" w:rsidP="001B4FB5" w14:paraId="1418FB42" w14:textId="77777777">
            <w:pPr>
              <w:spacing w:after="0" w:line="240" w:lineRule="auto"/>
              <w:rPr>
                <w:rFonts w:ascii="Times New Roman" w:hAnsi="Times New Roman"/>
                <w:color w:val="000000" w:themeColor="text1"/>
                <w:sz w:val="24"/>
                <w:szCs w:val="24"/>
              </w:rPr>
            </w:pPr>
          </w:p>
        </w:tc>
      </w:tr>
      <w:tr w14:paraId="2404EAA6" w14:textId="77777777" w:rsidTr="00D35DDB">
        <w:tblPrEx>
          <w:tblW w:w="0" w:type="auto"/>
          <w:tblInd w:w="108" w:type="dxa"/>
          <w:tblLook w:val="04A0"/>
        </w:tblPrEx>
        <w:tc>
          <w:tcPr>
            <w:tcW w:w="9360" w:type="dxa"/>
            <w:shd w:val="clear" w:color="auto" w:fill="auto"/>
          </w:tcPr>
          <w:p w:rsidR="0021340A" w:rsidRPr="00142E14" w:rsidP="00311B38" w14:paraId="4C3B8FB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color w:val="000000" w:themeColor="text1"/>
                <w:sz w:val="24"/>
                <w:szCs w:val="24"/>
              </w:rPr>
            </w:pPr>
            <w:r w:rsidRPr="00142E14">
              <w:rPr>
                <w:rFonts w:ascii="Courier" w:hAnsi="Courier"/>
                <w:color w:val="000000" w:themeColor="text1"/>
                <w:sz w:val="24"/>
              </w:rPr>
              <w:t>The expiration date will be displayed on the information collection instrument.</w:t>
            </w:r>
          </w:p>
        </w:tc>
      </w:tr>
    </w:tbl>
    <w:p w:rsidR="00FA2F70" w:rsidRPr="00142E14" w:rsidP="00FA2F70" w14:paraId="6BAA9840"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76379F11" w14:textId="77777777" w:rsidTr="00D35DDB">
        <w:tblPrEx>
          <w:tblW w:w="0" w:type="auto"/>
          <w:tblInd w:w="108" w:type="dxa"/>
          <w:tblLook w:val="04A0"/>
        </w:tblPrEx>
        <w:tc>
          <w:tcPr>
            <w:tcW w:w="9360" w:type="dxa"/>
            <w:shd w:val="clear" w:color="auto" w:fill="auto"/>
          </w:tcPr>
          <w:p w:rsidR="0021340A" w:rsidRPr="00142E14" w:rsidP="001B4FB5" w14:paraId="0A9FC710"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142E14" w:rsidP="001B4FB5" w14:paraId="2EA47560" w14:textId="77777777">
            <w:pPr>
              <w:spacing w:after="0" w:line="240" w:lineRule="auto"/>
              <w:rPr>
                <w:rFonts w:ascii="Times New Roman" w:hAnsi="Times New Roman"/>
                <w:b/>
                <w:color w:val="000000" w:themeColor="text1"/>
                <w:sz w:val="24"/>
                <w:szCs w:val="24"/>
              </w:rPr>
            </w:pPr>
          </w:p>
        </w:tc>
      </w:tr>
      <w:tr w14:paraId="3EB26F5A" w14:textId="77777777" w:rsidTr="00D35DDB">
        <w:tblPrEx>
          <w:tblW w:w="0" w:type="auto"/>
          <w:tblInd w:w="108" w:type="dxa"/>
          <w:tblLook w:val="04A0"/>
        </w:tblPrEx>
        <w:tc>
          <w:tcPr>
            <w:tcW w:w="9360" w:type="dxa"/>
            <w:shd w:val="clear" w:color="auto" w:fill="auto"/>
          </w:tcPr>
          <w:p w:rsidR="0021340A" w:rsidRPr="00142E14" w:rsidP="00311B38" w14:paraId="4EDE3C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There are no exceptions to the certification statement identified in item 19.</w:t>
            </w:r>
          </w:p>
        </w:tc>
      </w:tr>
    </w:tbl>
    <w:p w:rsidR="00075224" w:rsidRPr="00142E14" w:rsidP="00FA2F70" w14:paraId="5E66A51D" w14:textId="77777777">
      <w:pPr>
        <w:spacing w:after="0" w:line="240" w:lineRule="auto"/>
        <w:rPr>
          <w:rFonts w:ascii="Times New Roman" w:hAnsi="Times New Roman"/>
          <w:color w:val="000000" w:themeColor="text1"/>
          <w:sz w:val="24"/>
          <w:szCs w:val="24"/>
        </w:rPr>
      </w:pPr>
    </w:p>
    <w:p w:rsidR="00FA2F70" w:rsidRPr="00142E14" w:rsidP="00FA2F70" w14:paraId="22D92613" w14:textId="77777777">
      <w:pPr>
        <w:spacing w:after="0" w:line="240" w:lineRule="auto"/>
        <w:rPr>
          <w:rFonts w:ascii="Times New Roman" w:hAnsi="Times New Roman"/>
          <w:color w:val="000000" w:themeColor="text1"/>
          <w:sz w:val="24"/>
          <w:szCs w:val="24"/>
        </w:rPr>
      </w:pPr>
    </w:p>
    <w:p w:rsidR="00075224" w:rsidRPr="00142E14" w:rsidP="00FA2F70" w14:paraId="7F9666E3" w14:textId="77777777">
      <w:pPr>
        <w:spacing w:after="0" w:line="240" w:lineRule="auto"/>
        <w:rPr>
          <w:rFonts w:ascii="Times New Roman" w:hAnsi="Times New Roman"/>
          <w:b/>
          <w:bCs/>
          <w:color w:val="000000" w:themeColor="text1"/>
          <w:sz w:val="24"/>
          <w:szCs w:val="24"/>
        </w:rPr>
      </w:pPr>
      <w:r w:rsidRPr="00142E14">
        <w:rPr>
          <w:rFonts w:ascii="Times New Roman" w:hAnsi="Times New Roman"/>
          <w:b/>
          <w:bCs/>
          <w:color w:val="000000" w:themeColor="text1"/>
          <w:sz w:val="24"/>
          <w:szCs w:val="24"/>
        </w:rPr>
        <w:t xml:space="preserve">B. Collections of Information Employing Statistical Methods </w:t>
      </w:r>
    </w:p>
    <w:p w:rsidR="00FA2F70" w:rsidRPr="00142E14" w:rsidP="00FA2F70" w14:paraId="47F61750" w14:textId="77777777">
      <w:pPr>
        <w:spacing w:after="0" w:line="240" w:lineRule="auto"/>
        <w:rPr>
          <w:rFonts w:ascii="Times New Roman" w:hAnsi="Times New Roman"/>
          <w:color w:val="000000" w:themeColor="text1"/>
          <w:sz w:val="24"/>
          <w:szCs w:val="24"/>
        </w:rPr>
      </w:pPr>
    </w:p>
    <w:p w:rsidR="00075224" w:rsidRPr="00142E14" w:rsidP="00FA2F70" w14:paraId="46E933D9"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The agency should be prepared to justify its decision </w:t>
      </w:r>
      <w:bookmarkStart w:id="1" w:name="_Hlk23259059"/>
      <w:r w:rsidRPr="00142E14">
        <w:rPr>
          <w:rFonts w:ascii="Times New Roman" w:hAnsi="Times New Roman"/>
          <w:color w:val="000000" w:themeColor="text1"/>
          <w:sz w:val="24"/>
          <w:szCs w:val="24"/>
        </w:rPr>
        <w:t xml:space="preserve">not to use statistical methods </w:t>
      </w:r>
      <w:bookmarkEnd w:id="1"/>
      <w:r w:rsidRPr="00142E14">
        <w:rPr>
          <w:rFonts w:ascii="Times New Roman" w:hAnsi="Times New Roman"/>
          <w:color w:val="000000" w:themeColor="text1"/>
          <w:sz w:val="24"/>
          <w:szCs w:val="24"/>
        </w:rPr>
        <w:t xml:space="preserve">in any case where such methods might reduce </w:t>
      </w:r>
      <w:r w:rsidRPr="00142E14">
        <w:rPr>
          <w:rFonts w:ascii="Times New Roman" w:hAnsi="Times New Roman"/>
          <w:color w:val="000000" w:themeColor="text1"/>
          <w:sz w:val="24"/>
          <w:szCs w:val="24"/>
        </w:rPr>
        <w:t>burden</w:t>
      </w:r>
      <w:r w:rsidRPr="00142E14">
        <w:rPr>
          <w:rFonts w:ascii="Times New Roman" w:hAnsi="Times New Roman"/>
          <w:color w:val="000000" w:themeColor="text1"/>
          <w:sz w:val="24"/>
          <w:szCs w:val="24"/>
        </w:rPr>
        <w:t xml:space="preserve"> or improve accuracy of results. When Item 17 on the Form OMB 83-I is checked, "Yes," the following documentation should be included in the Supporting Statement to the </w:t>
      </w:r>
      <w:r w:rsidRPr="00142E14">
        <w:rPr>
          <w:rFonts w:ascii="Times New Roman" w:hAnsi="Times New Roman"/>
          <w:color w:val="000000" w:themeColor="text1"/>
          <w:sz w:val="24"/>
          <w:szCs w:val="24"/>
        </w:rPr>
        <w:t>extend</w:t>
      </w:r>
      <w:r w:rsidRPr="00142E14">
        <w:rPr>
          <w:rFonts w:ascii="Times New Roman" w:hAnsi="Times New Roman"/>
          <w:color w:val="000000" w:themeColor="text1"/>
          <w:sz w:val="24"/>
          <w:szCs w:val="24"/>
        </w:rPr>
        <w:t xml:space="preserve"> that it applies to the methods proposed: </w:t>
      </w:r>
    </w:p>
    <w:p w:rsidR="00FA2F70" w:rsidRPr="00142E14" w:rsidP="00FA2F70" w14:paraId="7B76F939" w14:textId="77777777">
      <w:pPr>
        <w:spacing w:after="0" w:line="240" w:lineRule="auto"/>
        <w:rPr>
          <w:rFonts w:ascii="Times New Roman" w:hAnsi="Times New Roman"/>
          <w:color w:val="000000" w:themeColor="text1"/>
          <w:sz w:val="24"/>
          <w:szCs w:val="24"/>
        </w:rPr>
      </w:pPr>
    </w:p>
    <w:p w:rsidR="00075224" w:rsidRPr="00142E14" w:rsidP="00FA2F70" w14:paraId="1E440768"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w:t>
      </w:r>
      <w:r w:rsidRPr="00142E14">
        <w:rPr>
          <w:rFonts w:ascii="Times New Roman" w:hAnsi="Times New Roman"/>
          <w:color w:val="000000" w:themeColor="text1"/>
          <w:sz w:val="24"/>
          <w:szCs w:val="24"/>
        </w:rPr>
        <w:t xml:space="preserve">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142E14">
        <w:rPr>
          <w:rFonts w:ascii="Times New Roman" w:hAnsi="Times New Roman"/>
          <w:color w:val="000000" w:themeColor="text1"/>
          <w:sz w:val="24"/>
          <w:szCs w:val="24"/>
        </w:rPr>
        <w:t>collection as a whole</w:t>
      </w:r>
      <w:r w:rsidRPr="00142E14">
        <w:rPr>
          <w:rFonts w:ascii="Times New Roman" w:hAnsi="Times New Roman"/>
          <w:color w:val="000000" w:themeColor="text1"/>
          <w:sz w:val="24"/>
          <w:szCs w:val="24"/>
        </w:rPr>
        <w:t xml:space="preserve">. If the collection had been conducted previously, include the actual response rate achieved during the last collection. </w:t>
      </w:r>
    </w:p>
    <w:p w:rsidR="00FA2F70" w:rsidRPr="00142E14" w:rsidP="00FA2F70" w14:paraId="32DCD276" w14:textId="77777777">
      <w:pPr>
        <w:spacing w:after="0" w:line="240" w:lineRule="auto"/>
        <w:rPr>
          <w:rFonts w:ascii="Times New Roman" w:hAnsi="Times New Roman"/>
          <w:color w:val="000000" w:themeColor="text1"/>
          <w:sz w:val="24"/>
          <w:szCs w:val="24"/>
        </w:rPr>
      </w:pPr>
    </w:p>
    <w:p w:rsidR="00075224" w:rsidRPr="00142E14" w:rsidP="00FA2F70" w14:paraId="5C82BCC0"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2. Describe the procedures for the collection of information including: </w:t>
      </w:r>
    </w:p>
    <w:p w:rsidR="00075224" w:rsidRPr="00142E14" w:rsidP="00FA2F70" w14:paraId="1E900152"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Statistical methodology for stratification and sample selection, </w:t>
      </w:r>
    </w:p>
    <w:p w:rsidR="00075224" w:rsidRPr="00142E14" w:rsidP="00FA2F70" w14:paraId="158F6C07"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Estimation procedure, </w:t>
      </w:r>
    </w:p>
    <w:p w:rsidR="00075224" w:rsidRPr="00142E14" w:rsidP="00FA2F70" w14:paraId="3A2FF5BA"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Degree of accuracy needed for the purpose described in the justification, </w:t>
      </w:r>
    </w:p>
    <w:p w:rsidR="00075224" w:rsidRPr="00142E14" w:rsidP="00FA2F70" w14:paraId="5CF2A85A"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Unusual problems requiring specialized sampling procedures, and </w:t>
      </w:r>
    </w:p>
    <w:p w:rsidR="00075224" w:rsidRPr="00142E14" w:rsidP="00FA2F70" w14:paraId="64315EF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Any use of periodic (less frequent than annual) data collection cycles to reduce burden. </w:t>
      </w:r>
    </w:p>
    <w:p w:rsidR="00FA2F70" w:rsidRPr="00142E14" w:rsidP="00FA2F70" w14:paraId="5515BEAA" w14:textId="77777777">
      <w:pPr>
        <w:spacing w:after="0" w:line="240" w:lineRule="auto"/>
        <w:rPr>
          <w:rFonts w:ascii="Times New Roman" w:hAnsi="Times New Roman"/>
          <w:color w:val="000000" w:themeColor="text1"/>
          <w:sz w:val="24"/>
          <w:szCs w:val="24"/>
        </w:rPr>
      </w:pPr>
    </w:p>
    <w:p w:rsidR="00075224" w:rsidRPr="00142E14" w:rsidP="00FA2F70" w14:paraId="3E4066C9"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142E14" w:rsidP="00FA2F70" w14:paraId="47B3FD7E" w14:textId="77777777">
      <w:pPr>
        <w:spacing w:after="0" w:line="240" w:lineRule="auto"/>
        <w:rPr>
          <w:rFonts w:ascii="Times New Roman" w:hAnsi="Times New Roman"/>
          <w:color w:val="000000" w:themeColor="text1"/>
          <w:sz w:val="24"/>
          <w:szCs w:val="24"/>
        </w:rPr>
      </w:pPr>
    </w:p>
    <w:p w:rsidR="00075224" w:rsidRPr="00142E14" w:rsidP="00FA2F70" w14:paraId="5F10A7C2" w14:textId="2D834843">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40568">
        <w:rPr>
          <w:rFonts w:ascii="Times New Roman" w:hAnsi="Times New Roman"/>
          <w:color w:val="000000" w:themeColor="text1"/>
          <w:sz w:val="24"/>
          <w:szCs w:val="24"/>
        </w:rPr>
        <w:t>s</w:t>
      </w:r>
      <w:r w:rsidRPr="00142E14">
        <w:rPr>
          <w:rFonts w:ascii="Times New Roman" w:hAnsi="Times New Roman"/>
          <w:color w:val="000000" w:themeColor="text1"/>
          <w:sz w:val="24"/>
          <w:szCs w:val="24"/>
        </w:rPr>
        <w:t xml:space="preserve"> may be submitted for approval separately or in combination with the main collection of information. </w:t>
      </w:r>
    </w:p>
    <w:p w:rsidR="00FA2F70" w:rsidRPr="00142E14" w:rsidP="00FA2F70" w14:paraId="1D00A747" w14:textId="77777777">
      <w:pPr>
        <w:spacing w:after="0" w:line="240" w:lineRule="auto"/>
        <w:rPr>
          <w:rFonts w:ascii="Times New Roman" w:hAnsi="Times New Roman"/>
          <w:color w:val="000000" w:themeColor="text1"/>
          <w:sz w:val="24"/>
          <w:szCs w:val="24"/>
        </w:rPr>
      </w:pPr>
    </w:p>
    <w:p w:rsidR="00075224" w:rsidRPr="00142E14" w:rsidP="00FA2F70" w14:paraId="3D1E148D" w14:textId="3C9393BB">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r w:rsidRPr="00142E14">
        <w:rPr>
          <w:rFonts w:ascii="Times New Roman" w:hAnsi="Times New Roman"/>
          <w:color w:val="000000" w:themeColor="text1"/>
          <w:sz w:val="24"/>
          <w:szCs w:val="24"/>
        </w:rPr>
        <w:t>actually collect</w:t>
      </w:r>
      <w:r w:rsidRPr="00142E14">
        <w:rPr>
          <w:rFonts w:ascii="Times New Roman" w:hAnsi="Times New Roman"/>
          <w:color w:val="000000" w:themeColor="text1"/>
          <w:sz w:val="24"/>
          <w:szCs w:val="24"/>
        </w:rPr>
        <w:t xml:space="preserve"> and/or analyze the information for the agency. </w:t>
      </w:r>
    </w:p>
    <w:p w:rsidR="00142E14" w:rsidRPr="00142E14" w:rsidP="00FA2F70" w14:paraId="049736AB" w14:textId="3818E768">
      <w:pPr>
        <w:spacing w:after="0" w:line="240" w:lineRule="auto"/>
        <w:rPr>
          <w:rFonts w:ascii="Times New Roman" w:hAnsi="Times New Roman"/>
          <w:color w:val="000000" w:themeColor="text1"/>
          <w:sz w:val="24"/>
          <w:szCs w:val="24"/>
        </w:rPr>
      </w:pPr>
    </w:p>
    <w:p w:rsidR="00142E14" w:rsidRPr="00142E14" w:rsidP="00FA2F70" w14:paraId="2E725DD8" w14:textId="40217648">
      <w:pPr>
        <w:spacing w:after="0" w:line="240" w:lineRule="auto"/>
        <w:rPr>
          <w:rFonts w:ascii="Courier" w:hAnsi="Courier"/>
          <w:color w:val="000000" w:themeColor="text1"/>
          <w:sz w:val="24"/>
        </w:rPr>
      </w:pPr>
      <w:r w:rsidRPr="00142E14">
        <w:rPr>
          <w:rFonts w:ascii="Courier" w:hAnsi="Courier"/>
          <w:color w:val="000000" w:themeColor="text1"/>
          <w:sz w:val="24"/>
        </w:rPr>
        <w:t xml:space="preserve">This OMB collection does not </w:t>
      </w:r>
      <w:r w:rsidR="00B356FA">
        <w:rPr>
          <w:rFonts w:ascii="Courier" w:hAnsi="Courier"/>
          <w:color w:val="000000" w:themeColor="text1"/>
          <w:sz w:val="24"/>
        </w:rPr>
        <w:t>use</w:t>
      </w:r>
      <w:r w:rsidRPr="00142E14" w:rsidR="00B356FA">
        <w:rPr>
          <w:rFonts w:ascii="Courier" w:hAnsi="Courier"/>
          <w:color w:val="000000" w:themeColor="text1"/>
          <w:sz w:val="24"/>
        </w:rPr>
        <w:t xml:space="preserve"> </w:t>
      </w:r>
      <w:r w:rsidRPr="00142E14">
        <w:rPr>
          <w:rFonts w:ascii="Courier" w:hAnsi="Courier"/>
          <w:color w:val="000000" w:themeColor="text1"/>
          <w:sz w:val="24"/>
        </w:rPr>
        <w:t>statistical methods.</w:t>
      </w:r>
    </w:p>
    <w:p w:rsidR="0066398E" w:rsidRPr="00142E14" w:rsidP="00FA2F70" w14:paraId="4607432F" w14:textId="77777777">
      <w:pPr>
        <w:spacing w:after="0" w:line="240" w:lineRule="auto"/>
        <w:rPr>
          <w:rFonts w:ascii="Times New Roman" w:hAnsi="Times New Roman"/>
          <w:color w:val="000000" w:themeColor="text1"/>
          <w:sz w:val="24"/>
          <w:szCs w:val="24"/>
        </w:rPr>
      </w:pPr>
    </w:p>
    <w:sectPr w:rsidSect="00B416BA">
      <w:footerReference w:type="even" r:id="rId5"/>
      <w:footerReference w:type="default" r:id="rId6"/>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3028DA2"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440077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18AD8401"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53ADE55E"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326058977">
    <w:abstractNumId w:val="1"/>
  </w:num>
  <w:num w:numId="2" w16cid:durableId="1263606296">
    <w:abstractNumId w:val="4"/>
  </w:num>
  <w:num w:numId="3" w16cid:durableId="156919142">
    <w:abstractNumId w:val="0"/>
  </w:num>
  <w:num w:numId="4" w16cid:durableId="427509144">
    <w:abstractNumId w:val="3"/>
  </w:num>
  <w:num w:numId="5" w16cid:durableId="44723569">
    <w:abstractNumId w:val="2"/>
  </w:num>
  <w:num w:numId="6" w16cid:durableId="1873572894">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60981"/>
    <w:rsid w:val="0006154B"/>
    <w:rsid w:val="00075224"/>
    <w:rsid w:val="000942F0"/>
    <w:rsid w:val="000B4874"/>
    <w:rsid w:val="000C62BB"/>
    <w:rsid w:val="000D7FD0"/>
    <w:rsid w:val="00123347"/>
    <w:rsid w:val="001279B2"/>
    <w:rsid w:val="00142E14"/>
    <w:rsid w:val="001431A7"/>
    <w:rsid w:val="00164BAE"/>
    <w:rsid w:val="00167FD2"/>
    <w:rsid w:val="00174045"/>
    <w:rsid w:val="001B4FB5"/>
    <w:rsid w:val="001C6560"/>
    <w:rsid w:val="001E3B73"/>
    <w:rsid w:val="001E70FC"/>
    <w:rsid w:val="002116FE"/>
    <w:rsid w:val="0021340A"/>
    <w:rsid w:val="00217EA8"/>
    <w:rsid w:val="00223E0F"/>
    <w:rsid w:val="00267A2B"/>
    <w:rsid w:val="00276A7E"/>
    <w:rsid w:val="0029110D"/>
    <w:rsid w:val="00296DF2"/>
    <w:rsid w:val="0030047B"/>
    <w:rsid w:val="00311B38"/>
    <w:rsid w:val="00316C17"/>
    <w:rsid w:val="00320358"/>
    <w:rsid w:val="00397DF1"/>
    <w:rsid w:val="003C400F"/>
    <w:rsid w:val="003D3048"/>
    <w:rsid w:val="003E711F"/>
    <w:rsid w:val="003F4D24"/>
    <w:rsid w:val="00425CAE"/>
    <w:rsid w:val="00427ABE"/>
    <w:rsid w:val="00450139"/>
    <w:rsid w:val="00481A3F"/>
    <w:rsid w:val="004939BF"/>
    <w:rsid w:val="004A3C65"/>
    <w:rsid w:val="004C3C31"/>
    <w:rsid w:val="004C478E"/>
    <w:rsid w:val="004D0A64"/>
    <w:rsid w:val="004D5943"/>
    <w:rsid w:val="004E2959"/>
    <w:rsid w:val="0050120C"/>
    <w:rsid w:val="00522D15"/>
    <w:rsid w:val="00536EE1"/>
    <w:rsid w:val="00560E48"/>
    <w:rsid w:val="005917C9"/>
    <w:rsid w:val="005A6EB8"/>
    <w:rsid w:val="005C3EFE"/>
    <w:rsid w:val="005D21A4"/>
    <w:rsid w:val="005F69BA"/>
    <w:rsid w:val="00606E96"/>
    <w:rsid w:val="00607FC3"/>
    <w:rsid w:val="00611B03"/>
    <w:rsid w:val="0066398E"/>
    <w:rsid w:val="00666CF0"/>
    <w:rsid w:val="006717F4"/>
    <w:rsid w:val="0067712C"/>
    <w:rsid w:val="006851F0"/>
    <w:rsid w:val="006A21D9"/>
    <w:rsid w:val="00711F61"/>
    <w:rsid w:val="00741B05"/>
    <w:rsid w:val="007450FC"/>
    <w:rsid w:val="0075410C"/>
    <w:rsid w:val="00760CC6"/>
    <w:rsid w:val="00797FB9"/>
    <w:rsid w:val="007A11B8"/>
    <w:rsid w:val="007A50FC"/>
    <w:rsid w:val="007B7880"/>
    <w:rsid w:val="00802BEF"/>
    <w:rsid w:val="00815048"/>
    <w:rsid w:val="00887BCA"/>
    <w:rsid w:val="00922458"/>
    <w:rsid w:val="00934001"/>
    <w:rsid w:val="009419D6"/>
    <w:rsid w:val="00942BD6"/>
    <w:rsid w:val="00945C6A"/>
    <w:rsid w:val="009814CB"/>
    <w:rsid w:val="00982371"/>
    <w:rsid w:val="00990694"/>
    <w:rsid w:val="009A3A5E"/>
    <w:rsid w:val="009A5B99"/>
    <w:rsid w:val="009B0365"/>
    <w:rsid w:val="009C27C1"/>
    <w:rsid w:val="009E118C"/>
    <w:rsid w:val="009F6D8A"/>
    <w:rsid w:val="009F7857"/>
    <w:rsid w:val="00A22DE8"/>
    <w:rsid w:val="00A33DED"/>
    <w:rsid w:val="00A352F3"/>
    <w:rsid w:val="00A44F25"/>
    <w:rsid w:val="00A6656E"/>
    <w:rsid w:val="00A80199"/>
    <w:rsid w:val="00A80F64"/>
    <w:rsid w:val="00A8686E"/>
    <w:rsid w:val="00AA04EA"/>
    <w:rsid w:val="00AC79D4"/>
    <w:rsid w:val="00AE2E96"/>
    <w:rsid w:val="00AF2E8F"/>
    <w:rsid w:val="00AF31EA"/>
    <w:rsid w:val="00B004A7"/>
    <w:rsid w:val="00B03593"/>
    <w:rsid w:val="00B106EA"/>
    <w:rsid w:val="00B335D8"/>
    <w:rsid w:val="00B356FA"/>
    <w:rsid w:val="00B416BA"/>
    <w:rsid w:val="00B7253E"/>
    <w:rsid w:val="00B85311"/>
    <w:rsid w:val="00BB2058"/>
    <w:rsid w:val="00C01C49"/>
    <w:rsid w:val="00C42138"/>
    <w:rsid w:val="00C55141"/>
    <w:rsid w:val="00C624C4"/>
    <w:rsid w:val="00C85781"/>
    <w:rsid w:val="00CB3B53"/>
    <w:rsid w:val="00CB45ED"/>
    <w:rsid w:val="00D127E8"/>
    <w:rsid w:val="00D16CB3"/>
    <w:rsid w:val="00D310D3"/>
    <w:rsid w:val="00D35DDB"/>
    <w:rsid w:val="00D40568"/>
    <w:rsid w:val="00D40CFA"/>
    <w:rsid w:val="00D413A6"/>
    <w:rsid w:val="00D639B1"/>
    <w:rsid w:val="00D720B2"/>
    <w:rsid w:val="00D8312B"/>
    <w:rsid w:val="00D95E9D"/>
    <w:rsid w:val="00DA5E70"/>
    <w:rsid w:val="00DC1E6C"/>
    <w:rsid w:val="00DF2C38"/>
    <w:rsid w:val="00DF2C79"/>
    <w:rsid w:val="00E01351"/>
    <w:rsid w:val="00E0738D"/>
    <w:rsid w:val="00E51415"/>
    <w:rsid w:val="00E53DE7"/>
    <w:rsid w:val="00EA7C8E"/>
    <w:rsid w:val="00F057DC"/>
    <w:rsid w:val="00F17541"/>
    <w:rsid w:val="00F70C61"/>
    <w:rsid w:val="00F805FB"/>
    <w:rsid w:val="00FA2F70"/>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B30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6FA"/>
    <w:rPr>
      <w:sz w:val="16"/>
      <w:szCs w:val="16"/>
    </w:rPr>
  </w:style>
  <w:style w:type="paragraph" w:styleId="CommentText">
    <w:name w:val="annotation text"/>
    <w:basedOn w:val="Normal"/>
    <w:link w:val="CommentTextChar"/>
    <w:uiPriority w:val="99"/>
    <w:unhideWhenUsed/>
    <w:rsid w:val="00B356FA"/>
    <w:pPr>
      <w:spacing w:line="240" w:lineRule="auto"/>
    </w:pPr>
    <w:rPr>
      <w:sz w:val="20"/>
      <w:szCs w:val="20"/>
    </w:rPr>
  </w:style>
  <w:style w:type="character" w:customStyle="1" w:styleId="CommentTextChar">
    <w:name w:val="Comment Text Char"/>
    <w:basedOn w:val="DefaultParagraphFont"/>
    <w:link w:val="CommentText"/>
    <w:uiPriority w:val="99"/>
    <w:rsid w:val="00B356FA"/>
  </w:style>
  <w:style w:type="paragraph" w:styleId="CommentSubject">
    <w:name w:val="annotation subject"/>
    <w:basedOn w:val="CommentText"/>
    <w:next w:val="CommentText"/>
    <w:link w:val="CommentSubjectChar"/>
    <w:uiPriority w:val="99"/>
    <w:semiHidden/>
    <w:unhideWhenUsed/>
    <w:rsid w:val="00B356FA"/>
    <w:rPr>
      <w:b/>
      <w:bCs/>
    </w:rPr>
  </w:style>
  <w:style w:type="character" w:customStyle="1" w:styleId="CommentSubjectChar">
    <w:name w:val="Comment Subject Char"/>
    <w:basedOn w:val="CommentTextChar"/>
    <w:link w:val="CommentSubject"/>
    <w:uiPriority w:val="99"/>
    <w:semiHidden/>
    <w:rsid w:val="00B356FA"/>
    <w:rPr>
      <w:b/>
      <w:bCs/>
    </w:rPr>
  </w:style>
  <w:style w:type="paragraph" w:styleId="Revision">
    <w:name w:val="Revision"/>
    <w:hidden/>
    <w:uiPriority w:val="99"/>
    <w:semiHidden/>
    <w:rsid w:val="004E29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5A3C-FAD0-449C-8444-5338D6F2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2024-06-24T15:14:00Z</dcterms:created>
  <dcterms:modified xsi:type="dcterms:W3CDTF">2024-06-24T15:14:00Z</dcterms:modified>
</cp:coreProperties>
</file>