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78239CE7" w14:textId="77777777">
      <w:pPr>
        <w:jc w:val="center"/>
        <w:rPr>
          <w:b/>
          <w:sz w:val="24"/>
          <w:szCs w:val="24"/>
        </w:rPr>
      </w:pPr>
      <w:r w:rsidRPr="00167E53">
        <w:rPr>
          <w:b/>
          <w:sz w:val="24"/>
          <w:szCs w:val="24"/>
        </w:rPr>
        <w:t>Supporting Statement for Paperwork Reduction Act Submissions</w:t>
      </w:r>
    </w:p>
    <w:p w:rsidR="00167E53" w:rsidRPr="00167E53" w14:paraId="094736B8" w14:textId="2C268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EE4E8F">
        <w:rPr>
          <w:b/>
          <w:sz w:val="24"/>
          <w:szCs w:val="24"/>
        </w:rPr>
        <w:t>“Survey of Lead Hazard Reduction Program Grantees”</w:t>
      </w:r>
    </w:p>
    <w:p w:rsidR="00167E53" w:rsidRPr="00167E53" w14:paraId="0C0ADA6F" w14:textId="12833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EE4E8F">
        <w:rPr>
          <w:b/>
          <w:sz w:val="24"/>
          <w:szCs w:val="24"/>
        </w:rPr>
        <w:t>2539</w:t>
      </w:r>
      <w:r w:rsidR="006C7FAE">
        <w:rPr>
          <w:b/>
          <w:sz w:val="24"/>
          <w:szCs w:val="24"/>
        </w:rPr>
        <w:t>-</w:t>
      </w:r>
      <w:r w:rsidR="00EE4E8F">
        <w:rPr>
          <w:b/>
          <w:sz w:val="24"/>
          <w:szCs w:val="24"/>
        </w:rPr>
        <w:t>New</w:t>
      </w:r>
      <w:r w:rsidRPr="00167E53">
        <w:rPr>
          <w:b/>
          <w:sz w:val="24"/>
          <w:szCs w:val="24"/>
        </w:rPr>
        <w:t>)</w:t>
      </w:r>
    </w:p>
    <w:p w:rsidR="009E13B1" w:rsidP="006C7FAE" w14:paraId="176A8089"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CC4688" w:rsidRPr="00CC4688" w:rsidP="00CC4688" w14:paraId="13473557" w14:textId="427C4D21">
      <w:pPr>
        <w:overflowPunct/>
        <w:autoSpaceDE/>
        <w:autoSpaceDN/>
        <w:adjustRightInd/>
        <w:textAlignment w:val="auto"/>
        <w:rPr>
          <w:noProof/>
          <w:sz w:val="24"/>
        </w:rPr>
      </w:pPr>
      <w:r w:rsidRPr="00CC4688">
        <w:rPr>
          <w:noProof/>
          <w:sz w:val="24"/>
        </w:rPr>
        <w:t xml:space="preserve">The following text provides information for the U.S. Department of Housing and Urban Development’s (HUD’s) planned survey of its Lead Hazard Reduction Program grantees. The information is organized to respond directly to the 18 itemized subsections of Section A (Justification) of the Supporting Statement for Paperwork Reduction Act Submissions (Supporting Statement). For reviewers interested only in items in the Supporting Statement, please go to HUD’s specific responses to Part A, and to Part B, both below. </w:t>
      </w:r>
    </w:p>
    <w:p w:rsidR="00CC4688" w:rsidRPr="00CC4688" w:rsidP="00CC4688" w14:paraId="2DD5FD2F" w14:textId="77777777">
      <w:pPr>
        <w:overflowPunct/>
        <w:autoSpaceDE/>
        <w:autoSpaceDN/>
        <w:adjustRightInd/>
        <w:contextualSpacing/>
        <w:textAlignment w:val="auto"/>
        <w:rPr>
          <w:noProof/>
          <w:sz w:val="24"/>
        </w:rPr>
      </w:pPr>
    </w:p>
    <w:p w:rsidR="00CC4688" w:rsidRPr="00CC4688" w:rsidP="00CC4688" w14:paraId="055EBEDB" w14:textId="77777777">
      <w:pPr>
        <w:rPr>
          <w:sz w:val="24"/>
          <w:szCs w:val="24"/>
        </w:rPr>
      </w:pPr>
      <w:r w:rsidRPr="00CC4688">
        <w:rPr>
          <w:sz w:val="24"/>
        </w:rPr>
        <w:t>This represents a new Information Collection Request (ICR), with Office of Management and Budget (</w:t>
      </w:r>
      <w:r w:rsidRPr="00CC4688">
        <w:rPr>
          <w:sz w:val="24"/>
          <w:szCs w:val="24"/>
        </w:rPr>
        <w:t>OMB) approval requested for a three-year data collection beginning in the Spring of 2024</w:t>
      </w:r>
    </w:p>
    <w:p w:rsidR="00CC4688" w:rsidRPr="00CC4688" w:rsidP="00CC4688" w14:paraId="1ECC95AD" w14:textId="77777777">
      <w:pPr>
        <w:overflowPunct/>
        <w:autoSpaceDE/>
        <w:autoSpaceDN/>
        <w:adjustRightInd/>
        <w:ind w:firstLine="525"/>
        <w:textAlignment w:val="auto"/>
        <w:rPr>
          <w:sz w:val="24"/>
          <w:szCs w:val="24"/>
        </w:rPr>
      </w:pPr>
    </w:p>
    <w:p w:rsidR="00CC4688" w:rsidRPr="00CC4688" w:rsidP="00CC4688" w14:paraId="2996D7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Univers"/>
          <w:b/>
          <w:bCs/>
          <w:i/>
          <w:sz w:val="24"/>
          <w:szCs w:val="24"/>
        </w:rPr>
      </w:pPr>
      <w:r w:rsidRPr="00CC4688">
        <w:rPr>
          <w:rFonts w:ascii="Arial" w:hAnsi="Arial" w:cs="Univers"/>
          <w:b/>
          <w:bCs/>
          <w:i/>
          <w:sz w:val="24"/>
          <w:szCs w:val="24"/>
        </w:rPr>
        <w:t>Background and General Scope of Work</w:t>
      </w:r>
    </w:p>
    <w:p w:rsidR="00CC4688" w:rsidRPr="00CC4688" w:rsidP="00CC4688" w14:paraId="1AD91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Univers"/>
          <w:sz w:val="24"/>
          <w:szCs w:val="24"/>
        </w:rPr>
      </w:pPr>
    </w:p>
    <w:p w:rsidR="00CC4688" w:rsidRPr="00CC4688" w:rsidP="00CC4688" w14:paraId="158A7792" w14:textId="77777777">
      <w:pPr>
        <w:tabs>
          <w:tab w:val="left" w:pos="6750"/>
        </w:tabs>
        <w:overflowPunct/>
        <w:autoSpaceDE/>
        <w:autoSpaceDN/>
        <w:adjustRightInd/>
        <w:spacing w:before="60"/>
        <w:textAlignment w:val="auto"/>
        <w:rPr>
          <w:sz w:val="24"/>
          <w:szCs w:val="24"/>
        </w:rPr>
      </w:pPr>
      <w:r w:rsidRPr="00CC4688">
        <w:rPr>
          <w:sz w:val="24"/>
          <w:szCs w:val="24"/>
        </w:rPr>
        <w:t xml:space="preserve">HUD’s Office of Lead Hazard Control and Healthy Homes (HUD OLHCHH) awards grants to State and local government agencies to identify, reduce and control lead-based paint (LBP) hazards in the paint, dust, and soil of homes (not receiving HUD housing assistance) of low-income families. The grants are authorized by the </w:t>
      </w:r>
      <w:r w:rsidRPr="00CC4688">
        <w:rPr>
          <w:color w:val="333333"/>
          <w:sz w:val="24"/>
          <w:szCs w:val="18"/>
          <w:lang w:val="en"/>
        </w:rPr>
        <w:t>Residential Lead-Based Paint Hazard Reduction Act of 1992 (“Title X”),</w:t>
      </w:r>
      <w:r>
        <w:rPr>
          <w:color w:val="333333"/>
          <w:vertAlign w:val="superscript"/>
          <w:lang w:val="en"/>
        </w:rPr>
        <w:footnoteReference w:id="3"/>
      </w:r>
      <w:r w:rsidRPr="00CC4688">
        <w:rPr>
          <w:color w:val="333333"/>
          <w:sz w:val="24"/>
          <w:szCs w:val="18"/>
          <w:lang w:val="en"/>
        </w:rPr>
        <w:t xml:space="preserve"> section 1011.</w:t>
      </w:r>
      <w:r>
        <w:rPr>
          <w:color w:val="333333"/>
          <w:vertAlign w:val="superscript"/>
          <w:lang w:val="en"/>
        </w:rPr>
        <w:footnoteReference w:id="4"/>
      </w:r>
      <w:r w:rsidRPr="00CC4688">
        <w:rPr>
          <w:sz w:val="24"/>
          <w:szCs w:val="24"/>
        </w:rPr>
        <w:t xml:space="preserve"> </w:t>
      </w:r>
      <w:r w:rsidRPr="00CC4688">
        <w:rPr>
          <w:color w:val="000000"/>
          <w:sz w:val="24"/>
          <w:szCs w:val="24"/>
        </w:rPr>
        <w:t>Prior to the initiation of the Lead-Based Paint Hazard Control Grant Program in 1993, no large-scale federal effort to control the risks to children from lead poisoning presented by old privately owned low-income housing existed. Congress appropriated funds for that program in 1991, with the requirement that HUD undertake an evaluation of its effort.</w:t>
      </w:r>
      <w:r w:rsidRPr="00CC4688">
        <w:rPr>
          <w:sz w:val="24"/>
          <w:szCs w:val="24"/>
        </w:rPr>
        <w:t xml:space="preserve"> That evaluation, termed the Evaluation of the HUD Lead-Based Paint Hazard Control Grant Program (“National Evaluation”), was conducted between January 1994 and October 1998. HUD required all 11 grantees from 1993 to participate in the evaluation and an additional three grantees from 1994 agreed to participate, bringing the total to 14. Data from 2,682 dwellings were collected 3,6 and 12 months following treatment, and at 36 months in a</w:t>
      </w:r>
      <w:r w:rsidRPr="00CC4688">
        <w:rPr>
          <w:color w:val="000000"/>
          <w:sz w:val="24"/>
          <w:szCs w:val="24"/>
        </w:rPr>
        <w:t xml:space="preserve"> </w:t>
      </w:r>
      <w:r w:rsidRPr="00CC4688">
        <w:rPr>
          <w:sz w:val="24"/>
          <w:szCs w:val="24"/>
        </w:rPr>
        <w:t xml:space="preserve">subset of homes. </w:t>
      </w:r>
      <w:bookmarkStart w:id="0" w:name="_Hlk111619460"/>
      <w:r w:rsidRPr="00CC4688">
        <w:rPr>
          <w:sz w:val="24"/>
          <w:szCs w:val="24"/>
        </w:rPr>
        <w:t>Additional post-treatment data were collected at 2 and 3 years post-treatment in a subset of dwellings from nine grantees</w:t>
      </w:r>
      <w:bookmarkEnd w:id="0"/>
      <w:r w:rsidRPr="00CC4688">
        <w:rPr>
          <w:sz w:val="24"/>
          <w:szCs w:val="24"/>
        </w:rPr>
        <w:t xml:space="preserve">. Ultimately, selected data were collected from subsets of homes in the evaluation at approximately 6 and 12 years after treatment. </w:t>
      </w:r>
    </w:p>
    <w:p w:rsidR="00CC4688" w:rsidRPr="00CC4688" w:rsidP="00CC4688" w14:paraId="7C19E671" w14:textId="77777777">
      <w:pPr>
        <w:overflowPunct/>
        <w:textAlignment w:val="auto"/>
        <w:rPr>
          <w:sz w:val="24"/>
          <w:szCs w:val="24"/>
        </w:rPr>
      </w:pPr>
    </w:p>
    <w:p w:rsidR="00CC4688" w:rsidRPr="00CC4688" w:rsidP="00CC4688" w14:paraId="08AA650E" w14:textId="77777777">
      <w:pPr>
        <w:overflowPunct/>
        <w:autoSpaceDE/>
        <w:autoSpaceDN/>
        <w:adjustRightInd/>
        <w:spacing w:before="33" w:after="24" w:line="276" w:lineRule="exact"/>
        <w:rPr>
          <w:color w:val="000000"/>
          <w:sz w:val="24"/>
          <w:szCs w:val="24"/>
        </w:rPr>
      </w:pPr>
      <w:r w:rsidRPr="00CC4688">
        <w:rPr>
          <w:sz w:val="24"/>
          <w:szCs w:val="24"/>
        </w:rPr>
        <w:t xml:space="preserve">The National Evaluation demonstrated that </w:t>
      </w:r>
      <w:bookmarkStart w:id="1" w:name="_Hlk111617182"/>
      <w:r w:rsidRPr="00CC4688">
        <w:rPr>
          <w:sz w:val="24"/>
          <w:szCs w:val="24"/>
        </w:rPr>
        <w:t xml:space="preserve">post-intervention lead dust (PbD) loadings on floors and window surfaces </w:t>
      </w:r>
      <w:bookmarkEnd w:id="1"/>
      <w:r w:rsidRPr="00CC4688">
        <w:rPr>
          <w:sz w:val="24"/>
          <w:szCs w:val="24"/>
        </w:rPr>
        <w:t>remained considerably lower than pre-intervention PbD loadings and that interventions were generally successful in reducing children’s blood lead levels (BLLs)</w:t>
      </w:r>
      <w:r>
        <w:rPr>
          <w:vertAlign w:val="superscript"/>
        </w:rPr>
        <w:footnoteReference w:id="5"/>
      </w:r>
      <w:r w:rsidRPr="00CC4688">
        <w:rPr>
          <w:sz w:val="24"/>
          <w:szCs w:val="24"/>
          <w:vertAlign w:val="superscript"/>
        </w:rPr>
        <w:t>,</w:t>
      </w:r>
      <w:r>
        <w:rPr>
          <w:vertAlign w:val="superscript"/>
        </w:rPr>
        <w:footnoteReference w:id="6"/>
      </w:r>
      <w:r w:rsidRPr="00CC4688">
        <w:rPr>
          <w:sz w:val="24"/>
          <w:szCs w:val="24"/>
        </w:rPr>
        <w:t xml:space="preserve">. </w:t>
      </w:r>
      <w:r w:rsidRPr="00CC4688">
        <w:rPr>
          <w:color w:val="000000"/>
          <w:sz w:val="24"/>
          <w:szCs w:val="24"/>
        </w:rPr>
        <w:t xml:space="preserve">An important caveat is that PbD hazard and clearance standards, as well as the Centers for Disease Control and Prevention’s </w:t>
      </w:r>
      <w:r w:rsidRPr="00CC4688">
        <w:rPr>
          <w:color w:val="000000"/>
          <w:sz w:val="24"/>
          <w:szCs w:val="24"/>
        </w:rPr>
        <w:t>(CDC’s) blood lead reference value (BLRV), were considerably higher than current levels when the interventions studied in the National Evaluation were conducted</w:t>
      </w:r>
      <w:r>
        <w:rPr>
          <w:color w:val="000000"/>
          <w:vertAlign w:val="superscript"/>
        </w:rPr>
        <w:footnoteReference w:id="7"/>
      </w:r>
      <w:r w:rsidRPr="00CC4688">
        <w:rPr>
          <w:color w:val="000000"/>
          <w:sz w:val="24"/>
          <w:szCs w:val="24"/>
          <w:vertAlign w:val="superscript"/>
        </w:rPr>
        <w:t>,</w:t>
      </w:r>
      <w:r>
        <w:rPr>
          <w:color w:val="000000"/>
          <w:vertAlign w:val="superscript"/>
        </w:rPr>
        <w:footnoteReference w:id="8"/>
      </w:r>
      <w:r w:rsidRPr="00CC4688">
        <w:rPr>
          <w:color w:val="000000"/>
          <w:sz w:val="24"/>
          <w:szCs w:val="24"/>
        </w:rPr>
        <w:t>. The current focus is on keeping children’s BLLs as low as possible, which requires keeping exposure to Pb in dust, soil, and drinking water as low as feasible. Lower PbD action levels and BLRV, as well as reductions in dust lead levels in housing</w:t>
      </w:r>
      <w:r>
        <w:rPr>
          <w:color w:val="000000"/>
          <w:vertAlign w:val="superscript"/>
        </w:rPr>
        <w:footnoteReference w:id="9"/>
      </w:r>
      <w:r w:rsidRPr="00CC4688">
        <w:rPr>
          <w:color w:val="000000"/>
          <w:sz w:val="24"/>
          <w:szCs w:val="24"/>
        </w:rPr>
        <w:t xml:space="preserve"> and children’s blood lead levels, have rendered some of the findings of the National Evaluation outdated or inapplicable to the current regulatory and guidance environment. HUD is therefore interested in sponsoring a new evaluation of the Lead Hazard Reduction (LHR) Grant Program and the interventions conducted by program grantees.</w:t>
      </w:r>
    </w:p>
    <w:p w:rsidR="00CC4688" w:rsidRPr="00CC4688" w:rsidP="00CC4688" w14:paraId="0BF38210" w14:textId="77777777">
      <w:pPr>
        <w:overflowPunct/>
        <w:autoSpaceDE/>
        <w:autoSpaceDN/>
        <w:adjustRightInd/>
        <w:spacing w:before="33" w:after="24" w:line="276" w:lineRule="exact"/>
        <w:rPr>
          <w:color w:val="000000"/>
          <w:sz w:val="24"/>
          <w:szCs w:val="24"/>
        </w:rPr>
      </w:pPr>
    </w:p>
    <w:p w:rsidR="00CC4688" w:rsidRPr="00CC4688" w:rsidP="00CC4688" w14:paraId="17D1473A" w14:textId="77777777">
      <w:pPr>
        <w:overflowPunct/>
        <w:autoSpaceDE/>
        <w:autoSpaceDN/>
        <w:adjustRightInd/>
        <w:spacing w:before="33" w:after="24" w:line="276" w:lineRule="exact"/>
        <w:rPr>
          <w:color w:val="000000"/>
          <w:sz w:val="24"/>
          <w:szCs w:val="24"/>
        </w:rPr>
      </w:pPr>
      <w:r w:rsidRPr="00CC4688">
        <w:rPr>
          <w:color w:val="000000"/>
          <w:sz w:val="24"/>
          <w:szCs w:val="24"/>
        </w:rPr>
        <w:t xml:space="preserve">The initial step in this process (Phase I) is to survey the grantees to collect lead and healthy homes data that: 1) are of immediate programmatic interest, and 2) will assist in the planning for a larger, more detailed follow-up evaluation effort (Phase II). Because the majority of </w:t>
      </w:r>
      <w:bookmarkStart w:id="2" w:name="_Hlk111616893"/>
      <w:r w:rsidRPr="00CC4688">
        <w:rPr>
          <w:color w:val="000000"/>
          <w:sz w:val="24"/>
          <w:szCs w:val="24"/>
        </w:rPr>
        <w:t>LHR grantees also receive Healthy Homes Supplement funding</w:t>
      </w:r>
      <w:bookmarkEnd w:id="2"/>
      <w:r w:rsidRPr="00CC4688">
        <w:rPr>
          <w:color w:val="000000"/>
          <w:sz w:val="24"/>
          <w:szCs w:val="24"/>
        </w:rPr>
        <w:t>, the survey will also include the collection of data on how these funds are being used. The Phase 1 survey is the subject of this Information Collection Request.</w:t>
      </w:r>
    </w:p>
    <w:p w:rsidR="00CC4688" w:rsidRPr="00CC4688" w:rsidP="00CC4688" w14:paraId="52A64460" w14:textId="77777777">
      <w:pPr>
        <w:overflowPunct/>
        <w:textAlignment w:val="auto"/>
        <w:rPr>
          <w:sz w:val="24"/>
          <w:szCs w:val="24"/>
        </w:rPr>
      </w:pPr>
    </w:p>
    <w:p w:rsidR="00CC4688" w:rsidRPr="00CC4688" w:rsidP="00CC4688" w14:paraId="4F99FB94" w14:textId="77777777">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sidRPr="00CC4688">
        <w:rPr>
          <w:rFonts w:ascii="Arial" w:hAnsi="Arial" w:cs="Univers"/>
          <w:b/>
          <w:bCs/>
          <w:i/>
          <w:sz w:val="24"/>
          <w:szCs w:val="24"/>
        </w:rPr>
        <w:t>Study Overview</w:t>
      </w:r>
    </w:p>
    <w:p w:rsidR="00CC4688" w:rsidRPr="00CC4688" w:rsidP="00CC4688" w14:paraId="61553B66" w14:textId="77777777">
      <w:pPr>
        <w:rPr>
          <w:sz w:val="24"/>
          <w:szCs w:val="24"/>
        </w:rPr>
      </w:pPr>
    </w:p>
    <w:p w:rsidR="00CC4688" w:rsidRPr="00CC4688" w:rsidP="00CC4688" w14:paraId="1DD4A1B5" w14:textId="77777777">
      <w:pPr>
        <w:rPr>
          <w:sz w:val="24"/>
          <w:szCs w:val="24"/>
        </w:rPr>
      </w:pPr>
      <w:r w:rsidRPr="00CC4688">
        <w:rPr>
          <w:sz w:val="24"/>
          <w:szCs w:val="24"/>
        </w:rPr>
        <w:t>The survey questionnaire will be sent in electronic form to a designated representative of</w:t>
      </w:r>
      <w:r w:rsidRPr="00CC4688">
        <w:rPr>
          <w:b/>
          <w:bCs/>
          <w:i/>
          <w:iCs/>
          <w:sz w:val="24"/>
          <w:szCs w:val="24"/>
        </w:rPr>
        <w:t xml:space="preserve"> all</w:t>
      </w:r>
      <w:r w:rsidRPr="00CC4688">
        <w:rPr>
          <w:sz w:val="24"/>
          <w:szCs w:val="24"/>
        </w:rPr>
        <w:t xml:space="preserve"> currently active LHR grantees, as explained below. As of October 2023, there were 186 such grants, in two different grant programs – Lead-Based Paint Hazard Control (LBPHC) and Lead Hazard Reduction Demonstration (LHRD), which differ slightly in their specific requirements for applicant eligibility. Most LHR grantees (approximately 87%)  also have Healthy Homes Supplement funds which they use to mitigate health and safety hazards other than lead-based paint hazards in homes in which they are reducing such hazards. The actual number of active grants when the survey is fielded in Fall 2024 may be slightly lower due to the expiration of older grants and, if any, early terminations of grants. However, 2024 grants, which will be awarded near the end of FY 2024, will not be included in the survey since they will be only in start-up at that time, and will have treated very few housing units.</w:t>
      </w:r>
    </w:p>
    <w:p w:rsidR="00CC4688" w:rsidRPr="006C7FAE" w14:paraId="5B597E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DC4DAF" w14:paraId="4F66A6EF" w14:textId="77777777">
      <w:pPr>
        <w:keepLines/>
        <w:tabs>
          <w:tab w:val="left" w:pos="360"/>
        </w:tabs>
        <w:spacing w:after="80"/>
        <w:ind w:left="360" w:hanging="360"/>
        <w:rPr>
          <w:b/>
          <w:bCs/>
          <w:sz w:val="24"/>
          <w:szCs w:val="24"/>
        </w:rPr>
      </w:pPr>
      <w:r w:rsidRPr="00DC4DAF">
        <w:rPr>
          <w:b/>
          <w:bCs/>
          <w:sz w:val="24"/>
          <w:szCs w:val="24"/>
        </w:rPr>
        <w:t>1.</w:t>
      </w:r>
      <w:r w:rsidRPr="00DC4DAF">
        <w:rPr>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3B8F" w:rsidRPr="00833B8F" w:rsidP="00833B8F" w14:paraId="5203AADA" w14:textId="77777777">
      <w:pPr>
        <w:tabs>
          <w:tab w:val="left" w:pos="6750"/>
        </w:tabs>
        <w:overflowPunct/>
        <w:autoSpaceDE/>
        <w:autoSpaceDN/>
        <w:adjustRightInd/>
        <w:spacing w:before="60"/>
        <w:ind w:left="360"/>
        <w:textAlignment w:val="auto"/>
        <w:rPr>
          <w:sz w:val="24"/>
          <w:szCs w:val="24"/>
        </w:rPr>
      </w:pPr>
      <w:r w:rsidRPr="00833B8F">
        <w:rPr>
          <w:sz w:val="24"/>
          <w:szCs w:val="24"/>
        </w:rPr>
        <w:t>The Evaluation of the HUD Lead Hazard Control Grant Program (“National Evaluation”) was conducted between January 1994 and October 1998. HUD required all 11 grantees from 1993 to participate in the evaluation and an additional three grantees from 1994 agreed to participate, bringing the total to 14. Data from 2,682 dwellings were collected before, at, and 3, 6 and 12 months following treatment, and at 3 years in a</w:t>
      </w:r>
      <w:r w:rsidRPr="00833B8F">
        <w:rPr>
          <w:color w:val="000000"/>
          <w:sz w:val="24"/>
          <w:szCs w:val="24"/>
        </w:rPr>
        <w:t xml:space="preserve"> </w:t>
      </w:r>
      <w:r w:rsidRPr="00833B8F">
        <w:rPr>
          <w:sz w:val="24"/>
          <w:szCs w:val="24"/>
        </w:rPr>
        <w:t xml:space="preserve">subset of homes. Additional post-treatment data were </w:t>
      </w:r>
      <w:r w:rsidRPr="00833B8F">
        <w:rPr>
          <w:sz w:val="24"/>
          <w:szCs w:val="24"/>
        </w:rPr>
        <w:t xml:space="preserve">collected at 2 and 3 years post-treatment in a subset of dwellings from nine grantees. Ultimately, selected data were collected from subsets of homes in the evaluation at approximately 6 and 12 years after treatment. </w:t>
      </w:r>
    </w:p>
    <w:p w:rsidR="00DC4DAF" w:rsidP="00DC4DAF" w14:paraId="6C1BB8B8" w14:textId="77777777">
      <w:pPr>
        <w:pStyle w:val="NoSpacing"/>
      </w:pPr>
      <w:bookmarkStart w:id="3" w:name="_Hlk111616637"/>
      <w:bookmarkStart w:id="4" w:name="_Hlk111616638"/>
    </w:p>
    <w:p w:rsidR="00833B8F" w:rsidRPr="00833B8F" w:rsidP="00833B8F" w14:paraId="71BE5DE2" w14:textId="0D680F32">
      <w:pPr>
        <w:tabs>
          <w:tab w:val="left" w:pos="6750"/>
        </w:tabs>
        <w:overflowPunct/>
        <w:autoSpaceDE/>
        <w:autoSpaceDN/>
        <w:adjustRightInd/>
        <w:spacing w:before="60"/>
        <w:ind w:left="360"/>
        <w:textAlignment w:val="auto"/>
        <w:rPr>
          <w:sz w:val="24"/>
          <w:szCs w:val="24"/>
        </w:rPr>
      </w:pPr>
      <w:r w:rsidRPr="00833B8F">
        <w:rPr>
          <w:sz w:val="24"/>
          <w:szCs w:val="24"/>
        </w:rPr>
        <w:t>The Evaluation demonstrated that post-intervention PbD loadings on floors and window surfaces remained considerably lower than pre-intervention PbD loadings and that interventions were generally successful in reducing children’s blood lead levels (BLLs)</w:t>
      </w:r>
      <w:r w:rsidRPr="00833B8F">
        <w:rPr>
          <w:sz w:val="24"/>
          <w:szCs w:val="24"/>
          <w:vertAlign w:val="superscript"/>
        </w:rPr>
        <w:t>1</w:t>
      </w:r>
      <w:r w:rsidRPr="00833B8F">
        <w:rPr>
          <w:sz w:val="24"/>
          <w:szCs w:val="24"/>
        </w:rPr>
        <w:t>. In the 3-year follow up (n = 278 homes) geometric mean PbD loadings for floors and windowsills were 78% and 89% lower than baseline levels, respectively. This pattern was also observed in the 6</w:t>
      </w:r>
      <w:r w:rsidRPr="00833B8F">
        <w:rPr>
          <w:sz w:val="24"/>
          <w:szCs w:val="24"/>
        </w:rPr>
        <w:noBreakHyphen/>
        <w:t>year follow-up study (n=426 homes), with geometric mean (GM) PbD loadings of 4.8 µg/ft</w:t>
      </w:r>
      <w:r w:rsidRPr="00833B8F">
        <w:rPr>
          <w:sz w:val="24"/>
          <w:szCs w:val="24"/>
          <w:vertAlign w:val="superscript"/>
        </w:rPr>
        <w:t>2</w:t>
      </w:r>
      <w:r w:rsidRPr="00833B8F">
        <w:rPr>
          <w:sz w:val="24"/>
          <w:szCs w:val="24"/>
        </w:rPr>
        <w:t xml:space="preserve"> reported for floors and 73 µg/ft</w:t>
      </w:r>
      <w:r w:rsidRPr="00833B8F">
        <w:rPr>
          <w:sz w:val="24"/>
          <w:szCs w:val="24"/>
          <w:vertAlign w:val="superscript"/>
        </w:rPr>
        <w:t>2</w:t>
      </w:r>
      <w:r w:rsidRPr="00833B8F">
        <w:rPr>
          <w:sz w:val="24"/>
          <w:szCs w:val="24"/>
        </w:rPr>
        <w:t xml:space="preserve"> for sills</w:t>
      </w:r>
      <w:r>
        <w:rPr>
          <w:sz w:val="24"/>
          <w:szCs w:val="24"/>
          <w:vertAlign w:val="superscript"/>
        </w:rPr>
        <w:footnoteReference w:id="10"/>
      </w:r>
      <w:r w:rsidRPr="00833B8F">
        <w:rPr>
          <w:sz w:val="24"/>
          <w:szCs w:val="24"/>
        </w:rPr>
        <w:t>. The 12-year follow up study focused on the impact of window replacement on PbD levels and found that PbD levels were lower in homes with partial or complete window replacement</w:t>
      </w:r>
      <w:r>
        <w:rPr>
          <w:sz w:val="24"/>
          <w:szCs w:val="24"/>
          <w:vertAlign w:val="superscript"/>
        </w:rPr>
        <w:footnoteReference w:id="11"/>
      </w:r>
      <w:r w:rsidRPr="00833B8F">
        <w:rPr>
          <w:sz w:val="24"/>
          <w:szCs w:val="24"/>
        </w:rPr>
        <w:t>. GM floor and sill PbD levels were 2.2 µg/ft</w:t>
      </w:r>
      <w:r w:rsidRPr="00833B8F">
        <w:rPr>
          <w:sz w:val="24"/>
          <w:szCs w:val="24"/>
          <w:vertAlign w:val="superscript"/>
        </w:rPr>
        <w:t>2</w:t>
      </w:r>
      <w:r w:rsidRPr="00833B8F">
        <w:rPr>
          <w:sz w:val="24"/>
          <w:szCs w:val="24"/>
        </w:rPr>
        <w:t xml:space="preserve"> and 32 µg/ft</w:t>
      </w:r>
      <w:r w:rsidRPr="00833B8F">
        <w:rPr>
          <w:sz w:val="24"/>
          <w:szCs w:val="24"/>
          <w:vertAlign w:val="superscript"/>
        </w:rPr>
        <w:t>2</w:t>
      </w:r>
      <w:r w:rsidRPr="00833B8F">
        <w:rPr>
          <w:sz w:val="24"/>
          <w:szCs w:val="24"/>
        </w:rPr>
        <w:t>, respectively; however, 24% of units had floor-PbD levels &gt; 10 µg/ft</w:t>
      </w:r>
      <w:r w:rsidRPr="00833B8F">
        <w:rPr>
          <w:sz w:val="24"/>
          <w:szCs w:val="24"/>
          <w:vertAlign w:val="superscript"/>
        </w:rPr>
        <w:t>2</w:t>
      </w:r>
      <w:r w:rsidRPr="00833B8F">
        <w:rPr>
          <w:sz w:val="24"/>
          <w:szCs w:val="24"/>
        </w:rPr>
        <w:t xml:space="preserve"> and 28% had sill-PbD levels &gt; 100 µg/ft</w:t>
      </w:r>
      <w:r w:rsidRPr="00833B8F">
        <w:rPr>
          <w:sz w:val="24"/>
          <w:szCs w:val="24"/>
          <w:vertAlign w:val="superscript"/>
        </w:rPr>
        <w:t>2</w:t>
      </w:r>
      <w:r w:rsidRPr="00833B8F">
        <w:rPr>
          <w:sz w:val="24"/>
          <w:szCs w:val="24"/>
        </w:rPr>
        <w:t xml:space="preserve"> (i.e., HUD’s </w:t>
      </w:r>
      <w:r w:rsidRPr="00833B8F">
        <w:rPr>
          <w:i/>
          <w:iCs/>
          <w:sz w:val="24"/>
          <w:szCs w:val="24"/>
        </w:rPr>
        <w:t>current</w:t>
      </w:r>
      <w:r w:rsidRPr="00833B8F">
        <w:rPr>
          <w:sz w:val="24"/>
          <w:szCs w:val="24"/>
        </w:rPr>
        <w:t xml:space="preserve"> risk and clearance action levels for floors and sills, respectively).</w:t>
      </w:r>
      <w:bookmarkEnd w:id="3"/>
      <w:bookmarkEnd w:id="4"/>
    </w:p>
    <w:p w:rsidR="00DC4DAF" w:rsidP="00DC4DAF" w14:paraId="1C28C07D" w14:textId="77777777">
      <w:pPr>
        <w:pStyle w:val="NoSpacing"/>
      </w:pPr>
    </w:p>
    <w:p w:rsidR="00833B8F" w:rsidRPr="00833B8F" w:rsidP="00833B8F" w14:paraId="2F24AE80" w14:textId="7E8A5696">
      <w:pPr>
        <w:tabs>
          <w:tab w:val="left" w:pos="6750"/>
        </w:tabs>
        <w:overflowPunct/>
        <w:autoSpaceDE/>
        <w:autoSpaceDN/>
        <w:adjustRightInd/>
        <w:spacing w:before="60" w:line="259" w:lineRule="auto"/>
        <w:ind w:left="360"/>
        <w:textAlignment w:val="auto"/>
        <w:rPr>
          <w:sz w:val="24"/>
          <w:szCs w:val="24"/>
        </w:rPr>
      </w:pPr>
      <w:r w:rsidRPr="00833B8F">
        <w:rPr>
          <w:sz w:val="24"/>
          <w:szCs w:val="24"/>
        </w:rPr>
        <w:t>HUD’s PbD action levels were much higher at the time of the Evaluation than they are now – 100 µg/ft</w:t>
      </w:r>
      <w:r w:rsidRPr="00833B8F">
        <w:rPr>
          <w:sz w:val="24"/>
          <w:szCs w:val="24"/>
          <w:vertAlign w:val="superscript"/>
        </w:rPr>
        <w:t>2</w:t>
      </w:r>
      <w:r w:rsidRPr="00833B8F">
        <w:rPr>
          <w:sz w:val="24"/>
          <w:szCs w:val="24"/>
        </w:rPr>
        <w:t xml:space="preserve"> for floors, 500 µg/ft</w:t>
      </w:r>
      <w:r w:rsidRPr="00833B8F">
        <w:rPr>
          <w:sz w:val="24"/>
          <w:szCs w:val="24"/>
          <w:vertAlign w:val="superscript"/>
        </w:rPr>
        <w:t>2</w:t>
      </w:r>
      <w:r w:rsidRPr="00833B8F">
        <w:rPr>
          <w:sz w:val="24"/>
          <w:szCs w:val="24"/>
        </w:rPr>
        <w:t xml:space="preserve"> for windowsills and 800 µg/ft</w:t>
      </w:r>
      <w:r w:rsidRPr="00833B8F">
        <w:rPr>
          <w:sz w:val="24"/>
          <w:szCs w:val="24"/>
          <w:vertAlign w:val="superscript"/>
        </w:rPr>
        <w:t>2</w:t>
      </w:r>
      <w:r w:rsidRPr="00833B8F">
        <w:rPr>
          <w:sz w:val="24"/>
          <w:szCs w:val="24"/>
        </w:rPr>
        <w:t xml:space="preserve"> for window troughs, compared to current levels of 10, 100 and 100 µg/ft</w:t>
      </w:r>
      <w:r w:rsidRPr="00833B8F">
        <w:rPr>
          <w:sz w:val="24"/>
          <w:szCs w:val="24"/>
          <w:vertAlign w:val="superscript"/>
        </w:rPr>
        <w:t>2</w:t>
      </w:r>
      <w:r w:rsidRPr="00833B8F">
        <w:rPr>
          <w:sz w:val="24"/>
          <w:szCs w:val="24"/>
        </w:rPr>
        <w:t>, respectively. As noted above, at the 12-year point, 24% of units had floor dust lead levels above the current action level, as did 28% of units for sill PbD levels. Thus, between 28% and 52% of units had interior PbD hazards by current standards, i.e., on either floors or windowsills. Since partial or complete window replacement is one of the most effective methods of lead hazard control, results for the typical treatment used by LHR grantees are likely worse relative to current standards. For example, the 6-year study had geometric mean floor PbD of 4.8 µg/ft</w:t>
      </w:r>
      <w:r w:rsidRPr="00833B8F">
        <w:rPr>
          <w:sz w:val="24"/>
          <w:szCs w:val="24"/>
          <w:vertAlign w:val="superscript"/>
        </w:rPr>
        <w:t>2</w:t>
      </w:r>
      <w:r w:rsidRPr="00833B8F">
        <w:rPr>
          <w:sz w:val="24"/>
          <w:szCs w:val="24"/>
        </w:rPr>
        <w:t xml:space="preserve"> for all treatment options as noted above, 78% higher than 2.7 µg/ft</w:t>
      </w:r>
      <w:r w:rsidRPr="00833B8F">
        <w:rPr>
          <w:sz w:val="24"/>
          <w:szCs w:val="24"/>
          <w:vertAlign w:val="superscript"/>
        </w:rPr>
        <w:t>2</w:t>
      </w:r>
      <w:r w:rsidRPr="00833B8F">
        <w:rPr>
          <w:sz w:val="24"/>
          <w:szCs w:val="24"/>
        </w:rPr>
        <w:t xml:space="preserve"> for all window replacement groups at 6 years</w:t>
      </w:r>
      <w:r w:rsidRPr="00833B8F">
        <w:rPr>
          <w:sz w:val="24"/>
          <w:szCs w:val="24"/>
          <w:vertAlign w:val="superscript"/>
        </w:rPr>
        <w:t>3</w:t>
      </w:r>
      <w:r w:rsidRPr="00833B8F">
        <w:rPr>
          <w:sz w:val="24"/>
          <w:szCs w:val="24"/>
        </w:rPr>
        <w:t>. Assuming similar variability in floor PbD levels for all treatments as for the window replacement groups (not reported in Ref. 2), approximately 37% of units receiving typical treatment had floor PbD levels above the current standard at 6 years post-intervention with percentages close to 50% from 6 months to 2 years (</w:t>
      </w:r>
      <w:r w:rsidRPr="00833B8F">
        <w:rPr>
          <w:sz w:val="24"/>
          <w:szCs w:val="24"/>
          <w:vertAlign w:val="superscript"/>
        </w:rPr>
        <w:t>6</w:t>
      </w:r>
      <w:r w:rsidRPr="00833B8F">
        <w:rPr>
          <w:sz w:val="24"/>
          <w:szCs w:val="24"/>
        </w:rPr>
        <w:t xml:space="preserve">, Figure 1). The above calculations are necessarily approximate, but they indicate that the LHR treatments studied in the Evaluation were generally not effective in meeting the much more stringent action levels now in force. </w:t>
      </w:r>
    </w:p>
    <w:p w:rsidR="00DC4DAF" w:rsidP="00DC4DAF" w14:paraId="1594DF22" w14:textId="77777777">
      <w:pPr>
        <w:pStyle w:val="NoSpacing"/>
      </w:pPr>
    </w:p>
    <w:p w:rsidR="00833B8F" w:rsidRPr="00833B8F" w:rsidP="00833B8F" w14:paraId="2D4720AB" w14:textId="626D48F6">
      <w:pPr>
        <w:tabs>
          <w:tab w:val="left" w:pos="6750"/>
        </w:tabs>
        <w:overflowPunct/>
        <w:autoSpaceDE/>
        <w:autoSpaceDN/>
        <w:adjustRightInd/>
        <w:spacing w:before="60"/>
        <w:ind w:left="360"/>
        <w:textAlignment w:val="auto"/>
        <w:rPr>
          <w:sz w:val="24"/>
          <w:szCs w:val="24"/>
        </w:rPr>
      </w:pPr>
      <w:r w:rsidRPr="00833B8F">
        <w:rPr>
          <w:sz w:val="24"/>
          <w:szCs w:val="24"/>
        </w:rPr>
        <w:t xml:space="preserve">The National Evaluation also demonstrated significant reductions in children’s BLLs. For the 418 children tested before and one year after LHR intervention, the GM BLL decreased by 23% from 9.4 to 7.2 µg/dL. Similar decreases in the GM BLL, ranging from 22% to 47%, were seen in subgroups with pre-intervention BLL ranges of 6-9,10-14, 15-19, 20-25 and &gt;25 µg/dL. However, in the group with pre-intervention BLL &lt;6 µg/dL, the GM BLL increased from 3.5 to 3.7 µg/dL. CDC’s current BLRV of 3.5 µg/dL is based on the 97.5 percentile of children’s BLLs nationwide in the 2015-2108 National Health and Nutrition Examination Survey (NHANES) cycles. That is, 97.5% of children are currently in the lowest BLL range of the National Evaluation, where no benefit of LHR intervention was seen. </w:t>
      </w:r>
    </w:p>
    <w:p w:rsidR="00DC4DAF" w:rsidP="00DC4DAF" w14:paraId="53C68498" w14:textId="77777777">
      <w:pPr>
        <w:pStyle w:val="NoSpacing"/>
      </w:pPr>
    </w:p>
    <w:p w:rsidR="00833B8F" w:rsidRPr="00833B8F" w:rsidP="00833B8F" w14:paraId="1CBD147E" w14:textId="0B40E60F">
      <w:pPr>
        <w:tabs>
          <w:tab w:val="left" w:pos="6750"/>
        </w:tabs>
        <w:overflowPunct/>
        <w:autoSpaceDE/>
        <w:autoSpaceDN/>
        <w:adjustRightInd/>
        <w:spacing w:before="60"/>
        <w:ind w:left="360"/>
        <w:textAlignment w:val="auto"/>
        <w:rPr>
          <w:sz w:val="24"/>
          <w:szCs w:val="24"/>
        </w:rPr>
      </w:pPr>
      <w:r w:rsidRPr="00833B8F">
        <w:rPr>
          <w:sz w:val="24"/>
          <w:szCs w:val="24"/>
        </w:rPr>
        <w:t xml:space="preserve">The above analysis of the results of the National Evaluation in light of lower PbD action levels, the lower BLRV and the continuing decrease in children’s BLLs, indicate that the results of the National Evaluation are out of date and do not apply under current conditions, showing the need for a new National Evaluation of the LHR Grant Program.  </w:t>
      </w:r>
    </w:p>
    <w:p w:rsidR="00DC4DAF" w:rsidP="00DC4DAF" w14:paraId="172C049A" w14:textId="77777777">
      <w:pPr>
        <w:pStyle w:val="NoSpacing"/>
      </w:pPr>
    </w:p>
    <w:p w:rsidR="00833B8F" w:rsidRPr="00833B8F" w:rsidP="00833B8F" w14:paraId="1CC7ED7B" w14:textId="01D9AF70">
      <w:pPr>
        <w:tabs>
          <w:tab w:val="left" w:pos="6750"/>
        </w:tabs>
        <w:overflowPunct/>
        <w:autoSpaceDE/>
        <w:autoSpaceDN/>
        <w:adjustRightInd/>
        <w:spacing w:before="60"/>
        <w:ind w:left="360"/>
        <w:textAlignment w:val="auto"/>
        <w:rPr>
          <w:sz w:val="24"/>
          <w:szCs w:val="24"/>
        </w:rPr>
      </w:pPr>
      <w:r w:rsidRPr="00833B8F">
        <w:rPr>
          <w:sz w:val="24"/>
          <w:szCs w:val="24"/>
        </w:rPr>
        <w:t>A majority of active LHR grants have substantial Healthy Homes Supplement funding in the range of $400,000-$700,000 (compared to lead funding typically in the range of $2 to 8 million). This Healthy Homes funding is earmarked for the evaluation and mitigation of housing-related health and safety hazards other than lead-based paint hazards, such as slips and falls, fires, carbon monoxide poisoning, excessive hot water temperature, electrical hazards, pests, and mold and moisture problems</w:t>
      </w:r>
      <w:r>
        <w:rPr>
          <w:sz w:val="24"/>
          <w:szCs w:val="24"/>
          <w:vertAlign w:val="superscript"/>
        </w:rPr>
        <w:footnoteReference w:id="12"/>
      </w:r>
      <w:r w:rsidRPr="00833B8F">
        <w:rPr>
          <w:sz w:val="24"/>
          <w:szCs w:val="24"/>
        </w:rPr>
        <w:t>. Since the original National Evaluation did not address hazards other than lead-based paint hazards (the grants were awarded before HUD’s healthy homes program began), there is also a need for a new National Evaluation to include the effectiveness of methods to address this much larger range of home health and safety hazards, including their interaction with LHR methods.</w:t>
      </w:r>
    </w:p>
    <w:p w:rsidR="00DC4DAF" w:rsidP="00DC4DAF" w14:paraId="742C3B44" w14:textId="77777777">
      <w:pPr>
        <w:pStyle w:val="NoSpacing"/>
      </w:pPr>
    </w:p>
    <w:p w:rsidR="00833B8F" w:rsidRPr="00833B8F" w:rsidP="00833B8F" w14:paraId="3CEE5B01" w14:textId="5FEAA320">
      <w:pPr>
        <w:tabs>
          <w:tab w:val="left" w:pos="6750"/>
        </w:tabs>
        <w:overflowPunct/>
        <w:autoSpaceDE/>
        <w:autoSpaceDN/>
        <w:adjustRightInd/>
        <w:spacing w:before="60"/>
        <w:ind w:left="360"/>
        <w:textAlignment w:val="auto"/>
        <w:rPr>
          <w:sz w:val="24"/>
          <w:szCs w:val="24"/>
        </w:rPr>
      </w:pPr>
      <w:r w:rsidRPr="00833B8F">
        <w:rPr>
          <w:sz w:val="24"/>
          <w:szCs w:val="24"/>
        </w:rPr>
        <w:t>The LHR grantee survey that is the subject of the present ICR is needed to collect data to design the new National Evaluation. The survey will collect data on the following topics:</w:t>
      </w:r>
    </w:p>
    <w:p w:rsidR="00833B8F" w:rsidRPr="00833B8F" w:rsidP="00833B8F" w14:paraId="1F260E9B" w14:textId="77777777">
      <w:pPr>
        <w:tabs>
          <w:tab w:val="left" w:pos="6750"/>
        </w:tabs>
        <w:overflowPunct/>
        <w:autoSpaceDE/>
        <w:autoSpaceDN/>
        <w:adjustRightInd/>
        <w:spacing w:before="60"/>
        <w:ind w:left="360"/>
        <w:textAlignment w:val="auto"/>
        <w:rPr>
          <w:sz w:val="24"/>
          <w:szCs w:val="24"/>
        </w:rPr>
      </w:pPr>
    </w:p>
    <w:p w:rsidR="00833B8F" w:rsidRPr="00833B8F" w:rsidP="00833B8F" w14:paraId="120B109A" w14:textId="77777777">
      <w:pPr>
        <w:numPr>
          <w:ilvl w:val="0"/>
          <w:numId w:val="15"/>
        </w:numPr>
        <w:overflowPunct/>
        <w:autoSpaceDE/>
        <w:autoSpaceDN/>
        <w:adjustRightInd/>
        <w:spacing w:line="259" w:lineRule="auto"/>
        <w:ind w:left="1080"/>
        <w:contextualSpacing/>
        <w:textAlignment w:val="auto"/>
        <w:rPr>
          <w:sz w:val="24"/>
          <w:szCs w:val="24"/>
        </w:rPr>
      </w:pPr>
      <w:r w:rsidRPr="00833B8F">
        <w:rPr>
          <w:sz w:val="24"/>
          <w:szCs w:val="24"/>
        </w:rPr>
        <w:t xml:space="preserve">Methods for identifying high risk neighborhoods and recruiting households </w:t>
      </w:r>
    </w:p>
    <w:p w:rsidR="00833B8F" w:rsidRPr="00833B8F" w:rsidP="00833B8F" w14:paraId="4D889193" w14:textId="77777777">
      <w:pPr>
        <w:numPr>
          <w:ilvl w:val="0"/>
          <w:numId w:val="15"/>
        </w:numPr>
        <w:overflowPunct/>
        <w:autoSpaceDE/>
        <w:autoSpaceDN/>
        <w:adjustRightInd/>
        <w:spacing w:line="259" w:lineRule="auto"/>
        <w:ind w:left="1080"/>
        <w:contextualSpacing/>
        <w:textAlignment w:val="auto"/>
        <w:rPr>
          <w:sz w:val="24"/>
          <w:szCs w:val="24"/>
        </w:rPr>
      </w:pPr>
      <w:r w:rsidRPr="00833B8F">
        <w:rPr>
          <w:sz w:val="24"/>
          <w:szCs w:val="24"/>
        </w:rPr>
        <w:t xml:space="preserve">Type and age of housing recruited </w:t>
      </w:r>
    </w:p>
    <w:p w:rsidR="00833B8F" w:rsidRPr="00833B8F" w:rsidP="00833B8F" w14:paraId="0B45A5FF" w14:textId="77777777">
      <w:pPr>
        <w:numPr>
          <w:ilvl w:val="0"/>
          <w:numId w:val="15"/>
        </w:numPr>
        <w:overflowPunct/>
        <w:autoSpaceDE/>
        <w:autoSpaceDN/>
        <w:adjustRightInd/>
        <w:spacing w:line="259" w:lineRule="auto"/>
        <w:ind w:left="1080"/>
        <w:contextualSpacing/>
        <w:textAlignment w:val="auto"/>
        <w:rPr>
          <w:sz w:val="24"/>
          <w:szCs w:val="24"/>
        </w:rPr>
      </w:pPr>
      <w:r w:rsidRPr="00833B8F">
        <w:rPr>
          <w:sz w:val="24"/>
          <w:szCs w:val="24"/>
        </w:rPr>
        <w:t xml:space="preserve">LHR intervention methods used and average intervention costs </w:t>
      </w:r>
    </w:p>
    <w:p w:rsidR="00833B8F" w:rsidRPr="00833B8F" w:rsidP="00833B8F" w14:paraId="09FDE934" w14:textId="77777777">
      <w:pPr>
        <w:numPr>
          <w:ilvl w:val="0"/>
          <w:numId w:val="15"/>
        </w:numPr>
        <w:overflowPunct/>
        <w:autoSpaceDE/>
        <w:autoSpaceDN/>
        <w:adjustRightInd/>
        <w:spacing w:line="259" w:lineRule="auto"/>
        <w:ind w:left="1080"/>
        <w:contextualSpacing/>
        <w:textAlignment w:val="auto"/>
        <w:rPr>
          <w:sz w:val="24"/>
          <w:szCs w:val="24"/>
        </w:rPr>
      </w:pPr>
      <w:r w:rsidRPr="00833B8F">
        <w:rPr>
          <w:sz w:val="24"/>
          <w:szCs w:val="24"/>
        </w:rPr>
        <w:t>Use of partners in program implementation and problems encountered</w:t>
      </w:r>
    </w:p>
    <w:p w:rsidR="00833B8F" w:rsidRPr="00833B8F" w:rsidP="00833B8F" w14:paraId="6CE820E4" w14:textId="77777777">
      <w:pPr>
        <w:numPr>
          <w:ilvl w:val="0"/>
          <w:numId w:val="15"/>
        </w:numPr>
        <w:overflowPunct/>
        <w:autoSpaceDE/>
        <w:autoSpaceDN/>
        <w:adjustRightInd/>
        <w:spacing w:line="259" w:lineRule="auto"/>
        <w:ind w:left="1080"/>
        <w:contextualSpacing/>
        <w:textAlignment w:val="auto"/>
        <w:rPr>
          <w:sz w:val="24"/>
          <w:szCs w:val="24"/>
        </w:rPr>
      </w:pPr>
      <w:r w:rsidRPr="00833B8F">
        <w:rPr>
          <w:sz w:val="24"/>
          <w:szCs w:val="24"/>
        </w:rPr>
        <w:t xml:space="preserve">Major barriers to program implementation (e.g., insufficient number of certified contractors, slow or inadequate recruiting) </w:t>
      </w:r>
    </w:p>
    <w:p w:rsidR="00833B8F" w:rsidRPr="00833B8F" w:rsidP="00833B8F" w14:paraId="2042C317" w14:textId="77777777">
      <w:pPr>
        <w:numPr>
          <w:ilvl w:val="0"/>
          <w:numId w:val="15"/>
        </w:numPr>
        <w:overflowPunct/>
        <w:autoSpaceDE/>
        <w:autoSpaceDN/>
        <w:adjustRightInd/>
        <w:spacing w:line="259" w:lineRule="auto"/>
        <w:ind w:left="1080"/>
        <w:contextualSpacing/>
        <w:textAlignment w:val="auto"/>
        <w:rPr>
          <w:sz w:val="24"/>
          <w:szCs w:val="24"/>
        </w:rPr>
      </w:pPr>
      <w:r w:rsidRPr="00833B8F">
        <w:rPr>
          <w:sz w:val="24"/>
          <w:szCs w:val="24"/>
        </w:rPr>
        <w:t>Housing assessment methods for evaluating housing-related health and safety hazards other than LBP hazards</w:t>
      </w:r>
    </w:p>
    <w:p w:rsidR="00833B8F" w:rsidRPr="00833B8F" w:rsidP="00833B8F" w14:paraId="3C43115D" w14:textId="77777777">
      <w:pPr>
        <w:numPr>
          <w:ilvl w:val="0"/>
          <w:numId w:val="15"/>
        </w:numPr>
        <w:overflowPunct/>
        <w:autoSpaceDE/>
        <w:autoSpaceDN/>
        <w:adjustRightInd/>
        <w:spacing w:line="259" w:lineRule="auto"/>
        <w:ind w:left="1080"/>
        <w:contextualSpacing/>
        <w:textAlignment w:val="auto"/>
        <w:rPr>
          <w:sz w:val="24"/>
          <w:szCs w:val="24"/>
        </w:rPr>
      </w:pPr>
      <w:r w:rsidRPr="00833B8F">
        <w:rPr>
          <w:sz w:val="24"/>
          <w:szCs w:val="24"/>
        </w:rPr>
        <w:t xml:space="preserve">Housing-related health and safety hazards that are most frequently identified </w:t>
      </w:r>
    </w:p>
    <w:p w:rsidR="00833B8F" w:rsidRPr="00833B8F" w:rsidP="00833B8F" w14:paraId="73FDE59D" w14:textId="77777777">
      <w:pPr>
        <w:numPr>
          <w:ilvl w:val="0"/>
          <w:numId w:val="15"/>
        </w:numPr>
        <w:overflowPunct/>
        <w:autoSpaceDE/>
        <w:autoSpaceDN/>
        <w:adjustRightInd/>
        <w:spacing w:line="259" w:lineRule="auto"/>
        <w:ind w:left="1080"/>
        <w:contextualSpacing/>
        <w:textAlignment w:val="auto"/>
        <w:rPr>
          <w:sz w:val="24"/>
          <w:szCs w:val="24"/>
        </w:rPr>
      </w:pPr>
      <w:r w:rsidRPr="00833B8F">
        <w:rPr>
          <w:sz w:val="24"/>
          <w:szCs w:val="24"/>
        </w:rPr>
        <w:t xml:space="preserve">The most common healthy homes interventions and related costs </w:t>
      </w:r>
    </w:p>
    <w:p w:rsidR="00833B8F" w:rsidRPr="00833B8F" w:rsidP="00833B8F" w14:paraId="6E5EA727" w14:textId="77777777">
      <w:pPr>
        <w:numPr>
          <w:ilvl w:val="0"/>
          <w:numId w:val="15"/>
        </w:numPr>
        <w:overflowPunct/>
        <w:autoSpaceDE/>
        <w:autoSpaceDN/>
        <w:adjustRightInd/>
        <w:spacing w:line="259" w:lineRule="auto"/>
        <w:ind w:left="1080"/>
        <w:contextualSpacing/>
        <w:textAlignment w:val="auto"/>
        <w:rPr>
          <w:sz w:val="24"/>
          <w:szCs w:val="24"/>
        </w:rPr>
      </w:pPr>
      <w:r w:rsidRPr="00833B8F">
        <w:rPr>
          <w:sz w:val="24"/>
          <w:szCs w:val="24"/>
        </w:rPr>
        <w:t>Success in obtaining other sources of funding to support lead and healthy homes program activities</w:t>
      </w:r>
    </w:p>
    <w:p w:rsidR="00833B8F" w:rsidRPr="00833B8F" w:rsidP="00833B8F" w14:paraId="403F6B65" w14:textId="77777777">
      <w:pPr>
        <w:numPr>
          <w:ilvl w:val="0"/>
          <w:numId w:val="15"/>
        </w:numPr>
        <w:overflowPunct/>
        <w:autoSpaceDE/>
        <w:autoSpaceDN/>
        <w:adjustRightInd/>
        <w:spacing w:line="259" w:lineRule="auto"/>
        <w:ind w:left="1080"/>
        <w:contextualSpacing/>
        <w:textAlignment w:val="auto"/>
        <w:rPr>
          <w:sz w:val="24"/>
          <w:szCs w:val="24"/>
        </w:rPr>
      </w:pPr>
      <w:r w:rsidRPr="00833B8F">
        <w:rPr>
          <w:sz w:val="24"/>
          <w:szCs w:val="24"/>
        </w:rPr>
        <w:t>Self-evaluation by LHR grantees (e.g., durability and effectiveness of treatments) and participation in other research efforts</w:t>
      </w:r>
    </w:p>
    <w:p w:rsidR="00833B8F" w:rsidRPr="00833B8F" w:rsidP="00833B8F" w14:paraId="5C07CEA4" w14:textId="77777777">
      <w:pPr>
        <w:numPr>
          <w:ilvl w:val="0"/>
          <w:numId w:val="15"/>
        </w:numPr>
        <w:overflowPunct/>
        <w:autoSpaceDE/>
        <w:autoSpaceDN/>
        <w:adjustRightInd/>
        <w:spacing w:line="259" w:lineRule="auto"/>
        <w:ind w:left="1080"/>
        <w:contextualSpacing/>
        <w:textAlignment w:val="auto"/>
        <w:rPr>
          <w:sz w:val="24"/>
          <w:szCs w:val="24"/>
        </w:rPr>
      </w:pPr>
      <w:r w:rsidRPr="00833B8F">
        <w:rPr>
          <w:sz w:val="24"/>
          <w:szCs w:val="24"/>
        </w:rPr>
        <w:t>Willingness to participate in a new National Evaluation and extent of participation, if willing.</w:t>
      </w:r>
    </w:p>
    <w:p w:rsidR="00DC4DAF" w:rsidP="00DC4DAF" w14:paraId="58587D37" w14:textId="77777777">
      <w:pPr>
        <w:pStyle w:val="NoSpacing"/>
      </w:pPr>
    </w:p>
    <w:p w:rsidR="009E13B1" w:rsidRPr="00DC4DAF" w14:paraId="324CDFDE" w14:textId="56BE29DA">
      <w:pPr>
        <w:keepLines/>
        <w:tabs>
          <w:tab w:val="left" w:pos="360"/>
        </w:tabs>
        <w:spacing w:after="80"/>
        <w:ind w:left="360" w:hanging="360"/>
        <w:rPr>
          <w:b/>
          <w:bCs/>
          <w:sz w:val="24"/>
          <w:szCs w:val="24"/>
        </w:rPr>
      </w:pPr>
      <w:r w:rsidRPr="00DC4DAF">
        <w:rPr>
          <w:b/>
          <w:bCs/>
          <w:sz w:val="24"/>
          <w:szCs w:val="24"/>
        </w:rPr>
        <w:t>2.</w:t>
      </w:r>
      <w:r w:rsidRPr="00DC4DAF">
        <w:rPr>
          <w:b/>
          <w:bCs/>
          <w:sz w:val="24"/>
          <w:szCs w:val="24"/>
        </w:rPr>
        <w:tab/>
        <w:t>Indicate how, by whom and for what purpose the information is to be used.  Except for a new collection, indicate the actual use the agency has made of the information received from the current collection.</w:t>
      </w:r>
    </w:p>
    <w:p w:rsidR="009E13B1" w:rsidRPr="00DC4DAF" w:rsidP="00DC4DAF" w14:paraId="4A350C48" w14:textId="77777777">
      <w:pPr>
        <w:pStyle w:val="NoSpacing"/>
        <w:rPr>
          <w:sz w:val="24"/>
          <w:szCs w:val="24"/>
        </w:rPr>
      </w:pPr>
    </w:p>
    <w:p w:rsidR="00833B8F" w:rsidRPr="00CC4688" w:rsidP="00833B8F" w14:paraId="7E6BBF75" w14:textId="77777777">
      <w:pPr>
        <w:ind w:left="360"/>
        <w:rPr>
          <w:sz w:val="24"/>
          <w:szCs w:val="24"/>
        </w:rPr>
      </w:pPr>
      <w:r w:rsidRPr="00DC4DAF">
        <w:rPr>
          <w:sz w:val="24"/>
          <w:szCs w:val="24"/>
        </w:rPr>
        <w:t>HUD OLHCHH staff and its survey contractor, QuanTech, Inc., will use the data collected in the survey of LHR grantees to design a new National Evaluation of the Lead Hazard Control Grant Program. Aspects of the design that depend on the survey data collected under the topics in Section 1.1 include (numbers in parentheses</w:t>
      </w:r>
      <w:r w:rsidRPr="00CC4688">
        <w:rPr>
          <w:sz w:val="24"/>
          <w:szCs w:val="24"/>
        </w:rPr>
        <w:t xml:space="preserve"> refer to the items in Section 1.1. above):</w:t>
      </w:r>
    </w:p>
    <w:p w:rsidR="00833B8F" w:rsidRPr="00CC4688" w:rsidP="00833B8F" w14:paraId="069CEE42" w14:textId="77777777">
      <w:pPr>
        <w:rPr>
          <w:sz w:val="24"/>
          <w:szCs w:val="24"/>
        </w:rPr>
      </w:pPr>
    </w:p>
    <w:p w:rsidR="00833B8F" w:rsidRPr="00CC4688" w:rsidP="00B73581" w14:paraId="4D6D0C1A" w14:textId="77777777">
      <w:pPr>
        <w:numPr>
          <w:ilvl w:val="0"/>
          <w:numId w:val="27"/>
        </w:numPr>
        <w:overflowPunct/>
        <w:autoSpaceDE/>
        <w:autoSpaceDN/>
        <w:adjustRightInd/>
        <w:textAlignment w:val="auto"/>
        <w:rPr>
          <w:sz w:val="24"/>
          <w:szCs w:val="24"/>
        </w:rPr>
      </w:pPr>
      <w:r w:rsidRPr="00CC4688">
        <w:rPr>
          <w:sz w:val="24"/>
          <w:szCs w:val="24"/>
        </w:rPr>
        <w:t>Creating a sampling frame for the National Evaluation considering the extent of grantee willingness to participate (#11)</w:t>
      </w:r>
    </w:p>
    <w:p w:rsidR="00833B8F" w:rsidRPr="00CC4688" w:rsidP="00B73581" w14:paraId="6B762F23" w14:textId="77777777">
      <w:pPr>
        <w:numPr>
          <w:ilvl w:val="0"/>
          <w:numId w:val="27"/>
        </w:numPr>
        <w:overflowPunct/>
        <w:autoSpaceDE/>
        <w:autoSpaceDN/>
        <w:adjustRightInd/>
        <w:textAlignment w:val="auto"/>
        <w:rPr>
          <w:sz w:val="24"/>
          <w:szCs w:val="24"/>
        </w:rPr>
      </w:pPr>
      <w:r w:rsidRPr="00CC4688">
        <w:rPr>
          <w:sz w:val="24"/>
          <w:szCs w:val="24"/>
        </w:rPr>
        <w:t>Representativeness of the sample of grantees to be selected for the evaluation with respect to location, type, and age of housing and LHR and healthy homes intervention methods (#1, 2, 3, 6, 8)</w:t>
      </w:r>
    </w:p>
    <w:p w:rsidR="00833B8F" w:rsidRPr="00CC4688" w:rsidP="00B73581" w14:paraId="2FFB4EEC" w14:textId="77777777">
      <w:pPr>
        <w:numPr>
          <w:ilvl w:val="0"/>
          <w:numId w:val="27"/>
        </w:numPr>
        <w:overflowPunct/>
        <w:autoSpaceDE/>
        <w:autoSpaceDN/>
        <w:adjustRightInd/>
        <w:textAlignment w:val="auto"/>
        <w:rPr>
          <w:sz w:val="24"/>
          <w:szCs w:val="24"/>
        </w:rPr>
      </w:pPr>
      <w:r w:rsidRPr="00CC4688">
        <w:rPr>
          <w:sz w:val="24"/>
          <w:szCs w:val="24"/>
        </w:rPr>
        <w:t>Availability of data already collected by grantees or being collected that could be integrated with the National Evaluation (#10)</w:t>
      </w:r>
    </w:p>
    <w:p w:rsidR="00833B8F" w:rsidRPr="00CC4688" w:rsidP="00B73581" w14:paraId="570F7B4A" w14:textId="77777777">
      <w:pPr>
        <w:numPr>
          <w:ilvl w:val="0"/>
          <w:numId w:val="27"/>
        </w:numPr>
        <w:overflowPunct/>
        <w:autoSpaceDE/>
        <w:autoSpaceDN/>
        <w:adjustRightInd/>
        <w:textAlignment w:val="auto"/>
        <w:rPr>
          <w:sz w:val="24"/>
          <w:szCs w:val="24"/>
        </w:rPr>
      </w:pPr>
      <w:r w:rsidRPr="00CC4688">
        <w:rPr>
          <w:sz w:val="24"/>
          <w:szCs w:val="24"/>
        </w:rPr>
        <w:t>Prioritization of housing-related health and safety hazard evaluation efforts (#7)</w:t>
      </w:r>
    </w:p>
    <w:p w:rsidR="00833B8F" w:rsidRPr="00CC4688" w:rsidP="00B73581" w14:paraId="07F9B1A2" w14:textId="77777777">
      <w:pPr>
        <w:numPr>
          <w:ilvl w:val="0"/>
          <w:numId w:val="27"/>
        </w:numPr>
        <w:overflowPunct/>
        <w:autoSpaceDE/>
        <w:autoSpaceDN/>
        <w:adjustRightInd/>
        <w:textAlignment w:val="auto"/>
        <w:rPr>
          <w:sz w:val="24"/>
          <w:szCs w:val="24"/>
        </w:rPr>
      </w:pPr>
      <w:r w:rsidRPr="00CC4688">
        <w:rPr>
          <w:sz w:val="24"/>
          <w:szCs w:val="24"/>
        </w:rPr>
        <w:t>Preparation of an Independent Government Cost Estimate for the new National Evaluation (#3, 8, 9)</w:t>
      </w:r>
    </w:p>
    <w:p w:rsidR="00833B8F" w:rsidRPr="00DC4DAF" w:rsidP="00B73581" w14:paraId="11204EF9" w14:textId="77777777">
      <w:pPr>
        <w:numPr>
          <w:ilvl w:val="0"/>
          <w:numId w:val="27"/>
        </w:numPr>
        <w:overflowPunct/>
        <w:autoSpaceDE/>
        <w:autoSpaceDN/>
        <w:adjustRightInd/>
        <w:textAlignment w:val="auto"/>
        <w:rPr>
          <w:sz w:val="24"/>
          <w:szCs w:val="24"/>
        </w:rPr>
      </w:pPr>
      <w:r w:rsidRPr="00DC4DAF">
        <w:rPr>
          <w:sz w:val="24"/>
          <w:szCs w:val="24"/>
        </w:rPr>
        <w:t>Development of evaluation protocols (#4, 5).</w:t>
      </w:r>
    </w:p>
    <w:p w:rsidR="00833B8F" w:rsidRPr="00DC4DAF" w14:paraId="236F8344" w14:textId="77777777">
      <w:pPr>
        <w:keepLines/>
        <w:tabs>
          <w:tab w:val="left" w:pos="360"/>
          <w:tab w:val="left" w:pos="720"/>
        </w:tabs>
        <w:ind w:left="360"/>
        <w:rPr>
          <w:sz w:val="24"/>
          <w:szCs w:val="24"/>
        </w:rPr>
      </w:pPr>
    </w:p>
    <w:p w:rsidR="009E13B1" w:rsidRPr="00DC4DAF" w14:paraId="70250EAE" w14:textId="77777777">
      <w:pPr>
        <w:keepLines/>
        <w:tabs>
          <w:tab w:val="left" w:pos="360"/>
        </w:tabs>
        <w:spacing w:after="80"/>
        <w:ind w:left="360" w:hanging="360"/>
        <w:rPr>
          <w:b/>
          <w:bCs/>
          <w:sz w:val="24"/>
          <w:szCs w:val="24"/>
        </w:rPr>
      </w:pPr>
      <w:r w:rsidRPr="00DC4DAF">
        <w:rPr>
          <w:b/>
          <w:bCs/>
          <w:sz w:val="24"/>
          <w:szCs w:val="24"/>
        </w:rPr>
        <w:t>3.</w:t>
      </w:r>
      <w:r w:rsidRPr="00DC4DAF">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33B8F" w:rsidRPr="00CC4688" w:rsidP="00833B8F" w14:paraId="0D98E31A" w14:textId="77777777">
      <w:pPr>
        <w:keepNext/>
        <w:spacing w:before="60" w:line="259" w:lineRule="auto"/>
        <w:ind w:left="360"/>
        <w:rPr>
          <w:rFonts w:eastAsia="Calibri"/>
          <w:color w:val="202124"/>
          <w:sz w:val="24"/>
          <w:szCs w:val="24"/>
          <w:shd w:val="clear" w:color="auto" w:fill="FFFFFF"/>
        </w:rPr>
      </w:pPr>
      <w:r w:rsidRPr="00DC4DAF">
        <w:rPr>
          <w:rFonts w:eastAsia="Calibri"/>
          <w:sz w:val="24"/>
          <w:szCs w:val="24"/>
        </w:rPr>
        <w:t>The questionnaire will be programmed in LimeSurvey</w:t>
      </w:r>
      <w:r>
        <w:rPr>
          <w:rFonts w:eastAsia="Calibri"/>
          <w:sz w:val="24"/>
          <w:szCs w:val="24"/>
          <w:vertAlign w:val="superscript"/>
        </w:rPr>
        <w:footnoteReference w:id="13"/>
      </w:r>
      <w:r w:rsidRPr="00DC4DAF">
        <w:rPr>
          <w:rFonts w:eastAsia="Calibri"/>
          <w:sz w:val="24"/>
          <w:szCs w:val="24"/>
        </w:rPr>
        <w:t>, a free and open source on-line statistical survey web app written</w:t>
      </w:r>
      <w:r w:rsidRPr="00CC4688">
        <w:rPr>
          <w:rFonts w:eastAsia="Calibri"/>
          <w:sz w:val="24"/>
          <w:szCs w:val="24"/>
        </w:rPr>
        <w:t xml:space="preserve"> in the PHP programming language and based on a MySQL, SQLite, PostgreSQL or MSSQL database, distributed under the GNU General Public License. As web server-based software, it enables users using a web interface to develop and publish on-line surveys, collect responses, create statistics, and export the resulting data to other applications. The survey will be hosted on the QuanTech website</w:t>
      </w:r>
      <w:r>
        <w:rPr>
          <w:rFonts w:eastAsia="Calibri"/>
          <w:sz w:val="24"/>
          <w:szCs w:val="24"/>
          <w:vertAlign w:val="superscript"/>
        </w:rPr>
        <w:footnoteReference w:id="14"/>
      </w:r>
      <w:r w:rsidRPr="00CC4688">
        <w:rPr>
          <w:rFonts w:eastAsia="Calibri"/>
          <w:sz w:val="24"/>
          <w:szCs w:val="24"/>
        </w:rPr>
        <w:t xml:space="preserve">. A suitable, easily remembered, URL such as </w:t>
      </w:r>
      <w:r w:rsidRPr="00CC4688">
        <w:rPr>
          <w:rFonts w:eastAsia="Calibri"/>
          <w:i/>
          <w:iCs/>
          <w:sz w:val="24"/>
          <w:szCs w:val="24"/>
        </w:rPr>
        <w:t>HUDLHRgranteesurvey.com</w:t>
      </w:r>
      <w:r>
        <w:rPr>
          <w:rFonts w:eastAsia="Calibri"/>
          <w:sz w:val="24"/>
          <w:szCs w:val="24"/>
          <w:vertAlign w:val="superscript"/>
        </w:rPr>
        <w:footnoteReference w:id="15"/>
      </w:r>
      <w:r w:rsidRPr="00CC4688">
        <w:rPr>
          <w:rFonts w:eastAsia="Calibri"/>
          <w:sz w:val="24"/>
          <w:szCs w:val="24"/>
        </w:rPr>
        <w:t xml:space="preserve"> will be assigned to the survey. The assigned URL will be covered under the QuanTech website’s Secured Socket Layer (SSL) certificate. </w:t>
      </w:r>
      <w:r w:rsidRPr="00CC4688">
        <w:rPr>
          <w:rFonts w:ascii="Roboto" w:eastAsia="Calibri" w:hAnsi="Roboto"/>
          <w:color w:val="202124"/>
          <w:sz w:val="24"/>
          <w:szCs w:val="24"/>
          <w:shd w:val="clear" w:color="auto" w:fill="FFFFFF"/>
        </w:rPr>
        <w:t>(</w:t>
      </w:r>
      <w:r w:rsidRPr="00CC4688">
        <w:rPr>
          <w:rFonts w:eastAsia="Calibri"/>
          <w:color w:val="202124"/>
          <w:sz w:val="24"/>
          <w:szCs w:val="24"/>
          <w:shd w:val="clear" w:color="auto" w:fill="FFFFFF"/>
        </w:rPr>
        <w:t>SSL) is a standard security technology for establishing an encrypted link between a server and a client, typically a web server (website) and a browser, or a mail server and a mail client (e.g., Outlook). It will ensure that the assigned URL is safe from cyberattacks and will identify the URL as a safe and secure site to the grantees</w:t>
      </w:r>
      <w:r>
        <w:rPr>
          <w:rFonts w:eastAsia="Calibri"/>
          <w:color w:val="202124"/>
          <w:sz w:val="24"/>
          <w:szCs w:val="24"/>
          <w:shd w:val="clear" w:color="auto" w:fill="FFFFFF"/>
          <w:vertAlign w:val="superscript"/>
        </w:rPr>
        <w:footnoteReference w:id="16"/>
      </w:r>
      <w:r w:rsidRPr="00CC4688">
        <w:rPr>
          <w:rFonts w:eastAsia="Calibri"/>
          <w:color w:val="202124"/>
          <w:sz w:val="24"/>
          <w:szCs w:val="24"/>
          <w:shd w:val="clear" w:color="auto" w:fill="FFFFFF"/>
        </w:rPr>
        <w:t>.</w:t>
      </w:r>
    </w:p>
    <w:p w:rsidR="00DC4DAF" w:rsidP="00DC4DAF" w14:paraId="3EC8D063" w14:textId="77777777">
      <w:pPr>
        <w:pStyle w:val="NoSpacing"/>
        <w:rPr>
          <w:rFonts w:eastAsia="Calibri"/>
        </w:rPr>
      </w:pPr>
    </w:p>
    <w:p w:rsidR="00833B8F" w:rsidRPr="00CC4688" w:rsidP="00833B8F" w14:paraId="3D4D043C" w14:textId="6E6549B0">
      <w:pPr>
        <w:keepNext/>
        <w:spacing w:before="60" w:line="259" w:lineRule="auto"/>
        <w:ind w:left="360"/>
        <w:rPr>
          <w:rFonts w:eastAsia="Calibri"/>
          <w:sz w:val="24"/>
          <w:szCs w:val="24"/>
        </w:rPr>
      </w:pPr>
      <w:r w:rsidRPr="00CC4688">
        <w:rPr>
          <w:rFonts w:eastAsia="Calibri"/>
          <w:sz w:val="24"/>
          <w:szCs w:val="24"/>
        </w:rPr>
        <w:t xml:space="preserve">Each grantee will be assigned a unique ID allowing it access to the survey and to track their responses. They will be able to save an unfinished survey and return to it later using their ID. The link to the survey will be released by email. Contractor staff will be available during normal business hours to provide support to the grantees during survey fielding, including for example  content questions, browser issues and software problems. </w:t>
      </w:r>
    </w:p>
    <w:p w:rsidR="00833B8F" w:rsidRPr="00CC4688" w:rsidP="00833B8F" w14:paraId="4EA83695" w14:textId="77777777">
      <w:pPr>
        <w:keepNext/>
        <w:spacing w:before="60" w:line="259" w:lineRule="auto"/>
        <w:ind w:left="360"/>
        <w:rPr>
          <w:rFonts w:eastAsia="Calibri"/>
          <w:sz w:val="24"/>
          <w:szCs w:val="24"/>
        </w:rPr>
      </w:pPr>
      <w:r w:rsidRPr="00CC4688">
        <w:rPr>
          <w:rFonts w:eastAsia="Calibri"/>
          <w:sz w:val="24"/>
          <w:szCs w:val="24"/>
        </w:rPr>
        <w:t>Electronic delivery of the survey, with the features described above, will minimize respondent burden, promote high-quality data by preventing skip-pattern errors and omitted responses, and will minimize the need to contact respondents to clarify their responses.</w:t>
      </w:r>
    </w:p>
    <w:p w:rsidR="00833B8F" w:rsidRPr="00CC4688" w14:paraId="7669C762" w14:textId="77777777">
      <w:pPr>
        <w:tabs>
          <w:tab w:val="left" w:pos="360"/>
        </w:tabs>
        <w:ind w:left="360" w:hanging="360"/>
        <w:rPr>
          <w:sz w:val="24"/>
          <w:szCs w:val="24"/>
        </w:rPr>
      </w:pPr>
    </w:p>
    <w:p w:rsidR="009E13B1" w:rsidRPr="00DC4DAF" w14:paraId="1C0AE1D0" w14:textId="77777777">
      <w:pPr>
        <w:keepLines/>
        <w:tabs>
          <w:tab w:val="left" w:pos="360"/>
        </w:tabs>
        <w:spacing w:after="80"/>
        <w:ind w:left="360" w:hanging="360"/>
        <w:rPr>
          <w:b/>
          <w:bCs/>
          <w:sz w:val="24"/>
          <w:szCs w:val="24"/>
        </w:rPr>
      </w:pPr>
      <w:r w:rsidRPr="00DC4DAF">
        <w:rPr>
          <w:b/>
          <w:bCs/>
          <w:sz w:val="24"/>
          <w:szCs w:val="24"/>
        </w:rPr>
        <w:t>4.</w:t>
      </w:r>
      <w:r w:rsidRPr="00DC4DAF">
        <w:rPr>
          <w:b/>
          <w:bCs/>
          <w:sz w:val="24"/>
          <w:szCs w:val="24"/>
        </w:rPr>
        <w:tab/>
        <w:t>Describe efforts to identify duplication.  Show specifically why any similar information already available cannot be used or modified for use for the purposes described in Item 2 above.</w:t>
      </w:r>
    </w:p>
    <w:p w:rsidR="009E13B1" w:rsidRPr="00CC4688" w:rsidP="00DC4DAF" w14:paraId="68859B10" w14:textId="77777777">
      <w:pPr>
        <w:pStyle w:val="NoSpacing"/>
      </w:pPr>
    </w:p>
    <w:p w:rsidR="00833B8F" w:rsidRPr="00CC4688" w:rsidP="00833B8F" w14:paraId="024C230D" w14:textId="77777777">
      <w:pPr>
        <w:pStyle w:val="BodyText22"/>
        <w:widowControl/>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rFonts w:ascii="Times New Roman" w:hAnsi="Times New Roman" w:cs="Times New Roman"/>
          <w:b w:val="0"/>
          <w:sz w:val="24"/>
          <w:szCs w:val="24"/>
        </w:rPr>
      </w:pPr>
      <w:r w:rsidRPr="00CC4688">
        <w:rPr>
          <w:rFonts w:ascii="Times New Roman" w:hAnsi="Times New Roman" w:cs="Times New Roman"/>
          <w:b w:val="0"/>
          <w:sz w:val="24"/>
          <w:szCs w:val="24"/>
        </w:rPr>
        <w:t>Similar information available from the first National Evaluation cannot be effectively used or modified for purposes of designing a new evaluation for many reasons:</w:t>
      </w:r>
    </w:p>
    <w:p w:rsidR="00833B8F" w:rsidRPr="00CC4688" w:rsidP="00833B8F" w14:paraId="3DE94D2A" w14:textId="77777777">
      <w:pPr>
        <w:pStyle w:val="BodyText22"/>
        <w:widowControl/>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rFonts w:ascii="Times New Roman" w:hAnsi="Times New Roman" w:cs="Times New Roman"/>
          <w:b w:val="0"/>
          <w:sz w:val="24"/>
          <w:szCs w:val="24"/>
        </w:rPr>
      </w:pPr>
    </w:p>
    <w:p w:rsidR="00833B8F" w:rsidRPr="00CC4688" w:rsidP="00B73581" w14:paraId="3A421AE1" w14:textId="77777777">
      <w:pPr>
        <w:pStyle w:val="BodyText22"/>
        <w:widowControl/>
        <w:numPr>
          <w:ilvl w:val="0"/>
          <w:numId w:val="26"/>
        </w:numPr>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cs="Times New Roman"/>
          <w:b w:val="0"/>
          <w:sz w:val="24"/>
          <w:szCs w:val="24"/>
        </w:rPr>
      </w:pPr>
      <w:r w:rsidRPr="00CC4688">
        <w:rPr>
          <w:rFonts w:ascii="Times New Roman" w:hAnsi="Times New Roman" w:cs="Times New Roman"/>
          <w:b w:val="0"/>
          <w:sz w:val="24"/>
          <w:szCs w:val="24"/>
        </w:rPr>
        <w:t>The National Evaluation was conducted almost 30 years ago.</w:t>
      </w:r>
    </w:p>
    <w:p w:rsidR="00833B8F" w:rsidRPr="00CC4688" w:rsidP="00B73581" w14:paraId="150DF352" w14:textId="77777777">
      <w:pPr>
        <w:pStyle w:val="BodyText22"/>
        <w:widowControl/>
        <w:numPr>
          <w:ilvl w:val="0"/>
          <w:numId w:val="26"/>
        </w:numPr>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cs="Times New Roman"/>
          <w:b w:val="0"/>
          <w:sz w:val="24"/>
          <w:szCs w:val="24"/>
        </w:rPr>
      </w:pPr>
      <w:r w:rsidRPr="00CC4688">
        <w:rPr>
          <w:rFonts w:ascii="Times New Roman" w:hAnsi="Times New Roman" w:cs="Times New Roman"/>
          <w:b w:val="0"/>
          <w:sz w:val="24"/>
          <w:szCs w:val="24"/>
        </w:rPr>
        <w:t>Lead dust action levels have been reduced substantially since the 1990s, rendering the design and many of the conclusions of the National Evaluation out of date.</w:t>
      </w:r>
    </w:p>
    <w:p w:rsidR="00833B8F" w:rsidRPr="00CC4688" w:rsidP="00B73581" w14:paraId="533C5280" w14:textId="77777777">
      <w:pPr>
        <w:pStyle w:val="BodyText22"/>
        <w:widowControl/>
        <w:numPr>
          <w:ilvl w:val="0"/>
          <w:numId w:val="26"/>
        </w:numPr>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cs="Times New Roman"/>
          <w:b w:val="0"/>
          <w:sz w:val="24"/>
          <w:szCs w:val="24"/>
        </w:rPr>
      </w:pPr>
      <w:r w:rsidRPr="00CC4688">
        <w:rPr>
          <w:rFonts w:ascii="Times New Roman" w:hAnsi="Times New Roman" w:cs="Times New Roman"/>
          <w:b w:val="0"/>
          <w:sz w:val="24"/>
          <w:szCs w:val="24"/>
        </w:rPr>
        <w:t>Children’s blood lead levels and CDC’s Blood Lead Reference Value have decreased since the 1990s, making the National Evaluation’s conclusions concerning the impact of lead hazard control on blood lead levels inapplicable to current conditions.</w:t>
      </w:r>
    </w:p>
    <w:p w:rsidR="00833B8F" w:rsidRPr="00CC4688" w:rsidP="00B73581" w14:paraId="4C35DDCD" w14:textId="77777777">
      <w:pPr>
        <w:pStyle w:val="BodyText22"/>
        <w:widowControl/>
        <w:numPr>
          <w:ilvl w:val="0"/>
          <w:numId w:val="26"/>
        </w:numPr>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cs="Times New Roman"/>
          <w:b w:val="0"/>
          <w:sz w:val="24"/>
          <w:szCs w:val="24"/>
        </w:rPr>
      </w:pPr>
      <w:r w:rsidRPr="00CC4688">
        <w:rPr>
          <w:rFonts w:ascii="Times New Roman" w:hAnsi="Times New Roman" w:cs="Times New Roman"/>
          <w:b w:val="0"/>
          <w:sz w:val="24"/>
          <w:szCs w:val="24"/>
        </w:rPr>
        <w:t>The National Evaluation did not consider healthy homes hazards other than lead. OLHCHH’s focus now includes a broad range of hazards to promote a holistic approach to improving the health and safety of low-income families in their homes.</w:t>
      </w:r>
    </w:p>
    <w:p w:rsidR="00833B8F" w:rsidRPr="00CC4688" w:rsidP="00833B8F" w14:paraId="498AF17D" w14:textId="77777777">
      <w:pPr>
        <w:pStyle w:val="BodyText22"/>
        <w:widowControl/>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Times New Roman" w:hAnsi="Times New Roman" w:cs="Times New Roman"/>
          <w:b w:val="0"/>
          <w:sz w:val="24"/>
          <w:szCs w:val="24"/>
        </w:rPr>
      </w:pPr>
    </w:p>
    <w:p w:rsidR="00833B8F" w:rsidRPr="00CC4688" w:rsidP="00833B8F" w14:paraId="725F3773" w14:textId="77777777">
      <w:pPr>
        <w:pStyle w:val="BodyText22"/>
        <w:widowControl/>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Times New Roman" w:hAnsi="Times New Roman" w:cs="Times New Roman"/>
          <w:b w:val="0"/>
          <w:sz w:val="24"/>
          <w:szCs w:val="24"/>
        </w:rPr>
      </w:pPr>
      <w:r w:rsidRPr="00CC4688">
        <w:rPr>
          <w:rFonts w:ascii="Times New Roman" w:hAnsi="Times New Roman" w:cs="Times New Roman"/>
          <w:b w:val="0"/>
          <w:sz w:val="24"/>
          <w:szCs w:val="24"/>
        </w:rPr>
        <w:t>The LHR grantee survey design was reviewed by the following individuals, to assure lack of duplication with other data sources:</w:t>
      </w:r>
    </w:p>
    <w:p w:rsidR="00833B8F" w:rsidRPr="00CC4688" w:rsidP="00833B8F" w14:paraId="49DF3E53" w14:textId="77777777">
      <w:pPr>
        <w:tabs>
          <w:tab w:val="left" w:pos="360"/>
          <w:tab w:val="left" w:pos="3600"/>
        </w:tabs>
        <w:ind w:left="360"/>
        <w:rPr>
          <w:rFonts w:ascii="Arial" w:hAnsi="Arial" w:cs="Univers"/>
          <w:b/>
          <w:bCs/>
          <w:sz w:val="24"/>
          <w:szCs w:val="24"/>
        </w:rPr>
      </w:pPr>
    </w:p>
    <w:p w:rsidR="00833B8F" w:rsidRPr="00CC4688" w:rsidP="00DC4DAF" w14:paraId="1466C042" w14:textId="0B0877A9">
      <w:pPr>
        <w:tabs>
          <w:tab w:val="left" w:pos="360"/>
          <w:tab w:val="left" w:pos="3420"/>
        </w:tabs>
        <w:rPr>
          <w:rFonts w:ascii="Arial" w:hAnsi="Arial" w:cs="Univers"/>
          <w:b/>
          <w:bCs/>
          <w:sz w:val="24"/>
          <w:szCs w:val="24"/>
        </w:rPr>
      </w:pPr>
      <w:r>
        <w:rPr>
          <w:rFonts w:ascii="Arial" w:hAnsi="Arial" w:cs="Univers"/>
          <w:b/>
          <w:bCs/>
          <w:sz w:val="24"/>
          <w:szCs w:val="24"/>
        </w:rPr>
        <w:tab/>
        <w:t xml:space="preserve">           </w:t>
      </w:r>
      <w:r w:rsidRPr="00CC4688">
        <w:rPr>
          <w:rFonts w:ascii="Arial" w:hAnsi="Arial" w:cs="Univers"/>
          <w:b/>
          <w:bCs/>
          <w:sz w:val="24"/>
          <w:szCs w:val="24"/>
        </w:rPr>
        <w:t>Name</w:t>
      </w:r>
      <w:r w:rsidRPr="00CC4688">
        <w:rPr>
          <w:rFonts w:ascii="Arial" w:hAnsi="Arial" w:cs="Univers"/>
          <w:b/>
          <w:bCs/>
          <w:sz w:val="24"/>
          <w:szCs w:val="24"/>
        </w:rPr>
        <w:tab/>
      </w:r>
      <w:r>
        <w:rPr>
          <w:rFonts w:ascii="Arial" w:hAnsi="Arial" w:cs="Univers"/>
          <w:b/>
          <w:bCs/>
          <w:sz w:val="24"/>
          <w:szCs w:val="24"/>
        </w:rPr>
        <w:tab/>
      </w:r>
      <w:r>
        <w:rPr>
          <w:rFonts w:ascii="Arial" w:hAnsi="Arial" w:cs="Univers"/>
          <w:b/>
          <w:bCs/>
          <w:sz w:val="24"/>
          <w:szCs w:val="24"/>
        </w:rPr>
        <w:tab/>
      </w:r>
      <w:r w:rsidRPr="00CC4688">
        <w:rPr>
          <w:rFonts w:ascii="Arial" w:hAnsi="Arial" w:cs="Univers"/>
          <w:b/>
          <w:bCs/>
          <w:sz w:val="24"/>
          <w:szCs w:val="24"/>
        </w:rPr>
        <w:t>Affiliation</w:t>
      </w:r>
    </w:p>
    <w:p w:rsidR="00833B8F" w:rsidRPr="00CC4688" w:rsidP="00DC4DAF" w14:paraId="44EA701B" w14:textId="06B008D6">
      <w:pPr>
        <w:tabs>
          <w:tab w:val="left" w:pos="360"/>
          <w:tab w:val="left" w:pos="3420"/>
        </w:tabs>
        <w:ind w:left="1080"/>
        <w:rPr>
          <w:sz w:val="24"/>
          <w:szCs w:val="24"/>
        </w:rPr>
      </w:pPr>
      <w:r w:rsidRPr="00CC4688">
        <w:rPr>
          <w:sz w:val="24"/>
          <w:szCs w:val="24"/>
        </w:rPr>
        <w:t>Warren Friedman, Ph.D.</w:t>
      </w:r>
      <w:r w:rsidRPr="00CC4688">
        <w:rPr>
          <w:sz w:val="24"/>
          <w:szCs w:val="24"/>
        </w:rPr>
        <w:tab/>
      </w:r>
      <w:r w:rsidR="00DC4DAF">
        <w:rPr>
          <w:sz w:val="24"/>
          <w:szCs w:val="24"/>
        </w:rPr>
        <w:tab/>
      </w:r>
      <w:r w:rsidRPr="00CC4688">
        <w:rPr>
          <w:sz w:val="24"/>
          <w:szCs w:val="24"/>
        </w:rPr>
        <w:t>HUD/Office of Lead Hazard Control and Healthy Homes</w:t>
      </w:r>
    </w:p>
    <w:p w:rsidR="00833B8F" w:rsidRPr="00CC4688" w:rsidP="00DC4DAF" w14:paraId="70DB8443" w14:textId="2A4FAF9E">
      <w:pPr>
        <w:tabs>
          <w:tab w:val="left" w:pos="360"/>
          <w:tab w:val="left" w:pos="3420"/>
        </w:tabs>
        <w:ind w:left="1080"/>
        <w:rPr>
          <w:sz w:val="24"/>
          <w:szCs w:val="24"/>
        </w:rPr>
      </w:pPr>
      <w:r w:rsidRPr="00CC4688">
        <w:rPr>
          <w:sz w:val="24"/>
          <w:szCs w:val="24"/>
        </w:rPr>
        <w:t>Eugene Pinzer, MS</w:t>
      </w:r>
      <w:r w:rsidRPr="00CC4688">
        <w:rPr>
          <w:sz w:val="24"/>
          <w:szCs w:val="24"/>
        </w:rPr>
        <w:tab/>
      </w:r>
      <w:r w:rsidR="00DC4DAF">
        <w:rPr>
          <w:sz w:val="24"/>
          <w:szCs w:val="24"/>
        </w:rPr>
        <w:tab/>
      </w:r>
      <w:r w:rsidR="00DC4DAF">
        <w:rPr>
          <w:sz w:val="24"/>
          <w:szCs w:val="24"/>
        </w:rPr>
        <w:tab/>
      </w:r>
      <w:r w:rsidRPr="00CC4688">
        <w:rPr>
          <w:sz w:val="24"/>
          <w:szCs w:val="24"/>
        </w:rPr>
        <w:t>HUD/Office of Lead Hazard Control and Healthy Homes</w:t>
      </w:r>
    </w:p>
    <w:p w:rsidR="00833B8F" w:rsidRPr="00CC4688" w:rsidP="00DC4DAF" w14:paraId="306DF0FB" w14:textId="4E110AE0">
      <w:pPr>
        <w:tabs>
          <w:tab w:val="left" w:pos="360"/>
          <w:tab w:val="left" w:pos="3420"/>
        </w:tabs>
        <w:ind w:left="1080"/>
        <w:rPr>
          <w:sz w:val="24"/>
          <w:szCs w:val="24"/>
        </w:rPr>
      </w:pPr>
      <w:r w:rsidRPr="00CC4688">
        <w:rPr>
          <w:sz w:val="24"/>
          <w:szCs w:val="24"/>
        </w:rPr>
        <w:t>Brenda Reyes, MD, MPH</w:t>
      </w:r>
      <w:r w:rsidRPr="00CC4688">
        <w:rPr>
          <w:sz w:val="24"/>
          <w:szCs w:val="24"/>
        </w:rPr>
        <w:tab/>
      </w:r>
      <w:r w:rsidR="00DC4DAF">
        <w:rPr>
          <w:sz w:val="24"/>
          <w:szCs w:val="24"/>
        </w:rPr>
        <w:tab/>
      </w:r>
      <w:r w:rsidRPr="00CC4688">
        <w:rPr>
          <w:sz w:val="24"/>
          <w:szCs w:val="24"/>
        </w:rPr>
        <w:t>HUD/Office of Lead Hazard Control and Healthy Homes</w:t>
      </w:r>
      <w:r w:rsidRPr="00CC4688">
        <w:rPr>
          <w:sz w:val="24"/>
          <w:szCs w:val="24"/>
        </w:rPr>
        <w:tab/>
      </w:r>
    </w:p>
    <w:p w:rsidR="00833B8F" w:rsidRPr="00CC4688" w:rsidP="00DC4DAF" w14:paraId="04C2A3BB" w14:textId="37C1642F">
      <w:pPr>
        <w:tabs>
          <w:tab w:val="left" w:pos="360"/>
          <w:tab w:val="left" w:pos="3420"/>
        </w:tabs>
        <w:ind w:left="1080"/>
        <w:rPr>
          <w:sz w:val="24"/>
          <w:szCs w:val="24"/>
        </w:rPr>
      </w:pPr>
      <w:r w:rsidRPr="00CC4688">
        <w:rPr>
          <w:sz w:val="24"/>
          <w:szCs w:val="24"/>
        </w:rPr>
        <w:t>David Cox, Ph.D.</w:t>
      </w:r>
      <w:r w:rsidRPr="00CC4688">
        <w:rPr>
          <w:sz w:val="24"/>
          <w:szCs w:val="24"/>
        </w:rPr>
        <w:tab/>
      </w:r>
      <w:r w:rsidR="00DC4DAF">
        <w:rPr>
          <w:sz w:val="24"/>
          <w:szCs w:val="24"/>
        </w:rPr>
        <w:tab/>
      </w:r>
      <w:r w:rsidR="00DC4DAF">
        <w:rPr>
          <w:sz w:val="24"/>
          <w:szCs w:val="24"/>
        </w:rPr>
        <w:tab/>
      </w:r>
      <w:r w:rsidRPr="00CC4688">
        <w:rPr>
          <w:sz w:val="24"/>
          <w:szCs w:val="24"/>
        </w:rPr>
        <w:t>QuanTech (HUD’s implementation Contractor)</w:t>
      </w:r>
    </w:p>
    <w:p w:rsidR="00833B8F" w:rsidRPr="00CC4688" w:rsidP="00DC4DAF" w14:paraId="3A0FE88B" w14:textId="0D2CCEDC">
      <w:pPr>
        <w:tabs>
          <w:tab w:val="left" w:pos="360"/>
          <w:tab w:val="left" w:pos="3420"/>
        </w:tabs>
        <w:ind w:left="1080"/>
        <w:rPr>
          <w:sz w:val="24"/>
          <w:szCs w:val="24"/>
        </w:rPr>
      </w:pPr>
      <w:r w:rsidRPr="00CC4688">
        <w:rPr>
          <w:sz w:val="24"/>
          <w:szCs w:val="24"/>
        </w:rPr>
        <w:t>Gary Dewalt, Ph.D.</w:t>
      </w:r>
      <w:r w:rsidRPr="00CC4688">
        <w:rPr>
          <w:sz w:val="24"/>
          <w:szCs w:val="24"/>
        </w:rPr>
        <w:tab/>
      </w:r>
      <w:r w:rsidR="00DC4DAF">
        <w:rPr>
          <w:sz w:val="24"/>
          <w:szCs w:val="24"/>
        </w:rPr>
        <w:tab/>
      </w:r>
      <w:r w:rsidR="00DC4DAF">
        <w:rPr>
          <w:sz w:val="24"/>
          <w:szCs w:val="24"/>
        </w:rPr>
        <w:tab/>
      </w:r>
      <w:r w:rsidRPr="00CC4688">
        <w:rPr>
          <w:sz w:val="24"/>
          <w:szCs w:val="24"/>
        </w:rPr>
        <w:t>QuanTech</w:t>
      </w:r>
    </w:p>
    <w:p w:rsidR="00833B8F" w:rsidRPr="00CC4688" w14:paraId="74952F19" w14:textId="77777777">
      <w:pPr>
        <w:keepLines/>
        <w:tabs>
          <w:tab w:val="left" w:pos="360"/>
          <w:tab w:val="left" w:pos="720"/>
        </w:tabs>
        <w:ind w:left="360"/>
        <w:rPr>
          <w:sz w:val="24"/>
          <w:szCs w:val="24"/>
        </w:rPr>
      </w:pPr>
    </w:p>
    <w:p w:rsidR="009E13B1" w:rsidRPr="00DC4DAF" w14:paraId="689A9EFC" w14:textId="77777777">
      <w:pPr>
        <w:keepLines/>
        <w:tabs>
          <w:tab w:val="left" w:pos="360"/>
        </w:tabs>
        <w:spacing w:after="80"/>
        <w:ind w:left="360" w:hanging="360"/>
        <w:rPr>
          <w:b/>
          <w:bCs/>
          <w:sz w:val="24"/>
          <w:szCs w:val="24"/>
        </w:rPr>
      </w:pPr>
      <w:r w:rsidRPr="00DC4DAF">
        <w:rPr>
          <w:b/>
          <w:bCs/>
          <w:sz w:val="24"/>
          <w:szCs w:val="24"/>
        </w:rPr>
        <w:t>5.</w:t>
      </w:r>
      <w:r w:rsidRPr="00DC4DAF">
        <w:rPr>
          <w:b/>
          <w:bCs/>
          <w:sz w:val="24"/>
          <w:szCs w:val="24"/>
        </w:rPr>
        <w:tab/>
        <w:t>If the collection of information impacts small businesses or other small entities describe any methods used to minimize burden.</w:t>
      </w:r>
    </w:p>
    <w:p w:rsidR="009E13B1" w:rsidRPr="00CC4688" w14:paraId="0ED21226" w14:textId="77777777">
      <w:pPr>
        <w:tabs>
          <w:tab w:val="left" w:pos="360"/>
        </w:tabs>
        <w:ind w:left="360" w:hanging="360"/>
        <w:rPr>
          <w:sz w:val="24"/>
          <w:szCs w:val="24"/>
        </w:rPr>
      </w:pPr>
    </w:p>
    <w:p w:rsidR="00833B8F" w:rsidRPr="00CC4688" w:rsidP="00833B8F" w14:paraId="6CF9447B" w14:textId="77777777">
      <w:pPr>
        <w:ind w:left="360"/>
        <w:rPr>
          <w:sz w:val="24"/>
          <w:szCs w:val="24"/>
        </w:rPr>
      </w:pPr>
      <w:r w:rsidRPr="00CC4688">
        <w:rPr>
          <w:sz w:val="24"/>
          <w:szCs w:val="24"/>
        </w:rPr>
        <w:t>The collection of this information does not directly impact small businesses or small entities.</w:t>
      </w:r>
    </w:p>
    <w:p w:rsidR="00833B8F" w:rsidRPr="00CC4688" w14:paraId="02BECE34" w14:textId="77777777">
      <w:pPr>
        <w:tabs>
          <w:tab w:val="left" w:pos="360"/>
        </w:tabs>
        <w:ind w:left="360" w:hanging="360"/>
        <w:rPr>
          <w:sz w:val="24"/>
          <w:szCs w:val="24"/>
        </w:rPr>
      </w:pPr>
    </w:p>
    <w:p w:rsidR="009E13B1" w:rsidRPr="00DC4DAF" w14:paraId="2C0F0529" w14:textId="77777777">
      <w:pPr>
        <w:keepLines/>
        <w:tabs>
          <w:tab w:val="left" w:pos="360"/>
        </w:tabs>
        <w:spacing w:after="80"/>
        <w:ind w:left="360" w:hanging="360"/>
        <w:rPr>
          <w:b/>
          <w:bCs/>
          <w:sz w:val="24"/>
          <w:szCs w:val="24"/>
        </w:rPr>
      </w:pPr>
      <w:r w:rsidRPr="00DC4DAF">
        <w:rPr>
          <w:b/>
          <w:bCs/>
          <w:sz w:val="24"/>
          <w:szCs w:val="24"/>
        </w:rPr>
        <w:t>6.</w:t>
      </w:r>
      <w:r w:rsidRPr="00DC4DAF">
        <w:rPr>
          <w:b/>
          <w:bCs/>
          <w:sz w:val="24"/>
          <w:szCs w:val="24"/>
        </w:rPr>
        <w:tab/>
        <w:t>Describe the consequence to Federal program or policy activities if the collection is not conducted or is conducted less frequently, as well as any technical or legal obstacles to reducing burden.</w:t>
      </w:r>
    </w:p>
    <w:p w:rsidR="009E13B1" w:rsidRPr="00CC4688" w:rsidP="00DC4DAF" w14:paraId="5745C910" w14:textId="77777777">
      <w:pPr>
        <w:pStyle w:val="NoSpacing"/>
      </w:pPr>
    </w:p>
    <w:p w:rsidR="00833B8F" w:rsidRPr="00CC4688" w:rsidP="00833B8F" w14:paraId="471D7309" w14:textId="77777777">
      <w:pPr>
        <w:pStyle w:val="BodyText"/>
        <w:spacing w:line="247" w:lineRule="auto"/>
        <w:ind w:left="360" w:right="512"/>
        <w:rPr>
          <w:color w:val="080808"/>
          <w:w w:val="105"/>
        </w:rPr>
      </w:pPr>
      <w:r w:rsidRPr="00CC4688">
        <w:rPr>
          <w:color w:val="080808"/>
          <w:w w:val="105"/>
        </w:rPr>
        <w:t>As detailed in Section 1.2 above, the purpose of this information collection is to gather data needed to inform the design of a new National Evaluation of HUD’s Lead Hazard Reduction Grant Programs. If the information is not collected, an efficient and properly targeted design will not be possible:</w:t>
      </w:r>
    </w:p>
    <w:p w:rsidR="00833B8F" w:rsidRPr="00CC4688" w:rsidP="00B73581" w14:paraId="4FD2F443" w14:textId="77777777">
      <w:pPr>
        <w:pStyle w:val="BodyText"/>
        <w:numPr>
          <w:ilvl w:val="0"/>
          <w:numId w:val="28"/>
        </w:numPr>
        <w:spacing w:line="247" w:lineRule="auto"/>
        <w:ind w:right="512"/>
        <w:rPr>
          <w:color w:val="080808"/>
          <w:w w:val="105"/>
        </w:rPr>
      </w:pPr>
      <w:r w:rsidRPr="00CC4688">
        <w:rPr>
          <w:color w:val="080808"/>
          <w:w w:val="105"/>
        </w:rPr>
        <w:t>The sample of grantees selected for the evaluation may not adequately represent the housing in which the most important LHR and healthy homes interventions are performed.</w:t>
      </w:r>
    </w:p>
    <w:p w:rsidR="00833B8F" w:rsidRPr="00CC4688" w:rsidP="00B73581" w14:paraId="6AF19FEE" w14:textId="77777777">
      <w:pPr>
        <w:pStyle w:val="BodyText"/>
        <w:numPr>
          <w:ilvl w:val="0"/>
          <w:numId w:val="28"/>
        </w:numPr>
        <w:spacing w:line="247" w:lineRule="auto"/>
        <w:ind w:right="512"/>
        <w:rPr>
          <w:color w:val="080808"/>
          <w:w w:val="105"/>
        </w:rPr>
      </w:pPr>
      <w:r w:rsidRPr="00CC4688">
        <w:rPr>
          <w:color w:val="080808"/>
          <w:w w:val="105"/>
        </w:rPr>
        <w:t>The evaluation may duplicate data already being collected by grantees.</w:t>
      </w:r>
    </w:p>
    <w:p w:rsidR="00833B8F" w:rsidRPr="00CC4688" w:rsidP="00B73581" w14:paraId="52915563" w14:textId="77777777">
      <w:pPr>
        <w:pStyle w:val="BodyText"/>
        <w:numPr>
          <w:ilvl w:val="0"/>
          <w:numId w:val="28"/>
        </w:numPr>
        <w:spacing w:line="247" w:lineRule="auto"/>
        <w:ind w:right="512"/>
        <w:rPr>
          <w:color w:val="080808"/>
          <w:w w:val="105"/>
        </w:rPr>
      </w:pPr>
      <w:r w:rsidRPr="00CC4688">
        <w:rPr>
          <w:color w:val="080808"/>
          <w:w w:val="105"/>
        </w:rPr>
        <w:t>The independent Government Cost Estimate may not properly reflect the actual costs to be experienced.</w:t>
      </w:r>
    </w:p>
    <w:p w:rsidR="00833B8F" w:rsidRPr="00CC4688" w:rsidP="00B73581" w14:paraId="2C858E68" w14:textId="77777777">
      <w:pPr>
        <w:pStyle w:val="BodyText"/>
        <w:numPr>
          <w:ilvl w:val="0"/>
          <w:numId w:val="28"/>
        </w:numPr>
        <w:spacing w:line="247" w:lineRule="auto"/>
        <w:ind w:right="512"/>
        <w:rPr>
          <w:color w:val="080808"/>
          <w:w w:val="105"/>
        </w:rPr>
      </w:pPr>
      <w:r w:rsidRPr="00CC4688">
        <w:rPr>
          <w:color w:val="080808"/>
          <w:w w:val="105"/>
        </w:rPr>
        <w:t>The most effective evaluation protocols may not be developed for the evaluation.</w:t>
      </w:r>
    </w:p>
    <w:p w:rsidR="00DC4DAF" w:rsidP="00DC4DAF" w14:paraId="6BED42E9" w14:textId="77777777">
      <w:pPr>
        <w:keepLines/>
        <w:tabs>
          <w:tab w:val="left" w:pos="360"/>
          <w:tab w:val="left" w:pos="720"/>
        </w:tabs>
        <w:rPr>
          <w:color w:val="080808"/>
          <w:w w:val="105"/>
          <w:sz w:val="24"/>
          <w:szCs w:val="24"/>
        </w:rPr>
      </w:pPr>
    </w:p>
    <w:p w:rsidR="00833B8F" w:rsidRPr="00CC4688" w:rsidP="00DC4DAF" w14:paraId="2F754383" w14:textId="395D784E">
      <w:pPr>
        <w:keepLines/>
        <w:tabs>
          <w:tab w:val="left" w:pos="360"/>
          <w:tab w:val="left" w:pos="720"/>
        </w:tabs>
        <w:ind w:left="360"/>
        <w:rPr>
          <w:color w:val="080808"/>
          <w:w w:val="105"/>
          <w:sz w:val="24"/>
          <w:szCs w:val="24"/>
        </w:rPr>
      </w:pPr>
      <w:r w:rsidRPr="00CC4688">
        <w:rPr>
          <w:color w:val="080808"/>
          <w:w w:val="105"/>
          <w:sz w:val="24"/>
          <w:szCs w:val="24"/>
        </w:rPr>
        <w:t>The cost to the Government for this information collection is only a small fraction of the cost of a new National Evaluation. As such, collecting and analyzing this information represents a cost-effective approach to optimizing the design of the evaluation. Errors or inadequacies in the design due to the unavailability of the data to be collected in this survey would likely have significant impacts on the quality, and even the cost, of the new evaluation.</w:t>
      </w:r>
    </w:p>
    <w:p w:rsidR="00833B8F" w:rsidRPr="00CC4688" w:rsidP="00833B8F" w14:paraId="3FDBE4A4" w14:textId="77777777">
      <w:pPr>
        <w:keepLines/>
        <w:tabs>
          <w:tab w:val="left" w:pos="360"/>
          <w:tab w:val="left" w:pos="720"/>
        </w:tabs>
        <w:ind w:left="720"/>
        <w:rPr>
          <w:sz w:val="24"/>
          <w:szCs w:val="24"/>
        </w:rPr>
      </w:pPr>
    </w:p>
    <w:p w:rsidR="00A65F9E" w:rsidRPr="00DC4DAF" w14:paraId="2B3F5C7B" w14:textId="77777777">
      <w:pPr>
        <w:numPr>
          <w:ilvl w:val="0"/>
          <w:numId w:val="13"/>
        </w:numPr>
        <w:tabs>
          <w:tab w:val="left" w:pos="360"/>
        </w:tabs>
        <w:rPr>
          <w:b/>
          <w:bCs/>
          <w:sz w:val="24"/>
          <w:szCs w:val="24"/>
        </w:rPr>
      </w:pPr>
      <w:r w:rsidRPr="00DC4DAF">
        <w:rPr>
          <w:b/>
          <w:bCs/>
          <w:sz w:val="24"/>
          <w:szCs w:val="24"/>
        </w:rPr>
        <w:t>Explain any special circumstances that would cause an information collection to be conducted in a manner:</w:t>
      </w:r>
    </w:p>
    <w:p w:rsidR="009E13B1" w:rsidRPr="00CC4688" w:rsidP="00A65F9E" w14:paraId="38CBA337" w14:textId="77777777">
      <w:pPr>
        <w:tabs>
          <w:tab w:val="left" w:pos="360"/>
        </w:tabs>
        <w:ind w:left="360"/>
        <w:rPr>
          <w:sz w:val="24"/>
          <w:szCs w:val="24"/>
        </w:rPr>
      </w:pPr>
      <w:r w:rsidRPr="00CC4688">
        <w:rPr>
          <w:sz w:val="24"/>
          <w:szCs w:val="24"/>
        </w:rPr>
        <w:t xml:space="preserve"> </w:t>
      </w:r>
    </w:p>
    <w:p w:rsidR="009E13B1" w:rsidRPr="008E57C5" w:rsidP="00DC4DAF" w14:paraId="77414839" w14:textId="6EC29F10">
      <w:pPr>
        <w:pStyle w:val="ListParagraph"/>
        <w:numPr>
          <w:ilvl w:val="0"/>
          <w:numId w:val="24"/>
        </w:numPr>
        <w:rPr>
          <w:sz w:val="24"/>
          <w:szCs w:val="24"/>
        </w:rPr>
      </w:pPr>
      <w:r w:rsidRPr="008E57C5">
        <w:rPr>
          <w:sz w:val="24"/>
          <w:szCs w:val="24"/>
        </w:rPr>
        <w:t xml:space="preserve">requiring respondents to report information to the agency more than quarterly; </w:t>
      </w:r>
      <w:r w:rsidRPr="008E57C5" w:rsidR="00833B8F">
        <w:rPr>
          <w:b/>
          <w:bCs/>
          <w:sz w:val="24"/>
          <w:szCs w:val="24"/>
        </w:rPr>
        <w:t>Not applicable</w:t>
      </w:r>
      <w:r w:rsidRPr="008E57C5" w:rsidR="00833B8F">
        <w:rPr>
          <w:b/>
          <w:bCs/>
          <w:i/>
          <w:iCs/>
          <w:sz w:val="24"/>
          <w:szCs w:val="24"/>
        </w:rPr>
        <w:t>.</w:t>
      </w:r>
    </w:p>
    <w:p w:rsidR="008E57C5" w:rsidRPr="008E57C5" w:rsidP="008E57C5" w14:paraId="0FDD4FCA" w14:textId="77777777">
      <w:pPr>
        <w:pStyle w:val="ListParagraph"/>
        <w:rPr>
          <w:sz w:val="24"/>
          <w:szCs w:val="24"/>
        </w:rPr>
      </w:pPr>
    </w:p>
    <w:p w:rsidR="008E57C5" w:rsidRPr="008E57C5" w:rsidP="008E57C5" w14:paraId="6F478DB0" w14:textId="77777777">
      <w:pPr>
        <w:pStyle w:val="ListParagraph"/>
        <w:numPr>
          <w:ilvl w:val="0"/>
          <w:numId w:val="24"/>
        </w:numPr>
        <w:rPr>
          <w:sz w:val="24"/>
          <w:szCs w:val="24"/>
        </w:rPr>
      </w:pPr>
      <w:r w:rsidRPr="008E57C5">
        <w:rPr>
          <w:sz w:val="24"/>
          <w:szCs w:val="24"/>
        </w:rPr>
        <w:t>requiring respondents to prepare a written response to a collection of information in fewer than 30</w:t>
      </w:r>
      <w:r w:rsidRPr="008E57C5" w:rsidR="00DC4DAF">
        <w:rPr>
          <w:sz w:val="24"/>
          <w:szCs w:val="24"/>
        </w:rPr>
        <w:t xml:space="preserve"> </w:t>
      </w:r>
      <w:r w:rsidRPr="008E57C5">
        <w:rPr>
          <w:sz w:val="24"/>
          <w:szCs w:val="24"/>
        </w:rPr>
        <w:t xml:space="preserve">days after receipt of it; </w:t>
      </w:r>
      <w:r w:rsidRPr="008E57C5" w:rsidR="00833B8F">
        <w:rPr>
          <w:b/>
          <w:bCs/>
          <w:sz w:val="24"/>
          <w:szCs w:val="24"/>
        </w:rPr>
        <w:t>Not applicable</w:t>
      </w:r>
      <w:r w:rsidRPr="008E57C5" w:rsidR="00833B8F">
        <w:rPr>
          <w:b/>
          <w:bCs/>
          <w:i/>
          <w:iCs/>
          <w:sz w:val="24"/>
          <w:szCs w:val="24"/>
        </w:rPr>
        <w:t>.</w:t>
      </w:r>
    </w:p>
    <w:p w:rsidR="008E57C5" w:rsidRPr="008E57C5" w:rsidP="008E57C5" w14:paraId="27137986" w14:textId="77777777">
      <w:pPr>
        <w:pStyle w:val="ListParagraph"/>
        <w:rPr>
          <w:sz w:val="24"/>
          <w:szCs w:val="24"/>
        </w:rPr>
      </w:pPr>
    </w:p>
    <w:p w:rsidR="009E13B1" w:rsidP="008E57C5" w14:paraId="4BDEF174" w14:textId="0BC3BD73">
      <w:pPr>
        <w:pStyle w:val="ListParagraph"/>
        <w:numPr>
          <w:ilvl w:val="0"/>
          <w:numId w:val="24"/>
        </w:numPr>
        <w:rPr>
          <w:sz w:val="24"/>
          <w:szCs w:val="24"/>
        </w:rPr>
      </w:pPr>
      <w:r w:rsidRPr="008E57C5">
        <w:rPr>
          <w:sz w:val="24"/>
          <w:szCs w:val="24"/>
        </w:rPr>
        <w:t xml:space="preserve">requiring respondents to submit more than an original and two copies of any document; </w:t>
      </w:r>
      <w:r w:rsidRPr="008E57C5" w:rsidR="00833B8F">
        <w:rPr>
          <w:b/>
          <w:bCs/>
          <w:sz w:val="24"/>
          <w:szCs w:val="24"/>
        </w:rPr>
        <w:t>Not applicable</w:t>
      </w:r>
      <w:r w:rsidRPr="008E57C5" w:rsidR="00833B8F">
        <w:rPr>
          <w:b/>
          <w:bCs/>
          <w:i/>
          <w:iCs/>
          <w:sz w:val="24"/>
          <w:szCs w:val="24"/>
        </w:rPr>
        <w:t>.</w:t>
      </w:r>
    </w:p>
    <w:p w:rsidR="008E57C5" w:rsidP="008E57C5" w14:paraId="4A251B09" w14:textId="77777777">
      <w:pPr>
        <w:pStyle w:val="NoSpacing"/>
      </w:pPr>
    </w:p>
    <w:p w:rsidR="009E13B1" w:rsidRPr="008E57C5" w:rsidP="00DC4DAF" w14:paraId="6A77FBE6" w14:textId="3ED69BD5">
      <w:pPr>
        <w:pStyle w:val="ListParagraph"/>
        <w:numPr>
          <w:ilvl w:val="0"/>
          <w:numId w:val="24"/>
        </w:numPr>
        <w:rPr>
          <w:sz w:val="24"/>
          <w:szCs w:val="24"/>
        </w:rPr>
      </w:pPr>
      <w:r w:rsidRPr="008E57C5">
        <w:rPr>
          <w:sz w:val="24"/>
          <w:szCs w:val="24"/>
        </w:rPr>
        <w:t xml:space="preserve">requiring respondents to retain records other than health, medical, government contract, grant-in-aid, or tax records for more than three years; </w:t>
      </w:r>
      <w:r w:rsidRPr="008E57C5" w:rsidR="00833B8F">
        <w:rPr>
          <w:b/>
          <w:bCs/>
          <w:sz w:val="24"/>
          <w:szCs w:val="24"/>
        </w:rPr>
        <w:t>Not applicable</w:t>
      </w:r>
      <w:r w:rsidRPr="008E57C5" w:rsidR="00833B8F">
        <w:rPr>
          <w:b/>
          <w:bCs/>
          <w:i/>
          <w:iCs/>
          <w:sz w:val="24"/>
          <w:szCs w:val="24"/>
        </w:rPr>
        <w:t>.</w:t>
      </w:r>
    </w:p>
    <w:p w:rsidR="008E57C5" w:rsidP="008E57C5" w14:paraId="15564D38" w14:textId="77777777">
      <w:pPr>
        <w:pStyle w:val="ListParagraph"/>
        <w:rPr>
          <w:sz w:val="24"/>
          <w:szCs w:val="24"/>
        </w:rPr>
      </w:pPr>
    </w:p>
    <w:p w:rsidR="009E13B1" w:rsidRPr="008E57C5" w:rsidP="00DC4DAF" w14:paraId="73DB0897" w14:textId="2943490D">
      <w:pPr>
        <w:pStyle w:val="ListParagraph"/>
        <w:numPr>
          <w:ilvl w:val="0"/>
          <w:numId w:val="24"/>
        </w:numPr>
        <w:rPr>
          <w:sz w:val="24"/>
          <w:szCs w:val="24"/>
        </w:rPr>
      </w:pPr>
      <w:r w:rsidRPr="008E57C5">
        <w:rPr>
          <w:sz w:val="24"/>
          <w:szCs w:val="24"/>
        </w:rPr>
        <w:t xml:space="preserve">in connection with a statistical survey, that is not designed to produce valid and reliable results than can be generalized to the universe of study; </w:t>
      </w:r>
    </w:p>
    <w:p w:rsidR="00833B8F" w:rsidRPr="008E57C5" w:rsidP="008E57C5" w14:paraId="389995F7" w14:textId="77777777">
      <w:pPr>
        <w:pStyle w:val="NoSpacing"/>
      </w:pPr>
    </w:p>
    <w:p w:rsidR="00833B8F" w:rsidRPr="008E57C5" w:rsidP="008E57C5" w14:paraId="21B1790F" w14:textId="3C0C22A3">
      <w:pPr>
        <w:pStyle w:val="ListParagraph"/>
        <w:rPr>
          <w:sz w:val="24"/>
          <w:szCs w:val="24"/>
        </w:rPr>
      </w:pPr>
      <w:r w:rsidRPr="008E57C5">
        <w:rPr>
          <w:sz w:val="24"/>
          <w:szCs w:val="24"/>
        </w:rPr>
        <w:t>This study is designed as a census of virtually all respondents, i.e., all active LHR grantees in the major LHR grant program categories (over 96 percent of LHR grantees).</w:t>
      </w:r>
    </w:p>
    <w:p w:rsidR="00833B8F" w:rsidRPr="008E57C5" w:rsidP="008E57C5" w14:paraId="291EB308" w14:textId="77777777">
      <w:pPr>
        <w:pStyle w:val="NoSpacing"/>
      </w:pPr>
    </w:p>
    <w:p w:rsidR="00A65F9E" w:rsidRPr="008E57C5" w:rsidP="00DC4DAF" w14:paraId="34E5913A" w14:textId="756BF2F0">
      <w:pPr>
        <w:pStyle w:val="ListParagraph"/>
        <w:numPr>
          <w:ilvl w:val="0"/>
          <w:numId w:val="24"/>
        </w:numPr>
        <w:rPr>
          <w:sz w:val="24"/>
          <w:szCs w:val="24"/>
        </w:rPr>
      </w:pPr>
      <w:r w:rsidRPr="008E57C5">
        <w:rPr>
          <w:sz w:val="24"/>
          <w:szCs w:val="24"/>
        </w:rPr>
        <w:t>requiring the use of a statistical data classification that has not been reviewed and approved by OMB;</w:t>
      </w:r>
      <w:r w:rsidRPr="008E57C5" w:rsidR="00833B8F">
        <w:rPr>
          <w:sz w:val="24"/>
          <w:szCs w:val="24"/>
        </w:rPr>
        <w:t xml:space="preserve"> </w:t>
      </w:r>
      <w:r w:rsidRPr="008E57C5" w:rsidR="00833B8F">
        <w:rPr>
          <w:b/>
          <w:bCs/>
          <w:sz w:val="24"/>
          <w:szCs w:val="24"/>
        </w:rPr>
        <w:t>Not applicable.</w:t>
      </w:r>
    </w:p>
    <w:p w:rsidR="008E57C5" w:rsidP="008E57C5" w14:paraId="7F4DE946" w14:textId="77777777">
      <w:pPr>
        <w:pStyle w:val="ListParagraph"/>
        <w:rPr>
          <w:sz w:val="24"/>
          <w:szCs w:val="24"/>
        </w:rPr>
      </w:pPr>
    </w:p>
    <w:p w:rsidR="00DC4DAF" w:rsidRPr="008E57C5" w:rsidP="00DC4DAF" w14:paraId="7707D6DA" w14:textId="2ADD1A7D">
      <w:pPr>
        <w:pStyle w:val="ListParagraph"/>
        <w:numPr>
          <w:ilvl w:val="0"/>
          <w:numId w:val="24"/>
        </w:numPr>
        <w:rPr>
          <w:sz w:val="24"/>
          <w:szCs w:val="24"/>
        </w:rPr>
      </w:pPr>
      <w:r w:rsidRPr="008E57C5">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C4DAF" w:rsidRPr="008E57C5" w:rsidP="00DC4DAF" w14:paraId="2657AC8D" w14:textId="77777777">
      <w:pPr>
        <w:rPr>
          <w:sz w:val="24"/>
          <w:szCs w:val="24"/>
        </w:rPr>
      </w:pPr>
    </w:p>
    <w:p w:rsidR="00833B8F" w:rsidRPr="008E57C5" w:rsidP="008E57C5" w14:paraId="3200A975" w14:textId="02CA4F7A">
      <w:pPr>
        <w:pStyle w:val="ListParagraph"/>
        <w:rPr>
          <w:sz w:val="24"/>
          <w:szCs w:val="24"/>
        </w:rPr>
      </w:pPr>
      <w:r w:rsidRPr="008E57C5">
        <w:rPr>
          <w:sz w:val="24"/>
          <w:szCs w:val="24"/>
        </w:rPr>
        <w:t>No pledge of confidentiality is included; the information collected contains certain information the release of which to the public is covered by Exemption 6 of the Freedom of Information Act (FOIA)</w:t>
      </w:r>
      <w:r>
        <w:rPr>
          <w:sz w:val="24"/>
          <w:szCs w:val="24"/>
          <w:vertAlign w:val="superscript"/>
        </w:rPr>
        <w:footnoteReference w:id="17"/>
      </w:r>
      <w:r w:rsidRPr="008E57C5">
        <w:rPr>
          <w:sz w:val="24"/>
          <w:szCs w:val="24"/>
        </w:rPr>
        <w:t>.  Requests for exempted information collected by this survey would be treated as are other such FOIA requests.</w:t>
      </w:r>
    </w:p>
    <w:p w:rsidR="00A65F9E" w:rsidRPr="008E57C5" w:rsidP="00DC4DAF" w14:paraId="4497C6FF" w14:textId="77777777">
      <w:pPr>
        <w:rPr>
          <w:sz w:val="24"/>
          <w:szCs w:val="24"/>
        </w:rPr>
      </w:pPr>
    </w:p>
    <w:p w:rsidR="009E13B1" w:rsidRPr="008E57C5" w:rsidP="00DC4DAF" w14:paraId="0DB9F02B" w14:textId="77777777">
      <w:pPr>
        <w:pStyle w:val="ListParagraph"/>
        <w:numPr>
          <w:ilvl w:val="0"/>
          <w:numId w:val="24"/>
        </w:numPr>
        <w:rPr>
          <w:sz w:val="24"/>
          <w:szCs w:val="24"/>
        </w:rPr>
      </w:pPr>
      <w:r w:rsidRPr="008E57C5">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C508A4" w:rsidRPr="00CC4688" w:rsidP="00DC4DAF" w14:paraId="65D92D44" w14:textId="77777777"/>
    <w:p w:rsidR="00C508A4" w:rsidRPr="00DC4DAF" w:rsidP="008E57C5" w14:paraId="5E946749" w14:textId="73462A7F">
      <w:pPr>
        <w:pStyle w:val="ListParagraph"/>
        <w:rPr>
          <w:sz w:val="24"/>
          <w:szCs w:val="24"/>
        </w:rPr>
      </w:pPr>
      <w:r w:rsidRPr="00DC4DAF">
        <w:rPr>
          <w:sz w:val="24"/>
          <w:szCs w:val="24"/>
        </w:rPr>
        <w:t>No information collected will require respondents to submit proprietary trade secrets or other confidential information.</w:t>
      </w:r>
    </w:p>
    <w:p w:rsidR="009E13B1" w:rsidRPr="00CC4688" w14:paraId="313F58B2" w14:textId="77777777">
      <w:pPr>
        <w:tabs>
          <w:tab w:val="left" w:pos="360"/>
        </w:tabs>
        <w:ind w:left="360" w:hanging="360"/>
        <w:rPr>
          <w:sz w:val="24"/>
          <w:szCs w:val="24"/>
        </w:rPr>
      </w:pPr>
    </w:p>
    <w:p w:rsidR="00A65F9E" w:rsidRPr="00DC4DAF" w:rsidP="00A65F9E" w14:paraId="663A6B8B" w14:textId="77777777">
      <w:pPr>
        <w:numPr>
          <w:ilvl w:val="0"/>
          <w:numId w:val="13"/>
        </w:numPr>
        <w:tabs>
          <w:tab w:val="left" w:pos="360"/>
        </w:tabs>
        <w:rPr>
          <w:b/>
          <w:bCs/>
          <w:sz w:val="24"/>
          <w:szCs w:val="24"/>
        </w:rPr>
      </w:pPr>
      <w:r w:rsidRPr="00DC4DAF">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CC4688" w:rsidP="00DC4DAF" w14:paraId="2607AF1A" w14:textId="7BC843A3">
      <w:pPr>
        <w:pStyle w:val="NoSpacing"/>
      </w:pPr>
      <w:r w:rsidRPr="00CC4688">
        <w:t xml:space="preserve"> </w:t>
      </w:r>
    </w:p>
    <w:p w:rsidR="00C508A4" w:rsidRPr="00C508A4" w:rsidP="00C82704" w14:paraId="3F33E3FE" w14:textId="0F2DC858">
      <w:pPr>
        <w:overflowPunct/>
        <w:autoSpaceDE/>
        <w:autoSpaceDN/>
        <w:adjustRightInd/>
        <w:ind w:left="360"/>
        <w:textAlignment w:val="auto"/>
        <w:rPr>
          <w:sz w:val="24"/>
          <w:szCs w:val="24"/>
        </w:rPr>
      </w:pPr>
      <w:r w:rsidRPr="00C508A4">
        <w:rPr>
          <w:sz w:val="24"/>
          <w:szCs w:val="24"/>
        </w:rPr>
        <w:t xml:space="preserve">The 60 Day Notice of Proposed Information Collection Federal Register Notice for this information collection, published in volume </w:t>
      </w:r>
      <w:r w:rsidRPr="00C82704" w:rsidR="00C82704">
        <w:rPr>
          <w:sz w:val="24"/>
          <w:szCs w:val="24"/>
        </w:rPr>
        <w:t>89 of the Federal Register, page 17509, on March 11, 2024.</w:t>
      </w:r>
      <w:r w:rsidR="00C82704">
        <w:rPr>
          <w:sz w:val="24"/>
          <w:szCs w:val="24"/>
        </w:rPr>
        <w:t xml:space="preserve"> </w:t>
      </w:r>
      <w:r w:rsidRPr="00C508A4">
        <w:rPr>
          <w:sz w:val="24"/>
          <w:szCs w:val="24"/>
        </w:rPr>
        <w:t>No public comments were received.</w:t>
      </w:r>
    </w:p>
    <w:p w:rsidR="00C508A4" w:rsidRPr="00C508A4" w:rsidP="00C508A4" w14:paraId="44BE5F3D" w14:textId="77777777">
      <w:pPr>
        <w:numPr>
          <w:ilvl w:val="12"/>
          <w:numId w:val="0"/>
        </w:numPr>
        <w:overflowPunct/>
        <w:autoSpaceDE/>
        <w:autoSpaceDN/>
        <w:adjustRightInd/>
        <w:textAlignment w:val="auto"/>
        <w:rPr>
          <w:sz w:val="24"/>
          <w:szCs w:val="24"/>
        </w:rPr>
      </w:pPr>
    </w:p>
    <w:p w:rsidR="00C508A4" w:rsidRPr="00DC4DAF" w:rsidP="008E57C5" w14:paraId="56588A70" w14:textId="77777777">
      <w:pPr>
        <w:pStyle w:val="ListParagraph"/>
        <w:numPr>
          <w:ilvl w:val="0"/>
          <w:numId w:val="24"/>
        </w:numPr>
        <w:overflowPunct/>
        <w:autoSpaceDE/>
        <w:autoSpaceDN/>
        <w:adjustRightInd/>
        <w:textAlignment w:val="auto"/>
        <w:rPr>
          <w:sz w:val="24"/>
          <w:szCs w:val="24"/>
        </w:rPr>
      </w:pPr>
      <w:r w:rsidRPr="00DC4DAF">
        <w:rPr>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508A4" w:rsidRPr="00C508A4" w:rsidP="00C508A4" w14:paraId="1DC3DE61" w14:textId="77777777">
      <w:pPr>
        <w:numPr>
          <w:ilvl w:val="12"/>
          <w:numId w:val="0"/>
        </w:numPr>
        <w:overflowPunct/>
        <w:autoSpaceDE/>
        <w:autoSpaceDN/>
        <w:adjustRightInd/>
        <w:textAlignment w:val="auto"/>
        <w:rPr>
          <w:sz w:val="24"/>
          <w:szCs w:val="24"/>
        </w:rPr>
      </w:pPr>
    </w:p>
    <w:p w:rsidR="00C508A4" w:rsidRPr="008E57C5" w:rsidP="008E57C5" w14:paraId="7E36F418" w14:textId="77777777">
      <w:pPr>
        <w:pStyle w:val="ListParagraph"/>
        <w:overflowPunct/>
        <w:autoSpaceDE/>
        <w:autoSpaceDN/>
        <w:adjustRightInd/>
        <w:textAlignment w:val="auto"/>
        <w:rPr>
          <w:sz w:val="24"/>
          <w:szCs w:val="24"/>
        </w:rPr>
      </w:pPr>
      <w:r w:rsidRPr="008E57C5">
        <w:rPr>
          <w:sz w:val="24"/>
          <w:szCs w:val="24"/>
        </w:rPr>
        <w:t xml:space="preserve">HUD has consulted with the following private sector experts, to ensure that the survey meets federal needs and avoids duplication. </w:t>
      </w:r>
    </w:p>
    <w:p w:rsidR="00C508A4" w:rsidRPr="00C508A4" w:rsidP="008E57C5" w14:paraId="1D3F3A27" w14:textId="636B9E67">
      <w:pPr>
        <w:tabs>
          <w:tab w:val="left" w:pos="360"/>
          <w:tab w:val="left" w:pos="3600"/>
        </w:tabs>
        <w:overflowPunct/>
        <w:autoSpaceDE/>
        <w:autoSpaceDN/>
        <w:adjustRightInd/>
        <w:ind w:firstLine="360"/>
        <w:textAlignment w:val="auto"/>
        <w:rPr>
          <w:sz w:val="24"/>
          <w:szCs w:val="24"/>
        </w:rPr>
      </w:pPr>
    </w:p>
    <w:p w:rsidR="00C508A4" w:rsidRPr="008E57C5" w:rsidP="008E57C5" w14:paraId="1DA6A058" w14:textId="32A8C523">
      <w:pPr>
        <w:pStyle w:val="ListParagraph"/>
        <w:tabs>
          <w:tab w:val="left" w:pos="360"/>
        </w:tabs>
        <w:overflowPunct/>
        <w:autoSpaceDE/>
        <w:autoSpaceDN/>
        <w:adjustRightInd/>
        <w:textAlignment w:val="auto"/>
        <w:rPr>
          <w:sz w:val="24"/>
          <w:szCs w:val="24"/>
        </w:rPr>
      </w:pPr>
      <w:r w:rsidRPr="008E57C5">
        <w:rPr>
          <w:sz w:val="24"/>
          <w:szCs w:val="24"/>
        </w:rPr>
        <w:t>David Cox</w:t>
      </w:r>
      <w:r w:rsidRPr="008E57C5">
        <w:rPr>
          <w:sz w:val="24"/>
          <w:szCs w:val="24"/>
        </w:rPr>
        <w:tab/>
      </w:r>
      <w:r w:rsidRPr="008E57C5">
        <w:rPr>
          <w:sz w:val="24"/>
          <w:szCs w:val="24"/>
        </w:rPr>
        <w:tab/>
        <w:t>QuanTech</w:t>
      </w:r>
    </w:p>
    <w:p w:rsidR="00C508A4" w:rsidRPr="008E57C5" w:rsidP="008E57C5" w14:paraId="1C620FF6" w14:textId="4F039342">
      <w:pPr>
        <w:pStyle w:val="ListParagraph"/>
        <w:tabs>
          <w:tab w:val="left" w:pos="360"/>
        </w:tabs>
        <w:overflowPunct/>
        <w:autoSpaceDE/>
        <w:autoSpaceDN/>
        <w:adjustRightInd/>
        <w:textAlignment w:val="auto"/>
        <w:rPr>
          <w:sz w:val="24"/>
          <w:szCs w:val="24"/>
        </w:rPr>
      </w:pPr>
      <w:r w:rsidRPr="008E57C5">
        <w:rPr>
          <w:sz w:val="24"/>
          <w:szCs w:val="24"/>
        </w:rPr>
        <w:t>Gary Dewalt</w:t>
      </w:r>
      <w:r w:rsidRPr="008E57C5">
        <w:rPr>
          <w:sz w:val="24"/>
          <w:szCs w:val="24"/>
        </w:rPr>
        <w:tab/>
      </w:r>
      <w:r w:rsidRPr="008E57C5">
        <w:rPr>
          <w:sz w:val="24"/>
          <w:szCs w:val="24"/>
        </w:rPr>
        <w:tab/>
        <w:t>QuanTech</w:t>
      </w:r>
    </w:p>
    <w:p w:rsidR="00C508A4" w:rsidRPr="00C508A4" w:rsidP="00C508A4" w14:paraId="790B087C" w14:textId="77777777">
      <w:pPr>
        <w:numPr>
          <w:ilvl w:val="12"/>
          <w:numId w:val="0"/>
        </w:numPr>
        <w:tabs>
          <w:tab w:val="left" w:pos="2880"/>
          <w:tab w:val="left" w:pos="7200"/>
        </w:tabs>
        <w:overflowPunct/>
        <w:autoSpaceDE/>
        <w:autoSpaceDN/>
        <w:adjustRightInd/>
        <w:textAlignment w:val="auto"/>
        <w:rPr>
          <w:sz w:val="24"/>
          <w:szCs w:val="24"/>
        </w:rPr>
      </w:pPr>
    </w:p>
    <w:p w:rsidR="00C508A4" w:rsidRPr="00C508A4" w:rsidP="008E57C5" w14:paraId="37517F20" w14:textId="77777777">
      <w:pPr>
        <w:numPr>
          <w:ilvl w:val="0"/>
          <w:numId w:val="24"/>
        </w:numPr>
        <w:overflowPunct/>
        <w:autoSpaceDE/>
        <w:autoSpaceDN/>
        <w:adjustRightInd/>
        <w:textAlignment w:val="auto"/>
        <w:rPr>
          <w:sz w:val="24"/>
          <w:szCs w:val="24"/>
        </w:rPr>
      </w:pPr>
      <w:r w:rsidRPr="00C508A4">
        <w:rPr>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508A4" w:rsidRPr="00C508A4" w:rsidP="00C508A4" w14:paraId="4C86AEB0" w14:textId="77777777">
      <w:pPr>
        <w:numPr>
          <w:ilvl w:val="12"/>
          <w:numId w:val="0"/>
        </w:numPr>
        <w:tabs>
          <w:tab w:val="left" w:pos="720"/>
        </w:tabs>
        <w:overflowPunct/>
        <w:autoSpaceDE/>
        <w:autoSpaceDN/>
        <w:adjustRightInd/>
        <w:ind w:left="720" w:hanging="720"/>
        <w:textAlignment w:val="auto"/>
        <w:rPr>
          <w:b/>
          <w:bCs/>
          <w:sz w:val="24"/>
          <w:szCs w:val="24"/>
        </w:rPr>
      </w:pPr>
    </w:p>
    <w:p w:rsidR="00C508A4" w:rsidP="00C508A4" w14:paraId="65E87B63" w14:textId="77777777">
      <w:pPr>
        <w:ind w:left="720"/>
        <w:rPr>
          <w:sz w:val="24"/>
          <w:szCs w:val="24"/>
        </w:rPr>
      </w:pPr>
      <w:r w:rsidRPr="00C508A4">
        <w:rPr>
          <w:sz w:val="24"/>
          <w:szCs w:val="24"/>
        </w:rPr>
        <w:t>The Contractor consulted with a group of 7 OLHCHH LHR grantees who agreed to cooperate. The grantees responded to a pilot test version of the survey questionnaire, in both paper and electronic forms. The grantee feedback collected in the pilot included:</w:t>
      </w:r>
    </w:p>
    <w:p w:rsidR="00DC4DAF" w:rsidRPr="00C508A4" w:rsidP="00C508A4" w14:paraId="7CD48A40" w14:textId="77777777">
      <w:pPr>
        <w:ind w:left="720"/>
        <w:rPr>
          <w:sz w:val="24"/>
          <w:szCs w:val="24"/>
        </w:rPr>
      </w:pPr>
    </w:p>
    <w:p w:rsidR="00C508A4" w:rsidRPr="008E57C5" w:rsidP="008E57C5" w14:paraId="22D282EC" w14:textId="77777777">
      <w:pPr>
        <w:pStyle w:val="ListParagraph"/>
        <w:numPr>
          <w:ilvl w:val="0"/>
          <w:numId w:val="25"/>
        </w:numPr>
        <w:shd w:val="clear" w:color="auto" w:fill="FFFFFF"/>
        <w:overflowPunct/>
        <w:autoSpaceDE/>
        <w:autoSpaceDN/>
        <w:adjustRightInd/>
        <w:spacing w:beforeAutospacing="1" w:afterAutospacing="1"/>
        <w:textAlignment w:val="auto"/>
        <w:rPr>
          <w:color w:val="000000"/>
          <w:sz w:val="24"/>
          <w:szCs w:val="24"/>
        </w:rPr>
      </w:pPr>
      <w:r w:rsidRPr="008E57C5">
        <w:rPr>
          <w:color w:val="000000"/>
          <w:sz w:val="24"/>
          <w:szCs w:val="24"/>
          <w:bdr w:val="none" w:sz="0" w:space="0" w:color="auto" w:frame="1"/>
        </w:rPr>
        <w:t>Errors or glitches encountered in the electronic questionnaire. </w:t>
      </w:r>
    </w:p>
    <w:p w:rsidR="00C508A4" w:rsidRPr="008E57C5" w:rsidP="008E57C5" w14:paraId="00F5582D" w14:textId="77777777">
      <w:pPr>
        <w:pStyle w:val="ListParagraph"/>
        <w:numPr>
          <w:ilvl w:val="0"/>
          <w:numId w:val="25"/>
        </w:numPr>
        <w:shd w:val="clear" w:color="auto" w:fill="FFFFFF"/>
        <w:overflowPunct/>
        <w:autoSpaceDE/>
        <w:autoSpaceDN/>
        <w:adjustRightInd/>
        <w:spacing w:beforeAutospacing="1" w:afterAutospacing="1"/>
        <w:textAlignment w:val="auto"/>
        <w:rPr>
          <w:color w:val="000000"/>
          <w:sz w:val="24"/>
          <w:szCs w:val="24"/>
        </w:rPr>
      </w:pPr>
      <w:r w:rsidRPr="008E57C5">
        <w:rPr>
          <w:color w:val="000000"/>
          <w:sz w:val="24"/>
          <w:szCs w:val="24"/>
          <w:bdr w:val="none" w:sz="0" w:space="0" w:color="auto" w:frame="1"/>
        </w:rPr>
        <w:t>Ambiguous or unclear wording of questions. </w:t>
      </w:r>
    </w:p>
    <w:p w:rsidR="00C508A4" w:rsidRPr="008E57C5" w:rsidP="008E57C5" w14:paraId="5F4471EA" w14:textId="77777777">
      <w:pPr>
        <w:pStyle w:val="ListParagraph"/>
        <w:numPr>
          <w:ilvl w:val="0"/>
          <w:numId w:val="25"/>
        </w:numPr>
        <w:shd w:val="clear" w:color="auto" w:fill="FFFFFF"/>
        <w:overflowPunct/>
        <w:autoSpaceDE/>
        <w:autoSpaceDN/>
        <w:adjustRightInd/>
        <w:spacing w:beforeAutospacing="1" w:afterAutospacing="1"/>
        <w:textAlignment w:val="auto"/>
        <w:rPr>
          <w:color w:val="000000"/>
          <w:sz w:val="24"/>
          <w:szCs w:val="24"/>
        </w:rPr>
      </w:pPr>
      <w:r w:rsidRPr="008E57C5">
        <w:rPr>
          <w:color w:val="000000"/>
          <w:sz w:val="24"/>
          <w:szCs w:val="24"/>
          <w:bdr w:val="none" w:sz="0" w:space="0" w:color="auto" w:frame="1"/>
        </w:rPr>
        <w:t>Suggestions for additional questions that would provide useful information for the design of the new National Evaluation. </w:t>
      </w:r>
    </w:p>
    <w:p w:rsidR="00C508A4" w:rsidRPr="008E57C5" w:rsidP="008E57C5" w14:paraId="5FD3075B" w14:textId="77777777">
      <w:pPr>
        <w:pStyle w:val="ListParagraph"/>
        <w:numPr>
          <w:ilvl w:val="0"/>
          <w:numId w:val="25"/>
        </w:numPr>
        <w:shd w:val="clear" w:color="auto" w:fill="FFFFFF"/>
        <w:overflowPunct/>
        <w:autoSpaceDE/>
        <w:autoSpaceDN/>
        <w:adjustRightInd/>
        <w:spacing w:beforeAutospacing="1" w:afterAutospacing="1"/>
        <w:textAlignment w:val="auto"/>
        <w:rPr>
          <w:color w:val="000000"/>
          <w:sz w:val="24"/>
          <w:szCs w:val="24"/>
        </w:rPr>
      </w:pPr>
      <w:r w:rsidRPr="008E57C5">
        <w:rPr>
          <w:color w:val="000000"/>
          <w:sz w:val="24"/>
          <w:szCs w:val="24"/>
          <w:bdr w:val="none" w:sz="0" w:space="0" w:color="auto" w:frame="1"/>
        </w:rPr>
        <w:t>Possible additional responses for the picklists of responses. </w:t>
      </w:r>
    </w:p>
    <w:p w:rsidR="00C508A4" w:rsidRPr="008E57C5" w:rsidP="008E57C5" w14:paraId="3DCE2233" w14:textId="77777777">
      <w:pPr>
        <w:pStyle w:val="ListParagraph"/>
        <w:numPr>
          <w:ilvl w:val="0"/>
          <w:numId w:val="25"/>
        </w:numPr>
        <w:shd w:val="clear" w:color="auto" w:fill="FFFFFF"/>
        <w:overflowPunct/>
        <w:autoSpaceDE/>
        <w:autoSpaceDN/>
        <w:adjustRightInd/>
        <w:spacing w:beforeAutospacing="1" w:afterAutospacing="1"/>
        <w:textAlignment w:val="auto"/>
        <w:rPr>
          <w:sz w:val="24"/>
          <w:szCs w:val="24"/>
        </w:rPr>
      </w:pPr>
      <w:r w:rsidRPr="008E57C5">
        <w:rPr>
          <w:color w:val="000000"/>
          <w:sz w:val="24"/>
          <w:szCs w:val="24"/>
          <w:bdr w:val="none" w:sz="0" w:space="0" w:color="auto" w:frame="1"/>
        </w:rPr>
        <w:t xml:space="preserve">The time taken to complete the questionnaire. </w:t>
      </w:r>
    </w:p>
    <w:p w:rsidR="00C508A4" w:rsidRPr="00C508A4" w:rsidP="00C508A4" w14:paraId="63AB91D9" w14:textId="77777777">
      <w:pPr>
        <w:shd w:val="clear" w:color="auto" w:fill="FFFFFF"/>
        <w:overflowPunct/>
        <w:autoSpaceDE/>
        <w:autoSpaceDN/>
        <w:adjustRightInd/>
        <w:spacing w:beforeAutospacing="1" w:afterAutospacing="1"/>
        <w:ind w:left="1170"/>
        <w:textAlignment w:val="auto"/>
        <w:rPr>
          <w:sz w:val="24"/>
          <w:szCs w:val="24"/>
        </w:rPr>
      </w:pPr>
    </w:p>
    <w:p w:rsidR="00C508A4" w:rsidRPr="00CC4688" w:rsidP="00C508A4" w14:paraId="2FC66761" w14:textId="53FDF8A2">
      <w:pPr>
        <w:tabs>
          <w:tab w:val="left" w:pos="360"/>
        </w:tabs>
        <w:ind w:left="720"/>
        <w:rPr>
          <w:sz w:val="24"/>
          <w:szCs w:val="24"/>
        </w:rPr>
      </w:pPr>
      <w:r w:rsidRPr="00CC4688">
        <w:rPr>
          <w:sz w:val="24"/>
          <w:szCs w:val="24"/>
        </w:rPr>
        <w:t>This information was used to improve and refine the questionnaire, and to estimate respondent burden.</w:t>
      </w:r>
    </w:p>
    <w:p w:rsidR="00C508A4" w:rsidRPr="00CC4688" w14:paraId="5B5B5D5E" w14:textId="77777777">
      <w:pPr>
        <w:tabs>
          <w:tab w:val="left" w:pos="360"/>
        </w:tabs>
        <w:ind w:left="360" w:hanging="360"/>
        <w:rPr>
          <w:sz w:val="24"/>
          <w:szCs w:val="24"/>
        </w:rPr>
      </w:pPr>
    </w:p>
    <w:p w:rsidR="009E13B1" w:rsidRPr="00DC4DAF" w14:paraId="0FD54BC5" w14:textId="77777777">
      <w:pPr>
        <w:keepLines/>
        <w:tabs>
          <w:tab w:val="left" w:pos="360"/>
        </w:tabs>
        <w:spacing w:after="80"/>
        <w:ind w:left="360" w:hanging="360"/>
        <w:rPr>
          <w:b/>
          <w:bCs/>
          <w:sz w:val="24"/>
          <w:szCs w:val="24"/>
        </w:rPr>
      </w:pPr>
      <w:r w:rsidRPr="00DC4DAF">
        <w:rPr>
          <w:b/>
          <w:bCs/>
          <w:sz w:val="24"/>
          <w:szCs w:val="24"/>
        </w:rPr>
        <w:t>9.</w:t>
      </w:r>
      <w:r w:rsidRPr="00DC4DAF">
        <w:rPr>
          <w:b/>
          <w:bCs/>
          <w:sz w:val="24"/>
          <w:szCs w:val="24"/>
        </w:rPr>
        <w:tab/>
        <w:t>Explain any decision to provide any payment or gift to respondents, other than renumeration of contractors or grantees.</w:t>
      </w:r>
    </w:p>
    <w:p w:rsidR="009E13B1" w:rsidRPr="00CC4688" w:rsidP="00DC4DAF" w14:paraId="04C87772" w14:textId="77777777">
      <w:pPr>
        <w:pStyle w:val="NoSpacing"/>
      </w:pPr>
    </w:p>
    <w:p w:rsidR="00EE4E8F" w:rsidRPr="00EE4E8F" w:rsidP="00EE4E8F" w14:paraId="676550AA" w14:textId="3E3BC0A5">
      <w:pPr>
        <w:tabs>
          <w:tab w:val="left" w:pos="360"/>
        </w:tabs>
        <w:ind w:left="360" w:hanging="360"/>
        <w:rPr>
          <w:sz w:val="24"/>
          <w:szCs w:val="24"/>
        </w:rPr>
      </w:pPr>
      <w:r w:rsidRPr="00CC4688">
        <w:rPr>
          <w:sz w:val="24"/>
          <w:szCs w:val="24"/>
        </w:rPr>
        <w:tab/>
      </w:r>
      <w:r w:rsidRPr="00EE4E8F">
        <w:rPr>
          <w:sz w:val="24"/>
          <w:szCs w:val="24"/>
        </w:rPr>
        <w:t>No respondent incentives will be provided.</w:t>
      </w:r>
    </w:p>
    <w:p w:rsidR="00EE4E8F" w:rsidRPr="00CC4688" w14:paraId="4199101C" w14:textId="77777777">
      <w:pPr>
        <w:tabs>
          <w:tab w:val="left" w:pos="360"/>
        </w:tabs>
        <w:ind w:left="360" w:hanging="360"/>
        <w:rPr>
          <w:sz w:val="24"/>
          <w:szCs w:val="24"/>
        </w:rPr>
      </w:pPr>
    </w:p>
    <w:p w:rsidR="009E13B1" w:rsidRPr="00DC4DAF" w14:paraId="199B10B5" w14:textId="77777777">
      <w:pPr>
        <w:keepLines/>
        <w:tabs>
          <w:tab w:val="left" w:pos="360"/>
        </w:tabs>
        <w:spacing w:after="80"/>
        <w:ind w:left="360" w:hanging="360"/>
        <w:rPr>
          <w:b/>
          <w:bCs/>
          <w:sz w:val="24"/>
          <w:szCs w:val="24"/>
        </w:rPr>
      </w:pPr>
      <w:r w:rsidRPr="00DC4DAF">
        <w:rPr>
          <w:b/>
          <w:bCs/>
          <w:sz w:val="24"/>
          <w:szCs w:val="24"/>
        </w:rPr>
        <w:t>10.</w:t>
      </w:r>
      <w:r w:rsidRPr="00DC4DAF">
        <w:rPr>
          <w:b/>
          <w:bCs/>
          <w:sz w:val="24"/>
          <w:szCs w:val="24"/>
        </w:rPr>
        <w:tab/>
        <w:t>Describe any assurance of confidentiality provided to respondents and the basis for assurance in statute, regulation or agency policy.</w:t>
      </w:r>
      <w:r w:rsidRPr="00DC4DAF" w:rsidR="000D5079">
        <w:rPr>
          <w:b/>
          <w:bCs/>
          <w:sz w:val="24"/>
          <w:szCs w:val="24"/>
        </w:rPr>
        <w:t xml:space="preserve"> If the collection requires a </w:t>
      </w:r>
      <w:r w:rsidRPr="00DC4DAF" w:rsidR="00BB2518">
        <w:rPr>
          <w:b/>
          <w:bCs/>
          <w:sz w:val="24"/>
          <w:szCs w:val="24"/>
        </w:rPr>
        <w:t>system of records notice (SORN)</w:t>
      </w:r>
      <w:r w:rsidRPr="00DC4DAF" w:rsidR="000D5079">
        <w:rPr>
          <w:b/>
          <w:bCs/>
          <w:sz w:val="24"/>
          <w:szCs w:val="24"/>
        </w:rPr>
        <w:t xml:space="preserve"> or privacy impact assessment (PIA), those should be cited and described here.</w:t>
      </w:r>
    </w:p>
    <w:p w:rsidR="00EE4E8F" w:rsidRPr="00CC4688" w:rsidP="00EE4E8F" w14:paraId="24004ADD" w14:textId="79074DA1">
      <w:pPr>
        <w:tabs>
          <w:tab w:val="left" w:pos="360"/>
        </w:tabs>
        <w:ind w:left="360" w:hanging="360"/>
        <w:rPr>
          <w:sz w:val="24"/>
          <w:szCs w:val="24"/>
        </w:rPr>
      </w:pPr>
    </w:p>
    <w:p w:rsidR="00EE4E8F" w:rsidRPr="00EE4E8F" w:rsidP="00EE4E8F" w14:paraId="44033477" w14:textId="10275EEB">
      <w:pPr>
        <w:overflowPunct/>
        <w:autoSpaceDE/>
        <w:autoSpaceDN/>
        <w:adjustRightInd/>
        <w:ind w:firstLine="360"/>
        <w:textAlignment w:val="auto"/>
        <w:rPr>
          <w:sz w:val="24"/>
          <w:szCs w:val="24"/>
        </w:rPr>
      </w:pPr>
      <w:r w:rsidRPr="00EE4E8F">
        <w:rPr>
          <w:sz w:val="24"/>
          <w:szCs w:val="24"/>
        </w:rPr>
        <w:t>Respondents will not be asked to provide any confidential information.</w:t>
      </w:r>
      <w:r w:rsidR="00474CB9">
        <w:rPr>
          <w:sz w:val="24"/>
          <w:szCs w:val="24"/>
        </w:rPr>
        <w:t xml:space="preserve"> No </w:t>
      </w:r>
      <w:r w:rsidR="00453D45">
        <w:rPr>
          <w:sz w:val="24"/>
          <w:szCs w:val="24"/>
        </w:rPr>
        <w:t>SORN is required</w:t>
      </w:r>
      <w:r w:rsidR="00F336BB">
        <w:rPr>
          <w:sz w:val="24"/>
          <w:szCs w:val="24"/>
        </w:rPr>
        <w:t>.</w:t>
      </w:r>
    </w:p>
    <w:p w:rsidR="00EE4E8F" w:rsidRPr="00CC4688" w:rsidP="00EE4E8F" w14:paraId="5EC5D59D" w14:textId="77777777">
      <w:pPr>
        <w:tabs>
          <w:tab w:val="left" w:pos="360"/>
        </w:tabs>
        <w:ind w:left="360" w:hanging="360"/>
        <w:rPr>
          <w:sz w:val="24"/>
          <w:szCs w:val="24"/>
        </w:rPr>
      </w:pPr>
    </w:p>
    <w:p w:rsidR="009E13B1" w:rsidRPr="00DC4DAF" w14:paraId="668EAA31" w14:textId="77777777">
      <w:pPr>
        <w:keepLines/>
        <w:tabs>
          <w:tab w:val="left" w:pos="360"/>
        </w:tabs>
        <w:spacing w:after="80"/>
        <w:ind w:left="360" w:hanging="360"/>
        <w:rPr>
          <w:b/>
          <w:bCs/>
          <w:sz w:val="24"/>
          <w:szCs w:val="24"/>
        </w:rPr>
      </w:pPr>
      <w:r w:rsidRPr="00DC4DAF">
        <w:rPr>
          <w:b/>
          <w:bCs/>
          <w:sz w:val="24"/>
          <w:szCs w:val="24"/>
        </w:rPr>
        <w:t>11.</w:t>
      </w:r>
      <w:r w:rsidRPr="00DC4DAF">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Pr="00CC4688" w14:paraId="0A2401BB" w14:textId="77777777">
      <w:pPr>
        <w:tabs>
          <w:tab w:val="left" w:pos="360"/>
        </w:tabs>
        <w:ind w:left="360" w:hanging="360"/>
        <w:rPr>
          <w:sz w:val="24"/>
          <w:szCs w:val="24"/>
        </w:rPr>
      </w:pPr>
    </w:p>
    <w:p w:rsidR="00EE4E8F" w:rsidRPr="00EE4E8F" w:rsidP="00EE4E8F" w14:paraId="45CF9DC5" w14:textId="77777777">
      <w:pPr>
        <w:overflowPunct/>
        <w:autoSpaceDE/>
        <w:autoSpaceDN/>
        <w:adjustRightInd/>
        <w:ind w:left="360"/>
        <w:textAlignment w:val="auto"/>
        <w:rPr>
          <w:sz w:val="24"/>
          <w:szCs w:val="24"/>
        </w:rPr>
      </w:pPr>
      <w:r w:rsidRPr="00EE4E8F">
        <w:rPr>
          <w:sz w:val="24"/>
          <w:szCs w:val="24"/>
        </w:rPr>
        <w:t>There are no questions of a sensitive nature. Questions relate only to the procedures and operations of State and local government agencies under grants funded by the Federal government.</w:t>
      </w:r>
    </w:p>
    <w:p w:rsidR="00A65F9E" w:rsidRPr="00CC4688" w14:paraId="226313F0" w14:textId="77777777">
      <w:pPr>
        <w:tabs>
          <w:tab w:val="left" w:pos="360"/>
        </w:tabs>
        <w:ind w:left="360" w:hanging="360"/>
        <w:rPr>
          <w:sz w:val="24"/>
          <w:szCs w:val="24"/>
        </w:rPr>
      </w:pPr>
    </w:p>
    <w:p w:rsidR="000D5079" w:rsidRPr="00DC4DAF" w14:paraId="7C95C366" w14:textId="77777777">
      <w:pPr>
        <w:tabs>
          <w:tab w:val="left" w:pos="360"/>
        </w:tabs>
        <w:ind w:left="360" w:hanging="360"/>
        <w:rPr>
          <w:b/>
          <w:bCs/>
          <w:sz w:val="24"/>
          <w:szCs w:val="24"/>
        </w:rPr>
      </w:pPr>
      <w:r w:rsidRPr="00DC4DAF">
        <w:rPr>
          <w:b/>
          <w:bCs/>
          <w:sz w:val="24"/>
          <w:szCs w:val="24"/>
        </w:rPr>
        <w:t>12.</w:t>
      </w:r>
      <w:r w:rsidRPr="00DC4DAF">
        <w:rPr>
          <w:b/>
          <w:bCs/>
          <w:sz w:val="24"/>
          <w:szCs w:val="24"/>
        </w:rPr>
        <w:tab/>
        <w:t>Provide estimates of the hour burden of the collection of information.  The statement should:</w:t>
      </w:r>
    </w:p>
    <w:p w:rsidR="009E13B1" w:rsidRPr="00CC4688" w14:paraId="1876208F" w14:textId="77777777">
      <w:pPr>
        <w:tabs>
          <w:tab w:val="left" w:pos="360"/>
        </w:tabs>
        <w:ind w:left="360" w:hanging="360"/>
        <w:rPr>
          <w:sz w:val="24"/>
          <w:szCs w:val="24"/>
        </w:rPr>
      </w:pPr>
      <w:r w:rsidRPr="00CC4688">
        <w:rPr>
          <w:sz w:val="24"/>
          <w:szCs w:val="24"/>
        </w:rPr>
        <w:t xml:space="preserve"> </w:t>
      </w:r>
    </w:p>
    <w:p w:rsidR="009E13B1" w:rsidRPr="00CC4688" w14:paraId="06CBD536" w14:textId="77777777">
      <w:pPr>
        <w:numPr>
          <w:ilvl w:val="0"/>
          <w:numId w:val="14"/>
        </w:numPr>
        <w:tabs>
          <w:tab w:val="left" w:pos="480"/>
        </w:tabs>
        <w:ind w:left="480"/>
        <w:rPr>
          <w:sz w:val="24"/>
          <w:szCs w:val="24"/>
        </w:rPr>
      </w:pPr>
      <w:r w:rsidRPr="00CC4688">
        <w:rPr>
          <w:sz w:val="24"/>
          <w:szCs w:val="24"/>
        </w:rPr>
        <w:t>I</w:t>
      </w:r>
      <w:r w:rsidRPr="00CC4688">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CC4688" w:rsidR="006C7FAE">
        <w:rPr>
          <w:sz w:val="24"/>
          <w:szCs w:val="24"/>
        </w:rPr>
        <w:t>Generally,</w:t>
      </w:r>
      <w:r w:rsidRPr="00CC4688">
        <w:rPr>
          <w:sz w:val="24"/>
          <w:szCs w:val="24"/>
        </w:rPr>
        <w:t xml:space="preserve"> estimates should not include burden hours for customary and usual business practices; </w:t>
      </w:r>
    </w:p>
    <w:p w:rsidR="009E13B1" w:rsidRPr="00CC4688" w14:paraId="54BF2220" w14:textId="77777777">
      <w:pPr>
        <w:numPr>
          <w:ilvl w:val="0"/>
          <w:numId w:val="14"/>
        </w:numPr>
        <w:tabs>
          <w:tab w:val="left" w:pos="480"/>
        </w:tabs>
        <w:ind w:left="480"/>
        <w:rPr>
          <w:sz w:val="24"/>
          <w:szCs w:val="24"/>
        </w:rPr>
      </w:pPr>
      <w:r w:rsidRPr="00CC4688">
        <w:rPr>
          <w:sz w:val="24"/>
          <w:szCs w:val="24"/>
        </w:rPr>
        <w:t>I</w:t>
      </w:r>
      <w:r w:rsidRPr="00CC4688">
        <w:rPr>
          <w:sz w:val="24"/>
          <w:szCs w:val="24"/>
        </w:rPr>
        <w:t xml:space="preserve">f this request covers more than one form, provide separate hour burden estimates for each form and aggregate the hour burdens in </w:t>
      </w:r>
      <w:r w:rsidRPr="00CC4688" w:rsidR="00CA06CC">
        <w:rPr>
          <w:sz w:val="24"/>
          <w:szCs w:val="24"/>
        </w:rPr>
        <w:t>chart below</w:t>
      </w:r>
      <w:r w:rsidRPr="00CC4688">
        <w:rPr>
          <w:sz w:val="24"/>
          <w:szCs w:val="24"/>
        </w:rPr>
        <w:t xml:space="preserve">; and </w:t>
      </w:r>
    </w:p>
    <w:p w:rsidR="009E13B1" w:rsidRPr="00CC4688" w14:paraId="438D1797" w14:textId="77777777">
      <w:pPr>
        <w:keepLines/>
        <w:numPr>
          <w:ilvl w:val="0"/>
          <w:numId w:val="14"/>
        </w:numPr>
        <w:tabs>
          <w:tab w:val="left" w:pos="480"/>
        </w:tabs>
        <w:spacing w:after="80"/>
        <w:ind w:left="480"/>
        <w:rPr>
          <w:sz w:val="24"/>
          <w:szCs w:val="24"/>
        </w:rPr>
      </w:pPr>
      <w:r w:rsidRPr="00CC4688">
        <w:rPr>
          <w:sz w:val="24"/>
          <w:szCs w:val="24"/>
        </w:rPr>
        <w:t>P</w:t>
      </w:r>
      <w:r w:rsidRPr="00CC4688">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CC4688" w:rsidR="00CA06CC">
        <w:rPr>
          <w:sz w:val="24"/>
          <w:szCs w:val="24"/>
        </w:rPr>
        <w:t>Instead,</w:t>
      </w:r>
      <w:r w:rsidRPr="00CC4688">
        <w:rPr>
          <w:sz w:val="24"/>
          <w:szCs w:val="24"/>
        </w:rPr>
        <w:t xml:space="preserve"> this cost should be included in Item 13.</w:t>
      </w:r>
    </w:p>
    <w:p w:rsidR="00BC50C0" w:rsidRPr="00CC4688" w:rsidP="00BC50C0" w14:paraId="16CEE043" w14:textId="77777777">
      <w:pPr>
        <w:keepLines/>
        <w:tabs>
          <w:tab w:val="left" w:pos="480"/>
        </w:tabs>
        <w:spacing w:after="80"/>
        <w:ind w:left="480"/>
        <w:rPr>
          <w:sz w:val="24"/>
          <w:szCs w:val="24"/>
        </w:rPr>
      </w:pPr>
    </w:p>
    <w:p w:rsidR="00EE4E8F" w:rsidRPr="00EE4E8F" w:rsidP="00EE4E8F" w14:paraId="0A4A3FE9" w14:textId="77777777">
      <w:pPr>
        <w:ind w:left="360"/>
        <w:rPr>
          <w:sz w:val="24"/>
          <w:szCs w:val="24"/>
        </w:rPr>
      </w:pPr>
      <w:r w:rsidRPr="00EE4E8F">
        <w:rPr>
          <w:sz w:val="24"/>
          <w:szCs w:val="24"/>
        </w:rPr>
        <w:t>The burden to respondents is the time required for completion of the survey questionnaire, including gathering records and compiling information. The time burden of the questionnaire was estimated based on the responses of 7 grantees who participated in a pilot of the questionnaire.</w:t>
      </w:r>
    </w:p>
    <w:p w:rsidR="00EE4E8F" w:rsidRPr="00EE4E8F" w:rsidP="00EE4E8F" w14:paraId="5D828936" w14:textId="77777777">
      <w:pPr>
        <w:overflowPunct/>
        <w:autoSpaceDE/>
        <w:autoSpaceDN/>
        <w:adjustRightInd/>
        <w:ind w:firstLine="720"/>
        <w:textAlignment w:val="auto"/>
        <w:rPr>
          <w:sz w:val="24"/>
          <w:szCs w:val="24"/>
        </w:rPr>
      </w:pPr>
    </w:p>
    <w:p w:rsidR="00EE4E8F" w:rsidRPr="00EE4E8F" w:rsidP="00EE4E8F" w14:paraId="73D6C5F7" w14:textId="77777777">
      <w:pPr>
        <w:shd w:val="clear" w:color="auto" w:fill="FFFFFF"/>
        <w:overflowPunct/>
        <w:autoSpaceDE/>
        <w:autoSpaceDN/>
        <w:adjustRightInd/>
        <w:ind w:left="360"/>
        <w:textAlignment w:val="auto"/>
        <w:rPr>
          <w:rFonts w:cs="Calibri"/>
          <w:color w:val="000000"/>
          <w:sz w:val="24"/>
          <w:szCs w:val="24"/>
          <w:bdr w:val="none" w:sz="0" w:space="0" w:color="auto" w:frame="1"/>
        </w:rPr>
      </w:pPr>
      <w:r w:rsidRPr="00EE4E8F">
        <w:rPr>
          <w:sz w:val="24"/>
          <w:szCs w:val="24"/>
        </w:rPr>
        <w:t>There</w:t>
      </w:r>
      <w:r w:rsidRPr="00EE4E8F">
        <w:rPr>
          <w:sz w:val="24"/>
          <w:szCs w:val="24"/>
          <w:u w:val="single"/>
        </w:rPr>
        <w:t xml:space="preserve"> </w:t>
      </w:r>
      <w:r w:rsidRPr="00EE4E8F">
        <w:rPr>
          <w:sz w:val="24"/>
          <w:szCs w:val="24"/>
        </w:rPr>
        <w:t xml:space="preserve">is no cost to respondents because these OLHCHH grantees are already funded through grant agreements that include a requirement to </w:t>
      </w:r>
      <w:r w:rsidRPr="00EE4E8F">
        <w:rPr>
          <w:rFonts w:cs="Calibri"/>
          <w:color w:val="000000"/>
          <w:sz w:val="24"/>
          <w:szCs w:val="24"/>
          <w:bdr w:val="none" w:sz="0" w:space="0" w:color="auto" w:frame="1"/>
        </w:rPr>
        <w:t>cooperate fully with any research or evaluation regarding their grant activities that is sponsored by HUD or another government agency associated with this grant program, and costs to participate in the survey are reimbursable under the grants.</w:t>
      </w:r>
    </w:p>
    <w:p w:rsidR="00EE4E8F" w:rsidRPr="00EE4E8F" w:rsidP="00EE4E8F" w14:paraId="11757D69" w14:textId="33BBCB9B">
      <w:pPr>
        <w:overflowPunct/>
        <w:autoSpaceDE/>
        <w:autoSpaceDN/>
        <w:adjustRightInd/>
        <w:textAlignment w:val="auto"/>
        <w:rPr>
          <w:rFonts w:cs="Calibri"/>
          <w:color w:val="000000"/>
          <w:sz w:val="24"/>
          <w:szCs w:val="24"/>
          <w:bdr w:val="none" w:sz="0" w:space="0" w:color="auto" w:frame="1"/>
        </w:rPr>
      </w:pPr>
    </w:p>
    <w:tbl>
      <w:tblPr>
        <w:tblW w:w="919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28"/>
        <w:gridCol w:w="1306"/>
        <w:gridCol w:w="1152"/>
        <w:gridCol w:w="1248"/>
        <w:gridCol w:w="1325"/>
        <w:gridCol w:w="861"/>
        <w:gridCol w:w="1028"/>
        <w:gridCol w:w="850"/>
      </w:tblGrid>
      <w:tr w14:paraId="6110EDBA" w14:textId="77777777" w:rsidTr="00DC4DAF">
        <w:tblPrEx>
          <w:tblW w:w="919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9198" w:type="dxa"/>
            <w:gridSpan w:val="8"/>
            <w:shd w:val="clear" w:color="auto" w:fill="D9D9D9"/>
            <w:tcMar>
              <w:top w:w="0" w:type="dxa"/>
              <w:left w:w="108" w:type="dxa"/>
              <w:bottom w:w="0" w:type="dxa"/>
              <w:right w:w="108" w:type="dxa"/>
            </w:tcMar>
          </w:tcPr>
          <w:p w:rsidR="00EE4E8F" w:rsidRPr="008E57C5" w:rsidP="00EE4E8F" w14:paraId="6358CF2D" w14:textId="77777777">
            <w:pPr>
              <w:overflowPunct/>
              <w:autoSpaceDE/>
              <w:autoSpaceDN/>
              <w:adjustRightInd/>
              <w:spacing w:before="100" w:beforeAutospacing="1"/>
              <w:jc w:val="center"/>
              <w:textAlignment w:val="auto"/>
              <w:rPr>
                <w:b/>
                <w:bCs/>
                <w:color w:val="000000"/>
                <w:sz w:val="18"/>
                <w:szCs w:val="18"/>
              </w:rPr>
            </w:pPr>
            <w:r w:rsidRPr="008E57C5">
              <w:rPr>
                <w:b/>
                <w:bCs/>
                <w:color w:val="000000"/>
                <w:sz w:val="18"/>
                <w:szCs w:val="18"/>
              </w:rPr>
              <w:t>Table 2. Estimated Time and Costs to Respondents</w:t>
            </w:r>
          </w:p>
        </w:tc>
      </w:tr>
      <w:tr w14:paraId="1C419F83" w14:textId="77777777" w:rsidTr="00DC4DAF">
        <w:tblPrEx>
          <w:tblW w:w="9198" w:type="dxa"/>
          <w:tblInd w:w="607" w:type="dxa"/>
          <w:tblCellMar>
            <w:left w:w="0" w:type="dxa"/>
            <w:right w:w="0" w:type="dxa"/>
          </w:tblCellMar>
          <w:tblLook w:val="04A0"/>
        </w:tblPrEx>
        <w:trPr>
          <w:trHeight w:val="692"/>
        </w:trPr>
        <w:tc>
          <w:tcPr>
            <w:tcW w:w="1428" w:type="dxa"/>
            <w:tcMar>
              <w:top w:w="0" w:type="dxa"/>
              <w:left w:w="108" w:type="dxa"/>
              <w:bottom w:w="0" w:type="dxa"/>
              <w:right w:w="108" w:type="dxa"/>
            </w:tcMar>
            <w:hideMark/>
          </w:tcPr>
          <w:p w:rsidR="00EE4E8F" w:rsidRPr="008E57C5" w:rsidP="00EE4E8F" w14:paraId="617CE67D" w14:textId="77777777">
            <w:pPr>
              <w:overflowPunct/>
              <w:autoSpaceDE/>
              <w:autoSpaceDN/>
              <w:adjustRightInd/>
              <w:spacing w:before="100" w:beforeAutospacing="1"/>
              <w:textAlignment w:val="auto"/>
              <w:rPr>
                <w:sz w:val="18"/>
                <w:szCs w:val="18"/>
              </w:rPr>
            </w:pPr>
            <w:r w:rsidRPr="008E57C5">
              <w:rPr>
                <w:b/>
                <w:bCs/>
                <w:color w:val="000000"/>
                <w:sz w:val="18"/>
                <w:szCs w:val="18"/>
              </w:rPr>
              <w:t>Information Collection</w:t>
            </w:r>
          </w:p>
        </w:tc>
        <w:tc>
          <w:tcPr>
            <w:tcW w:w="1306" w:type="dxa"/>
            <w:tcMar>
              <w:top w:w="0" w:type="dxa"/>
              <w:left w:w="108" w:type="dxa"/>
              <w:bottom w:w="0" w:type="dxa"/>
              <w:right w:w="108" w:type="dxa"/>
            </w:tcMar>
            <w:hideMark/>
          </w:tcPr>
          <w:p w:rsidR="00EE4E8F" w:rsidRPr="008E57C5" w:rsidP="00EE4E8F" w14:paraId="0FA33529" w14:textId="77777777">
            <w:pPr>
              <w:overflowPunct/>
              <w:autoSpaceDE/>
              <w:autoSpaceDN/>
              <w:adjustRightInd/>
              <w:spacing w:before="100" w:beforeAutospacing="1"/>
              <w:jc w:val="center"/>
              <w:textAlignment w:val="auto"/>
              <w:rPr>
                <w:sz w:val="18"/>
                <w:szCs w:val="18"/>
              </w:rPr>
            </w:pPr>
            <w:r w:rsidRPr="008E57C5">
              <w:rPr>
                <w:b/>
                <w:bCs/>
                <w:color w:val="000000"/>
                <w:sz w:val="18"/>
                <w:szCs w:val="18"/>
              </w:rPr>
              <w:t>Number of Respondents</w:t>
            </w:r>
          </w:p>
        </w:tc>
        <w:tc>
          <w:tcPr>
            <w:tcW w:w="1152" w:type="dxa"/>
            <w:tcMar>
              <w:top w:w="0" w:type="dxa"/>
              <w:left w:w="108" w:type="dxa"/>
              <w:bottom w:w="0" w:type="dxa"/>
              <w:right w:w="108" w:type="dxa"/>
            </w:tcMar>
            <w:hideMark/>
          </w:tcPr>
          <w:p w:rsidR="00EE4E8F" w:rsidRPr="008E57C5" w:rsidP="00EE4E8F" w14:paraId="033B2104" w14:textId="77777777">
            <w:pPr>
              <w:overflowPunct/>
              <w:autoSpaceDE/>
              <w:autoSpaceDN/>
              <w:adjustRightInd/>
              <w:spacing w:before="100" w:beforeAutospacing="1"/>
              <w:jc w:val="center"/>
              <w:textAlignment w:val="auto"/>
              <w:rPr>
                <w:sz w:val="18"/>
                <w:szCs w:val="18"/>
              </w:rPr>
            </w:pPr>
            <w:r w:rsidRPr="008E57C5">
              <w:rPr>
                <w:b/>
                <w:bCs/>
                <w:color w:val="000000"/>
                <w:sz w:val="18"/>
                <w:szCs w:val="18"/>
              </w:rPr>
              <w:t>Frequency of Response</w:t>
            </w:r>
          </w:p>
        </w:tc>
        <w:tc>
          <w:tcPr>
            <w:tcW w:w="1248" w:type="dxa"/>
            <w:tcMar>
              <w:top w:w="0" w:type="dxa"/>
              <w:left w:w="108" w:type="dxa"/>
              <w:bottom w:w="0" w:type="dxa"/>
              <w:right w:w="108" w:type="dxa"/>
            </w:tcMar>
            <w:hideMark/>
          </w:tcPr>
          <w:p w:rsidR="00EE4E8F" w:rsidRPr="008E57C5" w:rsidP="00EE4E8F" w14:paraId="0E6E55FF" w14:textId="77777777">
            <w:pPr>
              <w:overflowPunct/>
              <w:autoSpaceDE/>
              <w:autoSpaceDN/>
              <w:adjustRightInd/>
              <w:jc w:val="center"/>
              <w:textAlignment w:val="auto"/>
              <w:rPr>
                <w:sz w:val="18"/>
                <w:szCs w:val="18"/>
              </w:rPr>
            </w:pPr>
            <w:r w:rsidRPr="008E57C5">
              <w:rPr>
                <w:b/>
                <w:bCs/>
                <w:color w:val="000000"/>
                <w:sz w:val="18"/>
                <w:szCs w:val="18"/>
              </w:rPr>
              <w:t>Responses</w:t>
            </w:r>
          </w:p>
          <w:p w:rsidR="00EE4E8F" w:rsidRPr="008E57C5" w:rsidP="00EE4E8F" w14:paraId="39E5CC50" w14:textId="77777777">
            <w:pPr>
              <w:overflowPunct/>
              <w:autoSpaceDE/>
              <w:autoSpaceDN/>
              <w:adjustRightInd/>
              <w:jc w:val="center"/>
              <w:textAlignment w:val="auto"/>
              <w:rPr>
                <w:sz w:val="18"/>
                <w:szCs w:val="18"/>
              </w:rPr>
            </w:pPr>
            <w:r w:rsidRPr="008E57C5">
              <w:rPr>
                <w:b/>
                <w:bCs/>
                <w:color w:val="000000"/>
                <w:sz w:val="18"/>
                <w:szCs w:val="18"/>
              </w:rPr>
              <w:t>Per Annum</w:t>
            </w:r>
          </w:p>
        </w:tc>
        <w:tc>
          <w:tcPr>
            <w:tcW w:w="1325" w:type="dxa"/>
            <w:tcMar>
              <w:top w:w="0" w:type="dxa"/>
              <w:left w:w="108" w:type="dxa"/>
              <w:bottom w:w="0" w:type="dxa"/>
              <w:right w:w="108" w:type="dxa"/>
            </w:tcMar>
            <w:hideMark/>
          </w:tcPr>
          <w:p w:rsidR="00EE4E8F" w:rsidRPr="008E57C5" w:rsidP="00EE4E8F" w14:paraId="3FDBFE24" w14:textId="77777777">
            <w:pPr>
              <w:overflowPunct/>
              <w:autoSpaceDE/>
              <w:autoSpaceDN/>
              <w:adjustRightInd/>
              <w:spacing w:before="100" w:beforeAutospacing="1"/>
              <w:jc w:val="center"/>
              <w:textAlignment w:val="auto"/>
              <w:rPr>
                <w:sz w:val="18"/>
                <w:szCs w:val="18"/>
              </w:rPr>
            </w:pPr>
            <w:r w:rsidRPr="008E57C5">
              <w:rPr>
                <w:b/>
                <w:bCs/>
                <w:color w:val="000000"/>
                <w:sz w:val="18"/>
                <w:szCs w:val="18"/>
              </w:rPr>
              <w:t>Burden Hour Per Response</w:t>
            </w:r>
          </w:p>
        </w:tc>
        <w:tc>
          <w:tcPr>
            <w:tcW w:w="861" w:type="dxa"/>
            <w:tcMar>
              <w:top w:w="0" w:type="dxa"/>
              <w:left w:w="108" w:type="dxa"/>
              <w:bottom w:w="0" w:type="dxa"/>
              <w:right w:w="108" w:type="dxa"/>
            </w:tcMar>
            <w:hideMark/>
          </w:tcPr>
          <w:p w:rsidR="00EE4E8F" w:rsidRPr="008E57C5" w:rsidP="00EE4E8F" w14:paraId="75B18630" w14:textId="77777777">
            <w:pPr>
              <w:overflowPunct/>
              <w:autoSpaceDE/>
              <w:autoSpaceDN/>
              <w:adjustRightInd/>
              <w:spacing w:before="100" w:beforeAutospacing="1"/>
              <w:jc w:val="center"/>
              <w:textAlignment w:val="auto"/>
              <w:rPr>
                <w:sz w:val="18"/>
                <w:szCs w:val="18"/>
              </w:rPr>
            </w:pPr>
            <w:r w:rsidRPr="008E57C5">
              <w:rPr>
                <w:b/>
                <w:bCs/>
                <w:color w:val="000000"/>
                <w:sz w:val="18"/>
                <w:szCs w:val="18"/>
              </w:rPr>
              <w:t>Annual Burden Hours</w:t>
            </w:r>
          </w:p>
        </w:tc>
        <w:tc>
          <w:tcPr>
            <w:tcW w:w="1028" w:type="dxa"/>
            <w:tcMar>
              <w:top w:w="0" w:type="dxa"/>
              <w:left w:w="108" w:type="dxa"/>
              <w:bottom w:w="0" w:type="dxa"/>
              <w:right w:w="108" w:type="dxa"/>
            </w:tcMar>
            <w:hideMark/>
          </w:tcPr>
          <w:p w:rsidR="00EE4E8F" w:rsidRPr="008E57C5" w:rsidP="00EE4E8F" w14:paraId="3675DAD8" w14:textId="77777777">
            <w:pPr>
              <w:overflowPunct/>
              <w:autoSpaceDE/>
              <w:autoSpaceDN/>
              <w:adjustRightInd/>
              <w:spacing w:before="100" w:beforeAutospacing="1"/>
              <w:jc w:val="center"/>
              <w:textAlignment w:val="auto"/>
              <w:rPr>
                <w:sz w:val="18"/>
                <w:szCs w:val="18"/>
              </w:rPr>
            </w:pPr>
            <w:r w:rsidRPr="008E57C5">
              <w:rPr>
                <w:b/>
                <w:bCs/>
                <w:color w:val="000000"/>
                <w:sz w:val="18"/>
                <w:szCs w:val="18"/>
              </w:rPr>
              <w:t>Hourly Cost Per Response</w:t>
            </w:r>
          </w:p>
        </w:tc>
        <w:tc>
          <w:tcPr>
            <w:tcW w:w="850" w:type="dxa"/>
            <w:tcMar>
              <w:top w:w="0" w:type="dxa"/>
              <w:left w:w="108" w:type="dxa"/>
              <w:bottom w:w="0" w:type="dxa"/>
              <w:right w:w="108" w:type="dxa"/>
            </w:tcMar>
            <w:hideMark/>
          </w:tcPr>
          <w:p w:rsidR="00EE4E8F" w:rsidRPr="008E57C5" w:rsidP="00EE4E8F" w14:paraId="6259709A" w14:textId="77777777">
            <w:pPr>
              <w:overflowPunct/>
              <w:autoSpaceDE/>
              <w:autoSpaceDN/>
              <w:adjustRightInd/>
              <w:spacing w:before="100" w:beforeAutospacing="1"/>
              <w:jc w:val="center"/>
              <w:textAlignment w:val="auto"/>
              <w:rPr>
                <w:sz w:val="18"/>
                <w:szCs w:val="18"/>
              </w:rPr>
            </w:pPr>
            <w:r w:rsidRPr="008E57C5">
              <w:rPr>
                <w:b/>
                <w:bCs/>
                <w:color w:val="000000"/>
                <w:sz w:val="18"/>
                <w:szCs w:val="18"/>
              </w:rPr>
              <w:t>Annual Cost</w:t>
            </w:r>
          </w:p>
        </w:tc>
      </w:tr>
      <w:tr w14:paraId="71CB7924" w14:textId="77777777" w:rsidTr="00DC4DAF">
        <w:tblPrEx>
          <w:tblW w:w="9198" w:type="dxa"/>
          <w:tblInd w:w="607" w:type="dxa"/>
          <w:tblCellMar>
            <w:left w:w="0" w:type="dxa"/>
            <w:right w:w="0" w:type="dxa"/>
          </w:tblCellMar>
          <w:tblLook w:val="04A0"/>
        </w:tblPrEx>
        <w:tc>
          <w:tcPr>
            <w:tcW w:w="1428" w:type="dxa"/>
            <w:tcMar>
              <w:top w:w="0" w:type="dxa"/>
              <w:left w:w="108" w:type="dxa"/>
              <w:bottom w:w="0" w:type="dxa"/>
              <w:right w:w="108" w:type="dxa"/>
            </w:tcMar>
            <w:hideMark/>
          </w:tcPr>
          <w:p w:rsidR="00EE4E8F" w:rsidRPr="008E57C5" w:rsidP="00EE4E8F" w14:paraId="1C9116B8" w14:textId="77777777">
            <w:pPr>
              <w:overflowPunct/>
              <w:autoSpaceDE/>
              <w:autoSpaceDN/>
              <w:adjustRightInd/>
              <w:spacing w:before="100" w:beforeAutospacing="1"/>
              <w:textAlignment w:val="auto"/>
              <w:rPr>
                <w:sz w:val="18"/>
                <w:szCs w:val="18"/>
              </w:rPr>
            </w:pPr>
            <w:r w:rsidRPr="008E57C5">
              <w:rPr>
                <w:b/>
                <w:bCs/>
                <w:color w:val="000000"/>
                <w:sz w:val="18"/>
                <w:szCs w:val="18"/>
              </w:rPr>
              <w:t>Questionnaire</w:t>
            </w:r>
          </w:p>
        </w:tc>
        <w:tc>
          <w:tcPr>
            <w:tcW w:w="1306" w:type="dxa"/>
            <w:tcMar>
              <w:top w:w="0" w:type="dxa"/>
              <w:left w:w="108" w:type="dxa"/>
              <w:bottom w:w="0" w:type="dxa"/>
              <w:right w:w="108" w:type="dxa"/>
            </w:tcMar>
            <w:hideMark/>
          </w:tcPr>
          <w:p w:rsidR="00EE4E8F" w:rsidRPr="008E57C5" w:rsidP="00EE4E8F" w14:paraId="0521582E" w14:textId="77777777">
            <w:pPr>
              <w:overflowPunct/>
              <w:autoSpaceDE/>
              <w:autoSpaceDN/>
              <w:adjustRightInd/>
              <w:spacing w:before="100" w:beforeAutospacing="1"/>
              <w:jc w:val="center"/>
              <w:textAlignment w:val="auto"/>
              <w:rPr>
                <w:sz w:val="18"/>
                <w:szCs w:val="18"/>
              </w:rPr>
            </w:pPr>
            <w:r w:rsidRPr="008E57C5">
              <w:rPr>
                <w:sz w:val="18"/>
                <w:szCs w:val="18"/>
              </w:rPr>
              <w:t>186</w:t>
            </w:r>
          </w:p>
        </w:tc>
        <w:tc>
          <w:tcPr>
            <w:tcW w:w="1152" w:type="dxa"/>
            <w:tcMar>
              <w:top w:w="0" w:type="dxa"/>
              <w:left w:w="108" w:type="dxa"/>
              <w:bottom w:w="0" w:type="dxa"/>
              <w:right w:w="108" w:type="dxa"/>
            </w:tcMar>
            <w:hideMark/>
          </w:tcPr>
          <w:p w:rsidR="00EE4E8F" w:rsidRPr="008E57C5" w:rsidP="00EE4E8F" w14:paraId="6B408D30" w14:textId="77777777">
            <w:pPr>
              <w:overflowPunct/>
              <w:autoSpaceDE/>
              <w:autoSpaceDN/>
              <w:adjustRightInd/>
              <w:spacing w:before="100" w:beforeAutospacing="1"/>
              <w:jc w:val="center"/>
              <w:textAlignment w:val="auto"/>
              <w:rPr>
                <w:sz w:val="18"/>
                <w:szCs w:val="18"/>
              </w:rPr>
            </w:pPr>
            <w:r w:rsidRPr="008E57C5">
              <w:rPr>
                <w:bCs/>
                <w:color w:val="000000"/>
                <w:sz w:val="18"/>
                <w:szCs w:val="18"/>
              </w:rPr>
              <w:t>1</w:t>
            </w:r>
          </w:p>
        </w:tc>
        <w:tc>
          <w:tcPr>
            <w:tcW w:w="1248" w:type="dxa"/>
            <w:tcMar>
              <w:top w:w="0" w:type="dxa"/>
              <w:left w:w="108" w:type="dxa"/>
              <w:bottom w:w="0" w:type="dxa"/>
              <w:right w:w="108" w:type="dxa"/>
            </w:tcMar>
            <w:hideMark/>
          </w:tcPr>
          <w:p w:rsidR="00EE4E8F" w:rsidRPr="008E57C5" w:rsidP="00EE4E8F" w14:paraId="26755849" w14:textId="77777777">
            <w:pPr>
              <w:overflowPunct/>
              <w:autoSpaceDE/>
              <w:autoSpaceDN/>
              <w:adjustRightInd/>
              <w:spacing w:before="100" w:beforeAutospacing="1"/>
              <w:jc w:val="center"/>
              <w:textAlignment w:val="auto"/>
              <w:rPr>
                <w:sz w:val="18"/>
                <w:szCs w:val="18"/>
              </w:rPr>
            </w:pPr>
            <w:r w:rsidRPr="008E57C5">
              <w:rPr>
                <w:bCs/>
                <w:color w:val="000000"/>
                <w:sz w:val="18"/>
                <w:szCs w:val="18"/>
              </w:rPr>
              <w:t>186</w:t>
            </w:r>
          </w:p>
        </w:tc>
        <w:tc>
          <w:tcPr>
            <w:tcW w:w="1325" w:type="dxa"/>
            <w:tcMar>
              <w:top w:w="0" w:type="dxa"/>
              <w:left w:w="108" w:type="dxa"/>
              <w:bottom w:w="0" w:type="dxa"/>
              <w:right w:w="108" w:type="dxa"/>
            </w:tcMar>
            <w:hideMark/>
          </w:tcPr>
          <w:p w:rsidR="00EE4E8F" w:rsidRPr="008E57C5" w:rsidP="00EE4E8F" w14:paraId="7EC8A715" w14:textId="77777777">
            <w:pPr>
              <w:overflowPunct/>
              <w:autoSpaceDE/>
              <w:autoSpaceDN/>
              <w:adjustRightInd/>
              <w:spacing w:before="100" w:beforeAutospacing="1"/>
              <w:jc w:val="center"/>
              <w:textAlignment w:val="auto"/>
              <w:rPr>
                <w:sz w:val="18"/>
                <w:szCs w:val="18"/>
              </w:rPr>
            </w:pPr>
            <w:r w:rsidRPr="008E57C5">
              <w:rPr>
                <w:color w:val="000000"/>
                <w:sz w:val="18"/>
                <w:szCs w:val="18"/>
              </w:rPr>
              <w:t>2.33</w:t>
            </w:r>
          </w:p>
        </w:tc>
        <w:tc>
          <w:tcPr>
            <w:tcW w:w="861" w:type="dxa"/>
            <w:tcMar>
              <w:top w:w="0" w:type="dxa"/>
              <w:left w:w="108" w:type="dxa"/>
              <w:bottom w:w="0" w:type="dxa"/>
              <w:right w:w="108" w:type="dxa"/>
            </w:tcMar>
            <w:hideMark/>
          </w:tcPr>
          <w:p w:rsidR="00EE4E8F" w:rsidRPr="008E57C5" w:rsidP="00EE4E8F" w14:paraId="72BEC42A" w14:textId="77777777">
            <w:pPr>
              <w:overflowPunct/>
              <w:autoSpaceDE/>
              <w:autoSpaceDN/>
              <w:adjustRightInd/>
              <w:spacing w:before="100" w:beforeAutospacing="1"/>
              <w:jc w:val="center"/>
              <w:textAlignment w:val="auto"/>
              <w:rPr>
                <w:sz w:val="18"/>
                <w:szCs w:val="18"/>
              </w:rPr>
            </w:pPr>
            <w:r w:rsidRPr="008E57C5">
              <w:rPr>
                <w:bCs/>
                <w:color w:val="000000"/>
                <w:sz w:val="18"/>
                <w:szCs w:val="18"/>
              </w:rPr>
              <w:t>433</w:t>
            </w:r>
          </w:p>
        </w:tc>
        <w:tc>
          <w:tcPr>
            <w:tcW w:w="1028" w:type="dxa"/>
            <w:tcMar>
              <w:top w:w="0" w:type="dxa"/>
              <w:left w:w="108" w:type="dxa"/>
              <w:bottom w:w="0" w:type="dxa"/>
              <w:right w:w="108" w:type="dxa"/>
            </w:tcMar>
            <w:hideMark/>
          </w:tcPr>
          <w:p w:rsidR="00EE4E8F" w:rsidRPr="008E57C5" w:rsidP="00EE4E8F" w14:paraId="1B78830F" w14:textId="77777777">
            <w:pPr>
              <w:overflowPunct/>
              <w:autoSpaceDE/>
              <w:autoSpaceDN/>
              <w:adjustRightInd/>
              <w:spacing w:before="100" w:beforeAutospacing="1"/>
              <w:jc w:val="center"/>
              <w:textAlignment w:val="auto"/>
              <w:rPr>
                <w:sz w:val="18"/>
                <w:szCs w:val="18"/>
              </w:rPr>
            </w:pPr>
            <w:r w:rsidRPr="008E57C5">
              <w:rPr>
                <w:sz w:val="18"/>
                <w:szCs w:val="18"/>
              </w:rPr>
              <w:t>$0</w:t>
            </w:r>
          </w:p>
        </w:tc>
        <w:tc>
          <w:tcPr>
            <w:tcW w:w="850" w:type="dxa"/>
            <w:tcMar>
              <w:top w:w="0" w:type="dxa"/>
              <w:left w:w="108" w:type="dxa"/>
              <w:bottom w:w="0" w:type="dxa"/>
              <w:right w:w="108" w:type="dxa"/>
            </w:tcMar>
            <w:hideMark/>
          </w:tcPr>
          <w:p w:rsidR="00EE4E8F" w:rsidRPr="008E57C5" w:rsidP="00EE4E8F" w14:paraId="79489D67" w14:textId="77777777">
            <w:pPr>
              <w:overflowPunct/>
              <w:autoSpaceDE/>
              <w:autoSpaceDN/>
              <w:adjustRightInd/>
              <w:spacing w:before="100" w:beforeAutospacing="1"/>
              <w:jc w:val="center"/>
              <w:textAlignment w:val="auto"/>
              <w:rPr>
                <w:sz w:val="18"/>
                <w:szCs w:val="18"/>
              </w:rPr>
            </w:pPr>
            <w:r w:rsidRPr="008E57C5">
              <w:rPr>
                <w:bCs/>
                <w:color w:val="000000"/>
                <w:sz w:val="18"/>
                <w:szCs w:val="18"/>
              </w:rPr>
              <w:t>$0</w:t>
            </w:r>
          </w:p>
        </w:tc>
      </w:tr>
    </w:tbl>
    <w:p w:rsidR="009E13B1" w:rsidRPr="00CC4688" w14:paraId="197E2D1B" w14:textId="77777777">
      <w:pPr>
        <w:keepLines/>
        <w:tabs>
          <w:tab w:val="left" w:pos="360"/>
          <w:tab w:val="left" w:pos="720"/>
          <w:tab w:val="center" w:pos="1680"/>
          <w:tab w:val="center" w:pos="3120"/>
          <w:tab w:val="center" w:pos="4560"/>
          <w:tab w:val="center" w:pos="6000"/>
          <w:tab w:val="center" w:pos="7440"/>
          <w:tab w:val="center" w:pos="8880"/>
        </w:tabs>
        <w:ind w:left="360"/>
        <w:rPr>
          <w:sz w:val="24"/>
          <w:szCs w:val="24"/>
        </w:rPr>
      </w:pPr>
    </w:p>
    <w:p w:rsidR="000D5079" w:rsidRPr="00DC4DAF" w14:paraId="0CEE4D0B" w14:textId="77777777">
      <w:pPr>
        <w:tabs>
          <w:tab w:val="left" w:pos="360"/>
        </w:tabs>
        <w:ind w:left="360" w:hanging="360"/>
        <w:rPr>
          <w:b/>
          <w:bCs/>
          <w:sz w:val="24"/>
          <w:szCs w:val="24"/>
        </w:rPr>
      </w:pPr>
      <w:r w:rsidRPr="00DC4DAF">
        <w:rPr>
          <w:b/>
          <w:bCs/>
          <w:sz w:val="24"/>
          <w:szCs w:val="24"/>
        </w:rPr>
        <w:t>13.</w:t>
      </w:r>
      <w:r w:rsidRPr="00DC4DAF">
        <w:rPr>
          <w:b/>
          <w:bCs/>
          <w:sz w:val="24"/>
          <w:szCs w:val="24"/>
        </w:rPr>
        <w:tab/>
        <w:t>Provide an estimate of the total annual cost burden to respondents or recordkeepers resulting from the collection of information</w:t>
      </w:r>
      <w:r w:rsidRPr="00DC4DAF">
        <w:rPr>
          <w:b/>
          <w:bCs/>
          <w:sz w:val="24"/>
          <w:szCs w:val="24"/>
        </w:rPr>
        <w:t>. (Do not include the cost of any hour burden already reflected on the burden worksheet</w:t>
      </w:r>
      <w:r w:rsidRPr="00DC4DAF">
        <w:rPr>
          <w:b/>
          <w:bCs/>
          <w:sz w:val="24"/>
          <w:szCs w:val="24"/>
        </w:rPr>
        <w:t xml:space="preserve"> shown in Items 12 and 14).</w:t>
      </w:r>
    </w:p>
    <w:p w:rsidR="009E13B1" w:rsidRPr="00CC4688" w14:paraId="2D0E6548" w14:textId="77777777">
      <w:pPr>
        <w:tabs>
          <w:tab w:val="left" w:pos="360"/>
        </w:tabs>
        <w:ind w:left="360" w:hanging="360"/>
        <w:rPr>
          <w:sz w:val="24"/>
          <w:szCs w:val="24"/>
        </w:rPr>
      </w:pPr>
      <w:r w:rsidRPr="00CC4688">
        <w:rPr>
          <w:sz w:val="24"/>
          <w:szCs w:val="24"/>
        </w:rPr>
        <w:t xml:space="preserve"> </w:t>
      </w:r>
    </w:p>
    <w:p w:rsidR="009E13B1" w:rsidRPr="00CC4688" w:rsidP="00B73581" w14:paraId="1C503D2C" w14:textId="77777777">
      <w:pPr>
        <w:numPr>
          <w:ilvl w:val="0"/>
          <w:numId w:val="29"/>
        </w:numPr>
        <w:tabs>
          <w:tab w:val="left" w:pos="360"/>
        </w:tabs>
        <w:rPr>
          <w:sz w:val="24"/>
          <w:szCs w:val="24"/>
        </w:rPr>
      </w:pPr>
      <w:r w:rsidRPr="00CC4688">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CC4688">
        <w:rPr>
          <w:sz w:val="24"/>
          <w:szCs w:val="24"/>
        </w:rPr>
        <w:t>take into account</w:t>
      </w:r>
      <w:r w:rsidRPr="00CC4688">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CC4688">
        <w:rPr>
          <w:sz w:val="24"/>
          <w:szCs w:val="24"/>
        </w:rPr>
        <w:t>time period</w:t>
      </w:r>
      <w:r w:rsidRPr="00CC4688">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CC4688">
        <w:rPr>
          <w:sz w:val="24"/>
          <w:szCs w:val="24"/>
        </w:rPr>
        <w:t>facilities;</w:t>
      </w:r>
      <w:r w:rsidRPr="00CC4688">
        <w:rPr>
          <w:sz w:val="24"/>
          <w:szCs w:val="24"/>
        </w:rPr>
        <w:t xml:space="preserve"> </w:t>
      </w:r>
    </w:p>
    <w:p w:rsidR="009E13B1" w:rsidRPr="00CC4688" w:rsidP="00B73581" w14:paraId="4D47756F" w14:textId="77777777">
      <w:pPr>
        <w:numPr>
          <w:ilvl w:val="0"/>
          <w:numId w:val="29"/>
        </w:numPr>
        <w:tabs>
          <w:tab w:val="left" w:pos="360"/>
        </w:tabs>
        <w:rPr>
          <w:sz w:val="24"/>
          <w:szCs w:val="24"/>
        </w:rPr>
      </w:pPr>
      <w:r w:rsidRPr="00CC4688">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CC4688" w:rsidP="00B73581" w14:paraId="497102DC" w14:textId="77777777">
      <w:pPr>
        <w:keepLines/>
        <w:numPr>
          <w:ilvl w:val="0"/>
          <w:numId w:val="29"/>
        </w:numPr>
        <w:tabs>
          <w:tab w:val="left" w:pos="360"/>
        </w:tabs>
        <w:spacing w:after="80"/>
        <w:rPr>
          <w:sz w:val="24"/>
          <w:szCs w:val="24"/>
        </w:rPr>
      </w:pPr>
      <w:r w:rsidRPr="00CC4688">
        <w:rPr>
          <w:sz w:val="24"/>
          <w:szCs w:val="24"/>
        </w:rPr>
        <w:t>G</w:t>
      </w:r>
      <w:r w:rsidRPr="00CC4688">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E4E8F" w:rsidRPr="00CC4688" w:rsidP="00F66E2B" w14:paraId="5F597DF5" w14:textId="77777777">
      <w:pPr>
        <w:pStyle w:val="NoSpacing"/>
      </w:pPr>
    </w:p>
    <w:p w:rsidR="00EE4E8F" w:rsidRPr="00EE4E8F" w:rsidP="00EE4E8F" w14:paraId="6FE86668" w14:textId="77777777">
      <w:pPr>
        <w:overflowPunct/>
        <w:autoSpaceDE/>
        <w:autoSpaceDN/>
        <w:adjustRightInd/>
        <w:ind w:left="360"/>
        <w:textAlignment w:val="auto"/>
        <w:rPr>
          <w:rFonts w:ascii="Arial" w:hAnsi="Arial" w:cs="Univers"/>
          <w:sz w:val="24"/>
          <w:szCs w:val="24"/>
        </w:rPr>
      </w:pPr>
      <w:r w:rsidRPr="00EE4E8F">
        <w:rPr>
          <w:sz w:val="24"/>
          <w:szCs w:val="24"/>
        </w:rPr>
        <w:t>There is no anticipated cost burden to respondents resulting from the collection of information, since the respondents, which are OLHCHH LHR grantees, are required to participate as a condition of their grant award and costs incurred in responding to the survey are reimbursable under the grant. Respondents will not be required to incur (a) capital or start-up costs; or (b) operation and maintenance and purchase of services costs.</w:t>
      </w:r>
      <w:r w:rsidRPr="00EE4E8F">
        <w:rPr>
          <w:rFonts w:ascii="Arial" w:hAnsi="Arial" w:cs="Univers"/>
          <w:sz w:val="24"/>
          <w:szCs w:val="24"/>
        </w:rPr>
        <w:t xml:space="preserve"> </w:t>
      </w:r>
      <w:r w:rsidRPr="00EE4E8F">
        <w:rPr>
          <w:sz w:val="24"/>
          <w:szCs w:val="24"/>
        </w:rPr>
        <w:t>Respondents will not be asked or required to keep any records generated in responding to this survey</w:t>
      </w:r>
      <w:r w:rsidRPr="00EE4E8F">
        <w:rPr>
          <w:rFonts w:ascii="Arial" w:hAnsi="Arial" w:cs="Univers"/>
          <w:sz w:val="24"/>
          <w:szCs w:val="24"/>
        </w:rPr>
        <w:t>.</w:t>
      </w:r>
    </w:p>
    <w:p w:rsidR="00EE4E8F" w:rsidRPr="00CC4688" w:rsidP="00EE4E8F" w14:paraId="5ABBC103" w14:textId="77777777">
      <w:pPr>
        <w:keepLines/>
        <w:tabs>
          <w:tab w:val="left" w:pos="360"/>
        </w:tabs>
        <w:spacing w:after="80"/>
        <w:rPr>
          <w:sz w:val="24"/>
          <w:szCs w:val="24"/>
        </w:rPr>
      </w:pPr>
    </w:p>
    <w:p w:rsidR="009E13B1" w:rsidRPr="00DC4DAF" w14:paraId="0F877C1B" w14:textId="77777777">
      <w:pPr>
        <w:keepLines/>
        <w:tabs>
          <w:tab w:val="left" w:pos="360"/>
        </w:tabs>
        <w:spacing w:after="80"/>
        <w:ind w:left="360" w:hanging="360"/>
        <w:rPr>
          <w:b/>
          <w:bCs/>
          <w:sz w:val="24"/>
          <w:szCs w:val="24"/>
        </w:rPr>
      </w:pPr>
      <w:r w:rsidRPr="00DC4DAF">
        <w:rPr>
          <w:b/>
          <w:bCs/>
          <w:sz w:val="24"/>
          <w:szCs w:val="24"/>
        </w:rPr>
        <w:t>14.</w:t>
      </w:r>
      <w:r w:rsidRPr="00DC4DAF">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C4DAF" w:rsidP="00EE4E8F" w14:paraId="6C5E4FE0" w14:textId="77777777">
      <w:pPr>
        <w:ind w:left="360"/>
        <w:rPr>
          <w:sz w:val="24"/>
          <w:szCs w:val="24"/>
        </w:rPr>
      </w:pPr>
    </w:p>
    <w:p w:rsidR="00EE4E8F" w:rsidRPr="00EE4E8F" w:rsidP="00EE4E8F" w14:paraId="09E1DB9F" w14:textId="1064214D">
      <w:pPr>
        <w:ind w:left="360"/>
        <w:rPr>
          <w:sz w:val="24"/>
          <w:szCs w:val="24"/>
        </w:rPr>
      </w:pPr>
      <w:r w:rsidRPr="00EE4E8F">
        <w:rPr>
          <w:sz w:val="24"/>
          <w:szCs w:val="24"/>
        </w:rPr>
        <w:t>The survey will be conducted by HUD’s Contractor, QuanTech. The estimated cost to the Government, for these contracts and for HUD personnel to oversee the Contractor’s work, is $329,548 over the 18-month period. The annualized cost is $219,699.</w:t>
      </w:r>
    </w:p>
    <w:p w:rsidR="00EE4E8F" w:rsidRPr="00EE4E8F" w:rsidP="00EE4E8F" w14:paraId="38B31663" w14:textId="77777777">
      <w:pPr>
        <w:ind w:firstLine="720"/>
        <w:rPr>
          <w:sz w:val="24"/>
          <w:szCs w:val="24"/>
        </w:rPr>
      </w:pPr>
    </w:p>
    <w:tbl>
      <w:tblPr>
        <w:tblW w:w="6092" w:type="dxa"/>
        <w:tblInd w:w="1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022"/>
        <w:gridCol w:w="2070"/>
      </w:tblGrid>
      <w:tr w14:paraId="11EBF333" w14:textId="77777777" w:rsidTr="008E57C5">
        <w:tblPrEx>
          <w:tblW w:w="6092" w:type="dxa"/>
          <w:tblInd w:w="1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288"/>
        </w:trPr>
        <w:tc>
          <w:tcPr>
            <w:tcW w:w="4022" w:type="dxa"/>
            <w:shd w:val="clear" w:color="auto" w:fill="auto"/>
            <w:noWrap/>
            <w:vAlign w:val="bottom"/>
            <w:hideMark/>
          </w:tcPr>
          <w:p w:rsidR="00EE4E8F" w:rsidRPr="008E57C5" w:rsidP="00EE4E8F" w14:paraId="496EB393" w14:textId="77777777">
            <w:pPr>
              <w:overflowPunct/>
              <w:autoSpaceDE/>
              <w:autoSpaceDN/>
              <w:adjustRightInd/>
              <w:textAlignment w:val="auto"/>
              <w:rPr>
                <w:rFonts w:cs="Calibri"/>
                <w:color w:val="000000"/>
                <w:sz w:val="18"/>
                <w:szCs w:val="18"/>
              </w:rPr>
            </w:pPr>
            <w:r w:rsidRPr="008E57C5">
              <w:rPr>
                <w:rFonts w:cs="Calibri"/>
                <w:color w:val="000000"/>
                <w:sz w:val="18"/>
                <w:szCs w:val="18"/>
              </w:rPr>
              <w:t xml:space="preserve">Original TO Design Concepts </w:t>
            </w:r>
          </w:p>
        </w:tc>
        <w:tc>
          <w:tcPr>
            <w:tcW w:w="2070" w:type="dxa"/>
            <w:shd w:val="clear" w:color="auto" w:fill="auto"/>
            <w:noWrap/>
            <w:vAlign w:val="bottom"/>
            <w:hideMark/>
          </w:tcPr>
          <w:p w:rsidR="00EE4E8F" w:rsidRPr="008E57C5" w:rsidP="00EE4E8F" w14:paraId="36EBDF8D" w14:textId="77777777">
            <w:pPr>
              <w:overflowPunct/>
              <w:autoSpaceDE/>
              <w:autoSpaceDN/>
              <w:adjustRightInd/>
              <w:jc w:val="right"/>
              <w:textAlignment w:val="auto"/>
              <w:rPr>
                <w:rFonts w:cs="Calibri"/>
                <w:color w:val="000000"/>
                <w:sz w:val="18"/>
                <w:szCs w:val="18"/>
              </w:rPr>
            </w:pPr>
            <w:r w:rsidRPr="008E57C5">
              <w:rPr>
                <w:rFonts w:cs="Calibri"/>
                <w:color w:val="000000"/>
                <w:sz w:val="18"/>
                <w:szCs w:val="18"/>
              </w:rPr>
              <w:t>$90,000</w:t>
            </w:r>
          </w:p>
        </w:tc>
      </w:tr>
      <w:tr w14:paraId="3E1D2D42" w14:textId="77777777" w:rsidTr="008E57C5">
        <w:tblPrEx>
          <w:tblW w:w="6092" w:type="dxa"/>
          <w:tblInd w:w="1188" w:type="dxa"/>
          <w:tblLook w:val="04A0"/>
        </w:tblPrEx>
        <w:trPr>
          <w:trHeight w:val="288"/>
        </w:trPr>
        <w:tc>
          <w:tcPr>
            <w:tcW w:w="4022" w:type="dxa"/>
            <w:shd w:val="clear" w:color="auto" w:fill="auto"/>
            <w:noWrap/>
            <w:vAlign w:val="bottom"/>
            <w:hideMark/>
          </w:tcPr>
          <w:p w:rsidR="005C3BA4" w:rsidRPr="008E57C5" w:rsidP="00EE4E8F" w14:paraId="23DDB03D" w14:textId="77777777">
            <w:pPr>
              <w:overflowPunct/>
              <w:autoSpaceDE/>
              <w:autoSpaceDN/>
              <w:adjustRightInd/>
              <w:ind w:right="-648"/>
              <w:textAlignment w:val="auto"/>
              <w:rPr>
                <w:rFonts w:cs="Calibri"/>
                <w:color w:val="000000"/>
                <w:sz w:val="18"/>
                <w:szCs w:val="18"/>
              </w:rPr>
            </w:pPr>
            <w:r w:rsidRPr="008E57C5">
              <w:rPr>
                <w:rFonts w:cs="Calibri"/>
                <w:color w:val="000000"/>
                <w:sz w:val="18"/>
                <w:szCs w:val="18"/>
              </w:rPr>
              <w:t>Survey Design and Operations (QuanTech)</w:t>
            </w:r>
          </w:p>
        </w:tc>
        <w:tc>
          <w:tcPr>
            <w:tcW w:w="2070" w:type="dxa"/>
            <w:shd w:val="clear" w:color="auto" w:fill="auto"/>
            <w:noWrap/>
            <w:vAlign w:val="bottom"/>
            <w:hideMark/>
          </w:tcPr>
          <w:p w:rsidR="005C3BA4" w:rsidRPr="008E57C5" w:rsidP="00EE4E8F" w14:paraId="573C4483" w14:textId="77777777">
            <w:pPr>
              <w:overflowPunct/>
              <w:autoSpaceDE/>
              <w:autoSpaceDN/>
              <w:adjustRightInd/>
              <w:jc w:val="right"/>
              <w:textAlignment w:val="auto"/>
              <w:rPr>
                <w:rFonts w:cs="Calibri"/>
                <w:color w:val="000000"/>
                <w:sz w:val="18"/>
                <w:szCs w:val="18"/>
              </w:rPr>
            </w:pPr>
            <w:r w:rsidRPr="008E57C5">
              <w:rPr>
                <w:rFonts w:cs="Calibri"/>
                <w:color w:val="000000"/>
                <w:sz w:val="18"/>
                <w:szCs w:val="18"/>
              </w:rPr>
              <w:t>$239,548</w:t>
            </w:r>
          </w:p>
        </w:tc>
      </w:tr>
      <w:tr w14:paraId="468BF8B9" w14:textId="77777777" w:rsidTr="008E57C5">
        <w:tblPrEx>
          <w:tblW w:w="6092" w:type="dxa"/>
          <w:tblInd w:w="1188" w:type="dxa"/>
          <w:tblLook w:val="04A0"/>
        </w:tblPrEx>
        <w:trPr>
          <w:trHeight w:val="288"/>
        </w:trPr>
        <w:tc>
          <w:tcPr>
            <w:tcW w:w="4022" w:type="dxa"/>
            <w:shd w:val="clear" w:color="auto" w:fill="auto"/>
            <w:noWrap/>
            <w:vAlign w:val="bottom"/>
            <w:hideMark/>
          </w:tcPr>
          <w:p w:rsidR="005C3BA4" w:rsidRPr="008E57C5" w:rsidP="005C3BA4" w14:paraId="31DB016A" w14:textId="77777777">
            <w:pPr>
              <w:overflowPunct/>
              <w:autoSpaceDE/>
              <w:autoSpaceDN/>
              <w:adjustRightInd/>
              <w:textAlignment w:val="auto"/>
              <w:rPr>
                <w:rFonts w:cs="Calibri"/>
                <w:b/>
                <w:color w:val="000000"/>
                <w:sz w:val="18"/>
                <w:szCs w:val="18"/>
              </w:rPr>
            </w:pPr>
            <w:r w:rsidRPr="008E57C5">
              <w:rPr>
                <w:rFonts w:cs="Calibri"/>
                <w:b/>
                <w:color w:val="000000"/>
                <w:sz w:val="18"/>
                <w:szCs w:val="18"/>
              </w:rPr>
              <w:t>Total</w:t>
            </w:r>
          </w:p>
        </w:tc>
        <w:tc>
          <w:tcPr>
            <w:tcW w:w="2070" w:type="dxa"/>
            <w:shd w:val="clear" w:color="auto" w:fill="auto"/>
            <w:noWrap/>
            <w:vAlign w:val="bottom"/>
            <w:hideMark/>
          </w:tcPr>
          <w:p w:rsidR="005C3BA4" w:rsidRPr="008E57C5" w:rsidP="005C3BA4" w14:paraId="48C4F230" w14:textId="77777777">
            <w:pPr>
              <w:overflowPunct/>
              <w:autoSpaceDE/>
              <w:autoSpaceDN/>
              <w:adjustRightInd/>
              <w:jc w:val="right"/>
              <w:textAlignment w:val="auto"/>
              <w:rPr>
                <w:rFonts w:cs="Calibri"/>
                <w:b/>
                <w:color w:val="000000"/>
                <w:sz w:val="18"/>
                <w:szCs w:val="18"/>
              </w:rPr>
            </w:pPr>
            <w:r w:rsidRPr="008E57C5">
              <w:rPr>
                <w:rFonts w:cs="Calibri"/>
                <w:b/>
                <w:color w:val="000000"/>
                <w:sz w:val="18"/>
                <w:szCs w:val="18"/>
              </w:rPr>
              <w:t>$329,548</w:t>
            </w:r>
          </w:p>
        </w:tc>
      </w:tr>
    </w:tbl>
    <w:p w:rsidR="006C7FAE" w:rsidRPr="00CC4688" w14:paraId="67B75C61" w14:textId="77777777">
      <w:pPr>
        <w:tabs>
          <w:tab w:val="left" w:pos="360"/>
        </w:tabs>
        <w:ind w:left="360" w:hanging="360"/>
        <w:rPr>
          <w:sz w:val="24"/>
          <w:szCs w:val="24"/>
        </w:rPr>
      </w:pPr>
    </w:p>
    <w:p w:rsidR="009E13B1" w:rsidRPr="00DC4DAF" w14:paraId="005FDD51" w14:textId="77777777">
      <w:pPr>
        <w:keepLines/>
        <w:tabs>
          <w:tab w:val="left" w:pos="360"/>
        </w:tabs>
        <w:spacing w:after="80"/>
        <w:ind w:left="360" w:hanging="360"/>
        <w:rPr>
          <w:b/>
          <w:bCs/>
          <w:sz w:val="24"/>
          <w:szCs w:val="24"/>
        </w:rPr>
      </w:pPr>
      <w:r w:rsidRPr="00DC4DAF">
        <w:rPr>
          <w:b/>
          <w:bCs/>
          <w:sz w:val="24"/>
          <w:szCs w:val="24"/>
        </w:rPr>
        <w:t>15.</w:t>
      </w:r>
      <w:r w:rsidRPr="00DC4DAF">
        <w:rPr>
          <w:b/>
          <w:bCs/>
          <w:sz w:val="24"/>
          <w:szCs w:val="24"/>
        </w:rPr>
        <w:tab/>
        <w:t>Explain the reasons for any program changes or adjustments reported in Items 1</w:t>
      </w:r>
      <w:r w:rsidRPr="00DC4DAF" w:rsidR="000D5079">
        <w:rPr>
          <w:b/>
          <w:bCs/>
          <w:sz w:val="24"/>
          <w:szCs w:val="24"/>
        </w:rPr>
        <w:t>2</w:t>
      </w:r>
      <w:r w:rsidRPr="00DC4DAF">
        <w:rPr>
          <w:b/>
          <w:bCs/>
          <w:sz w:val="24"/>
          <w:szCs w:val="24"/>
        </w:rPr>
        <w:t xml:space="preserve"> and 14 of the </w:t>
      </w:r>
      <w:r w:rsidRPr="00DC4DAF" w:rsidR="00CA06CC">
        <w:rPr>
          <w:b/>
          <w:bCs/>
          <w:sz w:val="24"/>
          <w:szCs w:val="24"/>
        </w:rPr>
        <w:t>Supporting Statement</w:t>
      </w:r>
      <w:r w:rsidRPr="00DC4DAF">
        <w:rPr>
          <w:b/>
          <w:bCs/>
          <w:sz w:val="24"/>
          <w:szCs w:val="24"/>
        </w:rPr>
        <w:t>.</w:t>
      </w:r>
    </w:p>
    <w:p w:rsidR="00DC4DAF" w:rsidP="00DC4DAF" w14:paraId="485B4ABF" w14:textId="77777777">
      <w:pPr>
        <w:pStyle w:val="NoSpacing"/>
      </w:pPr>
    </w:p>
    <w:p w:rsidR="00EE4E8F" w:rsidRPr="00CC4688" w14:paraId="44C28EC9" w14:textId="389F0A4F">
      <w:pPr>
        <w:keepLines/>
        <w:tabs>
          <w:tab w:val="left" w:pos="360"/>
        </w:tabs>
        <w:spacing w:after="80"/>
        <w:ind w:left="360" w:hanging="360"/>
        <w:rPr>
          <w:sz w:val="24"/>
          <w:szCs w:val="24"/>
        </w:rPr>
      </w:pPr>
      <w:r w:rsidRPr="00CC4688">
        <w:rPr>
          <w:sz w:val="24"/>
          <w:szCs w:val="24"/>
        </w:rPr>
        <w:tab/>
        <w:t>This is an initial request; there are no changes or adjustments to items 12 or 14.</w:t>
      </w:r>
    </w:p>
    <w:p w:rsidR="00DC4DAF" w:rsidP="00DC4DAF" w14:paraId="0BD3389A" w14:textId="77777777">
      <w:pPr>
        <w:pStyle w:val="NoSpacing"/>
      </w:pPr>
    </w:p>
    <w:p w:rsidR="009E13B1" w:rsidRPr="00DC4DAF" w14:paraId="191E7ECF" w14:textId="714F5740">
      <w:pPr>
        <w:keepLines/>
        <w:tabs>
          <w:tab w:val="left" w:pos="360"/>
        </w:tabs>
        <w:spacing w:after="80"/>
        <w:ind w:left="360" w:hanging="360"/>
        <w:rPr>
          <w:b/>
          <w:bCs/>
          <w:sz w:val="24"/>
          <w:szCs w:val="24"/>
        </w:rPr>
      </w:pPr>
      <w:r w:rsidRPr="00DC4DAF">
        <w:rPr>
          <w:b/>
          <w:bCs/>
          <w:sz w:val="24"/>
          <w:szCs w:val="24"/>
        </w:rPr>
        <w:t>16.</w:t>
      </w:r>
      <w:r w:rsidRPr="00DC4DAF">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C4DAF" w:rsidP="00EE4E8F" w14:paraId="0A6EA4E6" w14:textId="77777777">
      <w:pPr>
        <w:tabs>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EE4E8F" w:rsidRPr="00CC4688" w:rsidP="00EE4E8F" w14:paraId="35BACE2C" w14:textId="792B3A75">
      <w:pPr>
        <w:tabs>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EE4E8F">
        <w:rPr>
          <w:sz w:val="24"/>
          <w:szCs w:val="24"/>
        </w:rPr>
        <w:t>The survey data will be used internally by HUD for the design of a new National Evaluation of HUD’s Lead Hazard Reduction Grant Program. There are no plans to publish the data.</w:t>
      </w:r>
    </w:p>
    <w:p w:rsidR="00CC4688" w:rsidRPr="00CC4688" w:rsidP="00EE4E8F" w14:paraId="0C5C77D5" w14:textId="77777777">
      <w:pPr>
        <w:tabs>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CC4688" w:rsidRPr="00CC4688" w:rsidP="00CC4688" w14:paraId="793C3218" w14:textId="77777777">
      <w:pPr>
        <w:ind w:left="360"/>
        <w:rPr>
          <w:b/>
          <w:bCs/>
          <w:i/>
          <w:iCs/>
          <w:sz w:val="24"/>
          <w:szCs w:val="24"/>
        </w:rPr>
      </w:pPr>
      <w:r w:rsidRPr="00CC4688">
        <w:rPr>
          <w:b/>
          <w:bCs/>
          <w:i/>
          <w:iCs/>
          <w:sz w:val="24"/>
          <w:szCs w:val="24"/>
        </w:rPr>
        <w:t>Schedule</w:t>
      </w:r>
    </w:p>
    <w:tbl>
      <w:tblPr>
        <w:tblW w:w="8370" w:type="dxa"/>
        <w:tblInd w:w="345" w:type="dxa"/>
        <w:tblLook w:val="04A0"/>
      </w:tblPr>
      <w:tblGrid>
        <w:gridCol w:w="5850"/>
        <w:gridCol w:w="1260"/>
        <w:gridCol w:w="1260"/>
      </w:tblGrid>
      <w:tr w14:paraId="78C0DC4F" w14:textId="77777777" w:rsidTr="00F66E2B">
        <w:tblPrEx>
          <w:tblW w:w="8370" w:type="dxa"/>
          <w:tblInd w:w="345" w:type="dxa"/>
          <w:tblLook w:val="04A0"/>
        </w:tblPrEx>
        <w:trPr>
          <w:cantSplit/>
          <w:tblHeader/>
        </w:trPr>
        <w:tc>
          <w:tcPr>
            <w:tcW w:w="8370" w:type="dxa"/>
            <w:gridSpan w:val="3"/>
            <w:tcBorders>
              <w:top w:val="single" w:sz="12" w:space="0" w:color="auto"/>
              <w:left w:val="single" w:sz="12" w:space="0" w:color="auto"/>
              <w:bottom w:val="single" w:sz="12" w:space="0" w:color="auto"/>
            </w:tcBorders>
            <w:shd w:val="clear" w:color="auto" w:fill="D9D9D9"/>
            <w:vAlign w:val="center"/>
          </w:tcPr>
          <w:p w:rsidR="00CC4688" w:rsidRPr="008E57C5" w:rsidP="00CC4688" w14:paraId="56258735" w14:textId="77777777">
            <w:pPr>
              <w:overflowPunct/>
              <w:autoSpaceDE/>
              <w:autoSpaceDN/>
              <w:adjustRightInd/>
              <w:jc w:val="center"/>
              <w:textAlignment w:val="auto"/>
              <w:rPr>
                <w:b/>
                <w:bCs/>
                <w:color w:val="000000"/>
                <w:sz w:val="18"/>
                <w:szCs w:val="18"/>
              </w:rPr>
            </w:pPr>
            <w:r w:rsidRPr="008E57C5">
              <w:rPr>
                <w:b/>
                <w:bCs/>
                <w:color w:val="000000"/>
                <w:sz w:val="18"/>
                <w:szCs w:val="18"/>
              </w:rPr>
              <w:t>Table 1. Project Schedule</w:t>
            </w:r>
          </w:p>
        </w:tc>
      </w:tr>
      <w:tr w14:paraId="6F52FDCE" w14:textId="77777777" w:rsidTr="00F66E2B">
        <w:tblPrEx>
          <w:tblW w:w="8370" w:type="dxa"/>
          <w:tblInd w:w="345" w:type="dxa"/>
          <w:tblLook w:val="04A0"/>
        </w:tblPrEx>
        <w:trPr>
          <w:cantSplit/>
          <w:tblHeader/>
        </w:trPr>
        <w:tc>
          <w:tcPr>
            <w:tcW w:w="5850" w:type="dxa"/>
            <w:tcBorders>
              <w:top w:val="single" w:sz="12" w:space="0" w:color="auto"/>
              <w:left w:val="single" w:sz="12" w:space="0" w:color="auto"/>
              <w:bottom w:val="single" w:sz="12" w:space="0" w:color="auto"/>
              <w:right w:val="single" w:sz="8" w:space="0" w:color="auto"/>
            </w:tcBorders>
            <w:shd w:val="clear" w:color="auto" w:fill="D9D9D9"/>
            <w:vAlign w:val="center"/>
            <w:hideMark/>
          </w:tcPr>
          <w:p w:rsidR="00CC4688" w:rsidRPr="008E57C5" w:rsidP="00CC4688" w14:paraId="19D0BDA9" w14:textId="77777777">
            <w:pPr>
              <w:overflowPunct/>
              <w:autoSpaceDE/>
              <w:autoSpaceDN/>
              <w:adjustRightInd/>
              <w:textAlignment w:val="auto"/>
              <w:rPr>
                <w:b/>
                <w:bCs/>
                <w:color w:val="000000"/>
                <w:sz w:val="18"/>
                <w:szCs w:val="18"/>
              </w:rPr>
            </w:pPr>
            <w:r w:rsidRPr="008E57C5">
              <w:rPr>
                <w:b/>
                <w:bCs/>
                <w:color w:val="000000"/>
                <w:sz w:val="18"/>
                <w:szCs w:val="18"/>
              </w:rPr>
              <w:t>Task Name</w:t>
            </w:r>
          </w:p>
        </w:tc>
        <w:tc>
          <w:tcPr>
            <w:tcW w:w="1260" w:type="dxa"/>
            <w:tcBorders>
              <w:top w:val="single" w:sz="12" w:space="0" w:color="auto"/>
              <w:left w:val="nil"/>
              <w:bottom w:val="single" w:sz="12" w:space="0" w:color="auto"/>
              <w:right w:val="single" w:sz="8" w:space="0" w:color="auto"/>
            </w:tcBorders>
            <w:shd w:val="clear" w:color="auto" w:fill="D9D9D9"/>
            <w:vAlign w:val="center"/>
            <w:hideMark/>
          </w:tcPr>
          <w:p w:rsidR="00CC4688" w:rsidRPr="008E57C5" w:rsidP="00CC4688" w14:paraId="7808B2B7" w14:textId="77777777">
            <w:pPr>
              <w:overflowPunct/>
              <w:autoSpaceDE/>
              <w:autoSpaceDN/>
              <w:adjustRightInd/>
              <w:jc w:val="right"/>
              <w:textAlignment w:val="auto"/>
              <w:rPr>
                <w:b/>
                <w:bCs/>
                <w:color w:val="000000"/>
                <w:sz w:val="18"/>
                <w:szCs w:val="18"/>
              </w:rPr>
            </w:pPr>
            <w:r w:rsidRPr="008E57C5">
              <w:rPr>
                <w:b/>
                <w:bCs/>
                <w:color w:val="000000"/>
                <w:sz w:val="18"/>
                <w:szCs w:val="18"/>
              </w:rPr>
              <w:t>Start Date</w:t>
            </w:r>
          </w:p>
        </w:tc>
        <w:tc>
          <w:tcPr>
            <w:tcW w:w="1260" w:type="dxa"/>
            <w:tcBorders>
              <w:top w:val="single" w:sz="12" w:space="0" w:color="auto"/>
              <w:left w:val="nil"/>
              <w:bottom w:val="single" w:sz="12" w:space="0" w:color="auto"/>
              <w:right w:val="single" w:sz="12" w:space="0" w:color="auto"/>
            </w:tcBorders>
            <w:shd w:val="clear" w:color="auto" w:fill="D9D9D9"/>
            <w:vAlign w:val="center"/>
            <w:hideMark/>
          </w:tcPr>
          <w:p w:rsidR="00CC4688" w:rsidRPr="008E57C5" w:rsidP="00CC4688" w14:paraId="00BD0AC6" w14:textId="77777777">
            <w:pPr>
              <w:overflowPunct/>
              <w:autoSpaceDE/>
              <w:autoSpaceDN/>
              <w:adjustRightInd/>
              <w:jc w:val="right"/>
              <w:textAlignment w:val="auto"/>
              <w:rPr>
                <w:b/>
                <w:bCs/>
                <w:color w:val="000000"/>
                <w:sz w:val="18"/>
                <w:szCs w:val="18"/>
              </w:rPr>
            </w:pPr>
            <w:r w:rsidRPr="008E57C5">
              <w:rPr>
                <w:b/>
                <w:bCs/>
                <w:color w:val="000000"/>
                <w:sz w:val="18"/>
                <w:szCs w:val="18"/>
              </w:rPr>
              <w:t>End Date</w:t>
            </w:r>
          </w:p>
        </w:tc>
      </w:tr>
      <w:tr w14:paraId="21DC9E35" w14:textId="77777777" w:rsidTr="00F66E2B">
        <w:tblPrEx>
          <w:tblW w:w="8370" w:type="dxa"/>
          <w:tblInd w:w="345" w:type="dxa"/>
          <w:tblLook w:val="04A0"/>
        </w:tblPrEx>
        <w:trPr>
          <w:cantSplit/>
        </w:trPr>
        <w:tc>
          <w:tcPr>
            <w:tcW w:w="5850" w:type="dxa"/>
            <w:tcBorders>
              <w:top w:val="nil"/>
              <w:left w:val="single" w:sz="8" w:space="0" w:color="auto"/>
              <w:bottom w:val="single" w:sz="8" w:space="0" w:color="auto"/>
              <w:right w:val="single" w:sz="8" w:space="0" w:color="auto"/>
            </w:tcBorders>
            <w:vAlign w:val="center"/>
            <w:hideMark/>
          </w:tcPr>
          <w:p w:rsidR="00CC4688" w:rsidRPr="008E57C5" w:rsidP="00CC4688" w14:paraId="5DDFCAA9" w14:textId="77777777">
            <w:pPr>
              <w:overflowPunct/>
              <w:autoSpaceDE/>
              <w:autoSpaceDN/>
              <w:adjustRightInd/>
              <w:textAlignment w:val="auto"/>
              <w:rPr>
                <w:color w:val="000000"/>
                <w:sz w:val="18"/>
                <w:szCs w:val="18"/>
              </w:rPr>
            </w:pPr>
            <w:r w:rsidRPr="008E57C5">
              <w:rPr>
                <w:color w:val="000000"/>
                <w:sz w:val="18"/>
                <w:szCs w:val="18"/>
              </w:rPr>
              <w:t>OMB Approval of ICR</w:t>
            </w:r>
          </w:p>
        </w:tc>
        <w:tc>
          <w:tcPr>
            <w:tcW w:w="1260" w:type="dxa"/>
            <w:tcBorders>
              <w:top w:val="nil"/>
              <w:left w:val="nil"/>
              <w:bottom w:val="single" w:sz="8" w:space="0" w:color="auto"/>
              <w:right w:val="single" w:sz="8" w:space="0" w:color="auto"/>
            </w:tcBorders>
            <w:vAlign w:val="center"/>
            <w:hideMark/>
          </w:tcPr>
          <w:p w:rsidR="00CC4688" w:rsidRPr="008E57C5" w:rsidP="00CC4688" w14:paraId="6D6EA051" w14:textId="3FEAB1FE">
            <w:pPr>
              <w:overflowPunct/>
              <w:autoSpaceDE/>
              <w:autoSpaceDN/>
              <w:adjustRightInd/>
              <w:jc w:val="right"/>
              <w:textAlignment w:val="auto"/>
              <w:rPr>
                <w:color w:val="000000"/>
                <w:sz w:val="18"/>
                <w:szCs w:val="18"/>
              </w:rPr>
            </w:pPr>
            <w:r w:rsidRPr="008E57C5">
              <w:rPr>
                <w:color w:val="000000"/>
                <w:sz w:val="18"/>
                <w:szCs w:val="18"/>
              </w:rPr>
              <w:t>7</w:t>
            </w:r>
            <w:r w:rsidRPr="008E57C5">
              <w:rPr>
                <w:color w:val="000000"/>
                <w:sz w:val="18"/>
                <w:szCs w:val="18"/>
              </w:rPr>
              <w:t>/20/2024</w:t>
            </w:r>
          </w:p>
        </w:tc>
        <w:tc>
          <w:tcPr>
            <w:tcW w:w="1260" w:type="dxa"/>
            <w:tcBorders>
              <w:top w:val="nil"/>
              <w:left w:val="nil"/>
              <w:bottom w:val="single" w:sz="8" w:space="0" w:color="auto"/>
              <w:right w:val="single" w:sz="8" w:space="0" w:color="auto"/>
            </w:tcBorders>
            <w:vAlign w:val="center"/>
            <w:hideMark/>
          </w:tcPr>
          <w:p w:rsidR="00CC4688" w:rsidRPr="008E57C5" w:rsidP="00CC4688" w14:paraId="480924FB" w14:textId="29BB3A09">
            <w:pPr>
              <w:overflowPunct/>
              <w:autoSpaceDE/>
              <w:autoSpaceDN/>
              <w:adjustRightInd/>
              <w:jc w:val="right"/>
              <w:textAlignment w:val="auto"/>
              <w:rPr>
                <w:color w:val="000000"/>
                <w:sz w:val="18"/>
                <w:szCs w:val="18"/>
              </w:rPr>
            </w:pPr>
            <w:r w:rsidRPr="008E57C5">
              <w:rPr>
                <w:color w:val="000000"/>
                <w:sz w:val="18"/>
                <w:szCs w:val="18"/>
              </w:rPr>
              <w:t>9</w:t>
            </w:r>
            <w:r w:rsidRPr="008E57C5">
              <w:rPr>
                <w:color w:val="000000"/>
                <w:sz w:val="18"/>
                <w:szCs w:val="18"/>
              </w:rPr>
              <w:t>/19/2024</w:t>
            </w:r>
          </w:p>
        </w:tc>
      </w:tr>
      <w:tr w14:paraId="15E89710" w14:textId="77777777" w:rsidTr="00F66E2B">
        <w:tblPrEx>
          <w:tblW w:w="8370" w:type="dxa"/>
          <w:tblInd w:w="345" w:type="dxa"/>
          <w:tblLook w:val="04A0"/>
        </w:tblPrEx>
        <w:trPr>
          <w:cantSplit/>
        </w:trPr>
        <w:tc>
          <w:tcPr>
            <w:tcW w:w="5850" w:type="dxa"/>
            <w:tcBorders>
              <w:top w:val="nil"/>
              <w:left w:val="single" w:sz="8" w:space="0" w:color="auto"/>
              <w:bottom w:val="single" w:sz="8" w:space="0" w:color="auto"/>
              <w:right w:val="single" w:sz="8" w:space="0" w:color="auto"/>
            </w:tcBorders>
            <w:vAlign w:val="center"/>
            <w:hideMark/>
          </w:tcPr>
          <w:p w:rsidR="00CC4688" w:rsidRPr="008E57C5" w:rsidP="00CC4688" w14:paraId="27AE15BF" w14:textId="77777777">
            <w:pPr>
              <w:overflowPunct/>
              <w:autoSpaceDE/>
              <w:autoSpaceDN/>
              <w:adjustRightInd/>
              <w:textAlignment w:val="auto"/>
              <w:rPr>
                <w:color w:val="000000"/>
                <w:sz w:val="18"/>
                <w:szCs w:val="18"/>
              </w:rPr>
            </w:pPr>
            <w:r w:rsidRPr="008E57C5">
              <w:rPr>
                <w:color w:val="000000"/>
                <w:sz w:val="18"/>
                <w:szCs w:val="18"/>
              </w:rPr>
              <w:t>Program electronic questionnaire (pending ICR-based edits)</w:t>
            </w:r>
          </w:p>
        </w:tc>
        <w:tc>
          <w:tcPr>
            <w:tcW w:w="1260" w:type="dxa"/>
            <w:tcBorders>
              <w:top w:val="nil"/>
              <w:left w:val="nil"/>
              <w:bottom w:val="single" w:sz="8" w:space="0" w:color="auto"/>
              <w:right w:val="single" w:sz="8" w:space="0" w:color="auto"/>
            </w:tcBorders>
            <w:vAlign w:val="center"/>
            <w:hideMark/>
          </w:tcPr>
          <w:p w:rsidR="00CC4688" w:rsidRPr="008E57C5" w:rsidP="00CC4688" w14:paraId="5C850698" w14:textId="4DE05D61">
            <w:pPr>
              <w:overflowPunct/>
              <w:autoSpaceDE/>
              <w:autoSpaceDN/>
              <w:adjustRightInd/>
              <w:jc w:val="right"/>
              <w:textAlignment w:val="auto"/>
              <w:rPr>
                <w:color w:val="000000"/>
                <w:sz w:val="18"/>
                <w:szCs w:val="18"/>
              </w:rPr>
            </w:pPr>
            <w:r w:rsidRPr="008E57C5">
              <w:rPr>
                <w:color w:val="000000"/>
                <w:sz w:val="18"/>
                <w:szCs w:val="18"/>
              </w:rPr>
              <w:t>9</w:t>
            </w:r>
            <w:r w:rsidRPr="008E57C5">
              <w:rPr>
                <w:color w:val="000000"/>
                <w:sz w:val="18"/>
                <w:szCs w:val="18"/>
              </w:rPr>
              <w:t>/1</w:t>
            </w:r>
            <w:r w:rsidRPr="008E57C5" w:rsidR="00DF730D">
              <w:rPr>
                <w:color w:val="000000"/>
                <w:sz w:val="18"/>
                <w:szCs w:val="18"/>
              </w:rPr>
              <w:t>9</w:t>
            </w:r>
            <w:r w:rsidRPr="008E57C5">
              <w:rPr>
                <w:color w:val="000000"/>
                <w:sz w:val="18"/>
                <w:szCs w:val="18"/>
              </w:rPr>
              <w:t>/2024</w:t>
            </w:r>
          </w:p>
        </w:tc>
        <w:tc>
          <w:tcPr>
            <w:tcW w:w="1260" w:type="dxa"/>
            <w:tcBorders>
              <w:top w:val="nil"/>
              <w:left w:val="nil"/>
              <w:bottom w:val="single" w:sz="8" w:space="0" w:color="auto"/>
              <w:right w:val="single" w:sz="8" w:space="0" w:color="auto"/>
            </w:tcBorders>
            <w:vAlign w:val="center"/>
            <w:hideMark/>
          </w:tcPr>
          <w:p w:rsidR="00CC4688" w:rsidRPr="008E57C5" w:rsidP="00CC4688" w14:paraId="765AD69F" w14:textId="336B2F13">
            <w:pPr>
              <w:overflowPunct/>
              <w:autoSpaceDE/>
              <w:autoSpaceDN/>
              <w:adjustRightInd/>
              <w:jc w:val="right"/>
              <w:textAlignment w:val="auto"/>
              <w:rPr>
                <w:color w:val="000000"/>
                <w:sz w:val="18"/>
                <w:szCs w:val="18"/>
              </w:rPr>
            </w:pPr>
            <w:r w:rsidRPr="008E57C5">
              <w:rPr>
                <w:color w:val="000000"/>
                <w:sz w:val="18"/>
                <w:szCs w:val="18"/>
              </w:rPr>
              <w:t>10</w:t>
            </w:r>
            <w:r w:rsidRPr="008E57C5">
              <w:rPr>
                <w:color w:val="000000"/>
                <w:sz w:val="18"/>
                <w:szCs w:val="18"/>
              </w:rPr>
              <w:t>/19/2024</w:t>
            </w:r>
          </w:p>
        </w:tc>
      </w:tr>
      <w:tr w14:paraId="3E535FA5" w14:textId="77777777" w:rsidTr="00F66E2B">
        <w:tblPrEx>
          <w:tblW w:w="8370" w:type="dxa"/>
          <w:tblInd w:w="345" w:type="dxa"/>
          <w:tblLook w:val="04A0"/>
        </w:tblPrEx>
        <w:trPr>
          <w:cantSplit/>
        </w:trPr>
        <w:tc>
          <w:tcPr>
            <w:tcW w:w="5850" w:type="dxa"/>
            <w:tcBorders>
              <w:top w:val="nil"/>
              <w:left w:val="single" w:sz="8" w:space="0" w:color="auto"/>
              <w:bottom w:val="single" w:sz="8" w:space="0" w:color="auto"/>
              <w:right w:val="single" w:sz="8" w:space="0" w:color="auto"/>
            </w:tcBorders>
            <w:vAlign w:val="center"/>
            <w:hideMark/>
          </w:tcPr>
          <w:p w:rsidR="00CC4688" w:rsidRPr="008E57C5" w:rsidP="00CC4688" w14:paraId="16F7F9B0" w14:textId="77777777">
            <w:pPr>
              <w:overflowPunct/>
              <w:autoSpaceDE/>
              <w:autoSpaceDN/>
              <w:adjustRightInd/>
              <w:textAlignment w:val="auto"/>
              <w:rPr>
                <w:color w:val="000000"/>
                <w:sz w:val="18"/>
                <w:szCs w:val="18"/>
              </w:rPr>
            </w:pPr>
            <w:r w:rsidRPr="008E57C5">
              <w:rPr>
                <w:color w:val="000000"/>
                <w:sz w:val="18"/>
                <w:szCs w:val="18"/>
              </w:rPr>
              <w:t>Data Collection</w:t>
            </w:r>
          </w:p>
        </w:tc>
        <w:tc>
          <w:tcPr>
            <w:tcW w:w="1260" w:type="dxa"/>
            <w:tcBorders>
              <w:top w:val="nil"/>
              <w:left w:val="nil"/>
              <w:bottom w:val="single" w:sz="8" w:space="0" w:color="auto"/>
              <w:right w:val="single" w:sz="8" w:space="0" w:color="auto"/>
            </w:tcBorders>
            <w:vAlign w:val="center"/>
            <w:hideMark/>
          </w:tcPr>
          <w:p w:rsidR="00CC4688" w:rsidRPr="008E57C5" w:rsidP="00CC4688" w14:paraId="4232833E" w14:textId="31F9C7C4">
            <w:pPr>
              <w:overflowPunct/>
              <w:autoSpaceDE/>
              <w:autoSpaceDN/>
              <w:adjustRightInd/>
              <w:jc w:val="right"/>
              <w:textAlignment w:val="auto"/>
              <w:rPr>
                <w:color w:val="000000"/>
                <w:sz w:val="18"/>
                <w:szCs w:val="18"/>
              </w:rPr>
            </w:pPr>
            <w:r w:rsidRPr="008E57C5">
              <w:rPr>
                <w:color w:val="000000"/>
                <w:sz w:val="18"/>
                <w:szCs w:val="18"/>
              </w:rPr>
              <w:t>10</w:t>
            </w:r>
            <w:r w:rsidRPr="008E57C5">
              <w:rPr>
                <w:color w:val="000000"/>
                <w:sz w:val="18"/>
                <w:szCs w:val="18"/>
              </w:rPr>
              <w:t>/20/2024</w:t>
            </w:r>
          </w:p>
        </w:tc>
        <w:tc>
          <w:tcPr>
            <w:tcW w:w="1260" w:type="dxa"/>
            <w:tcBorders>
              <w:top w:val="nil"/>
              <w:left w:val="nil"/>
              <w:bottom w:val="single" w:sz="8" w:space="0" w:color="auto"/>
              <w:right w:val="single" w:sz="8" w:space="0" w:color="auto"/>
            </w:tcBorders>
            <w:vAlign w:val="center"/>
            <w:hideMark/>
          </w:tcPr>
          <w:p w:rsidR="00CC4688" w:rsidRPr="008E57C5" w:rsidP="00CC4688" w14:paraId="26E1C51B" w14:textId="5C12FD39">
            <w:pPr>
              <w:overflowPunct/>
              <w:autoSpaceDE/>
              <w:autoSpaceDN/>
              <w:adjustRightInd/>
              <w:jc w:val="right"/>
              <w:textAlignment w:val="auto"/>
              <w:rPr>
                <w:color w:val="000000"/>
                <w:sz w:val="18"/>
                <w:szCs w:val="18"/>
              </w:rPr>
            </w:pPr>
            <w:r w:rsidRPr="008E57C5">
              <w:rPr>
                <w:color w:val="000000"/>
                <w:sz w:val="18"/>
                <w:szCs w:val="18"/>
              </w:rPr>
              <w:t>3/20/2025</w:t>
            </w:r>
          </w:p>
        </w:tc>
      </w:tr>
      <w:tr w14:paraId="5C12AFF0" w14:textId="77777777" w:rsidTr="00F66E2B">
        <w:tblPrEx>
          <w:tblW w:w="8370" w:type="dxa"/>
          <w:tblInd w:w="345" w:type="dxa"/>
          <w:tblLook w:val="04A0"/>
        </w:tblPrEx>
        <w:trPr>
          <w:cantSplit/>
        </w:trPr>
        <w:tc>
          <w:tcPr>
            <w:tcW w:w="5850" w:type="dxa"/>
            <w:tcBorders>
              <w:top w:val="nil"/>
              <w:left w:val="single" w:sz="8" w:space="0" w:color="auto"/>
              <w:bottom w:val="single" w:sz="8" w:space="0" w:color="auto"/>
              <w:right w:val="single" w:sz="8" w:space="0" w:color="auto"/>
            </w:tcBorders>
            <w:vAlign w:val="center"/>
            <w:hideMark/>
          </w:tcPr>
          <w:p w:rsidR="00CC4688" w:rsidRPr="008E57C5" w:rsidP="00CC4688" w14:paraId="1F8917AF" w14:textId="77777777">
            <w:pPr>
              <w:overflowPunct/>
              <w:autoSpaceDE/>
              <w:autoSpaceDN/>
              <w:adjustRightInd/>
              <w:textAlignment w:val="auto"/>
              <w:rPr>
                <w:color w:val="000000"/>
                <w:sz w:val="18"/>
                <w:szCs w:val="18"/>
              </w:rPr>
            </w:pPr>
            <w:r w:rsidRPr="008E57C5">
              <w:rPr>
                <w:color w:val="000000"/>
                <w:sz w:val="18"/>
                <w:szCs w:val="18"/>
              </w:rPr>
              <w:t>Data Analysis</w:t>
            </w:r>
          </w:p>
        </w:tc>
        <w:tc>
          <w:tcPr>
            <w:tcW w:w="1260" w:type="dxa"/>
            <w:tcBorders>
              <w:top w:val="nil"/>
              <w:left w:val="nil"/>
              <w:bottom w:val="single" w:sz="8" w:space="0" w:color="auto"/>
              <w:right w:val="single" w:sz="8" w:space="0" w:color="auto"/>
            </w:tcBorders>
            <w:vAlign w:val="center"/>
            <w:hideMark/>
          </w:tcPr>
          <w:p w:rsidR="00CC4688" w:rsidRPr="008E57C5" w:rsidP="00CC4688" w14:paraId="695E46C6" w14:textId="74D43E46">
            <w:pPr>
              <w:overflowPunct/>
              <w:autoSpaceDE/>
              <w:autoSpaceDN/>
              <w:adjustRightInd/>
              <w:jc w:val="right"/>
              <w:textAlignment w:val="auto"/>
              <w:rPr>
                <w:color w:val="000000"/>
                <w:sz w:val="18"/>
                <w:szCs w:val="18"/>
              </w:rPr>
            </w:pPr>
            <w:r w:rsidRPr="008E57C5">
              <w:rPr>
                <w:color w:val="000000"/>
                <w:sz w:val="18"/>
                <w:szCs w:val="18"/>
              </w:rPr>
              <w:t>3/20/2025</w:t>
            </w:r>
          </w:p>
        </w:tc>
        <w:tc>
          <w:tcPr>
            <w:tcW w:w="1260" w:type="dxa"/>
            <w:tcBorders>
              <w:top w:val="nil"/>
              <w:left w:val="nil"/>
              <w:bottom w:val="single" w:sz="8" w:space="0" w:color="auto"/>
              <w:right w:val="single" w:sz="8" w:space="0" w:color="auto"/>
            </w:tcBorders>
            <w:vAlign w:val="center"/>
            <w:hideMark/>
          </w:tcPr>
          <w:p w:rsidR="00CC4688" w:rsidRPr="008E57C5" w:rsidP="00CC4688" w14:paraId="60CE0E97" w14:textId="1972D5F4">
            <w:pPr>
              <w:overflowPunct/>
              <w:autoSpaceDE/>
              <w:autoSpaceDN/>
              <w:adjustRightInd/>
              <w:jc w:val="right"/>
              <w:textAlignment w:val="auto"/>
              <w:rPr>
                <w:color w:val="000000"/>
                <w:sz w:val="18"/>
                <w:szCs w:val="18"/>
              </w:rPr>
            </w:pPr>
            <w:r w:rsidRPr="008E57C5">
              <w:rPr>
                <w:color w:val="000000"/>
                <w:sz w:val="18"/>
                <w:szCs w:val="18"/>
              </w:rPr>
              <w:t>5/20/2025</w:t>
            </w:r>
          </w:p>
        </w:tc>
      </w:tr>
      <w:tr w14:paraId="2EF2DEE4" w14:textId="77777777" w:rsidTr="00F66E2B">
        <w:tblPrEx>
          <w:tblW w:w="8370" w:type="dxa"/>
          <w:tblInd w:w="345" w:type="dxa"/>
          <w:tblLook w:val="04A0"/>
        </w:tblPrEx>
        <w:trPr>
          <w:cantSplit/>
        </w:trPr>
        <w:tc>
          <w:tcPr>
            <w:tcW w:w="5850" w:type="dxa"/>
            <w:tcBorders>
              <w:top w:val="nil"/>
              <w:left w:val="single" w:sz="8" w:space="0" w:color="auto"/>
              <w:bottom w:val="single" w:sz="8" w:space="0" w:color="auto"/>
              <w:right w:val="single" w:sz="8" w:space="0" w:color="auto"/>
            </w:tcBorders>
            <w:vAlign w:val="center"/>
            <w:hideMark/>
          </w:tcPr>
          <w:p w:rsidR="00CC4688" w:rsidRPr="008E57C5" w:rsidP="00CC4688" w14:paraId="53F47868" w14:textId="77777777">
            <w:pPr>
              <w:overflowPunct/>
              <w:autoSpaceDE/>
              <w:autoSpaceDN/>
              <w:adjustRightInd/>
              <w:textAlignment w:val="auto"/>
              <w:rPr>
                <w:color w:val="000000"/>
                <w:sz w:val="18"/>
                <w:szCs w:val="18"/>
              </w:rPr>
            </w:pPr>
            <w:r w:rsidRPr="008E57C5">
              <w:rPr>
                <w:color w:val="000000"/>
                <w:sz w:val="18"/>
                <w:szCs w:val="18"/>
              </w:rPr>
              <w:t>Final Survey Report</w:t>
            </w:r>
          </w:p>
        </w:tc>
        <w:tc>
          <w:tcPr>
            <w:tcW w:w="1260" w:type="dxa"/>
            <w:tcBorders>
              <w:top w:val="nil"/>
              <w:left w:val="nil"/>
              <w:bottom w:val="single" w:sz="8" w:space="0" w:color="auto"/>
              <w:right w:val="single" w:sz="8" w:space="0" w:color="auto"/>
            </w:tcBorders>
            <w:vAlign w:val="center"/>
            <w:hideMark/>
          </w:tcPr>
          <w:p w:rsidR="00CC4688" w:rsidRPr="008E57C5" w:rsidP="00CC4688" w14:paraId="64BC0F09" w14:textId="0CCE398D">
            <w:pPr>
              <w:overflowPunct/>
              <w:autoSpaceDE/>
              <w:autoSpaceDN/>
              <w:adjustRightInd/>
              <w:jc w:val="right"/>
              <w:textAlignment w:val="auto"/>
              <w:rPr>
                <w:color w:val="000000"/>
                <w:sz w:val="18"/>
                <w:szCs w:val="18"/>
              </w:rPr>
            </w:pPr>
            <w:r w:rsidRPr="008E57C5">
              <w:rPr>
                <w:color w:val="000000"/>
                <w:sz w:val="18"/>
                <w:szCs w:val="18"/>
              </w:rPr>
              <w:t>5/20/2025</w:t>
            </w:r>
          </w:p>
        </w:tc>
        <w:tc>
          <w:tcPr>
            <w:tcW w:w="1260" w:type="dxa"/>
            <w:tcBorders>
              <w:top w:val="nil"/>
              <w:left w:val="nil"/>
              <w:bottom w:val="single" w:sz="8" w:space="0" w:color="auto"/>
              <w:right w:val="single" w:sz="8" w:space="0" w:color="auto"/>
            </w:tcBorders>
            <w:vAlign w:val="center"/>
            <w:hideMark/>
          </w:tcPr>
          <w:p w:rsidR="00CC4688" w:rsidRPr="008E57C5" w:rsidP="00CC4688" w14:paraId="1D99C3A2" w14:textId="6F4A5D55">
            <w:pPr>
              <w:overflowPunct/>
              <w:autoSpaceDE/>
              <w:autoSpaceDN/>
              <w:adjustRightInd/>
              <w:jc w:val="right"/>
              <w:textAlignment w:val="auto"/>
              <w:rPr>
                <w:color w:val="000000"/>
                <w:sz w:val="18"/>
                <w:szCs w:val="18"/>
              </w:rPr>
            </w:pPr>
            <w:r w:rsidRPr="008E57C5">
              <w:rPr>
                <w:color w:val="000000"/>
                <w:sz w:val="18"/>
                <w:szCs w:val="18"/>
              </w:rPr>
              <w:t>6/20/2025</w:t>
            </w:r>
          </w:p>
        </w:tc>
      </w:tr>
      <w:tr w14:paraId="0B024611" w14:textId="77777777" w:rsidTr="00F66E2B">
        <w:tblPrEx>
          <w:tblW w:w="8370" w:type="dxa"/>
          <w:tblInd w:w="345" w:type="dxa"/>
          <w:tblLook w:val="04A0"/>
        </w:tblPrEx>
        <w:trPr>
          <w:cantSplit/>
        </w:trPr>
        <w:tc>
          <w:tcPr>
            <w:tcW w:w="5850" w:type="dxa"/>
            <w:tcBorders>
              <w:top w:val="nil"/>
              <w:left w:val="single" w:sz="8" w:space="0" w:color="auto"/>
              <w:bottom w:val="single" w:sz="8" w:space="0" w:color="auto"/>
              <w:right w:val="single" w:sz="8" w:space="0" w:color="auto"/>
            </w:tcBorders>
            <w:vAlign w:val="center"/>
            <w:hideMark/>
          </w:tcPr>
          <w:p w:rsidR="00CC4688" w:rsidRPr="008E57C5" w:rsidP="00CC4688" w14:paraId="365D9DC8" w14:textId="77777777">
            <w:pPr>
              <w:overflowPunct/>
              <w:autoSpaceDE/>
              <w:autoSpaceDN/>
              <w:adjustRightInd/>
              <w:textAlignment w:val="auto"/>
              <w:rPr>
                <w:color w:val="000000"/>
                <w:sz w:val="18"/>
                <w:szCs w:val="18"/>
              </w:rPr>
            </w:pPr>
            <w:r w:rsidRPr="008E57C5">
              <w:rPr>
                <w:color w:val="000000"/>
                <w:sz w:val="18"/>
                <w:szCs w:val="18"/>
              </w:rPr>
              <w:t>Options for New National Evaluation of LHR Grant program</w:t>
            </w:r>
          </w:p>
        </w:tc>
        <w:tc>
          <w:tcPr>
            <w:tcW w:w="1260" w:type="dxa"/>
            <w:tcBorders>
              <w:top w:val="nil"/>
              <w:left w:val="nil"/>
              <w:bottom w:val="single" w:sz="8" w:space="0" w:color="auto"/>
              <w:right w:val="single" w:sz="8" w:space="0" w:color="auto"/>
            </w:tcBorders>
            <w:vAlign w:val="center"/>
            <w:hideMark/>
          </w:tcPr>
          <w:p w:rsidR="00CC4688" w:rsidRPr="008E57C5" w:rsidP="00CC4688" w14:paraId="407ACA0A" w14:textId="56E763E5">
            <w:pPr>
              <w:overflowPunct/>
              <w:autoSpaceDE/>
              <w:autoSpaceDN/>
              <w:adjustRightInd/>
              <w:jc w:val="right"/>
              <w:textAlignment w:val="auto"/>
              <w:rPr>
                <w:color w:val="000000"/>
                <w:sz w:val="18"/>
                <w:szCs w:val="18"/>
              </w:rPr>
            </w:pPr>
            <w:r w:rsidRPr="008E57C5">
              <w:rPr>
                <w:color w:val="000000"/>
                <w:sz w:val="18"/>
                <w:szCs w:val="18"/>
              </w:rPr>
              <w:t>6/20/2025</w:t>
            </w:r>
          </w:p>
        </w:tc>
        <w:tc>
          <w:tcPr>
            <w:tcW w:w="1260" w:type="dxa"/>
            <w:tcBorders>
              <w:top w:val="nil"/>
              <w:left w:val="nil"/>
              <w:bottom w:val="single" w:sz="8" w:space="0" w:color="auto"/>
              <w:right w:val="single" w:sz="8" w:space="0" w:color="auto"/>
            </w:tcBorders>
            <w:vAlign w:val="center"/>
            <w:hideMark/>
          </w:tcPr>
          <w:p w:rsidR="00CC4688" w:rsidRPr="008E57C5" w:rsidP="00CC4688" w14:paraId="41A5A6F1" w14:textId="6AEB80D5">
            <w:pPr>
              <w:overflowPunct/>
              <w:autoSpaceDE/>
              <w:autoSpaceDN/>
              <w:adjustRightInd/>
              <w:jc w:val="right"/>
              <w:textAlignment w:val="auto"/>
              <w:rPr>
                <w:color w:val="000000"/>
                <w:sz w:val="18"/>
                <w:szCs w:val="18"/>
              </w:rPr>
            </w:pPr>
            <w:r w:rsidRPr="008E57C5">
              <w:rPr>
                <w:color w:val="000000"/>
                <w:sz w:val="18"/>
                <w:szCs w:val="18"/>
              </w:rPr>
              <w:t>9</w:t>
            </w:r>
            <w:r w:rsidRPr="008E57C5">
              <w:rPr>
                <w:color w:val="000000"/>
                <w:sz w:val="18"/>
                <w:szCs w:val="18"/>
              </w:rPr>
              <w:t>/18/2025</w:t>
            </w:r>
          </w:p>
        </w:tc>
      </w:tr>
    </w:tbl>
    <w:p w:rsidR="00DC4DAF" w14:paraId="3A59C6FD" w14:textId="77777777">
      <w:pPr>
        <w:keepLines/>
        <w:tabs>
          <w:tab w:val="left" w:pos="360"/>
        </w:tabs>
        <w:spacing w:after="80"/>
        <w:ind w:left="360" w:hanging="360"/>
        <w:rPr>
          <w:sz w:val="24"/>
          <w:szCs w:val="24"/>
        </w:rPr>
      </w:pPr>
    </w:p>
    <w:p w:rsidR="009E13B1" w:rsidRPr="00DC4DAF" w14:paraId="34E8092D" w14:textId="51B8D1E9">
      <w:pPr>
        <w:keepLines/>
        <w:tabs>
          <w:tab w:val="left" w:pos="360"/>
        </w:tabs>
        <w:spacing w:after="80"/>
        <w:ind w:left="360" w:hanging="360"/>
        <w:rPr>
          <w:b/>
          <w:bCs/>
          <w:sz w:val="24"/>
          <w:szCs w:val="24"/>
        </w:rPr>
      </w:pPr>
      <w:r w:rsidRPr="00DC4DAF">
        <w:rPr>
          <w:b/>
          <w:bCs/>
          <w:sz w:val="24"/>
          <w:szCs w:val="24"/>
        </w:rPr>
        <w:t>17.</w:t>
      </w:r>
      <w:r w:rsidRPr="00DC4DAF">
        <w:rPr>
          <w:b/>
          <w:bCs/>
          <w:sz w:val="24"/>
          <w:szCs w:val="24"/>
        </w:rPr>
        <w:tab/>
        <w:t>If seeking approval to not display the expiration date for OMB approval of the information collection, explain the reasons that display would be inappropriate.</w:t>
      </w:r>
    </w:p>
    <w:p w:rsidR="009E13B1" w:rsidRPr="00CC4688" w:rsidP="00DC4DAF" w14:paraId="44B4D7A4" w14:textId="77777777">
      <w:pPr>
        <w:pStyle w:val="NoSpacing"/>
      </w:pPr>
    </w:p>
    <w:p w:rsidR="00EE4E8F" w:rsidRPr="00EE4E8F" w:rsidP="00EE4E8F" w14:paraId="0C9F3384" w14:textId="77777777">
      <w:pPr>
        <w:overflowPunct/>
        <w:autoSpaceDE/>
        <w:autoSpaceDN/>
        <w:adjustRightInd/>
        <w:ind w:firstLine="360"/>
        <w:textAlignment w:val="auto"/>
        <w:rPr>
          <w:sz w:val="24"/>
          <w:szCs w:val="24"/>
        </w:rPr>
      </w:pPr>
      <w:r w:rsidRPr="00EE4E8F">
        <w:rPr>
          <w:sz w:val="24"/>
          <w:szCs w:val="24"/>
        </w:rPr>
        <w:t xml:space="preserve">Not applicable; HUD </w:t>
      </w:r>
      <w:r w:rsidRPr="00EE4E8F">
        <w:rPr>
          <w:sz w:val="24"/>
          <w:szCs w:val="24"/>
          <w:u w:val="single"/>
        </w:rPr>
        <w:t>will</w:t>
      </w:r>
      <w:r w:rsidRPr="00EE4E8F">
        <w:rPr>
          <w:sz w:val="24"/>
          <w:szCs w:val="24"/>
        </w:rPr>
        <w:t xml:space="preserve"> display the expiration date of OMB approval.</w:t>
      </w:r>
    </w:p>
    <w:p w:rsidR="00EE4E8F" w:rsidRPr="00CC4688" w14:paraId="73AE4A9B" w14:textId="77777777">
      <w:pPr>
        <w:keepLines/>
        <w:tabs>
          <w:tab w:val="left" w:pos="360"/>
          <w:tab w:val="left" w:pos="720"/>
        </w:tabs>
        <w:ind w:left="360"/>
        <w:rPr>
          <w:sz w:val="24"/>
          <w:szCs w:val="24"/>
        </w:rPr>
      </w:pPr>
    </w:p>
    <w:p w:rsidR="009E13B1" w:rsidRPr="00DC4DAF" w14:paraId="68C195AD" w14:textId="77777777">
      <w:pPr>
        <w:keepLines/>
        <w:tabs>
          <w:tab w:val="left" w:pos="360"/>
        </w:tabs>
        <w:spacing w:after="80"/>
        <w:ind w:left="360" w:hanging="360"/>
        <w:rPr>
          <w:b/>
          <w:bCs/>
          <w:sz w:val="24"/>
          <w:szCs w:val="24"/>
        </w:rPr>
      </w:pPr>
      <w:r w:rsidRPr="00DC4DAF">
        <w:rPr>
          <w:b/>
          <w:bCs/>
          <w:sz w:val="24"/>
          <w:szCs w:val="24"/>
        </w:rPr>
        <w:t>18.</w:t>
      </w:r>
      <w:r w:rsidRPr="00DC4DAF">
        <w:rPr>
          <w:b/>
          <w:bCs/>
          <w:sz w:val="24"/>
          <w:szCs w:val="24"/>
        </w:rPr>
        <w:tab/>
        <w:t>Explain each exception to the certification statement identified in item 19.</w:t>
      </w:r>
    </w:p>
    <w:p w:rsidR="00EE4E8F" w:rsidRPr="00CC4688" w:rsidP="00DC4DAF" w14:paraId="45D7D40C" w14:textId="77777777">
      <w:pPr>
        <w:pStyle w:val="NoSpacing"/>
      </w:pPr>
    </w:p>
    <w:p w:rsidR="009E13B1" w:rsidRPr="00CC4688" w14:paraId="65980BA6" w14:textId="1873CD12">
      <w:pPr>
        <w:keepLines/>
        <w:tabs>
          <w:tab w:val="left" w:pos="360"/>
          <w:tab w:val="left" w:pos="720"/>
        </w:tabs>
        <w:ind w:left="360"/>
        <w:rPr>
          <w:sz w:val="24"/>
          <w:szCs w:val="24"/>
        </w:rPr>
      </w:pPr>
      <w:r w:rsidRPr="00CC4688">
        <w:rPr>
          <w:sz w:val="24"/>
          <w:szCs w:val="24"/>
        </w:rPr>
        <w:t xml:space="preserve">HUD is </w:t>
      </w:r>
      <w:r w:rsidRPr="00CC4688">
        <w:rPr>
          <w:sz w:val="24"/>
          <w:szCs w:val="24"/>
          <w:u w:val="single"/>
        </w:rPr>
        <w:t>not</w:t>
      </w:r>
      <w:r w:rsidRPr="00CC4688">
        <w:rPr>
          <w:sz w:val="24"/>
          <w:szCs w:val="24"/>
        </w:rPr>
        <w:t xml:space="preserve"> requesting any exceptions to the certification statement of OMB form 83-I.</w:t>
      </w:r>
    </w:p>
    <w:sectPr w:rsidSect="006C7FAE">
      <w:headerReference w:type="default" r:id="rId9"/>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5A6A" w14:paraId="4F282DBE" w14:textId="77777777">
      <w:r>
        <w:separator/>
      </w:r>
    </w:p>
  </w:footnote>
  <w:footnote w:type="continuationSeparator" w:id="1">
    <w:p w:rsidR="007A5A6A" w14:paraId="005195BE" w14:textId="77777777">
      <w:r>
        <w:continuationSeparator/>
      </w:r>
    </w:p>
  </w:footnote>
  <w:footnote w:type="continuationNotice" w:id="2">
    <w:p w:rsidR="007A5A6A" w14:paraId="3BE85675" w14:textId="77777777"/>
  </w:footnote>
  <w:footnote w:id="3">
    <w:p w:rsidR="00CC4688" w:rsidP="00CC4688" w14:paraId="014C5494" w14:textId="77777777">
      <w:pPr>
        <w:pStyle w:val="FootnoteText"/>
      </w:pPr>
      <w:r>
        <w:rPr>
          <w:rStyle w:val="FootnoteReference"/>
        </w:rPr>
        <w:footnoteRef/>
      </w:r>
      <w:r>
        <w:t xml:space="preserve"> </w:t>
      </w:r>
      <w:r w:rsidRPr="00D31D1A">
        <w:rPr>
          <w:color w:val="333333"/>
          <w:szCs w:val="18"/>
          <w:lang w:val="en"/>
        </w:rPr>
        <w:t>Housing and Community Development Act of 1992, P.L. 102-550</w:t>
      </w:r>
      <w:r>
        <w:rPr>
          <w:color w:val="333333"/>
          <w:szCs w:val="18"/>
          <w:lang w:val="en"/>
        </w:rPr>
        <w:t xml:space="preserve">, Title X, 42 U.S.C., chs. 63 and 63A; </w:t>
      </w:r>
      <w:hyperlink r:id="rId1" w:history="1">
        <w:r w:rsidRPr="000D4A41">
          <w:rPr>
            <w:rStyle w:val="Hyperlink"/>
            <w:szCs w:val="18"/>
            <w:lang w:val="en"/>
          </w:rPr>
          <w:t>https://uscode.house.gov/browse/prelim@title42/chapter63&amp;edition=prelim</w:t>
        </w:r>
      </w:hyperlink>
      <w:r>
        <w:rPr>
          <w:color w:val="333333"/>
          <w:szCs w:val="18"/>
          <w:lang w:val="en"/>
        </w:rPr>
        <w:t xml:space="preserve"> and </w:t>
      </w:r>
      <w:hyperlink r:id="rId2" w:history="1">
        <w:r w:rsidRPr="000D4A41">
          <w:rPr>
            <w:rStyle w:val="Hyperlink"/>
            <w:szCs w:val="18"/>
            <w:lang w:val="en"/>
          </w:rPr>
          <w:t>https://uscode.house.gov/browse/prelim@title42/chapter63A&amp;edition=prelim</w:t>
        </w:r>
      </w:hyperlink>
      <w:r>
        <w:rPr>
          <w:color w:val="333333"/>
          <w:szCs w:val="18"/>
          <w:lang w:val="en"/>
        </w:rPr>
        <w:t xml:space="preserve">. </w:t>
      </w:r>
    </w:p>
  </w:footnote>
  <w:footnote w:id="4">
    <w:p w:rsidR="00CC4688" w:rsidP="00CC4688" w14:paraId="6855719A" w14:textId="77777777">
      <w:pPr>
        <w:pStyle w:val="FootnoteText"/>
      </w:pPr>
      <w:r>
        <w:rPr>
          <w:rStyle w:val="FootnoteReference"/>
        </w:rPr>
        <w:footnoteRef/>
      </w:r>
      <w:r>
        <w:t xml:space="preserve"> 42 U.S.C. 4852; </w:t>
      </w:r>
      <w:hyperlink r:id="rId3" w:history="1">
        <w:r w:rsidRPr="000D4A41">
          <w:rPr>
            <w:rStyle w:val="Hyperlink"/>
          </w:rPr>
          <w:t>https://uscode.house.gov/view.xhtml?req=(title:42%20section:4852%20edition:prelim)</w:t>
        </w:r>
      </w:hyperlink>
      <w:r>
        <w:t xml:space="preserve">. </w:t>
      </w:r>
    </w:p>
  </w:footnote>
  <w:footnote w:id="5">
    <w:p w:rsidR="00CC4688" w:rsidRPr="003D7926" w:rsidP="00CC4688" w14:paraId="30F417DC" w14:textId="77777777">
      <w:pPr>
        <w:pStyle w:val="FootnoteText"/>
        <w:rPr>
          <w:rFonts w:eastAsia="Calibri"/>
        </w:rPr>
      </w:pPr>
      <w:r>
        <w:rPr>
          <w:rStyle w:val="FootnoteReference"/>
        </w:rPr>
        <w:footnoteRef/>
      </w:r>
      <w:r>
        <w:t xml:space="preserve"> </w:t>
      </w:r>
      <w:r w:rsidRPr="00422867">
        <w:rPr>
          <w:rFonts w:eastAsia="Calibri"/>
        </w:rPr>
        <w:t xml:space="preserve">Dixon SL, et al. (2005). Effectiveness of lead-hazard control interventions on dust lead loadings: findings from the evaluation of the HUD Lead-Based Paint Hazard Control Grant Program. </w:t>
      </w:r>
      <w:r w:rsidRPr="00422867">
        <w:rPr>
          <w:rFonts w:eastAsia="Calibri"/>
          <w:b/>
          <w:i/>
        </w:rPr>
        <w:t>Environmental Research</w:t>
      </w:r>
      <w:r w:rsidRPr="00422867">
        <w:rPr>
          <w:rFonts w:eastAsia="Calibri"/>
        </w:rPr>
        <w:t>, 98, 3, 303-14.</w:t>
      </w:r>
      <w:r>
        <w:rPr>
          <w:rFonts w:eastAsia="Calibri"/>
        </w:rPr>
        <w:t xml:space="preserve"> </w:t>
      </w:r>
      <w:hyperlink r:id="rId4" w:history="1">
        <w:r w:rsidRPr="000D4A41">
          <w:rPr>
            <w:rStyle w:val="Hyperlink"/>
            <w:rFonts w:eastAsia="Calibri"/>
          </w:rPr>
          <w:t>https://doi.org/10.1016/j.envres.2005.02.002</w:t>
        </w:r>
      </w:hyperlink>
      <w:r>
        <w:rPr>
          <w:rFonts w:eastAsia="Calibri"/>
        </w:rPr>
        <w:t xml:space="preserve">. </w:t>
      </w:r>
    </w:p>
  </w:footnote>
  <w:footnote w:id="6">
    <w:p w:rsidR="00CC4688" w:rsidP="00CC4688" w14:paraId="1F441BFB" w14:textId="77777777">
      <w:pPr>
        <w:pStyle w:val="FootnoteText"/>
      </w:pPr>
      <w:r>
        <w:rPr>
          <w:rStyle w:val="FootnoteReference"/>
        </w:rPr>
        <w:footnoteRef/>
      </w:r>
      <w:r>
        <w:t xml:space="preserve"> Clark S, et al. (2011). Effects of HUD-supported lead hazard control interventions in housing on children’s blood lead. </w:t>
      </w:r>
      <w:r w:rsidRPr="00090D1E">
        <w:rPr>
          <w:b/>
          <w:bCs/>
          <w:i/>
          <w:iCs/>
        </w:rPr>
        <w:t>Environmental Research</w:t>
      </w:r>
      <w:r>
        <w:rPr>
          <w:b/>
          <w:bCs/>
          <w:i/>
          <w:iCs/>
        </w:rPr>
        <w:t>,</w:t>
      </w:r>
      <w:r>
        <w:t xml:space="preserve"> 111, 2, 301-11. </w:t>
      </w:r>
      <w:hyperlink r:id="rId5" w:history="1">
        <w:r w:rsidRPr="00FD3D83">
          <w:rPr>
            <w:rStyle w:val="Hyperlink"/>
          </w:rPr>
          <w:t>https://doi.org/10.1016/j.envres.2010.11.003</w:t>
        </w:r>
      </w:hyperlink>
      <w:r>
        <w:t>.</w:t>
      </w:r>
    </w:p>
  </w:footnote>
  <w:footnote w:id="7">
    <w:p w:rsidR="00CC4688" w:rsidP="00CC4688" w14:paraId="12F2237C" w14:textId="77777777">
      <w:pPr>
        <w:pStyle w:val="FootnoteText"/>
      </w:pPr>
      <w:r>
        <w:rPr>
          <w:rStyle w:val="FootnoteReference"/>
        </w:rPr>
        <w:footnoteRef/>
      </w:r>
      <w:r>
        <w:t xml:space="preserve"> HUD’s dust-lead clearance levels are currently 10 µg/ft</w:t>
      </w:r>
      <w:r>
        <w:rPr>
          <w:vertAlign w:val="superscript"/>
        </w:rPr>
        <w:t>2</w:t>
      </w:r>
      <w:r>
        <w:t xml:space="preserve"> on floors and 100</w:t>
      </w:r>
      <w:r w:rsidRPr="009C7383">
        <w:t xml:space="preserve"> </w:t>
      </w:r>
      <w:r>
        <w:t>µg/ft</w:t>
      </w:r>
      <w:r>
        <w:rPr>
          <w:vertAlign w:val="superscript"/>
        </w:rPr>
        <w:t>2</w:t>
      </w:r>
      <w:r>
        <w:t xml:space="preserve"> on windowsills and window troughs, compared to 100 µg/ft</w:t>
      </w:r>
      <w:r>
        <w:rPr>
          <w:vertAlign w:val="superscript"/>
        </w:rPr>
        <w:t>2</w:t>
      </w:r>
      <w:r>
        <w:t xml:space="preserve"> on floors, 500</w:t>
      </w:r>
      <w:r w:rsidRPr="009C7383">
        <w:t xml:space="preserve"> </w:t>
      </w:r>
      <w:r>
        <w:t>µg/ft</w:t>
      </w:r>
      <w:r>
        <w:rPr>
          <w:vertAlign w:val="superscript"/>
        </w:rPr>
        <w:t>2</w:t>
      </w:r>
      <w:r>
        <w:t xml:space="preserve"> on windowsills and 800</w:t>
      </w:r>
      <w:r w:rsidRPr="009C7383">
        <w:t xml:space="preserve"> </w:t>
      </w:r>
      <w:r>
        <w:t>µg/ft</w:t>
      </w:r>
      <w:r>
        <w:rPr>
          <w:vertAlign w:val="superscript"/>
        </w:rPr>
        <w:t>2</w:t>
      </w:r>
      <w:r>
        <w:t xml:space="preserve"> on window troughs when the National Evaluation was conducted. </w:t>
      </w:r>
    </w:p>
  </w:footnote>
  <w:footnote w:id="8">
    <w:p w:rsidR="00CC4688" w:rsidP="00CC4688" w14:paraId="6E480178" w14:textId="77777777">
      <w:pPr>
        <w:pStyle w:val="FootnoteText"/>
      </w:pPr>
      <w:r>
        <w:rPr>
          <w:rStyle w:val="FootnoteReference"/>
        </w:rPr>
        <w:footnoteRef/>
      </w:r>
      <w:r>
        <w:t xml:space="preserve"> CDC’s BLRV is currently 3.5 micrograms per deciliter (µg/dL), compared to its former “level of concern” of 10 µg/dL prior to 2012. </w:t>
      </w:r>
      <w:hyperlink r:id="rId6" w:history="1">
        <w:r w:rsidRPr="00AA2A02">
          <w:rPr>
            <w:rStyle w:val="Hyperlink"/>
          </w:rPr>
          <w:t>https://www.cdc.gov/nceh/lead/data/blood-lead-reference-value.htm</w:t>
        </w:r>
      </w:hyperlink>
      <w:r>
        <w:t xml:space="preserve">. </w:t>
      </w:r>
    </w:p>
  </w:footnote>
  <w:footnote w:id="9">
    <w:p w:rsidR="00CC4688" w:rsidP="00CC4688" w14:paraId="5B6D45FD" w14:textId="77777777">
      <w:pPr>
        <w:pStyle w:val="FootnoteText"/>
      </w:pPr>
      <w:r>
        <w:rPr>
          <w:rStyle w:val="FootnoteReference"/>
        </w:rPr>
        <w:footnoteRef/>
      </w:r>
      <w:r>
        <w:t xml:space="preserve"> </w:t>
      </w:r>
      <w:r w:rsidRPr="00096713">
        <w:t>American Healthy Homes Survey II Lead Findings. Report from QuanTech, Inc. to HUD’s Office of Lead Hazard Control and Healthy Homes</w:t>
      </w:r>
      <w:r>
        <w:t>.</w:t>
      </w:r>
      <w:r w:rsidRPr="0067005C">
        <w:t xml:space="preserve"> </w:t>
      </w:r>
      <w:r>
        <w:t xml:space="preserve">Available at </w:t>
      </w:r>
      <w:hyperlink r:id="rId7" w:history="1">
        <w:r w:rsidRPr="00042F05">
          <w:rPr>
            <w:rStyle w:val="Hyperlink"/>
          </w:rPr>
          <w:t>https://www.hud.gov/sites/dfiles/HH/documents/AHHS_II_Lead_Findings_Report_Final_29oct21.pdf</w:t>
        </w:r>
      </w:hyperlink>
      <w:r>
        <w:t>.</w:t>
      </w:r>
    </w:p>
    <w:p w:rsidR="00CC4688" w:rsidP="00CC4688" w14:paraId="0A22DC3F" w14:textId="77777777">
      <w:pPr>
        <w:pStyle w:val="FootnoteText"/>
      </w:pPr>
    </w:p>
  </w:footnote>
  <w:footnote w:id="10">
    <w:p w:rsidR="00833B8F" w:rsidRPr="0035641A" w:rsidP="00833B8F" w14:paraId="328F5853" w14:textId="77777777">
      <w:pPr>
        <w:pStyle w:val="FootnoteText"/>
        <w:rPr>
          <w:vertAlign w:val="superscript"/>
        </w:rPr>
      </w:pPr>
      <w:r w:rsidRPr="0035641A">
        <w:rPr>
          <w:rStyle w:val="FootnoteReference"/>
        </w:rPr>
        <w:footnoteRef/>
      </w:r>
      <w:r w:rsidRPr="0035641A">
        <w:t xml:space="preserve"> Wilson J, et al. (2006). Evaluation of HUD-funded lead hazard control treatments at 6 years post-intervention.</w:t>
      </w:r>
    </w:p>
    <w:p w:rsidR="00833B8F" w:rsidRPr="0035641A" w:rsidP="00833B8F" w14:paraId="403C2D76" w14:textId="77777777">
      <w:pPr>
        <w:spacing w:before="23" w:line="215" w:lineRule="exact"/>
      </w:pPr>
      <w:r w:rsidRPr="00482B1E">
        <w:rPr>
          <w:b/>
          <w:i/>
          <w:color w:val="000000"/>
        </w:rPr>
        <w:t>Environmental Research</w:t>
      </w:r>
      <w:r w:rsidRPr="00482B1E">
        <w:rPr>
          <w:color w:val="000000"/>
        </w:rPr>
        <w:t>, 102(2), 237-248</w:t>
      </w:r>
      <w:r>
        <w:rPr>
          <w:color w:val="000000"/>
        </w:rPr>
        <w:t xml:space="preserve">. </w:t>
      </w:r>
      <w:hyperlink r:id="rId8" w:history="1">
        <w:r w:rsidRPr="00AA2A02">
          <w:rPr>
            <w:rStyle w:val="Hyperlink"/>
          </w:rPr>
          <w:t>https://doi.org/10.1016/j.envres.2006.04.007</w:t>
        </w:r>
      </w:hyperlink>
      <w:r>
        <w:rPr>
          <w:color w:val="000000"/>
        </w:rPr>
        <w:t xml:space="preserve">. </w:t>
      </w:r>
    </w:p>
  </w:footnote>
  <w:footnote w:id="11">
    <w:p w:rsidR="00833B8F" w:rsidP="00833B8F" w14:paraId="5FA8E261" w14:textId="77777777">
      <w:pPr>
        <w:spacing w:before="24" w:line="215" w:lineRule="exact"/>
      </w:pPr>
      <w:r w:rsidRPr="0035641A">
        <w:rPr>
          <w:rStyle w:val="FootnoteReference"/>
        </w:rPr>
        <w:footnoteRef/>
      </w:r>
      <w:r w:rsidRPr="0035641A">
        <w:t xml:space="preserve"> </w:t>
      </w:r>
      <w:r w:rsidRPr="0035641A">
        <w:rPr>
          <w:color w:val="000000"/>
        </w:rPr>
        <w:t>Dixon SL,</w:t>
      </w:r>
      <w:r>
        <w:rPr>
          <w:color w:val="000000"/>
        </w:rPr>
        <w:t xml:space="preserve"> </w:t>
      </w:r>
      <w:r w:rsidRPr="0035641A">
        <w:rPr>
          <w:color w:val="000000"/>
        </w:rPr>
        <w:t xml:space="preserve">et al. </w:t>
      </w:r>
      <w:r>
        <w:rPr>
          <w:color w:val="000000"/>
        </w:rPr>
        <w:t xml:space="preserve">(2012) </w:t>
      </w:r>
      <w:r w:rsidRPr="0035641A">
        <w:rPr>
          <w:color w:val="000000"/>
        </w:rPr>
        <w:t xml:space="preserve">Window replacement and residential lead paint hazard control 12 years later, </w:t>
      </w:r>
      <w:r w:rsidRPr="0035641A">
        <w:rPr>
          <w:b/>
          <w:i/>
          <w:color w:val="000000"/>
        </w:rPr>
        <w:t>Environmental</w:t>
      </w:r>
      <w:r>
        <w:rPr>
          <w:b/>
          <w:i/>
          <w:color w:val="000000"/>
        </w:rPr>
        <w:t xml:space="preserve"> </w:t>
      </w:r>
      <w:r w:rsidRPr="0035641A">
        <w:rPr>
          <w:b/>
          <w:i/>
          <w:color w:val="000000"/>
        </w:rPr>
        <w:t xml:space="preserve">Research </w:t>
      </w:r>
      <w:r w:rsidRPr="0035641A">
        <w:rPr>
          <w:color w:val="000000"/>
        </w:rPr>
        <w:t>113</w:t>
      </w:r>
      <w:r>
        <w:rPr>
          <w:color w:val="000000"/>
        </w:rPr>
        <w:t xml:space="preserve">, </w:t>
      </w:r>
      <w:r w:rsidRPr="0035641A">
        <w:rPr>
          <w:color w:val="000000"/>
        </w:rPr>
        <w:t>14–20.</w:t>
      </w:r>
      <w:r>
        <w:rPr>
          <w:color w:val="000000"/>
        </w:rPr>
        <w:t xml:space="preserve"> </w:t>
      </w:r>
      <w:hyperlink r:id="rId9" w:history="1">
        <w:r w:rsidRPr="00AA2A02">
          <w:rPr>
            <w:rStyle w:val="Hyperlink"/>
          </w:rPr>
          <w:t>https://doi.org/10.1016/j.envres.2012.01.005</w:t>
        </w:r>
      </w:hyperlink>
      <w:r>
        <w:rPr>
          <w:color w:val="000000"/>
        </w:rPr>
        <w:t>.</w:t>
      </w:r>
    </w:p>
  </w:footnote>
  <w:footnote w:id="12">
    <w:p w:rsidR="00833B8F" w:rsidRPr="00187592" w:rsidP="00833B8F" w14:paraId="6D018D42" w14:textId="77777777">
      <w:pPr>
        <w:pStyle w:val="FootnoteText"/>
      </w:pPr>
      <w:r w:rsidRPr="00187592">
        <w:rPr>
          <w:rStyle w:val="FootnoteReference"/>
        </w:rPr>
        <w:footnoteRef/>
      </w:r>
      <w:r w:rsidRPr="00187592">
        <w:t xml:space="preserve"> American Healthy Homes Survey II: Additional Environmental Findings. Draft report from QuanTech to OLHCHH under Contract No. DU203NP-15-D-05, Task Order 4, June 26, 2021.</w:t>
      </w:r>
    </w:p>
  </w:footnote>
  <w:footnote w:id="13">
    <w:p w:rsidR="00833B8F" w:rsidRPr="008162AA" w:rsidP="00833B8F" w14:paraId="2642C23B" w14:textId="77777777">
      <w:r w:rsidRPr="008162AA">
        <w:rPr>
          <w:rStyle w:val="FootnoteReference"/>
        </w:rPr>
        <w:footnoteRef/>
      </w:r>
      <w:r w:rsidRPr="008162AA">
        <w:t xml:space="preserve"> </w:t>
      </w:r>
      <w:hyperlink r:id="rId10" w:history="1">
        <w:r w:rsidRPr="000D4A41">
          <w:rPr>
            <w:rStyle w:val="Hyperlink"/>
          </w:rPr>
          <w:t>www.limesurvey.org</w:t>
        </w:r>
      </w:hyperlink>
    </w:p>
  </w:footnote>
  <w:footnote w:id="14">
    <w:p w:rsidR="00833B8F" w:rsidRPr="00001EC7" w:rsidP="00833B8F" w14:paraId="6A220B93" w14:textId="77777777">
      <w:pPr>
        <w:pStyle w:val="FootnoteText"/>
      </w:pPr>
      <w:r w:rsidRPr="00001EC7">
        <w:rPr>
          <w:rStyle w:val="FootnoteReference"/>
        </w:rPr>
        <w:footnoteRef/>
      </w:r>
      <w:r w:rsidRPr="00001EC7">
        <w:t xml:space="preserve"> </w:t>
      </w:r>
      <w:hyperlink r:id="rId11" w:history="1">
        <w:r w:rsidRPr="000D4A41">
          <w:rPr>
            <w:rStyle w:val="Hyperlink"/>
          </w:rPr>
          <w:t>www.quantech.com</w:t>
        </w:r>
      </w:hyperlink>
      <w:r>
        <w:t xml:space="preserve"> </w:t>
      </w:r>
    </w:p>
  </w:footnote>
  <w:footnote w:id="15">
    <w:p w:rsidR="00833B8F" w:rsidRPr="00D124E0" w:rsidP="00833B8F" w14:paraId="372304CF" w14:textId="77777777">
      <w:pPr>
        <w:pStyle w:val="FootnoteText"/>
      </w:pPr>
      <w:r w:rsidRPr="00D124E0">
        <w:rPr>
          <w:rStyle w:val="FootnoteReference"/>
        </w:rPr>
        <w:footnoteRef/>
      </w:r>
      <w:r w:rsidRPr="00D124E0">
        <w:t xml:space="preserve"> The domain </w:t>
      </w:r>
      <w:r w:rsidRPr="00D124E0">
        <w:rPr>
          <w:i/>
          <w:iCs/>
        </w:rPr>
        <w:t>hud</w:t>
      </w:r>
      <w:r>
        <w:rPr>
          <w:i/>
          <w:iCs/>
        </w:rPr>
        <w:t>lhr</w:t>
      </w:r>
      <w:r w:rsidRPr="00D124E0">
        <w:rPr>
          <w:i/>
          <w:iCs/>
        </w:rPr>
        <w:t>granteesurvey.com</w:t>
      </w:r>
      <w:r w:rsidRPr="00D124E0">
        <w:t xml:space="preserve"> and similar domain names are currently available according to the domain name registrar </w:t>
      </w:r>
      <w:r w:rsidRPr="00D124E0">
        <w:rPr>
          <w:i/>
          <w:iCs/>
        </w:rPr>
        <w:t>register.com</w:t>
      </w:r>
      <w:r w:rsidRPr="00D124E0">
        <w:t xml:space="preserve">. </w:t>
      </w:r>
    </w:p>
  </w:footnote>
  <w:footnote w:id="16">
    <w:p w:rsidR="00833B8F" w:rsidRPr="00AB613A" w:rsidP="00833B8F" w14:paraId="557C3D15" w14:textId="77777777">
      <w:pPr>
        <w:pStyle w:val="FootnoteText"/>
      </w:pPr>
      <w:r w:rsidRPr="00AB613A">
        <w:rPr>
          <w:rStyle w:val="FootnoteReference"/>
        </w:rPr>
        <w:footnoteRef/>
      </w:r>
      <w:r w:rsidRPr="00AB613A">
        <w:t xml:space="preserve"> Google’s Chrome browser flags sites without an SSL certificate as unsafe</w:t>
      </w:r>
      <w:r>
        <w:t>,</w:t>
      </w:r>
      <w:r w:rsidRPr="00AB613A">
        <w:t xml:space="preserve"> making them difficult to visit.</w:t>
      </w:r>
    </w:p>
  </w:footnote>
  <w:footnote w:id="17">
    <w:p w:rsidR="00833B8F" w:rsidP="00833B8F" w14:paraId="25116BD7" w14:textId="77777777">
      <w:pPr>
        <w:pStyle w:val="FootnoteText"/>
      </w:pPr>
      <w:r>
        <w:rPr>
          <w:rStyle w:val="FootnoteReference"/>
        </w:rPr>
        <w:footnoteRef/>
      </w:r>
      <w:r>
        <w:t xml:space="preserve"> 5 U.S.C. 552(b)(6) (</w:t>
      </w:r>
      <w:hyperlink r:id="rId12" w:history="1">
        <w:r w:rsidRPr="000D4A41">
          <w:rPr>
            <w:rStyle w:val="Hyperlink"/>
          </w:rPr>
          <w:t>https://uscode.house.gov/view.xhtml?req=(title:5%20section:552%20edition:prelim)</w:t>
        </w:r>
      </w:hyperlink>
      <w:r>
        <w:t>),</w:t>
      </w:r>
      <w:r w:rsidRPr="00B37A15">
        <w:t xml:space="preserve"> </w:t>
      </w:r>
      <w:r>
        <w:t>exempting “</w:t>
      </w:r>
      <w:r w:rsidRPr="00F25057">
        <w:t>personnel and medical files and similar files the disclosure of which would constitute a clearly unwarranted invasion of personal privacy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DAF" w:rsidP="00DC4DAF" w14:paraId="24C31713" w14:textId="77777777">
    <w:pPr>
      <w:pStyle w:val="Header"/>
      <w:ind w:left="6480"/>
      <w:jc w:val="both"/>
    </w:pPr>
    <w:r>
      <w:t>OMB Number 2539-XXXX</w:t>
    </w:r>
  </w:p>
  <w:p w:rsidR="00DC4DAF" w:rsidP="00DC4DAF" w14:paraId="6B58FCBB" w14:textId="77777777">
    <w:pPr>
      <w:pStyle w:val="Header"/>
      <w:ind w:left="6480"/>
      <w:jc w:val="both"/>
    </w:pPr>
    <w: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8334513"/>
    <w:multiLevelType w:val="hybridMultilevel"/>
    <w:tmpl w:val="C0CCD4B4"/>
    <w:lvl w:ilvl="0">
      <w:start w:val="1"/>
      <w:numFmt w:val="bullet"/>
      <w:lvlText w:val=""/>
      <w:lvlJc w:val="left"/>
      <w:pPr>
        <w:ind w:left="780" w:hanging="360"/>
      </w:pPr>
      <w:rPr>
        <w:rFonts w:ascii="Symbol" w:hAnsi="Symbol" w:hint="default"/>
        <w:sz w:val="16"/>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0ACF6182"/>
    <w:multiLevelType w:val="hybridMultilevel"/>
    <w:tmpl w:val="EE0A9C2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0B7F2F4D"/>
    <w:multiLevelType w:val="hybridMultilevel"/>
    <w:tmpl w:val="C110387E"/>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A30E09"/>
    <w:multiLevelType w:val="hybridMultilevel"/>
    <w:tmpl w:val="4BAC85BC"/>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7">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15C017EA"/>
    <w:multiLevelType w:val="hybridMultilevel"/>
    <w:tmpl w:val="561030FA"/>
    <w:lvl w:ilvl="0">
      <w:start w:val="1"/>
      <w:numFmt w:val="bullet"/>
      <w:lvlText w:val=""/>
      <w:lvlJc w:val="left"/>
      <w:pPr>
        <w:ind w:left="1080" w:hanging="360"/>
      </w:pPr>
      <w:rPr>
        <w:rFonts w:ascii="Symbol" w:hAnsi="Symbol" w:hint="default"/>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267A4572"/>
    <w:multiLevelType w:val="hybridMultilevel"/>
    <w:tmpl w:val="F80A5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BA6893"/>
    <w:multiLevelType w:val="hybridMultilevel"/>
    <w:tmpl w:val="20441BF8"/>
    <w:lvl w:ilvl="0">
      <w:start w:val="1"/>
      <w:numFmt w:val="bullet"/>
      <w:lvlText w:val=""/>
      <w:lvlJc w:val="left"/>
      <w:pPr>
        <w:ind w:left="810" w:hanging="360"/>
      </w:pPr>
      <w:rPr>
        <w:rFonts w:ascii="Symbol" w:hAnsi="Symbol" w:hint="default"/>
        <w:sz w:val="16"/>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304C00BA"/>
    <w:multiLevelType w:val="hybridMultilevel"/>
    <w:tmpl w:val="1046D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40D61139"/>
    <w:multiLevelType w:val="hybridMultilevel"/>
    <w:tmpl w:val="FC226A9C"/>
    <w:lvl w:ilvl="0">
      <w:start w:val="1"/>
      <w:numFmt w:val="decimal"/>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D23E54"/>
    <w:multiLevelType w:val="hybridMultilevel"/>
    <w:tmpl w:val="9CD62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206095"/>
    <w:multiLevelType w:val="singleLevel"/>
    <w:tmpl w:val="91EEBF70"/>
    <w:lvl w:ilvl="0">
      <w:start w:val="7"/>
      <w:numFmt w:val="decimal"/>
      <w:lvlText w:val="%1. "/>
      <w:legacy w:legacy="1" w:legacySpace="0" w:legacyIndent="360"/>
      <w:lvlJc w:val="left"/>
      <w:pPr>
        <w:ind w:left="360" w:hanging="360"/>
      </w:pPr>
      <w:rPr>
        <w:rFonts w:ascii="Times New Roman" w:hAnsi="Times New Roman" w:hint="default"/>
        <w:b/>
        <w:bCs w:val="0"/>
        <w:i w:val="0"/>
        <w:sz w:val="24"/>
        <w:szCs w:val="24"/>
        <w:u w:val="none"/>
      </w:rPr>
    </w:lvl>
  </w:abstractNum>
  <w:abstractNum w:abstractNumId="18">
    <w:nsid w:val="4C2A3DEC"/>
    <w:multiLevelType w:val="hybridMultilevel"/>
    <w:tmpl w:val="A0C6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52179F"/>
    <w:multiLevelType w:val="multilevel"/>
    <w:tmpl w:val="C46019F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2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nsid w:val="6E934B88"/>
    <w:multiLevelType w:val="hybridMultilevel"/>
    <w:tmpl w:val="DF125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5">
    <w:nsid w:val="7C14715B"/>
    <w:multiLevelType w:val="hybridMultilevel"/>
    <w:tmpl w:val="F2EE5354"/>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639E6"/>
    <w:multiLevelType w:val="hybridMultilevel"/>
    <w:tmpl w:val="10223086"/>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3601999">
    <w:abstractNumId w:val="9"/>
  </w:num>
  <w:num w:numId="2" w16cid:durableId="1939675396">
    <w:abstractNumId w:val="6"/>
  </w:num>
  <w:num w:numId="3" w16cid:durableId="1587377701">
    <w:abstractNumId w:val="20"/>
  </w:num>
  <w:num w:numId="4" w16cid:durableId="887451858">
    <w:abstractNumId w:val="13"/>
  </w:num>
  <w:num w:numId="5" w16cid:durableId="1830825219">
    <w:abstractNumId w:val="14"/>
  </w:num>
  <w:num w:numId="6" w16cid:durableId="2036811765">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7"/>
  </w:num>
  <w:num w:numId="8" w16cid:durableId="1708868018">
    <w:abstractNumId w:val="24"/>
  </w:num>
  <w:num w:numId="9" w16cid:durableId="36247648">
    <w:abstractNumId w:val="5"/>
  </w:num>
  <w:num w:numId="10" w16cid:durableId="1269002932">
    <w:abstractNumId w:val="23"/>
  </w:num>
  <w:num w:numId="11" w16cid:durableId="804929379">
    <w:abstractNumId w:val="22"/>
  </w:num>
  <w:num w:numId="12" w16cid:durableId="1778601022">
    <w:abstractNumId w:val="2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17"/>
  </w:num>
  <w:num w:numId="14" w16cid:durableId="1774594277">
    <w:abstractNumId w:val="0"/>
    <w:lvlOverride w:ilvl="0">
      <w:lvl w:ilvl="0">
        <w:start w:val="1"/>
        <w:numFmt w:val="bullet"/>
        <w:lvlText w:val=""/>
        <w:legacy w:legacy="1" w:legacySpace="0" w:legacyIndent="144"/>
        <w:lvlJc w:val="left"/>
        <w:pPr>
          <w:ind w:left="594" w:hanging="144"/>
        </w:pPr>
        <w:rPr>
          <w:rFonts w:ascii="Symbol" w:hAnsi="Symbol" w:hint="default"/>
          <w:sz w:val="16"/>
        </w:rPr>
      </w:lvl>
    </w:lvlOverride>
  </w:num>
  <w:num w:numId="15" w16cid:durableId="1512796136">
    <w:abstractNumId w:val="15"/>
  </w:num>
  <w:num w:numId="16" w16cid:durableId="1416249408">
    <w:abstractNumId w:val="10"/>
  </w:num>
  <w:num w:numId="17" w16cid:durableId="483665649">
    <w:abstractNumId w:val="12"/>
  </w:num>
  <w:num w:numId="18" w16cid:durableId="508256947">
    <w:abstractNumId w:val="2"/>
  </w:num>
  <w:num w:numId="19" w16cid:durableId="1106582074">
    <w:abstractNumId w:val="19"/>
  </w:num>
  <w:num w:numId="20" w16cid:durableId="2129735484">
    <w:abstractNumId w:val="16"/>
  </w:num>
  <w:num w:numId="21" w16cid:durableId="1436289930">
    <w:abstractNumId w:val="21"/>
  </w:num>
  <w:num w:numId="22" w16cid:durableId="720250637">
    <w:abstractNumId w:val="18"/>
  </w:num>
  <w:num w:numId="23" w16cid:durableId="2051417670">
    <w:abstractNumId w:val="25"/>
  </w:num>
  <w:num w:numId="24" w16cid:durableId="1149202182">
    <w:abstractNumId w:val="26"/>
  </w:num>
  <w:num w:numId="25" w16cid:durableId="1262907242">
    <w:abstractNumId w:val="8"/>
  </w:num>
  <w:num w:numId="26" w16cid:durableId="1782147201">
    <w:abstractNumId w:val="3"/>
  </w:num>
  <w:num w:numId="27" w16cid:durableId="628632582">
    <w:abstractNumId w:val="4"/>
  </w:num>
  <w:num w:numId="28" w16cid:durableId="948199058">
    <w:abstractNumId w:val="1"/>
  </w:num>
  <w:num w:numId="29" w16cid:durableId="1547644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 w:id="2"/>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1EC7"/>
    <w:rsid w:val="00042F05"/>
    <w:rsid w:val="00090D1E"/>
    <w:rsid w:val="00096713"/>
    <w:rsid w:val="000A1639"/>
    <w:rsid w:val="000C01AE"/>
    <w:rsid w:val="000C117C"/>
    <w:rsid w:val="000C38FD"/>
    <w:rsid w:val="000D4A41"/>
    <w:rsid w:val="000D5079"/>
    <w:rsid w:val="000E00A8"/>
    <w:rsid w:val="000E2A89"/>
    <w:rsid w:val="00112A38"/>
    <w:rsid w:val="001521B2"/>
    <w:rsid w:val="00167E53"/>
    <w:rsid w:val="00187592"/>
    <w:rsid w:val="0023256B"/>
    <w:rsid w:val="00235A80"/>
    <w:rsid w:val="0028513A"/>
    <w:rsid w:val="002C1758"/>
    <w:rsid w:val="002C5BA8"/>
    <w:rsid w:val="002F6CE8"/>
    <w:rsid w:val="00307E75"/>
    <w:rsid w:val="0035641A"/>
    <w:rsid w:val="0035771C"/>
    <w:rsid w:val="00360090"/>
    <w:rsid w:val="003D7926"/>
    <w:rsid w:val="00422867"/>
    <w:rsid w:val="00444596"/>
    <w:rsid w:val="00450591"/>
    <w:rsid w:val="00453D45"/>
    <w:rsid w:val="00474CB9"/>
    <w:rsid w:val="00482B1E"/>
    <w:rsid w:val="004C4639"/>
    <w:rsid w:val="00532200"/>
    <w:rsid w:val="00537B6C"/>
    <w:rsid w:val="0058747D"/>
    <w:rsid w:val="005C3BA4"/>
    <w:rsid w:val="0067005C"/>
    <w:rsid w:val="0069212C"/>
    <w:rsid w:val="006B7674"/>
    <w:rsid w:val="006C4830"/>
    <w:rsid w:val="006C7FAE"/>
    <w:rsid w:val="00722E9E"/>
    <w:rsid w:val="007A5A6A"/>
    <w:rsid w:val="007B4A33"/>
    <w:rsid w:val="007D6310"/>
    <w:rsid w:val="008162AA"/>
    <w:rsid w:val="0082644D"/>
    <w:rsid w:val="008314BA"/>
    <w:rsid w:val="00833B8F"/>
    <w:rsid w:val="00861791"/>
    <w:rsid w:val="008A7175"/>
    <w:rsid w:val="008E0A84"/>
    <w:rsid w:val="008E57C5"/>
    <w:rsid w:val="00960054"/>
    <w:rsid w:val="009801A7"/>
    <w:rsid w:val="009C7383"/>
    <w:rsid w:val="009E0C3E"/>
    <w:rsid w:val="009E13B1"/>
    <w:rsid w:val="009F43C3"/>
    <w:rsid w:val="00A65F9E"/>
    <w:rsid w:val="00A83E46"/>
    <w:rsid w:val="00AA2A02"/>
    <w:rsid w:val="00AB613A"/>
    <w:rsid w:val="00B01940"/>
    <w:rsid w:val="00B03398"/>
    <w:rsid w:val="00B04BA6"/>
    <w:rsid w:val="00B37A15"/>
    <w:rsid w:val="00B42EEF"/>
    <w:rsid w:val="00B73581"/>
    <w:rsid w:val="00B94401"/>
    <w:rsid w:val="00BB2518"/>
    <w:rsid w:val="00BC10AF"/>
    <w:rsid w:val="00BC50C0"/>
    <w:rsid w:val="00C06B8A"/>
    <w:rsid w:val="00C508A4"/>
    <w:rsid w:val="00C57B95"/>
    <w:rsid w:val="00C769B9"/>
    <w:rsid w:val="00C82704"/>
    <w:rsid w:val="00CA06CC"/>
    <w:rsid w:val="00CC4688"/>
    <w:rsid w:val="00CE1567"/>
    <w:rsid w:val="00D124E0"/>
    <w:rsid w:val="00D16FE6"/>
    <w:rsid w:val="00D31D1A"/>
    <w:rsid w:val="00D717DB"/>
    <w:rsid w:val="00D74136"/>
    <w:rsid w:val="00DA0546"/>
    <w:rsid w:val="00DC4DAF"/>
    <w:rsid w:val="00DD2868"/>
    <w:rsid w:val="00DD3286"/>
    <w:rsid w:val="00DF730D"/>
    <w:rsid w:val="00E01140"/>
    <w:rsid w:val="00E32E87"/>
    <w:rsid w:val="00ED27EE"/>
    <w:rsid w:val="00EE4E8F"/>
    <w:rsid w:val="00F035D5"/>
    <w:rsid w:val="00F0704C"/>
    <w:rsid w:val="00F25057"/>
    <w:rsid w:val="00F27C8F"/>
    <w:rsid w:val="00F336BB"/>
    <w:rsid w:val="00F5145B"/>
    <w:rsid w:val="00F66E2B"/>
    <w:rsid w:val="00FB5197"/>
    <w:rsid w:val="00FD3D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FootnoteText">
    <w:name w:val="footnote text"/>
    <w:aliases w:val="F1"/>
    <w:basedOn w:val="Normal"/>
    <w:link w:val="FootnoteTextChar"/>
    <w:uiPriority w:val="99"/>
    <w:semiHidden/>
    <w:unhideWhenUsed/>
    <w:rsid w:val="00833B8F"/>
  </w:style>
  <w:style w:type="character" w:customStyle="1" w:styleId="FootnoteTextChar">
    <w:name w:val="Footnote Text Char"/>
    <w:aliases w:val="F1 Char"/>
    <w:basedOn w:val="DefaultParagraphFont"/>
    <w:link w:val="FootnoteText"/>
    <w:uiPriority w:val="99"/>
    <w:semiHidden/>
    <w:rsid w:val="00833B8F"/>
  </w:style>
  <w:style w:type="character" w:styleId="FootnoteReference">
    <w:name w:val="footnote reference"/>
    <w:uiPriority w:val="99"/>
    <w:semiHidden/>
    <w:rsid w:val="00833B8F"/>
    <w:rPr>
      <w:sz w:val="20"/>
      <w:szCs w:val="20"/>
      <w:vertAlign w:val="superscript"/>
    </w:rPr>
  </w:style>
  <w:style w:type="character" w:styleId="Hyperlink">
    <w:name w:val="Hyperlink"/>
    <w:uiPriority w:val="99"/>
    <w:rsid w:val="00833B8F"/>
    <w:rPr>
      <w:color w:val="0000FF"/>
      <w:u w:val="single"/>
    </w:rPr>
  </w:style>
  <w:style w:type="paragraph" w:customStyle="1" w:styleId="BodyText22">
    <w:name w:val="Body Text 22"/>
    <w:basedOn w:val="Normal"/>
    <w:rsid w:val="00833B8F"/>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cs="Univers"/>
      <w:b/>
      <w:bCs/>
      <w:sz w:val="22"/>
      <w:szCs w:val="22"/>
    </w:rPr>
  </w:style>
  <w:style w:type="paragraph" w:styleId="BodyText">
    <w:name w:val="Body Text"/>
    <w:basedOn w:val="Normal"/>
    <w:link w:val="BodyTextChar"/>
    <w:semiHidden/>
    <w:rsid w:val="00833B8F"/>
    <w:pPr>
      <w:widowControl w:val="0"/>
    </w:pPr>
    <w:rPr>
      <w:sz w:val="24"/>
      <w:szCs w:val="24"/>
    </w:rPr>
  </w:style>
  <w:style w:type="character" w:customStyle="1" w:styleId="BodyTextChar">
    <w:name w:val="Body Text Char"/>
    <w:basedOn w:val="DefaultParagraphFont"/>
    <w:link w:val="BodyText"/>
    <w:semiHidden/>
    <w:rsid w:val="00833B8F"/>
    <w:rPr>
      <w:sz w:val="24"/>
      <w:szCs w:val="24"/>
    </w:rPr>
  </w:style>
  <w:style w:type="paragraph" w:customStyle="1" w:styleId="NormalOMB">
    <w:name w:val="Normal OMB"/>
    <w:basedOn w:val="Normal"/>
    <w:rsid w:val="00833B8F"/>
    <w:pPr>
      <w:ind w:firstLine="720"/>
    </w:pPr>
    <w:rPr>
      <w:sz w:val="24"/>
      <w:szCs w:val="24"/>
    </w:rPr>
  </w:style>
  <w:style w:type="paragraph" w:styleId="BodyText2">
    <w:name w:val="Body Text 2"/>
    <w:basedOn w:val="Normal"/>
    <w:link w:val="BodyText2Char"/>
    <w:uiPriority w:val="99"/>
    <w:semiHidden/>
    <w:unhideWhenUsed/>
    <w:rsid w:val="00EE4E8F"/>
    <w:pPr>
      <w:spacing w:after="120" w:line="480" w:lineRule="auto"/>
    </w:pPr>
  </w:style>
  <w:style w:type="character" w:customStyle="1" w:styleId="BodyText2Char">
    <w:name w:val="Body Text 2 Char"/>
    <w:basedOn w:val="DefaultParagraphFont"/>
    <w:link w:val="BodyText2"/>
    <w:uiPriority w:val="99"/>
    <w:semiHidden/>
    <w:rsid w:val="00EE4E8F"/>
  </w:style>
  <w:style w:type="character" w:styleId="CommentReference">
    <w:name w:val="annotation reference"/>
    <w:basedOn w:val="DefaultParagraphFont"/>
    <w:uiPriority w:val="99"/>
    <w:semiHidden/>
    <w:unhideWhenUsed/>
    <w:rsid w:val="00CC4688"/>
    <w:rPr>
      <w:sz w:val="16"/>
      <w:szCs w:val="16"/>
    </w:rPr>
  </w:style>
  <w:style w:type="paragraph" w:styleId="CommentText">
    <w:name w:val="annotation text"/>
    <w:basedOn w:val="Normal"/>
    <w:link w:val="CommentTextChar"/>
    <w:uiPriority w:val="99"/>
    <w:unhideWhenUsed/>
    <w:rsid w:val="00CC4688"/>
  </w:style>
  <w:style w:type="character" w:customStyle="1" w:styleId="CommentTextChar">
    <w:name w:val="Comment Text Char"/>
    <w:basedOn w:val="DefaultParagraphFont"/>
    <w:link w:val="CommentText"/>
    <w:uiPriority w:val="99"/>
    <w:rsid w:val="00CC4688"/>
  </w:style>
  <w:style w:type="paragraph" w:styleId="CommentSubject">
    <w:name w:val="annotation subject"/>
    <w:basedOn w:val="CommentText"/>
    <w:next w:val="CommentText"/>
    <w:link w:val="CommentSubjectChar"/>
    <w:uiPriority w:val="99"/>
    <w:semiHidden/>
    <w:unhideWhenUsed/>
    <w:rsid w:val="00CC4688"/>
    <w:rPr>
      <w:b/>
      <w:bCs/>
    </w:rPr>
  </w:style>
  <w:style w:type="character" w:customStyle="1" w:styleId="CommentSubjectChar">
    <w:name w:val="Comment Subject Char"/>
    <w:basedOn w:val="CommentTextChar"/>
    <w:link w:val="CommentSubject"/>
    <w:uiPriority w:val="99"/>
    <w:semiHidden/>
    <w:rsid w:val="00CC4688"/>
    <w:rPr>
      <w:b/>
      <w:bCs/>
    </w:rPr>
  </w:style>
  <w:style w:type="paragraph" w:styleId="Revision">
    <w:name w:val="Revision"/>
    <w:hidden/>
    <w:uiPriority w:val="99"/>
    <w:semiHidden/>
    <w:rsid w:val="00444596"/>
  </w:style>
  <w:style w:type="character" w:customStyle="1" w:styleId="HeaderChar">
    <w:name w:val="Header Char"/>
    <w:basedOn w:val="DefaultParagraphFont"/>
    <w:link w:val="Header"/>
    <w:semiHidden/>
    <w:rsid w:val="00DC4DAF"/>
  </w:style>
  <w:style w:type="paragraph" w:styleId="NoSpacing">
    <w:name w:val="No Spacing"/>
    <w:uiPriority w:val="1"/>
    <w:qFormat/>
    <w:rsid w:val="00DC4DAF"/>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uscode.house.gov/browse/prelim@title42/chapter63&amp;edition=prelim" TargetMode="External" /><Relationship Id="rId10" Type="http://schemas.openxmlformats.org/officeDocument/2006/relationships/hyperlink" Target="http://www.limesurvey.org" TargetMode="External" /><Relationship Id="rId11" Type="http://schemas.openxmlformats.org/officeDocument/2006/relationships/hyperlink" Target="http://www.quantech.com" TargetMode="External" /><Relationship Id="rId12" Type="http://schemas.openxmlformats.org/officeDocument/2006/relationships/hyperlink" Target="https://uscode.house.gov/view.xhtml?req=(title:5%20section:552%20edition:prelim)" TargetMode="External" /><Relationship Id="rId2" Type="http://schemas.openxmlformats.org/officeDocument/2006/relationships/hyperlink" Target="https://uscode.house.gov/browse/prelim@title42/chapter63A&amp;edition=prelim" TargetMode="External" /><Relationship Id="rId3" Type="http://schemas.openxmlformats.org/officeDocument/2006/relationships/hyperlink" Target="https://uscode.house.gov/view.xhtml?req=(title:42%20section:4852%20edition:prelim)" TargetMode="External" /><Relationship Id="rId4" Type="http://schemas.openxmlformats.org/officeDocument/2006/relationships/hyperlink" Target="https://doi.org/10.1016/j.envres.2005.02.002" TargetMode="External" /><Relationship Id="rId5" Type="http://schemas.openxmlformats.org/officeDocument/2006/relationships/hyperlink" Target="https://doi.org/10.1016/j.envres.2010.11.003" TargetMode="External" /><Relationship Id="rId6" Type="http://schemas.openxmlformats.org/officeDocument/2006/relationships/hyperlink" Target="https://www.cdc.gov/nceh/lead/data/blood-lead-reference-value.htm" TargetMode="External" /><Relationship Id="rId7" Type="http://schemas.openxmlformats.org/officeDocument/2006/relationships/hyperlink" Target="https://www.hud.gov/sites/dfiles/HH/documents/AHHS_II_Lead_Findings_Report_Final_29oct21.pdf" TargetMode="External" /><Relationship Id="rId8" Type="http://schemas.openxmlformats.org/officeDocument/2006/relationships/hyperlink" Target="https://doi.org/10.1016/j.envres.2006.04.007" TargetMode="External" /><Relationship Id="rId9" Type="http://schemas.openxmlformats.org/officeDocument/2006/relationships/hyperlink" Target="https://doi.org/10.1016/j.envres.2012.01.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3.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063E0-9C76-46DE-B507-93E25D07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4719</Words>
  <Characters>25968</Characters>
  <Application>Microsoft Office Word</Application>
  <DocSecurity>2</DocSecurity>
  <Lines>216</Lines>
  <Paragraphs>61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2024-05-28T16:26:00Z</dcterms:created>
  <dcterms:modified xsi:type="dcterms:W3CDTF">2024-05-28T16:26:00Z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