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E550F" w:rsidP="00CE550F" w14:paraId="56A98770" w14:textId="7BD1DB0C">
      <w:pPr>
        <w:jc w:val="center"/>
        <w:rPr>
          <w:sz w:val="22"/>
          <w:szCs w:val="22"/>
          <w:u w:val="single"/>
        </w:rPr>
      </w:pPr>
      <w:r w:rsidRPr="00553727">
        <w:rPr>
          <w:sz w:val="22"/>
          <w:szCs w:val="22"/>
          <w:u w:val="single"/>
        </w:rPr>
        <w:t>VA FORM 29-</w:t>
      </w:r>
      <w:r w:rsidR="007A536D">
        <w:rPr>
          <w:sz w:val="22"/>
          <w:szCs w:val="22"/>
          <w:u w:val="single"/>
        </w:rPr>
        <w:t>10279</w:t>
      </w:r>
    </w:p>
    <w:p w:rsidR="007A536D" w:rsidP="00CE550F" w14:paraId="4ABF3DD9" w14:textId="711B2499">
      <w:pPr>
        <w:jc w:val="center"/>
        <w:rPr>
          <w:sz w:val="22"/>
          <w:szCs w:val="22"/>
          <w:u w:val="single"/>
        </w:rPr>
      </w:pPr>
      <w:r w:rsidRPr="007A536D">
        <w:rPr>
          <w:sz w:val="22"/>
          <w:szCs w:val="22"/>
          <w:u w:val="single"/>
        </w:rPr>
        <w:t xml:space="preserve">VETERANS AFFAIRS LIFE INSURANCE (VALife) POLICY MAINTENANCE </w:t>
      </w:r>
      <w:r w:rsidR="00395446">
        <w:rPr>
          <w:sz w:val="22"/>
          <w:szCs w:val="22"/>
          <w:u w:val="single"/>
        </w:rPr>
        <w:t>APPLICATION</w:t>
      </w:r>
    </w:p>
    <w:p w:rsidR="00CE550F" w:rsidRPr="00553727" w:rsidP="00CE550F" w14:paraId="3C808971" w14:textId="3A0AC89F">
      <w:pPr>
        <w:jc w:val="center"/>
        <w:rPr>
          <w:sz w:val="22"/>
          <w:szCs w:val="22"/>
          <w:u w:val="single"/>
        </w:rPr>
      </w:pPr>
      <w:r w:rsidRPr="00553727">
        <w:rPr>
          <w:sz w:val="22"/>
          <w:szCs w:val="22"/>
          <w:u w:val="single"/>
        </w:rPr>
        <w:t>2900-</w:t>
      </w:r>
      <w:r w:rsidR="007A536D">
        <w:rPr>
          <w:sz w:val="22"/>
          <w:szCs w:val="22"/>
          <w:u w:val="single"/>
        </w:rPr>
        <w:t>0918</w:t>
      </w:r>
    </w:p>
    <w:p w:rsidR="00224C68" w14:paraId="50A79A92" w14:textId="77777777"/>
    <w:p w:rsidR="00224C68" w14:paraId="48E1B0A0" w14:textId="77777777">
      <w:pPr>
        <w:rPr>
          <w:b/>
          <w:bCs/>
        </w:rPr>
      </w:pPr>
    </w:p>
    <w:tbl>
      <w:tblPr>
        <w:tblStyle w:val="TableGrid"/>
        <w:tblW w:w="9360" w:type="dxa"/>
        <w:tblInd w:w="-5" w:type="dxa"/>
        <w:tblLook w:val="04A0"/>
      </w:tblPr>
      <w:tblGrid>
        <w:gridCol w:w="9360"/>
      </w:tblGrid>
      <w:tr w14:paraId="3115BF8B" w14:textId="77777777" w:rsidTr="00395446">
        <w:tblPrEx>
          <w:tblW w:w="9360" w:type="dxa"/>
          <w:tblInd w:w="-5" w:type="dxa"/>
          <w:tblLook w:val="04A0"/>
        </w:tblPrEx>
        <w:tc>
          <w:tcPr>
            <w:tcW w:w="936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C8663D" w:rsidRPr="001F5990" w:rsidP="00C8663D" w14:paraId="3912B572" w14:textId="5CC1C269">
            <w:pPr>
              <w:numPr>
                <w:ilvl w:val="0"/>
                <w:numId w:val="9"/>
              </w:numPr>
              <w:ind w:left="360" w:right="-720" w:hanging="360"/>
            </w:pPr>
            <w:r>
              <w:t>This ICR is being submitted as an “</w:t>
            </w:r>
            <w:r w:rsidR="001818C5">
              <w:t>Extension</w:t>
            </w:r>
            <w:r>
              <w:t xml:space="preserve">” </w:t>
            </w:r>
            <w:r w:rsidR="001818C5">
              <w:t>of a previously approved collection</w:t>
            </w:r>
            <w:r>
              <w:t>.</w:t>
            </w:r>
          </w:p>
          <w:p w:rsidR="00C8663D" w:rsidP="00C8663D" w14:paraId="36F563E5" w14:textId="41F71C3B">
            <w:pPr>
              <w:numPr>
                <w:ilvl w:val="0"/>
                <w:numId w:val="9"/>
              </w:numPr>
              <w:ind w:left="360" w:hanging="360"/>
            </w:pPr>
            <w:r w:rsidRPr="00D15B1F">
              <w:t xml:space="preserve">There are a few </w:t>
            </w:r>
            <w:r w:rsidRPr="00D15B1F">
              <w:t>non-substanti</w:t>
            </w:r>
            <w:r w:rsidR="007A536D">
              <w:t>ve</w:t>
            </w:r>
            <w:r w:rsidRPr="00D15B1F">
              <w:t xml:space="preserve"> revisions required for the VA Form </w:t>
            </w:r>
            <w:r w:rsidR="007A536D">
              <w:t>29-10279</w:t>
            </w:r>
            <w:r w:rsidRPr="00D15B1F">
              <w:t xml:space="preserve">, however, those revisions do not affect the burden for this collection. </w:t>
            </w:r>
          </w:p>
          <w:p w:rsidR="00D22C51" w:rsidP="00D22C51" w14:paraId="6C241CF0" w14:textId="77777777">
            <w:pPr>
              <w:numPr>
                <w:ilvl w:val="0"/>
                <w:numId w:val="9"/>
              </w:numPr>
              <w:ind w:left="360" w:right="-720" w:hanging="360"/>
            </w:pPr>
            <w:r>
              <w:t>No Comments have been received on the 60-Day FRN.</w:t>
            </w:r>
          </w:p>
          <w:p w:rsidR="00395446" w:rsidP="00C8663D" w14:paraId="20ECFBA9" w14:textId="77777777">
            <w:pPr>
              <w:numPr>
                <w:ilvl w:val="0"/>
                <w:numId w:val="9"/>
              </w:numPr>
              <w:ind w:left="360" w:right="-720" w:hanging="360"/>
            </w:pPr>
            <w:r w:rsidRPr="001E6E87">
              <w:t xml:space="preserve">Title:  </w:t>
            </w:r>
            <w:r w:rsidR="007A536D">
              <w:t>Veterans Affairs Life Insurance (VALife) Policy Maintenance</w:t>
            </w:r>
            <w:r>
              <w:t xml:space="preserve"> Application</w:t>
            </w:r>
            <w:r w:rsidRPr="001E6E87">
              <w:t>, VA Form</w:t>
            </w:r>
          </w:p>
          <w:p w:rsidR="00395446" w:rsidP="00395446" w14:paraId="5D0C0481" w14:textId="3C8ED774">
            <w:pPr>
              <w:spacing w:after="120"/>
              <w:ind w:left="360" w:right="-720"/>
            </w:pPr>
            <w:r w:rsidRPr="001E6E87">
              <w:t xml:space="preserve"> </w:t>
            </w:r>
            <w:r>
              <w:t>29-10279</w:t>
            </w:r>
          </w:p>
        </w:tc>
      </w:tr>
    </w:tbl>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E42780" w:rsidP="00125A85" w14:paraId="5D2B09D6" w14:textId="77777777">
      <w:pPr>
        <w:ind w:left="990"/>
        <w:rPr>
          <w:bCs/>
        </w:rPr>
      </w:pPr>
    </w:p>
    <w:p w:rsidR="00BB212A" w:rsidP="00395446" w14:paraId="297D606F" w14:textId="7BD53FB6">
      <w:pPr>
        <w:ind w:left="360" w:right="-720"/>
      </w:pPr>
      <w:r w:rsidRPr="00395446">
        <w:t>This form is used by the Department of Veterans Affairs to allow authorized agents (Guardian, POA, VA Fiduciary) to update information on a Veteran’s VALife policy. The form is authorized by 38 USC, Section 1922.</w:t>
      </w:r>
    </w:p>
    <w:p w:rsidR="00395446" w:rsidP="00395446" w14:paraId="1F5A91BE" w14:textId="77777777">
      <w:pPr>
        <w:ind w:left="36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395446" w:rsidP="00395446" w14:paraId="3FC2F54D" w14:textId="56096B13">
      <w:pPr>
        <w:ind w:left="360"/>
      </w:pPr>
      <w:r>
        <w:t>The data collected on this form is used by the Department of Veterans Affairs to update contact information, communication preferences, beneficiary information payment method and to make changes to or cancel coverage or apply to reinstate a lapsed policy for VALife policies, which opened for enrollment on January 1, 2023.</w:t>
      </w:r>
    </w:p>
    <w:p w:rsidR="002D29EF" w:rsidP="00125A85" w14:paraId="1CEC286E"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BB212A" w:rsidP="00395446" w14:paraId="193D4B25" w14:textId="571333DC">
      <w:pPr>
        <w:ind w:left="360" w:right="-720"/>
      </w:pPr>
      <w:r w:rsidRPr="00395446">
        <w:t xml:space="preserve">VA Form 29-10279 will be available as a DocuSign form through the Insurance website.  While most VALife applicants will manage their policy changes through their online account, this form is for authorized agents (Guardian, POA or VA Fiduciary) to update information on behalf of Veterans who are unable to manage their VALife coverage on their own.  Agents who need to update information on behalf of a VALife insured will be directed to the DocuSign version of the form to complete and submit through a secure </w:t>
      </w:r>
      <w:r w:rsidRPr="00395446">
        <w:t>DocuSign portal.</w:t>
      </w:r>
    </w:p>
    <w:p w:rsidR="00395446" w:rsidP="00395446" w14:paraId="60C5748B" w14:textId="77777777">
      <w:pPr>
        <w:ind w:left="36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D22C51" w:rsidP="00125A85" w14:paraId="17501EEE" w14:textId="77777777">
      <w:pPr>
        <w:ind w:left="360" w:right="-720"/>
      </w:pPr>
    </w:p>
    <w:p w:rsidR="00D22C51" w:rsidP="00125A85" w14:paraId="00B7D331" w14:textId="77777777">
      <w:pPr>
        <w:ind w:left="360" w:right="-720"/>
      </w:pP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 xml:space="preserve">Burden on Small </w:t>
      </w:r>
      <w:r w:rsidRPr="00C33614">
        <w:rPr>
          <w:b/>
          <w:bCs/>
          <w:u w:val="single"/>
        </w:rPr>
        <w:t>Businesses</w:t>
      </w:r>
    </w:p>
    <w:p w:rsidR="00E42780" w:rsidP="00125A85" w14:paraId="6B04EA9D" w14:textId="77777777">
      <w:pPr>
        <w:ind w:left="990" w:right="-720"/>
        <w:rPr>
          <w:bCs/>
        </w:rPr>
      </w:pPr>
    </w:p>
    <w:p w:rsidR="00187B51" w:rsidP="00125A85" w14:paraId="36A97263" w14:textId="77777777">
      <w:pPr>
        <w:ind w:right="-720" w:firstLine="360"/>
      </w:pPr>
      <w:r>
        <w:t>The information does not involve any small businesses.</w:t>
      </w:r>
    </w:p>
    <w:p w:rsidR="00D22C51" w:rsidRPr="00187B51" w:rsidP="00125A85" w14:paraId="1C03C32A" w14:textId="77777777">
      <w:pPr>
        <w:ind w:right="-720" w:firstLine="360"/>
      </w:pPr>
    </w:p>
    <w:p w:rsidR="00224C68" w:rsidRPr="00586435" w:rsidP="00125A85" w14:paraId="1EE7EDDC" w14:textId="4374262B">
      <w:pPr>
        <w:numPr>
          <w:ilvl w:val="0"/>
          <w:numId w:val="13"/>
        </w:numPr>
        <w:ind w:right="-720"/>
        <w:rPr>
          <w:b/>
          <w:bCs/>
          <w:u w:val="single"/>
        </w:rPr>
      </w:pPr>
      <w:r>
        <w:rPr>
          <w:b/>
          <w:bCs/>
          <w:u w:val="single"/>
        </w:rPr>
        <w:t>Less Frequent Collection</w:t>
      </w:r>
    </w:p>
    <w:p w:rsidR="00395446" w:rsidP="00395446" w14:paraId="7AE41635" w14:textId="77777777">
      <w:pPr>
        <w:ind w:left="360" w:right="-720"/>
        <w:rPr>
          <w:bCs/>
        </w:rPr>
      </w:pPr>
    </w:p>
    <w:p w:rsidR="00224C68" w:rsidP="00395446" w14:paraId="08FAC6C1" w14:textId="1F898C9D">
      <w:pPr>
        <w:ind w:left="360" w:right="-720"/>
        <w:rPr>
          <w:bCs/>
        </w:rPr>
      </w:pPr>
      <w:r w:rsidRPr="00395446">
        <w:rPr>
          <w:bCs/>
        </w:rPr>
        <w:t>This form is designed for use by the Department of Veterans Affairs to maintain Veterans Affairs Life Insurance (VALife) accounts.</w:t>
      </w:r>
    </w:p>
    <w:p w:rsidR="00395446" w:rsidP="00125A85" w14:paraId="5C03F98D" w14:textId="77777777">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3595CCCA">
      <w:pPr>
        <w:overflowPunct w:val="0"/>
        <w:autoSpaceDE w:val="0"/>
        <w:autoSpaceDN w:val="0"/>
        <w:adjustRightInd w:val="0"/>
        <w:ind w:left="360"/>
        <w:textAlignment w:val="baseline"/>
      </w:pPr>
      <w:r>
        <w:t>A 60-Day Federal Register Notice (FRN) for the collection published on Monday,</w:t>
      </w:r>
      <w:r>
        <w:t xml:space="preserve"> July 14, 2025.  The 60-Day FRN citation is 90</w:t>
      </w:r>
      <w:r w:rsidR="000C665E">
        <w:t xml:space="preserve"> </w:t>
      </w:r>
      <w:r>
        <w:t xml:space="preserve">FRN 31582. </w:t>
      </w:r>
    </w:p>
    <w:p w:rsidR="00B433DB" w:rsidP="00C33614" w14:paraId="7A12F551" w14:textId="77777777">
      <w:pPr>
        <w:overflowPunct w:val="0"/>
        <w:autoSpaceDE w:val="0"/>
        <w:autoSpaceDN w:val="0"/>
        <w:adjustRightInd w:val="0"/>
        <w:ind w:left="360"/>
        <w:textAlignment w:val="baseline"/>
      </w:pPr>
    </w:p>
    <w:p w:rsidR="00B433DB" w:rsidP="00C33614" w14:paraId="5210BCAA" w14:textId="485CEC9A">
      <w:pPr>
        <w:overflowPunct w:val="0"/>
        <w:autoSpaceDE w:val="0"/>
        <w:autoSpaceDN w:val="0"/>
        <w:adjustRightInd w:val="0"/>
        <w:ind w:left="360"/>
        <w:textAlignment w:val="baseline"/>
      </w:pPr>
      <w:r>
        <w:t>No comments have been received during the 60-day comment period.</w:t>
      </w:r>
    </w:p>
    <w:p w:rsidR="004F367C" w:rsidP="00125A85" w14:paraId="3E6CE877" w14:textId="77777777">
      <w:pPr>
        <w:overflowPunct w:val="0"/>
        <w:autoSpaceDE w:val="0"/>
        <w:autoSpaceDN w:val="0"/>
        <w:adjustRightInd w:val="0"/>
        <w:ind w:left="990"/>
        <w:textAlignment w:val="baseline"/>
      </w:pPr>
    </w:p>
    <w:p w:rsidR="004F367C" w:rsidP="00C33614" w14:paraId="5D3EA4BB" w14:textId="04B5D75A">
      <w:pPr>
        <w:overflowPunct w:val="0"/>
        <w:autoSpaceDE w:val="0"/>
        <w:autoSpaceDN w:val="0"/>
        <w:adjustRightInd w:val="0"/>
        <w:ind w:left="360"/>
        <w:textAlignment w:val="baseline"/>
      </w:pPr>
      <w:r>
        <w:t xml:space="preserve">A 30-Day Federal Register Notice for the </w:t>
      </w:r>
      <w:r>
        <w:t>collection published on</w:t>
      </w:r>
      <w:r w:rsidR="005B226B">
        <w:t xml:space="preserve"> Wednesday, September</w:t>
      </w:r>
      <w:r w:rsidR="00077C37">
        <w:t xml:space="preserve"> 17</w:t>
      </w:r>
      <w:r>
        <w:t xml:space="preserve">, </w:t>
      </w:r>
      <w:r w:rsidR="00077C37">
        <w:t>2025</w:t>
      </w:r>
      <w:r>
        <w:t>.  The 30-Day FRN citation is 90 FRN 44907.</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0C665E" w:rsidP="00C33614" w14:paraId="6E0098D3" w14:textId="77777777">
      <w:pPr>
        <w:overflowPunct w:val="0"/>
        <w:autoSpaceDE w:val="0"/>
        <w:autoSpaceDN w:val="0"/>
        <w:adjustRightInd w:val="0"/>
        <w:ind w:left="360"/>
        <w:textAlignment w:val="baseline"/>
      </w:pPr>
    </w:p>
    <w:bookmarkEnd w:id="0"/>
    <w:p w:rsidR="000C665E" w:rsidP="00125A85" w14:paraId="722A2ACA" w14:textId="77777777">
      <w:pPr>
        <w:ind w:left="990" w:right="-720"/>
      </w:pPr>
    </w:p>
    <w:p w:rsidR="00224C68" w:rsidRPr="00C33614" w:rsidP="00125A85" w14:paraId="352D0A33" w14:textId="1C42FD6A">
      <w:pPr>
        <w:numPr>
          <w:ilvl w:val="0"/>
          <w:numId w:val="13"/>
        </w:numPr>
        <w:ind w:right="-720"/>
        <w:rPr>
          <w:b/>
          <w:bCs/>
          <w:u w:val="single"/>
        </w:rPr>
      </w:pPr>
      <w:r w:rsidRPr="00C33614">
        <w:rPr>
          <w:b/>
          <w:bCs/>
          <w:u w:val="single"/>
        </w:rPr>
        <w:t>Gifts or Payment</w:t>
      </w:r>
    </w:p>
    <w:p w:rsidR="00395446" w:rsidP="00395446" w14:paraId="4DD3BB47" w14:textId="77777777">
      <w:pPr>
        <w:ind w:right="-720" w:firstLine="360"/>
        <w:rPr>
          <w:bCs/>
        </w:rPr>
      </w:pPr>
    </w:p>
    <w:p w:rsidR="004F367C" w:rsidP="00395446" w14:paraId="2360CB6D" w14:textId="149C5E20">
      <w:pPr>
        <w:ind w:right="-720" w:firstLine="360"/>
      </w:pPr>
      <w:r w:rsidRPr="00395446">
        <w:t xml:space="preserve">The information collected is supplied by the respondent.  No remuneration is made.  </w:t>
      </w:r>
    </w:p>
    <w:p w:rsidR="00395446" w:rsidP="00125A85" w14:paraId="782DEAFA" w14:textId="77777777">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0D5FAFC8">
      <w:pPr>
        <w:numPr>
          <w:ilvl w:val="1"/>
          <w:numId w:val="13"/>
        </w:numPr>
        <w:overflowPunct w:val="0"/>
        <w:autoSpaceDE w:val="0"/>
        <w:autoSpaceDN w:val="0"/>
        <w:adjustRightInd w:val="0"/>
        <w:spacing w:after="120"/>
        <w:textAlignment w:val="baseline"/>
      </w:pPr>
      <w:r>
        <w:t xml:space="preserve">Number of Respondents: </w:t>
      </w:r>
      <w:r w:rsidR="00395446">
        <w:t>2500</w:t>
      </w:r>
    </w:p>
    <w:p w:rsidR="00176D9C" w:rsidP="00C33614" w14:paraId="7D4F6570" w14:textId="77777777">
      <w:pPr>
        <w:numPr>
          <w:ilvl w:val="1"/>
          <w:numId w:val="13"/>
        </w:numPr>
        <w:overflowPunct w:val="0"/>
        <w:autoSpaceDE w:val="0"/>
        <w:autoSpaceDN w:val="0"/>
        <w:adjustRightInd w:val="0"/>
        <w:spacing w:after="120"/>
        <w:textAlignment w:val="baseline"/>
      </w:pPr>
      <w:r>
        <w:t xml:space="preserve">Frequency of Response: </w:t>
      </w:r>
      <w:r w:rsidR="00FA581D">
        <w:t>On occasion</w:t>
      </w:r>
    </w:p>
    <w:p w:rsidR="00176D9C" w:rsidP="00C33614" w14:paraId="69F38414" w14:textId="6CB8118D">
      <w:pPr>
        <w:numPr>
          <w:ilvl w:val="1"/>
          <w:numId w:val="13"/>
        </w:numPr>
        <w:overflowPunct w:val="0"/>
        <w:autoSpaceDE w:val="0"/>
        <w:autoSpaceDN w:val="0"/>
        <w:adjustRightInd w:val="0"/>
        <w:spacing w:after="120"/>
        <w:textAlignment w:val="baseline"/>
      </w:pPr>
      <w:r>
        <w:t xml:space="preserve">Annual Burden Hours: </w:t>
      </w:r>
      <w:r w:rsidR="00395446">
        <w:t xml:space="preserve">417 </w:t>
      </w:r>
      <w:r>
        <w:t>hours</w:t>
      </w:r>
    </w:p>
    <w:p w:rsidR="00176D9C" w:rsidP="00C33614" w14:paraId="3E1EDFFD" w14:textId="272EB151">
      <w:pPr>
        <w:numPr>
          <w:ilvl w:val="1"/>
          <w:numId w:val="13"/>
        </w:numPr>
        <w:overflowPunct w:val="0"/>
        <w:autoSpaceDE w:val="0"/>
        <w:autoSpaceDN w:val="0"/>
        <w:adjustRightInd w:val="0"/>
        <w:spacing w:after="120"/>
        <w:textAlignment w:val="baseline"/>
      </w:pPr>
      <w:r>
        <w:t xml:space="preserve">Estimated Completion Time: </w:t>
      </w:r>
      <w:r w:rsidR="00395446">
        <w:t>10</w:t>
      </w:r>
      <w:r>
        <w:t xml:space="preserve"> minutes</w:t>
      </w:r>
    </w:p>
    <w:p w:rsidR="003B2778" w:rsidRPr="003B2778" w:rsidP="003B2778" w14:paraId="27323BC1" w14:textId="77777777">
      <w:pPr>
        <w:numPr>
          <w:ilvl w:val="1"/>
          <w:numId w:val="13"/>
        </w:numPr>
        <w:overflowPunct w:val="0"/>
        <w:autoSpaceDE w:val="0"/>
        <w:autoSpaceDN w:val="0"/>
        <w:adjustRightInd w:val="0"/>
        <w:spacing w:after="120"/>
        <w:textAlignment w:val="baseline"/>
      </w:pPr>
      <w:r w:rsidRPr="003B2778">
        <w:t>VA cannot make assumptions about the population of respondents because of the variability of factors such as the educational background and wage potential of respondents. Therefore, VBA uses general wage data to estimate the respondents’ costs associated with completing the information collection.</w:t>
      </w:r>
    </w:p>
    <w:p w:rsidR="003B2778" w:rsidRPr="003B2778" w:rsidP="003B2778" w14:paraId="0DB52527" w14:textId="21171C89">
      <w:pPr>
        <w:overflowPunct w:val="0"/>
        <w:autoSpaceDE w:val="0"/>
        <w:autoSpaceDN w:val="0"/>
        <w:adjustRightInd w:val="0"/>
        <w:spacing w:after="120"/>
        <w:ind w:left="1440"/>
        <w:textAlignment w:val="baseline"/>
      </w:pPr>
      <w:r w:rsidRPr="003B2778">
        <w:t xml:space="preserve">The Bureau of Labor Statistics (BLS) gathers information on full-time wage and salary workers. According to the latest available BLS data, the mean hourly wage is $32.66 based on the BLS wage code – “00-0000 All Occupations.” This information was taken from the following website: </w:t>
      </w:r>
      <w:hyperlink r:id="rId4" w:anchor="/industry/000000" w:history="1">
        <w:r w:rsidRPr="00EC5387">
          <w:rPr>
            <w:rStyle w:val="Hyperlink"/>
          </w:rPr>
          <w:t>https://data.bls.gov/oes/#/industry/000000</w:t>
        </w:r>
      </w:hyperlink>
      <w:r w:rsidR="00D30C55">
        <w:t>, May 2024.</w:t>
      </w:r>
      <w:r w:rsidRPr="003B2778">
        <w:t xml:space="preserve">  </w:t>
      </w:r>
    </w:p>
    <w:p w:rsidR="000C665E" w:rsidP="003B2778" w14:paraId="479769FD" w14:textId="3725D102">
      <w:pPr>
        <w:overflowPunct w:val="0"/>
        <w:autoSpaceDE w:val="0"/>
        <w:autoSpaceDN w:val="0"/>
        <w:adjustRightInd w:val="0"/>
        <w:spacing w:after="120"/>
        <w:ind w:left="1440"/>
        <w:textAlignment w:val="baseline"/>
      </w:pPr>
      <w:r w:rsidRPr="003B2778">
        <w:t>Legally, respondents may not pay a person or business for assistance in completing the information collection. Therefore, there are no expected overhead costs for completing the information collection. VBA estimates the total cost to all respondents to be $</w:t>
      </w:r>
      <w:r w:rsidR="00871E55">
        <w:t>13,619</w:t>
      </w:r>
      <w:r w:rsidRPr="003B2778">
        <w:t xml:space="preserve"> (</w:t>
      </w:r>
      <w:r w:rsidR="00395446">
        <w:t>417</w:t>
      </w:r>
      <w:r w:rsidRPr="003B2778">
        <w:t xml:space="preserve"> burden hours x $32.66 per hour).  </w:t>
      </w:r>
    </w:p>
    <w:p w:rsidR="00871E55" w:rsidP="003B2778" w14:paraId="288F735D" w14:textId="77777777">
      <w:pPr>
        <w:overflowPunct w:val="0"/>
        <w:autoSpaceDE w:val="0"/>
        <w:autoSpaceDN w:val="0"/>
        <w:adjustRightInd w:val="0"/>
        <w:spacing w:after="120"/>
        <w:ind w:left="1440"/>
        <w:textAlignment w:val="baseline"/>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70C34757">
            <w:pPr>
              <w:rPr>
                <w:color w:val="000000"/>
              </w:rPr>
            </w:pPr>
            <w:r>
              <w:rPr>
                <w:color w:val="000000"/>
              </w:rPr>
              <w:t>10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3303AFFA">
            <w:pPr>
              <w:rPr>
                <w:color w:val="000000"/>
              </w:rPr>
            </w:pPr>
            <w:r>
              <w:rPr>
                <w:color w:val="000000"/>
              </w:rPr>
              <w:t>0</w:t>
            </w:r>
            <w:r w:rsidR="00CE18D9">
              <w:rPr>
                <w:color w:val="000000"/>
              </w:rPr>
              <w:t>.</w:t>
            </w:r>
            <w:r>
              <w:rPr>
                <w:color w:val="000000"/>
              </w:rPr>
              <w:t>17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3D794A86">
            <w:pPr>
              <w:rPr>
                <w:color w:val="000000"/>
              </w:rPr>
            </w:pPr>
            <w:r>
              <w:rPr>
                <w:color w:val="000000"/>
              </w:rPr>
              <w:t>$2</w:t>
            </w:r>
            <w:r w:rsidR="00EC2788">
              <w:rPr>
                <w:color w:val="000000"/>
              </w:rPr>
              <w:t>6</w:t>
            </w:r>
            <w:r>
              <w:rPr>
                <w:color w:val="000000"/>
              </w:rPr>
              <w:t>.</w:t>
            </w:r>
            <w:r w:rsidR="00B576F6">
              <w:rPr>
                <w:color w:val="000000"/>
              </w:rPr>
              <w:t>68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37E9FA10">
            <w:pPr>
              <w:rPr>
                <w:color w:val="000000"/>
              </w:rPr>
            </w:pPr>
            <w:r w:rsidRPr="00AB6B86">
              <w:rPr>
                <w:color w:val="000000"/>
              </w:rPr>
              <w:t>$</w:t>
            </w:r>
            <w:r w:rsidR="00871E55">
              <w:rPr>
                <w:color w:val="000000"/>
              </w:rPr>
              <w:t>4.54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36EE9F68">
            <w:pPr>
              <w:rPr>
                <w:color w:val="000000"/>
              </w:rPr>
            </w:pPr>
            <w:r>
              <w:rPr>
                <w:color w:val="000000"/>
              </w:rPr>
              <w:t>   </w:t>
            </w:r>
            <w:r w:rsidR="00871E55">
              <w:rPr>
                <w:color w:val="000000"/>
              </w:rPr>
              <w:t>2500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06AF9EAD">
            <w:pPr>
              <w:jc w:val="right"/>
              <w:rPr>
                <w:color w:val="000000"/>
              </w:rPr>
            </w:pPr>
            <w:r w:rsidRPr="00AB6B86">
              <w:rPr>
                <w:color w:val="000000"/>
              </w:rPr>
              <w:t>$</w:t>
            </w:r>
            <w:r w:rsidR="00871E55">
              <w:rPr>
                <w:color w:val="000000"/>
              </w:rPr>
              <w:t>11,350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0CE8BB95">
            <w:pPr>
              <w:jc w:val="right"/>
              <w:rPr>
                <w:color w:val="000000"/>
              </w:rPr>
            </w:pPr>
            <w:r w:rsidRPr="00AB6B86">
              <w:rPr>
                <w:color w:val="000000"/>
              </w:rPr>
              <w:t>$</w:t>
            </w:r>
            <w:r w:rsidR="00871E55">
              <w:rPr>
                <w:color w:val="000000"/>
              </w:rPr>
              <w:t>11,350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75F93D54">
            <w:pPr>
              <w:rPr>
                <w:color w:val="000000"/>
              </w:rPr>
            </w:pPr>
            <w:r>
              <w:rPr>
                <w:color w:val="000000"/>
              </w:rPr>
              <w:t>$</w:t>
            </w:r>
            <w:r w:rsidR="00EC2788">
              <w:rPr>
                <w:color w:val="000000"/>
              </w:rPr>
              <w:t>17</w:t>
            </w:r>
            <w:r>
              <w:rPr>
                <w:color w:val="000000"/>
              </w:rPr>
              <w:t>.</w:t>
            </w:r>
            <w:r w:rsidR="00B576F6">
              <w:rPr>
                <w:color w:val="000000"/>
              </w:rPr>
              <w:t>61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0B7AD3BE">
            <w:pPr>
              <w:rPr>
                <w:color w:val="000000"/>
              </w:rPr>
            </w:pPr>
            <w:r w:rsidRPr="00AB6B86">
              <w:rPr>
                <w:color w:val="000000"/>
              </w:rPr>
              <w:t>$0.5</w:t>
            </w:r>
            <w:r w:rsidR="00B576F6">
              <w:rPr>
                <w:color w:val="000000"/>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68BDABDD">
            <w:pPr>
              <w:rPr>
                <w:color w:val="000000"/>
              </w:rPr>
            </w:pPr>
            <w:r>
              <w:rPr>
                <w:color w:val="000000"/>
              </w:rPr>
              <w:t>   </w:t>
            </w:r>
            <w:r w:rsidR="00871E55">
              <w:rPr>
                <w:color w:val="000000"/>
              </w:rPr>
              <w:t>2500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11A6D0FC">
            <w:pPr>
              <w:jc w:val="right"/>
              <w:rPr>
                <w:color w:val="000000"/>
              </w:rPr>
            </w:pPr>
            <w:r w:rsidRPr="00AB6B86">
              <w:rPr>
                <w:color w:val="000000"/>
              </w:rPr>
              <w:t>$</w:t>
            </w:r>
            <w:r w:rsidR="00871E55">
              <w:rPr>
                <w:color w:val="000000"/>
              </w:rPr>
              <w:t>1,325</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0E88B539">
            <w:pPr>
              <w:jc w:val="right"/>
              <w:rPr>
                <w:color w:val="000000"/>
              </w:rPr>
            </w:pPr>
            <w:r w:rsidRPr="00AB6B86">
              <w:rPr>
                <w:color w:val="000000"/>
              </w:rPr>
              <w:t>$</w:t>
            </w:r>
            <w:r w:rsidR="00871E55">
              <w:rPr>
                <w:color w:val="000000"/>
              </w:rPr>
              <w:t>1,325</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00B21B5">
            <w:pPr>
              <w:rPr>
                <w:color w:val="000000"/>
              </w:rPr>
            </w:pPr>
            <w:r>
              <w:rPr>
                <w:color w:val="000000"/>
              </w:rPr>
              <w:t>$1</w:t>
            </w:r>
            <w:r w:rsidR="00EC2788">
              <w:rPr>
                <w:color w:val="000000"/>
              </w:rPr>
              <w:t>5</w:t>
            </w:r>
            <w:r>
              <w:rPr>
                <w:color w:val="000000"/>
              </w:rPr>
              <w:t>.</w:t>
            </w:r>
            <w:r w:rsidR="00B576F6">
              <w:rPr>
                <w:color w:val="000000"/>
              </w:rPr>
              <w:t>74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345AC118">
            <w:pPr>
              <w:rPr>
                <w:color w:val="000000"/>
              </w:rPr>
            </w:pPr>
            <w:r w:rsidRPr="00AB6B86">
              <w:rPr>
                <w:color w:val="000000"/>
              </w:rPr>
              <w:t>$0.4</w:t>
            </w:r>
            <w:r w:rsidR="00B576F6">
              <w:rPr>
                <w:color w:val="000000"/>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4BDB2085">
            <w:pPr>
              <w:rPr>
                <w:color w:val="000000"/>
              </w:rPr>
            </w:pPr>
            <w:r>
              <w:rPr>
                <w:color w:val="000000"/>
              </w:rPr>
              <w:t xml:space="preserve">   </w:t>
            </w:r>
            <w:r w:rsidR="00871E55">
              <w:rPr>
                <w:color w:val="000000"/>
              </w:rPr>
              <w:t>2500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1D8552A9">
            <w:pPr>
              <w:jc w:val="right"/>
              <w:rPr>
                <w:color w:val="000000"/>
              </w:rPr>
            </w:pPr>
            <w:r w:rsidRPr="00AB6B86">
              <w:rPr>
                <w:color w:val="000000"/>
              </w:rPr>
              <w:t>$</w:t>
            </w:r>
            <w:r w:rsidR="00871E55">
              <w:rPr>
                <w:color w:val="000000"/>
              </w:rPr>
              <w:t>1,147</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227FB9C0">
            <w:pPr>
              <w:jc w:val="right"/>
              <w:rPr>
                <w:color w:val="000000"/>
              </w:rPr>
            </w:pPr>
            <w:r w:rsidRPr="00AB6B86">
              <w:rPr>
                <w:color w:val="000000"/>
              </w:rPr>
              <w:t>$</w:t>
            </w:r>
            <w:r w:rsidR="00871E55">
              <w:rPr>
                <w:color w:val="000000"/>
              </w:rPr>
              <w:t>1,147</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6E51B452">
            <w:pPr>
              <w:jc w:val="right"/>
              <w:rPr>
                <w:color w:val="000000"/>
              </w:rPr>
            </w:pPr>
            <w:r w:rsidRPr="00AB6B86">
              <w:rPr>
                <w:color w:val="000000"/>
              </w:rPr>
              <w:t>$</w:t>
            </w:r>
            <w:r w:rsidR="00871E55">
              <w:rPr>
                <w:color w:val="000000"/>
              </w:rPr>
              <w:t>27,644</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2CB5244A">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6256883B">
            <w:pPr>
              <w:jc w:val="right"/>
              <w:rPr>
                <w:rFonts w:eastAsia="Calibri"/>
                <w:color w:val="000000"/>
                <w:sz w:val="22"/>
                <w:szCs w:val="22"/>
              </w:rPr>
            </w:pPr>
            <w:r>
              <w:rPr>
                <w:color w:val="000000"/>
              </w:rPr>
              <w:t>$</w:t>
            </w:r>
            <w:r w:rsidR="00871E55">
              <w:rPr>
                <w:color w:val="000000"/>
              </w:rPr>
              <w:t>27,698</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4251FD6E">
      <w:pPr>
        <w:ind w:left="720"/>
      </w:pPr>
      <w:r w:rsidRPr="00C16A5F">
        <w:t>Note: The hourly wage information above is based on the hourly 20</w:t>
      </w:r>
      <w:r w:rsidR="007F2242">
        <w:t>2</w:t>
      </w:r>
      <w:r w:rsidR="00A91407">
        <w:t>5</w:t>
      </w:r>
      <w:r w:rsidRPr="00C16A5F">
        <w:t xml:space="preserve"> General Schedule (Base) Pay (</w:t>
      </w:r>
      <w:hyperlink r:id="rId5" w:history="1">
        <w:r w:rsidRPr="00477B7A" w:rsidR="007C10CD">
          <w:rPr>
            <w:rStyle w:val="Hyperlink"/>
          </w:rPr>
          <w:t>https://www.opm.gov/policy-data-oversight/pay-leave/salaries-wages/salary-tables/25Tables/html/GS_h.aspx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14:paraId="5FA78DBF" w14:textId="77777777">
      <w:r>
        <w:tab/>
      </w:r>
      <w:r>
        <w:tab/>
        <w:t xml:space="preserve"> </w:t>
      </w:r>
    </w:p>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871E55" w:rsidP="008B5B54" w14:paraId="2EFE0517" w14:textId="77777777">
      <w:pPr>
        <w:ind w:firstLine="360"/>
      </w:pPr>
      <w:r w:rsidRPr="00871E55">
        <w:t xml:space="preserve">There is </w:t>
      </w:r>
      <w:r w:rsidRPr="00871E55">
        <w:t>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 xml:space="preserve">We are not seeking approval to omit the display of the </w:t>
      </w:r>
      <w:r w:rsidRPr="001B1FB1">
        <w:t>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53D99"/>
    <w:rsid w:val="0007467F"/>
    <w:rsid w:val="00077C37"/>
    <w:rsid w:val="0008401B"/>
    <w:rsid w:val="00090D8A"/>
    <w:rsid w:val="000C21EC"/>
    <w:rsid w:val="000C3DDF"/>
    <w:rsid w:val="000C665E"/>
    <w:rsid w:val="00111A38"/>
    <w:rsid w:val="00125A85"/>
    <w:rsid w:val="001336BC"/>
    <w:rsid w:val="00176D9C"/>
    <w:rsid w:val="001818C5"/>
    <w:rsid w:val="00187B51"/>
    <w:rsid w:val="001906C4"/>
    <w:rsid w:val="001A3ACD"/>
    <w:rsid w:val="001B1FB1"/>
    <w:rsid w:val="001C25EE"/>
    <w:rsid w:val="001E062B"/>
    <w:rsid w:val="001E2F14"/>
    <w:rsid w:val="001E6E87"/>
    <w:rsid w:val="001F15B6"/>
    <w:rsid w:val="001F5990"/>
    <w:rsid w:val="00200933"/>
    <w:rsid w:val="00207727"/>
    <w:rsid w:val="00224C68"/>
    <w:rsid w:val="002345FF"/>
    <w:rsid w:val="00240FE1"/>
    <w:rsid w:val="00275648"/>
    <w:rsid w:val="00277E46"/>
    <w:rsid w:val="00295BB8"/>
    <w:rsid w:val="002A6B45"/>
    <w:rsid w:val="002B6B3A"/>
    <w:rsid w:val="002C1292"/>
    <w:rsid w:val="002D29EF"/>
    <w:rsid w:val="0031595F"/>
    <w:rsid w:val="00317FF6"/>
    <w:rsid w:val="00362008"/>
    <w:rsid w:val="00367634"/>
    <w:rsid w:val="0037149E"/>
    <w:rsid w:val="0038364B"/>
    <w:rsid w:val="003942AA"/>
    <w:rsid w:val="00395446"/>
    <w:rsid w:val="003A72CE"/>
    <w:rsid w:val="003B2778"/>
    <w:rsid w:val="003B647C"/>
    <w:rsid w:val="0041612F"/>
    <w:rsid w:val="00452C53"/>
    <w:rsid w:val="00477B7A"/>
    <w:rsid w:val="00486D6A"/>
    <w:rsid w:val="004B7439"/>
    <w:rsid w:val="004E3EAA"/>
    <w:rsid w:val="004F367C"/>
    <w:rsid w:val="005118FC"/>
    <w:rsid w:val="00515875"/>
    <w:rsid w:val="00521A78"/>
    <w:rsid w:val="0054468C"/>
    <w:rsid w:val="00544E50"/>
    <w:rsid w:val="00553727"/>
    <w:rsid w:val="005649C9"/>
    <w:rsid w:val="005749DA"/>
    <w:rsid w:val="00586435"/>
    <w:rsid w:val="005B0D87"/>
    <w:rsid w:val="005B226B"/>
    <w:rsid w:val="005B4EC5"/>
    <w:rsid w:val="005C5802"/>
    <w:rsid w:val="005D5EBB"/>
    <w:rsid w:val="005F7E5F"/>
    <w:rsid w:val="00600466"/>
    <w:rsid w:val="00604766"/>
    <w:rsid w:val="006139BA"/>
    <w:rsid w:val="00636107"/>
    <w:rsid w:val="006541B5"/>
    <w:rsid w:val="0066365C"/>
    <w:rsid w:val="00693B0B"/>
    <w:rsid w:val="006B6AE4"/>
    <w:rsid w:val="006C02FC"/>
    <w:rsid w:val="006E527A"/>
    <w:rsid w:val="007073BD"/>
    <w:rsid w:val="00791297"/>
    <w:rsid w:val="007A536D"/>
    <w:rsid w:val="007B1D06"/>
    <w:rsid w:val="007B581E"/>
    <w:rsid w:val="007C10CD"/>
    <w:rsid w:val="007D0F41"/>
    <w:rsid w:val="007F1099"/>
    <w:rsid w:val="007F2242"/>
    <w:rsid w:val="00806417"/>
    <w:rsid w:val="0081119C"/>
    <w:rsid w:val="00815EF2"/>
    <w:rsid w:val="008229D3"/>
    <w:rsid w:val="00844C42"/>
    <w:rsid w:val="0086151A"/>
    <w:rsid w:val="00871E55"/>
    <w:rsid w:val="00883D2D"/>
    <w:rsid w:val="008B5B54"/>
    <w:rsid w:val="008D480F"/>
    <w:rsid w:val="008E525B"/>
    <w:rsid w:val="008F2BFC"/>
    <w:rsid w:val="008F73A6"/>
    <w:rsid w:val="00970F00"/>
    <w:rsid w:val="00986633"/>
    <w:rsid w:val="009A0BF3"/>
    <w:rsid w:val="00A02229"/>
    <w:rsid w:val="00A2463A"/>
    <w:rsid w:val="00A31C3D"/>
    <w:rsid w:val="00A73E23"/>
    <w:rsid w:val="00A80154"/>
    <w:rsid w:val="00A91407"/>
    <w:rsid w:val="00AB6B86"/>
    <w:rsid w:val="00AF63CC"/>
    <w:rsid w:val="00B0105C"/>
    <w:rsid w:val="00B20FFA"/>
    <w:rsid w:val="00B37B10"/>
    <w:rsid w:val="00B433DB"/>
    <w:rsid w:val="00B576F6"/>
    <w:rsid w:val="00B64A87"/>
    <w:rsid w:val="00B852B9"/>
    <w:rsid w:val="00BA3EA4"/>
    <w:rsid w:val="00BA6B61"/>
    <w:rsid w:val="00BB212A"/>
    <w:rsid w:val="00C162B0"/>
    <w:rsid w:val="00C16A5F"/>
    <w:rsid w:val="00C3347D"/>
    <w:rsid w:val="00C33614"/>
    <w:rsid w:val="00C53ED9"/>
    <w:rsid w:val="00C7194B"/>
    <w:rsid w:val="00C8663D"/>
    <w:rsid w:val="00CA3771"/>
    <w:rsid w:val="00CB1264"/>
    <w:rsid w:val="00CD7DC3"/>
    <w:rsid w:val="00CE18D9"/>
    <w:rsid w:val="00CE550F"/>
    <w:rsid w:val="00CF5945"/>
    <w:rsid w:val="00CF6B80"/>
    <w:rsid w:val="00D027D9"/>
    <w:rsid w:val="00D15B1F"/>
    <w:rsid w:val="00D173EE"/>
    <w:rsid w:val="00D17DC4"/>
    <w:rsid w:val="00D22C51"/>
    <w:rsid w:val="00D30C55"/>
    <w:rsid w:val="00D3433F"/>
    <w:rsid w:val="00D41839"/>
    <w:rsid w:val="00D45F1B"/>
    <w:rsid w:val="00D739E4"/>
    <w:rsid w:val="00D81661"/>
    <w:rsid w:val="00D84D8F"/>
    <w:rsid w:val="00D96175"/>
    <w:rsid w:val="00DF2B18"/>
    <w:rsid w:val="00E009D7"/>
    <w:rsid w:val="00E26200"/>
    <w:rsid w:val="00E42780"/>
    <w:rsid w:val="00E6451B"/>
    <w:rsid w:val="00E86FB8"/>
    <w:rsid w:val="00E87688"/>
    <w:rsid w:val="00E94953"/>
    <w:rsid w:val="00EC2788"/>
    <w:rsid w:val="00EC5387"/>
    <w:rsid w:val="00EE4E09"/>
    <w:rsid w:val="00F00568"/>
    <w:rsid w:val="00F467F7"/>
    <w:rsid w:val="00F47D99"/>
    <w:rsid w:val="00F50E0D"/>
    <w:rsid w:val="00F52865"/>
    <w:rsid w:val="00F53576"/>
    <w:rsid w:val="00F84310"/>
    <w:rsid w:val="00F917F1"/>
    <w:rsid w:val="00F95AA2"/>
    <w:rsid w:val="00F97C9C"/>
    <w:rsid w:val="00FA2524"/>
    <w:rsid w:val="00FA581D"/>
    <w:rsid w:val="00FC2178"/>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 TargetMode="External" /><Relationship Id="rId5" Type="http://schemas.openxmlformats.org/officeDocument/2006/relationships/hyperlink" Target="https://www.opm.gov/policy-data-oversight/pay-leave/salaries-wages/salary-tables/25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Willis, Shunda S.</cp:lastModifiedBy>
  <cp:revision>2</cp:revision>
  <cp:lastPrinted>2010-01-07T19:39:00Z</cp:lastPrinted>
  <dcterms:created xsi:type="dcterms:W3CDTF">2025-09-17T16:16:00Z</dcterms:created>
  <dcterms:modified xsi:type="dcterms:W3CDTF">2025-09-17T16:16:00Z</dcterms:modified>
</cp:coreProperties>
</file>