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1E5" w:rsidRPr="004E56DC" w:rsidP="005561E5" w14:paraId="48F0BB98" w14:textId="77777777">
      <w:pPr>
        <w:widowControl w:val="0"/>
        <w:jc w:val="center"/>
        <w:rPr>
          <w:rFonts w:ascii="Times New Roman" w:hAnsi="Times New Roman"/>
          <w:b/>
          <w:bCs/>
        </w:rPr>
      </w:pPr>
      <w:r w:rsidRPr="0EEECE9C">
        <w:rPr>
          <w:rFonts w:ascii="Times New Roman" w:hAnsi="Times New Roman"/>
          <w:b/>
          <w:bCs/>
        </w:rPr>
        <w:t>Corporation for National and Community Service (dba AmeriCorps)</w:t>
      </w:r>
    </w:p>
    <w:p w:rsidR="005561E5" w:rsidRPr="009425C0" w:rsidP="005561E5" w14:paraId="565987F7" w14:textId="77777777">
      <w:pPr>
        <w:widowControl w:val="0"/>
        <w:jc w:val="center"/>
        <w:rPr>
          <w:rFonts w:ascii="Times New Roman" w:hAnsi="Times New Roman"/>
          <w:b/>
          <w:bCs/>
        </w:rPr>
      </w:pPr>
      <w:r w:rsidRPr="0EEECE9C">
        <w:rPr>
          <w:rFonts w:ascii="Times New Roman" w:hAnsi="Times New Roman"/>
          <w:b/>
          <w:bCs/>
        </w:rPr>
        <w:t>Evaluation of Public Health AmeriCorps</w:t>
      </w:r>
    </w:p>
    <w:p w:rsidR="005561E5" w:rsidRPr="009425C0" w:rsidP="005561E5" w14:paraId="43C1EF17" w14:textId="77777777">
      <w:pPr>
        <w:widowControl w:val="0"/>
        <w:jc w:val="center"/>
        <w:rPr>
          <w:rFonts w:ascii="Times New Roman" w:hAnsi="Times New Roman"/>
          <w:b/>
          <w:bCs/>
        </w:rPr>
      </w:pPr>
      <w:r w:rsidRPr="0EEECE9C">
        <w:rPr>
          <w:rFonts w:ascii="Times New Roman" w:hAnsi="Times New Roman"/>
          <w:b/>
          <w:bCs/>
        </w:rPr>
        <w:t>OMB Control Number 3045-NEW</w:t>
      </w:r>
    </w:p>
    <w:p w:rsidR="005561E5" w:rsidRPr="00A71527" w:rsidP="005561E5" w14:paraId="01FE0F77" w14:textId="77777777">
      <w:pPr>
        <w:pStyle w:val="Heading1"/>
      </w:pPr>
      <w:r>
        <w:rPr>
          <w:rFonts w:eastAsia="Times New Roman"/>
        </w:rPr>
        <w:t xml:space="preserve">Part A. </w:t>
      </w:r>
      <w:r w:rsidRPr="0EEECE9C">
        <w:rPr>
          <w:rFonts w:eastAsia="Times New Roman"/>
        </w:rPr>
        <w:t xml:space="preserve">Justification </w:t>
      </w:r>
    </w:p>
    <w:p w:rsidR="005561E5" w:rsidRPr="00FD64EE" w:rsidP="005561E5" w14:paraId="0AA3EDFF" w14:textId="77777777">
      <w:pPr>
        <w:pStyle w:val="Heading2"/>
      </w:pPr>
      <w:r w:rsidRPr="00F526B3">
        <w:t>Overview of Information Collection</w:t>
      </w:r>
      <w:r w:rsidRPr="00FD64EE">
        <w:t xml:space="preserve"> </w:t>
      </w:r>
    </w:p>
    <w:p w:rsidR="005561E5" w:rsidRPr="001E005A" w:rsidP="005561E5" w14:paraId="4DEE1818" w14:textId="77777777">
      <w:pPr>
        <w:rPr>
          <w:rFonts w:ascii="Times New Roman" w:hAnsi="Times New Roman"/>
          <w:color w:val="0E101A"/>
        </w:rPr>
      </w:pPr>
      <w:r w:rsidRPr="0EEECE9C">
        <w:rPr>
          <w:rFonts w:ascii="Times New Roman" w:hAnsi="Times New Roman"/>
        </w:rPr>
        <w:t xml:space="preserve">This is a request for approval of a New Collection. This information collection includes two survey instruments (one for members, one for grantees), a focus group protocol guide for grantees, an interview protocol guide for early exit members, an interview protocol guide for grantees’ partners, and a technical assistance and training form for grantees. Together, these will allow AmeriCorps to examine the extent to which Public Health AmeriCorps is progressing toward its </w:t>
      </w:r>
      <w:r w:rsidRPr="0EEECE9C">
        <w:rPr>
          <w:rFonts w:ascii="Times New Roman" w:hAnsi="Times New Roman"/>
          <w:color w:val="0E101A"/>
        </w:rPr>
        <w:t>three main goals:</w:t>
      </w:r>
    </w:p>
    <w:p w:rsidR="005561E5" w:rsidRPr="001E005A" w:rsidP="005561E5" w14:paraId="421F33FD" w14:textId="77777777">
      <w:pPr>
        <w:numPr>
          <w:ilvl w:val="0"/>
          <w:numId w:val="3"/>
        </w:numPr>
        <w:overflowPunct/>
        <w:autoSpaceDE/>
        <w:autoSpaceDN/>
        <w:adjustRightInd/>
        <w:textAlignment w:val="auto"/>
        <w:rPr>
          <w:rFonts w:ascii="Times New Roman" w:hAnsi="Times New Roman"/>
          <w:color w:val="0E101A"/>
        </w:rPr>
      </w:pPr>
      <w:r w:rsidRPr="0EEECE9C">
        <w:rPr>
          <w:rFonts w:ascii="Times New Roman" w:hAnsi="Times New Roman"/>
          <w:color w:val="0E101A"/>
        </w:rPr>
        <w:t>Engage AmeriCorps members in addressing local public health needs</w:t>
      </w:r>
    </w:p>
    <w:p w:rsidR="005561E5" w:rsidRPr="001E005A" w:rsidP="005561E5" w14:paraId="421A5550" w14:textId="77777777">
      <w:pPr>
        <w:numPr>
          <w:ilvl w:val="0"/>
          <w:numId w:val="3"/>
        </w:numPr>
        <w:overflowPunct/>
        <w:autoSpaceDE/>
        <w:autoSpaceDN/>
        <w:adjustRightInd/>
        <w:textAlignment w:val="auto"/>
        <w:rPr>
          <w:rFonts w:ascii="Times New Roman" w:hAnsi="Times New Roman"/>
          <w:color w:val="0E101A"/>
        </w:rPr>
      </w:pPr>
      <w:r w:rsidRPr="0EEECE9C">
        <w:rPr>
          <w:rFonts w:ascii="Times New Roman" w:hAnsi="Times New Roman"/>
          <w:color w:val="0E101A"/>
        </w:rPr>
        <w:t>Advance equitable health outcomes for underserved communities</w:t>
      </w:r>
    </w:p>
    <w:p w:rsidR="005561E5" w:rsidRPr="001B3B84" w:rsidP="005561E5" w14:paraId="0747C731" w14:textId="77777777">
      <w:pPr>
        <w:widowControl w:val="0"/>
        <w:numPr>
          <w:ilvl w:val="0"/>
          <w:numId w:val="3"/>
        </w:numPr>
        <w:overflowPunct/>
        <w:autoSpaceDE/>
        <w:autoSpaceDN/>
        <w:adjustRightInd/>
        <w:textAlignment w:val="auto"/>
        <w:rPr>
          <w:rFonts w:ascii="Times New Roman" w:hAnsi="Times New Roman"/>
        </w:rPr>
      </w:pPr>
      <w:r w:rsidRPr="001B3B84">
        <w:rPr>
          <w:rFonts w:ascii="Times New Roman" w:hAnsi="Times New Roman"/>
          <w:color w:val="0E101A"/>
        </w:rPr>
        <w:t>Create pathways to public health-related careers</w:t>
      </w:r>
      <w:r w:rsidRPr="001B3B84">
        <w:rPr>
          <w:rFonts w:ascii="Times New Roman" w:hAnsi="Times New Roman"/>
        </w:rPr>
        <w:t xml:space="preserve">. </w:t>
      </w:r>
    </w:p>
    <w:p w:rsidR="005561E5" w:rsidRPr="00FD64EE" w:rsidP="005561E5" w14:paraId="67B15035" w14:textId="77777777">
      <w:pPr>
        <w:pStyle w:val="Heading2"/>
        <w:numPr>
          <w:ilvl w:val="0"/>
          <w:numId w:val="15"/>
        </w:numPr>
      </w:pPr>
      <w:r w:rsidRPr="00FD64EE">
        <w:t>Need &amp; Method for the Information Collection.</w:t>
      </w:r>
    </w:p>
    <w:p w:rsidR="005561E5" w:rsidP="005561E5" w14:paraId="185EDDF1" w14:textId="77777777">
      <w:pPr>
        <w:pStyle w:val="ListParagraph"/>
        <w:widowControl w:val="0"/>
        <w:tabs>
          <w:tab w:val="left" w:pos="360"/>
          <w:tab w:val="left" w:pos="630"/>
          <w:tab w:val="left" w:pos="720"/>
          <w:tab w:val="left" w:pos="1080"/>
        </w:tabs>
        <w:ind w:left="0"/>
        <w:rPr>
          <w:rFonts w:ascii="Times New Roman" w:hAnsi="Times New Roman"/>
        </w:rPr>
      </w:pPr>
      <w:r w:rsidRPr="0EEECE9C">
        <w:rPr>
          <w:rFonts w:ascii="Times New Roman" w:hAnsi="Times New Roman"/>
        </w:rPr>
        <w:t xml:space="preserve">Public Health AmeriCorps is an investment from the American Rescue Plan of 2021, in support of President Biden’s Executive Order 13996 on Establishing the COVID-19 Pandemic Testing Board and Ensuring a Sustainable Public Health Workforce for COVID-19 and Other Biological Threats, Sec. 4, Establishing a Public Health Workforce Program. 86 Fed. Reg. 7197 (January 26, 2021). This funding established a partnership between AmeriCorps and the Centers for Disease Control (CDC) to enable recruitment and training of a workforce through national service that is ready to respond to the public health needs of the nation, while providing public health services in communities around the country. This partnership capitalizes on AmeriCorps’ experience managing national service and workforce development programs, and it benefits from CDC’s technical expertise as the country’s leading public health agency. The Public Health AmeriCorps program is opening the door for a career in public health to a new generation, bringing new talent to conduct urgent public health services. The program will also help communities address the broader public health needs of vulnerable communities exposed and exacerbated by the COVID-19 pandemic. This initiative expects to build on expertise, best practices, and lessons learned from existing AmeriCorps, CDC, and other public health programs. During their term of service, members are expected to develop core competencies of public health services and the ability to effectively serve their communities as well as build strong organizational and communication skills. These skills are expected to increase members’ knowledge of public health and provide them with training and real-world experience through national service to enter the public health field post-service. </w:t>
      </w:r>
    </w:p>
    <w:p w:rsidR="005561E5" w:rsidP="005561E5" w14:paraId="0A75347B" w14:textId="77777777">
      <w:pPr>
        <w:pStyle w:val="ListParagraph"/>
        <w:widowControl w:val="0"/>
        <w:tabs>
          <w:tab w:val="left" w:pos="360"/>
          <w:tab w:val="left" w:pos="630"/>
          <w:tab w:val="left" w:pos="720"/>
          <w:tab w:val="left" w:pos="1080"/>
        </w:tabs>
        <w:ind w:left="0"/>
        <w:rPr>
          <w:rFonts w:ascii="Times New Roman" w:hAnsi="Times New Roman"/>
        </w:rPr>
      </w:pPr>
    </w:p>
    <w:p w:rsidR="005561E5" w:rsidP="005561E5" w14:paraId="4D6B0290" w14:textId="77777777">
      <w:pPr>
        <w:pStyle w:val="ListParagraph"/>
        <w:widowControl w:val="0"/>
        <w:tabs>
          <w:tab w:val="left" w:pos="360"/>
          <w:tab w:val="left" w:pos="630"/>
          <w:tab w:val="left" w:pos="720"/>
          <w:tab w:val="left" w:pos="1080"/>
        </w:tabs>
        <w:ind w:left="0"/>
        <w:rPr>
          <w:rFonts w:ascii="Times New Roman" w:hAnsi="Times New Roman"/>
        </w:rPr>
      </w:pPr>
      <w:r w:rsidRPr="0EEECE9C">
        <w:rPr>
          <w:rFonts w:ascii="Times New Roman" w:hAnsi="Times New Roman"/>
        </w:rPr>
        <w:t>The information collection is necessary to evaluate the success of Public Health AmeriCorps in meeting its goals; if this information collection is not conducted, AmeriCorps and CDC will not have the data upon which to measure the success of the program.</w:t>
      </w:r>
      <w:r w:rsidR="00737A24">
        <w:rPr>
          <w:rFonts w:ascii="Times New Roman" w:hAnsi="Times New Roman"/>
        </w:rPr>
        <w:t xml:space="preserve"> A</w:t>
      </w:r>
      <w:r w:rsidR="00C60197">
        <w:rPr>
          <w:rFonts w:ascii="Times New Roman" w:hAnsi="Times New Roman"/>
        </w:rPr>
        <w:t xml:space="preserve">meriCorps is conducting this collection and evaluation under the authority of Section 179 of the National and Community Service Act, as amended, 42 U.S.C. 12639. </w:t>
      </w:r>
    </w:p>
    <w:p w:rsidR="005561E5" w:rsidP="005561E5" w14:paraId="1D4E2AC7" w14:textId="77777777">
      <w:pPr>
        <w:pStyle w:val="ListParagraph"/>
        <w:widowControl w:val="0"/>
        <w:tabs>
          <w:tab w:val="left" w:pos="360"/>
          <w:tab w:val="left" w:pos="630"/>
          <w:tab w:val="left" w:pos="720"/>
          <w:tab w:val="left" w:pos="1080"/>
        </w:tabs>
        <w:ind w:left="0"/>
        <w:rPr>
          <w:rFonts w:ascii="Times New Roman" w:hAnsi="Times New Roman"/>
        </w:rPr>
      </w:pPr>
    </w:p>
    <w:p w:rsidR="005561E5" w:rsidP="005561E5" w14:paraId="5ACBCD50" w14:textId="77777777">
      <w:pPr>
        <w:pStyle w:val="ListParagraph"/>
        <w:widowControl w:val="0"/>
        <w:tabs>
          <w:tab w:val="left" w:pos="360"/>
          <w:tab w:val="left" w:pos="630"/>
          <w:tab w:val="left" w:pos="720"/>
          <w:tab w:val="left" w:pos="1080"/>
        </w:tabs>
        <w:ind w:left="0"/>
        <w:rPr>
          <w:rFonts w:ascii="Times New Roman" w:hAnsi="Times New Roman"/>
          <w:b/>
          <w:bCs/>
        </w:rPr>
      </w:pPr>
      <w:r w:rsidRPr="0EEECE9C">
        <w:rPr>
          <w:rFonts w:ascii="Times New Roman" w:hAnsi="Times New Roman"/>
          <w:b/>
          <w:bCs/>
        </w:rPr>
        <w:t>Need for the evaluation</w:t>
      </w:r>
    </w:p>
    <w:p w:rsidR="005561E5" w:rsidRPr="00306269" w:rsidP="005561E5" w14:paraId="579058AB" w14:textId="77777777">
      <w:pPr>
        <w:pStyle w:val="ListParagraph"/>
        <w:widowControl w:val="0"/>
        <w:tabs>
          <w:tab w:val="left" w:pos="360"/>
          <w:tab w:val="left" w:pos="630"/>
          <w:tab w:val="left" w:pos="720"/>
          <w:tab w:val="left" w:pos="1080"/>
        </w:tabs>
        <w:ind w:left="0"/>
        <w:rPr>
          <w:rFonts w:ascii="Times New Roman" w:hAnsi="Times New Roman"/>
          <w:b/>
          <w:bCs/>
        </w:rPr>
      </w:pPr>
    </w:p>
    <w:p w:rsidR="005561E5" w:rsidP="005561E5" w14:paraId="57A67375" w14:textId="77777777">
      <w:pPr>
        <w:pStyle w:val="ListParagraph"/>
        <w:widowControl w:val="0"/>
        <w:tabs>
          <w:tab w:val="left" w:pos="360"/>
          <w:tab w:val="left" w:pos="630"/>
          <w:tab w:val="left" w:pos="720"/>
          <w:tab w:val="left" w:pos="1080"/>
        </w:tabs>
        <w:ind w:left="0"/>
        <w:rPr>
          <w:rFonts w:ascii="Times New Roman" w:hAnsi="Times New Roman"/>
        </w:rPr>
      </w:pPr>
      <w:r w:rsidRPr="0EEECE9C">
        <w:rPr>
          <w:rFonts w:ascii="Times New Roman" w:hAnsi="Times New Roman"/>
        </w:rPr>
        <w:t>Public Health AmeriCorps is unique in its approach to training and developing a public health workforce. There are existing public health training and workforce development programs such as the HRSA Regional Public Health Training Center Network (PHTCN), the CDC Undergraduate Public Health Scholars Program (CUPS), and the CDC Public Health Associate Program (PHAP). None of these existing programs uses the national service model. Consequently, there is a knowledge and evidence gap in how effective the national service model is in building a public health workforce pipeline. The national evaluation of Public Health AmeriCorps will address this gap. The evaluation will generate credible, relevant, and actionable information about the effectiveness of Public Health AmeriCorps in facilitating and expanding the public health workforce in underserved communities. The evaluation will also examine the effectiveness of the CDC and AmeriCorps partnership, as well as the partnerships between Public Health AmeriCorps grantees, host sites, and state and local public health agencies. Together, these partnerships are intended to facilitate the implementation and impact of the program in creating a public health workforce pipeline to support public health infrastructure in underserved communities.</w:t>
      </w:r>
    </w:p>
    <w:p w:rsidR="005561E5" w:rsidP="005561E5" w14:paraId="27A83974" w14:textId="77777777">
      <w:pPr>
        <w:pStyle w:val="ListParagraph"/>
        <w:widowControl w:val="0"/>
        <w:tabs>
          <w:tab w:val="left" w:pos="360"/>
          <w:tab w:val="left" w:pos="630"/>
          <w:tab w:val="left" w:pos="720"/>
          <w:tab w:val="left" w:pos="1080"/>
        </w:tabs>
        <w:ind w:left="0"/>
        <w:rPr>
          <w:rFonts w:ascii="Times New Roman" w:hAnsi="Times New Roman"/>
        </w:rPr>
      </w:pPr>
    </w:p>
    <w:p w:rsidR="005561E5" w:rsidP="005561E5" w14:paraId="7BB0EAD5" w14:textId="77777777">
      <w:pPr>
        <w:pStyle w:val="ListParagraph"/>
        <w:widowControl w:val="0"/>
        <w:tabs>
          <w:tab w:val="left" w:pos="360"/>
          <w:tab w:val="left" w:pos="630"/>
          <w:tab w:val="left" w:pos="720"/>
          <w:tab w:val="left" w:pos="1080"/>
        </w:tabs>
        <w:ind w:left="0"/>
        <w:rPr>
          <w:rFonts w:ascii="Times New Roman" w:hAnsi="Times New Roman"/>
        </w:rPr>
      </w:pPr>
      <w:r w:rsidRPr="0EEECE9C">
        <w:rPr>
          <w:rFonts w:ascii="Times New Roman" w:hAnsi="Times New Roman"/>
        </w:rPr>
        <w:t>The information will be collected using the following instruments:</w:t>
      </w:r>
    </w:p>
    <w:p w:rsidR="005561E5" w:rsidRPr="00E26A05" w:rsidP="005561E5" w14:paraId="4D2DE976" w14:textId="77777777">
      <w:pPr>
        <w:pStyle w:val="ListParagraph"/>
        <w:widowControl w:val="0"/>
        <w:numPr>
          <w:ilvl w:val="3"/>
          <w:numId w:val="1"/>
        </w:numPr>
        <w:tabs>
          <w:tab w:val="left" w:pos="360"/>
          <w:tab w:val="left" w:pos="630"/>
          <w:tab w:val="left" w:pos="720"/>
          <w:tab w:val="left" w:pos="1080"/>
        </w:tabs>
        <w:ind w:left="360"/>
        <w:rPr>
          <w:rFonts w:ascii="Times New Roman" w:hAnsi="Times New Roman"/>
          <w:u w:val="single"/>
        </w:rPr>
      </w:pPr>
      <w:r w:rsidRPr="0EEECE9C">
        <w:rPr>
          <w:rFonts w:ascii="Times New Roman" w:hAnsi="Times New Roman"/>
        </w:rPr>
        <w:t>Member Alumni Survey (to be administered online):</w:t>
      </w:r>
    </w:p>
    <w:p w:rsidR="005561E5" w:rsidRPr="00E26A05" w:rsidP="005561E5" w14:paraId="756225E9"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u w:val="single"/>
        </w:rPr>
      </w:pPr>
      <w:r w:rsidRPr="0EEECE9C">
        <w:rPr>
          <w:rFonts w:ascii="Times New Roman" w:hAnsi="Times New Roman"/>
        </w:rPr>
        <w:t xml:space="preserve">Module 1: Core Questions (All Respondents) – how the member learned of PHA, the reasons they joined PHA, their prior experience in service, volunteering, and public health, </w:t>
      </w:r>
      <w:r w:rsidRPr="0EEECE9C">
        <w:rPr>
          <w:rFonts w:ascii="Times New Roman" w:hAnsi="Times New Roman"/>
        </w:rPr>
        <w:t>challenges</w:t>
      </w:r>
      <w:r w:rsidRPr="0EEECE9C">
        <w:rPr>
          <w:rFonts w:ascii="Times New Roman" w:hAnsi="Times New Roman"/>
        </w:rPr>
        <w:t xml:space="preserve"> and barriers they faced during service, types of service activities engaged in, training and resources during service, and skills and knowledge gained from their PHA service, satisfaction with their service, whether national service helped fulfill their goals.</w:t>
      </w:r>
    </w:p>
    <w:p w:rsidR="005561E5" w:rsidRPr="00F46E00" w:rsidP="005561E5" w14:paraId="515557E0"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u w:val="single"/>
        </w:rPr>
      </w:pPr>
      <w:r w:rsidRPr="0EEECE9C">
        <w:rPr>
          <w:rFonts w:ascii="Times New Roman" w:hAnsi="Times New Roman"/>
        </w:rPr>
        <w:t>Module 2: Short-Term Plans and Current Employment and Career (All Respondents) – intentions post-service, education award use, current employment</w:t>
      </w:r>
    </w:p>
    <w:p w:rsidR="005561E5" w:rsidRPr="0007012C" w:rsidP="005561E5" w14:paraId="52190C82"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u w:val="single"/>
        </w:rPr>
      </w:pPr>
      <w:r w:rsidRPr="0EEECE9C">
        <w:rPr>
          <w:rFonts w:ascii="Times New Roman" w:hAnsi="Times New Roman"/>
        </w:rPr>
        <w:t>Module 3:  Early Exit Reasons (to be administered only to members who left before the end of their service term) – reasons for leaving service early</w:t>
      </w:r>
    </w:p>
    <w:p w:rsidR="005561E5" w:rsidRPr="00FC6022" w:rsidP="005561E5" w14:paraId="2601B2CA"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u w:val="single"/>
        </w:rPr>
      </w:pPr>
      <w:r w:rsidRPr="0EEECE9C">
        <w:rPr>
          <w:rFonts w:ascii="Times New Roman" w:hAnsi="Times New Roman"/>
        </w:rPr>
        <w:t>Module 4: Career Support and Career Impact (All Respondents)–effect of service on interest in a career in public health, use of career support during service, and impact of service on career path.</w:t>
      </w:r>
    </w:p>
    <w:p w:rsidR="005561E5" w:rsidRPr="006676FC" w:rsidP="005561E5" w14:paraId="2A34C7E0"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u w:val="single"/>
        </w:rPr>
      </w:pPr>
      <w:r w:rsidRPr="0EEECE9C">
        <w:rPr>
          <w:rFonts w:ascii="Times New Roman" w:hAnsi="Times New Roman"/>
        </w:rPr>
        <w:t>Module 5: Demographics (All Respondents) – demographics and background information</w:t>
      </w:r>
    </w:p>
    <w:p w:rsidR="005561E5" w:rsidP="005561E5" w14:paraId="45E4A3B5" w14:textId="77777777">
      <w:pPr>
        <w:pStyle w:val="ListParagraph"/>
        <w:widowControl w:val="0"/>
        <w:numPr>
          <w:ilvl w:val="3"/>
          <w:numId w:val="1"/>
        </w:numPr>
        <w:tabs>
          <w:tab w:val="left" w:pos="360"/>
          <w:tab w:val="left" w:pos="630"/>
          <w:tab w:val="left" w:pos="720"/>
          <w:tab w:val="left" w:pos="1080"/>
        </w:tabs>
        <w:ind w:left="360"/>
        <w:rPr>
          <w:rFonts w:ascii="Times New Roman" w:hAnsi="Times New Roman"/>
        </w:rPr>
      </w:pPr>
      <w:r w:rsidRPr="0EEECE9C">
        <w:rPr>
          <w:rFonts w:ascii="Times New Roman" w:hAnsi="Times New Roman"/>
        </w:rPr>
        <w:t xml:space="preserve">Grantee Survey (to be administered online): </w:t>
      </w:r>
    </w:p>
    <w:p w:rsidR="005561E5" w:rsidP="005561E5" w14:paraId="6F692D98"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rPr>
      </w:pPr>
      <w:r w:rsidRPr="0EEECE9C">
        <w:rPr>
          <w:rFonts w:ascii="Times New Roman" w:hAnsi="Times New Roman"/>
        </w:rPr>
        <w:t>Program design and implementation, communities served, recruitment, retention, and training of members, professional support, and potential career pathways for members, grantee partnerships.</w:t>
      </w:r>
    </w:p>
    <w:p w:rsidR="005561E5" w:rsidP="005561E5" w14:paraId="31070E11" w14:textId="77777777">
      <w:pPr>
        <w:pStyle w:val="ListParagraph"/>
        <w:widowControl w:val="0"/>
        <w:numPr>
          <w:ilvl w:val="3"/>
          <w:numId w:val="1"/>
        </w:numPr>
        <w:tabs>
          <w:tab w:val="left" w:pos="360"/>
          <w:tab w:val="left" w:pos="630"/>
          <w:tab w:val="left" w:pos="720"/>
          <w:tab w:val="left" w:pos="1080"/>
        </w:tabs>
        <w:ind w:left="360"/>
        <w:rPr>
          <w:rFonts w:ascii="Times New Roman" w:hAnsi="Times New Roman"/>
        </w:rPr>
      </w:pPr>
      <w:r w:rsidRPr="0EEECE9C">
        <w:rPr>
          <w:rFonts w:ascii="Times New Roman" w:hAnsi="Times New Roman"/>
        </w:rPr>
        <w:t>Grantee Focus Group (virtual meeting):</w:t>
      </w:r>
    </w:p>
    <w:p w:rsidR="005561E5" w:rsidP="005561E5" w14:paraId="76B360BD"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rPr>
      </w:pPr>
      <w:r w:rsidRPr="0EEECE9C">
        <w:rPr>
          <w:rFonts w:ascii="Times New Roman" w:hAnsi="Times New Roman"/>
        </w:rPr>
        <w:t>Script for contractor to lead focus group discussion with grantees; the discussion includes how the grantee addressed Public Health AmeriCorps’ goals, successes, and challenges in implementing their project. There are three focus groups:</w:t>
      </w:r>
    </w:p>
    <w:p w:rsidR="005561E5" w:rsidP="005561E5" w14:paraId="5A932633" w14:textId="77777777">
      <w:pPr>
        <w:pStyle w:val="ListParagraph"/>
        <w:widowControl w:val="0"/>
        <w:numPr>
          <w:ilvl w:val="4"/>
          <w:numId w:val="1"/>
        </w:numPr>
        <w:tabs>
          <w:tab w:val="left" w:pos="1080"/>
          <w:tab w:val="left" w:pos="1350"/>
        </w:tabs>
        <w:ind w:left="1080" w:hanging="270"/>
        <w:rPr>
          <w:rFonts w:ascii="Times New Roman" w:hAnsi="Times New Roman"/>
        </w:rPr>
      </w:pPr>
      <w:r w:rsidRPr="0EEECE9C">
        <w:rPr>
          <w:rFonts w:ascii="Times New Roman" w:hAnsi="Times New Roman"/>
        </w:rPr>
        <w:t xml:space="preserve">Focus Group on Member Recruitment and Retention – additional questions specific to how the grantees </w:t>
      </w:r>
      <w:r w:rsidRPr="0EEECE9C">
        <w:rPr>
          <w:rFonts w:ascii="Times New Roman" w:hAnsi="Times New Roman"/>
        </w:rPr>
        <w:t>recruited,</w:t>
      </w:r>
      <w:r w:rsidRPr="0EEECE9C">
        <w:rPr>
          <w:rFonts w:ascii="Times New Roman" w:hAnsi="Times New Roman"/>
        </w:rPr>
        <w:t xml:space="preserve"> successes and challenges in recruitment, and how AmeriCorps could help with recruitment and retention.</w:t>
      </w:r>
    </w:p>
    <w:p w:rsidR="005561E5" w:rsidP="005561E5" w14:paraId="5A2D4FF6" w14:textId="77777777">
      <w:pPr>
        <w:pStyle w:val="ListParagraph"/>
        <w:widowControl w:val="0"/>
        <w:numPr>
          <w:ilvl w:val="4"/>
          <w:numId w:val="1"/>
        </w:numPr>
        <w:tabs>
          <w:tab w:val="left" w:pos="1080"/>
          <w:tab w:val="left" w:pos="1350"/>
        </w:tabs>
        <w:ind w:left="1080" w:hanging="270"/>
        <w:rPr>
          <w:rFonts w:ascii="Times New Roman" w:hAnsi="Times New Roman"/>
        </w:rPr>
      </w:pPr>
      <w:r w:rsidRPr="0EEECE9C">
        <w:rPr>
          <w:rFonts w:ascii="Times New Roman" w:hAnsi="Times New Roman"/>
        </w:rPr>
        <w:t xml:space="preserve">Focus Group on Member Training and Support – additional questions specific to </w:t>
      </w:r>
      <w:r w:rsidRPr="0EEECE9C">
        <w:rPr>
          <w:rFonts w:ascii="Times New Roman" w:hAnsi="Times New Roman"/>
        </w:rPr>
        <w:t xml:space="preserve">public health training provided and needed. </w:t>
      </w:r>
    </w:p>
    <w:p w:rsidR="005561E5" w:rsidP="005561E5" w14:paraId="17617D9E" w14:textId="77777777">
      <w:pPr>
        <w:pStyle w:val="ListParagraph"/>
        <w:widowControl w:val="0"/>
        <w:numPr>
          <w:ilvl w:val="4"/>
          <w:numId w:val="1"/>
        </w:numPr>
        <w:tabs>
          <w:tab w:val="left" w:pos="360"/>
          <w:tab w:val="left" w:pos="630"/>
          <w:tab w:val="left" w:pos="720"/>
          <w:tab w:val="left" w:pos="1080"/>
          <w:tab w:val="left" w:pos="1350"/>
        </w:tabs>
        <w:ind w:left="1080" w:hanging="270"/>
        <w:rPr>
          <w:rFonts w:ascii="Times New Roman" w:hAnsi="Times New Roman"/>
        </w:rPr>
      </w:pPr>
      <w:r w:rsidRPr="00FD64EE">
        <w:rPr>
          <w:rFonts w:ascii="Times New Roman" w:hAnsi="Times New Roman"/>
        </w:rPr>
        <w:t>Focus Group on Partnerships – additional questions specific to whether grantees have worked with partnership in implementing their PHA grants, whether there have been additions or loss of any partnership, and challenges in building partnerships.</w:t>
      </w:r>
    </w:p>
    <w:p w:rsidR="005561E5" w:rsidP="005561E5" w14:paraId="121CC36F" w14:textId="77777777">
      <w:pPr>
        <w:pStyle w:val="ListParagraph"/>
        <w:widowControl w:val="0"/>
        <w:numPr>
          <w:ilvl w:val="3"/>
          <w:numId w:val="1"/>
        </w:numPr>
        <w:tabs>
          <w:tab w:val="left" w:pos="360"/>
          <w:tab w:val="left" w:pos="630"/>
          <w:tab w:val="left" w:pos="720"/>
          <w:tab w:val="left" w:pos="1080"/>
        </w:tabs>
        <w:ind w:left="360"/>
        <w:rPr>
          <w:rFonts w:ascii="Times New Roman" w:hAnsi="Times New Roman"/>
        </w:rPr>
      </w:pPr>
      <w:r>
        <w:rPr>
          <w:rFonts w:ascii="Times New Roman" w:hAnsi="Times New Roman"/>
        </w:rPr>
        <w:t>Partner Interview Guide (virtual meeting)</w:t>
      </w:r>
    </w:p>
    <w:p w:rsidR="005561E5" w:rsidP="005561E5" w14:paraId="7482332A" w14:textId="77777777">
      <w:pPr>
        <w:pStyle w:val="ListParagraph"/>
        <w:widowControl w:val="0"/>
        <w:numPr>
          <w:ilvl w:val="4"/>
          <w:numId w:val="1"/>
        </w:numPr>
        <w:tabs>
          <w:tab w:val="left" w:pos="360"/>
          <w:tab w:val="left" w:pos="630"/>
          <w:tab w:val="left" w:pos="720"/>
          <w:tab w:val="left" w:pos="1080"/>
          <w:tab w:val="left" w:pos="1350"/>
        </w:tabs>
        <w:ind w:left="1080" w:hanging="270"/>
        <w:rPr>
          <w:rFonts w:ascii="Times New Roman" w:hAnsi="Times New Roman"/>
        </w:rPr>
      </w:pPr>
      <w:r>
        <w:rPr>
          <w:rFonts w:ascii="Times New Roman" w:hAnsi="Times New Roman"/>
        </w:rPr>
        <w:t>Script for contractor to lead interview with a sample of partners of Public Health AmeriCorps grantees; the discussion includes how the partnership was established, partner’s role and responsibilities, goals of the partnership, and outcome of the partnership to date.</w:t>
      </w:r>
    </w:p>
    <w:p w:rsidR="005561E5" w:rsidP="005561E5" w14:paraId="41F1DB27" w14:textId="77777777">
      <w:pPr>
        <w:pStyle w:val="ListParagraph"/>
        <w:widowControl w:val="0"/>
        <w:numPr>
          <w:ilvl w:val="3"/>
          <w:numId w:val="1"/>
        </w:numPr>
        <w:tabs>
          <w:tab w:val="left" w:pos="360"/>
          <w:tab w:val="left" w:pos="630"/>
          <w:tab w:val="left" w:pos="720"/>
          <w:tab w:val="left" w:pos="1080"/>
        </w:tabs>
        <w:ind w:left="360"/>
        <w:rPr>
          <w:rFonts w:ascii="Times New Roman" w:hAnsi="Times New Roman"/>
        </w:rPr>
      </w:pPr>
      <w:r>
        <w:rPr>
          <w:rFonts w:ascii="Times New Roman" w:hAnsi="Times New Roman"/>
        </w:rPr>
        <w:t>Early Exit Interview Guide (virtual meeting)</w:t>
      </w:r>
    </w:p>
    <w:p w:rsidR="005561E5" w:rsidP="005561E5" w14:paraId="76713B9C" w14:textId="77777777">
      <w:pPr>
        <w:pStyle w:val="ListParagraph"/>
        <w:widowControl w:val="0"/>
        <w:numPr>
          <w:ilvl w:val="1"/>
          <w:numId w:val="1"/>
        </w:numPr>
        <w:tabs>
          <w:tab w:val="left" w:pos="360"/>
          <w:tab w:val="left" w:pos="630"/>
          <w:tab w:val="left" w:pos="720"/>
          <w:tab w:val="left" w:pos="1080"/>
          <w:tab w:val="left" w:pos="1350"/>
        </w:tabs>
        <w:rPr>
          <w:rFonts w:ascii="Times New Roman" w:hAnsi="Times New Roman"/>
        </w:rPr>
      </w:pPr>
      <w:r>
        <w:rPr>
          <w:rFonts w:ascii="Times New Roman" w:hAnsi="Times New Roman"/>
        </w:rPr>
        <w:t xml:space="preserve">Script for contractor to lead interview with a sample of early exit members; the discussion includes challenges that influenced the decision to end service, </w:t>
      </w:r>
      <w:r>
        <w:rPr>
          <w:rFonts w:ascii="Times New Roman" w:hAnsi="Times New Roman"/>
        </w:rPr>
        <w:t>support</w:t>
      </w:r>
      <w:r>
        <w:rPr>
          <w:rFonts w:ascii="Times New Roman" w:hAnsi="Times New Roman"/>
        </w:rPr>
        <w:t xml:space="preserve"> and resources to overcome the challenges, recommendations on support that could mitigate early exit.</w:t>
      </w:r>
    </w:p>
    <w:p w:rsidR="005561E5" w:rsidP="005561E5" w14:paraId="7108C4B5" w14:textId="77777777">
      <w:pPr>
        <w:pStyle w:val="ListParagraph"/>
        <w:widowControl w:val="0"/>
        <w:numPr>
          <w:ilvl w:val="0"/>
          <w:numId w:val="1"/>
        </w:numPr>
        <w:tabs>
          <w:tab w:val="left" w:pos="360"/>
          <w:tab w:val="left" w:pos="630"/>
          <w:tab w:val="left" w:pos="720"/>
          <w:tab w:val="left" w:pos="1080"/>
          <w:tab w:val="left" w:pos="1350"/>
        </w:tabs>
        <w:rPr>
          <w:rFonts w:ascii="Times New Roman" w:hAnsi="Times New Roman"/>
        </w:rPr>
      </w:pPr>
      <w:r w:rsidRPr="0EEECE9C">
        <w:rPr>
          <w:rFonts w:ascii="Times New Roman" w:hAnsi="Times New Roman"/>
        </w:rPr>
        <w:t>Grantee Technical Assistance and Training Form (to be administered online)</w:t>
      </w:r>
    </w:p>
    <w:p w:rsidR="005561E5" w:rsidP="005561E5" w14:paraId="786F4977" w14:textId="77777777">
      <w:pPr>
        <w:pStyle w:val="ListParagraph"/>
        <w:widowControl w:val="0"/>
        <w:numPr>
          <w:ilvl w:val="4"/>
          <w:numId w:val="1"/>
        </w:numPr>
        <w:tabs>
          <w:tab w:val="left" w:pos="360"/>
          <w:tab w:val="left" w:pos="630"/>
          <w:tab w:val="left" w:pos="720"/>
          <w:tab w:val="left" w:pos="1080"/>
        </w:tabs>
        <w:ind w:left="720"/>
        <w:rPr>
          <w:rFonts w:ascii="Times New Roman" w:hAnsi="Times New Roman"/>
        </w:rPr>
      </w:pPr>
      <w:r w:rsidRPr="0EEECE9C">
        <w:rPr>
          <w:rFonts w:ascii="Times New Roman" w:hAnsi="Times New Roman"/>
        </w:rPr>
        <w:t>Requests grantee responses as to challenges they have faced in operating their program, what kind of training AmeriCorps could offer to members to enhance their impact, and any lessons learned in operating their program.</w:t>
      </w:r>
    </w:p>
    <w:p w:rsidR="009B6653" w:rsidP="009B6653" w14:paraId="606241DB" w14:textId="77777777">
      <w:pPr>
        <w:widowControl w:val="0"/>
        <w:tabs>
          <w:tab w:val="left" w:pos="360"/>
          <w:tab w:val="left" w:pos="630"/>
          <w:tab w:val="left" w:pos="720"/>
          <w:tab w:val="left" w:pos="1080"/>
        </w:tabs>
        <w:rPr>
          <w:rFonts w:ascii="Times New Roman" w:hAnsi="Times New Roman"/>
        </w:rPr>
      </w:pPr>
    </w:p>
    <w:p w:rsidR="009B6653" w:rsidRPr="009B6653" w:rsidP="009B6653" w14:paraId="3485507E" w14:textId="77777777">
      <w:pPr>
        <w:widowControl w:val="0"/>
        <w:tabs>
          <w:tab w:val="left" w:pos="360"/>
          <w:tab w:val="left" w:pos="630"/>
          <w:tab w:val="left" w:pos="720"/>
          <w:tab w:val="left" w:pos="1080"/>
        </w:tabs>
        <w:rPr>
          <w:rFonts w:ascii="Times New Roman" w:hAnsi="Times New Roman"/>
        </w:rPr>
      </w:pPr>
      <w:r>
        <w:rPr>
          <w:rFonts w:ascii="Times New Roman" w:hAnsi="Times New Roman"/>
        </w:rPr>
        <w:t xml:space="preserve">Consent forms each type of respondent (alumni, </w:t>
      </w:r>
      <w:r w:rsidR="00F84F10">
        <w:rPr>
          <w:rFonts w:ascii="Times New Roman" w:hAnsi="Times New Roman"/>
        </w:rPr>
        <w:t xml:space="preserve">early exit members, and </w:t>
      </w:r>
      <w:r>
        <w:rPr>
          <w:rFonts w:ascii="Times New Roman" w:hAnsi="Times New Roman"/>
        </w:rPr>
        <w:t>grantee</w:t>
      </w:r>
      <w:r w:rsidR="00F84F10">
        <w:rPr>
          <w:rFonts w:ascii="Times New Roman" w:hAnsi="Times New Roman"/>
        </w:rPr>
        <w:t>s</w:t>
      </w:r>
      <w:r>
        <w:rPr>
          <w:rFonts w:ascii="Times New Roman" w:hAnsi="Times New Roman"/>
        </w:rPr>
        <w:t xml:space="preserve"> and</w:t>
      </w:r>
      <w:r w:rsidR="00F84F10">
        <w:rPr>
          <w:rFonts w:ascii="Times New Roman" w:hAnsi="Times New Roman"/>
        </w:rPr>
        <w:t xml:space="preserve"> partners). </w:t>
      </w:r>
      <w:r>
        <w:rPr>
          <w:rFonts w:ascii="Times New Roman" w:hAnsi="Times New Roman"/>
        </w:rPr>
        <w:t xml:space="preserve"> </w:t>
      </w:r>
    </w:p>
    <w:p w:rsidR="005561E5" w:rsidRPr="00031F4D" w:rsidP="005561E5" w14:paraId="796DB4C2" w14:textId="77777777">
      <w:pPr>
        <w:pStyle w:val="Heading2"/>
        <w:numPr>
          <w:ilvl w:val="0"/>
          <w:numId w:val="15"/>
        </w:numPr>
      </w:pPr>
      <w:r w:rsidRPr="0EEECE9C">
        <w:t xml:space="preserve">Use of the Information. </w:t>
      </w:r>
    </w:p>
    <w:p w:rsidR="005561E5" w:rsidP="005561E5" w14:paraId="00BC5F28" w14:textId="77777777">
      <w:pPr>
        <w:tabs>
          <w:tab w:val="left" w:pos="360"/>
        </w:tabs>
        <w:spacing w:after="120"/>
        <w:rPr>
          <w:rFonts w:ascii="Times New Roman" w:hAnsi="Times New Roman"/>
          <w:b/>
          <w:bCs/>
          <w:sz w:val="26"/>
          <w:szCs w:val="26"/>
          <w:highlight w:val="yellow"/>
        </w:rPr>
      </w:pPr>
      <w:r w:rsidRPr="0EEECE9C">
        <w:rPr>
          <w:rFonts w:ascii="Times New Roman" w:hAnsi="Times New Roman"/>
        </w:rPr>
        <w:t xml:space="preserve">AmeriCorps will use the information for regulatory compliance as discussed under </w:t>
      </w:r>
      <w:r w:rsidR="00DE67AA">
        <w:rPr>
          <w:rFonts w:ascii="Times New Roman" w:hAnsi="Times New Roman"/>
        </w:rPr>
        <w:t xml:space="preserve">the response to question </w:t>
      </w:r>
      <w:r w:rsidRPr="0EEECE9C">
        <w:rPr>
          <w:rFonts w:ascii="Times New Roman" w:hAnsi="Times New Roman"/>
        </w:rPr>
        <w:t>1</w:t>
      </w:r>
      <w:r w:rsidR="00DE67AA">
        <w:rPr>
          <w:rFonts w:ascii="Times New Roman" w:hAnsi="Times New Roman"/>
        </w:rPr>
        <w:t>, above</w:t>
      </w:r>
      <w:r w:rsidRPr="0EEECE9C">
        <w:rPr>
          <w:rFonts w:ascii="Times New Roman" w:hAnsi="Times New Roman"/>
        </w:rPr>
        <w:t xml:space="preserve">, as well as program administration, and to inform policy and guidance affecting the agency’s Public Health AmeriCorps grant funding. The information will assist AmeriCorps, in partnership with CDC, in establishing strategic goals and performance targets and informing program innovation, guiding program improvement, and demonstrating program impacts. Furthermore, beyond the legislative requirements to report to Congress on the program’s impact, in adhering to the 2019 Foundations for Evidence-Based Policymaking Act (FEBP) of 2018, Pub. L. 115-435, AmeriCorps has outlined a commitment to building an evidence base to inform decision-making and the allocation of resources in the agency’s strategic planning and Learning Agenda. </w:t>
      </w:r>
    </w:p>
    <w:p w:rsidR="005561E5" w:rsidRPr="00F526B3" w:rsidP="005561E5" w14:paraId="559B2B91" w14:textId="77777777">
      <w:pPr>
        <w:tabs>
          <w:tab w:val="left" w:pos="360"/>
        </w:tabs>
        <w:spacing w:after="120"/>
        <w:rPr>
          <w:rFonts w:ascii="Times New Roman" w:hAnsi="Times New Roman"/>
          <w:b/>
          <w:bCs/>
          <w:u w:val="single"/>
        </w:rPr>
      </w:pPr>
      <w:r w:rsidRPr="00F526B3">
        <w:rPr>
          <w:rFonts w:ascii="Times New Roman" w:hAnsi="Times New Roman"/>
          <w:b/>
          <w:bCs/>
          <w:u w:val="single"/>
        </w:rPr>
        <w:t xml:space="preserve">Beginning-to-end experience for respondents </w:t>
      </w:r>
    </w:p>
    <w:p w:rsidR="005561E5" w:rsidP="005561E5" w14:paraId="3CE32FB2" w14:textId="77777777">
      <w:pPr>
        <w:pStyle w:val="ListParagraph"/>
        <w:widowControl w:val="0"/>
        <w:tabs>
          <w:tab w:val="left" w:pos="360"/>
          <w:tab w:val="left" w:pos="630"/>
          <w:tab w:val="left" w:pos="720"/>
          <w:tab w:val="left" w:pos="1080"/>
        </w:tabs>
        <w:ind w:left="0"/>
        <w:rPr>
          <w:rFonts w:ascii="Times New Roman" w:hAnsi="Times New Roman"/>
        </w:rPr>
      </w:pPr>
      <w:r w:rsidRPr="0EEECE9C">
        <w:rPr>
          <w:rFonts w:ascii="Times New Roman" w:hAnsi="Times New Roman"/>
        </w:rPr>
        <w:t xml:space="preserve">Members will receive a link for the survey via email. No learning costs are anticipated, as the survey is fillable online. Any psychological costs will be minimal because the survey is optional to complete and there are minimal questions of an intrusive nature. For sensitive questions, members can elect to not provide a response to questions by selecting “prefer not to answer.” Any member who left service before their term expired could have a reason for doing so that causes discomfort, but the listed reasons for early departure are written in a non-judgmental and objective manner. </w:t>
      </w:r>
    </w:p>
    <w:p w:rsidR="005561E5" w:rsidP="005561E5" w14:paraId="72A992AF" w14:textId="77777777">
      <w:pPr>
        <w:pStyle w:val="ListParagraph"/>
        <w:widowControl w:val="0"/>
        <w:tabs>
          <w:tab w:val="left" w:pos="360"/>
          <w:tab w:val="left" w:pos="630"/>
          <w:tab w:val="left" w:pos="720"/>
          <w:tab w:val="left" w:pos="1080"/>
        </w:tabs>
        <w:ind w:left="0"/>
        <w:rPr>
          <w:rFonts w:ascii="Times New Roman" w:hAnsi="Times New Roman"/>
        </w:rPr>
      </w:pPr>
    </w:p>
    <w:p w:rsidR="005561E5" w:rsidP="005561E5" w14:paraId="6E6D274D" w14:textId="77777777">
      <w:pPr>
        <w:pStyle w:val="ListParagraph"/>
        <w:widowControl w:val="0"/>
        <w:tabs>
          <w:tab w:val="left" w:pos="360"/>
          <w:tab w:val="left" w:pos="630"/>
          <w:tab w:val="left" w:pos="720"/>
          <w:tab w:val="left" w:pos="1080"/>
        </w:tabs>
        <w:ind w:left="0"/>
        <w:rPr>
          <w:rFonts w:ascii="Times New Roman" w:hAnsi="Times New Roman"/>
        </w:rPr>
      </w:pPr>
      <w:r w:rsidRPr="0EEECE9C">
        <w:rPr>
          <w:rFonts w:ascii="Times New Roman" w:hAnsi="Times New Roman"/>
        </w:rPr>
        <w:t xml:space="preserve">Grantees will receive a link to for the grantee survey and technical assistance and training form via email. No learning costs are anticipated, as the survey is fillable online. No psychological costs are anticipated, as the individual will be completing the information on behalf of their grantee organization. </w:t>
      </w:r>
    </w:p>
    <w:p w:rsidR="005561E5" w:rsidP="005561E5" w14:paraId="6C89AC2E" w14:textId="77777777">
      <w:pPr>
        <w:pStyle w:val="ListParagraph"/>
        <w:widowControl w:val="0"/>
        <w:tabs>
          <w:tab w:val="left" w:pos="360"/>
          <w:tab w:val="left" w:pos="630"/>
          <w:tab w:val="left" w:pos="720"/>
          <w:tab w:val="left" w:pos="1080"/>
        </w:tabs>
        <w:ind w:left="0"/>
        <w:rPr>
          <w:rFonts w:ascii="Times New Roman" w:hAnsi="Times New Roman"/>
        </w:rPr>
      </w:pPr>
    </w:p>
    <w:p w:rsidR="005561E5" w:rsidP="005561E5" w14:paraId="789F609C" w14:textId="77777777">
      <w:pPr>
        <w:pStyle w:val="ListParagraph"/>
        <w:widowControl w:val="0"/>
        <w:tabs>
          <w:tab w:val="left" w:pos="360"/>
          <w:tab w:val="left" w:pos="630"/>
          <w:tab w:val="left" w:pos="720"/>
          <w:tab w:val="left" w:pos="1080"/>
        </w:tabs>
        <w:ind w:left="0"/>
        <w:rPr>
          <w:rFonts w:ascii="Times New Roman" w:hAnsi="Times New Roman"/>
        </w:rPr>
      </w:pPr>
      <w:r w:rsidRPr="0EEECE9C">
        <w:rPr>
          <w:rFonts w:ascii="Times New Roman" w:hAnsi="Times New Roman"/>
        </w:rPr>
        <w:t xml:space="preserve">Grantees opt into participating in the focus group and are not likely to experience any learning costs as the focus group is in a meeting format. No psychological costs are anticipated as the individual representatives may decline to respond to any question during the focus group. </w:t>
      </w:r>
    </w:p>
    <w:p w:rsidR="005561E5" w:rsidP="005561E5" w14:paraId="154A4346" w14:textId="77777777">
      <w:pPr>
        <w:pStyle w:val="ListParagraph"/>
        <w:widowControl w:val="0"/>
        <w:tabs>
          <w:tab w:val="left" w:pos="360"/>
          <w:tab w:val="left" w:pos="630"/>
          <w:tab w:val="left" w:pos="720"/>
          <w:tab w:val="left" w:pos="1080"/>
        </w:tabs>
        <w:ind w:left="0"/>
        <w:rPr>
          <w:rFonts w:ascii="Times New Roman" w:hAnsi="Times New Roman"/>
        </w:rPr>
      </w:pPr>
    </w:p>
    <w:p w:rsidR="005561E5" w:rsidRPr="006F392E" w:rsidP="005561E5" w14:paraId="5D039EFB" w14:textId="77777777">
      <w:pPr>
        <w:widowControl w:val="0"/>
        <w:tabs>
          <w:tab w:val="left" w:pos="360"/>
          <w:tab w:val="left" w:pos="630"/>
          <w:tab w:val="left" w:pos="720"/>
          <w:tab w:val="left" w:pos="1080"/>
        </w:tabs>
        <w:spacing w:after="120"/>
        <w:rPr>
          <w:rFonts w:ascii="Times New Roman" w:hAnsi="Times New Roman"/>
        </w:rPr>
      </w:pPr>
      <w:r w:rsidRPr="0EEECE9C">
        <w:rPr>
          <w:rFonts w:ascii="Times New Roman" w:hAnsi="Times New Roman"/>
        </w:rPr>
        <w:t xml:space="preserve">AmeriCorps will share the information as an agency report to Congress and with the public through its website. The data collection will inform agency policy. All published reports will protect privacy as no personally identifiable information will be disclosed.  </w:t>
      </w:r>
    </w:p>
    <w:p w:rsidR="005561E5" w:rsidP="005561E5" w14:paraId="6EF6F91E" w14:textId="77777777">
      <w:pPr>
        <w:widowControl w:val="0"/>
        <w:tabs>
          <w:tab w:val="left" w:pos="360"/>
          <w:tab w:val="left" w:pos="630"/>
          <w:tab w:val="left" w:pos="720"/>
          <w:tab w:val="left" w:pos="1080"/>
        </w:tabs>
        <w:rPr>
          <w:rFonts w:ascii="Times New Roman" w:hAnsi="Times New Roman"/>
          <w:u w:val="single"/>
        </w:rPr>
      </w:pPr>
    </w:p>
    <w:p w:rsidR="005561E5" w:rsidRPr="00F526B3" w:rsidP="005561E5" w14:paraId="13BFF05B" w14:textId="77777777">
      <w:pPr>
        <w:widowControl w:val="0"/>
        <w:tabs>
          <w:tab w:val="left" w:pos="360"/>
          <w:tab w:val="left" w:pos="630"/>
          <w:tab w:val="left" w:pos="720"/>
          <w:tab w:val="left" w:pos="1080"/>
        </w:tabs>
        <w:rPr>
          <w:rFonts w:ascii="Times New Roman" w:hAnsi="Times New Roman"/>
          <w:b/>
          <w:bCs/>
          <w:u w:val="single"/>
        </w:rPr>
      </w:pPr>
      <w:r w:rsidRPr="00F526B3">
        <w:rPr>
          <w:rFonts w:ascii="Times New Roman" w:hAnsi="Times New Roman"/>
          <w:b/>
          <w:bCs/>
          <w:u w:val="single"/>
        </w:rPr>
        <w:t>Specific Research Questions the Study will Address</w:t>
      </w:r>
    </w:p>
    <w:p w:rsidR="005561E5" w:rsidP="005561E5" w14:paraId="4574A1A9" w14:textId="77777777">
      <w:pPr>
        <w:widowControl w:val="0"/>
        <w:tabs>
          <w:tab w:val="left" w:pos="360"/>
          <w:tab w:val="left" w:pos="630"/>
          <w:tab w:val="left" w:pos="720"/>
          <w:tab w:val="left" w:pos="1080"/>
        </w:tabs>
        <w:rPr>
          <w:rFonts w:ascii="Times New Roman" w:hAnsi="Times New Roman"/>
          <w:u w:val="single"/>
        </w:rPr>
      </w:pPr>
    </w:p>
    <w:p w:rsidR="005561E5" w:rsidRPr="0064765C" w:rsidP="005561E5" w14:paraId="266A98A1" w14:textId="77777777">
      <w:pPr>
        <w:spacing w:after="240"/>
        <w:rPr>
          <w:color w:val="000000" w:themeColor="text1"/>
        </w:rPr>
      </w:pPr>
      <w:r w:rsidRPr="00F526B3">
        <w:rPr>
          <w:rFonts w:ascii="Times New Roman" w:hAnsi="Times New Roman"/>
          <w:color w:val="000000" w:themeColor="text1"/>
        </w:rPr>
        <w:t xml:space="preserve">AmeriCorps will conduct three concurrent national evaluations of Public Health AmeriCorps: a process evaluation, outcome evaluation, and impact evaluation. </w:t>
      </w:r>
    </w:p>
    <w:p w:rsidR="005561E5" w:rsidRPr="0064765C" w:rsidP="005561E5" w14:paraId="626E0FDC" w14:textId="77777777">
      <w:pPr>
        <w:spacing w:after="120"/>
        <w:rPr>
          <w:bCs/>
          <w:color w:val="000000" w:themeColor="text1"/>
        </w:rPr>
      </w:pPr>
      <w:bookmarkStart w:id="0" w:name="_Toc150525105"/>
      <w:bookmarkStart w:id="1" w:name="_Toc150527116"/>
      <w:bookmarkStart w:id="2" w:name="_Toc155123335"/>
      <w:bookmarkStart w:id="3" w:name="_Toc155813417"/>
      <w:r w:rsidRPr="00F526B3">
        <w:rPr>
          <w:b/>
          <w:bCs/>
        </w:rPr>
        <w:t>Process evaluation</w:t>
      </w:r>
      <w:bookmarkEnd w:id="0"/>
      <w:bookmarkEnd w:id="1"/>
      <w:bookmarkEnd w:id="2"/>
      <w:bookmarkEnd w:id="3"/>
      <w:r w:rsidRPr="00F526B3">
        <w:rPr>
          <w:b/>
          <w:bCs/>
          <w:color w:val="000000" w:themeColor="text1"/>
        </w:rPr>
        <w:t xml:space="preserve"> </w:t>
      </w:r>
    </w:p>
    <w:p w:rsidR="005561E5" w:rsidRPr="00D54A99" w:rsidP="005561E5" w14:paraId="33634DAE" w14:textId="77777777">
      <w:pPr>
        <w:spacing w:after="240"/>
        <w:rPr>
          <w:rFonts w:ascii="Times New Roman" w:hAnsi="Times New Roman"/>
          <w:color w:val="000000" w:themeColor="text1"/>
        </w:rPr>
      </w:pPr>
      <w:r w:rsidRPr="0EEECE9C">
        <w:rPr>
          <w:rFonts w:ascii="Times New Roman" w:hAnsi="Times New Roman"/>
          <w:color w:val="000000" w:themeColor="text1"/>
        </w:rPr>
        <w:t>Process evaluation focuses on the grantees and subgrantees (hereafter “grantees” for brevity) and their partner organizations. This evaluation is dynamic as it will be updated and reviewed each year during the contract period to gauge the progress Public Health AmeriCorps is making toward meeting its goals. The unit of analysis is the grantee. The process evaluation examines the successes and challenges in implementing the program; grantees’ measures of performance, progress, and effectiveness; types of training and support provided to members; and the partnership between grantees and local and state public health departments as well as private and other types of health institutions and clinics.</w:t>
      </w:r>
    </w:p>
    <w:p w:rsidR="005561E5" w:rsidRPr="00F526B3" w:rsidP="005561E5" w14:paraId="03A7CF20" w14:textId="77777777">
      <w:bookmarkStart w:id="4" w:name="_Toc150525106"/>
      <w:bookmarkStart w:id="5" w:name="_Toc150527117"/>
      <w:bookmarkStart w:id="6" w:name="_Toc155123336"/>
      <w:bookmarkStart w:id="7" w:name="_Toc155813418"/>
      <w:r w:rsidRPr="00F526B3">
        <w:t>Research questions</w:t>
      </w:r>
      <w:bookmarkEnd w:id="4"/>
      <w:bookmarkEnd w:id="5"/>
      <w:bookmarkEnd w:id="6"/>
      <w:bookmarkEnd w:id="7"/>
    </w:p>
    <w:p w:rsidR="005561E5" w:rsidP="005561E5" w14:paraId="57C1B9F8" w14:textId="77777777">
      <w:pPr>
        <w:widowControl w:val="0"/>
        <w:tabs>
          <w:tab w:val="left" w:pos="360"/>
          <w:tab w:val="left" w:pos="630"/>
          <w:tab w:val="left" w:pos="720"/>
          <w:tab w:val="left" w:pos="1080"/>
        </w:tabs>
        <w:spacing w:after="120"/>
        <w:rPr>
          <w:rFonts w:ascii="Times New Roman" w:hAnsi="Times New Roman"/>
        </w:rPr>
      </w:pPr>
      <w:r w:rsidRPr="0EEECE9C">
        <w:rPr>
          <w:rFonts w:ascii="Times New Roman" w:hAnsi="Times New Roman"/>
        </w:rPr>
        <w:t>The research questions under the process evaluation cover four topic areas: grantee characteristics, program implementation, member recruitment, member training and support, and partnership and collaboration with other organizations.</w:t>
      </w:r>
      <w:r w:rsidRPr="0EEECE9C">
        <w:rPr>
          <w:rStyle w:val="Heading3Char"/>
          <w:rFonts w:ascii="Times New Roman" w:hAnsi="Times New Roman"/>
        </w:rPr>
        <w:t xml:space="preserve"> </w:t>
      </w:r>
      <w:r w:rsidRPr="0EEECE9C">
        <w:rPr>
          <w:rFonts w:ascii="Times New Roman" w:hAnsi="Times New Roman"/>
        </w:rPr>
        <w:t>Grantee characteristics will consider commonalities and differences across programs. The evidence from the process evaluation will identify successes, challenges, and lessons learned in implementing Public Health AmeriCorps; the evidence will inform potential changes in policies and program guidance set forth by AmeriCorps to support and strengthen grantees' recruitment and retention efforts.</w:t>
      </w:r>
    </w:p>
    <w:p w:rsidR="005561E5" w:rsidRPr="00E9151F" w:rsidP="005561E5" w14:paraId="3E08338A" w14:textId="77777777">
      <w:pPr>
        <w:rPr>
          <w:rFonts w:ascii="Times New Roman" w:hAnsi="Times New Roman"/>
        </w:rPr>
      </w:pPr>
      <w:r w:rsidRPr="0EEECE9C">
        <w:rPr>
          <w:rFonts w:ascii="Times New Roman" w:hAnsi="Times New Roman"/>
        </w:rPr>
        <w:t>The evaluation questions under grantee characteristics and program implementation are as follows:</w:t>
      </w:r>
    </w:p>
    <w:p w:rsidR="005561E5" w:rsidRPr="00EF49E2" w:rsidP="005561E5" w14:paraId="5BAE03CE" w14:textId="77777777">
      <w:pPr>
        <w:pStyle w:val="ListParagraph"/>
        <w:numPr>
          <w:ilvl w:val="0"/>
          <w:numId w:val="4"/>
        </w:numPr>
        <w:overflowPunct/>
        <w:autoSpaceDE/>
        <w:autoSpaceDN/>
        <w:adjustRightInd/>
        <w:spacing w:after="240"/>
        <w:textAlignment w:val="auto"/>
        <w:rPr>
          <w:rFonts w:ascii="Times New Roman" w:hAnsi="Times New Roman"/>
        </w:rPr>
      </w:pPr>
      <w:r w:rsidRPr="0EEECE9C">
        <w:rPr>
          <w:rFonts w:ascii="Times New Roman" w:hAnsi="Times New Roman"/>
        </w:rPr>
        <w:t>What are the commonalities across Public Health AmeriCorps programs? How do programs differ?</w:t>
      </w:r>
    </w:p>
    <w:p w:rsidR="005561E5" w:rsidRPr="00EF49E2" w:rsidP="005561E5" w14:paraId="3DD4EB66" w14:textId="77777777">
      <w:pPr>
        <w:pStyle w:val="ListParagraph"/>
        <w:numPr>
          <w:ilvl w:val="0"/>
          <w:numId w:val="4"/>
        </w:numPr>
        <w:overflowPunct/>
        <w:autoSpaceDE/>
        <w:autoSpaceDN/>
        <w:adjustRightInd/>
        <w:spacing w:after="240"/>
        <w:textAlignment w:val="auto"/>
        <w:rPr>
          <w:rFonts w:ascii="Times New Roman" w:hAnsi="Times New Roman"/>
        </w:rPr>
      </w:pPr>
      <w:r w:rsidRPr="0EEECE9C">
        <w:rPr>
          <w:rFonts w:ascii="Times New Roman" w:hAnsi="Times New Roman"/>
        </w:rPr>
        <w:t>What are the successes and challenges of implementing Public Health AmeriCorps?</w:t>
      </w:r>
    </w:p>
    <w:p w:rsidR="005561E5" w:rsidRPr="00EF49E2" w:rsidP="005561E5" w14:paraId="2C5781AC" w14:textId="77777777">
      <w:pPr>
        <w:pStyle w:val="ListParagraph"/>
        <w:numPr>
          <w:ilvl w:val="0"/>
          <w:numId w:val="4"/>
        </w:numPr>
        <w:overflowPunct/>
        <w:autoSpaceDE/>
        <w:autoSpaceDN/>
        <w:adjustRightInd/>
        <w:spacing w:after="240"/>
        <w:textAlignment w:val="auto"/>
        <w:rPr>
          <w:rFonts w:ascii="Times New Roman" w:hAnsi="Times New Roman"/>
        </w:rPr>
      </w:pPr>
      <w:r w:rsidRPr="0EEECE9C">
        <w:rPr>
          <w:rFonts w:ascii="Times New Roman" w:hAnsi="Times New Roman"/>
        </w:rPr>
        <w:t>How well are Public Health AmeriCorps programs being implemented?</w:t>
      </w:r>
    </w:p>
    <w:p w:rsidR="005561E5" w:rsidRPr="00EF49E2" w:rsidP="005561E5" w14:paraId="34166041" w14:textId="77777777">
      <w:pPr>
        <w:pStyle w:val="ListParagraph"/>
        <w:numPr>
          <w:ilvl w:val="0"/>
          <w:numId w:val="4"/>
        </w:numPr>
        <w:overflowPunct/>
        <w:autoSpaceDE/>
        <w:autoSpaceDN/>
        <w:adjustRightInd/>
        <w:spacing w:after="240"/>
        <w:textAlignment w:val="auto"/>
        <w:rPr>
          <w:rFonts w:ascii="Times New Roman" w:hAnsi="Times New Roman"/>
        </w:rPr>
      </w:pPr>
      <w:r w:rsidRPr="0EEECE9C">
        <w:rPr>
          <w:rFonts w:ascii="Times New Roman" w:hAnsi="Times New Roman"/>
        </w:rPr>
        <w:t xml:space="preserve">What measures do Public Health AmeriCorps grantees propose to use to gauge performance, progress, and program effectiveness? How reliable and valid are the proposed measures? </w:t>
      </w:r>
    </w:p>
    <w:p w:rsidR="005561E5" w:rsidRPr="00EF49E2" w:rsidP="005561E5" w14:paraId="59775D00" w14:textId="77777777">
      <w:pPr>
        <w:spacing w:after="240"/>
        <w:rPr>
          <w:rFonts w:ascii="Times New Roman" w:hAnsi="Times New Roman"/>
        </w:rPr>
      </w:pPr>
      <w:r w:rsidRPr="0EEECE9C">
        <w:rPr>
          <w:rFonts w:ascii="Times New Roman" w:hAnsi="Times New Roman"/>
        </w:rPr>
        <w:t xml:space="preserve">Regarding member recruitment, organizations often use a variety of strategies such as outreach events, social media campaigns, and word-of-mouth referrals. One of the goals of the evaluation is to assess the effectiveness of Public Health AmeriCorps in facilitating and expanding the </w:t>
      </w:r>
      <w:r w:rsidRPr="0EEECE9C">
        <w:rPr>
          <w:rFonts w:ascii="Times New Roman" w:hAnsi="Times New Roman"/>
        </w:rPr>
        <w:t xml:space="preserve">public health workforce in underserved communities. A hypothesis of how Public Health AmeriCorps might achieve an increased public health workforce pipeline in underserved communities is by recruiting members from these communities, and ensuring the members serve in their own communities. Additionally, members that serve in the communities they are recruited from can help build trust and foster stronger engagement between the organization and the community. Member recruitment-related questions are as follows: </w:t>
      </w:r>
    </w:p>
    <w:p w:rsidR="005561E5" w:rsidRPr="00EF49E2" w:rsidP="005561E5" w14:paraId="5337BC77" w14:textId="77777777">
      <w:pPr>
        <w:pStyle w:val="ListParagraph"/>
        <w:numPr>
          <w:ilvl w:val="0"/>
          <w:numId w:val="8"/>
        </w:numPr>
        <w:overflowPunct/>
        <w:autoSpaceDE/>
        <w:autoSpaceDN/>
        <w:adjustRightInd/>
        <w:spacing w:after="240"/>
        <w:textAlignment w:val="auto"/>
        <w:rPr>
          <w:rFonts w:ascii="Times New Roman" w:hAnsi="Times New Roman"/>
        </w:rPr>
      </w:pPr>
      <w:r w:rsidRPr="0EEECE9C">
        <w:rPr>
          <w:rFonts w:ascii="Times New Roman" w:hAnsi="Times New Roman"/>
        </w:rPr>
        <w:t>What strategies do Public Health AmeriCorps programs use to recruit members?</w:t>
      </w:r>
    </w:p>
    <w:p w:rsidR="005561E5" w:rsidRPr="00EF49E2" w:rsidP="005561E5" w14:paraId="1C45F78D" w14:textId="77777777">
      <w:pPr>
        <w:pStyle w:val="ListParagraph"/>
        <w:numPr>
          <w:ilvl w:val="0"/>
          <w:numId w:val="4"/>
        </w:numPr>
        <w:overflowPunct/>
        <w:autoSpaceDE/>
        <w:autoSpaceDN/>
        <w:adjustRightInd/>
        <w:spacing w:after="240"/>
        <w:textAlignment w:val="auto"/>
        <w:rPr>
          <w:rFonts w:ascii="Times New Roman" w:hAnsi="Times New Roman"/>
        </w:rPr>
      </w:pPr>
      <w:r w:rsidRPr="0EEECE9C">
        <w:rPr>
          <w:rFonts w:ascii="Times New Roman" w:hAnsi="Times New Roman"/>
        </w:rPr>
        <w:t xml:space="preserve">Are members recruited from the communities </w:t>
      </w:r>
      <w:r>
        <w:rPr>
          <w:rFonts w:ascii="Times New Roman" w:hAnsi="Times New Roman"/>
        </w:rPr>
        <w:t xml:space="preserve">the </w:t>
      </w:r>
      <w:r w:rsidRPr="0EEECE9C">
        <w:rPr>
          <w:rFonts w:ascii="Times New Roman" w:hAnsi="Times New Roman"/>
        </w:rPr>
        <w:t>grantees serve? Do members serve in the communities they are recruited from?</w:t>
      </w:r>
    </w:p>
    <w:p w:rsidR="005561E5" w:rsidRPr="00EF49E2" w:rsidP="005561E5" w14:paraId="4336994A" w14:textId="77777777">
      <w:pPr>
        <w:spacing w:after="240"/>
        <w:rPr>
          <w:rFonts w:ascii="Times New Roman" w:hAnsi="Times New Roman"/>
        </w:rPr>
      </w:pPr>
      <w:r w:rsidRPr="0EEECE9C">
        <w:rPr>
          <w:rFonts w:ascii="Times New Roman" w:hAnsi="Times New Roman"/>
        </w:rPr>
        <w:t xml:space="preserve">The questions on the training and support grantees provide include the type of training, certifications, and credentials that Public Health AmeriCorps members receive, and whether these trainings are evidence-based. The process evaluation will examine professional support, and training and workforce development support provided to members that can pave the way to a public health career. The process evaluation will examine the presence of systemic and structural barriers that might affect members’ experience and identify the services or resources that can ensure a successful transition to a public health career. The process evaluation also considers the broader context of members’ entry into the public health workforce. The evaluation questions related to the training and support grantees provide are as follows: </w:t>
      </w:r>
    </w:p>
    <w:p w:rsidR="005561E5" w:rsidRPr="00EF49E2" w:rsidP="005561E5" w14:paraId="20A38726" w14:textId="77777777">
      <w:pPr>
        <w:pStyle w:val="ListParagraph"/>
        <w:numPr>
          <w:ilvl w:val="0"/>
          <w:numId w:val="5"/>
        </w:numPr>
        <w:overflowPunct/>
        <w:autoSpaceDE/>
        <w:autoSpaceDN/>
        <w:adjustRightInd/>
        <w:spacing w:after="240"/>
        <w:textAlignment w:val="auto"/>
        <w:rPr>
          <w:rFonts w:ascii="Times New Roman" w:hAnsi="Times New Roman"/>
        </w:rPr>
      </w:pPr>
      <w:r w:rsidRPr="0EEECE9C">
        <w:rPr>
          <w:rFonts w:ascii="Times New Roman" w:hAnsi="Times New Roman"/>
        </w:rPr>
        <w:t>What types of trainings, certifications and credentials do members receive?</w:t>
      </w:r>
    </w:p>
    <w:p w:rsidR="005561E5" w:rsidRPr="00EF49E2" w:rsidP="005561E5" w14:paraId="3C84796C" w14:textId="77777777">
      <w:pPr>
        <w:pStyle w:val="ListParagraph"/>
        <w:numPr>
          <w:ilvl w:val="0"/>
          <w:numId w:val="5"/>
        </w:numPr>
        <w:overflowPunct/>
        <w:autoSpaceDE/>
        <w:autoSpaceDN/>
        <w:adjustRightInd/>
        <w:spacing w:after="240"/>
        <w:textAlignment w:val="auto"/>
        <w:rPr>
          <w:rFonts w:ascii="Times New Roman" w:hAnsi="Times New Roman"/>
        </w:rPr>
      </w:pPr>
      <w:r w:rsidRPr="0EEECE9C">
        <w:rPr>
          <w:rFonts w:ascii="Times New Roman" w:hAnsi="Times New Roman"/>
        </w:rPr>
        <w:t>Are the trainings Public Health AmeriCorps members receiving evidence-based?</w:t>
      </w:r>
    </w:p>
    <w:p w:rsidR="005561E5" w:rsidRPr="00EF49E2" w:rsidP="005561E5" w14:paraId="4132FC0D" w14:textId="4F92FEC2">
      <w:pPr>
        <w:pStyle w:val="ListParagraph"/>
        <w:numPr>
          <w:ilvl w:val="0"/>
          <w:numId w:val="5"/>
        </w:numPr>
        <w:overflowPunct/>
        <w:autoSpaceDE/>
        <w:autoSpaceDN/>
        <w:adjustRightInd/>
        <w:spacing w:after="240"/>
        <w:textAlignment w:val="auto"/>
        <w:rPr>
          <w:rFonts w:ascii="Times New Roman" w:hAnsi="Times New Roman"/>
        </w:rPr>
      </w:pPr>
      <w:r w:rsidRPr="0EEECE9C">
        <w:rPr>
          <w:rFonts w:ascii="Times New Roman" w:hAnsi="Times New Roman"/>
        </w:rPr>
        <w:t>What kind of professional supports are provided to members?</w:t>
      </w:r>
    </w:p>
    <w:p w:rsidR="005561E5" w:rsidRPr="00EF49E2" w:rsidP="005561E5" w14:paraId="5BFC5411" w14:textId="77777777">
      <w:pPr>
        <w:pStyle w:val="ListParagraph"/>
        <w:numPr>
          <w:ilvl w:val="0"/>
          <w:numId w:val="5"/>
        </w:numPr>
        <w:overflowPunct/>
        <w:autoSpaceDE/>
        <w:autoSpaceDN/>
        <w:adjustRightInd/>
        <w:spacing w:after="240"/>
        <w:textAlignment w:val="auto"/>
        <w:rPr>
          <w:rFonts w:ascii="Times New Roman" w:hAnsi="Times New Roman"/>
        </w:rPr>
      </w:pPr>
      <w:r w:rsidRPr="0EEECE9C">
        <w:rPr>
          <w:rFonts w:ascii="Times New Roman" w:hAnsi="Times New Roman"/>
        </w:rPr>
        <w:t>What additional education, training, workforce development supports do members need to achieve their longer-term public health career goals?</w:t>
      </w:r>
    </w:p>
    <w:p w:rsidR="005561E5" w:rsidRPr="00EF49E2" w:rsidP="005561E5" w14:paraId="7A31E5BE" w14:textId="77777777">
      <w:pPr>
        <w:pStyle w:val="ListParagraph"/>
        <w:numPr>
          <w:ilvl w:val="0"/>
          <w:numId w:val="5"/>
        </w:numPr>
        <w:overflowPunct/>
        <w:autoSpaceDE/>
        <w:autoSpaceDN/>
        <w:adjustRightInd/>
        <w:spacing w:after="240"/>
        <w:textAlignment w:val="auto"/>
        <w:rPr>
          <w:rFonts w:ascii="Times New Roman" w:hAnsi="Times New Roman"/>
        </w:rPr>
      </w:pPr>
      <w:r w:rsidRPr="0EEECE9C">
        <w:rPr>
          <w:rFonts w:ascii="Times New Roman" w:hAnsi="Times New Roman"/>
        </w:rPr>
        <w:t>What systemic and structural barriers do grantees anticipate members might experience? What services or resources have grantees put in place or identify to address these barriers?</w:t>
      </w:r>
    </w:p>
    <w:p w:rsidR="005561E5" w:rsidRPr="00EF49E2" w:rsidP="005561E5" w14:paraId="6747947F" w14:textId="77777777">
      <w:pPr>
        <w:pStyle w:val="ListParagraph"/>
        <w:numPr>
          <w:ilvl w:val="0"/>
          <w:numId w:val="5"/>
        </w:numPr>
        <w:overflowPunct/>
        <w:autoSpaceDE/>
        <w:autoSpaceDN/>
        <w:adjustRightInd/>
        <w:spacing w:after="240"/>
        <w:textAlignment w:val="auto"/>
        <w:rPr>
          <w:rFonts w:ascii="Times New Roman" w:hAnsi="Times New Roman"/>
        </w:rPr>
      </w:pPr>
      <w:r w:rsidRPr="0EEECE9C">
        <w:rPr>
          <w:rFonts w:ascii="Times New Roman" w:hAnsi="Times New Roman"/>
        </w:rPr>
        <w:t>How does AmeriCorps address the structural and systemic barriers that members experience? Are there additional supports and services that AmeriCorps could provide?</w:t>
      </w:r>
    </w:p>
    <w:p w:rsidR="005561E5" w:rsidRPr="00EF49E2" w:rsidP="005561E5" w14:paraId="4018AA52" w14:textId="77777777">
      <w:pPr>
        <w:pStyle w:val="ListParagraph"/>
        <w:numPr>
          <w:ilvl w:val="0"/>
          <w:numId w:val="5"/>
        </w:numPr>
        <w:overflowPunct/>
        <w:autoSpaceDE/>
        <w:autoSpaceDN/>
        <w:adjustRightInd/>
        <w:spacing w:after="240"/>
        <w:textAlignment w:val="auto"/>
        <w:rPr>
          <w:rFonts w:ascii="Times New Roman" w:hAnsi="Times New Roman"/>
        </w:rPr>
      </w:pPr>
      <w:r w:rsidRPr="0EEECE9C">
        <w:rPr>
          <w:rFonts w:ascii="Times New Roman" w:hAnsi="Times New Roman"/>
        </w:rPr>
        <w:t>What ongoing health-related careers opportunities do grantees offer to broaden members’ career pathways in public health?</w:t>
      </w:r>
    </w:p>
    <w:p w:rsidR="005561E5" w:rsidRPr="00EF49E2" w:rsidP="005561E5" w14:paraId="0D4AF1FF" w14:textId="77777777">
      <w:pPr>
        <w:rPr>
          <w:rFonts w:ascii="Times New Roman" w:hAnsi="Times New Roman"/>
        </w:rPr>
      </w:pPr>
      <w:r w:rsidRPr="0EEECE9C">
        <w:rPr>
          <w:rFonts w:ascii="Times New Roman" w:hAnsi="Times New Roman"/>
        </w:rPr>
        <w:t>Partnership and collaboration with other organizations are important because the partners may serve as host sites where members serve, and these partners may provide members opportunities for a career in public health. The research questions for the process evaluation related to partnership and collaboration with other organizations are as follows:</w:t>
      </w:r>
    </w:p>
    <w:p w:rsidR="005561E5" w:rsidRPr="00EF49E2" w:rsidP="005561E5" w14:paraId="0F326DD3" w14:textId="77777777">
      <w:pPr>
        <w:pStyle w:val="ListParagraph"/>
        <w:numPr>
          <w:ilvl w:val="0"/>
          <w:numId w:val="7"/>
        </w:numPr>
        <w:overflowPunct/>
        <w:autoSpaceDE/>
        <w:autoSpaceDN/>
        <w:adjustRightInd/>
        <w:spacing w:after="160" w:line="259" w:lineRule="auto"/>
        <w:textAlignment w:val="auto"/>
        <w:rPr>
          <w:rFonts w:ascii="Times New Roman" w:hAnsi="Times New Roman"/>
        </w:rPr>
      </w:pPr>
      <w:r w:rsidRPr="0EEECE9C">
        <w:rPr>
          <w:rFonts w:ascii="Times New Roman" w:hAnsi="Times New Roman"/>
        </w:rPr>
        <w:t>What is the relationship, if any, between grantee organizations and local or state health departments?</w:t>
      </w:r>
    </w:p>
    <w:p w:rsidR="005561E5" w:rsidRPr="00EF49E2" w:rsidP="005561E5" w14:paraId="1CABF53F" w14:textId="77777777">
      <w:pPr>
        <w:pStyle w:val="ListParagraph"/>
        <w:numPr>
          <w:ilvl w:val="0"/>
          <w:numId w:val="6"/>
        </w:numPr>
        <w:overflowPunct/>
        <w:autoSpaceDE/>
        <w:autoSpaceDN/>
        <w:adjustRightInd/>
        <w:spacing w:after="160" w:line="259" w:lineRule="auto"/>
        <w:textAlignment w:val="auto"/>
        <w:rPr>
          <w:rFonts w:ascii="Times New Roman" w:hAnsi="Times New Roman"/>
        </w:rPr>
      </w:pPr>
      <w:r w:rsidRPr="0EEECE9C">
        <w:rPr>
          <w:rFonts w:ascii="Times New Roman" w:hAnsi="Times New Roman"/>
        </w:rPr>
        <w:t>How does a relationship with local or state health departments impact grantees’ programs and processes?</w:t>
      </w:r>
    </w:p>
    <w:p w:rsidR="005561E5" w:rsidRPr="00EF49E2" w:rsidP="005561E5" w14:paraId="0BEC3134" w14:textId="77777777">
      <w:pPr>
        <w:pStyle w:val="ListParagraph"/>
        <w:numPr>
          <w:ilvl w:val="0"/>
          <w:numId w:val="6"/>
        </w:numPr>
        <w:overflowPunct/>
        <w:autoSpaceDE/>
        <w:autoSpaceDN/>
        <w:adjustRightInd/>
        <w:spacing w:after="160" w:line="259" w:lineRule="auto"/>
        <w:textAlignment w:val="auto"/>
        <w:rPr>
          <w:rFonts w:ascii="Times New Roman" w:hAnsi="Times New Roman"/>
        </w:rPr>
      </w:pPr>
      <w:r w:rsidRPr="0EEECE9C">
        <w:rPr>
          <w:rFonts w:ascii="Times New Roman" w:hAnsi="Times New Roman"/>
        </w:rPr>
        <w:t>To what extent was the partnership between AmeriCorps and CDC successful or offered a model for cross agency collaboration, including at local, state, and federal levels?</w:t>
      </w:r>
    </w:p>
    <w:p w:rsidR="005561E5" w:rsidRPr="00EF49E2" w:rsidP="005561E5" w14:paraId="7F285E05" w14:textId="77777777">
      <w:pPr>
        <w:pStyle w:val="ListParagraph"/>
        <w:numPr>
          <w:ilvl w:val="0"/>
          <w:numId w:val="6"/>
        </w:numPr>
        <w:overflowPunct/>
        <w:autoSpaceDE/>
        <w:autoSpaceDN/>
        <w:adjustRightInd/>
        <w:spacing w:after="160" w:line="259" w:lineRule="auto"/>
        <w:textAlignment w:val="auto"/>
        <w:rPr>
          <w:rFonts w:ascii="Times New Roman" w:hAnsi="Times New Roman"/>
        </w:rPr>
      </w:pPr>
      <w:r w:rsidRPr="0EEECE9C">
        <w:rPr>
          <w:rFonts w:ascii="Times New Roman" w:hAnsi="Times New Roman"/>
        </w:rPr>
        <w:t>What are the lessons learned from AmeriCorps and CDC collaboration and partnership effort that can be used to inform future cross agency partnership efforts?</w:t>
      </w:r>
    </w:p>
    <w:p w:rsidR="005561E5" w:rsidRPr="00FB2A73" w:rsidP="005561E5" w14:paraId="4AABE69E" w14:textId="77777777">
      <w:pPr>
        <w:pStyle w:val="ListParagraph"/>
        <w:numPr>
          <w:ilvl w:val="0"/>
          <w:numId w:val="6"/>
        </w:numPr>
        <w:overflowPunct/>
        <w:autoSpaceDE/>
        <w:autoSpaceDN/>
        <w:adjustRightInd/>
        <w:spacing w:after="240"/>
        <w:textAlignment w:val="auto"/>
        <w:rPr>
          <w:rFonts w:ascii="Times New Roman" w:hAnsi="Times New Roman"/>
        </w:rPr>
      </w:pPr>
      <w:r w:rsidRPr="0EEECE9C">
        <w:rPr>
          <w:rFonts w:ascii="Times New Roman" w:hAnsi="Times New Roman"/>
        </w:rPr>
        <w:t>At what stage(s) of the initiative’s life cycle was the cross-agency partnership most (or least) critical in terms of collaboration, communication, and coordination?</w:t>
      </w:r>
    </w:p>
    <w:p w:rsidR="005561E5" w:rsidRPr="0064765C" w:rsidP="005561E5" w14:paraId="3FBB1E87" w14:textId="77777777">
      <w:pPr>
        <w:spacing w:after="120"/>
        <w:rPr>
          <w:bCs/>
        </w:rPr>
      </w:pPr>
      <w:bookmarkStart w:id="8" w:name="_Toc150525114"/>
      <w:bookmarkStart w:id="9" w:name="_Toc150527125"/>
      <w:bookmarkStart w:id="10" w:name="_Toc155123343"/>
      <w:bookmarkStart w:id="11" w:name="_Toc155813419"/>
      <w:r w:rsidRPr="00F526B3">
        <w:rPr>
          <w:b/>
          <w:bCs/>
        </w:rPr>
        <w:t>Outcome evaluation</w:t>
      </w:r>
      <w:bookmarkEnd w:id="8"/>
      <w:bookmarkEnd w:id="9"/>
      <w:bookmarkEnd w:id="10"/>
      <w:bookmarkEnd w:id="11"/>
    </w:p>
    <w:p w:rsidR="005561E5" w:rsidRPr="00D54A99" w:rsidP="005561E5" w14:paraId="088F06CD" w14:textId="77777777">
      <w:pPr>
        <w:spacing w:after="240"/>
        <w:rPr>
          <w:rFonts w:ascii="Times New Roman" w:hAnsi="Times New Roman"/>
          <w:color w:val="000000" w:themeColor="text1"/>
        </w:rPr>
      </w:pPr>
      <w:r w:rsidRPr="0EEECE9C">
        <w:rPr>
          <w:rFonts w:ascii="Times New Roman" w:hAnsi="Times New Roman"/>
          <w:color w:val="000000" w:themeColor="text1"/>
        </w:rPr>
        <w:t>Outcome evaluation focuses on members and the communities served. The research questions for the outcome evaluation examine members’ public health career pathways as opposed to non-public health careers; core public health competencies members develop during their service; and members’ civic participation and commitment to national service. The evaluation’s research questions aim to investigate several aspects of members’ outcomes following service and the communities where the members served. The evidence from the outcome evaluation will a</w:t>
      </w:r>
      <w:r w:rsidRPr="0EEECE9C">
        <w:rPr>
          <w:rFonts w:ascii="Times New Roman" w:hAnsi="Times New Roman"/>
        </w:rPr>
        <w:t xml:space="preserve">ssess how Public Health AmeriCorps strengthens capacity to address public health needs, especially in communities that have been historically underserved, and how recruiting members from the communities that grantees serve affects both the communities and members. </w:t>
      </w:r>
      <w:r w:rsidRPr="0EEECE9C">
        <w:rPr>
          <w:rFonts w:ascii="Times New Roman" w:hAnsi="Times New Roman"/>
          <w:color w:val="000000" w:themeColor="text1"/>
        </w:rPr>
        <w:t>The research questions examine members’ public health interaction, including the roles they serve and whether they perceive their service as impactful; and determine how the program strengthens capacity to address public health needs in underserved communities. The research questions examine how recruiting members from the communities that grantees serve affects both the communities served and the members themselves.</w:t>
      </w:r>
    </w:p>
    <w:p w:rsidR="005561E5" w:rsidRPr="00F526B3" w:rsidP="005561E5" w14:paraId="72048D35" w14:textId="77777777">
      <w:bookmarkStart w:id="12" w:name="_Toc150525115"/>
      <w:bookmarkStart w:id="13" w:name="_Toc150527126"/>
      <w:bookmarkStart w:id="14" w:name="_Toc155123344"/>
      <w:bookmarkStart w:id="15" w:name="_Toc155813420"/>
      <w:r w:rsidRPr="00F526B3">
        <w:t>Research questions</w:t>
      </w:r>
      <w:bookmarkEnd w:id="12"/>
      <w:bookmarkEnd w:id="13"/>
      <w:bookmarkEnd w:id="14"/>
      <w:bookmarkEnd w:id="15"/>
    </w:p>
    <w:p w:rsidR="005561E5" w:rsidP="005561E5" w14:paraId="33AA26F0" w14:textId="77777777">
      <w:pPr>
        <w:spacing w:after="240"/>
        <w:rPr>
          <w:rFonts w:ascii="Times New Roman" w:hAnsi="Times New Roman"/>
          <w:color w:val="000000" w:themeColor="text1"/>
        </w:rPr>
      </w:pPr>
      <w:r w:rsidRPr="0EEECE9C">
        <w:rPr>
          <w:rFonts w:ascii="Times New Roman" w:hAnsi="Times New Roman"/>
          <w:color w:val="000000" w:themeColor="text1"/>
        </w:rPr>
        <w:t xml:space="preserve">The research questions for the outcome evaluation cover four main themes. These themes include factors affecting members as they enter the service terms; the competencies, knowledge, and skills members develop through the service; the roles and support members provide to their grantees; and the extent members’ service activities address the communities' public health needs. </w:t>
      </w:r>
    </w:p>
    <w:p w:rsidR="005561E5" w:rsidP="005561E5" w14:paraId="21A48242" w14:textId="77777777">
      <w:pPr>
        <w:rPr>
          <w:rFonts w:ascii="Times New Roman" w:hAnsi="Times New Roman"/>
        </w:rPr>
      </w:pPr>
      <w:r w:rsidRPr="0EEECE9C">
        <w:rPr>
          <w:rFonts w:ascii="Times New Roman" w:hAnsi="Times New Roman"/>
        </w:rPr>
        <w:t>As for the factors affecting members entering the service terms, we aim to investigate the potential barriers and facilitators they encounter during their service terms. The research questions to examine the effect of Public Health AmeriCorps service on members’ competencies, knowledge, and skills development are:</w:t>
      </w:r>
    </w:p>
    <w:p w:rsidR="005561E5" w:rsidP="005561E5" w14:paraId="3F25D2E0" w14:textId="77777777">
      <w:pPr>
        <w:pStyle w:val="ListParagraph"/>
        <w:numPr>
          <w:ilvl w:val="0"/>
          <w:numId w:val="11"/>
        </w:numPr>
        <w:overflowPunct/>
        <w:autoSpaceDE/>
        <w:autoSpaceDN/>
        <w:adjustRightInd/>
        <w:spacing w:line="257" w:lineRule="auto"/>
        <w:textAlignment w:val="auto"/>
        <w:rPr>
          <w:rFonts w:ascii="Times New Roman" w:hAnsi="Times New Roman"/>
          <w:color w:val="000000" w:themeColor="text1"/>
        </w:rPr>
      </w:pPr>
      <w:r w:rsidRPr="0EEECE9C">
        <w:rPr>
          <w:rFonts w:ascii="Times New Roman" w:hAnsi="Times New Roman"/>
          <w:color w:val="000000" w:themeColor="text1"/>
        </w:rPr>
        <w:t xml:space="preserve">To what extent do members find the training and skill building provided sufficient for supporting them in their service activities? </w:t>
      </w:r>
    </w:p>
    <w:p w:rsidR="005561E5" w:rsidP="005561E5" w14:paraId="2917BE5B" w14:textId="77777777">
      <w:pPr>
        <w:pStyle w:val="ListParagraph"/>
        <w:numPr>
          <w:ilvl w:val="0"/>
          <w:numId w:val="11"/>
        </w:numPr>
        <w:overflowPunct/>
        <w:autoSpaceDE/>
        <w:autoSpaceDN/>
        <w:adjustRightInd/>
        <w:spacing w:line="257" w:lineRule="auto"/>
        <w:textAlignment w:val="auto"/>
        <w:rPr>
          <w:rFonts w:ascii="Times New Roman" w:hAnsi="Times New Roman"/>
          <w:color w:val="000000" w:themeColor="text1"/>
        </w:rPr>
      </w:pPr>
      <w:r w:rsidRPr="0EEECE9C">
        <w:rPr>
          <w:rFonts w:ascii="Times New Roman" w:hAnsi="Times New Roman"/>
          <w:color w:val="000000" w:themeColor="text1"/>
        </w:rPr>
        <w:t xml:space="preserve">What types of competencies, knowledge, and skills do members develop? </w:t>
      </w:r>
    </w:p>
    <w:p w:rsidR="005561E5" w:rsidRPr="0053573A" w:rsidP="005561E5" w14:paraId="0EEE80E1" w14:textId="77777777">
      <w:pPr>
        <w:pStyle w:val="ListParagraph"/>
        <w:numPr>
          <w:ilvl w:val="0"/>
          <w:numId w:val="11"/>
        </w:numPr>
        <w:overflowPunct/>
        <w:autoSpaceDE/>
        <w:autoSpaceDN/>
        <w:adjustRightInd/>
        <w:spacing w:after="240"/>
        <w:textAlignment w:val="auto"/>
        <w:rPr>
          <w:rFonts w:ascii="Times New Roman" w:hAnsi="Times New Roman"/>
          <w:color w:val="000000" w:themeColor="text1"/>
        </w:rPr>
      </w:pPr>
      <w:r w:rsidRPr="0EEECE9C">
        <w:rPr>
          <w:rFonts w:ascii="Times New Roman" w:hAnsi="Times New Roman"/>
          <w:color w:val="000000" w:themeColor="text1"/>
        </w:rPr>
        <w:t>What kinds of professional support helped members succeed in their career search and careers after their Public Health AmeriCorps service?</w:t>
      </w:r>
    </w:p>
    <w:p w:rsidR="005561E5" w:rsidP="005561E5" w14:paraId="6ED2E6B7" w14:textId="77777777">
      <w:pPr>
        <w:rPr>
          <w:rFonts w:ascii="Times New Roman" w:hAnsi="Times New Roman"/>
        </w:rPr>
      </w:pPr>
      <w:r w:rsidRPr="0EEECE9C">
        <w:rPr>
          <w:rFonts w:ascii="Times New Roman" w:hAnsi="Times New Roman"/>
        </w:rPr>
        <w:t xml:space="preserve">The outcome evaluation examines members’ roles and how their service activities support grantees and host sites. The research questions are: </w:t>
      </w:r>
    </w:p>
    <w:p w:rsidR="005561E5" w:rsidP="005561E5" w14:paraId="2BE9F66A" w14:textId="77777777">
      <w:pPr>
        <w:pStyle w:val="ListParagraph"/>
        <w:numPr>
          <w:ilvl w:val="0"/>
          <w:numId w:val="10"/>
        </w:numPr>
        <w:overflowPunct/>
        <w:autoSpaceDE/>
        <w:autoSpaceDN/>
        <w:adjustRightInd/>
        <w:spacing w:after="160" w:line="257" w:lineRule="auto"/>
        <w:textAlignment w:val="auto"/>
        <w:rPr>
          <w:rFonts w:ascii="Times New Roman" w:hAnsi="Times New Roman"/>
          <w:color w:val="000000" w:themeColor="text1"/>
        </w:rPr>
      </w:pPr>
      <w:r w:rsidRPr="0EEECE9C">
        <w:rPr>
          <w:rFonts w:ascii="Times New Roman" w:hAnsi="Times New Roman"/>
          <w:color w:val="000000" w:themeColor="text1"/>
        </w:rPr>
        <w:t xml:space="preserve">What types of roles do members serve within their grantee organizations and/or host sites? </w:t>
      </w:r>
    </w:p>
    <w:p w:rsidR="005561E5" w:rsidP="005561E5" w14:paraId="499F04C4" w14:textId="77777777">
      <w:pPr>
        <w:pStyle w:val="ListParagraph"/>
        <w:numPr>
          <w:ilvl w:val="0"/>
          <w:numId w:val="10"/>
        </w:numPr>
        <w:overflowPunct/>
        <w:autoSpaceDE/>
        <w:autoSpaceDN/>
        <w:adjustRightInd/>
        <w:spacing w:after="160" w:line="257" w:lineRule="auto"/>
        <w:textAlignment w:val="auto"/>
        <w:rPr>
          <w:rFonts w:ascii="Times New Roman" w:hAnsi="Times New Roman"/>
          <w:color w:val="000000" w:themeColor="text1"/>
        </w:rPr>
      </w:pPr>
      <w:r w:rsidRPr="0EEECE9C">
        <w:rPr>
          <w:rFonts w:ascii="Times New Roman" w:hAnsi="Times New Roman"/>
          <w:color w:val="000000" w:themeColor="text1"/>
        </w:rPr>
        <w:t xml:space="preserve">How do members interact with public health on a day-to-day basis? </w:t>
      </w:r>
    </w:p>
    <w:p w:rsidR="005561E5" w:rsidP="005561E5" w14:paraId="7486BF3F" w14:textId="77777777">
      <w:pPr>
        <w:pStyle w:val="ListParagraph"/>
        <w:numPr>
          <w:ilvl w:val="0"/>
          <w:numId w:val="10"/>
        </w:numPr>
        <w:overflowPunct/>
        <w:autoSpaceDE/>
        <w:autoSpaceDN/>
        <w:adjustRightInd/>
        <w:spacing w:after="160" w:line="257" w:lineRule="auto"/>
        <w:textAlignment w:val="auto"/>
        <w:rPr>
          <w:rFonts w:ascii="Times New Roman" w:hAnsi="Times New Roman"/>
          <w:color w:val="000000" w:themeColor="text1"/>
        </w:rPr>
      </w:pPr>
      <w:r w:rsidRPr="0EEECE9C">
        <w:rPr>
          <w:rFonts w:ascii="Times New Roman" w:hAnsi="Times New Roman"/>
          <w:color w:val="000000" w:themeColor="text1"/>
        </w:rPr>
        <w:t>What are members doing to support their grantees’ public health goals?</w:t>
      </w:r>
    </w:p>
    <w:p w:rsidR="005561E5" w:rsidP="005561E5" w14:paraId="7063D13D" w14:textId="77777777">
      <w:pPr>
        <w:spacing w:after="240"/>
        <w:rPr>
          <w:rFonts w:ascii="Times New Roman" w:hAnsi="Times New Roman"/>
          <w:color w:val="000000" w:themeColor="text1"/>
        </w:rPr>
      </w:pPr>
      <w:r w:rsidRPr="0EEECE9C">
        <w:rPr>
          <w:rFonts w:ascii="Times New Roman" w:hAnsi="Times New Roman"/>
        </w:rPr>
        <w:t>The outcome evaluation also explores how members’ service activities address the public health needs of underserved communities. The research questions guiding this objective are:</w:t>
      </w:r>
    </w:p>
    <w:p w:rsidR="005561E5" w:rsidP="005561E5" w14:paraId="405F0D04" w14:textId="77777777">
      <w:pPr>
        <w:pStyle w:val="ListParagraph"/>
        <w:numPr>
          <w:ilvl w:val="0"/>
          <w:numId w:val="9"/>
        </w:numPr>
        <w:overflowPunct/>
        <w:autoSpaceDE/>
        <w:autoSpaceDN/>
        <w:adjustRightInd/>
        <w:spacing w:line="257" w:lineRule="auto"/>
        <w:textAlignment w:val="auto"/>
        <w:rPr>
          <w:rFonts w:ascii="Times New Roman" w:hAnsi="Times New Roman"/>
          <w:color w:val="000000" w:themeColor="text1"/>
        </w:rPr>
      </w:pPr>
      <w:r w:rsidRPr="0EEECE9C">
        <w:rPr>
          <w:rFonts w:ascii="Times New Roman" w:hAnsi="Times New Roman"/>
          <w:color w:val="000000" w:themeColor="text1"/>
        </w:rPr>
        <w:t>How do P</w:t>
      </w:r>
      <w:r w:rsidRPr="0EEECE9C">
        <w:rPr>
          <w:rFonts w:ascii="Times New Roman" w:hAnsi="Times New Roman"/>
        </w:rPr>
        <w:t>ublic Health AmeriCorps alumni compare to the alumni of other public health training programs or experiences that offer similar opportunities to address community needs?</w:t>
      </w:r>
      <w:r w:rsidRPr="0EEECE9C">
        <w:rPr>
          <w:rFonts w:ascii="Times New Roman" w:hAnsi="Times New Roman"/>
          <w:color w:val="000000" w:themeColor="text1"/>
        </w:rPr>
        <w:t xml:space="preserve"> </w:t>
      </w:r>
    </w:p>
    <w:p w:rsidR="005561E5" w:rsidRPr="00D2645B" w:rsidP="005561E5" w14:paraId="19833609" w14:textId="77777777">
      <w:pPr>
        <w:pStyle w:val="ListParagraph"/>
        <w:numPr>
          <w:ilvl w:val="0"/>
          <w:numId w:val="9"/>
        </w:numPr>
        <w:overflowPunct/>
        <w:autoSpaceDE/>
        <w:autoSpaceDN/>
        <w:adjustRightInd/>
        <w:spacing w:line="257" w:lineRule="auto"/>
        <w:textAlignment w:val="auto"/>
        <w:rPr>
          <w:rFonts w:ascii="Times New Roman" w:hAnsi="Times New Roman"/>
          <w:color w:val="000000" w:themeColor="text1"/>
        </w:rPr>
      </w:pPr>
      <w:r w:rsidRPr="0EEECE9C">
        <w:rPr>
          <w:rFonts w:ascii="Times New Roman" w:hAnsi="Times New Roman"/>
          <w:color w:val="000000" w:themeColor="text1"/>
        </w:rPr>
        <w:t>To what extent does P</w:t>
      </w:r>
      <w:r w:rsidRPr="0EEECE9C">
        <w:rPr>
          <w:rFonts w:ascii="Times New Roman" w:hAnsi="Times New Roman"/>
        </w:rPr>
        <w:t>ublic Health AmeriCorps members build or strengthen capacity and support state and local public health settings to address the needs of underserved communities?</w:t>
      </w:r>
    </w:p>
    <w:p w:rsidR="005561E5" w:rsidRPr="00D2645B" w:rsidP="005561E5" w14:paraId="59BCBA1B" w14:textId="77777777">
      <w:pPr>
        <w:pStyle w:val="ListParagraph"/>
        <w:numPr>
          <w:ilvl w:val="0"/>
          <w:numId w:val="9"/>
        </w:numPr>
        <w:overflowPunct/>
        <w:autoSpaceDE/>
        <w:autoSpaceDN/>
        <w:adjustRightInd/>
        <w:spacing w:line="257" w:lineRule="auto"/>
        <w:textAlignment w:val="auto"/>
        <w:rPr>
          <w:rFonts w:ascii="Times New Roman" w:hAnsi="Times New Roman"/>
          <w:color w:val="000000" w:themeColor="text1"/>
        </w:rPr>
      </w:pPr>
      <w:r w:rsidRPr="0EEECE9C">
        <w:rPr>
          <w:rFonts w:ascii="Times New Roman" w:hAnsi="Times New Roman"/>
          <w:color w:val="000000" w:themeColor="text1"/>
        </w:rPr>
        <w:t xml:space="preserve">In what ways does </w:t>
      </w:r>
      <w:r w:rsidRPr="0EEECE9C">
        <w:rPr>
          <w:rFonts w:ascii="Times New Roman" w:hAnsi="Times New Roman"/>
        </w:rPr>
        <w:t>participating in a Public Health AmeriCorps National Service program influence members’ civic participation?</w:t>
      </w:r>
      <w:r w:rsidRPr="0EEECE9C">
        <w:rPr>
          <w:rFonts w:ascii="Times New Roman" w:hAnsi="Times New Roman"/>
          <w:color w:val="000000" w:themeColor="text1"/>
        </w:rPr>
        <w:t xml:space="preserve"> </w:t>
      </w:r>
    </w:p>
    <w:p w:rsidR="005561E5" w:rsidP="005561E5" w14:paraId="383C788C" w14:textId="77777777">
      <w:pPr>
        <w:rPr>
          <w:rFonts w:ascii="Times New Roman" w:hAnsi="Times New Roman"/>
        </w:rPr>
      </w:pPr>
    </w:p>
    <w:p w:rsidR="005561E5" w:rsidRPr="0064765C" w:rsidP="005561E5" w14:paraId="02E96B6E" w14:textId="77777777">
      <w:pPr>
        <w:spacing w:after="120"/>
        <w:rPr>
          <w:bCs/>
        </w:rPr>
      </w:pPr>
      <w:bookmarkStart w:id="16" w:name="_Toc150525125"/>
      <w:bookmarkStart w:id="17" w:name="_Toc150527134"/>
      <w:bookmarkStart w:id="18" w:name="_Toc155123352"/>
      <w:bookmarkStart w:id="19" w:name="_Toc155813421"/>
      <w:r w:rsidRPr="00F526B3">
        <w:rPr>
          <w:b/>
          <w:bCs/>
        </w:rPr>
        <w:t>Impact evaluation</w:t>
      </w:r>
      <w:bookmarkEnd w:id="16"/>
      <w:bookmarkEnd w:id="17"/>
      <w:bookmarkEnd w:id="18"/>
      <w:bookmarkEnd w:id="19"/>
    </w:p>
    <w:p w:rsidR="005561E5" w:rsidP="005561E5" w14:paraId="4FCB02E6" w14:textId="77777777">
      <w:pPr>
        <w:spacing w:after="240"/>
        <w:rPr>
          <w:rStyle w:val="Heading3Char"/>
          <w:rFonts w:ascii="Times New Roman" w:hAnsi="Times New Roman"/>
          <w:color w:val="000000" w:themeColor="text1"/>
        </w:rPr>
      </w:pPr>
      <w:r w:rsidRPr="0EEECE9C">
        <w:rPr>
          <w:rFonts w:ascii="Times New Roman" w:hAnsi="Times New Roman"/>
          <w:color w:val="000000" w:themeColor="text1"/>
        </w:rPr>
        <w:t xml:space="preserve">Impact evaluation focuses on members and the communities served. The impact evaluation will use a benchmark comparison to measure the attainment of public health employment. </w:t>
      </w:r>
      <w:bookmarkStart w:id="20" w:name="_Toc150525126"/>
      <w:bookmarkStart w:id="21" w:name="_Toc150527135"/>
    </w:p>
    <w:p w:rsidR="005561E5" w:rsidRPr="00F526B3" w:rsidP="005561E5" w14:paraId="3A3B0447" w14:textId="77777777">
      <w:bookmarkStart w:id="22" w:name="_Toc155123353"/>
      <w:bookmarkStart w:id="23" w:name="_Toc155813422"/>
      <w:r w:rsidRPr="00F526B3">
        <w:t>Research questions</w:t>
      </w:r>
      <w:bookmarkEnd w:id="20"/>
      <w:bookmarkEnd w:id="21"/>
      <w:bookmarkEnd w:id="22"/>
      <w:bookmarkEnd w:id="23"/>
    </w:p>
    <w:p w:rsidR="005561E5" w:rsidP="005561E5" w14:paraId="051FF6A8" w14:textId="77777777">
      <w:pPr>
        <w:rPr>
          <w:rFonts w:ascii="Times New Roman" w:hAnsi="Times New Roman"/>
        </w:rPr>
      </w:pPr>
      <w:r w:rsidRPr="0EEECE9C">
        <w:rPr>
          <w:rFonts w:ascii="Times New Roman" w:hAnsi="Times New Roman"/>
        </w:rPr>
        <w:t xml:space="preserve">The research questions for the impact evaluation are designed to determine if participating in these programs leads members to public health-related careers by providing them with valuable onsite experience and training; whether participation influences members to pursue or obtain credentials, certifications, or degrees in a public health occupation. Additionally, the research questions address the impact of Public Health AmeriCorps on members recruited from within the communities in which they serve, and whether that influences members’ civic participation and commitment to national and community service. </w:t>
      </w:r>
    </w:p>
    <w:p w:rsidR="005561E5" w:rsidP="005561E5" w14:paraId="36463CDC" w14:textId="77777777">
      <w:pPr>
        <w:rPr>
          <w:rFonts w:ascii="Times New Roman" w:hAnsi="Times New Roman"/>
        </w:rPr>
      </w:pPr>
      <w:r w:rsidRPr="0EEECE9C">
        <w:rPr>
          <w:rFonts w:ascii="Times New Roman" w:hAnsi="Times New Roman"/>
        </w:rPr>
        <w:t>By addressing these research questions in-depth, we can better understand the effectiveness of Public Health AmeriCorps programs, and examine members’ public health career pathways, civic participation, and commitment to national service. The research questions for the impact evaluation are:</w:t>
      </w:r>
    </w:p>
    <w:p w:rsidR="005561E5" w:rsidP="005561E5" w14:paraId="3F9995BE" w14:textId="25BADF34">
      <w:pPr>
        <w:pStyle w:val="ListParagraph"/>
        <w:numPr>
          <w:ilvl w:val="0"/>
          <w:numId w:val="12"/>
        </w:numPr>
        <w:overflowPunct/>
        <w:autoSpaceDE/>
        <w:autoSpaceDN/>
        <w:adjustRightInd/>
        <w:spacing w:line="257" w:lineRule="auto"/>
        <w:textAlignment w:val="auto"/>
        <w:rPr>
          <w:rFonts w:ascii="Times New Roman" w:hAnsi="Times New Roman"/>
        </w:rPr>
      </w:pPr>
      <w:r>
        <w:rPr>
          <w:rFonts w:ascii="Times New Roman" w:hAnsi="Times New Roman"/>
          <w:color w:val="000000" w:themeColor="text1"/>
        </w:rPr>
        <w:t xml:space="preserve">What is the association between </w:t>
      </w:r>
      <w:r w:rsidRPr="0EEECE9C" w:rsidR="003F51E3">
        <w:rPr>
          <w:rFonts w:ascii="Times New Roman" w:hAnsi="Times New Roman"/>
          <w:color w:val="000000" w:themeColor="text1"/>
        </w:rPr>
        <w:t>participation in P</w:t>
      </w:r>
      <w:r w:rsidRPr="0EEECE9C" w:rsidR="003F51E3">
        <w:rPr>
          <w:rFonts w:ascii="Times New Roman" w:hAnsi="Times New Roman"/>
        </w:rPr>
        <w:t>ublic Health AmeriCorps programs</w:t>
      </w:r>
      <w:r>
        <w:rPr>
          <w:rFonts w:ascii="Times New Roman" w:hAnsi="Times New Roman"/>
        </w:rPr>
        <w:t xml:space="preserve"> and the likelihood of pursuing</w:t>
      </w:r>
      <w:r w:rsidRPr="0EEECE9C" w:rsidR="003F51E3">
        <w:rPr>
          <w:rFonts w:ascii="Times New Roman" w:hAnsi="Times New Roman"/>
        </w:rPr>
        <w:t xml:space="preserve"> public health-related careers?</w:t>
      </w:r>
    </w:p>
    <w:p w:rsidR="005561E5" w:rsidP="005561E5" w14:paraId="0212815B" w14:textId="0830F24D">
      <w:pPr>
        <w:pStyle w:val="ListParagraph"/>
        <w:numPr>
          <w:ilvl w:val="1"/>
          <w:numId w:val="12"/>
        </w:numPr>
        <w:overflowPunct/>
        <w:autoSpaceDE/>
        <w:autoSpaceDN/>
        <w:adjustRightInd/>
        <w:spacing w:line="257" w:lineRule="auto"/>
        <w:textAlignment w:val="auto"/>
        <w:rPr>
          <w:rFonts w:ascii="Times New Roman" w:hAnsi="Times New Roman"/>
          <w:color w:val="000000" w:themeColor="text1"/>
        </w:rPr>
      </w:pPr>
      <w:r>
        <w:rPr>
          <w:rFonts w:ascii="Times New Roman" w:hAnsi="Times New Roman"/>
          <w:color w:val="000000" w:themeColor="text1"/>
        </w:rPr>
        <w:t>What is the contribution of type of</w:t>
      </w:r>
      <w:r w:rsidRPr="00B0056F">
        <w:rPr>
          <w:rFonts w:ascii="Times New Roman" w:hAnsi="Times New Roman"/>
          <w:color w:val="000000" w:themeColor="text1"/>
        </w:rPr>
        <w:t xml:space="preserve"> </w:t>
      </w:r>
      <w:r w:rsidRPr="0EEECE9C" w:rsidR="003F51E3">
        <w:rPr>
          <w:rFonts w:ascii="Times New Roman" w:hAnsi="Times New Roman"/>
        </w:rPr>
        <w:t xml:space="preserve">exposure through onsite </w:t>
      </w:r>
      <w:r>
        <w:rPr>
          <w:rFonts w:ascii="Times New Roman" w:hAnsi="Times New Roman"/>
        </w:rPr>
        <w:t xml:space="preserve">public health service </w:t>
      </w:r>
      <w:r w:rsidRPr="0EEECE9C" w:rsidR="003F51E3">
        <w:rPr>
          <w:rFonts w:ascii="Times New Roman" w:hAnsi="Times New Roman"/>
        </w:rPr>
        <w:t>experience and training?</w:t>
      </w:r>
      <w:r w:rsidRPr="0EEECE9C" w:rsidR="003F51E3">
        <w:rPr>
          <w:rFonts w:ascii="Times New Roman" w:hAnsi="Times New Roman"/>
          <w:color w:val="000000" w:themeColor="text1"/>
        </w:rPr>
        <w:t xml:space="preserve"> </w:t>
      </w:r>
    </w:p>
    <w:p w:rsidR="005561E5" w:rsidRPr="00213E11" w:rsidP="005561E5" w14:paraId="1AF91FAE" w14:textId="63911145">
      <w:pPr>
        <w:pStyle w:val="ListParagraph"/>
        <w:numPr>
          <w:ilvl w:val="0"/>
          <w:numId w:val="12"/>
        </w:numPr>
        <w:overflowPunct/>
        <w:autoSpaceDE/>
        <w:autoSpaceDN/>
        <w:adjustRightInd/>
        <w:spacing w:line="257" w:lineRule="auto"/>
        <w:textAlignment w:val="auto"/>
        <w:rPr>
          <w:rFonts w:ascii="Times New Roman" w:hAnsi="Times New Roman"/>
          <w:color w:val="000000" w:themeColor="text1"/>
        </w:rPr>
      </w:pPr>
      <w:r>
        <w:rPr>
          <w:rFonts w:ascii="Times New Roman" w:hAnsi="Times New Roman"/>
          <w:color w:val="000000" w:themeColor="text1"/>
        </w:rPr>
        <w:t xml:space="preserve">What is the association between </w:t>
      </w:r>
      <w:r w:rsidRPr="0EEECE9C" w:rsidR="003F51E3">
        <w:rPr>
          <w:rFonts w:ascii="Times New Roman" w:hAnsi="Times New Roman"/>
          <w:color w:val="000000" w:themeColor="text1"/>
        </w:rPr>
        <w:t xml:space="preserve">participation in </w:t>
      </w:r>
      <w:r w:rsidRPr="0EEECE9C" w:rsidR="003F51E3">
        <w:rPr>
          <w:rFonts w:ascii="Times New Roman" w:hAnsi="Times New Roman"/>
        </w:rPr>
        <w:t xml:space="preserve">Public Health AmeriCorps program </w:t>
      </w:r>
      <w:r>
        <w:rPr>
          <w:rFonts w:ascii="Times New Roman" w:hAnsi="Times New Roman"/>
        </w:rPr>
        <w:t xml:space="preserve">and the likelihood of </w:t>
      </w:r>
      <w:r w:rsidRPr="0EEECE9C" w:rsidR="003F51E3">
        <w:rPr>
          <w:rFonts w:ascii="Times New Roman" w:hAnsi="Times New Roman"/>
        </w:rPr>
        <w:t>pursu</w:t>
      </w:r>
      <w:r>
        <w:rPr>
          <w:rFonts w:ascii="Times New Roman" w:hAnsi="Times New Roman"/>
        </w:rPr>
        <w:t xml:space="preserve">ing </w:t>
      </w:r>
      <w:r w:rsidRPr="0EEECE9C" w:rsidR="003F51E3">
        <w:rPr>
          <w:rFonts w:ascii="Times New Roman" w:hAnsi="Times New Roman"/>
        </w:rPr>
        <w:t xml:space="preserve">credentials, certifications, or degrees in a public health occupation? </w:t>
      </w:r>
    </w:p>
    <w:p w:rsidR="005561E5" w:rsidP="005561E5" w14:paraId="624122B7" w14:textId="551A7E8D">
      <w:pPr>
        <w:pStyle w:val="ListParagraph"/>
        <w:numPr>
          <w:ilvl w:val="0"/>
          <w:numId w:val="12"/>
        </w:numPr>
        <w:overflowPunct/>
        <w:autoSpaceDE/>
        <w:autoSpaceDN/>
        <w:adjustRightInd/>
        <w:spacing w:line="257" w:lineRule="auto"/>
        <w:textAlignment w:val="auto"/>
        <w:rPr>
          <w:rFonts w:ascii="Times New Roman" w:hAnsi="Times New Roman"/>
          <w:color w:val="000000" w:themeColor="text1"/>
        </w:rPr>
      </w:pPr>
      <w:r w:rsidRPr="00650FAC">
        <w:rPr>
          <w:rStyle w:val="cf01"/>
          <w:rFonts w:ascii="Times New Roman" w:hAnsi="Times New Roman" w:eastAsiaTheme="majorEastAsia" w:cs="Times New Roman"/>
          <w:sz w:val="24"/>
          <w:szCs w:val="24"/>
        </w:rPr>
        <w:t xml:space="preserve">How do public health education and career outcomes </w:t>
      </w:r>
      <w:r>
        <w:rPr>
          <w:rStyle w:val="cf01"/>
          <w:rFonts w:ascii="Times New Roman" w:hAnsi="Times New Roman" w:eastAsiaTheme="majorEastAsia" w:cs="Times New Roman"/>
          <w:sz w:val="24"/>
          <w:szCs w:val="24"/>
        </w:rPr>
        <w:t>differ between</w:t>
      </w:r>
      <w:r w:rsidRPr="00B0056F">
        <w:rPr>
          <w:rStyle w:val="cf01"/>
          <w:rFonts w:ascii="Times New Roman" w:hAnsi="Times New Roman" w:eastAsiaTheme="majorEastAsia"/>
          <w:sz w:val="24"/>
        </w:rPr>
        <w:t xml:space="preserve"> members recruited from the communities </w:t>
      </w:r>
      <w:r>
        <w:rPr>
          <w:rStyle w:val="cf01"/>
          <w:rFonts w:ascii="Times New Roman" w:hAnsi="Times New Roman" w:eastAsiaTheme="majorEastAsia" w:cs="Times New Roman"/>
          <w:sz w:val="24"/>
          <w:szCs w:val="24"/>
        </w:rPr>
        <w:t xml:space="preserve">and members </w:t>
      </w:r>
      <w:r w:rsidRPr="00650FAC">
        <w:rPr>
          <w:rStyle w:val="cf01"/>
          <w:rFonts w:ascii="Times New Roman" w:hAnsi="Times New Roman" w:eastAsiaTheme="majorEastAsia" w:cs="Times New Roman"/>
          <w:sz w:val="24"/>
          <w:szCs w:val="24"/>
        </w:rPr>
        <w:t>are not recruited from the communities</w:t>
      </w:r>
      <w:r w:rsidRPr="00B0056F">
        <w:rPr>
          <w:rStyle w:val="cf01"/>
          <w:rFonts w:ascii="Times New Roman" w:hAnsi="Times New Roman" w:eastAsiaTheme="majorEastAsia"/>
          <w:sz w:val="24"/>
        </w:rPr>
        <w:t xml:space="preserve"> they serve?</w:t>
      </w:r>
      <w:r w:rsidRPr="00B0056F">
        <w:rPr>
          <w:rStyle w:val="cf01"/>
          <w:rFonts w:eastAsiaTheme="majorEastAsia"/>
        </w:rPr>
        <w:t xml:space="preserve"> </w:t>
      </w:r>
      <w:r>
        <w:rPr>
          <w:rStyle w:val="cf01"/>
          <w:rFonts w:eastAsiaTheme="majorEastAsia"/>
        </w:rPr>
        <w:t xml:space="preserve"> </w:t>
      </w:r>
    </w:p>
    <w:p w:rsidR="005561E5" w:rsidRPr="006E6236" w:rsidP="005561E5" w14:paraId="77DDA26A" w14:textId="77777777">
      <w:pPr>
        <w:spacing w:before="240"/>
        <w:rPr>
          <w:b/>
          <w:bCs/>
        </w:rPr>
      </w:pPr>
      <w:r w:rsidRPr="00F526B3">
        <w:rPr>
          <w:b/>
          <w:bCs/>
        </w:rPr>
        <w:t xml:space="preserve">Strength and </w:t>
      </w:r>
      <w:r w:rsidRPr="006E6236">
        <w:rPr>
          <w:b/>
          <w:bCs/>
        </w:rPr>
        <w:t xml:space="preserve">weaknesses </w:t>
      </w:r>
    </w:p>
    <w:p w:rsidR="005561E5" w:rsidRPr="008D1950" w:rsidP="005561E5" w14:paraId="0CACB7D8" w14:textId="77777777">
      <w:pPr>
        <w:spacing w:after="120"/>
        <w:ind w:firstLine="720"/>
        <w:rPr>
          <w:rFonts w:ascii="Times New Roman" w:hAnsi="Times New Roman"/>
          <w:color w:val="0D0D0D"/>
          <w:spacing w:val="2"/>
          <w:highlight w:val="yellow"/>
        </w:rPr>
      </w:pPr>
      <w:r>
        <w:rPr>
          <w:rFonts w:ascii="Times New Roman" w:hAnsi="Times New Roman"/>
          <w:color w:val="0D0D0D"/>
          <w:spacing w:val="2"/>
          <w:szCs w:val="24"/>
        </w:rPr>
        <w:t xml:space="preserve">The information collection through this study demonstrates a </w:t>
      </w:r>
      <w:r>
        <w:rPr>
          <w:rFonts w:ascii="Times New Roman" w:hAnsi="Times New Roman"/>
          <w:color w:val="0D0D0D"/>
          <w:spacing w:val="2"/>
        </w:rPr>
        <w:t>s</w:t>
      </w:r>
      <w:r w:rsidRPr="00F526B3">
        <w:rPr>
          <w:rFonts w:ascii="Times New Roman" w:hAnsi="Times New Roman"/>
          <w:color w:val="0D0D0D"/>
          <w:spacing w:val="2"/>
        </w:rPr>
        <w:t>trength</w:t>
      </w:r>
      <w:r>
        <w:rPr>
          <w:rFonts w:ascii="Times New Roman" w:hAnsi="Times New Roman"/>
          <w:color w:val="0D0D0D"/>
          <w:spacing w:val="2"/>
        </w:rPr>
        <w:t xml:space="preserve">: </w:t>
      </w:r>
      <w:r w:rsidRPr="00F526B3">
        <w:rPr>
          <w:rFonts w:ascii="Times New Roman" w:hAnsi="Times New Roman"/>
          <w:color w:val="0D0D0D"/>
          <w:spacing w:val="2"/>
        </w:rPr>
        <w:t>repeated cross sectional to capture emerging trends in the program’s early stages; the design also incorporate</w:t>
      </w:r>
      <w:r>
        <w:rPr>
          <w:rFonts w:ascii="Times New Roman" w:hAnsi="Times New Roman"/>
          <w:color w:val="0D0D0D"/>
          <w:spacing w:val="2"/>
        </w:rPr>
        <w:t>s</w:t>
      </w:r>
      <w:r w:rsidRPr="00F526B3">
        <w:rPr>
          <w:rFonts w:ascii="Times New Roman" w:hAnsi="Times New Roman"/>
          <w:color w:val="0D0D0D"/>
          <w:spacing w:val="2"/>
        </w:rPr>
        <w:t xml:space="preserve"> a longitudinal component that can capture medium-term outcomes particularly in expanding the public health workforce. </w:t>
      </w:r>
      <w:r w:rsidRPr="009E0EDC">
        <w:rPr>
          <w:rFonts w:ascii="Times New Roman" w:hAnsi="Times New Roman"/>
          <w:szCs w:val="24"/>
        </w:rPr>
        <w:t>The pre/post aspect of the data collection permits the analysis to strengthen the evidence of employment outcome and public health careers post-service. The ability to secure</w:t>
      </w:r>
      <w:r w:rsidRPr="34D2167D">
        <w:rPr>
          <w:rFonts w:ascii="Times New Roman" w:hAnsi="Times New Roman"/>
          <w:szCs w:val="24"/>
        </w:rPr>
        <w:t xml:space="preserve"> public health employment may take time, as some alumni may continue with higher education. It may also take longer to secure public health employment due to external barriers such as general labor market conditions, public health hiring and governmental public health careers, and opportunities in target communities by the public and private health sectors </w:t>
      </w:r>
      <w:r w:rsidRPr="34D2167D">
        <w:rPr>
          <w:rFonts w:ascii="Times New Roman" w:hAnsi="Times New Roman"/>
          <w:szCs w:val="24"/>
        </w:rPr>
        <w:t xml:space="preserve">may be inelastic. The </w:t>
      </w:r>
      <w:r>
        <w:rPr>
          <w:rFonts w:ascii="Times New Roman" w:hAnsi="Times New Roman"/>
          <w:szCs w:val="24"/>
        </w:rPr>
        <w:t>pre/post</w:t>
      </w:r>
      <w:r w:rsidRPr="34D2167D">
        <w:rPr>
          <w:rFonts w:ascii="Times New Roman" w:hAnsi="Times New Roman"/>
          <w:szCs w:val="24"/>
        </w:rPr>
        <w:t xml:space="preserve"> aspect of the data collection allows for a longer time frame to measure alumni’s employment outcomes.</w:t>
      </w:r>
    </w:p>
    <w:p w:rsidR="005561E5" w:rsidRPr="00B0056F" w:rsidP="005561E5" w14:paraId="59158C58" w14:textId="750A3D32">
      <w:pPr>
        <w:widowControl w:val="0"/>
        <w:tabs>
          <w:tab w:val="left" w:pos="360"/>
          <w:tab w:val="left" w:pos="630"/>
          <w:tab w:val="left" w:pos="720"/>
          <w:tab w:val="left" w:pos="1080"/>
        </w:tabs>
        <w:rPr>
          <w:rFonts w:ascii="Times New Roman" w:hAnsi="Times New Roman"/>
          <w:color w:val="0D0D0D"/>
          <w:spacing w:val="2"/>
        </w:rPr>
      </w:pPr>
      <w:r w:rsidRPr="00F526B3">
        <w:rPr>
          <w:rFonts w:ascii="Times New Roman" w:hAnsi="Times New Roman"/>
          <w:color w:val="0D0D0D"/>
          <w:spacing w:val="2"/>
          <w:szCs w:val="24"/>
        </w:rPr>
        <w:t xml:space="preserve">The </w:t>
      </w:r>
      <w:r w:rsidRPr="00F526B3">
        <w:rPr>
          <w:rFonts w:ascii="Times New Roman" w:hAnsi="Times New Roman"/>
          <w:color w:val="0D0D0D"/>
          <w:spacing w:val="2"/>
        </w:rPr>
        <w:t>weakness is that the design cannot identify a comparison or control group to address selection bias. A selection bias may exist if individuals that enroll and complete their term of service were already predisposed to enter the public health workforce. To address this weakness by using benchmark analysis.</w:t>
      </w:r>
      <w:r w:rsidRPr="009E0EDC">
        <w:rPr>
          <w:rFonts w:ascii="Times New Roman" w:hAnsi="Times New Roman"/>
          <w:color w:val="0D0D0D"/>
          <w:spacing w:val="2"/>
        </w:rPr>
        <w:t xml:space="preserve"> </w:t>
      </w:r>
      <w:r w:rsidRPr="009E0EDC">
        <w:rPr>
          <w:rFonts w:ascii="Times New Roman" w:hAnsi="Times New Roman"/>
          <w:szCs w:val="24"/>
        </w:rPr>
        <w:t>The Public</w:t>
      </w:r>
      <w:r w:rsidRPr="54D488CB">
        <w:rPr>
          <w:rFonts w:ascii="Times New Roman" w:hAnsi="Times New Roman"/>
          <w:szCs w:val="24"/>
        </w:rPr>
        <w:t xml:space="preserve"> Health </w:t>
      </w:r>
      <w:r w:rsidRPr="750BF16A">
        <w:rPr>
          <w:rFonts w:ascii="Times New Roman" w:hAnsi="Times New Roman"/>
          <w:szCs w:val="24"/>
        </w:rPr>
        <w:t>AmeriCorps survey data will be benchmarked</w:t>
      </w:r>
      <w:r w:rsidRPr="54D488CB">
        <w:rPr>
          <w:rFonts w:ascii="Times New Roman" w:hAnsi="Times New Roman"/>
          <w:szCs w:val="24"/>
        </w:rPr>
        <w:t xml:space="preserve"> with nationally available and comparable datasets</w:t>
      </w:r>
      <w:r w:rsidRPr="750BF16A">
        <w:rPr>
          <w:rFonts w:ascii="Times New Roman" w:hAnsi="Times New Roman"/>
          <w:szCs w:val="24"/>
        </w:rPr>
        <w:t xml:space="preserve"> to estimate program impacts</w:t>
      </w:r>
      <w:r>
        <w:rPr>
          <w:rFonts w:ascii="Times New Roman" w:hAnsi="Times New Roman"/>
          <w:szCs w:val="24"/>
        </w:rPr>
        <w:t>.</w:t>
      </w:r>
      <w:r w:rsidRPr="54D488CB">
        <w:rPr>
          <w:rFonts w:ascii="Times New Roman" w:hAnsi="Times New Roman"/>
          <w:szCs w:val="24"/>
        </w:rPr>
        <w:t xml:space="preserve"> JBS has identified five potential data sources as shown </w:t>
      </w:r>
      <w:r w:rsidRPr="00044971">
        <w:rPr>
          <w:rFonts w:ascii="Times New Roman" w:hAnsi="Times New Roman"/>
          <w:szCs w:val="24"/>
        </w:rPr>
        <w:t xml:space="preserve">in Table </w:t>
      </w:r>
      <w:r w:rsidR="00397FA1">
        <w:rPr>
          <w:rFonts w:ascii="Times New Roman" w:hAnsi="Times New Roman"/>
          <w:szCs w:val="24"/>
        </w:rPr>
        <w:t>1</w:t>
      </w:r>
      <w:r w:rsidRPr="00044971">
        <w:rPr>
          <w:rFonts w:ascii="Times New Roman" w:hAnsi="Times New Roman"/>
          <w:szCs w:val="24"/>
        </w:rPr>
        <w:t>.</w:t>
      </w:r>
      <w:r w:rsidRPr="54D488CB">
        <w:rPr>
          <w:rFonts w:ascii="Times New Roman" w:hAnsi="Times New Roman"/>
          <w:szCs w:val="24"/>
        </w:rPr>
        <w:t xml:space="preserve"> These data sources include comparable programs that are nationally recognized public health training programs.</w:t>
      </w:r>
      <w:r w:rsidRPr="64E72802">
        <w:rPr>
          <w:rFonts w:ascii="Times New Roman" w:hAnsi="Times New Roman"/>
          <w:b/>
          <w:bCs/>
          <w:i/>
          <w:iCs/>
          <w:szCs w:val="24"/>
        </w:rPr>
        <w:t xml:space="preserve"> </w:t>
      </w:r>
      <w:r w:rsidRPr="54D488CB">
        <w:rPr>
          <w:rFonts w:ascii="Times New Roman" w:hAnsi="Times New Roman"/>
          <w:szCs w:val="24"/>
        </w:rPr>
        <w:t>As part of the benchmarking analysis</w:t>
      </w:r>
      <w:r>
        <w:rPr>
          <w:rFonts w:ascii="Times New Roman" w:hAnsi="Times New Roman"/>
          <w:szCs w:val="24"/>
        </w:rPr>
        <w:t xml:space="preserve"> based on programmatic characteristics</w:t>
      </w:r>
      <w:r w:rsidRPr="54D488CB">
        <w:rPr>
          <w:rFonts w:ascii="Times New Roman" w:hAnsi="Times New Roman"/>
          <w:szCs w:val="24"/>
        </w:rPr>
        <w:t xml:space="preserve">, JBS plans to subset both internal Public Health AmeriCorps data and external benchmarking data based on member characteristics. To ensure </w:t>
      </w:r>
      <w:r>
        <w:rPr>
          <w:rFonts w:ascii="Times New Roman" w:hAnsi="Times New Roman"/>
          <w:szCs w:val="24"/>
        </w:rPr>
        <w:t>valid</w:t>
      </w:r>
      <w:r w:rsidRPr="54D488CB">
        <w:rPr>
          <w:rFonts w:ascii="Times New Roman" w:hAnsi="Times New Roman"/>
          <w:szCs w:val="24"/>
        </w:rPr>
        <w:t xml:space="preserve"> comparison, JBS will </w:t>
      </w:r>
      <w:r>
        <w:rPr>
          <w:rFonts w:ascii="Times New Roman" w:hAnsi="Times New Roman"/>
          <w:szCs w:val="24"/>
        </w:rPr>
        <w:t>use comparable measures from the member survey and the external data sources</w:t>
      </w:r>
      <w:r w:rsidRPr="54D488CB">
        <w:rPr>
          <w:rFonts w:ascii="Times New Roman" w:hAnsi="Times New Roman"/>
          <w:szCs w:val="24"/>
        </w:rPr>
        <w:t>. The benchmarking data may be obtained through surveys, program reports, or publicly available sources.</w:t>
      </w:r>
      <w:r>
        <w:rPr>
          <w:rFonts w:ascii="Times New Roman" w:hAnsi="Times New Roman"/>
          <w:szCs w:val="24"/>
        </w:rPr>
        <w:t xml:space="preserve"> The early exit member survey will be used as a comparison to alumni. </w:t>
      </w:r>
      <w:r w:rsidRPr="3AC7113B">
        <w:rPr>
          <w:rFonts w:ascii="Times New Roman" w:hAnsi="Times New Roman"/>
          <w:szCs w:val="24"/>
        </w:rPr>
        <w:t xml:space="preserve">AmeriCorps Member Exit Survey (MES) is a potential source for benchmark analysis. The MES collects data from all AmeriCorps members on program experience, civic engagement, and commitment to national service and community service. The MES data </w:t>
      </w:r>
      <w:r>
        <w:rPr>
          <w:rFonts w:ascii="Times New Roman" w:hAnsi="Times New Roman"/>
          <w:szCs w:val="24"/>
        </w:rPr>
        <w:t>can</w:t>
      </w:r>
      <w:r w:rsidRPr="3AC7113B">
        <w:rPr>
          <w:rFonts w:ascii="Times New Roman" w:hAnsi="Times New Roman"/>
          <w:szCs w:val="24"/>
        </w:rPr>
        <w:t xml:space="preserve"> be used to compare Public Health AmeriCorps members to other AmeriCorps members on their civic engagement and commitment to national service.</w:t>
      </w:r>
      <w:r>
        <w:rPr>
          <w:rFonts w:ascii="Times New Roman" w:hAnsi="Times New Roman"/>
          <w:color w:val="0D0D0D"/>
          <w:spacing w:val="2"/>
          <w:szCs w:val="24"/>
        </w:rPr>
        <w:tab/>
      </w:r>
    </w:p>
    <w:p w:rsidR="00397FA1" w:rsidP="005561E5" w14:paraId="11F5473B" w14:textId="77777777">
      <w:pPr>
        <w:widowControl w:val="0"/>
        <w:tabs>
          <w:tab w:val="left" w:pos="360"/>
          <w:tab w:val="left" w:pos="630"/>
          <w:tab w:val="left" w:pos="720"/>
          <w:tab w:val="left" w:pos="1080"/>
        </w:tabs>
        <w:rPr>
          <w:rFonts w:ascii="Times New Roman" w:hAnsi="Times New Roman"/>
          <w:u w:val="single"/>
        </w:rPr>
      </w:pPr>
    </w:p>
    <w:p w:rsidR="00397FA1" w14:paraId="274162F8" w14:textId="77777777">
      <w:pPr>
        <w:overflowPunct/>
        <w:autoSpaceDE/>
        <w:autoSpaceDN/>
        <w:adjustRightInd/>
        <w:spacing w:after="160" w:line="259" w:lineRule="auto"/>
        <w:textAlignment w:val="auto"/>
        <w:rPr>
          <w:rFonts w:ascii="Times New Roman" w:hAnsi="Times New Roman"/>
          <w:i/>
          <w:iCs/>
          <w:szCs w:val="24"/>
        </w:rPr>
      </w:pPr>
      <w:r>
        <w:rPr>
          <w:i/>
          <w:iCs/>
        </w:rPr>
        <w:br w:type="page"/>
      </w:r>
    </w:p>
    <w:p w:rsidR="00397FA1" w:rsidRPr="0024348A" w:rsidP="00397FA1" w14:paraId="3B5466ED" w14:textId="3AFA1697">
      <w:pPr>
        <w:pStyle w:val="NormalWeb"/>
        <w:shd w:val="clear" w:color="auto" w:fill="FFFFFF" w:themeFill="background1"/>
        <w:spacing w:before="0" w:beforeAutospacing="0"/>
        <w:rPr>
          <w:i/>
        </w:rPr>
      </w:pPr>
      <w:r>
        <w:rPr>
          <w:i/>
          <w:iCs/>
        </w:rPr>
        <w:t>Table 1. Proposed Benchmark and Comparison Groups.</w:t>
      </w:r>
    </w:p>
    <w:tbl>
      <w:tblPr>
        <w:tblStyle w:val="TableGrid"/>
        <w:tblW w:w="5000" w:type="pct"/>
        <w:tblLook w:val="04A0"/>
      </w:tblPr>
      <w:tblGrid>
        <w:gridCol w:w="1804"/>
        <w:gridCol w:w="2263"/>
        <w:gridCol w:w="2263"/>
        <w:gridCol w:w="3020"/>
      </w:tblGrid>
      <w:tr w14:paraId="004F94C0" w14:textId="77777777" w:rsidTr="003322E7">
        <w:tblPrEx>
          <w:tblW w:w="5000" w:type="pct"/>
          <w:tblLook w:val="04A0"/>
        </w:tblPrEx>
        <w:trPr>
          <w:trHeight w:val="300"/>
        </w:trPr>
        <w:tc>
          <w:tcPr>
            <w:tcW w:w="965" w:type="pct"/>
          </w:tcPr>
          <w:p w:rsidR="00397FA1" w:rsidRPr="00B960AC" w:rsidP="003322E7" w14:paraId="7F8FBC4C" w14:textId="77777777">
            <w:pPr>
              <w:rPr>
                <w:rFonts w:ascii="Times New Roman" w:hAnsi="Times New Roman"/>
                <w:b/>
                <w:bCs/>
              </w:rPr>
            </w:pPr>
            <w:r w:rsidRPr="00B960AC">
              <w:rPr>
                <w:rFonts w:ascii="Times New Roman" w:hAnsi="Times New Roman"/>
                <w:b/>
                <w:bCs/>
              </w:rPr>
              <w:t>Benchmark Data Source</w:t>
            </w:r>
          </w:p>
        </w:tc>
        <w:tc>
          <w:tcPr>
            <w:tcW w:w="1210" w:type="pct"/>
          </w:tcPr>
          <w:p w:rsidR="00397FA1" w:rsidP="003322E7" w14:paraId="4837A1CD" w14:textId="77777777">
            <w:pPr>
              <w:rPr>
                <w:rFonts w:ascii="Times New Roman" w:hAnsi="Times New Roman"/>
                <w:b/>
                <w:bCs/>
              </w:rPr>
            </w:pPr>
            <w:r>
              <w:rPr>
                <w:rFonts w:ascii="Times New Roman" w:hAnsi="Times New Roman"/>
                <w:b/>
                <w:bCs/>
              </w:rPr>
              <w:t xml:space="preserve">Potential </w:t>
            </w:r>
            <w:r w:rsidRPr="00E179FF">
              <w:rPr>
                <w:rFonts w:ascii="Times New Roman" w:hAnsi="Times New Roman"/>
                <w:b/>
                <w:bCs/>
              </w:rPr>
              <w:t>Similarities in Scale</w:t>
            </w:r>
          </w:p>
        </w:tc>
        <w:tc>
          <w:tcPr>
            <w:tcW w:w="1210" w:type="pct"/>
          </w:tcPr>
          <w:p w:rsidR="00397FA1" w:rsidRPr="00B960AC" w:rsidP="003322E7" w14:paraId="1947086C" w14:textId="77777777">
            <w:pPr>
              <w:rPr>
                <w:rFonts w:ascii="Times New Roman" w:hAnsi="Times New Roman"/>
                <w:b/>
                <w:bCs/>
              </w:rPr>
            </w:pPr>
            <w:r w:rsidRPr="00B960AC">
              <w:rPr>
                <w:rFonts w:ascii="Times New Roman" w:hAnsi="Times New Roman"/>
                <w:b/>
                <w:bCs/>
              </w:rPr>
              <w:t>Comparable Research Topic(s)</w:t>
            </w:r>
          </w:p>
        </w:tc>
        <w:tc>
          <w:tcPr>
            <w:tcW w:w="1615" w:type="pct"/>
          </w:tcPr>
          <w:p w:rsidR="00397FA1" w:rsidRPr="00B960AC" w:rsidP="003322E7" w14:paraId="551ACDA2" w14:textId="77777777">
            <w:pPr>
              <w:rPr>
                <w:rFonts w:ascii="Times New Roman" w:hAnsi="Times New Roman"/>
                <w:b/>
                <w:bCs/>
              </w:rPr>
            </w:pPr>
            <w:r w:rsidRPr="00B960AC">
              <w:rPr>
                <w:rFonts w:ascii="Times New Roman" w:hAnsi="Times New Roman"/>
                <w:b/>
                <w:bCs/>
              </w:rPr>
              <w:t>Comparable Research Impact(s)</w:t>
            </w:r>
          </w:p>
        </w:tc>
      </w:tr>
      <w:tr w14:paraId="2EB58D53" w14:textId="77777777" w:rsidTr="003322E7">
        <w:tblPrEx>
          <w:tblW w:w="5000" w:type="pct"/>
          <w:tblLook w:val="04A0"/>
        </w:tblPrEx>
        <w:trPr>
          <w:trHeight w:val="300"/>
        </w:trPr>
        <w:tc>
          <w:tcPr>
            <w:tcW w:w="965" w:type="pct"/>
          </w:tcPr>
          <w:p w:rsidR="00397FA1" w:rsidRPr="00B960AC" w:rsidP="003322E7" w14:paraId="080A3583" w14:textId="77777777">
            <w:pPr>
              <w:rPr>
                <w:rFonts w:ascii="Times New Roman" w:hAnsi="Times New Roman"/>
              </w:rPr>
            </w:pPr>
            <w:r w:rsidRPr="00B960AC">
              <w:rPr>
                <w:rFonts w:ascii="Times New Roman" w:hAnsi="Times New Roman"/>
              </w:rPr>
              <w:t>HRSA Regional Public Health Training Center Network (PHTCN)</w:t>
            </w:r>
          </w:p>
        </w:tc>
        <w:tc>
          <w:tcPr>
            <w:tcW w:w="1210" w:type="pct"/>
          </w:tcPr>
          <w:p w:rsidR="00397FA1" w:rsidRPr="00E179FF" w:rsidP="003322E7" w14:paraId="0AB39911" w14:textId="77777777">
            <w:pPr>
              <w:rPr>
                <w:rFonts w:ascii="Times New Roman" w:hAnsi="Times New Roman"/>
              </w:rPr>
            </w:pPr>
            <w:r w:rsidRPr="00E179FF">
              <w:rPr>
                <w:rFonts w:ascii="Times New Roman" w:hAnsi="Times New Roman"/>
              </w:rPr>
              <w:t>National public health training program that provides field placements</w:t>
            </w:r>
            <w:r>
              <w:rPr>
                <w:rFonts w:ascii="Times New Roman" w:hAnsi="Times New Roman"/>
              </w:rPr>
              <w:t>.</w:t>
            </w:r>
          </w:p>
          <w:p w:rsidR="00397FA1" w:rsidRPr="00E179FF" w:rsidP="003322E7" w14:paraId="2703E50E" w14:textId="77777777">
            <w:pPr>
              <w:rPr>
                <w:rFonts w:ascii="Times New Roman" w:hAnsi="Times New Roman"/>
              </w:rPr>
            </w:pPr>
          </w:p>
          <w:p w:rsidR="00397FA1" w:rsidRPr="00E179FF" w:rsidP="003322E7" w14:paraId="5B770408" w14:textId="77777777">
            <w:pPr>
              <w:rPr>
                <w:rFonts w:ascii="Times New Roman" w:hAnsi="Times New Roman"/>
              </w:rPr>
            </w:pPr>
            <w:r w:rsidRPr="00E179FF">
              <w:rPr>
                <w:rFonts w:ascii="Times New Roman" w:hAnsi="Times New Roman"/>
              </w:rPr>
              <w:t>The program has young adult participants</w:t>
            </w:r>
            <w:r>
              <w:rPr>
                <w:rFonts w:ascii="Times New Roman" w:hAnsi="Times New Roman"/>
              </w:rPr>
              <w:t>.</w:t>
            </w:r>
          </w:p>
          <w:p w:rsidR="00397FA1" w:rsidRPr="00E179FF" w:rsidP="003322E7" w14:paraId="7FE297D2" w14:textId="77777777">
            <w:pPr>
              <w:rPr>
                <w:rFonts w:ascii="Times New Roman" w:hAnsi="Times New Roman"/>
              </w:rPr>
            </w:pPr>
          </w:p>
          <w:p w:rsidR="00397FA1" w:rsidRPr="00E179FF" w:rsidP="003322E7" w14:paraId="32E7493A" w14:textId="77777777">
            <w:pPr>
              <w:rPr>
                <w:rFonts w:ascii="Times New Roman" w:hAnsi="Times New Roman"/>
              </w:rPr>
            </w:pPr>
            <w:r>
              <w:rPr>
                <w:rFonts w:ascii="Times New Roman" w:hAnsi="Times New Roman"/>
              </w:rPr>
              <w:t xml:space="preserve">Some </w:t>
            </w:r>
            <w:r w:rsidRPr="00E179FF">
              <w:rPr>
                <w:rFonts w:ascii="Times New Roman" w:hAnsi="Times New Roman"/>
              </w:rPr>
              <w:t xml:space="preserve">participants </w:t>
            </w:r>
            <w:r>
              <w:rPr>
                <w:rFonts w:ascii="Times New Roman" w:hAnsi="Times New Roman"/>
              </w:rPr>
              <w:t xml:space="preserve">had </w:t>
            </w:r>
            <w:r w:rsidRPr="00E179FF">
              <w:rPr>
                <w:rFonts w:ascii="Times New Roman" w:hAnsi="Times New Roman"/>
              </w:rPr>
              <w:t xml:space="preserve">a </w:t>
            </w:r>
            <w:r>
              <w:rPr>
                <w:rFonts w:ascii="Times New Roman" w:hAnsi="Times New Roman"/>
              </w:rPr>
              <w:t>similar range of</w:t>
            </w:r>
            <w:r w:rsidRPr="00E179FF">
              <w:rPr>
                <w:rFonts w:ascii="Times New Roman" w:hAnsi="Times New Roman"/>
              </w:rPr>
              <w:t xml:space="preserve"> public health work experience before program participation</w:t>
            </w:r>
            <w:r>
              <w:rPr>
                <w:rFonts w:ascii="Times New Roman" w:hAnsi="Times New Roman"/>
              </w:rPr>
              <w:t>.</w:t>
            </w:r>
          </w:p>
          <w:p w:rsidR="00397FA1" w:rsidRPr="00E179FF" w:rsidP="003322E7" w14:paraId="6DF10C4F" w14:textId="77777777">
            <w:pPr>
              <w:rPr>
                <w:rFonts w:ascii="Times New Roman" w:hAnsi="Times New Roman"/>
              </w:rPr>
            </w:pPr>
          </w:p>
          <w:p w:rsidR="00397FA1" w:rsidRPr="00E179FF" w:rsidP="003322E7" w14:paraId="53723586" w14:textId="77777777">
            <w:pPr>
              <w:rPr>
                <w:rFonts w:ascii="Times New Roman" w:hAnsi="Times New Roman"/>
              </w:rPr>
            </w:pPr>
            <w:r>
              <w:rPr>
                <w:rFonts w:ascii="Times New Roman" w:hAnsi="Times New Roman"/>
              </w:rPr>
              <w:t xml:space="preserve">Some </w:t>
            </w:r>
            <w:r w:rsidRPr="00E179FF">
              <w:rPr>
                <w:rFonts w:ascii="Times New Roman" w:hAnsi="Times New Roman"/>
              </w:rPr>
              <w:t xml:space="preserve">participants </w:t>
            </w:r>
            <w:r>
              <w:rPr>
                <w:rFonts w:ascii="Times New Roman" w:hAnsi="Times New Roman"/>
              </w:rPr>
              <w:t>had</w:t>
            </w:r>
            <w:r w:rsidRPr="00E179FF">
              <w:rPr>
                <w:rFonts w:ascii="Times New Roman" w:hAnsi="Times New Roman"/>
              </w:rPr>
              <w:t xml:space="preserve"> a </w:t>
            </w:r>
            <w:r>
              <w:rPr>
                <w:rFonts w:ascii="Times New Roman" w:hAnsi="Times New Roman"/>
              </w:rPr>
              <w:t>similar range</w:t>
            </w:r>
            <w:r w:rsidRPr="00E179FF">
              <w:rPr>
                <w:rFonts w:ascii="Times New Roman" w:hAnsi="Times New Roman"/>
              </w:rPr>
              <w:t xml:space="preserve"> of public health skills</w:t>
            </w:r>
            <w:r>
              <w:rPr>
                <w:rFonts w:ascii="Times New Roman" w:hAnsi="Times New Roman"/>
              </w:rPr>
              <w:t xml:space="preserve"> </w:t>
            </w:r>
            <w:r w:rsidRPr="00E179FF">
              <w:rPr>
                <w:rFonts w:ascii="Times New Roman" w:hAnsi="Times New Roman"/>
              </w:rPr>
              <w:t>/competencies before program participation</w:t>
            </w:r>
            <w:r>
              <w:rPr>
                <w:rFonts w:ascii="Times New Roman" w:hAnsi="Times New Roman"/>
              </w:rPr>
              <w:t>.</w:t>
            </w:r>
          </w:p>
        </w:tc>
        <w:tc>
          <w:tcPr>
            <w:tcW w:w="1210" w:type="pct"/>
          </w:tcPr>
          <w:p w:rsidR="00397FA1" w:rsidRPr="00B960AC" w:rsidP="003322E7" w14:paraId="5F7C3536" w14:textId="77777777">
            <w:pPr>
              <w:rPr>
                <w:rFonts w:ascii="Times New Roman" w:hAnsi="Times New Roman"/>
              </w:rPr>
            </w:pPr>
            <w:r w:rsidRPr="00B960AC">
              <w:rPr>
                <w:rFonts w:ascii="Times New Roman" w:hAnsi="Times New Roman"/>
              </w:rPr>
              <w:t>Individual employment in the public health workforce after program completion</w:t>
            </w:r>
            <w:r>
              <w:rPr>
                <w:rFonts w:ascii="Times New Roman" w:hAnsi="Times New Roman"/>
              </w:rPr>
              <w:t>.</w:t>
            </w:r>
          </w:p>
        </w:tc>
        <w:tc>
          <w:tcPr>
            <w:tcW w:w="1615" w:type="pct"/>
          </w:tcPr>
          <w:p w:rsidR="00397FA1" w:rsidRPr="00B960AC" w:rsidP="003322E7" w14:paraId="3B124929" w14:textId="77777777">
            <w:pPr>
              <w:rPr>
                <w:rFonts w:ascii="Times New Roman" w:hAnsi="Times New Roman"/>
              </w:rPr>
            </w:pPr>
            <w:r w:rsidRPr="00B960AC">
              <w:rPr>
                <w:rFonts w:ascii="Times New Roman" w:hAnsi="Times New Roman"/>
              </w:rPr>
              <w:t>Increasing the size and diversity of the public health workforce</w:t>
            </w:r>
            <w:r>
              <w:rPr>
                <w:rFonts w:ascii="Times New Roman" w:hAnsi="Times New Roman"/>
              </w:rPr>
              <w:t>.</w:t>
            </w:r>
          </w:p>
          <w:p w:rsidR="00397FA1" w:rsidRPr="00B960AC" w:rsidP="003322E7" w14:paraId="478D7CFD" w14:textId="77777777">
            <w:pPr>
              <w:rPr>
                <w:rFonts w:ascii="Times New Roman" w:hAnsi="Times New Roman"/>
              </w:rPr>
            </w:pPr>
          </w:p>
          <w:p w:rsidR="00397FA1" w:rsidRPr="00B960AC" w:rsidP="003322E7" w14:paraId="1A00E09C" w14:textId="77777777">
            <w:pPr>
              <w:rPr>
                <w:rFonts w:ascii="Times New Roman" w:hAnsi="Times New Roman"/>
              </w:rPr>
            </w:pPr>
          </w:p>
        </w:tc>
      </w:tr>
      <w:tr w14:paraId="2FECA0D1" w14:textId="77777777" w:rsidTr="003322E7">
        <w:tblPrEx>
          <w:tblW w:w="5000" w:type="pct"/>
          <w:tblLook w:val="04A0"/>
        </w:tblPrEx>
        <w:trPr>
          <w:trHeight w:val="300"/>
        </w:trPr>
        <w:tc>
          <w:tcPr>
            <w:tcW w:w="965" w:type="pct"/>
          </w:tcPr>
          <w:p w:rsidR="00397FA1" w:rsidRPr="00B960AC" w:rsidP="003322E7" w14:paraId="05FB7C07" w14:textId="77777777">
            <w:pPr>
              <w:rPr>
                <w:rFonts w:ascii="Times New Roman" w:hAnsi="Times New Roman"/>
              </w:rPr>
            </w:pPr>
            <w:r w:rsidRPr="00B960AC">
              <w:rPr>
                <w:rFonts w:ascii="Times New Roman" w:hAnsi="Times New Roman"/>
              </w:rPr>
              <w:t>Association of Schools and Programs of Public Health (ASPPH)</w:t>
            </w:r>
          </w:p>
        </w:tc>
        <w:tc>
          <w:tcPr>
            <w:tcW w:w="1210" w:type="pct"/>
          </w:tcPr>
          <w:p w:rsidR="00397FA1" w:rsidRPr="00E179FF" w:rsidP="003322E7" w14:paraId="1BD1C7FA" w14:textId="77777777">
            <w:pPr>
              <w:rPr>
                <w:rFonts w:ascii="Times New Roman" w:hAnsi="Times New Roman"/>
              </w:rPr>
            </w:pPr>
            <w:r w:rsidRPr="00E179FF">
              <w:rPr>
                <w:rFonts w:ascii="Times New Roman" w:hAnsi="Times New Roman"/>
              </w:rPr>
              <w:t>National program</w:t>
            </w:r>
          </w:p>
          <w:p w:rsidR="00397FA1" w:rsidRPr="00E179FF" w:rsidP="003322E7" w14:paraId="59F17478" w14:textId="77777777">
            <w:pPr>
              <w:rPr>
                <w:rFonts w:ascii="Times New Roman" w:hAnsi="Times New Roman"/>
              </w:rPr>
            </w:pPr>
          </w:p>
          <w:p w:rsidR="00397FA1" w:rsidRPr="00E179FF" w:rsidP="003322E7" w14:paraId="1F0E17B5" w14:textId="77777777">
            <w:pPr>
              <w:rPr>
                <w:rFonts w:ascii="Times New Roman" w:hAnsi="Times New Roman"/>
              </w:rPr>
            </w:pPr>
            <w:r w:rsidRPr="00E179FF">
              <w:rPr>
                <w:rFonts w:ascii="Times New Roman" w:hAnsi="Times New Roman"/>
              </w:rPr>
              <w:t>A portion of the graduating classes are young adults</w:t>
            </w:r>
            <w:r>
              <w:rPr>
                <w:rFonts w:ascii="Times New Roman" w:hAnsi="Times New Roman"/>
              </w:rPr>
              <w:t>.</w:t>
            </w:r>
          </w:p>
          <w:p w:rsidR="00397FA1" w:rsidRPr="00E179FF" w:rsidP="003322E7" w14:paraId="7AB034BF" w14:textId="77777777">
            <w:pPr>
              <w:rPr>
                <w:rFonts w:ascii="Times New Roman" w:hAnsi="Times New Roman"/>
              </w:rPr>
            </w:pPr>
          </w:p>
          <w:p w:rsidR="00397FA1" w:rsidRPr="00E179FF" w:rsidP="003322E7" w14:paraId="54E473DA" w14:textId="77777777">
            <w:pPr>
              <w:rPr>
                <w:rFonts w:ascii="Times New Roman" w:hAnsi="Times New Roman"/>
              </w:rPr>
            </w:pPr>
            <w:r>
              <w:rPr>
                <w:rFonts w:ascii="Times New Roman" w:hAnsi="Times New Roman"/>
              </w:rPr>
              <w:t>Some</w:t>
            </w:r>
            <w:r w:rsidRPr="00E179FF">
              <w:rPr>
                <w:rFonts w:ascii="Times New Roman" w:hAnsi="Times New Roman"/>
              </w:rPr>
              <w:t xml:space="preserve"> graduates </w:t>
            </w:r>
            <w:r>
              <w:rPr>
                <w:rFonts w:ascii="Times New Roman" w:hAnsi="Times New Roman"/>
              </w:rPr>
              <w:t>had a similar range</w:t>
            </w:r>
            <w:r w:rsidRPr="00E179FF">
              <w:rPr>
                <w:rFonts w:ascii="Times New Roman" w:hAnsi="Times New Roman"/>
              </w:rPr>
              <w:t xml:space="preserve"> of public health work experience before program participation</w:t>
            </w:r>
            <w:r>
              <w:rPr>
                <w:rFonts w:ascii="Times New Roman" w:hAnsi="Times New Roman"/>
              </w:rPr>
              <w:t>.</w:t>
            </w:r>
          </w:p>
          <w:p w:rsidR="00397FA1" w:rsidRPr="00E179FF" w:rsidP="003322E7" w14:paraId="5B3D64C2" w14:textId="77777777">
            <w:pPr>
              <w:rPr>
                <w:rFonts w:ascii="Times New Roman" w:hAnsi="Times New Roman"/>
              </w:rPr>
            </w:pPr>
          </w:p>
          <w:p w:rsidR="00397FA1" w:rsidRPr="00E179FF" w:rsidP="003322E7" w14:paraId="5D4F5C43" w14:textId="77777777">
            <w:pPr>
              <w:rPr>
                <w:rFonts w:ascii="Times New Roman" w:hAnsi="Times New Roman"/>
              </w:rPr>
            </w:pPr>
            <w:r>
              <w:rPr>
                <w:rFonts w:ascii="Times New Roman" w:hAnsi="Times New Roman"/>
              </w:rPr>
              <w:t xml:space="preserve">Some </w:t>
            </w:r>
            <w:r w:rsidRPr="00E179FF">
              <w:rPr>
                <w:rFonts w:ascii="Times New Roman" w:hAnsi="Times New Roman"/>
              </w:rPr>
              <w:t>graduates ha</w:t>
            </w:r>
            <w:r>
              <w:rPr>
                <w:rFonts w:ascii="Times New Roman" w:hAnsi="Times New Roman"/>
              </w:rPr>
              <w:t>d</w:t>
            </w:r>
            <w:r w:rsidRPr="00E179FF">
              <w:rPr>
                <w:rFonts w:ascii="Times New Roman" w:hAnsi="Times New Roman"/>
              </w:rPr>
              <w:t xml:space="preserve"> a </w:t>
            </w:r>
            <w:r>
              <w:rPr>
                <w:rFonts w:ascii="Times New Roman" w:hAnsi="Times New Roman"/>
              </w:rPr>
              <w:t>similar range</w:t>
            </w:r>
            <w:r w:rsidRPr="00E179FF">
              <w:rPr>
                <w:rFonts w:ascii="Times New Roman" w:hAnsi="Times New Roman"/>
              </w:rPr>
              <w:t xml:space="preserve"> of public health skills/competencies before program participation</w:t>
            </w:r>
            <w:r>
              <w:rPr>
                <w:rFonts w:ascii="Times New Roman" w:hAnsi="Times New Roman"/>
              </w:rPr>
              <w:t>.</w:t>
            </w:r>
          </w:p>
        </w:tc>
        <w:tc>
          <w:tcPr>
            <w:tcW w:w="1210" w:type="pct"/>
          </w:tcPr>
          <w:p w:rsidR="00397FA1" w:rsidRPr="00B960AC" w:rsidP="003322E7" w14:paraId="489364DC" w14:textId="77777777">
            <w:pPr>
              <w:rPr>
                <w:rFonts w:ascii="Times New Roman" w:hAnsi="Times New Roman"/>
              </w:rPr>
            </w:pPr>
            <w:r w:rsidRPr="00B960AC">
              <w:rPr>
                <w:rFonts w:ascii="Times New Roman" w:hAnsi="Times New Roman"/>
              </w:rPr>
              <w:t>Individual employment in the public health workforce after program completion</w:t>
            </w:r>
            <w:r>
              <w:rPr>
                <w:rFonts w:ascii="Times New Roman" w:hAnsi="Times New Roman"/>
              </w:rPr>
              <w:t>.</w:t>
            </w:r>
          </w:p>
        </w:tc>
        <w:tc>
          <w:tcPr>
            <w:tcW w:w="1615" w:type="pct"/>
          </w:tcPr>
          <w:p w:rsidR="00397FA1" w:rsidRPr="00B960AC" w:rsidP="003322E7" w14:paraId="599122B0" w14:textId="77777777">
            <w:pPr>
              <w:rPr>
                <w:rFonts w:ascii="Times New Roman" w:hAnsi="Times New Roman"/>
              </w:rPr>
            </w:pPr>
            <w:r w:rsidRPr="00B960AC">
              <w:rPr>
                <w:rFonts w:ascii="Times New Roman" w:hAnsi="Times New Roman"/>
              </w:rPr>
              <w:t>Increasing the size of the public health workforce</w:t>
            </w:r>
            <w:r>
              <w:rPr>
                <w:rFonts w:ascii="Times New Roman" w:hAnsi="Times New Roman"/>
              </w:rPr>
              <w:t>.</w:t>
            </w:r>
          </w:p>
        </w:tc>
      </w:tr>
      <w:tr w14:paraId="4602D802" w14:textId="77777777" w:rsidTr="003322E7">
        <w:tblPrEx>
          <w:tblW w:w="5000" w:type="pct"/>
          <w:tblLook w:val="04A0"/>
        </w:tblPrEx>
        <w:trPr>
          <w:trHeight w:val="300"/>
        </w:trPr>
        <w:tc>
          <w:tcPr>
            <w:tcW w:w="965" w:type="pct"/>
          </w:tcPr>
          <w:p w:rsidR="00397FA1" w:rsidRPr="00B960AC" w:rsidP="003322E7" w14:paraId="23E23477" w14:textId="77777777">
            <w:pPr>
              <w:rPr>
                <w:rFonts w:ascii="Times New Roman" w:hAnsi="Times New Roman"/>
              </w:rPr>
            </w:pPr>
            <w:r w:rsidRPr="00B960AC">
              <w:rPr>
                <w:rFonts w:ascii="Times New Roman" w:hAnsi="Times New Roman"/>
              </w:rPr>
              <w:t>CDC Undergraduate Public Health Scholars Program (CUPS)</w:t>
            </w:r>
          </w:p>
        </w:tc>
        <w:tc>
          <w:tcPr>
            <w:tcW w:w="1210" w:type="pct"/>
          </w:tcPr>
          <w:p w:rsidR="00397FA1" w:rsidRPr="00E179FF" w:rsidP="003322E7" w14:paraId="38037819" w14:textId="77777777">
            <w:pPr>
              <w:rPr>
                <w:rFonts w:ascii="Times New Roman" w:hAnsi="Times New Roman"/>
              </w:rPr>
            </w:pPr>
            <w:r w:rsidRPr="00E179FF">
              <w:rPr>
                <w:rFonts w:ascii="Times New Roman" w:hAnsi="Times New Roman"/>
              </w:rPr>
              <w:t>National public health training program that provides field placements</w:t>
            </w:r>
            <w:r>
              <w:rPr>
                <w:rFonts w:ascii="Times New Roman" w:hAnsi="Times New Roman"/>
              </w:rPr>
              <w:t>.</w:t>
            </w:r>
          </w:p>
          <w:p w:rsidR="00397FA1" w:rsidRPr="00E179FF" w:rsidP="003322E7" w14:paraId="782319C4" w14:textId="77777777">
            <w:pPr>
              <w:rPr>
                <w:rFonts w:ascii="Times New Roman" w:hAnsi="Times New Roman"/>
              </w:rPr>
            </w:pPr>
          </w:p>
          <w:p w:rsidR="00397FA1" w:rsidRPr="00E179FF" w:rsidP="003322E7" w14:paraId="75A0675D" w14:textId="77777777">
            <w:pPr>
              <w:rPr>
                <w:rFonts w:ascii="Times New Roman" w:hAnsi="Times New Roman"/>
              </w:rPr>
            </w:pPr>
            <w:r w:rsidRPr="00E179FF">
              <w:rPr>
                <w:rFonts w:ascii="Times New Roman" w:hAnsi="Times New Roman"/>
              </w:rPr>
              <w:t>The program has young adult participants</w:t>
            </w:r>
            <w:r>
              <w:rPr>
                <w:rFonts w:ascii="Times New Roman" w:hAnsi="Times New Roman"/>
              </w:rPr>
              <w:t>.</w:t>
            </w:r>
          </w:p>
          <w:p w:rsidR="00397FA1" w:rsidP="003322E7" w14:paraId="25AA6208" w14:textId="77777777">
            <w:pPr>
              <w:rPr>
                <w:rFonts w:ascii="Times New Roman" w:hAnsi="Times New Roman"/>
              </w:rPr>
            </w:pPr>
          </w:p>
          <w:p w:rsidR="00397FA1" w:rsidRPr="00E179FF" w:rsidP="003322E7" w14:paraId="147FA181" w14:textId="77777777">
            <w:pPr>
              <w:rPr>
                <w:rFonts w:ascii="Times New Roman" w:hAnsi="Times New Roman"/>
              </w:rPr>
            </w:pPr>
            <w:r>
              <w:rPr>
                <w:rFonts w:ascii="Times New Roman" w:hAnsi="Times New Roman"/>
              </w:rPr>
              <w:t>P</w:t>
            </w:r>
            <w:r w:rsidRPr="00E179FF">
              <w:rPr>
                <w:rFonts w:ascii="Times New Roman" w:hAnsi="Times New Roman"/>
              </w:rPr>
              <w:t xml:space="preserve">articipants </w:t>
            </w:r>
            <w:r>
              <w:rPr>
                <w:rFonts w:ascii="Times New Roman" w:hAnsi="Times New Roman"/>
              </w:rPr>
              <w:t xml:space="preserve">had a similar range </w:t>
            </w:r>
            <w:r w:rsidRPr="00E179FF">
              <w:rPr>
                <w:rFonts w:ascii="Times New Roman" w:hAnsi="Times New Roman"/>
              </w:rPr>
              <w:t>of public health work experience before program participation</w:t>
            </w:r>
            <w:r>
              <w:rPr>
                <w:rFonts w:ascii="Times New Roman" w:hAnsi="Times New Roman"/>
              </w:rPr>
              <w:t>.</w:t>
            </w:r>
          </w:p>
          <w:p w:rsidR="00397FA1" w:rsidRPr="00E179FF" w:rsidP="003322E7" w14:paraId="7F63881C" w14:textId="77777777">
            <w:pPr>
              <w:rPr>
                <w:rFonts w:ascii="Times New Roman" w:hAnsi="Times New Roman"/>
              </w:rPr>
            </w:pPr>
          </w:p>
          <w:p w:rsidR="00397FA1" w:rsidRPr="00E179FF" w:rsidP="003322E7" w14:paraId="2869877E" w14:textId="77777777">
            <w:pPr>
              <w:rPr>
                <w:rFonts w:ascii="Times New Roman" w:hAnsi="Times New Roman"/>
              </w:rPr>
            </w:pPr>
            <w:r>
              <w:rPr>
                <w:rFonts w:ascii="Times New Roman" w:hAnsi="Times New Roman"/>
              </w:rPr>
              <w:t>P</w:t>
            </w:r>
            <w:r w:rsidRPr="004D2F77">
              <w:rPr>
                <w:rFonts w:ascii="Times New Roman" w:hAnsi="Times New Roman"/>
              </w:rPr>
              <w:t xml:space="preserve">articipants </w:t>
            </w:r>
            <w:r>
              <w:rPr>
                <w:rFonts w:ascii="Times New Roman" w:hAnsi="Times New Roman"/>
              </w:rPr>
              <w:t xml:space="preserve">had a similar range </w:t>
            </w:r>
            <w:r w:rsidRPr="00E179FF">
              <w:rPr>
                <w:rFonts w:ascii="Times New Roman" w:hAnsi="Times New Roman"/>
              </w:rPr>
              <w:t>of public health skills/competencies before program participation</w:t>
            </w:r>
            <w:r>
              <w:rPr>
                <w:rFonts w:ascii="Times New Roman" w:hAnsi="Times New Roman"/>
              </w:rPr>
              <w:t>.</w:t>
            </w:r>
          </w:p>
        </w:tc>
        <w:tc>
          <w:tcPr>
            <w:tcW w:w="1210" w:type="pct"/>
          </w:tcPr>
          <w:p w:rsidR="00397FA1" w:rsidRPr="00B960AC" w:rsidP="003322E7" w14:paraId="737FC736" w14:textId="77777777">
            <w:pPr>
              <w:rPr>
                <w:rFonts w:ascii="Times New Roman" w:hAnsi="Times New Roman"/>
              </w:rPr>
            </w:pPr>
            <w:r w:rsidRPr="00B960AC">
              <w:rPr>
                <w:rFonts w:ascii="Times New Roman" w:hAnsi="Times New Roman"/>
              </w:rPr>
              <w:t>Individual employment in the public health workforce after program completion</w:t>
            </w:r>
            <w:r>
              <w:rPr>
                <w:rFonts w:ascii="Times New Roman" w:hAnsi="Times New Roman"/>
              </w:rPr>
              <w:t>.</w:t>
            </w:r>
          </w:p>
          <w:p w:rsidR="00397FA1" w:rsidRPr="00B960AC" w:rsidP="003322E7" w14:paraId="080A45AD" w14:textId="77777777">
            <w:pPr>
              <w:rPr>
                <w:rFonts w:ascii="Times New Roman" w:hAnsi="Times New Roman"/>
              </w:rPr>
            </w:pPr>
          </w:p>
          <w:p w:rsidR="00397FA1" w:rsidRPr="00B960AC" w:rsidP="003322E7" w14:paraId="0D1FB66C" w14:textId="77777777">
            <w:pPr>
              <w:rPr>
                <w:rFonts w:ascii="Times New Roman" w:hAnsi="Times New Roman"/>
              </w:rPr>
            </w:pPr>
            <w:r w:rsidRPr="00B960AC">
              <w:rPr>
                <w:rFonts w:ascii="Times New Roman" w:hAnsi="Times New Roman"/>
              </w:rPr>
              <w:t>Individual enrollment in a public health graduate program after program completion</w:t>
            </w:r>
            <w:r>
              <w:rPr>
                <w:rFonts w:ascii="Times New Roman" w:hAnsi="Times New Roman"/>
              </w:rPr>
              <w:t>.</w:t>
            </w:r>
          </w:p>
          <w:p w:rsidR="00397FA1" w:rsidRPr="00B960AC" w:rsidP="003322E7" w14:paraId="14A60608" w14:textId="77777777">
            <w:pPr>
              <w:rPr>
                <w:rFonts w:ascii="Times New Roman" w:hAnsi="Times New Roman"/>
              </w:rPr>
            </w:pPr>
          </w:p>
        </w:tc>
        <w:tc>
          <w:tcPr>
            <w:tcW w:w="1615" w:type="pct"/>
          </w:tcPr>
          <w:p w:rsidR="00397FA1" w:rsidRPr="00B960AC" w:rsidP="003322E7" w14:paraId="40422E9B" w14:textId="77777777">
            <w:pPr>
              <w:rPr>
                <w:rFonts w:ascii="Times New Roman" w:hAnsi="Times New Roman"/>
              </w:rPr>
            </w:pPr>
            <w:r w:rsidRPr="00B960AC">
              <w:rPr>
                <w:rFonts w:ascii="Times New Roman" w:hAnsi="Times New Roman"/>
              </w:rPr>
              <w:t>Increasing the size and diversity of the public health workforce</w:t>
            </w:r>
            <w:r>
              <w:rPr>
                <w:rFonts w:ascii="Times New Roman" w:hAnsi="Times New Roman"/>
              </w:rPr>
              <w:t>.</w:t>
            </w:r>
          </w:p>
        </w:tc>
      </w:tr>
      <w:tr w14:paraId="782BCF34" w14:textId="77777777" w:rsidTr="003322E7">
        <w:tblPrEx>
          <w:tblW w:w="5000" w:type="pct"/>
          <w:tblLook w:val="04A0"/>
        </w:tblPrEx>
        <w:trPr>
          <w:trHeight w:val="300"/>
        </w:trPr>
        <w:tc>
          <w:tcPr>
            <w:tcW w:w="965" w:type="pct"/>
          </w:tcPr>
          <w:p w:rsidR="00397FA1" w:rsidRPr="00B960AC" w:rsidP="003322E7" w14:paraId="7625AD8C" w14:textId="77777777">
            <w:pPr>
              <w:rPr>
                <w:rFonts w:ascii="Times New Roman" w:hAnsi="Times New Roman"/>
              </w:rPr>
            </w:pPr>
            <w:r w:rsidRPr="00B960AC">
              <w:rPr>
                <w:rFonts w:ascii="Times New Roman" w:hAnsi="Times New Roman"/>
              </w:rPr>
              <w:t>CDC Public Health Associate Program (PHAP)</w:t>
            </w:r>
          </w:p>
        </w:tc>
        <w:tc>
          <w:tcPr>
            <w:tcW w:w="1210" w:type="pct"/>
          </w:tcPr>
          <w:p w:rsidR="00397FA1" w:rsidRPr="00E179FF" w:rsidP="003322E7" w14:paraId="1E7FD87C" w14:textId="77777777">
            <w:pPr>
              <w:rPr>
                <w:rFonts w:ascii="Times New Roman" w:hAnsi="Times New Roman"/>
              </w:rPr>
            </w:pPr>
            <w:r w:rsidRPr="00E179FF">
              <w:rPr>
                <w:rFonts w:ascii="Times New Roman" w:hAnsi="Times New Roman"/>
              </w:rPr>
              <w:t>National public health training program that provides field placements</w:t>
            </w:r>
            <w:r>
              <w:rPr>
                <w:rFonts w:ascii="Times New Roman" w:hAnsi="Times New Roman"/>
              </w:rPr>
              <w:t>.</w:t>
            </w:r>
          </w:p>
          <w:p w:rsidR="00397FA1" w:rsidRPr="00E179FF" w:rsidP="003322E7" w14:paraId="29A0D401" w14:textId="77777777">
            <w:pPr>
              <w:rPr>
                <w:rFonts w:ascii="Times New Roman" w:hAnsi="Times New Roman"/>
              </w:rPr>
            </w:pPr>
          </w:p>
          <w:p w:rsidR="00397FA1" w:rsidRPr="00E179FF" w:rsidP="003322E7" w14:paraId="19F204BB" w14:textId="77777777">
            <w:pPr>
              <w:rPr>
                <w:rFonts w:ascii="Times New Roman" w:hAnsi="Times New Roman"/>
              </w:rPr>
            </w:pPr>
            <w:r w:rsidRPr="00E179FF">
              <w:rPr>
                <w:rFonts w:ascii="Times New Roman" w:hAnsi="Times New Roman"/>
              </w:rPr>
              <w:t>Young adult participants</w:t>
            </w:r>
          </w:p>
          <w:p w:rsidR="00397FA1" w:rsidRPr="00E179FF" w:rsidP="003322E7" w14:paraId="74AC2FA7" w14:textId="77777777">
            <w:pPr>
              <w:rPr>
                <w:rFonts w:ascii="Times New Roman" w:hAnsi="Times New Roman"/>
              </w:rPr>
            </w:pPr>
          </w:p>
          <w:p w:rsidR="00397FA1" w:rsidRPr="00E179FF" w:rsidP="003322E7" w14:paraId="0CAD22F1" w14:textId="77777777">
            <w:pPr>
              <w:rPr>
                <w:rFonts w:ascii="Times New Roman" w:hAnsi="Times New Roman"/>
              </w:rPr>
            </w:pPr>
            <w:r>
              <w:rPr>
                <w:rFonts w:ascii="Times New Roman" w:hAnsi="Times New Roman"/>
              </w:rPr>
              <w:t>P</w:t>
            </w:r>
            <w:r w:rsidRPr="00E179FF">
              <w:rPr>
                <w:rFonts w:ascii="Times New Roman" w:hAnsi="Times New Roman"/>
              </w:rPr>
              <w:t>articipants ha</w:t>
            </w:r>
            <w:r>
              <w:rPr>
                <w:rFonts w:ascii="Times New Roman" w:hAnsi="Times New Roman"/>
              </w:rPr>
              <w:t>d</w:t>
            </w:r>
            <w:r w:rsidRPr="00E179FF">
              <w:rPr>
                <w:rFonts w:ascii="Times New Roman" w:hAnsi="Times New Roman"/>
              </w:rPr>
              <w:t xml:space="preserve"> a </w:t>
            </w:r>
            <w:r>
              <w:rPr>
                <w:rFonts w:ascii="Times New Roman" w:hAnsi="Times New Roman"/>
              </w:rPr>
              <w:t>similar range</w:t>
            </w:r>
            <w:r w:rsidRPr="00E179FF">
              <w:rPr>
                <w:rFonts w:ascii="Times New Roman" w:hAnsi="Times New Roman"/>
              </w:rPr>
              <w:t xml:space="preserve"> of public health work experience before program participation</w:t>
            </w:r>
            <w:r>
              <w:rPr>
                <w:rFonts w:ascii="Times New Roman" w:hAnsi="Times New Roman"/>
              </w:rPr>
              <w:t>.</w:t>
            </w:r>
          </w:p>
          <w:p w:rsidR="00397FA1" w:rsidRPr="00E179FF" w:rsidP="003322E7" w14:paraId="69222208" w14:textId="77777777">
            <w:pPr>
              <w:rPr>
                <w:rFonts w:ascii="Times New Roman" w:hAnsi="Times New Roman"/>
              </w:rPr>
            </w:pPr>
          </w:p>
          <w:p w:rsidR="00397FA1" w:rsidRPr="00E179FF" w:rsidP="003322E7" w14:paraId="5D808CBC" w14:textId="77777777">
            <w:pPr>
              <w:rPr>
                <w:rFonts w:ascii="Times New Roman" w:hAnsi="Times New Roman"/>
              </w:rPr>
            </w:pPr>
            <w:r>
              <w:rPr>
                <w:rFonts w:ascii="Times New Roman" w:hAnsi="Times New Roman"/>
              </w:rPr>
              <w:t>P</w:t>
            </w:r>
            <w:r w:rsidRPr="00E179FF">
              <w:rPr>
                <w:rFonts w:ascii="Times New Roman" w:hAnsi="Times New Roman"/>
              </w:rPr>
              <w:t xml:space="preserve">articipants may </w:t>
            </w:r>
            <w:r w:rsidRPr="22B39F4E">
              <w:rPr>
                <w:rFonts w:ascii="Times New Roman" w:hAnsi="Times New Roman"/>
              </w:rPr>
              <w:t>have</w:t>
            </w:r>
            <w:r>
              <w:rPr>
                <w:rFonts w:ascii="Times New Roman" w:hAnsi="Times New Roman"/>
              </w:rPr>
              <w:t xml:space="preserve"> </w:t>
            </w:r>
            <w:r w:rsidRPr="00E179FF">
              <w:rPr>
                <w:rFonts w:ascii="Times New Roman" w:hAnsi="Times New Roman"/>
              </w:rPr>
              <w:t xml:space="preserve">a </w:t>
            </w:r>
            <w:r>
              <w:rPr>
                <w:rFonts w:ascii="Times New Roman" w:hAnsi="Times New Roman"/>
              </w:rPr>
              <w:t>similar range</w:t>
            </w:r>
            <w:r w:rsidRPr="00E179FF">
              <w:rPr>
                <w:rFonts w:ascii="Times New Roman" w:hAnsi="Times New Roman"/>
              </w:rPr>
              <w:t xml:space="preserve"> of public health skills/competencies before program participation</w:t>
            </w:r>
            <w:r>
              <w:rPr>
                <w:rFonts w:ascii="Times New Roman" w:hAnsi="Times New Roman"/>
              </w:rPr>
              <w:t>.</w:t>
            </w:r>
          </w:p>
        </w:tc>
        <w:tc>
          <w:tcPr>
            <w:tcW w:w="1210" w:type="pct"/>
          </w:tcPr>
          <w:p w:rsidR="00397FA1" w:rsidRPr="00E179FF" w:rsidP="003322E7" w14:paraId="27A3DD7E" w14:textId="77777777">
            <w:pPr>
              <w:rPr>
                <w:rFonts w:ascii="Times New Roman" w:hAnsi="Times New Roman"/>
              </w:rPr>
            </w:pPr>
            <w:r w:rsidRPr="00E179FF">
              <w:rPr>
                <w:rFonts w:ascii="Times New Roman" w:hAnsi="Times New Roman"/>
              </w:rPr>
              <w:t>Individual employment in the public health workforce after program completion</w:t>
            </w:r>
            <w:r>
              <w:rPr>
                <w:rFonts w:ascii="Times New Roman" w:hAnsi="Times New Roman"/>
              </w:rPr>
              <w:t>.</w:t>
            </w:r>
          </w:p>
          <w:p w:rsidR="00397FA1" w:rsidRPr="00E179FF" w:rsidP="003322E7" w14:paraId="5474F267" w14:textId="77777777">
            <w:pPr>
              <w:rPr>
                <w:rFonts w:ascii="Times New Roman" w:hAnsi="Times New Roman"/>
              </w:rPr>
            </w:pPr>
          </w:p>
          <w:p w:rsidR="00397FA1" w:rsidRPr="00E179FF" w:rsidP="003322E7" w14:paraId="25844C23" w14:textId="77777777">
            <w:pPr>
              <w:rPr>
                <w:rFonts w:ascii="Times New Roman" w:hAnsi="Times New Roman"/>
              </w:rPr>
            </w:pPr>
            <w:r w:rsidRPr="00E179FF">
              <w:rPr>
                <w:rFonts w:ascii="Times New Roman" w:hAnsi="Times New Roman"/>
              </w:rPr>
              <w:t>Individual enrollment in a public health graduate program after program completion</w:t>
            </w:r>
            <w:r>
              <w:rPr>
                <w:rFonts w:ascii="Times New Roman" w:hAnsi="Times New Roman"/>
              </w:rPr>
              <w:t>.</w:t>
            </w:r>
          </w:p>
          <w:p w:rsidR="00397FA1" w:rsidRPr="00B960AC" w:rsidP="003322E7" w14:paraId="5F6991B6" w14:textId="77777777">
            <w:pPr>
              <w:rPr>
                <w:rFonts w:ascii="Times New Roman" w:hAnsi="Times New Roman"/>
              </w:rPr>
            </w:pPr>
          </w:p>
        </w:tc>
        <w:tc>
          <w:tcPr>
            <w:tcW w:w="1615" w:type="pct"/>
          </w:tcPr>
          <w:p w:rsidR="00397FA1" w:rsidRPr="00B960AC" w:rsidP="003322E7" w14:paraId="7007D964" w14:textId="77777777">
            <w:pPr>
              <w:rPr>
                <w:rFonts w:ascii="Times New Roman" w:hAnsi="Times New Roman"/>
              </w:rPr>
            </w:pPr>
            <w:r w:rsidRPr="00B960AC">
              <w:rPr>
                <w:rFonts w:ascii="Times New Roman" w:hAnsi="Times New Roman"/>
              </w:rPr>
              <w:t>Increasing the size and diversity of the public health workforce</w:t>
            </w:r>
            <w:r>
              <w:rPr>
                <w:rFonts w:ascii="Times New Roman" w:hAnsi="Times New Roman"/>
              </w:rPr>
              <w:t>.</w:t>
            </w:r>
          </w:p>
        </w:tc>
      </w:tr>
      <w:tr w14:paraId="0A0992CD" w14:textId="77777777" w:rsidTr="003322E7">
        <w:tblPrEx>
          <w:tblW w:w="5000" w:type="pct"/>
          <w:tblLook w:val="04A0"/>
        </w:tblPrEx>
        <w:trPr>
          <w:trHeight w:val="300"/>
        </w:trPr>
        <w:tc>
          <w:tcPr>
            <w:tcW w:w="965" w:type="pct"/>
          </w:tcPr>
          <w:p w:rsidR="00397FA1" w:rsidRPr="00B960AC" w:rsidP="003322E7" w14:paraId="43B90416" w14:textId="77777777">
            <w:pPr>
              <w:rPr>
                <w:rFonts w:ascii="Times New Roman" w:hAnsi="Times New Roman"/>
              </w:rPr>
            </w:pPr>
            <w:r w:rsidRPr="00B960AC">
              <w:rPr>
                <w:rFonts w:ascii="Times New Roman" w:hAnsi="Times New Roman"/>
              </w:rPr>
              <w:t>Public Health Workforce Interests and Needs Survey (PH WINS)</w:t>
            </w:r>
          </w:p>
        </w:tc>
        <w:tc>
          <w:tcPr>
            <w:tcW w:w="1210" w:type="pct"/>
          </w:tcPr>
          <w:p w:rsidR="00397FA1" w:rsidRPr="00AD186D" w:rsidP="003322E7" w14:paraId="2BDEA61F" w14:textId="77777777">
            <w:pPr>
              <w:rPr>
                <w:rFonts w:ascii="Times New Roman" w:hAnsi="Times New Roman"/>
              </w:rPr>
            </w:pPr>
            <w:r w:rsidRPr="00AD186D">
              <w:rPr>
                <w:rFonts w:ascii="Times New Roman" w:hAnsi="Times New Roman"/>
              </w:rPr>
              <w:t>National sample</w:t>
            </w:r>
          </w:p>
          <w:p w:rsidR="00397FA1" w:rsidRPr="00AD186D" w:rsidP="003322E7" w14:paraId="1797BCD8" w14:textId="77777777">
            <w:pPr>
              <w:rPr>
                <w:rFonts w:ascii="Times New Roman" w:hAnsi="Times New Roman"/>
              </w:rPr>
            </w:pPr>
          </w:p>
          <w:p w:rsidR="00397FA1" w:rsidRPr="00AD186D" w:rsidP="003322E7" w14:paraId="33346C2F" w14:textId="77777777">
            <w:pPr>
              <w:rPr>
                <w:rFonts w:ascii="Times New Roman" w:hAnsi="Times New Roman"/>
              </w:rPr>
            </w:pPr>
            <w:r w:rsidRPr="00AD186D">
              <w:rPr>
                <w:rFonts w:ascii="Times New Roman" w:hAnsi="Times New Roman"/>
              </w:rPr>
              <w:t>Potentially some young adult participants</w:t>
            </w:r>
          </w:p>
          <w:p w:rsidR="00397FA1" w:rsidRPr="00AD186D" w:rsidP="003322E7" w14:paraId="7D270603" w14:textId="77777777">
            <w:pPr>
              <w:rPr>
                <w:rFonts w:ascii="Times New Roman" w:hAnsi="Times New Roman"/>
              </w:rPr>
            </w:pPr>
          </w:p>
          <w:p w:rsidR="00397FA1" w:rsidRPr="00AD186D" w:rsidP="003322E7" w14:paraId="5D1E911B" w14:textId="77777777">
            <w:pPr>
              <w:rPr>
                <w:rFonts w:ascii="Times New Roman" w:hAnsi="Times New Roman"/>
              </w:rPr>
            </w:pPr>
            <w:r>
              <w:rPr>
                <w:rFonts w:ascii="Times New Roman" w:hAnsi="Times New Roman"/>
              </w:rPr>
              <w:t>Y</w:t>
            </w:r>
            <w:r w:rsidRPr="00AD186D">
              <w:rPr>
                <w:rFonts w:ascii="Times New Roman" w:hAnsi="Times New Roman"/>
              </w:rPr>
              <w:t>oung adult participants may have</w:t>
            </w:r>
            <w:r>
              <w:rPr>
                <w:rFonts w:ascii="Times New Roman" w:hAnsi="Times New Roman"/>
              </w:rPr>
              <w:t xml:space="preserve"> a similar range </w:t>
            </w:r>
            <w:r w:rsidRPr="00AD186D">
              <w:rPr>
                <w:rFonts w:ascii="Times New Roman" w:hAnsi="Times New Roman"/>
              </w:rPr>
              <w:t>of public health work experience before program participation</w:t>
            </w:r>
            <w:r>
              <w:rPr>
                <w:rFonts w:ascii="Times New Roman" w:hAnsi="Times New Roman"/>
              </w:rPr>
              <w:t>.</w:t>
            </w:r>
          </w:p>
          <w:p w:rsidR="00397FA1" w:rsidRPr="00AD186D" w:rsidP="003322E7" w14:paraId="78B1A7ED" w14:textId="77777777">
            <w:pPr>
              <w:rPr>
                <w:rFonts w:ascii="Times New Roman" w:hAnsi="Times New Roman"/>
              </w:rPr>
            </w:pPr>
          </w:p>
          <w:p w:rsidR="00397FA1" w:rsidRPr="00AD186D" w:rsidP="003322E7" w14:paraId="5284173F" w14:textId="77777777">
            <w:pPr>
              <w:rPr>
                <w:rFonts w:ascii="Times New Roman" w:hAnsi="Times New Roman"/>
              </w:rPr>
            </w:pPr>
            <w:r>
              <w:rPr>
                <w:rFonts w:ascii="Times New Roman" w:hAnsi="Times New Roman"/>
              </w:rPr>
              <w:t>Y</w:t>
            </w:r>
            <w:r w:rsidRPr="00AD186D">
              <w:rPr>
                <w:rFonts w:ascii="Times New Roman" w:hAnsi="Times New Roman"/>
              </w:rPr>
              <w:t xml:space="preserve">oung adult participants may have a </w:t>
            </w:r>
            <w:r>
              <w:rPr>
                <w:rFonts w:ascii="Times New Roman" w:hAnsi="Times New Roman"/>
              </w:rPr>
              <w:t>similar range</w:t>
            </w:r>
            <w:r w:rsidRPr="00AD186D">
              <w:rPr>
                <w:rFonts w:ascii="Times New Roman" w:hAnsi="Times New Roman"/>
              </w:rPr>
              <w:t xml:space="preserve"> of public health skills/competencies before program participation</w:t>
            </w:r>
            <w:r>
              <w:rPr>
                <w:rFonts w:ascii="Times New Roman" w:hAnsi="Times New Roman"/>
              </w:rPr>
              <w:t>.</w:t>
            </w:r>
          </w:p>
        </w:tc>
        <w:tc>
          <w:tcPr>
            <w:tcW w:w="1210" w:type="pct"/>
          </w:tcPr>
          <w:p w:rsidR="00397FA1" w:rsidRPr="00B960AC" w:rsidP="003322E7" w14:paraId="307CB84F" w14:textId="77777777">
            <w:pPr>
              <w:rPr>
                <w:rFonts w:ascii="Times New Roman" w:hAnsi="Times New Roman"/>
              </w:rPr>
            </w:pPr>
            <w:r>
              <w:rPr>
                <w:rFonts w:ascii="Times New Roman" w:hAnsi="Times New Roman"/>
              </w:rPr>
              <w:t>Public health program areas participants are working/serving in.</w:t>
            </w:r>
          </w:p>
        </w:tc>
        <w:tc>
          <w:tcPr>
            <w:tcW w:w="1615" w:type="pct"/>
          </w:tcPr>
          <w:p w:rsidR="00397FA1" w:rsidRPr="00AD186D" w:rsidP="003322E7" w14:paraId="3BB7822C" w14:textId="77777777">
            <w:pPr>
              <w:rPr>
                <w:rFonts w:ascii="Times New Roman" w:hAnsi="Times New Roman"/>
              </w:rPr>
            </w:pPr>
            <w:r>
              <w:rPr>
                <w:rFonts w:ascii="Times New Roman" w:hAnsi="Times New Roman"/>
              </w:rPr>
              <w:t xml:space="preserve">Public health program areas that need more professionals in the public health workforce pipeline. </w:t>
            </w:r>
          </w:p>
        </w:tc>
      </w:tr>
      <w:tr w14:paraId="5FCCF3C5" w14:textId="77777777" w:rsidTr="003322E7">
        <w:tblPrEx>
          <w:tblW w:w="5000" w:type="pct"/>
          <w:tblLook w:val="04A0"/>
        </w:tblPrEx>
        <w:trPr>
          <w:trHeight w:val="300"/>
        </w:trPr>
        <w:tc>
          <w:tcPr>
            <w:tcW w:w="965" w:type="pct"/>
          </w:tcPr>
          <w:p w:rsidR="00397FA1" w:rsidRPr="00AD186D" w:rsidP="003322E7" w14:paraId="2C517A85" w14:textId="77777777">
            <w:pPr>
              <w:rPr>
                <w:rFonts w:ascii="Times New Roman" w:hAnsi="Times New Roman"/>
              </w:rPr>
            </w:pPr>
            <w:r w:rsidRPr="0E42143E">
              <w:rPr>
                <w:rFonts w:ascii="Times New Roman" w:hAnsi="Times New Roman"/>
              </w:rPr>
              <w:t>AmeriCorps Member Exit Survey (MES)</w:t>
            </w:r>
          </w:p>
        </w:tc>
        <w:tc>
          <w:tcPr>
            <w:tcW w:w="1210" w:type="pct"/>
          </w:tcPr>
          <w:p w:rsidR="00397FA1" w:rsidRPr="00AD186D" w:rsidP="003322E7" w14:paraId="4CD6150F" w14:textId="77777777">
            <w:pPr>
              <w:rPr>
                <w:rFonts w:ascii="Times New Roman" w:hAnsi="Times New Roman"/>
              </w:rPr>
            </w:pPr>
            <w:r w:rsidRPr="00AD186D">
              <w:rPr>
                <w:rFonts w:ascii="Times New Roman" w:hAnsi="Times New Roman"/>
              </w:rPr>
              <w:t>National sample of AmeriCorps members</w:t>
            </w:r>
          </w:p>
          <w:p w:rsidR="00397FA1" w:rsidRPr="00AD186D" w:rsidP="003322E7" w14:paraId="4BF2CAFF" w14:textId="77777777">
            <w:pPr>
              <w:rPr>
                <w:rFonts w:ascii="Times New Roman" w:hAnsi="Times New Roman"/>
              </w:rPr>
            </w:pPr>
          </w:p>
          <w:p w:rsidR="00397FA1" w:rsidRPr="00AD186D" w:rsidP="003322E7" w14:paraId="3C627DB7" w14:textId="77777777">
            <w:pPr>
              <w:rPr>
                <w:rFonts w:ascii="Times New Roman" w:hAnsi="Times New Roman"/>
              </w:rPr>
            </w:pPr>
            <w:r w:rsidRPr="00AD186D">
              <w:rPr>
                <w:rFonts w:ascii="Times New Roman" w:hAnsi="Times New Roman"/>
              </w:rPr>
              <w:t>Some participants are young adults</w:t>
            </w:r>
            <w:r>
              <w:rPr>
                <w:rFonts w:ascii="Times New Roman" w:hAnsi="Times New Roman"/>
              </w:rPr>
              <w:t>.</w:t>
            </w:r>
          </w:p>
        </w:tc>
        <w:tc>
          <w:tcPr>
            <w:tcW w:w="1210" w:type="pct"/>
          </w:tcPr>
          <w:p w:rsidR="00397FA1" w:rsidRPr="00AD186D" w:rsidP="003322E7" w14:paraId="297DB098" w14:textId="77777777">
            <w:pPr>
              <w:rPr>
                <w:rFonts w:ascii="Times New Roman" w:hAnsi="Times New Roman"/>
              </w:rPr>
            </w:pPr>
            <w:r w:rsidRPr="0E42143E">
              <w:rPr>
                <w:rFonts w:ascii="Times New Roman" w:hAnsi="Times New Roman"/>
              </w:rPr>
              <w:t>Civic participation</w:t>
            </w:r>
          </w:p>
          <w:p w:rsidR="00397FA1" w:rsidRPr="00AD186D" w:rsidP="003322E7" w14:paraId="55EC8C43" w14:textId="77777777">
            <w:pPr>
              <w:rPr>
                <w:rFonts w:ascii="Times New Roman" w:hAnsi="Times New Roman"/>
              </w:rPr>
            </w:pPr>
          </w:p>
          <w:p w:rsidR="00397FA1" w:rsidRPr="00AD186D" w:rsidP="003322E7" w14:paraId="6ECDC665" w14:textId="77777777">
            <w:pPr>
              <w:rPr>
                <w:rFonts w:ascii="Times New Roman" w:hAnsi="Times New Roman"/>
              </w:rPr>
            </w:pPr>
            <w:r w:rsidRPr="0E42143E">
              <w:rPr>
                <w:rFonts w:ascii="Times New Roman" w:hAnsi="Times New Roman"/>
              </w:rPr>
              <w:t>Commitment to national service</w:t>
            </w:r>
          </w:p>
          <w:p w:rsidR="00397FA1" w:rsidRPr="00AD186D" w:rsidP="003322E7" w14:paraId="67410BA6" w14:textId="77777777">
            <w:pPr>
              <w:rPr>
                <w:rFonts w:ascii="Times New Roman" w:hAnsi="Times New Roman"/>
              </w:rPr>
            </w:pPr>
          </w:p>
          <w:p w:rsidR="00397FA1" w:rsidRPr="00AD186D" w:rsidP="003322E7" w14:paraId="4568BBFE" w14:textId="77777777">
            <w:pPr>
              <w:rPr>
                <w:rFonts w:ascii="Times New Roman" w:hAnsi="Times New Roman"/>
              </w:rPr>
            </w:pPr>
          </w:p>
        </w:tc>
        <w:tc>
          <w:tcPr>
            <w:tcW w:w="1615" w:type="pct"/>
          </w:tcPr>
          <w:p w:rsidR="00397FA1" w:rsidRPr="00AD186D" w:rsidP="003322E7" w14:paraId="5E00CD33" w14:textId="77777777">
            <w:pPr>
              <w:rPr>
                <w:rFonts w:ascii="Times New Roman" w:hAnsi="Times New Roman"/>
              </w:rPr>
            </w:pPr>
            <w:r w:rsidRPr="54D488CB">
              <w:rPr>
                <w:rFonts w:ascii="Times New Roman" w:hAnsi="Times New Roman"/>
              </w:rPr>
              <w:t>AmeriCorps’ impact on members’ civic participation and commitment to national service</w:t>
            </w:r>
            <w:r>
              <w:rPr>
                <w:rFonts w:ascii="Times New Roman" w:hAnsi="Times New Roman"/>
              </w:rPr>
              <w:t xml:space="preserve"> and community service.</w:t>
            </w:r>
          </w:p>
        </w:tc>
      </w:tr>
    </w:tbl>
    <w:p w:rsidR="00397FA1" w:rsidP="005561E5" w14:paraId="3E1334C4" w14:textId="6A50B577">
      <w:pPr>
        <w:widowControl w:val="0"/>
        <w:tabs>
          <w:tab w:val="left" w:pos="360"/>
          <w:tab w:val="left" w:pos="630"/>
          <w:tab w:val="left" w:pos="720"/>
          <w:tab w:val="left" w:pos="1080"/>
        </w:tabs>
        <w:rPr>
          <w:rFonts w:ascii="Times New Roman" w:hAnsi="Times New Roman"/>
          <w:u w:val="single"/>
        </w:rPr>
      </w:pPr>
    </w:p>
    <w:p w:rsidR="00397FA1" w14:paraId="354E8247" w14:textId="77777777">
      <w:pPr>
        <w:overflowPunct/>
        <w:autoSpaceDE/>
        <w:autoSpaceDN/>
        <w:adjustRightInd/>
        <w:spacing w:after="160" w:line="259" w:lineRule="auto"/>
        <w:textAlignment w:val="auto"/>
        <w:rPr>
          <w:rFonts w:ascii="Times New Roman" w:hAnsi="Times New Roman"/>
          <w:u w:val="single"/>
        </w:rPr>
      </w:pPr>
      <w:r>
        <w:rPr>
          <w:rFonts w:ascii="Times New Roman" w:hAnsi="Times New Roman"/>
          <w:u w:val="single"/>
        </w:rPr>
        <w:br w:type="page"/>
      </w:r>
    </w:p>
    <w:p w:rsidR="00397FA1" w:rsidP="005561E5" w14:paraId="31D598B9" w14:textId="77777777">
      <w:pPr>
        <w:widowControl w:val="0"/>
        <w:tabs>
          <w:tab w:val="left" w:pos="360"/>
          <w:tab w:val="left" w:pos="630"/>
          <w:tab w:val="left" w:pos="720"/>
          <w:tab w:val="left" w:pos="1080"/>
        </w:tabs>
        <w:rPr>
          <w:rFonts w:ascii="Times New Roman" w:hAnsi="Times New Roman"/>
          <w:u w:val="single"/>
        </w:rPr>
      </w:pPr>
    </w:p>
    <w:p w:rsidR="005561E5" w:rsidRPr="001B19A3" w:rsidP="005561E5" w14:paraId="2AB5F29F" w14:textId="77777777">
      <w:pPr>
        <w:pStyle w:val="Heading2"/>
        <w:numPr>
          <w:ilvl w:val="0"/>
          <w:numId w:val="15"/>
        </w:numPr>
      </w:pPr>
      <w:r w:rsidRPr="0EEECE9C">
        <w:t xml:space="preserve">Use of Information Technology. </w:t>
      </w:r>
    </w:p>
    <w:p w:rsidR="005561E5" w:rsidRPr="00C03650" w:rsidP="005561E5" w14:paraId="212991C2" w14:textId="77777777">
      <w:pPr>
        <w:widowControl w:val="0"/>
        <w:tabs>
          <w:tab w:val="left" w:pos="360"/>
          <w:tab w:val="left" w:pos="630"/>
          <w:tab w:val="left" w:pos="720"/>
          <w:tab w:val="left" w:pos="1080"/>
        </w:tabs>
        <w:spacing w:after="120"/>
        <w:rPr>
          <w:rFonts w:ascii="Times New Roman" w:hAnsi="Times New Roman"/>
        </w:rPr>
      </w:pPr>
      <w:r w:rsidRPr="0EEECE9C">
        <w:rPr>
          <w:rFonts w:ascii="Times New Roman" w:hAnsi="Times New Roman"/>
        </w:rPr>
        <w:t xml:space="preserve">The surveys will be administered online, via a link the members and grantees receive by email. The focus group will use online meeting tools to allow the participation of individuals in various geographic areas. JBS will use </w:t>
      </w:r>
      <w:r w:rsidRPr="0EEECE9C">
        <w:rPr>
          <w:rFonts w:ascii="Times New Roman" w:hAnsi="Times New Roman"/>
        </w:rPr>
        <w:t>Alchemer</w:t>
      </w:r>
      <w:r w:rsidRPr="0EEECE9C">
        <w:rPr>
          <w:rFonts w:ascii="Times New Roman" w:hAnsi="Times New Roman"/>
        </w:rPr>
        <w:t xml:space="preserve">, an online survey, for the survey administration. The use of technology will minimize burden in </w:t>
      </w:r>
      <w:r w:rsidRPr="00F526B3">
        <w:rPr>
          <w:rFonts w:ascii="Times New Roman" w:hAnsi="Times New Roman"/>
        </w:rPr>
        <w:t>multiple</w:t>
      </w:r>
      <w:r w:rsidRPr="0EEECE9C">
        <w:rPr>
          <w:rFonts w:ascii="Times New Roman" w:hAnsi="Times New Roman"/>
        </w:rPr>
        <w:t xml:space="preserve"> ways. This online platform allows respondent to access the survey on any device, to pause and resume the survey at will. The interviews and focus groups with grantees, partners, and early exit members will use online meeting tools, to allow the participation of individuals in various geographic areas.</w:t>
      </w:r>
    </w:p>
    <w:p w:rsidR="005561E5" w:rsidRPr="00B460D3" w:rsidP="005561E5" w14:paraId="52C98AB4" w14:textId="77777777">
      <w:pPr>
        <w:pStyle w:val="ListParagraph"/>
        <w:widowControl w:val="0"/>
        <w:tabs>
          <w:tab w:val="left" w:pos="360"/>
          <w:tab w:val="left" w:pos="720"/>
          <w:tab w:val="left" w:pos="1080"/>
        </w:tabs>
        <w:ind w:left="0"/>
        <w:rPr>
          <w:rFonts w:ascii="Times New Roman" w:hAnsi="Times New Roman"/>
        </w:rPr>
      </w:pPr>
      <w:r w:rsidRPr="0EEECE9C">
        <w:rPr>
          <w:rFonts w:ascii="Times New Roman" w:hAnsi="Times New Roman"/>
        </w:rPr>
        <w:t>The consent form and first page of the survey will include an email and toll-free number to contact the research staff. In addition, respondents can contact the research staff via email or phone to complete the survey by telephone if this is the respondent’s preferred method to participate.</w:t>
      </w:r>
    </w:p>
    <w:p w:rsidR="005561E5" w:rsidRPr="00AC252C" w:rsidP="005561E5" w14:paraId="18DB0352" w14:textId="77777777">
      <w:pPr>
        <w:pStyle w:val="Heading2"/>
        <w:numPr>
          <w:ilvl w:val="0"/>
          <w:numId w:val="15"/>
        </w:numPr>
      </w:pPr>
      <w:r w:rsidRPr="0EEECE9C">
        <w:t xml:space="preserve">Non-duplication. </w:t>
      </w:r>
    </w:p>
    <w:p w:rsidR="005561E5" w:rsidP="005561E5" w14:paraId="251B11CB" w14:textId="77777777">
      <w:pPr>
        <w:pStyle w:val="NormalWeb"/>
        <w:widowControl w:val="0"/>
        <w:tabs>
          <w:tab w:val="left" w:pos="360"/>
          <w:tab w:val="left" w:pos="720"/>
          <w:tab w:val="left" w:pos="1080"/>
          <w:tab w:val="left" w:pos="1440"/>
        </w:tabs>
        <w:spacing w:before="0" w:beforeAutospacing="0" w:after="0" w:afterAutospacing="0"/>
      </w:pPr>
      <w:r w:rsidRPr="0EEECE9C">
        <w:t>This information is not collected by any other entity. No similar information is available, as the Public Health AmeriCorps program is new and unique.</w:t>
      </w:r>
    </w:p>
    <w:p w:rsidR="005561E5" w:rsidP="005561E5" w14:paraId="1A866AA5" w14:textId="77777777">
      <w:pPr>
        <w:pStyle w:val="NormalWeb"/>
        <w:widowControl w:val="0"/>
        <w:tabs>
          <w:tab w:val="left" w:pos="360"/>
          <w:tab w:val="left" w:pos="720"/>
          <w:tab w:val="left" w:pos="1080"/>
          <w:tab w:val="left" w:pos="1440"/>
        </w:tabs>
        <w:spacing w:before="0" w:beforeAutospacing="0" w:after="0" w:afterAutospacing="0"/>
      </w:pPr>
    </w:p>
    <w:p w:rsidR="005561E5" w:rsidRPr="00D54A99" w:rsidP="005561E5" w14:paraId="31B603E0" w14:textId="77777777">
      <w:pPr>
        <w:pStyle w:val="NormalWeb"/>
        <w:spacing w:before="0" w:beforeAutospacing="0" w:after="120" w:afterAutospacing="0"/>
        <w:rPr>
          <w:rStyle w:val="Strong"/>
        </w:rPr>
      </w:pPr>
      <w:r w:rsidRPr="0EEECE9C">
        <w:t xml:space="preserve">There are no other sources of information by which AmeriCorps can meet the purposes described in </w:t>
      </w:r>
      <w:r w:rsidR="006B3FFC">
        <w:t>the response to question 2, above</w:t>
      </w:r>
      <w:r w:rsidRPr="0EEECE9C">
        <w:t>. The proposed evaluation will three primary objectives:</w:t>
      </w:r>
      <w:r w:rsidRPr="0EEECE9C">
        <w:rPr>
          <w:rStyle w:val="Strong"/>
        </w:rPr>
        <w:t xml:space="preserve"> </w:t>
      </w:r>
    </w:p>
    <w:p w:rsidR="005561E5" w:rsidRPr="00D54A99" w:rsidP="005561E5" w14:paraId="2EBF6A3D" w14:textId="77777777">
      <w:pPr>
        <w:pStyle w:val="NormalWeb"/>
        <w:numPr>
          <w:ilvl w:val="3"/>
          <w:numId w:val="13"/>
        </w:numPr>
        <w:spacing w:before="0" w:beforeAutospacing="0" w:after="120" w:afterAutospacing="0"/>
        <w:ind w:left="900"/>
      </w:pPr>
      <w:r w:rsidRPr="0EEECE9C">
        <w:t>Identify successes, challenges, and lessons learned in implementing Public Health AmeriCorps (process evaluation)</w:t>
      </w:r>
    </w:p>
    <w:p w:rsidR="005561E5" w:rsidRPr="00D54A99" w:rsidP="005561E5" w14:paraId="005B730A" w14:textId="77777777">
      <w:pPr>
        <w:pStyle w:val="NormalWeb"/>
        <w:numPr>
          <w:ilvl w:val="3"/>
          <w:numId w:val="13"/>
        </w:numPr>
        <w:spacing w:before="0" w:beforeAutospacing="0" w:after="120" w:afterAutospacing="0"/>
        <w:ind w:left="900"/>
      </w:pPr>
      <w:r w:rsidRPr="0EEECE9C">
        <w:rPr>
          <w:rStyle w:val="Strong"/>
        </w:rPr>
        <w:t>A</w:t>
      </w:r>
      <w:r w:rsidRPr="0EEECE9C">
        <w:t>ssess how Public Health AmeriCorps strengthens capacity to address public health needs, especially in communities that have been historically underserved, and how recruiting members from the communities that grantees serve affects both the communities and members (outcome evaluation)</w:t>
      </w:r>
    </w:p>
    <w:p w:rsidR="005561E5" w:rsidP="005561E5" w14:paraId="4F59080B" w14:textId="77777777">
      <w:pPr>
        <w:pStyle w:val="NormalWeb"/>
        <w:numPr>
          <w:ilvl w:val="3"/>
          <w:numId w:val="13"/>
        </w:numPr>
        <w:spacing w:before="0" w:beforeAutospacing="0" w:after="120" w:afterAutospacing="0"/>
        <w:ind w:left="900"/>
      </w:pPr>
      <w:r w:rsidRPr="0EEECE9C">
        <w:t>Examine members’ public health career pathways, civic participation, and commitment to national service (impact evaluation)</w:t>
      </w:r>
    </w:p>
    <w:p w:rsidR="005561E5" w:rsidRPr="00505E03" w:rsidP="005561E5" w14:paraId="25967DCB" w14:textId="77777777">
      <w:pPr>
        <w:widowControl w:val="0"/>
        <w:tabs>
          <w:tab w:val="left" w:pos="360"/>
          <w:tab w:val="left" w:pos="630"/>
          <w:tab w:val="left" w:pos="720"/>
          <w:tab w:val="left" w:pos="1080"/>
        </w:tabs>
        <w:spacing w:after="120"/>
        <w:rPr>
          <w:rFonts w:ascii="Times New Roman" w:hAnsi="Times New Roman"/>
        </w:rPr>
      </w:pPr>
      <w:r w:rsidRPr="0EEECE9C">
        <w:rPr>
          <w:rFonts w:ascii="Times New Roman" w:hAnsi="Times New Roman"/>
        </w:rPr>
        <w:t xml:space="preserve">There is currently no evidence-based data on using the national service model to train and develop a public health workforce as Public Health AmeriCorps is unique in this approach. </w:t>
      </w:r>
    </w:p>
    <w:p w:rsidR="005561E5" w:rsidRPr="00331AA0" w:rsidP="005561E5" w14:paraId="196496E9" w14:textId="77777777">
      <w:pPr>
        <w:pStyle w:val="Heading2"/>
        <w:numPr>
          <w:ilvl w:val="0"/>
          <w:numId w:val="15"/>
        </w:numPr>
      </w:pPr>
      <w:r w:rsidRPr="0EEECE9C">
        <w:t xml:space="preserve">Burden on Small Business. </w:t>
      </w:r>
    </w:p>
    <w:p w:rsidR="005561E5" w:rsidRPr="00505E03" w:rsidP="005561E5" w14:paraId="42FE2B08" w14:textId="77777777">
      <w:pPr>
        <w:pStyle w:val="NormalWeb"/>
        <w:widowControl w:val="0"/>
        <w:tabs>
          <w:tab w:val="left" w:pos="360"/>
          <w:tab w:val="left" w:pos="720"/>
          <w:tab w:val="left" w:pos="1080"/>
          <w:tab w:val="left" w:pos="1440"/>
        </w:tabs>
        <w:spacing w:before="0" w:beforeAutospacing="0" w:after="0" w:afterAutospacing="0"/>
      </w:pPr>
      <w:r w:rsidRPr="0EEECE9C">
        <w:t xml:space="preserve">This information collection does not impact small businesses, but AmeriCorps has developed the questions to impose as little burden as possible in obtaining the information. </w:t>
      </w:r>
    </w:p>
    <w:p w:rsidR="005561E5" w:rsidP="005561E5" w14:paraId="2BC5A933" w14:textId="77777777">
      <w:pPr>
        <w:pStyle w:val="Heading2"/>
        <w:numPr>
          <w:ilvl w:val="0"/>
          <w:numId w:val="15"/>
        </w:numPr>
      </w:pPr>
      <w:r w:rsidRPr="0EEECE9C">
        <w:t xml:space="preserve">Less Frequent Collection. </w:t>
      </w:r>
    </w:p>
    <w:p w:rsidR="005561E5" w:rsidRPr="00BB5AB7" w:rsidP="005561E5" w14:paraId="58F8D474" w14:textId="77777777">
      <w:pPr>
        <w:pStyle w:val="ListParagraph"/>
        <w:widowControl w:val="0"/>
        <w:tabs>
          <w:tab w:val="left" w:pos="360"/>
          <w:tab w:val="left" w:pos="720"/>
          <w:tab w:val="left" w:pos="1080"/>
        </w:tabs>
        <w:ind w:left="0"/>
        <w:rPr>
          <w:rFonts w:ascii="Times New Roman" w:hAnsi="Times New Roman"/>
          <w:u w:val="single"/>
        </w:rPr>
      </w:pPr>
      <w:r w:rsidRPr="0EEECE9C">
        <w:rPr>
          <w:rFonts w:ascii="Times New Roman" w:hAnsi="Times New Roman"/>
        </w:rPr>
        <w:t>If this collection is not conducted, then AmeriCorps will lack any data on members’ and grantees’ experiences with Public Health AmeriCorps.</w:t>
      </w:r>
    </w:p>
    <w:p w:rsidR="005561E5" w:rsidP="005561E5" w14:paraId="5CFB588E" w14:textId="77777777">
      <w:pPr>
        <w:pStyle w:val="Heading2"/>
        <w:numPr>
          <w:ilvl w:val="0"/>
          <w:numId w:val="15"/>
        </w:numPr>
      </w:pPr>
      <w:r w:rsidRPr="0EEECE9C">
        <w:t xml:space="preserve">Paperwork Reduction Act Guidelines. </w:t>
      </w:r>
    </w:p>
    <w:p w:rsidR="005561E5" w:rsidRPr="00505E03" w:rsidP="005561E5" w14:paraId="31812770" w14:textId="77777777">
      <w:pPr>
        <w:pStyle w:val="NormalWeb"/>
        <w:widowControl w:val="0"/>
        <w:tabs>
          <w:tab w:val="left" w:pos="360"/>
          <w:tab w:val="left" w:pos="720"/>
          <w:tab w:val="left" w:pos="1080"/>
          <w:tab w:val="left" w:pos="1440"/>
        </w:tabs>
        <w:spacing w:before="0" w:beforeAutospacing="0" w:after="0" w:afterAutospacing="0"/>
      </w:pPr>
      <w:r w:rsidRPr="0EEECE9C">
        <w:t>This information collection fully complies with 5 CFR 1320.5(d)(2). There are no special circumstances that would require the collection of information in any other ways specified.</w:t>
      </w:r>
    </w:p>
    <w:p w:rsidR="005561E5" w:rsidRPr="00FB7E96" w:rsidP="005561E5" w14:paraId="42D2C416" w14:textId="77777777">
      <w:pPr>
        <w:pStyle w:val="Heading2"/>
        <w:numPr>
          <w:ilvl w:val="0"/>
          <w:numId w:val="15"/>
        </w:numPr>
      </w:pPr>
      <w:r w:rsidRPr="0EEECE9C">
        <w:t xml:space="preserve">Consultation and Public Comments.  </w:t>
      </w:r>
    </w:p>
    <w:p w:rsidR="005561E5" w:rsidRPr="00F526B3" w:rsidP="005561E5" w14:paraId="2AB95603" w14:textId="77777777">
      <w:pPr>
        <w:pStyle w:val="NormalWeb"/>
        <w:widowControl w:val="0"/>
        <w:tabs>
          <w:tab w:val="left" w:pos="360"/>
          <w:tab w:val="left" w:pos="720"/>
          <w:tab w:val="left" w:pos="1080"/>
          <w:tab w:val="left" w:pos="1440"/>
        </w:tabs>
        <w:spacing w:before="0" w:beforeAutospacing="0" w:after="0" w:afterAutospacing="0"/>
        <w:ind w:right="183"/>
      </w:pPr>
      <w:r w:rsidRPr="0EEECE9C">
        <w:t xml:space="preserve">AmeriCorps published a notice in the </w:t>
      </w:r>
      <w:r w:rsidRPr="0EEECE9C">
        <w:rPr>
          <w:i/>
          <w:iCs/>
        </w:rPr>
        <w:t xml:space="preserve">Federal Register </w:t>
      </w:r>
      <w:r w:rsidRPr="0EEECE9C">
        <w:t>on September 7, 2023, providing 60 days for public comment; s</w:t>
      </w:r>
      <w:r w:rsidRPr="0EEECE9C">
        <w:rPr>
          <w:i/>
          <w:iCs/>
        </w:rPr>
        <w:t>ee</w:t>
      </w:r>
      <w:r w:rsidR="00D956BE">
        <w:rPr>
          <w:i/>
          <w:iCs/>
        </w:rPr>
        <w:t xml:space="preserve"> </w:t>
      </w:r>
      <w:r w:rsidRPr="0EEECE9C">
        <w:t>88</w:t>
      </w:r>
      <w:r w:rsidR="00D956BE">
        <w:t xml:space="preserve"> FR</w:t>
      </w:r>
      <w:r w:rsidRPr="0EEECE9C">
        <w:t xml:space="preserve"> 61575. In response, AmeriCorps received one comment on the collection</w:t>
      </w:r>
      <w:r w:rsidRPr="00F526B3">
        <w:t>. The comment period ended November 6, 2023. One public comment was received from this Notice. The comments that were received inquired about 1) data collection and data ownership, 2) the purpose and need for the Public Health AmeriCorps Technical Assistance and Training Form, and 3) the length of the Public Health AmeriCorps Outcome Evaluation Draft survey.</w:t>
      </w:r>
    </w:p>
    <w:p w:rsidR="005561E5" w:rsidRPr="00F526B3" w:rsidP="005561E5" w14:paraId="232578A6" w14:textId="77777777">
      <w:pPr>
        <w:pStyle w:val="NormalWeb"/>
        <w:widowControl w:val="0"/>
        <w:tabs>
          <w:tab w:val="left" w:pos="360"/>
          <w:tab w:val="left" w:pos="720"/>
          <w:tab w:val="left" w:pos="1080"/>
          <w:tab w:val="left" w:pos="1440"/>
        </w:tabs>
        <w:spacing w:before="0" w:beforeAutospacing="0" w:after="0" w:afterAutospacing="0"/>
        <w:ind w:right="183"/>
      </w:pPr>
      <w:r w:rsidRPr="00F526B3">
        <w:t xml:space="preserve">The concern regarding data collection and data ownership is valid. The contractor, JBS International will manage and securely store all data collected throughout the duration of the contract. During the contract period, data will be provided to the Office of Research and Evaluation in aggregate form. Once the contract ends, the contractor will deliver a de-identified public use data file and a restricted use data file to the Office of Research and Evaluation. The data will be securely stored in the Office of Research and Evaluation and AmeriCorps programs will not have access to any files. If program team representatives submit inquiries about the evaluation, they will be able to receive information in aggregate. The Public Health AmeriCorps Technical Assistance and Training form was a requested instrument from the program team. This instrument will allow for the contractor to distill any information that wasn’t already collected in the grantee survey or focus group guide. The instrument will be used as a supplemental tool to capture any additional information that wasn’t collected in other activities. The evaluation team has been mindful of the length and burden of the member survey. The survey has gone through several iterations and has been shortened. The contractor piloted the instrument with up to nine members including cognitive interviews after the members completed the survey. The version the contractor piloted took pilot participants on average less than 30 minutes and did not express dissatisfaction with the length of the survey. The reason for keeping questions that are also found in the Member Exit Survey (MES) is that participants in the Public Health AmeriCorps evaluation may not complete the MES, and consequently it would not be possible to merge the two surveys. It is important for the Public Health AmeriCorps survey to include complete data to address the evaluation questions, and to create more complete datasets across the agency. We want to ensure we close any gaps (intake information and member surveys) and confirm information already received. The purpose of reaching out to members that exited early is to better understand their experience and challenges they encountered in completing their service. This data may inform programmatic change to minimize attrition among members. We will also benchmark the Public Health AmeriCorps survey to other similar public health program to see how Public Health AmeriCorps is achieving the goal of creating a pathway to public health careers. </w:t>
      </w:r>
    </w:p>
    <w:p w:rsidR="005561E5" w:rsidP="005561E5" w14:paraId="6F923DB0" w14:textId="77777777">
      <w:pPr>
        <w:pStyle w:val="NormalWeb"/>
        <w:widowControl w:val="0"/>
        <w:tabs>
          <w:tab w:val="left" w:pos="360"/>
          <w:tab w:val="left" w:pos="720"/>
          <w:tab w:val="left" w:pos="1080"/>
          <w:tab w:val="left" w:pos="1440"/>
        </w:tabs>
        <w:spacing w:before="0" w:beforeAutospacing="0" w:after="0" w:afterAutospacing="0"/>
        <w:ind w:right="183"/>
      </w:pPr>
    </w:p>
    <w:p w:rsidR="005561E5" w:rsidP="005561E5" w14:paraId="58556A6B" w14:textId="77777777">
      <w:pPr>
        <w:tabs>
          <w:tab w:val="left" w:pos="360"/>
        </w:tabs>
        <w:spacing w:after="120"/>
        <w:rPr>
          <w:rFonts w:ascii="Times New Roman" w:hAnsi="Times New Roman"/>
        </w:rPr>
      </w:pPr>
      <w:r w:rsidRPr="0EEECE9C">
        <w:rPr>
          <w:rFonts w:ascii="Times New Roman" w:hAnsi="Times New Roman"/>
        </w:rPr>
        <w:t>In addition, AmeriCorps consulted with six Field Working Group members consisting of one AmeriCorps State and National (ASN) program impact specialist, one Office of Diversity, Equity, Inclusion, and Accessibility (DEIA), two Office of Regional Operations (ORO) portfolio managers, and two ORO senior portfolio managers. The consultations were to obtain their views on the availability of data, the administration and frequency of data collection and instruments, and the approach to enrolling members in the study.</w:t>
      </w:r>
    </w:p>
    <w:p w:rsidR="005561E5" w:rsidRPr="00E53800" w:rsidP="005561E5" w14:paraId="5FE070D9" w14:textId="77777777">
      <w:pPr>
        <w:tabs>
          <w:tab w:val="left" w:pos="360"/>
        </w:tabs>
        <w:spacing w:after="120"/>
        <w:rPr>
          <w:rFonts w:ascii="Times New Roman" w:hAnsi="Times New Roman"/>
        </w:rPr>
      </w:pPr>
      <w:r w:rsidRPr="0EEECE9C">
        <w:rPr>
          <w:rFonts w:ascii="Times New Roman" w:hAnsi="Times New Roman"/>
        </w:rPr>
        <w:t>AmeriCorps also consulted with six Technical Working Group members who bring a diverse range of experience and expertise in research and evaluation on public health workforce, data collection, sampling, analysis, and dissemination of scientific studies.</w:t>
      </w:r>
    </w:p>
    <w:p w:rsidR="005561E5" w:rsidRPr="00505E03" w:rsidP="005561E5" w14:paraId="405616D7" w14:textId="0C623A82">
      <w:pPr>
        <w:pStyle w:val="NormalWeb"/>
        <w:widowControl w:val="0"/>
        <w:tabs>
          <w:tab w:val="left" w:pos="360"/>
          <w:tab w:val="left" w:pos="720"/>
          <w:tab w:val="left" w:pos="1080"/>
          <w:tab w:val="left" w:pos="1440"/>
        </w:tabs>
        <w:spacing w:before="0" w:beforeAutospacing="0" w:after="0" w:afterAutospacing="0"/>
      </w:pPr>
      <w:r w:rsidRPr="0EEECE9C">
        <w:t xml:space="preserve">AmeriCorps published a second notice in the </w:t>
      </w:r>
      <w:r w:rsidRPr="0EEECE9C">
        <w:rPr>
          <w:i/>
          <w:iCs/>
        </w:rPr>
        <w:t xml:space="preserve">Federal Register </w:t>
      </w:r>
      <w:r w:rsidRPr="0EEECE9C">
        <w:t>on</w:t>
      </w:r>
      <w:r w:rsidR="003F5E16">
        <w:t xml:space="preserve"> February 6, 2024</w:t>
      </w:r>
      <w:r w:rsidRPr="0EEECE9C">
        <w:t xml:space="preserve">, providing 30 days for public comment. </w:t>
      </w:r>
      <w:r w:rsidRPr="0EEECE9C">
        <w:rPr>
          <w:i/>
          <w:iCs/>
        </w:rPr>
        <w:t xml:space="preserve">See </w:t>
      </w:r>
      <w:r w:rsidRPr="0EEECE9C">
        <w:t>8</w:t>
      </w:r>
      <w:r w:rsidR="003F5E16">
        <w:t>9</w:t>
      </w:r>
      <w:r w:rsidRPr="0EEECE9C">
        <w:t xml:space="preserve"> Fed. Reg. </w:t>
      </w:r>
      <w:r w:rsidR="003F5E16">
        <w:t>8184</w:t>
      </w:r>
      <w:r w:rsidRPr="0EEECE9C">
        <w:t xml:space="preserve">. </w:t>
      </w:r>
    </w:p>
    <w:p w:rsidR="005561E5" w:rsidRPr="00370885" w:rsidP="005561E5" w14:paraId="41B7000F" w14:textId="77777777">
      <w:pPr>
        <w:pStyle w:val="Heading2"/>
        <w:numPr>
          <w:ilvl w:val="0"/>
          <w:numId w:val="15"/>
        </w:numPr>
      </w:pPr>
      <w:r w:rsidRPr="0EEECE9C">
        <w:t xml:space="preserve">Gifts or Payment. </w:t>
      </w:r>
    </w:p>
    <w:p w:rsidR="005561E5" w:rsidP="005561E5" w14:paraId="248A2401" w14:textId="77777777">
      <w:pPr>
        <w:pStyle w:val="NormalWeb"/>
        <w:widowControl w:val="0"/>
        <w:tabs>
          <w:tab w:val="left" w:pos="360"/>
          <w:tab w:val="left" w:pos="720"/>
          <w:tab w:val="left" w:pos="1080"/>
          <w:tab w:val="left" w:pos="1440"/>
        </w:tabs>
        <w:spacing w:before="0" w:beforeAutospacing="0" w:after="0" w:afterAutospacing="0"/>
        <w:rPr>
          <w:highlight w:val="yellow"/>
        </w:rPr>
      </w:pPr>
      <w:r w:rsidRPr="0EEECE9C">
        <w:t>AmeriCorps anticipates that Public Health AmeriCorps members and grantees will fully cooperate to participate in the study. However, enrollment of the alumni (those who completed their service term and have not re-enrolled for another service term) and Early Exits (members who did not complete their term of service and have not re-enrolled for another service either with Public Health AmeriCorps or other AmeriCorps national service program) will be challenging.  Public Health AmeriCorps does not maintain a primary relationship with former members. Once these members leave the program, they are disengaged in communicating with Public Health AmeriCorps. Consequently, it is anticipated there will be challenges with engaging and enrolling them into the study. The data collection includes a communication strategy to engage during their service, at the time of completing their service or early exit to maximize response rate. Particularly, Public Health AmeriCorps program staff, portfolio managers have set up processes to gather and update members’ contact information (e.g., current email and phone number). The mailing distribution is critical in reaching the respondents for the study. The data collection instruments are short and respondents only answer questions that apply to them; at the time of exit (whether because the member completed their service or ended their service early), each member</w:t>
      </w:r>
      <w:r>
        <w:t xml:space="preserve"> and grantee</w:t>
      </w:r>
      <w:r w:rsidRPr="0EEECE9C">
        <w:t xml:space="preserve"> will receive a </w:t>
      </w:r>
      <w:r>
        <w:t>two-page</w:t>
      </w:r>
      <w:r w:rsidRPr="0EEECE9C">
        <w:t xml:space="preserve"> summary</w:t>
      </w:r>
      <w:r>
        <w:t xml:space="preserve"> (Appendix </w:t>
      </w:r>
      <w:r w:rsidR="000527E2">
        <w:t>A</w:t>
      </w:r>
      <w:r>
        <w:t>)</w:t>
      </w:r>
      <w:r w:rsidRPr="0EEECE9C">
        <w:t xml:space="preserve"> describing the value and relevancy of the data collection; in addition program staff and ORE staff will frequently update grantees about the study through recurring monthly grantee meetings. A toll-free number and email will be available for all respondents to contact the research team to answer questions or to complete the survey by phone.</w:t>
      </w:r>
    </w:p>
    <w:p w:rsidR="005561E5" w:rsidP="005561E5" w14:paraId="62940B0F" w14:textId="77777777">
      <w:pPr>
        <w:pStyle w:val="NormalWeb"/>
        <w:widowControl w:val="0"/>
        <w:tabs>
          <w:tab w:val="left" w:pos="360"/>
          <w:tab w:val="left" w:pos="720"/>
          <w:tab w:val="left" w:pos="1080"/>
          <w:tab w:val="left" w:pos="1440"/>
        </w:tabs>
        <w:spacing w:before="0" w:beforeAutospacing="0" w:after="0" w:afterAutospacing="0"/>
        <w:rPr>
          <w:highlight w:val="yellow"/>
        </w:rPr>
      </w:pPr>
    </w:p>
    <w:p w:rsidR="005561E5" w:rsidRPr="00E927AD" w:rsidP="005561E5" w14:paraId="64793057" w14:textId="77777777">
      <w:pPr>
        <w:rPr>
          <w:rFonts w:ascii="Times New Roman" w:hAnsi="Times New Roman"/>
        </w:rPr>
      </w:pPr>
      <w:r w:rsidRPr="0EEECE9C">
        <w:rPr>
          <w:rFonts w:ascii="Times New Roman" w:hAnsi="Times New Roman"/>
        </w:rPr>
        <w:t xml:space="preserve">The information collection also requests an incentive for members. In prior information collection with AmeriCorps members, the use of incentives has been extremely effective resulting in over 75 percent among members serving with AmeriCorps NCCC, and over 80 percent among AmeriCorps Seniors volunteers. The cost-effectiveness of the incentive is that it reduces multiple rounds of contacting respondents, hence reducing overall labor cost to the government. The incentive also increases the response rate among those who are the most difficult to consent to participate thus increasing the most difficult-to-reach respondents which minimize non-response bias. The cost of these multiple rounds and the bias that could be introduced due to non-response outweigh the proposed incentive. Respondents will receive an electronic MasterCard gift card which can be redeemed nationally. </w:t>
      </w:r>
    </w:p>
    <w:p w:rsidR="005561E5" w:rsidP="005561E5" w14:paraId="1840570B" w14:textId="77777777">
      <w:pPr>
        <w:pStyle w:val="NormalWeb"/>
        <w:widowControl w:val="0"/>
        <w:tabs>
          <w:tab w:val="left" w:pos="360"/>
          <w:tab w:val="left" w:pos="720"/>
          <w:tab w:val="left" w:pos="1080"/>
          <w:tab w:val="left" w:pos="1440"/>
        </w:tabs>
        <w:spacing w:before="0" w:beforeAutospacing="0" w:after="0" w:afterAutospacing="0"/>
      </w:pPr>
    </w:p>
    <w:p w:rsidR="00397FA1" w14:paraId="46F52538" w14:textId="77777777">
      <w:pPr>
        <w:overflowPunct/>
        <w:autoSpaceDE/>
        <w:autoSpaceDN/>
        <w:adjustRightInd/>
        <w:spacing w:after="160" w:line="259" w:lineRule="auto"/>
        <w:textAlignment w:val="auto"/>
        <w:rPr>
          <w:rFonts w:ascii="Times New Roman" w:hAnsi="Times New Roman"/>
          <w:i/>
          <w:iCs/>
          <w:color w:val="1F497D"/>
          <w:szCs w:val="24"/>
        </w:rPr>
      </w:pPr>
      <w:r>
        <w:rPr>
          <w:szCs w:val="24"/>
        </w:rPr>
        <w:br w:type="page"/>
      </w:r>
    </w:p>
    <w:p w:rsidR="005561E5" w:rsidRPr="00370885" w:rsidP="005561E5" w14:paraId="775807E0" w14:textId="2F6B40B4">
      <w:pPr>
        <w:pStyle w:val="Caption"/>
        <w:rPr>
          <w:rFonts w:eastAsia="Times New Roman"/>
          <w:sz w:val="24"/>
          <w:szCs w:val="24"/>
        </w:rPr>
      </w:pPr>
      <w:r w:rsidRPr="0EEECE9C">
        <w:rPr>
          <w:rFonts w:eastAsia="Times New Roman"/>
          <w:sz w:val="24"/>
          <w:szCs w:val="24"/>
        </w:rPr>
        <w:t xml:space="preserve">Table </w:t>
      </w:r>
      <w:bookmarkStart w:id="24" w:name="_Hlk9888612"/>
      <w:r w:rsidR="00397FA1">
        <w:rPr>
          <w:rFonts w:eastAsia="Times New Roman"/>
          <w:sz w:val="24"/>
          <w:szCs w:val="24"/>
        </w:rPr>
        <w:t>2</w:t>
      </w:r>
      <w:r w:rsidRPr="0EEECE9C" w:rsidR="00397FA1">
        <w:rPr>
          <w:rFonts w:eastAsia="Times New Roman"/>
          <w:sz w:val="24"/>
          <w:szCs w:val="24"/>
        </w:rPr>
        <w:t xml:space="preserve"> </w:t>
      </w:r>
      <w:r w:rsidRPr="0EEECE9C">
        <w:rPr>
          <w:rFonts w:eastAsia="Times New Roman"/>
          <w:sz w:val="24"/>
          <w:szCs w:val="24"/>
        </w:rPr>
        <w:t>Proposed Incentives for Target Participants</w:t>
      </w:r>
      <w:bookmarkEnd w:id="24"/>
    </w:p>
    <w:tbl>
      <w:tblPr>
        <w:tblW w:w="4184" w:type="pct"/>
        <w:tblLook w:val="04A0"/>
      </w:tblPr>
      <w:tblGrid>
        <w:gridCol w:w="5305"/>
        <w:gridCol w:w="2519"/>
      </w:tblGrid>
      <w:tr w14:paraId="63D68E59" w14:textId="77777777" w:rsidTr="00F4770E">
        <w:tblPrEx>
          <w:tblW w:w="4184" w:type="pct"/>
          <w:tblLook w:val="04A0"/>
        </w:tblPrEx>
        <w:trPr>
          <w:trHeight w:val="494"/>
          <w:tblHeader/>
        </w:trPr>
        <w:tc>
          <w:tcPr>
            <w:tcW w:w="3390" w:type="pct"/>
            <w:tcBorders>
              <w:top w:val="single" w:sz="4" w:space="0" w:color="auto"/>
              <w:left w:val="single" w:sz="4" w:space="0" w:color="auto"/>
              <w:bottom w:val="single" w:sz="4" w:space="0" w:color="auto"/>
              <w:right w:val="single" w:sz="4" w:space="0" w:color="auto"/>
            </w:tcBorders>
            <w:shd w:val="clear" w:color="auto" w:fill="0033CC"/>
            <w:hideMark/>
          </w:tcPr>
          <w:p w:rsidR="005561E5" w:rsidRPr="00370885" w:rsidP="00F4770E" w14:paraId="07331623" w14:textId="77777777">
            <w:pPr>
              <w:rPr>
                <w:rFonts w:ascii="Times New Roman" w:hAnsi="Times New Roman"/>
                <w:b/>
                <w:bCs/>
                <w:sz w:val="22"/>
                <w:szCs w:val="22"/>
              </w:rPr>
            </w:pPr>
            <w:r>
              <w:rPr>
                <w:rFonts w:ascii="Times New Roman" w:hAnsi="Times New Roman"/>
                <w:b/>
                <w:bCs/>
                <w:sz w:val="22"/>
                <w:szCs w:val="22"/>
              </w:rPr>
              <w:t>R</w:t>
            </w:r>
            <w:r w:rsidRPr="0EEECE9C">
              <w:rPr>
                <w:rFonts w:ascii="Times New Roman" w:hAnsi="Times New Roman"/>
                <w:b/>
                <w:bCs/>
                <w:sz w:val="22"/>
                <w:szCs w:val="22"/>
              </w:rPr>
              <w:t>espondents</w:t>
            </w:r>
          </w:p>
        </w:tc>
        <w:tc>
          <w:tcPr>
            <w:tcW w:w="1610" w:type="pct"/>
            <w:tcBorders>
              <w:top w:val="single" w:sz="4" w:space="0" w:color="auto"/>
              <w:left w:val="nil"/>
              <w:bottom w:val="single" w:sz="4" w:space="0" w:color="auto"/>
              <w:right w:val="single" w:sz="4" w:space="0" w:color="auto"/>
            </w:tcBorders>
            <w:shd w:val="clear" w:color="auto" w:fill="0033CC"/>
            <w:hideMark/>
          </w:tcPr>
          <w:p w:rsidR="005561E5" w:rsidRPr="00370885" w:rsidP="00F4770E" w14:paraId="4DE4F6A2" w14:textId="77777777">
            <w:pPr>
              <w:rPr>
                <w:rFonts w:ascii="Times New Roman" w:hAnsi="Times New Roman"/>
                <w:b/>
                <w:bCs/>
                <w:sz w:val="22"/>
                <w:szCs w:val="22"/>
              </w:rPr>
            </w:pPr>
            <w:r w:rsidRPr="0EEECE9C">
              <w:rPr>
                <w:rFonts w:ascii="Times New Roman" w:hAnsi="Times New Roman"/>
                <w:b/>
                <w:bCs/>
                <w:sz w:val="22"/>
                <w:szCs w:val="22"/>
              </w:rPr>
              <w:t>Incentive per Member</w:t>
            </w:r>
          </w:p>
        </w:tc>
      </w:tr>
      <w:tr w14:paraId="4588776F" w14:textId="77777777" w:rsidTr="00F4770E">
        <w:tblPrEx>
          <w:tblW w:w="4184" w:type="pct"/>
          <w:tblLook w:val="04A0"/>
        </w:tblPrEx>
        <w:trPr>
          <w:trHeight w:val="125"/>
        </w:trPr>
        <w:tc>
          <w:tcPr>
            <w:tcW w:w="3390" w:type="pct"/>
            <w:tcBorders>
              <w:top w:val="nil"/>
              <w:left w:val="single" w:sz="4" w:space="0" w:color="auto"/>
              <w:bottom w:val="single" w:sz="4" w:space="0" w:color="auto"/>
              <w:right w:val="single" w:sz="4" w:space="0" w:color="auto"/>
            </w:tcBorders>
            <w:noWrap/>
          </w:tcPr>
          <w:p w:rsidR="005561E5" w:rsidRPr="00370885" w:rsidP="00F4770E" w14:paraId="391FE2F2" w14:textId="77777777">
            <w:pPr>
              <w:rPr>
                <w:rFonts w:ascii="Times New Roman" w:hAnsi="Times New Roman"/>
                <w:b/>
                <w:bCs/>
                <w:sz w:val="22"/>
                <w:szCs w:val="22"/>
              </w:rPr>
            </w:pPr>
          </w:p>
        </w:tc>
        <w:tc>
          <w:tcPr>
            <w:tcW w:w="1610" w:type="pct"/>
            <w:tcBorders>
              <w:top w:val="nil"/>
              <w:left w:val="nil"/>
              <w:bottom w:val="single" w:sz="4" w:space="0" w:color="auto"/>
              <w:right w:val="single" w:sz="4" w:space="0" w:color="auto"/>
            </w:tcBorders>
            <w:noWrap/>
          </w:tcPr>
          <w:p w:rsidR="005561E5" w:rsidRPr="00370885" w:rsidP="00F4770E" w14:paraId="175225FF" w14:textId="77777777">
            <w:pPr>
              <w:rPr>
                <w:rFonts w:ascii="Times New Roman" w:hAnsi="Times New Roman"/>
                <w:sz w:val="22"/>
                <w:szCs w:val="22"/>
              </w:rPr>
            </w:pPr>
          </w:p>
        </w:tc>
      </w:tr>
      <w:tr w14:paraId="0C9B17D1" w14:textId="77777777" w:rsidTr="00F4770E">
        <w:tblPrEx>
          <w:tblW w:w="4184" w:type="pct"/>
          <w:tblLook w:val="04A0"/>
        </w:tblPrEx>
        <w:trPr>
          <w:trHeight w:val="125"/>
        </w:trPr>
        <w:tc>
          <w:tcPr>
            <w:tcW w:w="3390" w:type="pct"/>
            <w:tcBorders>
              <w:top w:val="nil"/>
              <w:left w:val="single" w:sz="4" w:space="0" w:color="auto"/>
              <w:bottom w:val="single" w:sz="4" w:space="0" w:color="auto"/>
              <w:right w:val="single" w:sz="4" w:space="0" w:color="auto"/>
            </w:tcBorders>
            <w:noWrap/>
            <w:hideMark/>
          </w:tcPr>
          <w:p w:rsidR="005561E5" w:rsidRPr="00370885" w:rsidP="00F4770E" w14:paraId="1F5AC853" w14:textId="77777777">
            <w:pPr>
              <w:rPr>
                <w:rFonts w:ascii="Times New Roman" w:hAnsi="Times New Roman"/>
                <w:b/>
                <w:bCs/>
                <w:sz w:val="22"/>
                <w:szCs w:val="22"/>
              </w:rPr>
            </w:pPr>
            <w:r w:rsidRPr="0EEECE9C">
              <w:rPr>
                <w:rFonts w:ascii="Times New Roman" w:hAnsi="Times New Roman"/>
                <w:b/>
                <w:bCs/>
                <w:sz w:val="22"/>
                <w:szCs w:val="22"/>
              </w:rPr>
              <w:t>Alumni</w:t>
            </w:r>
          </w:p>
        </w:tc>
        <w:tc>
          <w:tcPr>
            <w:tcW w:w="1610" w:type="pct"/>
            <w:tcBorders>
              <w:top w:val="nil"/>
              <w:left w:val="nil"/>
              <w:bottom w:val="single" w:sz="4" w:space="0" w:color="auto"/>
              <w:right w:val="single" w:sz="4" w:space="0" w:color="auto"/>
            </w:tcBorders>
            <w:noWrap/>
            <w:hideMark/>
          </w:tcPr>
          <w:p w:rsidR="005561E5" w:rsidRPr="00370885" w:rsidP="00F4770E" w14:paraId="78C3DA50" w14:textId="77777777">
            <w:pPr>
              <w:rPr>
                <w:rFonts w:ascii="Times New Roman" w:hAnsi="Times New Roman"/>
                <w:sz w:val="22"/>
                <w:szCs w:val="22"/>
              </w:rPr>
            </w:pPr>
            <w:r w:rsidRPr="0EEECE9C">
              <w:rPr>
                <w:rFonts w:ascii="Times New Roman" w:hAnsi="Times New Roman"/>
                <w:sz w:val="22"/>
                <w:szCs w:val="22"/>
              </w:rPr>
              <w:t>$40</w:t>
            </w:r>
          </w:p>
        </w:tc>
      </w:tr>
      <w:tr w14:paraId="4B6D0C3E" w14:textId="77777777" w:rsidTr="00F4770E">
        <w:tblPrEx>
          <w:tblW w:w="4184" w:type="pct"/>
          <w:tblLook w:val="04A0"/>
        </w:tblPrEx>
        <w:trPr>
          <w:trHeight w:val="341"/>
        </w:trPr>
        <w:tc>
          <w:tcPr>
            <w:tcW w:w="3390" w:type="pct"/>
            <w:tcBorders>
              <w:top w:val="single" w:sz="4" w:space="0" w:color="auto"/>
              <w:left w:val="single" w:sz="4" w:space="0" w:color="auto"/>
              <w:bottom w:val="single" w:sz="4" w:space="0" w:color="auto"/>
              <w:right w:val="single" w:sz="4" w:space="0" w:color="auto"/>
            </w:tcBorders>
            <w:noWrap/>
            <w:hideMark/>
          </w:tcPr>
          <w:p w:rsidR="005561E5" w:rsidRPr="00370885" w:rsidP="00F4770E" w14:paraId="34ED5E01" w14:textId="77777777">
            <w:pPr>
              <w:rPr>
                <w:rFonts w:ascii="Times New Roman" w:hAnsi="Times New Roman"/>
                <w:b/>
                <w:bCs/>
                <w:sz w:val="22"/>
                <w:szCs w:val="22"/>
              </w:rPr>
            </w:pPr>
            <w:r w:rsidRPr="0EEECE9C">
              <w:rPr>
                <w:rFonts w:ascii="Times New Roman" w:hAnsi="Times New Roman"/>
                <w:b/>
                <w:bCs/>
                <w:sz w:val="22"/>
                <w:szCs w:val="22"/>
              </w:rPr>
              <w:t>Early Exit member</w:t>
            </w:r>
          </w:p>
        </w:tc>
        <w:tc>
          <w:tcPr>
            <w:tcW w:w="1610" w:type="pct"/>
            <w:tcBorders>
              <w:top w:val="single" w:sz="4" w:space="0" w:color="auto"/>
              <w:left w:val="nil"/>
              <w:bottom w:val="single" w:sz="4" w:space="0" w:color="auto"/>
              <w:right w:val="single" w:sz="4" w:space="0" w:color="auto"/>
            </w:tcBorders>
            <w:noWrap/>
            <w:hideMark/>
          </w:tcPr>
          <w:p w:rsidR="005561E5" w:rsidRPr="00370885" w:rsidP="00F4770E" w14:paraId="113C253B" w14:textId="77777777">
            <w:pPr>
              <w:rPr>
                <w:rFonts w:ascii="Times New Roman" w:hAnsi="Times New Roman"/>
                <w:sz w:val="22"/>
                <w:szCs w:val="22"/>
              </w:rPr>
            </w:pPr>
            <w:r w:rsidRPr="0EEECE9C">
              <w:rPr>
                <w:rFonts w:ascii="Times New Roman" w:hAnsi="Times New Roman"/>
                <w:sz w:val="22"/>
                <w:szCs w:val="22"/>
              </w:rPr>
              <w:t>$40</w:t>
            </w:r>
          </w:p>
        </w:tc>
      </w:tr>
      <w:tr w14:paraId="50237B5A" w14:textId="77777777" w:rsidTr="00F4770E">
        <w:tblPrEx>
          <w:tblW w:w="4184" w:type="pct"/>
          <w:tblLook w:val="04A0"/>
        </w:tblPrEx>
        <w:trPr>
          <w:trHeight w:val="341"/>
        </w:trPr>
        <w:tc>
          <w:tcPr>
            <w:tcW w:w="3390" w:type="pct"/>
            <w:tcBorders>
              <w:top w:val="single" w:sz="4" w:space="0" w:color="auto"/>
              <w:left w:val="single" w:sz="4" w:space="0" w:color="auto"/>
              <w:bottom w:val="single" w:sz="4" w:space="0" w:color="auto"/>
              <w:right w:val="single" w:sz="4" w:space="0" w:color="auto"/>
            </w:tcBorders>
            <w:noWrap/>
          </w:tcPr>
          <w:p w:rsidR="005561E5" w:rsidRPr="00370885" w:rsidP="00F4770E" w14:paraId="317B8F20" w14:textId="77777777">
            <w:pPr>
              <w:rPr>
                <w:rFonts w:ascii="Times New Roman" w:hAnsi="Times New Roman"/>
                <w:b/>
                <w:bCs/>
                <w:sz w:val="22"/>
                <w:szCs w:val="22"/>
              </w:rPr>
            </w:pPr>
            <w:r w:rsidRPr="0EEECE9C">
              <w:rPr>
                <w:rFonts w:ascii="Times New Roman" w:hAnsi="Times New Roman"/>
                <w:b/>
                <w:bCs/>
                <w:sz w:val="22"/>
                <w:szCs w:val="22"/>
              </w:rPr>
              <w:t>Interview– early exit members only</w:t>
            </w:r>
          </w:p>
        </w:tc>
        <w:tc>
          <w:tcPr>
            <w:tcW w:w="1610" w:type="pct"/>
            <w:tcBorders>
              <w:top w:val="single" w:sz="4" w:space="0" w:color="auto"/>
              <w:left w:val="nil"/>
              <w:bottom w:val="single" w:sz="4" w:space="0" w:color="auto"/>
              <w:right w:val="single" w:sz="4" w:space="0" w:color="auto"/>
            </w:tcBorders>
            <w:noWrap/>
          </w:tcPr>
          <w:p w:rsidR="005561E5" w:rsidRPr="00370885" w:rsidP="00F4770E" w14:paraId="6C2E87FA" w14:textId="77777777">
            <w:pPr>
              <w:rPr>
                <w:rFonts w:ascii="Times New Roman" w:hAnsi="Times New Roman"/>
                <w:sz w:val="22"/>
                <w:szCs w:val="22"/>
              </w:rPr>
            </w:pPr>
            <w:r w:rsidRPr="0EEECE9C">
              <w:rPr>
                <w:rFonts w:ascii="Times New Roman" w:hAnsi="Times New Roman"/>
                <w:sz w:val="22"/>
                <w:szCs w:val="22"/>
              </w:rPr>
              <w:t>$40</w:t>
            </w:r>
          </w:p>
        </w:tc>
      </w:tr>
    </w:tbl>
    <w:p w:rsidR="005561E5" w:rsidP="005561E5" w14:paraId="7C401D82" w14:textId="77777777">
      <w:pPr>
        <w:pStyle w:val="NormalWeb"/>
        <w:widowControl w:val="0"/>
        <w:tabs>
          <w:tab w:val="left" w:pos="360"/>
          <w:tab w:val="left" w:pos="720"/>
          <w:tab w:val="left" w:pos="1080"/>
          <w:tab w:val="left" w:pos="1440"/>
        </w:tabs>
        <w:spacing w:before="0" w:beforeAutospacing="0" w:after="0" w:afterAutospacing="0"/>
      </w:pPr>
      <w:r w:rsidRPr="0EEECE9C">
        <w:t xml:space="preserve"> </w:t>
      </w:r>
    </w:p>
    <w:p w:rsidR="005561E5" w:rsidP="005561E5" w14:paraId="42B9010F" w14:textId="60145AC6">
      <w:pPr>
        <w:tabs>
          <w:tab w:val="left" w:pos="360"/>
        </w:tabs>
        <w:ind w:firstLine="360"/>
        <w:rPr>
          <w:rFonts w:ascii="Times New Roman" w:hAnsi="Times New Roman"/>
        </w:rPr>
      </w:pPr>
      <w:r w:rsidRPr="0EEECE9C">
        <w:rPr>
          <w:rFonts w:ascii="Times New Roman" w:hAnsi="Times New Roman"/>
        </w:rPr>
        <w:t xml:space="preserve">AmeriCorps will offer a modest incentive of $40 to survey respondents; and $40 to the subset of respondents sampled to participate in an interview. </w:t>
      </w:r>
    </w:p>
    <w:p w:rsidR="005561E5" w:rsidRPr="00370885" w:rsidP="005561E5" w14:paraId="4E6A679A" w14:textId="77777777">
      <w:pPr>
        <w:tabs>
          <w:tab w:val="left" w:pos="360"/>
        </w:tabs>
        <w:ind w:firstLine="360"/>
        <w:rPr>
          <w:rFonts w:ascii="Times New Roman" w:hAnsi="Times New Roman"/>
        </w:rPr>
      </w:pPr>
    </w:p>
    <w:p w:rsidR="005561E5" w:rsidRPr="00370885" w:rsidP="005561E5" w14:paraId="63155FE7" w14:textId="77777777">
      <w:pPr>
        <w:tabs>
          <w:tab w:val="left" w:pos="360"/>
        </w:tabs>
        <w:spacing w:after="120"/>
        <w:rPr>
          <w:rFonts w:ascii="Times New Roman" w:hAnsi="Times New Roman"/>
        </w:rPr>
      </w:pPr>
      <w:r w:rsidRPr="00370885">
        <w:rPr>
          <w:rFonts w:ascii="Times New Roman" w:hAnsi="Times New Roman"/>
          <w:szCs w:val="24"/>
        </w:rPr>
        <w:tab/>
      </w:r>
      <w:r w:rsidRPr="0EEECE9C">
        <w:rPr>
          <w:rFonts w:ascii="Times New Roman" w:hAnsi="Times New Roman"/>
        </w:rPr>
        <w:t>The use of incentives has a positive impact on increasing the response rate with no adverse effects on reliability. The use of incentives to increase the response rate is particularly important when collecting data to assess outcomes of current volunteers from participants who no longer serve as AmeriCorps Seniors volunteers. Respondents will receive payment in form of a gift card. The payment will be mailed directly to the respondents upon returning the completed survey. A substantial body of research including experimental and meta-analyses supports the use of incentives to increase response rates (</w:t>
      </w:r>
      <w:r w:rsidRPr="0EEECE9C">
        <w:rPr>
          <w:rFonts w:ascii="Times New Roman" w:hAnsi="Times New Roman"/>
          <w:kern w:val="36"/>
        </w:rPr>
        <w:t xml:space="preserve">Brick et al. 2005; Church 1993; Edwards et al. 2002; James and </w:t>
      </w:r>
      <w:r w:rsidRPr="0EEECE9C">
        <w:rPr>
          <w:rFonts w:ascii="Times New Roman" w:hAnsi="Times New Roman"/>
          <w:kern w:val="36"/>
        </w:rPr>
        <w:t>Bolstein</w:t>
      </w:r>
      <w:r w:rsidRPr="0EEECE9C">
        <w:rPr>
          <w:rFonts w:ascii="Times New Roman" w:hAnsi="Times New Roman"/>
          <w:kern w:val="36"/>
        </w:rPr>
        <w:t xml:space="preserve"> 1992; </w:t>
      </w:r>
      <w:r w:rsidRPr="0EEECE9C">
        <w:rPr>
          <w:rFonts w:ascii="Times New Roman" w:hAnsi="Times New Roman"/>
          <w:kern w:val="36"/>
        </w:rPr>
        <w:t>Shettle</w:t>
      </w:r>
      <w:r w:rsidRPr="0EEECE9C">
        <w:rPr>
          <w:rFonts w:ascii="Times New Roman" w:hAnsi="Times New Roman"/>
          <w:kern w:val="36"/>
        </w:rPr>
        <w:t xml:space="preserve"> and Mooney 1999; Singer et al. 1999; Singer, Van </w:t>
      </w:r>
      <w:r w:rsidRPr="0EEECE9C">
        <w:rPr>
          <w:rFonts w:ascii="Times New Roman" w:hAnsi="Times New Roman"/>
          <w:kern w:val="36"/>
        </w:rPr>
        <w:t>Hoewyk</w:t>
      </w:r>
      <w:r w:rsidRPr="0EEECE9C">
        <w:rPr>
          <w:rFonts w:ascii="Times New Roman" w:hAnsi="Times New Roman"/>
          <w:kern w:val="36"/>
        </w:rPr>
        <w:t xml:space="preserve">, and Maher 2000; </w:t>
      </w:r>
      <w:r w:rsidRPr="0EEECE9C">
        <w:rPr>
          <w:rFonts w:ascii="Times New Roman" w:hAnsi="Times New Roman"/>
          <w:kern w:val="36"/>
        </w:rPr>
        <w:t>Yammarino</w:t>
      </w:r>
      <w:r w:rsidRPr="0EEECE9C">
        <w:rPr>
          <w:rFonts w:ascii="Times New Roman" w:hAnsi="Times New Roman"/>
          <w:kern w:val="36"/>
        </w:rPr>
        <w:t xml:space="preserve">, Skinner, and Childers 1991). </w:t>
      </w:r>
      <w:r w:rsidRPr="0EEECE9C">
        <w:rPr>
          <w:rFonts w:ascii="Times New Roman" w:hAnsi="Times New Roman"/>
        </w:rPr>
        <w:t xml:space="preserve"> Those studies demonstrate that the use of incentives has a positive impact on increasing response rates, with no adverse effects on reliability (</w:t>
      </w:r>
      <w:r w:rsidRPr="0EEECE9C">
        <w:rPr>
          <w:rFonts w:ascii="Times New Roman" w:hAnsi="Times New Roman"/>
        </w:rPr>
        <w:t>Jäckle</w:t>
      </w:r>
      <w:r w:rsidRPr="0EEECE9C">
        <w:rPr>
          <w:rFonts w:ascii="Times New Roman" w:hAnsi="Times New Roman"/>
        </w:rPr>
        <w:t>, &amp; Lynn, 2008; Dillman,2000).</w:t>
      </w:r>
    </w:p>
    <w:p w:rsidR="005561E5" w:rsidRPr="00370885" w:rsidP="005561E5" w14:paraId="460CFC68" w14:textId="77777777">
      <w:pPr>
        <w:tabs>
          <w:tab w:val="left" w:pos="360"/>
        </w:tabs>
        <w:rPr>
          <w:rFonts w:ascii="Times New Roman" w:hAnsi="Times New Roman"/>
        </w:rPr>
      </w:pPr>
      <w:r w:rsidRPr="00370885">
        <w:tab/>
      </w:r>
      <w:r w:rsidRPr="0EEECE9C">
        <w:rPr>
          <w:rFonts w:ascii="Times New Roman" w:hAnsi="Times New Roman"/>
        </w:rPr>
        <w:t>In data collection, the use of incentive has been shown to be cost-effective due to the savings incurred by reducing the costs of follow-ups with non-respondents. There are mixed findings about incentives in the research literature. Certain types, timing, and amounts of incentives may not be effective, but the overall recommendation is that an incentive is an effective means to increase response rate and reduce nonresponse bias. A study on the use of incentives in the Annals of the American Academy of Political and Social Science, Singer and Ye (2013) conclude that:</w:t>
      </w:r>
    </w:p>
    <w:p w:rsidR="005561E5" w:rsidRPr="00370885" w:rsidP="005561E5" w14:paraId="7B3BF34D" w14:textId="77777777">
      <w:pPr>
        <w:pStyle w:val="ListParagraph"/>
        <w:numPr>
          <w:ilvl w:val="0"/>
          <w:numId w:val="2"/>
        </w:numPr>
        <w:textAlignment w:val="auto"/>
        <w:rPr>
          <w:rFonts w:ascii="Times New Roman" w:hAnsi="Times New Roman"/>
        </w:rPr>
      </w:pPr>
      <w:r w:rsidRPr="0EEECE9C">
        <w:rPr>
          <w:rFonts w:ascii="Times New Roman" w:hAnsi="Times New Roman"/>
        </w:rPr>
        <w:t>“Incentives increase response rates to surveys in all modes, including the Web, and in cross-sectional and panel studies;</w:t>
      </w:r>
    </w:p>
    <w:p w:rsidR="005561E5" w:rsidRPr="00370885" w:rsidP="005561E5" w14:paraId="45F1C2CA" w14:textId="77777777">
      <w:pPr>
        <w:pStyle w:val="ListParagraph"/>
        <w:numPr>
          <w:ilvl w:val="0"/>
          <w:numId w:val="2"/>
        </w:numPr>
        <w:textAlignment w:val="auto"/>
        <w:rPr>
          <w:rFonts w:ascii="Times New Roman" w:hAnsi="Times New Roman"/>
        </w:rPr>
      </w:pPr>
      <w:r w:rsidRPr="0EEECE9C">
        <w:rPr>
          <w:rFonts w:ascii="Times New Roman" w:hAnsi="Times New Roman"/>
        </w:rPr>
        <w:t>Monetary incentives increase response rates more than gifts, and prepaid incentives increase them more than promised incentives or lotteries, though they are difficult to implement in Web surveys;</w:t>
      </w:r>
    </w:p>
    <w:p w:rsidR="005561E5" w:rsidRPr="00370885" w:rsidP="005561E5" w14:paraId="66CA95EC" w14:textId="77777777">
      <w:pPr>
        <w:pStyle w:val="ListParagraph"/>
        <w:numPr>
          <w:ilvl w:val="0"/>
          <w:numId w:val="2"/>
        </w:numPr>
        <w:textAlignment w:val="auto"/>
        <w:rPr>
          <w:rFonts w:ascii="Times New Roman" w:hAnsi="Times New Roman"/>
        </w:rPr>
      </w:pPr>
      <w:r w:rsidRPr="0EEECE9C">
        <w:rPr>
          <w:rFonts w:ascii="Times New Roman" w:hAnsi="Times New Roman"/>
        </w:rPr>
        <w:t xml:space="preserve">Incentives, thus, have clear potential for both increasing and reducing nonresponse bias. If they can be targeted to sample volunteers who would otherwise fail to respond.” </w:t>
      </w:r>
    </w:p>
    <w:p w:rsidR="005561E5" w:rsidRPr="00370885" w:rsidP="005561E5" w14:paraId="04E67713" w14:textId="77777777">
      <w:pPr>
        <w:rPr>
          <w:rFonts w:ascii="Times New Roman" w:hAnsi="Times New Roman"/>
        </w:rPr>
      </w:pPr>
    </w:p>
    <w:p w:rsidR="005561E5" w:rsidP="005561E5" w14:paraId="1872BC71" w14:textId="77777777">
      <w:pPr>
        <w:pStyle w:val="NormalWeb"/>
        <w:widowControl w:val="0"/>
        <w:tabs>
          <w:tab w:val="left" w:pos="360"/>
          <w:tab w:val="left" w:pos="720"/>
          <w:tab w:val="left" w:pos="1080"/>
          <w:tab w:val="left" w:pos="1440"/>
        </w:tabs>
        <w:spacing w:before="0" w:beforeAutospacing="0" w:after="0" w:afterAutospacing="0"/>
      </w:pPr>
      <w:r w:rsidRPr="00370885">
        <w:tab/>
      </w:r>
      <w:r w:rsidRPr="0EEECE9C">
        <w:t xml:space="preserve">The Singer and Ye article </w:t>
      </w:r>
      <w:r w:rsidRPr="0EEECE9C">
        <w:t>represents</w:t>
      </w:r>
      <w:r w:rsidRPr="0EEECE9C">
        <w:t xml:space="preserve"> a balanced perspective in that it presents findings that suggest some types of incentives are not effective as well as findings that suggest incentives are effective. Nonetheless, the general conclusion based on research published in the most recent decade is that incentives are effective means to increase response rates.   </w:t>
      </w:r>
    </w:p>
    <w:p w:rsidR="008B728A" w14:paraId="2627F305" w14:textId="76B9A7EB">
      <w:pPr>
        <w:overflowPunct/>
        <w:autoSpaceDE/>
        <w:autoSpaceDN/>
        <w:adjustRightInd/>
        <w:spacing w:after="160" w:line="259" w:lineRule="auto"/>
        <w:textAlignment w:val="auto"/>
        <w:rPr>
          <w:rFonts w:ascii="Times New Roman" w:hAnsi="Times New Roman"/>
          <w:szCs w:val="24"/>
        </w:rPr>
      </w:pPr>
      <w:r>
        <w:br w:type="page"/>
      </w:r>
    </w:p>
    <w:p w:rsidR="008B728A" w:rsidRPr="00505E03" w:rsidP="005561E5" w14:paraId="4B6BD66F" w14:textId="77777777">
      <w:pPr>
        <w:pStyle w:val="NormalWeb"/>
        <w:widowControl w:val="0"/>
        <w:tabs>
          <w:tab w:val="left" w:pos="360"/>
          <w:tab w:val="left" w:pos="720"/>
          <w:tab w:val="left" w:pos="1080"/>
          <w:tab w:val="left" w:pos="1440"/>
        </w:tabs>
        <w:spacing w:before="0" w:beforeAutospacing="0" w:after="0" w:afterAutospacing="0"/>
      </w:pPr>
    </w:p>
    <w:p w:rsidR="005561E5" w:rsidRPr="00F141B5" w:rsidP="005561E5" w14:paraId="04B3F8CC" w14:textId="77777777">
      <w:pPr>
        <w:pStyle w:val="Heading2"/>
        <w:numPr>
          <w:ilvl w:val="0"/>
          <w:numId w:val="15"/>
        </w:numPr>
      </w:pPr>
      <w:r w:rsidRPr="0EEECE9C">
        <w:t xml:space="preserve">Privacy &amp; Confidentiality.  </w:t>
      </w:r>
    </w:p>
    <w:p w:rsidR="005561E5" w:rsidRPr="00DA01CA" w:rsidP="005561E5" w14:paraId="075C5100" w14:textId="77777777">
      <w:pPr>
        <w:tabs>
          <w:tab w:val="left" w:pos="360"/>
        </w:tabs>
        <w:spacing w:after="120"/>
        <w:rPr>
          <w:rFonts w:ascii="Times New Roman" w:hAnsi="Times New Roman"/>
        </w:rPr>
      </w:pPr>
      <w:r w:rsidRPr="0EEECE9C">
        <w:rPr>
          <w:rFonts w:ascii="Times New Roman" w:hAnsi="Times New Roman"/>
        </w:rPr>
        <w:t xml:space="preserve">Participants’ responses to this information collection will remain private to the extent permitted by law. </w:t>
      </w:r>
      <w:r w:rsidRPr="0EEECE9C">
        <w:rPr>
          <w:rFonts w:ascii="Times New Roman" w:hAnsi="Times New Roman"/>
          <w:color w:val="000000" w:themeColor="text1"/>
        </w:rPr>
        <w:t>The independent contractor will make clear that individual responses will not be shared; the basis for the assurance of privacy is from the privacy statement in the survey invitation, consent forms, and surveys.</w:t>
      </w:r>
      <w:r w:rsidRPr="0EEECE9C">
        <w:rPr>
          <w:rFonts w:ascii="Times New Roman" w:hAnsi="Times New Roman"/>
        </w:rPr>
        <w:t xml:space="preserve"> All respondents will be assured that their participation is voluntary, that no adverse consequences will accrue to individuals who do not complete the surveys, and that their comments and opinions will be kept private. </w:t>
      </w:r>
    </w:p>
    <w:p w:rsidR="005561E5" w:rsidRPr="00120AB9" w:rsidP="005561E5" w14:paraId="7B9C2AE3" w14:textId="77777777">
      <w:pPr>
        <w:pStyle w:val="NormalWeb"/>
        <w:widowControl w:val="0"/>
        <w:tabs>
          <w:tab w:val="left" w:pos="360"/>
          <w:tab w:val="left" w:pos="720"/>
          <w:tab w:val="left" w:pos="1080"/>
          <w:tab w:val="left" w:pos="1440"/>
        </w:tabs>
        <w:spacing w:before="0" w:beforeAutospacing="0" w:after="120" w:afterAutospacing="0"/>
      </w:pPr>
      <w:r w:rsidRPr="0EEECE9C">
        <w:t xml:space="preserve">The focus group and interview scripts include an assurance of privacy because the notes/recording from these conversations will not include any personally identifiable information, and results will be compiled into a summary that does not identify any specific grantee or organization, their partners, or the members. </w:t>
      </w:r>
    </w:p>
    <w:p w:rsidR="005561E5" w:rsidRPr="00505E03" w:rsidP="005561E5" w14:paraId="31264804" w14:textId="64CBBA2F">
      <w:pPr>
        <w:pStyle w:val="NormalWeb"/>
        <w:spacing w:before="0" w:beforeAutospacing="0" w:after="120" w:afterAutospacing="0"/>
      </w:pPr>
      <w:r w:rsidRPr="0EEECE9C">
        <w:t>No personally identifiable information, proprietary trade secrets, or other confidential information is being collected</w:t>
      </w:r>
      <w:r w:rsidR="009B3818">
        <w:t xml:space="preserve"> from grantees and partner organizations</w:t>
      </w:r>
      <w:r w:rsidR="003B68E1">
        <w:t xml:space="preserve"> The personally identifiable information that is collected from </w:t>
      </w:r>
      <w:r w:rsidR="00CF5299">
        <w:t xml:space="preserve">members/alumni is covered by the System of Record Notice </w:t>
      </w:r>
      <w:r w:rsidR="00BC76F6">
        <w:t xml:space="preserve">CNCS-04-CPO-MMF-Member Management Files (MMF), </w:t>
      </w:r>
      <w:r w:rsidR="00057218">
        <w:t>85 Fed. Reg. 3896 (January 23, 2020)</w:t>
      </w:r>
      <w:r w:rsidRPr="0EEECE9C">
        <w:t xml:space="preserve">. </w:t>
      </w:r>
      <w:r w:rsidRPr="0EEECE9C">
        <w:rPr>
          <w:color w:val="000000" w:themeColor="text1"/>
        </w:rPr>
        <w:t>Access to any data with identifying information will be limited only to the independent contractor directly working on the information collection. The independent contractor will de-identify the data prior to analysis, so that individual responses cannot be linked to a specific individual. Additionally, all analyses, summaries, or briefings will be presented at the aggregate-level, and it will not be possible to identify individual respondents in any material that is presented.</w:t>
      </w:r>
      <w:r w:rsidRPr="0EEECE9C">
        <w:t xml:space="preserve"> </w:t>
      </w:r>
      <w:r w:rsidRPr="0EEECE9C">
        <w:rPr>
          <w:color w:val="000000" w:themeColor="text1"/>
        </w:rPr>
        <w:t>The independent contractor will provide AmeriCorps a de-identified dataset that can be used for further analysis or shared with other research and evaluators for additional secondary analysis.</w:t>
      </w:r>
    </w:p>
    <w:p w:rsidR="005561E5" w:rsidRPr="00C20A1E" w:rsidP="005561E5" w14:paraId="24A59D8B" w14:textId="77777777">
      <w:pPr>
        <w:pStyle w:val="Heading2"/>
        <w:numPr>
          <w:ilvl w:val="0"/>
          <w:numId w:val="15"/>
        </w:numPr>
      </w:pPr>
      <w:r w:rsidRPr="00C20A1E">
        <w:t xml:space="preserve">Sensitive Questions.  </w:t>
      </w:r>
    </w:p>
    <w:p w:rsidR="005561E5" w:rsidRPr="00505E03" w:rsidP="005561E5" w14:paraId="00999A0B" w14:textId="77777777">
      <w:pPr>
        <w:pStyle w:val="NormalWeb"/>
        <w:widowControl w:val="0"/>
        <w:tabs>
          <w:tab w:val="left" w:pos="360"/>
          <w:tab w:val="left" w:pos="720"/>
          <w:tab w:val="left" w:pos="1080"/>
          <w:tab w:val="left" w:pos="1440"/>
        </w:tabs>
        <w:spacing w:before="0" w:beforeAutospacing="0" w:after="0" w:afterAutospacing="0"/>
      </w:pPr>
      <w:r w:rsidRPr="00C20A1E">
        <w:t>Of the proposed questions, the demographic questions on gender identity and sexual orientation</w:t>
      </w:r>
      <w:r w:rsidRPr="0EEECE9C">
        <w:t xml:space="preserve"> may be of sensitive nature. These questions are asked to gauge whether the Public Health AmeriCorps program is meeting its diversity goals when recruiting members. For both questions, respondents are offered an option of “prefer not to answer”. Any member who left service before their term expired could have a reason for doing so that causes discomfort, but the listed reasons for early departure are written in a non-judgmental and objective manner.</w:t>
      </w:r>
    </w:p>
    <w:p w:rsidR="005561E5" w:rsidRPr="004E5924" w:rsidP="005561E5" w14:paraId="1FB7427C" w14:textId="77777777">
      <w:pPr>
        <w:pStyle w:val="Heading2"/>
        <w:numPr>
          <w:ilvl w:val="0"/>
          <w:numId w:val="15"/>
        </w:numPr>
      </w:pPr>
      <w:r w:rsidRPr="0EEECE9C">
        <w:t xml:space="preserve">Burden Estimate. </w:t>
      </w:r>
    </w:p>
    <w:p w:rsidR="005561E5" w:rsidP="005561E5" w14:paraId="547E4226" w14:textId="2631EA14">
      <w:pPr>
        <w:pStyle w:val="NormalWeb"/>
        <w:widowControl w:val="0"/>
        <w:tabs>
          <w:tab w:val="left" w:pos="360"/>
          <w:tab w:val="left" w:pos="720"/>
          <w:tab w:val="left" w:pos="1080"/>
          <w:tab w:val="left" w:pos="1440"/>
        </w:tabs>
        <w:spacing w:before="0" w:beforeAutospacing="0" w:after="0" w:afterAutospacing="0"/>
      </w:pPr>
      <w:r>
        <w:t>The total number of responses is 2,198; and the estimated total burden is 2,095.9 hours for the information collection</w:t>
      </w:r>
      <w:r w:rsidR="00C1443C">
        <w:t xml:space="preserve"> (</w:t>
      </w:r>
      <w:r w:rsidR="008B728A">
        <w:t>see Table 3a and Table 3b on page 17</w:t>
      </w:r>
      <w:r w:rsidR="00C1443C">
        <w:t>)</w:t>
      </w:r>
      <w:r>
        <w:t xml:space="preserve">. The estimate differs from the estimate in the 60-day Federal Register Notice which was then estimated at a total burden of 1,004 hours. The reason for the difference is that through discussion with scholars in the technical working group, AmeriCorps added the follow-up survey so that alumni can be surveyed twice to strengthen the evidence of </w:t>
      </w:r>
      <w:r w:rsidRPr="34D2167D">
        <w:t xml:space="preserve">employment outcome and public health careers post-service. The ability to secure public health employment may take time, as some alumni may continue with higher education. It may also take longer to secure public health employment due </w:t>
      </w:r>
      <w:r w:rsidRPr="34D2167D">
        <w:t>to external barriers such as general labor market conditions, public health hiring and governmental public health careers, and opportunities in target communities by the public and private health sectors may be inelastic. The longitudinal aspect of the data collection allows for a longer time frame to measure alumni’s employment outcomes.</w:t>
      </w:r>
      <w:r>
        <w:t xml:space="preserve"> </w:t>
      </w:r>
    </w:p>
    <w:p w:rsidR="005561E5" w:rsidP="005561E5" w14:paraId="0ABC8C81" w14:textId="77777777">
      <w:pPr>
        <w:pStyle w:val="NormalWeb"/>
        <w:widowControl w:val="0"/>
        <w:tabs>
          <w:tab w:val="left" w:pos="360"/>
          <w:tab w:val="left" w:pos="720"/>
          <w:tab w:val="left" w:pos="1080"/>
          <w:tab w:val="left" w:pos="1440"/>
        </w:tabs>
        <w:spacing w:before="120" w:beforeAutospacing="0" w:after="0" w:afterAutospacing="0"/>
      </w:pPr>
      <w:r w:rsidRPr="0EEECE9C">
        <w:t xml:space="preserve">The number of respondents and responses broken down by form </w:t>
      </w:r>
      <w:r>
        <w:t xml:space="preserve">and each phase of the information collection </w:t>
      </w:r>
      <w:r w:rsidRPr="0EEECE9C">
        <w:t xml:space="preserve">are listed </w:t>
      </w:r>
      <w:r>
        <w:t xml:space="preserve">in the next </w:t>
      </w:r>
      <w:r w:rsidR="00722C8B">
        <w:t>three</w:t>
      </w:r>
      <w:r>
        <w:t xml:space="preserve"> tables</w:t>
      </w:r>
      <w:r w:rsidRPr="0EEECE9C">
        <w:t>:</w:t>
      </w:r>
    </w:p>
    <w:p w:rsidR="005561E5" w:rsidP="005561E5" w14:paraId="7E66E0D0" w14:textId="77777777">
      <w:pPr>
        <w:overflowPunct/>
        <w:autoSpaceDE/>
        <w:autoSpaceDN/>
        <w:adjustRightInd/>
        <w:textAlignment w:val="auto"/>
        <w:rPr>
          <w:rFonts w:ascii="Times New Roman" w:hAnsi="Times New Roman"/>
          <w:i/>
          <w:iCs/>
          <w:szCs w:val="24"/>
        </w:rPr>
      </w:pPr>
    </w:p>
    <w:p w:rsidR="005561E5" w:rsidRPr="007540DC" w:rsidP="005561E5" w14:paraId="4BCB955B" w14:textId="77777777">
      <w:pPr>
        <w:pStyle w:val="NormalWeb"/>
        <w:widowControl w:val="0"/>
        <w:tabs>
          <w:tab w:val="left" w:pos="360"/>
          <w:tab w:val="left" w:pos="720"/>
          <w:tab w:val="left" w:pos="1080"/>
          <w:tab w:val="left" w:pos="1440"/>
        </w:tabs>
        <w:spacing w:before="0" w:beforeAutospacing="0" w:after="120" w:afterAutospacing="0"/>
        <w:rPr>
          <w:i/>
          <w:iCs/>
        </w:rPr>
      </w:pPr>
      <w:r w:rsidRPr="007540DC">
        <w:rPr>
          <w:i/>
          <w:iCs/>
        </w:rPr>
        <w:t>Phase 1: June 2024 – October 2024 Burden Estimates</w:t>
      </w:r>
    </w:p>
    <w:tbl>
      <w:tblPr>
        <w:tblW w:w="7800" w:type="dxa"/>
        <w:tblLook w:val="04A0"/>
      </w:tblPr>
      <w:tblGrid>
        <w:gridCol w:w="2300"/>
        <w:gridCol w:w="1760"/>
        <w:gridCol w:w="2260"/>
        <w:gridCol w:w="1480"/>
      </w:tblGrid>
      <w:tr w14:paraId="006A94DB" w14:textId="77777777" w:rsidTr="00F4770E">
        <w:tblPrEx>
          <w:tblW w:w="7800" w:type="dxa"/>
          <w:tblLook w:val="04A0"/>
        </w:tblPrEx>
        <w:trPr>
          <w:trHeight w:val="610"/>
        </w:trPr>
        <w:tc>
          <w:tcPr>
            <w:tcW w:w="2300" w:type="dxa"/>
            <w:tcBorders>
              <w:top w:val="single" w:sz="8" w:space="0" w:color="auto"/>
              <w:left w:val="single" w:sz="8" w:space="0" w:color="auto"/>
              <w:bottom w:val="single" w:sz="8" w:space="0" w:color="auto"/>
              <w:right w:val="single" w:sz="8" w:space="0" w:color="auto"/>
            </w:tcBorders>
            <w:shd w:val="clear" w:color="000000" w:fill="0033CC"/>
            <w:vAlign w:val="center"/>
            <w:hideMark/>
          </w:tcPr>
          <w:p w:rsidR="005561E5" w:rsidRPr="00FB3A02" w:rsidP="00F4770E" w14:paraId="5C2D9F65"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Form</w:t>
            </w:r>
          </w:p>
        </w:tc>
        <w:tc>
          <w:tcPr>
            <w:tcW w:w="176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5D48CFA3"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Responses</w:t>
            </w:r>
          </w:p>
        </w:tc>
        <w:tc>
          <w:tcPr>
            <w:tcW w:w="226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4D529A46"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 xml:space="preserve">Burden </w:t>
            </w:r>
            <w:r w:rsidRPr="00FB3A02">
              <w:rPr>
                <w:rFonts w:ascii="Times New Roman" w:hAnsi="Times New Roman"/>
                <w:b/>
                <w:bCs/>
                <w:color w:val="FFFFFF" w:themeColor="background1"/>
                <w:szCs w:val="24"/>
              </w:rPr>
              <w:t>Hr</w:t>
            </w:r>
            <w:r w:rsidRPr="00FB3A02">
              <w:rPr>
                <w:rFonts w:ascii="Times New Roman" w:hAnsi="Times New Roman"/>
                <w:b/>
                <w:bCs/>
                <w:color w:val="FFFFFF" w:themeColor="background1"/>
                <w:szCs w:val="24"/>
              </w:rPr>
              <w:t xml:space="preserve"> Per Response</w:t>
            </w:r>
          </w:p>
        </w:tc>
        <w:tc>
          <w:tcPr>
            <w:tcW w:w="148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74F54525"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Total Burden Hours</w:t>
            </w:r>
          </w:p>
        </w:tc>
      </w:tr>
      <w:tr w14:paraId="248C4D14" w14:textId="77777777" w:rsidTr="00F4770E">
        <w:tblPrEx>
          <w:tblW w:w="7800" w:type="dxa"/>
          <w:tblLook w:val="04A0"/>
        </w:tblPrEx>
        <w:trPr>
          <w:trHeight w:val="63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13DD4524"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Member Alumni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2AB236AB"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609</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11E81321"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0F32A262"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304.5</w:t>
            </w:r>
          </w:p>
        </w:tc>
      </w:tr>
      <w:tr w14:paraId="600F31FD"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3575AE54"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Early exit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7EAD953B"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238</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6442F051"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770A453D"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119.1</w:t>
            </w:r>
          </w:p>
        </w:tc>
      </w:tr>
      <w:tr w14:paraId="2C1E940D"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41FDA86D"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Grantee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3B333E8E"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82</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37F3A913"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19AA0F6D"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41</w:t>
            </w:r>
          </w:p>
        </w:tc>
      </w:tr>
      <w:tr w14:paraId="407068A8"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2C228D31"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Training and TA Form</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448F5BCE"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82</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4AC1C0DB"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0.25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0610754B"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20.5</w:t>
            </w:r>
          </w:p>
        </w:tc>
      </w:tr>
      <w:tr w14:paraId="25617999"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336BC787"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Grantee Focus Group</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48D25F5B"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15</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49A113AE"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437CCA16"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22.5</w:t>
            </w:r>
          </w:p>
        </w:tc>
      </w:tr>
      <w:tr w14:paraId="444778F9"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2782A0A0"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Early exit interviews</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5958DCE3"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5</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411EC43C"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545B0E7B"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2.5</w:t>
            </w:r>
          </w:p>
        </w:tc>
      </w:tr>
      <w:tr w14:paraId="16EF2109"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04F8BEB4"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Partner interview</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55B8B57D"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4</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2A175BCC"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5D295D5A"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w:t>
            </w:r>
          </w:p>
        </w:tc>
      </w:tr>
      <w:tr w14:paraId="024666DC"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6ED319DA" w14:textId="77777777">
            <w:pPr>
              <w:overflowPunct/>
              <w:autoSpaceDE/>
              <w:autoSpaceDN/>
              <w:adjustRightInd/>
              <w:textAlignment w:val="auto"/>
              <w:rPr>
                <w:rFonts w:ascii="Times New Roman" w:hAnsi="Times New Roman"/>
                <w:b/>
                <w:bCs/>
                <w:color w:val="000000"/>
                <w:szCs w:val="24"/>
              </w:rPr>
            </w:pPr>
            <w:r w:rsidRPr="00FB3A02">
              <w:rPr>
                <w:rFonts w:ascii="Times New Roman" w:hAnsi="Times New Roman"/>
                <w:b/>
                <w:bCs/>
                <w:color w:val="000000"/>
                <w:szCs w:val="24"/>
              </w:rPr>
              <w:t>TOTAL</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3393BA41"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1,035</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455D2568"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2170DFCC"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512.1</w:t>
            </w:r>
          </w:p>
        </w:tc>
      </w:tr>
    </w:tbl>
    <w:p w:rsidR="005561E5" w:rsidP="005561E5" w14:paraId="61E4BFEA" w14:textId="77777777">
      <w:pPr>
        <w:pStyle w:val="NormalWeb"/>
        <w:widowControl w:val="0"/>
        <w:tabs>
          <w:tab w:val="left" w:pos="360"/>
          <w:tab w:val="left" w:pos="720"/>
          <w:tab w:val="left" w:pos="1080"/>
          <w:tab w:val="left" w:pos="1440"/>
        </w:tabs>
        <w:spacing w:before="0" w:beforeAutospacing="0" w:after="0" w:afterAutospacing="0"/>
        <w:rPr>
          <w:u w:val="single"/>
        </w:rPr>
      </w:pPr>
    </w:p>
    <w:p w:rsidR="005561E5" w:rsidRPr="00CD1746" w:rsidP="005561E5" w14:paraId="1FA3647B" w14:textId="77777777">
      <w:pPr>
        <w:pStyle w:val="NormalWeb"/>
        <w:widowControl w:val="0"/>
        <w:tabs>
          <w:tab w:val="left" w:pos="360"/>
          <w:tab w:val="left" w:pos="720"/>
          <w:tab w:val="left" w:pos="1080"/>
          <w:tab w:val="left" w:pos="1440"/>
        </w:tabs>
        <w:spacing w:before="0" w:beforeAutospacing="0" w:after="120" w:afterAutospacing="0"/>
        <w:rPr>
          <w:i/>
          <w:iCs/>
        </w:rPr>
      </w:pPr>
      <w:r w:rsidRPr="00CD1746">
        <w:rPr>
          <w:i/>
          <w:iCs/>
        </w:rPr>
        <w:t>Phase 2: January 2025 – May 2025</w:t>
      </w:r>
    </w:p>
    <w:tbl>
      <w:tblPr>
        <w:tblW w:w="7800" w:type="dxa"/>
        <w:tblLook w:val="04A0"/>
      </w:tblPr>
      <w:tblGrid>
        <w:gridCol w:w="2300"/>
        <w:gridCol w:w="1760"/>
        <w:gridCol w:w="2260"/>
        <w:gridCol w:w="1480"/>
      </w:tblGrid>
      <w:tr w14:paraId="72B996ED" w14:textId="77777777" w:rsidTr="00F4770E">
        <w:tblPrEx>
          <w:tblW w:w="7800" w:type="dxa"/>
          <w:tblLook w:val="04A0"/>
        </w:tblPrEx>
        <w:trPr>
          <w:trHeight w:val="610"/>
        </w:trPr>
        <w:tc>
          <w:tcPr>
            <w:tcW w:w="2300" w:type="dxa"/>
            <w:tcBorders>
              <w:top w:val="single" w:sz="8" w:space="0" w:color="auto"/>
              <w:left w:val="single" w:sz="8" w:space="0" w:color="auto"/>
              <w:bottom w:val="single" w:sz="8" w:space="0" w:color="auto"/>
              <w:right w:val="single" w:sz="8" w:space="0" w:color="auto"/>
            </w:tcBorders>
            <w:shd w:val="clear" w:color="000000" w:fill="0033CC"/>
            <w:vAlign w:val="center"/>
            <w:hideMark/>
          </w:tcPr>
          <w:p w:rsidR="005561E5" w:rsidRPr="00FB3A02" w:rsidP="00F4770E" w14:paraId="5A527F73"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Form</w:t>
            </w:r>
          </w:p>
        </w:tc>
        <w:tc>
          <w:tcPr>
            <w:tcW w:w="176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29F04488"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Responses</w:t>
            </w:r>
          </w:p>
        </w:tc>
        <w:tc>
          <w:tcPr>
            <w:tcW w:w="226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0181E283"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 xml:space="preserve">Burden </w:t>
            </w:r>
            <w:r w:rsidRPr="00FB3A02">
              <w:rPr>
                <w:rFonts w:ascii="Times New Roman" w:hAnsi="Times New Roman"/>
                <w:b/>
                <w:bCs/>
                <w:color w:val="FFFFFF" w:themeColor="background1"/>
                <w:szCs w:val="24"/>
              </w:rPr>
              <w:t>Hr</w:t>
            </w:r>
            <w:r w:rsidRPr="00FB3A02">
              <w:rPr>
                <w:rFonts w:ascii="Times New Roman" w:hAnsi="Times New Roman"/>
                <w:b/>
                <w:bCs/>
                <w:color w:val="FFFFFF" w:themeColor="background1"/>
                <w:szCs w:val="24"/>
              </w:rPr>
              <w:t xml:space="preserve"> Per Response</w:t>
            </w:r>
          </w:p>
        </w:tc>
        <w:tc>
          <w:tcPr>
            <w:tcW w:w="148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6EDB6B8B"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Total Burden Hours</w:t>
            </w:r>
          </w:p>
        </w:tc>
      </w:tr>
      <w:tr w14:paraId="7733201D" w14:textId="77777777" w:rsidTr="00F4770E">
        <w:tblPrEx>
          <w:tblW w:w="7800" w:type="dxa"/>
          <w:tblLook w:val="04A0"/>
        </w:tblPrEx>
        <w:trPr>
          <w:trHeight w:val="63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54DFE8F9"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Member Alumni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2CF9816F"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953</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7AE74527"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1554F476"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476.3</w:t>
            </w:r>
          </w:p>
        </w:tc>
      </w:tr>
      <w:tr w14:paraId="165A6697"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7F640326"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Early exit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3AD9CA82"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205</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503AA0E3"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743AFF20"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102.6</w:t>
            </w:r>
          </w:p>
        </w:tc>
      </w:tr>
      <w:tr w14:paraId="0B4056EF"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251E5AFD"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Early exit interviews</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1895753A"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5</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38BEF954"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116FDB64"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2.5</w:t>
            </w:r>
          </w:p>
        </w:tc>
      </w:tr>
      <w:tr w14:paraId="04998998"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3E53CCDE" w14:textId="77777777">
            <w:pPr>
              <w:overflowPunct/>
              <w:autoSpaceDE/>
              <w:autoSpaceDN/>
              <w:adjustRightInd/>
              <w:textAlignment w:val="auto"/>
              <w:rPr>
                <w:rFonts w:ascii="Times New Roman" w:hAnsi="Times New Roman"/>
                <w:b/>
                <w:bCs/>
                <w:color w:val="000000"/>
                <w:szCs w:val="24"/>
              </w:rPr>
            </w:pPr>
            <w:r w:rsidRPr="00FB3A02">
              <w:rPr>
                <w:rFonts w:ascii="Times New Roman" w:hAnsi="Times New Roman"/>
                <w:b/>
                <w:bCs/>
                <w:color w:val="000000"/>
                <w:szCs w:val="24"/>
              </w:rPr>
              <w:t>TOTAL</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2FE72369"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1,163</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514646EA"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101B5BB3"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581.4</w:t>
            </w:r>
          </w:p>
        </w:tc>
      </w:tr>
    </w:tbl>
    <w:p w:rsidR="005561E5" w:rsidP="005561E5" w14:paraId="11403C1A" w14:textId="77777777">
      <w:pPr>
        <w:pStyle w:val="NormalWeb"/>
        <w:widowControl w:val="0"/>
        <w:tabs>
          <w:tab w:val="left" w:pos="360"/>
          <w:tab w:val="left" w:pos="720"/>
          <w:tab w:val="left" w:pos="1080"/>
          <w:tab w:val="left" w:pos="1440"/>
        </w:tabs>
        <w:spacing w:before="0" w:beforeAutospacing="0" w:after="0" w:afterAutospacing="0"/>
        <w:rPr>
          <w:u w:val="single"/>
        </w:rPr>
      </w:pPr>
    </w:p>
    <w:p w:rsidR="005561E5" w:rsidRPr="00CD1746" w:rsidP="005561E5" w14:paraId="684E678B" w14:textId="77777777">
      <w:pPr>
        <w:pStyle w:val="NormalWeb"/>
        <w:widowControl w:val="0"/>
        <w:tabs>
          <w:tab w:val="left" w:pos="360"/>
          <w:tab w:val="left" w:pos="720"/>
          <w:tab w:val="left" w:pos="1080"/>
          <w:tab w:val="left" w:pos="1440"/>
        </w:tabs>
        <w:spacing w:before="0" w:beforeAutospacing="0" w:after="120" w:afterAutospacing="0"/>
        <w:rPr>
          <w:i/>
          <w:iCs/>
        </w:rPr>
      </w:pPr>
      <w:r w:rsidRPr="00CD1746">
        <w:rPr>
          <w:i/>
          <w:iCs/>
        </w:rPr>
        <w:t>Phase 3 Follow-up post survey with respondents from Phases 1 and 2: November 2025 – March 2026</w:t>
      </w:r>
    </w:p>
    <w:tbl>
      <w:tblPr>
        <w:tblW w:w="7800" w:type="dxa"/>
        <w:tblLook w:val="04A0"/>
      </w:tblPr>
      <w:tblGrid>
        <w:gridCol w:w="2300"/>
        <w:gridCol w:w="1760"/>
        <w:gridCol w:w="2260"/>
        <w:gridCol w:w="1480"/>
      </w:tblGrid>
      <w:tr w14:paraId="6A6FD936" w14:textId="77777777" w:rsidTr="00F4770E">
        <w:tblPrEx>
          <w:tblW w:w="7800" w:type="dxa"/>
          <w:tblLook w:val="04A0"/>
        </w:tblPrEx>
        <w:trPr>
          <w:trHeight w:val="610"/>
        </w:trPr>
        <w:tc>
          <w:tcPr>
            <w:tcW w:w="2300" w:type="dxa"/>
            <w:tcBorders>
              <w:top w:val="single" w:sz="8" w:space="0" w:color="auto"/>
              <w:left w:val="single" w:sz="8" w:space="0" w:color="auto"/>
              <w:bottom w:val="single" w:sz="8" w:space="0" w:color="auto"/>
              <w:right w:val="single" w:sz="8" w:space="0" w:color="auto"/>
            </w:tcBorders>
            <w:shd w:val="clear" w:color="000000" w:fill="0033CC"/>
            <w:vAlign w:val="center"/>
            <w:hideMark/>
          </w:tcPr>
          <w:p w:rsidR="005561E5" w:rsidRPr="00FB3A02" w:rsidP="00F4770E" w14:paraId="22E71EE2"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Form</w:t>
            </w:r>
          </w:p>
        </w:tc>
        <w:tc>
          <w:tcPr>
            <w:tcW w:w="176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17988059"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Responses</w:t>
            </w:r>
          </w:p>
        </w:tc>
        <w:tc>
          <w:tcPr>
            <w:tcW w:w="226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50808B4E"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 xml:space="preserve">Burden </w:t>
            </w:r>
            <w:r w:rsidRPr="00FB3A02">
              <w:rPr>
                <w:rFonts w:ascii="Times New Roman" w:hAnsi="Times New Roman"/>
                <w:b/>
                <w:bCs/>
                <w:color w:val="FFFFFF" w:themeColor="background1"/>
                <w:szCs w:val="24"/>
              </w:rPr>
              <w:t>Hr</w:t>
            </w:r>
            <w:r w:rsidRPr="00FB3A02">
              <w:rPr>
                <w:rFonts w:ascii="Times New Roman" w:hAnsi="Times New Roman"/>
                <w:b/>
                <w:bCs/>
                <w:color w:val="FFFFFF" w:themeColor="background1"/>
                <w:szCs w:val="24"/>
              </w:rPr>
              <w:t xml:space="preserve"> Per Response</w:t>
            </w:r>
          </w:p>
        </w:tc>
        <w:tc>
          <w:tcPr>
            <w:tcW w:w="1480" w:type="dxa"/>
            <w:tcBorders>
              <w:top w:val="single" w:sz="8" w:space="0" w:color="auto"/>
              <w:left w:val="nil"/>
              <w:bottom w:val="single" w:sz="8" w:space="0" w:color="auto"/>
              <w:right w:val="single" w:sz="8" w:space="0" w:color="auto"/>
            </w:tcBorders>
            <w:shd w:val="clear" w:color="000000" w:fill="0033CC"/>
            <w:vAlign w:val="center"/>
            <w:hideMark/>
          </w:tcPr>
          <w:p w:rsidR="005561E5" w:rsidRPr="00FB3A02" w:rsidP="00F4770E" w14:paraId="6E6D1948" w14:textId="77777777">
            <w:pPr>
              <w:overflowPunct/>
              <w:autoSpaceDE/>
              <w:autoSpaceDN/>
              <w:adjustRightInd/>
              <w:textAlignment w:val="auto"/>
              <w:rPr>
                <w:rFonts w:ascii="Times New Roman" w:hAnsi="Times New Roman"/>
                <w:b/>
                <w:bCs/>
                <w:color w:val="FFFFFF"/>
                <w:szCs w:val="24"/>
              </w:rPr>
            </w:pPr>
            <w:r w:rsidRPr="00FB3A02">
              <w:rPr>
                <w:rFonts w:ascii="Times New Roman" w:hAnsi="Times New Roman"/>
                <w:b/>
                <w:bCs/>
                <w:color w:val="FFFFFF" w:themeColor="background1"/>
                <w:szCs w:val="24"/>
              </w:rPr>
              <w:t>Total Burden Hours</w:t>
            </w:r>
          </w:p>
        </w:tc>
      </w:tr>
      <w:tr w14:paraId="115CB638" w14:textId="77777777" w:rsidTr="00F4770E">
        <w:tblPrEx>
          <w:tblW w:w="7800" w:type="dxa"/>
          <w:tblLook w:val="04A0"/>
        </w:tblPrEx>
        <w:trPr>
          <w:trHeight w:val="63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5FECE8C6"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Member Alumni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1EAACCF2"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1562</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198531AA"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25CF00C1"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780.8</w:t>
            </w:r>
          </w:p>
        </w:tc>
      </w:tr>
      <w:tr w14:paraId="2D994549"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2CC74E79" w14:textId="77777777">
            <w:pPr>
              <w:overflowPunct/>
              <w:autoSpaceDE/>
              <w:autoSpaceDN/>
              <w:adjustRightInd/>
              <w:textAlignment w:val="auto"/>
              <w:rPr>
                <w:rFonts w:ascii="Times New Roman" w:hAnsi="Times New Roman"/>
                <w:color w:val="000000"/>
                <w:szCs w:val="24"/>
              </w:rPr>
            </w:pPr>
            <w:r w:rsidRPr="00FB3A02">
              <w:rPr>
                <w:rFonts w:ascii="Times New Roman" w:hAnsi="Times New Roman"/>
                <w:color w:val="000000"/>
                <w:szCs w:val="24"/>
              </w:rPr>
              <w:t>Early exit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751A4069"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443</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0B25EECA"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0.5</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49466B90"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221.7</w:t>
            </w:r>
          </w:p>
        </w:tc>
      </w:tr>
      <w:tr w14:paraId="4E8194EF" w14:textId="77777777" w:rsidTr="00F4770E">
        <w:tblPrEx>
          <w:tblW w:w="7800" w:type="dxa"/>
          <w:tblLook w:val="04A0"/>
        </w:tblPrEx>
        <w:trPr>
          <w:trHeight w:val="320"/>
        </w:trPr>
        <w:tc>
          <w:tcPr>
            <w:tcW w:w="2300" w:type="dxa"/>
            <w:tcBorders>
              <w:top w:val="nil"/>
              <w:left w:val="single" w:sz="8" w:space="0" w:color="auto"/>
              <w:bottom w:val="single" w:sz="8" w:space="0" w:color="auto"/>
              <w:right w:val="single" w:sz="8" w:space="0" w:color="auto"/>
            </w:tcBorders>
            <w:shd w:val="clear" w:color="auto" w:fill="auto"/>
            <w:vAlign w:val="center"/>
            <w:hideMark/>
          </w:tcPr>
          <w:p w:rsidR="005561E5" w:rsidRPr="00FB3A02" w:rsidP="00F4770E" w14:paraId="6C03D06B" w14:textId="77777777">
            <w:pPr>
              <w:overflowPunct/>
              <w:autoSpaceDE/>
              <w:autoSpaceDN/>
              <w:adjustRightInd/>
              <w:textAlignment w:val="auto"/>
              <w:rPr>
                <w:rFonts w:ascii="Times New Roman" w:hAnsi="Times New Roman"/>
                <w:b/>
                <w:bCs/>
                <w:color w:val="000000"/>
                <w:szCs w:val="24"/>
              </w:rPr>
            </w:pPr>
            <w:r w:rsidRPr="00FB3A02">
              <w:rPr>
                <w:rFonts w:ascii="Times New Roman" w:hAnsi="Times New Roman"/>
                <w:b/>
                <w:bCs/>
                <w:color w:val="000000"/>
                <w:szCs w:val="24"/>
              </w:rPr>
              <w:t>TOTAL</w:t>
            </w:r>
          </w:p>
        </w:tc>
        <w:tc>
          <w:tcPr>
            <w:tcW w:w="1760" w:type="dxa"/>
            <w:tcBorders>
              <w:top w:val="nil"/>
              <w:left w:val="nil"/>
              <w:bottom w:val="single" w:sz="8" w:space="0" w:color="auto"/>
              <w:right w:val="single" w:sz="8" w:space="0" w:color="auto"/>
            </w:tcBorders>
            <w:shd w:val="clear" w:color="auto" w:fill="auto"/>
            <w:vAlign w:val="center"/>
            <w:hideMark/>
          </w:tcPr>
          <w:p w:rsidR="005561E5" w:rsidRPr="00FB3A02" w:rsidP="00F4770E" w14:paraId="695F7CF9"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2,005</w:t>
            </w:r>
          </w:p>
        </w:tc>
        <w:tc>
          <w:tcPr>
            <w:tcW w:w="2260" w:type="dxa"/>
            <w:tcBorders>
              <w:top w:val="nil"/>
              <w:left w:val="nil"/>
              <w:bottom w:val="single" w:sz="8" w:space="0" w:color="auto"/>
              <w:right w:val="single" w:sz="8" w:space="0" w:color="auto"/>
            </w:tcBorders>
            <w:shd w:val="clear" w:color="auto" w:fill="auto"/>
            <w:vAlign w:val="center"/>
            <w:hideMark/>
          </w:tcPr>
          <w:p w:rsidR="005561E5" w:rsidRPr="00FB3A02" w:rsidP="00F4770E" w14:paraId="0F4A5013"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w:t>
            </w:r>
          </w:p>
        </w:tc>
        <w:tc>
          <w:tcPr>
            <w:tcW w:w="1480" w:type="dxa"/>
            <w:tcBorders>
              <w:top w:val="nil"/>
              <w:left w:val="nil"/>
              <w:bottom w:val="single" w:sz="8" w:space="0" w:color="auto"/>
              <w:right w:val="single" w:sz="8" w:space="0" w:color="auto"/>
            </w:tcBorders>
            <w:shd w:val="clear" w:color="auto" w:fill="auto"/>
            <w:vAlign w:val="center"/>
            <w:hideMark/>
          </w:tcPr>
          <w:p w:rsidR="005561E5" w:rsidRPr="00FB3A02" w:rsidP="00F4770E" w14:paraId="30EEA6CB" w14:textId="77777777">
            <w:pPr>
              <w:overflowPunct/>
              <w:autoSpaceDE/>
              <w:autoSpaceDN/>
              <w:adjustRightInd/>
              <w:jc w:val="right"/>
              <w:textAlignment w:val="auto"/>
              <w:rPr>
                <w:rFonts w:ascii="Times New Roman" w:hAnsi="Times New Roman"/>
                <w:color w:val="000000"/>
                <w:szCs w:val="24"/>
              </w:rPr>
            </w:pPr>
            <w:r w:rsidRPr="00FB3A02">
              <w:rPr>
                <w:rFonts w:ascii="Times New Roman" w:hAnsi="Times New Roman"/>
                <w:color w:val="000000"/>
                <w:szCs w:val="24"/>
              </w:rPr>
              <w:t>1,002.5</w:t>
            </w:r>
          </w:p>
        </w:tc>
      </w:tr>
    </w:tbl>
    <w:p w:rsidR="005561E5" w:rsidP="005561E5" w14:paraId="5C3B70D6" w14:textId="77777777">
      <w:pPr>
        <w:overflowPunct/>
        <w:autoSpaceDE/>
        <w:autoSpaceDN/>
        <w:adjustRightInd/>
        <w:textAlignment w:val="auto"/>
        <w:rPr>
          <w:rFonts w:ascii="Times New Roman" w:hAnsi="Times New Roman"/>
          <w:i/>
          <w:iCs/>
          <w:szCs w:val="24"/>
        </w:rPr>
      </w:pPr>
    </w:p>
    <w:p w:rsidR="008B728A" w14:paraId="1D36ABFE" w14:textId="6F8A7A95">
      <w:pPr>
        <w:overflowPunct/>
        <w:autoSpaceDE/>
        <w:autoSpaceDN/>
        <w:adjustRightInd/>
        <w:spacing w:after="160" w:line="259" w:lineRule="auto"/>
        <w:textAlignment w:val="auto"/>
        <w:rPr>
          <w:rFonts w:ascii="Times New Roman" w:hAnsi="Times New Roman"/>
          <w:szCs w:val="24"/>
        </w:rPr>
      </w:pPr>
      <w:r>
        <w:rPr>
          <w:rFonts w:ascii="Times New Roman" w:hAnsi="Times New Roman"/>
          <w:szCs w:val="24"/>
        </w:rPr>
        <w:br w:type="page"/>
      </w:r>
    </w:p>
    <w:p w:rsidR="00722C8B" w:rsidP="005561E5" w14:paraId="6F649DAD" w14:textId="3D1A1075">
      <w:pPr>
        <w:overflowPunct/>
        <w:autoSpaceDE/>
        <w:autoSpaceDN/>
        <w:adjustRightInd/>
        <w:textAlignment w:val="auto"/>
        <w:rPr>
          <w:rFonts w:ascii="Times New Roman" w:hAnsi="Times New Roman"/>
          <w:szCs w:val="24"/>
        </w:rPr>
      </w:pPr>
      <w:r>
        <w:rPr>
          <w:rFonts w:ascii="Times New Roman" w:hAnsi="Times New Roman"/>
          <w:szCs w:val="24"/>
        </w:rPr>
        <w:t xml:space="preserve">Table 3a and Table 3b </w:t>
      </w:r>
      <w:r w:rsidR="00C1443C">
        <w:rPr>
          <w:rFonts w:ascii="Times New Roman" w:hAnsi="Times New Roman"/>
          <w:szCs w:val="24"/>
        </w:rPr>
        <w:t xml:space="preserve">show the </w:t>
      </w:r>
      <w:r w:rsidR="003F51E3">
        <w:rPr>
          <w:rFonts w:ascii="Times New Roman" w:hAnsi="Times New Roman"/>
          <w:szCs w:val="24"/>
        </w:rPr>
        <w:t>three phases</w:t>
      </w:r>
      <w:r w:rsidR="00C1443C">
        <w:rPr>
          <w:rFonts w:ascii="Times New Roman" w:hAnsi="Times New Roman"/>
          <w:szCs w:val="24"/>
        </w:rPr>
        <w:t xml:space="preserve"> combined;</w:t>
      </w:r>
      <w:r w:rsidR="003F51E3">
        <w:rPr>
          <w:rFonts w:ascii="Times New Roman" w:hAnsi="Times New Roman"/>
          <w:szCs w:val="24"/>
        </w:rPr>
        <w:t xml:space="preserve"> the total estimated burden is as follows:</w:t>
      </w:r>
    </w:p>
    <w:p w:rsidR="00827131" w:rsidRPr="00722C8B" w:rsidP="005561E5" w14:paraId="0201F12F" w14:textId="77777777">
      <w:pPr>
        <w:overflowPunct/>
        <w:autoSpaceDE/>
        <w:autoSpaceDN/>
        <w:adjustRightInd/>
        <w:textAlignment w:val="auto"/>
        <w:rPr>
          <w:rFonts w:ascii="Times New Roman" w:hAnsi="Times New Roman"/>
          <w:szCs w:val="24"/>
        </w:rPr>
      </w:pPr>
    </w:p>
    <w:p w:rsidR="005561E5" w:rsidRPr="00BA5E7F" w:rsidP="005561E5" w14:paraId="1F8E4AF4" w14:textId="7AA6E6F4">
      <w:pPr>
        <w:pStyle w:val="NormalWeb"/>
        <w:widowControl w:val="0"/>
        <w:tabs>
          <w:tab w:val="left" w:pos="360"/>
          <w:tab w:val="left" w:pos="720"/>
          <w:tab w:val="left" w:pos="1080"/>
          <w:tab w:val="left" w:pos="1440"/>
        </w:tabs>
        <w:spacing w:before="0" w:beforeAutospacing="0" w:after="120" w:afterAutospacing="0"/>
        <w:rPr>
          <w:b/>
          <w:bCs/>
          <w:i/>
          <w:iCs/>
        </w:rPr>
      </w:pPr>
      <w:r>
        <w:rPr>
          <w:b/>
          <w:bCs/>
          <w:i/>
          <w:iCs/>
        </w:rPr>
        <w:t xml:space="preserve">Table 3a. </w:t>
      </w:r>
      <w:r w:rsidRPr="00BA5E7F" w:rsidR="003F51E3">
        <w:rPr>
          <w:b/>
          <w:bCs/>
          <w:i/>
          <w:iCs/>
        </w:rPr>
        <w:t>Total Estimated Burden for the Information Collection</w:t>
      </w:r>
      <w:r w:rsidR="007065C8">
        <w:rPr>
          <w:b/>
          <w:bCs/>
          <w:i/>
          <w:iCs/>
        </w:rPr>
        <w:t>s</w:t>
      </w:r>
    </w:p>
    <w:tbl>
      <w:tblPr>
        <w:tblW w:w="6200" w:type="dxa"/>
        <w:tblLook w:val="04A0"/>
      </w:tblPr>
      <w:tblGrid>
        <w:gridCol w:w="2960"/>
        <w:gridCol w:w="1760"/>
        <w:gridCol w:w="1480"/>
      </w:tblGrid>
      <w:tr w14:paraId="6BBB8989" w14:textId="77777777" w:rsidTr="00827131">
        <w:tblPrEx>
          <w:tblW w:w="6200" w:type="dxa"/>
          <w:tblLook w:val="04A0"/>
        </w:tblPrEx>
        <w:trPr>
          <w:trHeight w:val="610"/>
        </w:trPr>
        <w:tc>
          <w:tcPr>
            <w:tcW w:w="2960" w:type="dxa"/>
            <w:tcBorders>
              <w:top w:val="single" w:sz="8" w:space="0" w:color="auto"/>
              <w:left w:val="single" w:sz="8" w:space="0" w:color="auto"/>
              <w:bottom w:val="single" w:sz="8" w:space="0" w:color="auto"/>
              <w:right w:val="single" w:sz="8" w:space="0" w:color="auto"/>
            </w:tcBorders>
            <w:shd w:val="clear" w:color="000000" w:fill="0033CC"/>
            <w:vAlign w:val="center"/>
            <w:hideMark/>
          </w:tcPr>
          <w:p w:rsidR="005561E5" w:rsidRPr="00CD1746" w:rsidP="00F4770E" w14:paraId="30DE32EF" w14:textId="77777777">
            <w:pPr>
              <w:overflowPunct/>
              <w:autoSpaceDE/>
              <w:autoSpaceDN/>
              <w:adjustRightInd/>
              <w:textAlignment w:val="auto"/>
              <w:rPr>
                <w:rFonts w:ascii="Times New Roman" w:hAnsi="Times New Roman"/>
                <w:b/>
                <w:bCs/>
                <w:color w:val="FFFFFF"/>
                <w:szCs w:val="24"/>
              </w:rPr>
            </w:pPr>
            <w:r w:rsidRPr="00CD1746">
              <w:rPr>
                <w:rFonts w:ascii="Times New Roman" w:hAnsi="Times New Roman"/>
                <w:b/>
                <w:bCs/>
                <w:color w:val="FFFFFF" w:themeColor="background1"/>
                <w:szCs w:val="24"/>
              </w:rPr>
              <w:t>Form</w:t>
            </w:r>
          </w:p>
        </w:tc>
        <w:tc>
          <w:tcPr>
            <w:tcW w:w="1760" w:type="dxa"/>
            <w:tcBorders>
              <w:top w:val="single" w:sz="8" w:space="0" w:color="auto"/>
              <w:left w:val="nil"/>
              <w:bottom w:val="single" w:sz="8" w:space="0" w:color="auto"/>
              <w:right w:val="single" w:sz="8" w:space="0" w:color="auto"/>
            </w:tcBorders>
            <w:shd w:val="clear" w:color="000000" w:fill="0033CC"/>
            <w:vAlign w:val="center"/>
            <w:hideMark/>
          </w:tcPr>
          <w:p w:rsidR="005561E5" w:rsidRPr="00CD1746" w:rsidP="00F4770E" w14:paraId="5754BF75" w14:textId="77777777">
            <w:pPr>
              <w:overflowPunct/>
              <w:autoSpaceDE/>
              <w:autoSpaceDN/>
              <w:adjustRightInd/>
              <w:textAlignment w:val="auto"/>
              <w:rPr>
                <w:rFonts w:ascii="Times New Roman" w:hAnsi="Times New Roman"/>
                <w:b/>
                <w:bCs/>
                <w:color w:val="FFFFFF"/>
                <w:szCs w:val="24"/>
              </w:rPr>
            </w:pPr>
            <w:r w:rsidRPr="00CD1746">
              <w:rPr>
                <w:rFonts w:ascii="Times New Roman" w:hAnsi="Times New Roman"/>
                <w:b/>
                <w:bCs/>
                <w:color w:val="FFFFFF"/>
                <w:szCs w:val="24"/>
              </w:rPr>
              <w:t> </w:t>
            </w:r>
            <w:r>
              <w:rPr>
                <w:rFonts w:ascii="Times New Roman" w:hAnsi="Times New Roman"/>
                <w:b/>
                <w:bCs/>
                <w:color w:val="FFFFFF"/>
                <w:szCs w:val="24"/>
              </w:rPr>
              <w:t>Responses</w:t>
            </w:r>
          </w:p>
        </w:tc>
        <w:tc>
          <w:tcPr>
            <w:tcW w:w="1480" w:type="dxa"/>
            <w:tcBorders>
              <w:top w:val="single" w:sz="8" w:space="0" w:color="auto"/>
              <w:left w:val="nil"/>
              <w:bottom w:val="single" w:sz="8" w:space="0" w:color="auto"/>
              <w:right w:val="single" w:sz="8" w:space="0" w:color="auto"/>
            </w:tcBorders>
            <w:shd w:val="clear" w:color="000000" w:fill="0033CC"/>
            <w:vAlign w:val="center"/>
            <w:hideMark/>
          </w:tcPr>
          <w:p w:rsidR="005561E5" w:rsidP="00F4770E" w14:paraId="6941D407" w14:textId="77777777">
            <w:pPr>
              <w:overflowPunct/>
              <w:autoSpaceDE/>
              <w:autoSpaceDN/>
              <w:adjustRightInd/>
              <w:textAlignment w:val="auto"/>
              <w:rPr>
                <w:rFonts w:ascii="Times New Roman" w:hAnsi="Times New Roman"/>
                <w:b/>
                <w:bCs/>
                <w:color w:val="FFFFFF" w:themeColor="background1"/>
                <w:szCs w:val="24"/>
              </w:rPr>
            </w:pPr>
            <w:r w:rsidRPr="00CD1746">
              <w:rPr>
                <w:rFonts w:ascii="Times New Roman" w:hAnsi="Times New Roman"/>
                <w:b/>
                <w:bCs/>
                <w:color w:val="FFFFFF" w:themeColor="background1"/>
                <w:szCs w:val="24"/>
              </w:rPr>
              <w:t>Total Burden Hours</w:t>
            </w:r>
          </w:p>
          <w:p w:rsidR="008757C9" w:rsidRPr="00CD1746" w:rsidP="00F4770E" w14:paraId="1D6FF94C" w14:textId="77777777">
            <w:pPr>
              <w:overflowPunct/>
              <w:autoSpaceDE/>
              <w:autoSpaceDN/>
              <w:adjustRightInd/>
              <w:textAlignment w:val="auto"/>
              <w:rPr>
                <w:rFonts w:ascii="Times New Roman" w:hAnsi="Times New Roman"/>
                <w:b/>
                <w:bCs/>
                <w:color w:val="FFFFFF"/>
                <w:szCs w:val="24"/>
              </w:rPr>
            </w:pPr>
            <w:r>
              <w:rPr>
                <w:rFonts w:ascii="Times New Roman" w:hAnsi="Times New Roman"/>
                <w:b/>
                <w:bCs/>
                <w:color w:val="FFFFFF" w:themeColor="background1"/>
                <w:szCs w:val="24"/>
              </w:rPr>
              <w:t>(rounded)</w:t>
            </w:r>
          </w:p>
        </w:tc>
      </w:tr>
      <w:tr w14:paraId="4631EC1D" w14:textId="77777777" w:rsidTr="00827131">
        <w:tblPrEx>
          <w:tblW w:w="6200" w:type="dxa"/>
          <w:tblLook w:val="04A0"/>
        </w:tblPrEx>
        <w:trPr>
          <w:trHeight w:val="63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14983E10" w14:textId="77777777">
            <w:pPr>
              <w:overflowPunct/>
              <w:autoSpaceDE/>
              <w:autoSpaceDN/>
              <w:adjustRightInd/>
              <w:textAlignment w:val="auto"/>
              <w:rPr>
                <w:rFonts w:ascii="Times New Roman" w:hAnsi="Times New Roman"/>
                <w:color w:val="000000"/>
                <w:szCs w:val="24"/>
              </w:rPr>
            </w:pPr>
            <w:r w:rsidRPr="00CD1746">
              <w:rPr>
                <w:rFonts w:ascii="Times New Roman" w:hAnsi="Times New Roman"/>
                <w:color w:val="000000"/>
                <w:szCs w:val="24"/>
              </w:rPr>
              <w:t>Member Alumni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2F91B7DE"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1562</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04478124"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156</w:t>
            </w:r>
            <w:r w:rsidR="008757C9">
              <w:rPr>
                <w:rFonts w:ascii="Times New Roman" w:hAnsi="Times New Roman"/>
                <w:color w:val="000000"/>
                <w:szCs w:val="24"/>
              </w:rPr>
              <w:t>2</w:t>
            </w:r>
          </w:p>
        </w:tc>
      </w:tr>
      <w:tr w14:paraId="0E7FE923" w14:textId="77777777" w:rsidTr="00827131">
        <w:tblPrEx>
          <w:tblW w:w="6200" w:type="dxa"/>
          <w:tblLook w:val="04A0"/>
        </w:tblPrEx>
        <w:trPr>
          <w:trHeight w:val="32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043BEA8F" w14:textId="77777777">
            <w:pPr>
              <w:overflowPunct/>
              <w:autoSpaceDE/>
              <w:autoSpaceDN/>
              <w:adjustRightInd/>
              <w:textAlignment w:val="auto"/>
              <w:rPr>
                <w:rFonts w:ascii="Times New Roman" w:hAnsi="Times New Roman"/>
                <w:color w:val="000000"/>
                <w:szCs w:val="24"/>
              </w:rPr>
            </w:pPr>
            <w:r w:rsidRPr="00CD1746">
              <w:rPr>
                <w:rFonts w:ascii="Times New Roman" w:hAnsi="Times New Roman"/>
                <w:color w:val="000000"/>
                <w:szCs w:val="24"/>
              </w:rPr>
              <w:t>Early exit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09A21125"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443</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29787DD4"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443</w:t>
            </w:r>
          </w:p>
        </w:tc>
      </w:tr>
      <w:tr w14:paraId="4D4AE834" w14:textId="77777777" w:rsidTr="00827131">
        <w:tblPrEx>
          <w:tblW w:w="6200" w:type="dxa"/>
          <w:tblLook w:val="04A0"/>
        </w:tblPrEx>
        <w:trPr>
          <w:trHeight w:val="32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5C1FA341" w14:textId="77777777">
            <w:pPr>
              <w:overflowPunct/>
              <w:autoSpaceDE/>
              <w:autoSpaceDN/>
              <w:adjustRightInd/>
              <w:textAlignment w:val="auto"/>
              <w:rPr>
                <w:rFonts w:ascii="Times New Roman" w:hAnsi="Times New Roman"/>
                <w:color w:val="000000"/>
                <w:szCs w:val="24"/>
              </w:rPr>
            </w:pPr>
            <w:r w:rsidRPr="00CD1746">
              <w:rPr>
                <w:rFonts w:ascii="Times New Roman" w:hAnsi="Times New Roman"/>
                <w:color w:val="000000"/>
                <w:szCs w:val="24"/>
              </w:rPr>
              <w:t>Grantee Survey</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44C6CFA7"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82</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1A1907BF"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41</w:t>
            </w:r>
          </w:p>
        </w:tc>
      </w:tr>
      <w:tr w14:paraId="4E8B740B" w14:textId="77777777" w:rsidTr="00827131">
        <w:tblPrEx>
          <w:tblW w:w="6200" w:type="dxa"/>
          <w:tblLook w:val="04A0"/>
        </w:tblPrEx>
        <w:trPr>
          <w:trHeight w:val="32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4DBAE71C" w14:textId="77777777">
            <w:pPr>
              <w:overflowPunct/>
              <w:autoSpaceDE/>
              <w:autoSpaceDN/>
              <w:adjustRightInd/>
              <w:textAlignment w:val="auto"/>
              <w:rPr>
                <w:rFonts w:ascii="Times New Roman" w:hAnsi="Times New Roman"/>
                <w:color w:val="000000"/>
                <w:szCs w:val="24"/>
              </w:rPr>
            </w:pPr>
            <w:r w:rsidRPr="00CD1746">
              <w:rPr>
                <w:rFonts w:ascii="Times New Roman" w:hAnsi="Times New Roman"/>
                <w:color w:val="000000"/>
                <w:szCs w:val="24"/>
              </w:rPr>
              <w:t>Training and TA Form</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1640FD4F"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82</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564274E6"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2</w:t>
            </w:r>
            <w:r w:rsidR="008757C9">
              <w:rPr>
                <w:rFonts w:ascii="Times New Roman" w:hAnsi="Times New Roman"/>
                <w:color w:val="000000"/>
                <w:szCs w:val="24"/>
              </w:rPr>
              <w:t>1</w:t>
            </w:r>
          </w:p>
        </w:tc>
      </w:tr>
      <w:tr w14:paraId="3C3BA483" w14:textId="77777777" w:rsidTr="00827131">
        <w:tblPrEx>
          <w:tblW w:w="6200" w:type="dxa"/>
          <w:tblLook w:val="04A0"/>
        </w:tblPrEx>
        <w:trPr>
          <w:trHeight w:val="32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56EFB7B1" w14:textId="77777777">
            <w:pPr>
              <w:overflowPunct/>
              <w:autoSpaceDE/>
              <w:autoSpaceDN/>
              <w:adjustRightInd/>
              <w:textAlignment w:val="auto"/>
              <w:rPr>
                <w:rFonts w:ascii="Times New Roman" w:hAnsi="Times New Roman"/>
                <w:color w:val="000000"/>
                <w:szCs w:val="24"/>
              </w:rPr>
            </w:pPr>
            <w:r w:rsidRPr="00CD1746">
              <w:rPr>
                <w:rFonts w:ascii="Times New Roman" w:hAnsi="Times New Roman"/>
                <w:color w:val="000000"/>
                <w:szCs w:val="24"/>
              </w:rPr>
              <w:t>Grantee Focus Group</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4566D825"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15</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157ECAED"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2</w:t>
            </w:r>
            <w:r w:rsidR="008757C9">
              <w:rPr>
                <w:rFonts w:ascii="Times New Roman" w:hAnsi="Times New Roman"/>
                <w:color w:val="000000"/>
                <w:szCs w:val="24"/>
              </w:rPr>
              <w:t>3</w:t>
            </w:r>
          </w:p>
        </w:tc>
      </w:tr>
      <w:tr w14:paraId="5361A8BB" w14:textId="77777777" w:rsidTr="00827131">
        <w:tblPrEx>
          <w:tblW w:w="6200" w:type="dxa"/>
          <w:tblLook w:val="04A0"/>
        </w:tblPrEx>
        <w:trPr>
          <w:trHeight w:val="32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57231B31" w14:textId="77777777">
            <w:pPr>
              <w:overflowPunct/>
              <w:autoSpaceDE/>
              <w:autoSpaceDN/>
              <w:adjustRightInd/>
              <w:textAlignment w:val="auto"/>
              <w:rPr>
                <w:rFonts w:ascii="Times New Roman" w:hAnsi="Times New Roman"/>
                <w:color w:val="000000"/>
                <w:szCs w:val="24"/>
              </w:rPr>
            </w:pPr>
            <w:r w:rsidRPr="00CD1746">
              <w:rPr>
                <w:rFonts w:ascii="Times New Roman" w:hAnsi="Times New Roman"/>
                <w:color w:val="000000"/>
                <w:szCs w:val="24"/>
              </w:rPr>
              <w:t>Early exit interviews</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78D70C53"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10</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6D00D113"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5</w:t>
            </w:r>
          </w:p>
        </w:tc>
      </w:tr>
      <w:tr w14:paraId="3FBE6F5F" w14:textId="77777777" w:rsidTr="00827131">
        <w:tblPrEx>
          <w:tblW w:w="6200" w:type="dxa"/>
          <w:tblLook w:val="04A0"/>
        </w:tblPrEx>
        <w:trPr>
          <w:trHeight w:val="32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6492FE40" w14:textId="77777777">
            <w:pPr>
              <w:overflowPunct/>
              <w:autoSpaceDE/>
              <w:autoSpaceDN/>
              <w:adjustRightInd/>
              <w:textAlignment w:val="auto"/>
              <w:rPr>
                <w:rFonts w:ascii="Times New Roman" w:hAnsi="Times New Roman"/>
                <w:color w:val="000000"/>
                <w:szCs w:val="24"/>
              </w:rPr>
            </w:pPr>
            <w:r w:rsidRPr="00CD1746">
              <w:rPr>
                <w:rFonts w:ascii="Times New Roman" w:hAnsi="Times New Roman"/>
                <w:color w:val="000000"/>
                <w:szCs w:val="24"/>
              </w:rPr>
              <w:t>Partner interview</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7630C1CD"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4</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4787CC89"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2</w:t>
            </w:r>
          </w:p>
        </w:tc>
      </w:tr>
      <w:tr w14:paraId="0582C71A" w14:textId="77777777" w:rsidTr="00827131">
        <w:tblPrEx>
          <w:tblW w:w="6200" w:type="dxa"/>
          <w:tblLook w:val="04A0"/>
        </w:tblPrEx>
        <w:trPr>
          <w:trHeight w:val="320"/>
        </w:trPr>
        <w:tc>
          <w:tcPr>
            <w:tcW w:w="2960" w:type="dxa"/>
            <w:tcBorders>
              <w:top w:val="nil"/>
              <w:left w:val="single" w:sz="8" w:space="0" w:color="auto"/>
              <w:bottom w:val="single" w:sz="8" w:space="0" w:color="auto"/>
              <w:right w:val="single" w:sz="8" w:space="0" w:color="auto"/>
            </w:tcBorders>
            <w:shd w:val="clear" w:color="auto" w:fill="auto"/>
            <w:vAlign w:val="center"/>
            <w:hideMark/>
          </w:tcPr>
          <w:p w:rsidR="005561E5" w:rsidRPr="00CD1746" w:rsidP="00F4770E" w14:paraId="07C373EB" w14:textId="77777777">
            <w:pPr>
              <w:overflowPunct/>
              <w:autoSpaceDE/>
              <w:autoSpaceDN/>
              <w:adjustRightInd/>
              <w:textAlignment w:val="auto"/>
              <w:rPr>
                <w:rFonts w:ascii="Times New Roman" w:hAnsi="Times New Roman"/>
                <w:b/>
                <w:bCs/>
                <w:color w:val="000000"/>
                <w:szCs w:val="24"/>
              </w:rPr>
            </w:pPr>
            <w:r w:rsidRPr="00CD1746">
              <w:rPr>
                <w:rFonts w:ascii="Times New Roman" w:hAnsi="Times New Roman"/>
                <w:b/>
                <w:bCs/>
                <w:color w:val="000000"/>
                <w:szCs w:val="24"/>
              </w:rPr>
              <w:t>TOTAL</w:t>
            </w:r>
          </w:p>
        </w:tc>
        <w:tc>
          <w:tcPr>
            <w:tcW w:w="1760" w:type="dxa"/>
            <w:tcBorders>
              <w:top w:val="nil"/>
              <w:left w:val="nil"/>
              <w:bottom w:val="single" w:sz="8" w:space="0" w:color="auto"/>
              <w:right w:val="single" w:sz="8" w:space="0" w:color="auto"/>
            </w:tcBorders>
            <w:shd w:val="clear" w:color="auto" w:fill="auto"/>
            <w:vAlign w:val="center"/>
            <w:hideMark/>
          </w:tcPr>
          <w:p w:rsidR="005561E5" w:rsidRPr="00CD1746" w:rsidP="00F4770E" w14:paraId="7042C121"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2,198</w:t>
            </w:r>
          </w:p>
        </w:tc>
        <w:tc>
          <w:tcPr>
            <w:tcW w:w="1480" w:type="dxa"/>
            <w:tcBorders>
              <w:top w:val="nil"/>
              <w:left w:val="nil"/>
              <w:bottom w:val="single" w:sz="8" w:space="0" w:color="auto"/>
              <w:right w:val="single" w:sz="8" w:space="0" w:color="auto"/>
            </w:tcBorders>
            <w:shd w:val="clear" w:color="auto" w:fill="auto"/>
            <w:vAlign w:val="center"/>
            <w:hideMark/>
          </w:tcPr>
          <w:p w:rsidR="005561E5" w:rsidRPr="00CD1746" w:rsidP="00F4770E" w14:paraId="4BF8091F" w14:textId="77777777">
            <w:pPr>
              <w:overflowPunct/>
              <w:autoSpaceDE/>
              <w:autoSpaceDN/>
              <w:adjustRightInd/>
              <w:jc w:val="right"/>
              <w:textAlignment w:val="auto"/>
              <w:rPr>
                <w:rFonts w:ascii="Times New Roman" w:hAnsi="Times New Roman"/>
                <w:color w:val="000000"/>
                <w:szCs w:val="24"/>
              </w:rPr>
            </w:pPr>
            <w:r w:rsidRPr="00CD1746">
              <w:rPr>
                <w:rFonts w:ascii="Times New Roman" w:hAnsi="Times New Roman"/>
                <w:color w:val="000000"/>
                <w:szCs w:val="24"/>
              </w:rPr>
              <w:t>2,09</w:t>
            </w:r>
            <w:r w:rsidR="00994C09">
              <w:rPr>
                <w:rFonts w:ascii="Times New Roman" w:hAnsi="Times New Roman"/>
                <w:color w:val="000000"/>
                <w:szCs w:val="24"/>
              </w:rPr>
              <w:t>7</w:t>
            </w:r>
          </w:p>
        </w:tc>
      </w:tr>
    </w:tbl>
    <w:p w:rsidR="005561E5" w:rsidP="005561E5" w14:paraId="051CE5F3" w14:textId="77777777">
      <w:pPr>
        <w:pStyle w:val="NormalWeb"/>
        <w:widowControl w:val="0"/>
        <w:tabs>
          <w:tab w:val="left" w:pos="360"/>
          <w:tab w:val="left" w:pos="720"/>
          <w:tab w:val="left" w:pos="1080"/>
          <w:tab w:val="left" w:pos="1440"/>
        </w:tabs>
        <w:spacing w:before="0" w:beforeAutospacing="0" w:after="0" w:afterAutospacing="0"/>
        <w:rPr>
          <w:u w:val="single"/>
        </w:rPr>
      </w:pPr>
    </w:p>
    <w:p w:rsidR="005561E5" w:rsidP="005561E5" w14:paraId="40AE42EA" w14:textId="77777777">
      <w:pPr>
        <w:overflowPunct/>
        <w:autoSpaceDE/>
        <w:autoSpaceDN/>
        <w:adjustRightInd/>
        <w:textAlignment w:val="auto"/>
        <w:rPr>
          <w:rFonts w:ascii="Times New Roman" w:hAnsi="Times New Roman"/>
          <w:szCs w:val="24"/>
        </w:rPr>
      </w:pPr>
    </w:p>
    <w:p w:rsidR="005561E5" w:rsidRPr="00C1443C" w:rsidP="00C1443C" w14:paraId="7849E837" w14:textId="6FF70EF5">
      <w:pPr>
        <w:pStyle w:val="NormalWeb"/>
        <w:widowControl w:val="0"/>
        <w:tabs>
          <w:tab w:val="left" w:pos="360"/>
          <w:tab w:val="left" w:pos="720"/>
          <w:tab w:val="left" w:pos="1080"/>
          <w:tab w:val="left" w:pos="1440"/>
        </w:tabs>
        <w:spacing w:before="0" w:beforeAutospacing="0" w:after="120" w:afterAutospacing="0"/>
        <w:rPr>
          <w:b/>
          <w:bCs/>
          <w:i/>
          <w:iCs/>
        </w:rPr>
      </w:pPr>
      <w:r>
        <w:rPr>
          <w:b/>
          <w:bCs/>
          <w:i/>
          <w:iCs/>
        </w:rPr>
        <w:t xml:space="preserve">Table 3b. </w:t>
      </w:r>
      <w:r w:rsidRPr="00BA5E7F" w:rsidR="00C1443C">
        <w:rPr>
          <w:b/>
          <w:bCs/>
          <w:i/>
          <w:iCs/>
        </w:rPr>
        <w:t>Total Estimated Burden for the Information Collection</w:t>
      </w:r>
      <w:r w:rsidR="00C1443C">
        <w:rPr>
          <w:b/>
          <w:bCs/>
          <w:i/>
          <w:iCs/>
        </w:rPr>
        <w:t>s</w:t>
      </w:r>
    </w:p>
    <w:tbl>
      <w:tblPr>
        <w:tblW w:w="10370" w:type="dxa"/>
        <w:tblLook w:val="04A0"/>
      </w:tblPr>
      <w:tblGrid>
        <w:gridCol w:w="2335"/>
        <w:gridCol w:w="1283"/>
        <w:gridCol w:w="1136"/>
        <w:gridCol w:w="1270"/>
        <w:gridCol w:w="1430"/>
        <w:gridCol w:w="1455"/>
        <w:gridCol w:w="1461"/>
      </w:tblGrid>
      <w:tr w14:paraId="2BDF48B1" w14:textId="77777777" w:rsidTr="00F4770E">
        <w:tblPrEx>
          <w:tblW w:w="10370" w:type="dxa"/>
          <w:tblLook w:val="04A0"/>
        </w:tblPrEx>
        <w:trPr>
          <w:trHeight w:val="1760"/>
        </w:trPr>
        <w:tc>
          <w:tcPr>
            <w:tcW w:w="2335"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5561E5" w:rsidRPr="009715CA" w:rsidP="00F4770E" w14:paraId="465E84AF" w14:textId="77777777">
            <w:pPr>
              <w:overflowPunct/>
              <w:autoSpaceDE/>
              <w:autoSpaceDN/>
              <w:adjustRightInd/>
              <w:textAlignment w:val="auto"/>
              <w:rPr>
                <w:rFonts w:ascii="Times New Roman" w:hAnsi="Times New Roman"/>
                <w:color w:val="000000"/>
                <w:sz w:val="20"/>
              </w:rPr>
            </w:pPr>
            <w:r w:rsidRPr="009715CA">
              <w:rPr>
                <w:rFonts w:ascii="Times New Roman" w:hAnsi="Times New Roman"/>
                <w:color w:val="000000"/>
                <w:sz w:val="20"/>
              </w:rPr>
              <w:t> </w:t>
            </w:r>
          </w:p>
        </w:tc>
        <w:tc>
          <w:tcPr>
            <w:tcW w:w="1283"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715CA" w:rsidP="00F4770E" w14:paraId="33150D69" w14:textId="77777777">
            <w:pPr>
              <w:overflowPunct/>
              <w:autoSpaceDE/>
              <w:autoSpaceDN/>
              <w:adjustRightInd/>
              <w:textAlignment w:val="auto"/>
              <w:rPr>
                <w:rFonts w:ascii="Times New Roman" w:hAnsi="Times New Roman"/>
                <w:b/>
                <w:bCs/>
                <w:color w:val="FFFFFF"/>
                <w:szCs w:val="24"/>
              </w:rPr>
            </w:pPr>
            <w:r w:rsidRPr="009715CA">
              <w:rPr>
                <w:rFonts w:ascii="Times New Roman" w:hAnsi="Times New Roman"/>
                <w:b/>
                <w:bCs/>
                <w:szCs w:val="24"/>
              </w:rPr>
              <w:t>Requested</w:t>
            </w:r>
          </w:p>
        </w:tc>
        <w:tc>
          <w:tcPr>
            <w:tcW w:w="1136"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715CA" w:rsidP="00F4770E" w14:paraId="49B034D5" w14:textId="77777777">
            <w:pPr>
              <w:overflowPunct/>
              <w:autoSpaceDE/>
              <w:autoSpaceDN/>
              <w:adjustRightInd/>
              <w:textAlignment w:val="auto"/>
              <w:rPr>
                <w:rFonts w:ascii="Times New Roman" w:hAnsi="Times New Roman"/>
                <w:b/>
                <w:bCs/>
                <w:color w:val="FFFFFF"/>
                <w:szCs w:val="24"/>
              </w:rPr>
            </w:pPr>
            <w:r w:rsidRPr="009715CA">
              <w:rPr>
                <w:rFonts w:ascii="Times New Roman" w:hAnsi="Times New Roman"/>
                <w:b/>
                <w:bCs/>
                <w:szCs w:val="24"/>
              </w:rPr>
              <w:t>Program Change Due to New Statute</w:t>
            </w:r>
          </w:p>
        </w:tc>
        <w:tc>
          <w:tcPr>
            <w:tcW w:w="1270"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715CA" w:rsidP="00F4770E" w14:paraId="07E7B85B" w14:textId="77777777">
            <w:pPr>
              <w:overflowPunct/>
              <w:autoSpaceDE/>
              <w:autoSpaceDN/>
              <w:adjustRightInd/>
              <w:textAlignment w:val="auto"/>
              <w:rPr>
                <w:rFonts w:ascii="Times New Roman" w:hAnsi="Times New Roman"/>
                <w:b/>
                <w:bCs/>
                <w:color w:val="FFFFFF"/>
                <w:szCs w:val="24"/>
              </w:rPr>
            </w:pPr>
            <w:r w:rsidRPr="009715CA">
              <w:rPr>
                <w:rFonts w:ascii="Times New Roman" w:hAnsi="Times New Roman"/>
                <w:b/>
                <w:bCs/>
                <w:szCs w:val="24"/>
              </w:rPr>
              <w:t>Program Change Due to Agency Discretion</w:t>
            </w:r>
          </w:p>
        </w:tc>
        <w:tc>
          <w:tcPr>
            <w:tcW w:w="1430"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715CA" w:rsidP="00F4770E" w14:paraId="5F9840E4" w14:textId="77777777">
            <w:pPr>
              <w:overflowPunct/>
              <w:autoSpaceDE/>
              <w:autoSpaceDN/>
              <w:adjustRightInd/>
              <w:textAlignment w:val="auto"/>
              <w:rPr>
                <w:rFonts w:ascii="Times New Roman" w:hAnsi="Times New Roman"/>
                <w:b/>
                <w:bCs/>
                <w:color w:val="FFFFFF"/>
                <w:szCs w:val="24"/>
              </w:rPr>
            </w:pPr>
            <w:r w:rsidRPr="009715CA">
              <w:rPr>
                <w:rFonts w:ascii="Times New Roman" w:hAnsi="Times New Roman"/>
                <w:b/>
                <w:bCs/>
                <w:szCs w:val="24"/>
              </w:rPr>
              <w:t>Change Due to Adjustment in Agency Estimate</w:t>
            </w:r>
          </w:p>
        </w:tc>
        <w:tc>
          <w:tcPr>
            <w:tcW w:w="1455"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715CA" w:rsidP="00F4770E" w14:paraId="6EFE4FC1" w14:textId="77777777">
            <w:pPr>
              <w:overflowPunct/>
              <w:autoSpaceDE/>
              <w:autoSpaceDN/>
              <w:adjustRightInd/>
              <w:textAlignment w:val="auto"/>
              <w:rPr>
                <w:rFonts w:ascii="Times New Roman" w:hAnsi="Times New Roman"/>
                <w:b/>
                <w:bCs/>
                <w:color w:val="FFFFFF"/>
                <w:szCs w:val="24"/>
              </w:rPr>
            </w:pPr>
            <w:r w:rsidRPr="009715CA">
              <w:rPr>
                <w:rFonts w:ascii="Times New Roman" w:hAnsi="Times New Roman"/>
                <w:b/>
                <w:bCs/>
                <w:szCs w:val="24"/>
              </w:rPr>
              <w:t>Change Due to Potential Violation of the PRA</w:t>
            </w:r>
          </w:p>
        </w:tc>
        <w:tc>
          <w:tcPr>
            <w:tcW w:w="1461" w:type="dxa"/>
            <w:tcBorders>
              <w:top w:val="single" w:sz="4" w:space="0" w:color="000000"/>
              <w:left w:val="nil"/>
              <w:bottom w:val="single" w:sz="4" w:space="0" w:color="000000"/>
              <w:right w:val="single" w:sz="4" w:space="0" w:color="000000"/>
            </w:tcBorders>
            <w:shd w:val="clear" w:color="000000" w:fill="003399"/>
            <w:vAlign w:val="center"/>
            <w:hideMark/>
          </w:tcPr>
          <w:p w:rsidR="005561E5" w:rsidP="00F4770E" w14:paraId="2D4692A7" w14:textId="77777777">
            <w:pPr>
              <w:overflowPunct/>
              <w:autoSpaceDE/>
              <w:autoSpaceDN/>
              <w:adjustRightInd/>
              <w:textAlignment w:val="auto"/>
              <w:rPr>
                <w:rFonts w:ascii="Times New Roman" w:hAnsi="Times New Roman"/>
                <w:color w:val="FFFFFF"/>
                <w:sz w:val="16"/>
                <w:szCs w:val="16"/>
              </w:rPr>
            </w:pPr>
            <w:r w:rsidRPr="009715CA">
              <w:rPr>
                <w:rFonts w:ascii="Times New Roman" w:hAnsi="Times New Roman"/>
                <w:b/>
                <w:bCs/>
                <w:szCs w:val="24"/>
              </w:rPr>
              <w:t xml:space="preserve">Previously </w:t>
            </w:r>
            <w:r w:rsidRPr="009715CA">
              <w:rPr>
                <w:rFonts w:ascii="Times New Roman" w:hAnsi="Times New Roman"/>
                <w:color w:val="FFFFFF"/>
                <w:sz w:val="16"/>
                <w:szCs w:val="16"/>
              </w:rPr>
              <w:t> </w:t>
            </w:r>
          </w:p>
          <w:p w:rsidR="005561E5" w:rsidRPr="009715CA" w:rsidP="00F4770E" w14:paraId="0774EE1B" w14:textId="77777777">
            <w:pPr>
              <w:overflowPunct/>
              <w:autoSpaceDE/>
              <w:autoSpaceDN/>
              <w:adjustRightInd/>
              <w:textAlignment w:val="auto"/>
              <w:rPr>
                <w:rFonts w:ascii="Times New Roman" w:hAnsi="Times New Roman"/>
                <w:b/>
                <w:bCs/>
                <w:color w:val="FFFFFF"/>
                <w:szCs w:val="24"/>
              </w:rPr>
            </w:pPr>
            <w:r w:rsidRPr="009715CA">
              <w:rPr>
                <w:rFonts w:ascii="Times New Roman" w:hAnsi="Times New Roman"/>
                <w:b/>
                <w:bCs/>
                <w:color w:val="FFFFFF"/>
                <w:szCs w:val="24"/>
              </w:rPr>
              <w:t>Approved</w:t>
            </w:r>
          </w:p>
        </w:tc>
      </w:tr>
      <w:tr w14:paraId="5DBE5CF8" w14:textId="77777777" w:rsidTr="00F4770E">
        <w:tblPrEx>
          <w:tblW w:w="10370" w:type="dxa"/>
          <w:tblLook w:val="04A0"/>
        </w:tblPrEx>
        <w:trPr>
          <w:trHeight w:val="620"/>
        </w:trPr>
        <w:tc>
          <w:tcPr>
            <w:tcW w:w="2335"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9715CA" w:rsidP="00F4770E" w14:paraId="2FF481B3"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szCs w:val="24"/>
              </w:rPr>
              <w:t xml:space="preserve">Annual Number of Responses </w:t>
            </w:r>
          </w:p>
        </w:tc>
        <w:tc>
          <w:tcPr>
            <w:tcW w:w="1283"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522069DF"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color w:val="000000"/>
                <w:szCs w:val="24"/>
              </w:rPr>
              <w:t> </w:t>
            </w:r>
            <w:r w:rsidR="00AA317A">
              <w:rPr>
                <w:rFonts w:ascii="Times New Roman" w:hAnsi="Times New Roman"/>
                <w:color w:val="000000"/>
                <w:szCs w:val="24"/>
              </w:rPr>
              <w:t>2,198</w:t>
            </w:r>
          </w:p>
        </w:tc>
        <w:tc>
          <w:tcPr>
            <w:tcW w:w="1136"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408A728B"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color w:val="000000"/>
                <w:szCs w:val="24"/>
              </w:rPr>
              <w:t> </w:t>
            </w:r>
            <w:r w:rsidR="00B55EE7">
              <w:rPr>
                <w:rFonts w:ascii="Times New Roman" w:hAnsi="Times New Roman"/>
                <w:color w:val="000000"/>
                <w:szCs w:val="24"/>
              </w:rPr>
              <w:t>0</w:t>
            </w:r>
          </w:p>
        </w:tc>
        <w:tc>
          <w:tcPr>
            <w:tcW w:w="1270"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1A5912DE"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2,198</w:t>
            </w:r>
          </w:p>
        </w:tc>
        <w:tc>
          <w:tcPr>
            <w:tcW w:w="1430"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6635965A"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p>
        </w:tc>
        <w:tc>
          <w:tcPr>
            <w:tcW w:w="1455"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30D5F461"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p>
        </w:tc>
        <w:tc>
          <w:tcPr>
            <w:tcW w:w="1461"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1B0D067B" w14:textId="77777777">
            <w:pPr>
              <w:overflowPunct/>
              <w:autoSpaceDE/>
              <w:autoSpaceDN/>
              <w:adjustRightInd/>
              <w:ind w:right="624"/>
              <w:textAlignment w:val="auto"/>
              <w:rPr>
                <w:rFonts w:ascii="Times New Roman" w:hAnsi="Times New Roman"/>
                <w:color w:val="000000"/>
                <w:szCs w:val="24"/>
              </w:rPr>
            </w:pPr>
            <w:r>
              <w:rPr>
                <w:rFonts w:ascii="Times New Roman" w:hAnsi="Times New Roman"/>
                <w:color w:val="000000"/>
                <w:szCs w:val="24"/>
              </w:rPr>
              <w:t>0</w:t>
            </w:r>
          </w:p>
        </w:tc>
      </w:tr>
      <w:tr w14:paraId="11AC45B7" w14:textId="77777777" w:rsidTr="00F4770E">
        <w:tblPrEx>
          <w:tblW w:w="10370" w:type="dxa"/>
          <w:tblLook w:val="04A0"/>
        </w:tblPrEx>
        <w:trPr>
          <w:trHeight w:val="620"/>
        </w:trPr>
        <w:tc>
          <w:tcPr>
            <w:tcW w:w="2335"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9715CA" w:rsidP="00F4770E" w14:paraId="6B019073"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szCs w:val="24"/>
              </w:rPr>
              <w:t>Annual IC Time Burden (Hour)</w:t>
            </w:r>
          </w:p>
        </w:tc>
        <w:tc>
          <w:tcPr>
            <w:tcW w:w="1283"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360F7D5F"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color w:val="000000"/>
                <w:szCs w:val="24"/>
              </w:rPr>
              <w:t> </w:t>
            </w:r>
            <w:r w:rsidR="00B55EE7">
              <w:rPr>
                <w:rFonts w:ascii="Times New Roman" w:hAnsi="Times New Roman"/>
                <w:color w:val="000000"/>
                <w:szCs w:val="24"/>
              </w:rPr>
              <w:t>2,097</w:t>
            </w:r>
          </w:p>
        </w:tc>
        <w:tc>
          <w:tcPr>
            <w:tcW w:w="1136"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0B496714"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p>
        </w:tc>
        <w:tc>
          <w:tcPr>
            <w:tcW w:w="1270"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1A041B45"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2,097</w:t>
            </w:r>
          </w:p>
        </w:tc>
        <w:tc>
          <w:tcPr>
            <w:tcW w:w="1430"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2A96F7F7"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p>
        </w:tc>
        <w:tc>
          <w:tcPr>
            <w:tcW w:w="1455"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7CB386A9"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p>
        </w:tc>
        <w:tc>
          <w:tcPr>
            <w:tcW w:w="1461"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0E41E9A0"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p>
        </w:tc>
      </w:tr>
      <w:tr w14:paraId="4CC915D5" w14:textId="77777777" w:rsidTr="00F4770E">
        <w:tblPrEx>
          <w:tblW w:w="10370" w:type="dxa"/>
          <w:tblLook w:val="04A0"/>
        </w:tblPrEx>
        <w:trPr>
          <w:trHeight w:val="620"/>
        </w:trPr>
        <w:tc>
          <w:tcPr>
            <w:tcW w:w="2335"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9715CA" w:rsidP="00F4770E" w14:paraId="18FB45DD"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szCs w:val="24"/>
              </w:rPr>
              <w:t>Annual IC Cost Burden (Dollars)</w:t>
            </w:r>
          </w:p>
        </w:tc>
        <w:tc>
          <w:tcPr>
            <w:tcW w:w="1283"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7AB3F497"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color w:val="000000"/>
                <w:szCs w:val="24"/>
              </w:rPr>
              <w:t> </w:t>
            </w:r>
            <w:r w:rsidR="00541B1F">
              <w:rPr>
                <w:rFonts w:ascii="Times New Roman" w:hAnsi="Times New Roman"/>
                <w:color w:val="000000"/>
                <w:szCs w:val="24"/>
              </w:rPr>
              <w:t>99,</w:t>
            </w:r>
            <w:r w:rsidR="00E80B69">
              <w:rPr>
                <w:rFonts w:ascii="Times New Roman" w:hAnsi="Times New Roman"/>
                <w:color w:val="000000"/>
                <w:szCs w:val="24"/>
              </w:rPr>
              <w:t>267</w:t>
            </w:r>
          </w:p>
        </w:tc>
        <w:tc>
          <w:tcPr>
            <w:tcW w:w="1136" w:type="dxa"/>
            <w:tcBorders>
              <w:top w:val="nil"/>
              <w:left w:val="nil"/>
              <w:bottom w:val="single" w:sz="4" w:space="0" w:color="000000"/>
              <w:right w:val="single" w:sz="4" w:space="0" w:color="000000"/>
            </w:tcBorders>
            <w:shd w:val="clear" w:color="000000" w:fill="FFFFFF"/>
            <w:vAlign w:val="center"/>
            <w:hideMark/>
          </w:tcPr>
          <w:p w:rsidR="005561E5" w:rsidRPr="009715CA" w:rsidP="00F4770E" w14:paraId="64BB45BB"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p>
        </w:tc>
        <w:tc>
          <w:tcPr>
            <w:tcW w:w="1270" w:type="dxa"/>
            <w:tcBorders>
              <w:top w:val="nil"/>
              <w:left w:val="nil"/>
              <w:bottom w:val="single" w:sz="4" w:space="0" w:color="000000"/>
              <w:right w:val="single" w:sz="4" w:space="0" w:color="000000"/>
            </w:tcBorders>
            <w:shd w:val="clear" w:color="000000" w:fill="FFFFFF"/>
            <w:vAlign w:val="center"/>
            <w:hideMark/>
          </w:tcPr>
          <w:p w:rsidR="005561E5" w:rsidRPr="009715CA" w:rsidP="00541B1F" w14:paraId="7F6F00F4" w14:textId="77777777">
            <w:pPr>
              <w:overflowPunct/>
              <w:autoSpaceDE/>
              <w:autoSpaceDN/>
              <w:adjustRightInd/>
              <w:textAlignment w:val="auto"/>
              <w:rPr>
                <w:rFonts w:ascii="Times New Roman" w:hAnsi="Times New Roman"/>
                <w:color w:val="000000"/>
                <w:szCs w:val="24"/>
              </w:rPr>
            </w:pPr>
            <w:r>
              <w:rPr>
                <w:rFonts w:ascii="Times New Roman" w:hAnsi="Times New Roman"/>
                <w:szCs w:val="24"/>
              </w:rPr>
              <w:t>99,</w:t>
            </w:r>
            <w:r w:rsidR="00E80B69">
              <w:rPr>
                <w:rFonts w:ascii="Times New Roman" w:hAnsi="Times New Roman"/>
                <w:szCs w:val="24"/>
              </w:rPr>
              <w:t>267</w:t>
            </w:r>
          </w:p>
        </w:tc>
        <w:tc>
          <w:tcPr>
            <w:tcW w:w="1430" w:type="dxa"/>
            <w:tcBorders>
              <w:top w:val="nil"/>
              <w:left w:val="nil"/>
              <w:bottom w:val="single" w:sz="4" w:space="0" w:color="000000"/>
              <w:right w:val="single" w:sz="4" w:space="0" w:color="000000"/>
            </w:tcBorders>
            <w:shd w:val="clear" w:color="000000" w:fill="FFFFFF"/>
            <w:vAlign w:val="center"/>
            <w:hideMark/>
          </w:tcPr>
          <w:p w:rsidR="005561E5" w:rsidRPr="009715CA" w:rsidP="00541B1F" w14:paraId="608491AA"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szCs w:val="24"/>
              </w:rPr>
              <w:t>0</w:t>
            </w:r>
          </w:p>
        </w:tc>
        <w:tc>
          <w:tcPr>
            <w:tcW w:w="1455" w:type="dxa"/>
            <w:tcBorders>
              <w:top w:val="nil"/>
              <w:left w:val="nil"/>
              <w:bottom w:val="single" w:sz="4" w:space="0" w:color="000000"/>
              <w:right w:val="single" w:sz="4" w:space="0" w:color="000000"/>
            </w:tcBorders>
            <w:shd w:val="clear" w:color="000000" w:fill="FFFFFF"/>
            <w:vAlign w:val="center"/>
            <w:hideMark/>
          </w:tcPr>
          <w:p w:rsidR="005561E5" w:rsidRPr="009715CA" w:rsidP="00541B1F" w14:paraId="58D51EDE"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szCs w:val="24"/>
              </w:rPr>
              <w:t>0</w:t>
            </w:r>
          </w:p>
        </w:tc>
        <w:tc>
          <w:tcPr>
            <w:tcW w:w="1461" w:type="dxa"/>
            <w:tcBorders>
              <w:top w:val="nil"/>
              <w:left w:val="nil"/>
              <w:bottom w:val="single" w:sz="4" w:space="0" w:color="000000"/>
              <w:right w:val="single" w:sz="4" w:space="0" w:color="000000"/>
            </w:tcBorders>
            <w:shd w:val="clear" w:color="000000" w:fill="FFFFFF"/>
            <w:vAlign w:val="center"/>
            <w:hideMark/>
          </w:tcPr>
          <w:p w:rsidR="005561E5" w:rsidRPr="009715CA" w:rsidP="00541B1F" w14:paraId="030E0B03" w14:textId="77777777">
            <w:pPr>
              <w:overflowPunct/>
              <w:autoSpaceDE/>
              <w:autoSpaceDN/>
              <w:adjustRightInd/>
              <w:textAlignment w:val="auto"/>
              <w:rPr>
                <w:rFonts w:ascii="Times New Roman" w:hAnsi="Times New Roman"/>
                <w:color w:val="000000"/>
                <w:szCs w:val="24"/>
              </w:rPr>
            </w:pPr>
            <w:r w:rsidRPr="009715CA">
              <w:rPr>
                <w:rFonts w:ascii="Times New Roman" w:hAnsi="Times New Roman"/>
                <w:szCs w:val="24"/>
              </w:rPr>
              <w:t>0</w:t>
            </w:r>
          </w:p>
        </w:tc>
      </w:tr>
    </w:tbl>
    <w:p w:rsidR="005561E5" w:rsidRPr="00915869" w:rsidP="005561E5" w14:paraId="59575882" w14:textId="77777777">
      <w:pPr>
        <w:pStyle w:val="Default"/>
        <w:widowControl w:val="0"/>
        <w:rPr>
          <w:rFonts w:ascii="Times New Roman" w:eastAsia="Times New Roman" w:hAnsi="Times New Roman"/>
          <w:color w:val="auto"/>
        </w:rPr>
      </w:pPr>
    </w:p>
    <w:tbl>
      <w:tblPr>
        <w:tblW w:w="5000" w:type="pct"/>
        <w:tblCellSpacing w:w="22" w:type="dxa"/>
        <w:tblCellMar>
          <w:left w:w="0" w:type="dxa"/>
          <w:right w:w="0" w:type="dxa"/>
        </w:tblCellMar>
        <w:tblLook w:val="04A0"/>
      </w:tblPr>
      <w:tblGrid>
        <w:gridCol w:w="9360"/>
      </w:tblGrid>
      <w:tr w14:paraId="0CCFED27" w14:textId="77777777" w:rsidTr="0062333C">
        <w:tblPrEx>
          <w:tblW w:w="5000" w:type="pct"/>
          <w:tblCellSpacing w:w="22" w:type="dxa"/>
          <w:tblCellMar>
            <w:left w:w="0" w:type="dxa"/>
            <w:right w:w="0" w:type="dxa"/>
          </w:tblCellMar>
          <w:tblLook w:val="04A0"/>
        </w:tblPrEx>
        <w:trPr>
          <w:tblCellSpacing w:w="22" w:type="dxa"/>
        </w:trPr>
        <w:tc>
          <w:tcPr>
            <w:tcW w:w="4953" w:type="pct"/>
            <w:tcMar>
              <w:top w:w="15" w:type="dxa"/>
              <w:left w:w="15" w:type="dxa"/>
              <w:bottom w:w="15" w:type="dxa"/>
              <w:right w:w="15" w:type="dxa"/>
            </w:tcMar>
            <w:vAlign w:val="bottom"/>
            <w:hideMark/>
          </w:tcPr>
          <w:p w:rsidR="005561E5" w:rsidRPr="00915869" w:rsidP="00F4770E" w14:paraId="06EB52B0" w14:textId="77777777">
            <w:pPr>
              <w:widowControl w:val="0"/>
              <w:rPr>
                <w:rFonts w:ascii="Times New Roman" w:hAnsi="Times New Roman"/>
              </w:rPr>
            </w:pPr>
          </w:p>
        </w:tc>
      </w:tr>
    </w:tbl>
    <w:p w:rsidR="005561E5" w:rsidP="005561E5" w14:paraId="1FC9A206" w14:textId="77777777">
      <w:pPr>
        <w:pStyle w:val="Default"/>
        <w:widowControl w:val="0"/>
        <w:rPr>
          <w:rFonts w:ascii="Times New Roman" w:eastAsia="Times New Roman" w:hAnsi="Times New Roman"/>
        </w:rPr>
      </w:pPr>
    </w:p>
    <w:p w:rsidR="00067B05" w:rsidRPr="00067B05" w:rsidP="00067B05" w14:paraId="15598425" w14:textId="77777777">
      <w:pPr>
        <w:pStyle w:val="Default"/>
        <w:widowControl w:val="0"/>
        <w:rPr>
          <w:rFonts w:ascii="Times New Roman" w:eastAsia="Times New Roman" w:hAnsi="Times New Roman"/>
        </w:rPr>
      </w:pPr>
      <w:r>
        <w:rPr>
          <w:rFonts w:ascii="Times New Roman" w:eastAsia="Times New Roman" w:hAnsi="Times New Roman"/>
        </w:rPr>
        <w:t xml:space="preserve">Details of each </w:t>
      </w:r>
      <w:r w:rsidR="00110EF3">
        <w:rPr>
          <w:rFonts w:ascii="Times New Roman" w:eastAsia="Times New Roman" w:hAnsi="Times New Roman"/>
        </w:rPr>
        <w:t>IC follow</w:t>
      </w:r>
      <w:r>
        <w:rPr>
          <w:rFonts w:ascii="Times New Roman" w:eastAsia="Times New Roman" w:hAnsi="Times New Roman"/>
        </w:rPr>
        <w:t xml:space="preserve">. </w:t>
      </w:r>
      <w:r w:rsidRPr="0EEECE9C">
        <w:rPr>
          <w:rFonts w:ascii="Times New Roman" w:hAnsi="Times New Roman"/>
          <w:color w:val="000000" w:themeColor="text1"/>
        </w:rPr>
        <w:t xml:space="preserve">The </w:t>
      </w:r>
      <w:r>
        <w:rPr>
          <w:rFonts w:ascii="Times New Roman" w:hAnsi="Times New Roman"/>
          <w:color w:val="000000" w:themeColor="text1"/>
        </w:rPr>
        <w:t xml:space="preserve">$47.36 </w:t>
      </w:r>
      <w:r w:rsidRPr="0EEECE9C">
        <w:rPr>
          <w:rFonts w:ascii="Times New Roman" w:hAnsi="Times New Roman"/>
          <w:color w:val="000000" w:themeColor="text1"/>
        </w:rPr>
        <w:t>cost per hour is based on the Office of Personnel Management (OPM) General Schedule (GS) hourly rate of $3</w:t>
      </w:r>
      <w:r>
        <w:rPr>
          <w:rFonts w:ascii="Times New Roman" w:hAnsi="Times New Roman"/>
          <w:color w:val="000000" w:themeColor="text1"/>
        </w:rPr>
        <w:t>4</w:t>
      </w:r>
      <w:r w:rsidRPr="0EEECE9C">
        <w:rPr>
          <w:rFonts w:ascii="Times New Roman" w:hAnsi="Times New Roman"/>
          <w:color w:val="000000" w:themeColor="text1"/>
        </w:rPr>
        <w:t>.</w:t>
      </w:r>
      <w:r>
        <w:rPr>
          <w:rFonts w:ascii="Times New Roman" w:hAnsi="Times New Roman"/>
          <w:color w:val="000000" w:themeColor="text1"/>
        </w:rPr>
        <w:t>76</w:t>
      </w:r>
      <w:r w:rsidRPr="0EEECE9C">
        <w:rPr>
          <w:rFonts w:ascii="Times New Roman" w:hAnsi="Times New Roman"/>
          <w:color w:val="000000" w:themeColor="text1"/>
        </w:rPr>
        <w:t xml:space="preserve"> for a GS-11, step 1, employee (</w:t>
      </w:r>
      <w:hyperlink r:id="rId11" w:history="1">
        <w:r w:rsidRPr="009966A4">
          <w:rPr>
            <w:rStyle w:val="Hyperlink"/>
            <w:rFonts w:ascii="Times New Roman" w:hAnsi="Times New Roman"/>
          </w:rPr>
          <w:t>Salary Table 2024-RUS</w:t>
        </w:r>
      </w:hyperlink>
      <w:r w:rsidRPr="0EEECE9C">
        <w:rPr>
          <w:rFonts w:ascii="Times New Roman" w:hAnsi="Times New Roman"/>
          <w:color w:val="000000" w:themeColor="text1"/>
        </w:rPr>
        <w:t xml:space="preserve"> for calendar year 2023 for the rest of the U.S.) plus the 36.25% civilian personnel full fringe benefit rate from </w:t>
      </w:r>
      <w:hyperlink r:id="rId12" w:anchor="memoranda-2024">
        <w:r w:rsidRPr="0EEECE9C">
          <w:rPr>
            <w:rStyle w:val="Hyperlink"/>
            <w:rFonts w:ascii="Times New Roman" w:hAnsi="Times New Roman"/>
          </w:rPr>
          <w:t>OMB memorandum M-08-13</w:t>
        </w:r>
      </w:hyperlink>
      <w:r w:rsidRPr="0EEECE9C">
        <w:rPr>
          <w:rFonts w:ascii="Times New Roman" w:hAnsi="Times New Roman"/>
          <w:color w:val="000000" w:themeColor="text1"/>
        </w:rPr>
        <w:t xml:space="preserve"> ($3</w:t>
      </w:r>
      <w:r>
        <w:rPr>
          <w:rFonts w:ascii="Times New Roman" w:hAnsi="Times New Roman"/>
          <w:color w:val="000000" w:themeColor="text1"/>
        </w:rPr>
        <w:t>4</w:t>
      </w:r>
      <w:r w:rsidRPr="0EEECE9C">
        <w:rPr>
          <w:rFonts w:ascii="Times New Roman" w:hAnsi="Times New Roman"/>
          <w:color w:val="000000" w:themeColor="text1"/>
        </w:rPr>
        <w:t>.</w:t>
      </w:r>
      <w:r>
        <w:rPr>
          <w:rFonts w:ascii="Times New Roman" w:hAnsi="Times New Roman"/>
          <w:color w:val="000000" w:themeColor="text1"/>
        </w:rPr>
        <w:t>76</w:t>
      </w:r>
      <w:r w:rsidRPr="0EEECE9C">
        <w:rPr>
          <w:rFonts w:ascii="Times New Roman" w:hAnsi="Times New Roman"/>
          <w:color w:val="000000" w:themeColor="text1"/>
        </w:rPr>
        <w:t xml:space="preserve"> + $12.</w:t>
      </w:r>
      <w:r>
        <w:rPr>
          <w:rFonts w:ascii="Times New Roman" w:hAnsi="Times New Roman"/>
          <w:color w:val="000000" w:themeColor="text1"/>
        </w:rPr>
        <w:t>6</w:t>
      </w:r>
      <w:r w:rsidRPr="0EEECE9C">
        <w:rPr>
          <w:rFonts w:ascii="Times New Roman" w:hAnsi="Times New Roman"/>
          <w:color w:val="000000" w:themeColor="text1"/>
        </w:rPr>
        <w:t>0 = $4</w:t>
      </w:r>
      <w:r>
        <w:rPr>
          <w:rFonts w:ascii="Times New Roman" w:hAnsi="Times New Roman"/>
          <w:color w:val="000000" w:themeColor="text1"/>
        </w:rPr>
        <w:t>7.36</w:t>
      </w:r>
      <w:r w:rsidRPr="0EEECE9C">
        <w:rPr>
          <w:rFonts w:ascii="Times New Roman" w:hAnsi="Times New Roman"/>
          <w:color w:val="000000" w:themeColor="text1"/>
        </w:rPr>
        <w:t>, rounded to the nearest dollar).</w:t>
      </w:r>
    </w:p>
    <w:p w:rsidR="00110EF3" w:rsidP="005561E5" w14:paraId="262F2941" w14:textId="77777777">
      <w:pPr>
        <w:pStyle w:val="Default"/>
        <w:widowControl w:val="0"/>
        <w:rPr>
          <w:rFonts w:ascii="Times New Roman" w:eastAsia="Times New Roman" w:hAnsi="Times New Roman"/>
        </w:rPr>
      </w:pPr>
    </w:p>
    <w:p w:rsidR="00110EF3" w:rsidRPr="00110EF3" w:rsidP="005561E5" w14:paraId="7A4E63B9" w14:textId="77777777">
      <w:pPr>
        <w:pStyle w:val="Default"/>
        <w:widowControl w:val="0"/>
        <w:rPr>
          <w:rFonts w:ascii="Times New Roman" w:eastAsia="Times New Roman" w:hAnsi="Times New Roman"/>
          <w:b/>
          <w:bCs/>
        </w:rPr>
      </w:pPr>
      <w:r>
        <w:rPr>
          <w:rFonts w:ascii="Times New Roman" w:eastAsia="Times New Roman" w:hAnsi="Times New Roman"/>
          <w:b/>
          <w:bCs/>
        </w:rPr>
        <w:t>Member Alumni Survey</w:t>
      </w:r>
      <w:r w:rsidR="007068A1">
        <w:rPr>
          <w:rFonts w:ascii="Times New Roman" w:eastAsia="Times New Roman" w:hAnsi="Times New Roman"/>
          <w:b/>
          <w:bCs/>
        </w:rPr>
        <w:t xml:space="preserve"> (1,562 Respondents)</w:t>
      </w:r>
    </w:p>
    <w:tbl>
      <w:tblPr>
        <w:tblW w:w="5000" w:type="pct"/>
        <w:tblCellSpacing w:w="22" w:type="dxa"/>
        <w:tblCellMar>
          <w:left w:w="0" w:type="dxa"/>
          <w:right w:w="0" w:type="dxa"/>
        </w:tblCellMar>
        <w:tblLook w:val="04A0"/>
      </w:tblPr>
      <w:tblGrid>
        <w:gridCol w:w="9205"/>
        <w:gridCol w:w="155"/>
      </w:tblGrid>
      <w:tr w14:paraId="389CBA89" w14:textId="77777777" w:rsidTr="0070112F">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5561E5" w:rsidRPr="00915869" w:rsidP="00F4770E" w14:paraId="2C54AA7E" w14:textId="77777777">
            <w:pPr>
              <w:widowControl w:val="0"/>
              <w:rPr>
                <w:rFonts w:ascii="Times New Roman" w:hAnsi="Times New Roman"/>
              </w:rPr>
            </w:pPr>
            <w:r w:rsidRPr="0EEECE9C">
              <w:rPr>
                <w:rFonts w:ascii="Times New Roman" w:hAnsi="Times New Roman"/>
              </w:rPr>
              <w:t xml:space="preserve">Burden per Response: </w:t>
            </w:r>
          </w:p>
          <w:tbl>
            <w:tblPr>
              <w:tblW w:w="6180" w:type="dxa"/>
              <w:tblLook w:val="04A0"/>
            </w:tblPr>
            <w:tblGrid>
              <w:gridCol w:w="2300"/>
              <w:gridCol w:w="1200"/>
              <w:gridCol w:w="1200"/>
              <w:gridCol w:w="1480"/>
            </w:tblGrid>
            <w:tr w14:paraId="521FBC9A" w14:textId="77777777" w:rsidTr="00F4770E">
              <w:tblPrEx>
                <w:tblW w:w="6180" w:type="dxa"/>
                <w:tblLook w:val="04A0"/>
              </w:tblPrEx>
              <w:trPr>
                <w:trHeight w:val="600"/>
              </w:trPr>
              <w:tc>
                <w:tcPr>
                  <w:tcW w:w="2300"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5561E5" w:rsidRPr="009E26E0" w:rsidP="00F4770E" w14:paraId="471D6808"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E26E0" w:rsidP="00F4770E" w14:paraId="4E2CE6F4"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Time Per Response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E26E0" w:rsidP="00F4770E" w14:paraId="2BA4F5A2"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Hours </w:t>
                  </w:r>
                </w:p>
              </w:tc>
              <w:tc>
                <w:tcPr>
                  <w:tcW w:w="1480" w:type="dxa"/>
                  <w:tcBorders>
                    <w:top w:val="single" w:sz="4" w:space="0" w:color="000000"/>
                    <w:left w:val="nil"/>
                    <w:bottom w:val="single" w:sz="4" w:space="0" w:color="000000"/>
                    <w:right w:val="single" w:sz="4" w:space="0" w:color="000000"/>
                  </w:tcBorders>
                  <w:shd w:val="clear" w:color="000000" w:fill="003399"/>
                  <w:vAlign w:val="center"/>
                  <w:hideMark/>
                </w:tcPr>
                <w:p w:rsidR="005561E5" w:rsidRPr="009E26E0" w:rsidP="00F4770E" w14:paraId="72701D44"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Cost Per Response </w:t>
                  </w:r>
                </w:p>
              </w:tc>
            </w:tr>
            <w:tr w14:paraId="29F690A9"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9E26E0" w:rsidP="00F4770E" w14:paraId="26934660"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110EF3" w14:paraId="7AFF8FF6"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1</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3942CE53"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1</w:t>
                  </w:r>
                </w:p>
              </w:tc>
              <w:tc>
                <w:tcPr>
                  <w:tcW w:w="148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52F206AA"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$47.3</w:t>
                  </w:r>
                  <w:r w:rsidR="004D6582">
                    <w:rPr>
                      <w:rFonts w:ascii="Times New Roman" w:hAnsi="Times New Roman"/>
                      <w:szCs w:val="24"/>
                    </w:rPr>
                    <w:t>6</w:t>
                  </w:r>
                  <w:r w:rsidRPr="009E26E0">
                    <w:rPr>
                      <w:rFonts w:ascii="Times New Roman" w:hAnsi="Times New Roman"/>
                      <w:szCs w:val="24"/>
                    </w:rPr>
                    <w:t xml:space="preserve"> </w:t>
                  </w:r>
                </w:p>
              </w:tc>
            </w:tr>
            <w:tr w14:paraId="6193A7A0"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9E26E0" w:rsidP="00F4770E" w14:paraId="73186242"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097E6708"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5143447E"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1CA78485"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2D515390"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9E26E0" w:rsidP="00F4770E" w14:paraId="78927FA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27377A3D"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165950E7"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7B81601E"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4A50AFDA"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9E26E0" w:rsidP="00F4770E" w14:paraId="23FF8E1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1DFB9700"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57DC91C5"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1.0</w:t>
                  </w:r>
                  <w:r w:rsidR="004D6582">
                    <w:rPr>
                      <w:rFonts w:ascii="Times New Roman" w:hAnsi="Times New Roman"/>
                      <w:szCs w:val="24"/>
                    </w:rPr>
                    <w:t>0</w:t>
                  </w:r>
                </w:p>
              </w:tc>
              <w:tc>
                <w:tcPr>
                  <w:tcW w:w="1480" w:type="dxa"/>
                  <w:tcBorders>
                    <w:top w:val="nil"/>
                    <w:left w:val="nil"/>
                    <w:bottom w:val="single" w:sz="4" w:space="0" w:color="000000"/>
                    <w:right w:val="single" w:sz="4" w:space="0" w:color="000000"/>
                  </w:tcBorders>
                  <w:shd w:val="clear" w:color="000000" w:fill="FFFFFF"/>
                  <w:vAlign w:val="center"/>
                  <w:hideMark/>
                </w:tcPr>
                <w:p w:rsidR="005561E5" w:rsidRPr="009E26E0" w:rsidP="00F4770E" w14:paraId="43D12A4D"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$47.3</w:t>
                  </w:r>
                  <w:r w:rsidR="004D6582">
                    <w:rPr>
                      <w:rFonts w:ascii="Times New Roman" w:hAnsi="Times New Roman"/>
                      <w:szCs w:val="24"/>
                    </w:rPr>
                    <w:t>6</w:t>
                  </w:r>
                  <w:r w:rsidRPr="009E26E0">
                    <w:rPr>
                      <w:rFonts w:ascii="Times New Roman" w:hAnsi="Times New Roman"/>
                      <w:szCs w:val="24"/>
                    </w:rPr>
                    <w:t xml:space="preserve"> </w:t>
                  </w:r>
                </w:p>
              </w:tc>
            </w:tr>
          </w:tbl>
          <w:p w:rsidR="005561E5" w:rsidRPr="00915869" w:rsidP="00F4770E" w14:paraId="14771CE8" w14:textId="77777777">
            <w:pPr>
              <w:widowControl w:val="0"/>
              <w:rPr>
                <w:rFonts w:ascii="Times New Roman" w:hAnsi="Times New Roman"/>
              </w:rPr>
            </w:pPr>
          </w:p>
        </w:tc>
      </w:tr>
      <w:tr w14:paraId="6975D3E2" w14:textId="77777777" w:rsidTr="00303B9A">
        <w:tblPrEx>
          <w:tblW w:w="5000" w:type="pct"/>
          <w:tblCellSpacing w:w="22" w:type="dxa"/>
          <w:tblCellMar>
            <w:left w:w="0" w:type="dxa"/>
            <w:right w:w="0" w:type="dxa"/>
          </w:tblCellMar>
          <w:tblLook w:val="04A0"/>
        </w:tblPrEx>
        <w:trPr>
          <w:trHeight w:val="26"/>
          <w:tblCellSpacing w:w="22" w:type="dxa"/>
        </w:trPr>
        <w:tc>
          <w:tcPr>
            <w:tcW w:w="4953" w:type="pct"/>
            <w:gridSpan w:val="2"/>
            <w:tcMar>
              <w:top w:w="15" w:type="dxa"/>
              <w:left w:w="15" w:type="dxa"/>
              <w:bottom w:w="15" w:type="dxa"/>
              <w:right w:w="15" w:type="dxa"/>
            </w:tcMar>
            <w:vAlign w:val="center"/>
            <w:hideMark/>
          </w:tcPr>
          <w:p w:rsidR="005561E5" w:rsidRPr="00915869" w:rsidP="00F4770E" w14:paraId="6FACF3D5" w14:textId="77777777">
            <w:pPr>
              <w:widowControl w:val="0"/>
              <w:rPr>
                <w:rFonts w:ascii="Times New Roman" w:hAnsi="Times New Roman"/>
              </w:rPr>
            </w:pPr>
          </w:p>
          <w:p w:rsidR="005561E5" w:rsidRPr="00915869" w:rsidP="00F4770E" w14:paraId="591318F4" w14:textId="77777777">
            <w:pPr>
              <w:widowControl w:val="0"/>
              <w:rPr>
                <w:rFonts w:ascii="Times New Roman" w:hAnsi="Times New Roman"/>
              </w:rPr>
            </w:pPr>
            <w:r w:rsidRPr="0EEECE9C">
              <w:rPr>
                <w:rFonts w:ascii="Times New Roman" w:hAnsi="Times New Roman"/>
              </w:rPr>
              <w:t xml:space="preserve">Annual Burden: </w:t>
            </w:r>
          </w:p>
          <w:tbl>
            <w:tblPr>
              <w:tblW w:w="5300" w:type="dxa"/>
              <w:tblLook w:val="04A0"/>
            </w:tblPr>
            <w:tblGrid>
              <w:gridCol w:w="2300"/>
              <w:gridCol w:w="1200"/>
              <w:gridCol w:w="1800"/>
            </w:tblGrid>
            <w:tr w14:paraId="4FE72559" w14:textId="77777777" w:rsidTr="00F4770E">
              <w:tblPrEx>
                <w:tblW w:w="5300" w:type="dxa"/>
                <w:tblLook w:val="04A0"/>
              </w:tblPrEx>
              <w:trPr>
                <w:trHeight w:val="300"/>
              </w:trPr>
              <w:tc>
                <w:tcPr>
                  <w:tcW w:w="23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5561E5" w:rsidRPr="0070218B" w:rsidP="00F4770E" w14:paraId="4CB13C1B"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5561E5" w:rsidRPr="0070218B" w:rsidP="00F4770E" w14:paraId="465BAE20"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Annual Time Burden (Hours) </w:t>
                  </w:r>
                </w:p>
              </w:tc>
              <w:tc>
                <w:tcPr>
                  <w:tcW w:w="1800" w:type="dxa"/>
                  <w:tcBorders>
                    <w:top w:val="single" w:sz="4" w:space="0" w:color="000000"/>
                    <w:left w:val="nil"/>
                    <w:bottom w:val="nil"/>
                    <w:right w:val="single" w:sz="4" w:space="0" w:color="000000"/>
                  </w:tcBorders>
                  <w:shd w:val="clear" w:color="000000" w:fill="003399"/>
                  <w:vAlign w:val="center"/>
                  <w:hideMark/>
                </w:tcPr>
                <w:p w:rsidR="005561E5" w:rsidRPr="0070218B" w:rsidP="00F4770E" w14:paraId="4633E50E"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Annual Cost Burden</w:t>
                  </w:r>
                </w:p>
              </w:tc>
            </w:tr>
            <w:tr w14:paraId="058CFA33" w14:textId="77777777" w:rsidTr="00F4770E">
              <w:tblPrEx>
                <w:tblW w:w="5300" w:type="dxa"/>
                <w:tblLook w:val="04A0"/>
              </w:tblPrEx>
              <w:trPr>
                <w:trHeight w:val="300"/>
              </w:trPr>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5561E5" w:rsidRPr="0070218B" w:rsidP="00F4770E" w14:paraId="7190AA4F" w14:textId="77777777">
                  <w:pPr>
                    <w:overflowPunct/>
                    <w:autoSpaceDE/>
                    <w:autoSpaceDN/>
                    <w:adjustRightInd/>
                    <w:textAlignment w:val="auto"/>
                    <w:rPr>
                      <w:rFonts w:ascii="Times New Roman" w:hAnsi="Times New Roman"/>
                      <w:b/>
                      <w:bCs/>
                      <w:color w:val="FFFFFF"/>
                      <w:szCs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5561E5" w:rsidRPr="0070218B" w:rsidP="00F4770E" w14:paraId="55E296E1" w14:textId="77777777">
                  <w:pPr>
                    <w:overflowPunct/>
                    <w:autoSpaceDE/>
                    <w:autoSpaceDN/>
                    <w:adjustRightInd/>
                    <w:textAlignment w:val="auto"/>
                    <w:rPr>
                      <w:rFonts w:ascii="Times New Roman" w:hAnsi="Times New Roman"/>
                      <w:b/>
                      <w:bCs/>
                      <w:color w:val="FFFFFF"/>
                      <w:szCs w:val="24"/>
                    </w:rPr>
                  </w:pPr>
                </w:p>
              </w:tc>
              <w:tc>
                <w:tcPr>
                  <w:tcW w:w="1800" w:type="dxa"/>
                  <w:tcBorders>
                    <w:top w:val="nil"/>
                    <w:left w:val="nil"/>
                    <w:bottom w:val="single" w:sz="4" w:space="0" w:color="000000"/>
                    <w:right w:val="single" w:sz="4" w:space="0" w:color="000000"/>
                  </w:tcBorders>
                  <w:shd w:val="clear" w:color="000000" w:fill="003399"/>
                  <w:vAlign w:val="center"/>
                  <w:hideMark/>
                </w:tcPr>
                <w:p w:rsidR="005561E5" w:rsidRPr="0070218B" w:rsidP="00F4770E" w14:paraId="70C30B14"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(Dollars) </w:t>
                  </w:r>
                </w:p>
              </w:tc>
            </w:tr>
            <w:tr w14:paraId="3A9B031D"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70218B" w:rsidP="00F4770E" w14:paraId="0C673ACA"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70218B" w:rsidP="001B4DCF" w14:paraId="6F471D10" w14:textId="77777777">
                  <w:pPr>
                    <w:overflowPunct/>
                    <w:autoSpaceDE/>
                    <w:autoSpaceDN/>
                    <w:adjustRightInd/>
                    <w:textAlignment w:val="auto"/>
                    <w:rPr>
                      <w:rFonts w:ascii="Times New Roman" w:hAnsi="Times New Roman"/>
                      <w:color w:val="000000"/>
                      <w:szCs w:val="24"/>
                    </w:rPr>
                  </w:pPr>
                  <w:r>
                    <w:rPr>
                      <w:rFonts w:ascii="Times New Roman" w:hAnsi="Times New Roman"/>
                      <w:szCs w:val="24"/>
                    </w:rPr>
                    <w:t>1562</w:t>
                  </w:r>
                </w:p>
              </w:tc>
              <w:tc>
                <w:tcPr>
                  <w:tcW w:w="1800" w:type="dxa"/>
                  <w:tcBorders>
                    <w:top w:val="nil"/>
                    <w:left w:val="nil"/>
                    <w:bottom w:val="single" w:sz="4" w:space="0" w:color="000000"/>
                    <w:right w:val="single" w:sz="4" w:space="0" w:color="000000"/>
                  </w:tcBorders>
                  <w:shd w:val="clear" w:color="000000" w:fill="FFFFFF"/>
                  <w:vAlign w:val="center"/>
                  <w:hideMark/>
                </w:tcPr>
                <w:p w:rsidR="005561E5" w:rsidRPr="0070218B" w:rsidP="00F4770E" w14:paraId="1632EC2C"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067B05">
                    <w:rPr>
                      <w:rFonts w:ascii="Times New Roman" w:hAnsi="Times New Roman"/>
                      <w:szCs w:val="24"/>
                    </w:rPr>
                    <w:t>73,976.32</w:t>
                  </w:r>
                  <w:r w:rsidRPr="0070218B">
                    <w:rPr>
                      <w:rFonts w:ascii="Times New Roman" w:hAnsi="Times New Roman"/>
                      <w:szCs w:val="24"/>
                    </w:rPr>
                    <w:t xml:space="preserve"> </w:t>
                  </w:r>
                </w:p>
              </w:tc>
            </w:tr>
            <w:tr w14:paraId="123514A3"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70218B" w:rsidP="00F4770E" w14:paraId="67D3530A"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70218B" w:rsidP="001B4DCF" w14:paraId="312588DD"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5561E5" w:rsidRPr="0070218B" w:rsidP="00F4770E" w14:paraId="08006526"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74CFF55C"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5561E5" w:rsidRPr="0070218B" w:rsidP="00F4770E" w14:paraId="19655CAD"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5561E5" w:rsidRPr="0070218B" w:rsidP="001B4DCF" w14:paraId="60A119CF"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5561E5" w:rsidRPr="0070218B" w:rsidP="00F4770E" w14:paraId="1F68068C"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0B46C84F"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067B05" w:rsidRPr="0070218B" w:rsidP="00067B05" w14:paraId="6904B5B8"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067B05" w:rsidRPr="0070218B" w:rsidP="00067B05" w14:paraId="74BC31E0" w14:textId="77777777">
                  <w:pPr>
                    <w:overflowPunct/>
                    <w:autoSpaceDE/>
                    <w:autoSpaceDN/>
                    <w:adjustRightInd/>
                    <w:textAlignment w:val="auto"/>
                    <w:rPr>
                      <w:rFonts w:ascii="Times New Roman" w:hAnsi="Times New Roman"/>
                      <w:color w:val="000000"/>
                      <w:szCs w:val="24"/>
                    </w:rPr>
                  </w:pPr>
                  <w:r>
                    <w:rPr>
                      <w:rFonts w:ascii="Times New Roman" w:hAnsi="Times New Roman"/>
                      <w:szCs w:val="24"/>
                    </w:rPr>
                    <w:t>1562</w:t>
                  </w:r>
                </w:p>
              </w:tc>
              <w:tc>
                <w:tcPr>
                  <w:tcW w:w="1800" w:type="dxa"/>
                  <w:tcBorders>
                    <w:top w:val="nil"/>
                    <w:left w:val="nil"/>
                    <w:bottom w:val="single" w:sz="4" w:space="0" w:color="000000"/>
                    <w:right w:val="single" w:sz="4" w:space="0" w:color="000000"/>
                  </w:tcBorders>
                  <w:shd w:val="clear" w:color="000000" w:fill="FFFFFF"/>
                  <w:vAlign w:val="center"/>
                  <w:hideMark/>
                </w:tcPr>
                <w:p w:rsidR="00067B05" w:rsidRPr="0070218B" w:rsidP="00067B05" w14:paraId="72D25D00"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Pr>
                      <w:rFonts w:ascii="Times New Roman" w:hAnsi="Times New Roman"/>
                      <w:szCs w:val="24"/>
                    </w:rPr>
                    <w:t>73,976.32</w:t>
                  </w:r>
                  <w:r w:rsidRPr="0070218B">
                    <w:rPr>
                      <w:rFonts w:ascii="Times New Roman" w:hAnsi="Times New Roman"/>
                      <w:szCs w:val="24"/>
                    </w:rPr>
                    <w:t xml:space="preserve"> </w:t>
                  </w:r>
                </w:p>
              </w:tc>
            </w:tr>
          </w:tbl>
          <w:p w:rsidR="005561E5" w:rsidRPr="00915869" w:rsidP="00F4770E" w14:paraId="357F2331" w14:textId="77777777">
            <w:pPr>
              <w:widowControl w:val="0"/>
              <w:rPr>
                <w:rFonts w:ascii="Times New Roman" w:hAnsi="Times New Roman"/>
              </w:rPr>
            </w:pPr>
          </w:p>
        </w:tc>
      </w:tr>
    </w:tbl>
    <w:p w:rsidR="005561E5" w:rsidP="005561E5" w14:paraId="684E7112" w14:textId="77777777">
      <w:pPr>
        <w:pStyle w:val="NormalWeb"/>
        <w:widowControl w:val="0"/>
        <w:tabs>
          <w:tab w:val="left" w:pos="360"/>
          <w:tab w:val="left" w:pos="720"/>
          <w:tab w:val="left" w:pos="1080"/>
          <w:tab w:val="left" w:pos="1440"/>
        </w:tabs>
        <w:spacing w:before="0" w:beforeAutospacing="0" w:after="0" w:afterAutospacing="0"/>
        <w:rPr>
          <w:u w:val="single"/>
        </w:rPr>
      </w:pPr>
    </w:p>
    <w:p w:rsidR="00303B9A" w:rsidRPr="00110EF3" w:rsidP="00303B9A" w14:paraId="2454B5EE" w14:textId="77777777">
      <w:pPr>
        <w:pStyle w:val="Default"/>
        <w:widowControl w:val="0"/>
        <w:rPr>
          <w:rFonts w:ascii="Times New Roman" w:eastAsia="Times New Roman" w:hAnsi="Times New Roman"/>
          <w:b/>
          <w:bCs/>
        </w:rPr>
      </w:pPr>
      <w:r>
        <w:rPr>
          <w:rFonts w:ascii="Times New Roman" w:eastAsia="Times New Roman" w:hAnsi="Times New Roman"/>
          <w:b/>
          <w:bCs/>
        </w:rPr>
        <w:t>Early Exit Survey</w:t>
      </w:r>
      <w:r w:rsidR="00092594">
        <w:rPr>
          <w:rFonts w:ascii="Times New Roman" w:eastAsia="Times New Roman" w:hAnsi="Times New Roman"/>
          <w:b/>
          <w:bCs/>
        </w:rPr>
        <w:t xml:space="preserve"> (443 Respondents)</w:t>
      </w:r>
    </w:p>
    <w:tbl>
      <w:tblPr>
        <w:tblW w:w="5000" w:type="pct"/>
        <w:tblCellSpacing w:w="22" w:type="dxa"/>
        <w:tblCellMar>
          <w:left w:w="0" w:type="dxa"/>
          <w:right w:w="0" w:type="dxa"/>
        </w:tblCellMar>
        <w:tblLook w:val="04A0"/>
      </w:tblPr>
      <w:tblGrid>
        <w:gridCol w:w="9205"/>
        <w:gridCol w:w="155"/>
      </w:tblGrid>
      <w:tr w14:paraId="000D1277" w14:textId="77777777" w:rsidTr="00F4770E">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303B9A" w:rsidRPr="00915869" w:rsidP="00F4770E" w14:paraId="60D41EA3" w14:textId="77777777">
            <w:pPr>
              <w:widowControl w:val="0"/>
              <w:rPr>
                <w:rFonts w:ascii="Times New Roman" w:hAnsi="Times New Roman"/>
              </w:rPr>
            </w:pPr>
            <w:r w:rsidRPr="0EEECE9C">
              <w:rPr>
                <w:rFonts w:ascii="Times New Roman" w:hAnsi="Times New Roman"/>
              </w:rPr>
              <w:t xml:space="preserve">Burden per Response: </w:t>
            </w:r>
          </w:p>
          <w:tbl>
            <w:tblPr>
              <w:tblW w:w="6180" w:type="dxa"/>
              <w:tblLook w:val="04A0"/>
            </w:tblPr>
            <w:tblGrid>
              <w:gridCol w:w="2300"/>
              <w:gridCol w:w="1200"/>
              <w:gridCol w:w="1200"/>
              <w:gridCol w:w="1480"/>
            </w:tblGrid>
            <w:tr w14:paraId="1DFBE492" w14:textId="77777777" w:rsidTr="00F4770E">
              <w:tblPrEx>
                <w:tblW w:w="6180" w:type="dxa"/>
                <w:tblLook w:val="04A0"/>
              </w:tblPrEx>
              <w:trPr>
                <w:trHeight w:val="600"/>
              </w:trPr>
              <w:tc>
                <w:tcPr>
                  <w:tcW w:w="2300"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303B9A" w:rsidRPr="009E26E0" w:rsidP="00F4770E" w14:paraId="44A82F60"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303B9A" w:rsidRPr="009E26E0" w:rsidP="00F4770E" w14:paraId="032E5FC1"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Time Per Response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303B9A" w:rsidRPr="009E26E0" w:rsidP="00F4770E" w14:paraId="251C157B"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Hours </w:t>
                  </w:r>
                </w:p>
              </w:tc>
              <w:tc>
                <w:tcPr>
                  <w:tcW w:w="1480" w:type="dxa"/>
                  <w:tcBorders>
                    <w:top w:val="single" w:sz="4" w:space="0" w:color="000000"/>
                    <w:left w:val="nil"/>
                    <w:bottom w:val="single" w:sz="4" w:space="0" w:color="000000"/>
                    <w:right w:val="single" w:sz="4" w:space="0" w:color="000000"/>
                  </w:tcBorders>
                  <w:shd w:val="clear" w:color="000000" w:fill="003399"/>
                  <w:vAlign w:val="center"/>
                  <w:hideMark/>
                </w:tcPr>
                <w:p w:rsidR="00303B9A" w:rsidRPr="009E26E0" w:rsidP="00F4770E" w14:paraId="4170C329"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Cost Per Response </w:t>
                  </w:r>
                </w:p>
              </w:tc>
            </w:tr>
            <w:tr w14:paraId="1156A388"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03B9A" w:rsidRPr="009E26E0" w:rsidP="00F4770E" w14:paraId="637C855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3B150FD6"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1</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320D506C"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1</w:t>
                  </w:r>
                </w:p>
              </w:tc>
              <w:tc>
                <w:tcPr>
                  <w:tcW w:w="148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43D3043E"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$47.3</w:t>
                  </w:r>
                  <w:r>
                    <w:rPr>
                      <w:rFonts w:ascii="Times New Roman" w:hAnsi="Times New Roman"/>
                      <w:szCs w:val="24"/>
                    </w:rPr>
                    <w:t>6</w:t>
                  </w:r>
                  <w:r w:rsidRPr="009E26E0">
                    <w:rPr>
                      <w:rFonts w:ascii="Times New Roman" w:hAnsi="Times New Roman"/>
                      <w:szCs w:val="24"/>
                    </w:rPr>
                    <w:t xml:space="preserve"> </w:t>
                  </w:r>
                </w:p>
              </w:tc>
            </w:tr>
            <w:tr w14:paraId="52264029"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03B9A" w:rsidRPr="009E26E0" w:rsidP="00F4770E" w14:paraId="43CC4630"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0EAD789B"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2FF88BA1"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6D11779A"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7583B543"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03B9A" w:rsidRPr="009E26E0" w:rsidP="00F4770E" w14:paraId="2078506B"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42B1E57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3DBC38AE"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78D7451F"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21B63E3E"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03B9A" w:rsidRPr="009E26E0" w:rsidP="00F4770E" w14:paraId="58CDC70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6959ED00"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39E60A71"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1.0</w:t>
                  </w:r>
                  <w:r>
                    <w:rPr>
                      <w:rFonts w:ascii="Times New Roman" w:hAnsi="Times New Roman"/>
                      <w:szCs w:val="24"/>
                    </w:rPr>
                    <w:t>0</w:t>
                  </w:r>
                </w:p>
              </w:tc>
              <w:tc>
                <w:tcPr>
                  <w:tcW w:w="1480" w:type="dxa"/>
                  <w:tcBorders>
                    <w:top w:val="nil"/>
                    <w:left w:val="nil"/>
                    <w:bottom w:val="single" w:sz="4" w:space="0" w:color="000000"/>
                    <w:right w:val="single" w:sz="4" w:space="0" w:color="000000"/>
                  </w:tcBorders>
                  <w:shd w:val="clear" w:color="000000" w:fill="FFFFFF"/>
                  <w:vAlign w:val="center"/>
                  <w:hideMark/>
                </w:tcPr>
                <w:p w:rsidR="00303B9A" w:rsidRPr="009E26E0" w:rsidP="00F4770E" w14:paraId="492B6B0A"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$47.3</w:t>
                  </w:r>
                  <w:r>
                    <w:rPr>
                      <w:rFonts w:ascii="Times New Roman" w:hAnsi="Times New Roman"/>
                      <w:szCs w:val="24"/>
                    </w:rPr>
                    <w:t>6</w:t>
                  </w:r>
                  <w:r w:rsidRPr="009E26E0">
                    <w:rPr>
                      <w:rFonts w:ascii="Times New Roman" w:hAnsi="Times New Roman"/>
                      <w:szCs w:val="24"/>
                    </w:rPr>
                    <w:t xml:space="preserve"> </w:t>
                  </w:r>
                </w:p>
              </w:tc>
            </w:tr>
          </w:tbl>
          <w:p w:rsidR="00303B9A" w:rsidRPr="00915869" w:rsidP="00F4770E" w14:paraId="677EA1AB" w14:textId="77777777">
            <w:pPr>
              <w:widowControl w:val="0"/>
              <w:rPr>
                <w:rFonts w:ascii="Times New Roman" w:hAnsi="Times New Roman"/>
              </w:rPr>
            </w:pPr>
          </w:p>
        </w:tc>
      </w:tr>
      <w:tr w14:paraId="08CFA8A8" w14:textId="77777777" w:rsidTr="00F4770E">
        <w:tblPrEx>
          <w:tblW w:w="5000" w:type="pct"/>
          <w:tblCellSpacing w:w="22" w:type="dxa"/>
          <w:tblCellMar>
            <w:left w:w="0" w:type="dxa"/>
            <w:right w:w="0" w:type="dxa"/>
          </w:tblCellMar>
          <w:tblLook w:val="04A0"/>
        </w:tblPrEx>
        <w:trPr>
          <w:trHeight w:val="26"/>
          <w:tblCellSpacing w:w="22" w:type="dxa"/>
        </w:trPr>
        <w:tc>
          <w:tcPr>
            <w:tcW w:w="4953" w:type="pct"/>
            <w:gridSpan w:val="2"/>
            <w:tcMar>
              <w:top w:w="15" w:type="dxa"/>
              <w:left w:w="15" w:type="dxa"/>
              <w:bottom w:w="15" w:type="dxa"/>
              <w:right w:w="15" w:type="dxa"/>
            </w:tcMar>
            <w:vAlign w:val="center"/>
            <w:hideMark/>
          </w:tcPr>
          <w:p w:rsidR="00303B9A" w:rsidRPr="00915869" w:rsidP="00F4770E" w14:paraId="1089FD94" w14:textId="77777777">
            <w:pPr>
              <w:widowControl w:val="0"/>
              <w:rPr>
                <w:rFonts w:ascii="Times New Roman" w:hAnsi="Times New Roman"/>
              </w:rPr>
            </w:pPr>
          </w:p>
          <w:p w:rsidR="00303B9A" w:rsidRPr="00915869" w:rsidP="00F4770E" w14:paraId="18D1DFE6" w14:textId="77777777">
            <w:pPr>
              <w:widowControl w:val="0"/>
              <w:rPr>
                <w:rFonts w:ascii="Times New Roman" w:hAnsi="Times New Roman"/>
              </w:rPr>
            </w:pPr>
            <w:r w:rsidRPr="0EEECE9C">
              <w:rPr>
                <w:rFonts w:ascii="Times New Roman" w:hAnsi="Times New Roman"/>
              </w:rPr>
              <w:t xml:space="preserve">Annual Burden: </w:t>
            </w:r>
          </w:p>
          <w:tbl>
            <w:tblPr>
              <w:tblW w:w="5300" w:type="dxa"/>
              <w:tblLook w:val="04A0"/>
            </w:tblPr>
            <w:tblGrid>
              <w:gridCol w:w="2300"/>
              <w:gridCol w:w="1200"/>
              <w:gridCol w:w="1800"/>
            </w:tblGrid>
            <w:tr w14:paraId="775FDFF0" w14:textId="77777777" w:rsidTr="00F4770E">
              <w:tblPrEx>
                <w:tblW w:w="5300" w:type="dxa"/>
                <w:tblLook w:val="04A0"/>
              </w:tblPrEx>
              <w:trPr>
                <w:trHeight w:val="300"/>
              </w:trPr>
              <w:tc>
                <w:tcPr>
                  <w:tcW w:w="23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303B9A" w:rsidRPr="0070218B" w:rsidP="00F4770E" w14:paraId="4687467A"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303B9A" w:rsidRPr="0070218B" w:rsidP="00F4770E" w14:paraId="4EA78863"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Annual Time Burden (Hours) </w:t>
                  </w:r>
                </w:p>
              </w:tc>
              <w:tc>
                <w:tcPr>
                  <w:tcW w:w="1800" w:type="dxa"/>
                  <w:tcBorders>
                    <w:top w:val="single" w:sz="4" w:space="0" w:color="000000"/>
                    <w:left w:val="nil"/>
                    <w:bottom w:val="nil"/>
                    <w:right w:val="single" w:sz="4" w:space="0" w:color="000000"/>
                  </w:tcBorders>
                  <w:shd w:val="clear" w:color="000000" w:fill="003399"/>
                  <w:vAlign w:val="center"/>
                  <w:hideMark/>
                </w:tcPr>
                <w:p w:rsidR="00303B9A" w:rsidRPr="0070218B" w:rsidP="00F4770E" w14:paraId="0C280BF8"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Annual Cost Burden</w:t>
                  </w:r>
                </w:p>
              </w:tc>
            </w:tr>
            <w:tr w14:paraId="4B226563" w14:textId="77777777" w:rsidTr="00F4770E">
              <w:tblPrEx>
                <w:tblW w:w="5300" w:type="dxa"/>
                <w:tblLook w:val="04A0"/>
              </w:tblPrEx>
              <w:trPr>
                <w:trHeight w:val="300"/>
              </w:trPr>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303B9A" w:rsidRPr="0070218B" w:rsidP="00F4770E" w14:paraId="341EF8E4" w14:textId="77777777">
                  <w:pPr>
                    <w:overflowPunct/>
                    <w:autoSpaceDE/>
                    <w:autoSpaceDN/>
                    <w:adjustRightInd/>
                    <w:textAlignment w:val="auto"/>
                    <w:rPr>
                      <w:rFonts w:ascii="Times New Roman" w:hAnsi="Times New Roman"/>
                      <w:b/>
                      <w:bCs/>
                      <w:color w:val="FFFFFF"/>
                      <w:szCs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303B9A" w:rsidRPr="0070218B" w:rsidP="00F4770E" w14:paraId="233F22AA" w14:textId="77777777">
                  <w:pPr>
                    <w:overflowPunct/>
                    <w:autoSpaceDE/>
                    <w:autoSpaceDN/>
                    <w:adjustRightInd/>
                    <w:textAlignment w:val="auto"/>
                    <w:rPr>
                      <w:rFonts w:ascii="Times New Roman" w:hAnsi="Times New Roman"/>
                      <w:b/>
                      <w:bCs/>
                      <w:color w:val="FFFFFF"/>
                      <w:szCs w:val="24"/>
                    </w:rPr>
                  </w:pPr>
                </w:p>
              </w:tc>
              <w:tc>
                <w:tcPr>
                  <w:tcW w:w="1800" w:type="dxa"/>
                  <w:tcBorders>
                    <w:top w:val="nil"/>
                    <w:left w:val="nil"/>
                    <w:bottom w:val="single" w:sz="4" w:space="0" w:color="000000"/>
                    <w:right w:val="single" w:sz="4" w:space="0" w:color="000000"/>
                  </w:tcBorders>
                  <w:shd w:val="clear" w:color="000000" w:fill="003399"/>
                  <w:vAlign w:val="center"/>
                  <w:hideMark/>
                </w:tcPr>
                <w:p w:rsidR="00303B9A" w:rsidRPr="0070218B" w:rsidP="00F4770E" w14:paraId="48219372"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(Dollars) </w:t>
                  </w:r>
                </w:p>
              </w:tc>
            </w:tr>
            <w:tr w14:paraId="039ADCC5"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03B9A" w:rsidRPr="0070218B" w:rsidP="00F4770E" w14:paraId="0198732A"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70218B" w:rsidP="00F4770E" w14:paraId="5086D0D2"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443</w:t>
                  </w:r>
                </w:p>
              </w:tc>
              <w:tc>
                <w:tcPr>
                  <w:tcW w:w="1800" w:type="dxa"/>
                  <w:tcBorders>
                    <w:top w:val="nil"/>
                    <w:left w:val="nil"/>
                    <w:bottom w:val="single" w:sz="4" w:space="0" w:color="000000"/>
                    <w:right w:val="single" w:sz="4" w:space="0" w:color="000000"/>
                  </w:tcBorders>
                  <w:shd w:val="clear" w:color="000000" w:fill="FFFFFF"/>
                  <w:vAlign w:val="center"/>
                  <w:hideMark/>
                </w:tcPr>
                <w:p w:rsidR="00303B9A" w:rsidRPr="0070218B" w:rsidP="00F4770E" w14:paraId="5F05FBD4"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092594">
                    <w:rPr>
                      <w:rFonts w:ascii="Times New Roman" w:hAnsi="Times New Roman"/>
                      <w:szCs w:val="24"/>
                    </w:rPr>
                    <w:t>20,980.48</w:t>
                  </w:r>
                  <w:r w:rsidRPr="0070218B">
                    <w:rPr>
                      <w:rFonts w:ascii="Times New Roman" w:hAnsi="Times New Roman"/>
                      <w:szCs w:val="24"/>
                    </w:rPr>
                    <w:t xml:space="preserve"> </w:t>
                  </w:r>
                </w:p>
              </w:tc>
            </w:tr>
            <w:tr w14:paraId="3270E5EC"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03B9A" w:rsidRPr="0070218B" w:rsidP="00F4770E" w14:paraId="6714227E"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70218B" w:rsidP="00F4770E" w14:paraId="0A7C2D12"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303B9A" w:rsidRPr="0070218B" w:rsidP="00F4770E" w14:paraId="58D9B13A"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5670A4FF"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03B9A" w:rsidRPr="0070218B" w:rsidP="00F4770E" w14:paraId="30315F22"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303B9A" w:rsidRPr="0070218B" w:rsidP="00F4770E" w14:paraId="711B715E"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303B9A" w:rsidRPr="0070218B" w:rsidP="00F4770E" w14:paraId="44D91111"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76ACD985"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092594" w:rsidRPr="0070218B" w:rsidP="00092594" w14:paraId="3A76B316"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092594" w:rsidRPr="0070218B" w:rsidP="00092594" w14:paraId="76C134C5"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443</w:t>
                  </w:r>
                </w:p>
              </w:tc>
              <w:tc>
                <w:tcPr>
                  <w:tcW w:w="1800" w:type="dxa"/>
                  <w:tcBorders>
                    <w:top w:val="nil"/>
                    <w:left w:val="nil"/>
                    <w:bottom w:val="single" w:sz="4" w:space="0" w:color="000000"/>
                    <w:right w:val="single" w:sz="4" w:space="0" w:color="000000"/>
                  </w:tcBorders>
                  <w:shd w:val="clear" w:color="000000" w:fill="FFFFFF"/>
                  <w:vAlign w:val="center"/>
                  <w:hideMark/>
                </w:tcPr>
                <w:p w:rsidR="00092594" w:rsidRPr="0070218B" w:rsidP="00092594" w14:paraId="6D126B57"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Pr>
                      <w:rFonts w:ascii="Times New Roman" w:hAnsi="Times New Roman"/>
                      <w:szCs w:val="24"/>
                    </w:rPr>
                    <w:t>20,980.48</w:t>
                  </w:r>
                  <w:r w:rsidRPr="0070218B">
                    <w:rPr>
                      <w:rFonts w:ascii="Times New Roman" w:hAnsi="Times New Roman"/>
                      <w:szCs w:val="24"/>
                    </w:rPr>
                    <w:t xml:space="preserve"> </w:t>
                  </w:r>
                </w:p>
              </w:tc>
            </w:tr>
          </w:tbl>
          <w:p w:rsidR="00303B9A" w:rsidRPr="00915869" w:rsidP="00F4770E" w14:paraId="6021B954" w14:textId="77777777">
            <w:pPr>
              <w:widowControl w:val="0"/>
              <w:rPr>
                <w:rFonts w:ascii="Times New Roman" w:hAnsi="Times New Roman"/>
              </w:rPr>
            </w:pPr>
          </w:p>
        </w:tc>
      </w:tr>
    </w:tbl>
    <w:p w:rsidR="00303B9A" w:rsidP="00303B9A" w14:paraId="2185E00B" w14:textId="77777777">
      <w:pPr>
        <w:pStyle w:val="NormalWeb"/>
        <w:widowControl w:val="0"/>
        <w:tabs>
          <w:tab w:val="left" w:pos="360"/>
          <w:tab w:val="left" w:pos="720"/>
          <w:tab w:val="left" w:pos="1080"/>
          <w:tab w:val="left" w:pos="1440"/>
        </w:tabs>
        <w:spacing w:before="0" w:beforeAutospacing="0" w:after="0" w:afterAutospacing="0"/>
        <w:rPr>
          <w:u w:val="single"/>
        </w:rPr>
      </w:pPr>
    </w:p>
    <w:p w:rsidR="00C65C6F" w:rsidRPr="00110EF3" w:rsidP="00C65C6F" w14:paraId="27F0C384" w14:textId="77777777">
      <w:pPr>
        <w:pStyle w:val="Default"/>
        <w:widowControl w:val="0"/>
        <w:rPr>
          <w:rFonts w:ascii="Times New Roman" w:eastAsia="Times New Roman" w:hAnsi="Times New Roman"/>
          <w:b/>
          <w:bCs/>
        </w:rPr>
      </w:pPr>
      <w:r>
        <w:rPr>
          <w:rFonts w:ascii="Times New Roman" w:eastAsia="Times New Roman" w:hAnsi="Times New Roman"/>
          <w:b/>
          <w:bCs/>
        </w:rPr>
        <w:t>Grantee Survey (82 Respondents)</w:t>
      </w:r>
    </w:p>
    <w:tbl>
      <w:tblPr>
        <w:tblW w:w="5000" w:type="pct"/>
        <w:tblCellSpacing w:w="22" w:type="dxa"/>
        <w:tblCellMar>
          <w:left w:w="0" w:type="dxa"/>
          <w:right w:w="0" w:type="dxa"/>
        </w:tblCellMar>
        <w:tblLook w:val="04A0"/>
      </w:tblPr>
      <w:tblGrid>
        <w:gridCol w:w="9205"/>
        <w:gridCol w:w="155"/>
      </w:tblGrid>
      <w:tr w14:paraId="0A04C8A0" w14:textId="77777777" w:rsidTr="00F4770E">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C65C6F" w:rsidRPr="00915869" w:rsidP="00F4770E" w14:paraId="5A89574C" w14:textId="77777777">
            <w:pPr>
              <w:widowControl w:val="0"/>
              <w:rPr>
                <w:rFonts w:ascii="Times New Roman" w:hAnsi="Times New Roman"/>
              </w:rPr>
            </w:pPr>
            <w:r w:rsidRPr="0EEECE9C">
              <w:rPr>
                <w:rFonts w:ascii="Times New Roman" w:hAnsi="Times New Roman"/>
              </w:rPr>
              <w:t xml:space="preserve">Burden per Response: </w:t>
            </w:r>
          </w:p>
          <w:tbl>
            <w:tblPr>
              <w:tblW w:w="6180" w:type="dxa"/>
              <w:tblLook w:val="04A0"/>
            </w:tblPr>
            <w:tblGrid>
              <w:gridCol w:w="2300"/>
              <w:gridCol w:w="1200"/>
              <w:gridCol w:w="1200"/>
              <w:gridCol w:w="1480"/>
            </w:tblGrid>
            <w:tr w14:paraId="5DC3E9A1" w14:textId="77777777" w:rsidTr="00F4770E">
              <w:tblPrEx>
                <w:tblW w:w="6180" w:type="dxa"/>
                <w:tblLook w:val="04A0"/>
              </w:tblPrEx>
              <w:trPr>
                <w:trHeight w:val="600"/>
              </w:trPr>
              <w:tc>
                <w:tcPr>
                  <w:tcW w:w="2300"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C65C6F" w:rsidRPr="009E26E0" w:rsidP="00F4770E" w14:paraId="61E6EF3A"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C65C6F" w:rsidRPr="009E26E0" w:rsidP="00F4770E" w14:paraId="73745E22"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Time Per Response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C65C6F" w:rsidRPr="009E26E0" w:rsidP="00F4770E" w14:paraId="524C24ED"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Hours </w:t>
                  </w:r>
                </w:p>
              </w:tc>
              <w:tc>
                <w:tcPr>
                  <w:tcW w:w="1480" w:type="dxa"/>
                  <w:tcBorders>
                    <w:top w:val="single" w:sz="4" w:space="0" w:color="000000"/>
                    <w:left w:val="nil"/>
                    <w:bottom w:val="single" w:sz="4" w:space="0" w:color="000000"/>
                    <w:right w:val="single" w:sz="4" w:space="0" w:color="000000"/>
                  </w:tcBorders>
                  <w:shd w:val="clear" w:color="000000" w:fill="003399"/>
                  <w:vAlign w:val="center"/>
                  <w:hideMark/>
                </w:tcPr>
                <w:p w:rsidR="00C65C6F" w:rsidRPr="009E26E0" w:rsidP="00F4770E" w14:paraId="4E318B90"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Cost Per Response </w:t>
                  </w:r>
                </w:p>
              </w:tc>
            </w:tr>
            <w:tr w14:paraId="5AA2DD82"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C65C6F" w:rsidRPr="009E26E0" w:rsidP="00F4770E" w14:paraId="3FE6A8EB"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0EEB1AA3"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0.5</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6C699BD4"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0.5</w:t>
                  </w:r>
                </w:p>
              </w:tc>
              <w:tc>
                <w:tcPr>
                  <w:tcW w:w="148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2A8C1232"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sidR="0031095E">
                    <w:rPr>
                      <w:rFonts w:ascii="Times New Roman" w:hAnsi="Times New Roman"/>
                      <w:szCs w:val="24"/>
                    </w:rPr>
                    <w:t>23.68</w:t>
                  </w:r>
                  <w:r w:rsidRPr="009E26E0">
                    <w:rPr>
                      <w:rFonts w:ascii="Times New Roman" w:hAnsi="Times New Roman"/>
                      <w:szCs w:val="24"/>
                    </w:rPr>
                    <w:t xml:space="preserve"> </w:t>
                  </w:r>
                </w:p>
              </w:tc>
            </w:tr>
            <w:tr w14:paraId="49D63D8B"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C65C6F" w:rsidRPr="009E26E0" w:rsidP="00F4770E" w14:paraId="351899C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0BD0EB39"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68DCA174"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732ABE5F"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6AC9C29D"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C65C6F" w:rsidRPr="009E26E0" w:rsidP="00F4770E" w14:paraId="3B03E13A"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1EE43ED8"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354BB6F7"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C65C6F" w:rsidRPr="009E26E0" w:rsidP="00F4770E" w14:paraId="34B6FB0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31FF5892"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31095E" w:rsidRPr="009E26E0" w:rsidP="0031095E" w14:paraId="593BF745"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31095E" w:rsidRPr="009E26E0" w:rsidP="0031095E" w14:paraId="6C8A042E"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31095E" w:rsidRPr="009E26E0" w:rsidP="0031095E" w14:paraId="05CF4B0E"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0.5</w:t>
                  </w:r>
                </w:p>
              </w:tc>
              <w:tc>
                <w:tcPr>
                  <w:tcW w:w="1480" w:type="dxa"/>
                  <w:tcBorders>
                    <w:top w:val="nil"/>
                    <w:left w:val="nil"/>
                    <w:bottom w:val="single" w:sz="4" w:space="0" w:color="000000"/>
                    <w:right w:val="single" w:sz="4" w:space="0" w:color="000000"/>
                  </w:tcBorders>
                  <w:shd w:val="clear" w:color="000000" w:fill="FFFFFF"/>
                  <w:vAlign w:val="center"/>
                  <w:hideMark/>
                </w:tcPr>
                <w:p w:rsidR="0031095E" w:rsidRPr="009E26E0" w:rsidP="0031095E" w14:paraId="7C7F12C0"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Pr>
                      <w:rFonts w:ascii="Times New Roman" w:hAnsi="Times New Roman"/>
                      <w:szCs w:val="24"/>
                    </w:rPr>
                    <w:t>23.68</w:t>
                  </w:r>
                  <w:r w:rsidRPr="009E26E0">
                    <w:rPr>
                      <w:rFonts w:ascii="Times New Roman" w:hAnsi="Times New Roman"/>
                      <w:szCs w:val="24"/>
                    </w:rPr>
                    <w:t xml:space="preserve"> </w:t>
                  </w:r>
                </w:p>
              </w:tc>
            </w:tr>
          </w:tbl>
          <w:p w:rsidR="00C65C6F" w:rsidRPr="00915869" w:rsidP="00F4770E" w14:paraId="2BF5A697" w14:textId="77777777">
            <w:pPr>
              <w:widowControl w:val="0"/>
              <w:rPr>
                <w:rFonts w:ascii="Times New Roman" w:hAnsi="Times New Roman"/>
              </w:rPr>
            </w:pPr>
          </w:p>
        </w:tc>
      </w:tr>
      <w:tr w14:paraId="60E8A833" w14:textId="77777777" w:rsidTr="00F4770E">
        <w:tblPrEx>
          <w:tblW w:w="5000" w:type="pct"/>
          <w:tblCellSpacing w:w="22" w:type="dxa"/>
          <w:tblCellMar>
            <w:left w:w="0" w:type="dxa"/>
            <w:right w:w="0" w:type="dxa"/>
          </w:tblCellMar>
          <w:tblLook w:val="04A0"/>
        </w:tblPrEx>
        <w:trPr>
          <w:trHeight w:val="26"/>
          <w:tblCellSpacing w:w="22" w:type="dxa"/>
        </w:trPr>
        <w:tc>
          <w:tcPr>
            <w:tcW w:w="4953" w:type="pct"/>
            <w:gridSpan w:val="2"/>
            <w:tcMar>
              <w:top w:w="15" w:type="dxa"/>
              <w:left w:w="15" w:type="dxa"/>
              <w:bottom w:w="15" w:type="dxa"/>
              <w:right w:w="15" w:type="dxa"/>
            </w:tcMar>
            <w:vAlign w:val="center"/>
            <w:hideMark/>
          </w:tcPr>
          <w:p w:rsidR="00C65C6F" w:rsidRPr="00915869" w:rsidP="00F4770E" w14:paraId="74914676" w14:textId="77777777">
            <w:pPr>
              <w:widowControl w:val="0"/>
              <w:rPr>
                <w:rFonts w:ascii="Times New Roman" w:hAnsi="Times New Roman"/>
              </w:rPr>
            </w:pPr>
          </w:p>
          <w:p w:rsidR="00C65C6F" w:rsidRPr="00915869" w:rsidP="00F4770E" w14:paraId="044920BF" w14:textId="77777777">
            <w:pPr>
              <w:widowControl w:val="0"/>
              <w:rPr>
                <w:rFonts w:ascii="Times New Roman" w:hAnsi="Times New Roman"/>
              </w:rPr>
            </w:pPr>
            <w:r w:rsidRPr="0EEECE9C">
              <w:rPr>
                <w:rFonts w:ascii="Times New Roman" w:hAnsi="Times New Roman"/>
              </w:rPr>
              <w:t xml:space="preserve">Annual Burden: </w:t>
            </w:r>
          </w:p>
          <w:tbl>
            <w:tblPr>
              <w:tblW w:w="5300" w:type="dxa"/>
              <w:tblLook w:val="04A0"/>
            </w:tblPr>
            <w:tblGrid>
              <w:gridCol w:w="2300"/>
              <w:gridCol w:w="1200"/>
              <w:gridCol w:w="1800"/>
            </w:tblGrid>
            <w:tr w14:paraId="2AC0817A" w14:textId="77777777" w:rsidTr="00F4770E">
              <w:tblPrEx>
                <w:tblW w:w="5300" w:type="dxa"/>
                <w:tblLook w:val="04A0"/>
              </w:tblPrEx>
              <w:trPr>
                <w:trHeight w:val="300"/>
              </w:trPr>
              <w:tc>
                <w:tcPr>
                  <w:tcW w:w="23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C65C6F" w:rsidRPr="0070218B" w:rsidP="00F4770E" w14:paraId="0479E6E1"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C65C6F" w:rsidRPr="0070218B" w:rsidP="00F4770E" w14:paraId="539AEEA6"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Annual Time Burden (Hours) </w:t>
                  </w:r>
                </w:p>
              </w:tc>
              <w:tc>
                <w:tcPr>
                  <w:tcW w:w="1800" w:type="dxa"/>
                  <w:tcBorders>
                    <w:top w:val="single" w:sz="4" w:space="0" w:color="000000"/>
                    <w:left w:val="nil"/>
                    <w:bottom w:val="nil"/>
                    <w:right w:val="single" w:sz="4" w:space="0" w:color="000000"/>
                  </w:tcBorders>
                  <w:shd w:val="clear" w:color="000000" w:fill="003399"/>
                  <w:vAlign w:val="center"/>
                  <w:hideMark/>
                </w:tcPr>
                <w:p w:rsidR="00C65C6F" w:rsidRPr="0070218B" w:rsidP="00F4770E" w14:paraId="79C236E2"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Annual Cost Burden</w:t>
                  </w:r>
                </w:p>
              </w:tc>
            </w:tr>
            <w:tr w14:paraId="439738EA" w14:textId="77777777" w:rsidTr="00F4770E">
              <w:tblPrEx>
                <w:tblW w:w="5300" w:type="dxa"/>
                <w:tblLook w:val="04A0"/>
              </w:tblPrEx>
              <w:trPr>
                <w:trHeight w:val="300"/>
              </w:trPr>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C65C6F" w:rsidRPr="0070218B" w:rsidP="00F4770E" w14:paraId="3633E516" w14:textId="77777777">
                  <w:pPr>
                    <w:overflowPunct/>
                    <w:autoSpaceDE/>
                    <w:autoSpaceDN/>
                    <w:adjustRightInd/>
                    <w:textAlignment w:val="auto"/>
                    <w:rPr>
                      <w:rFonts w:ascii="Times New Roman" w:hAnsi="Times New Roman"/>
                      <w:b/>
                      <w:bCs/>
                      <w:color w:val="FFFFFF"/>
                      <w:szCs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C65C6F" w:rsidRPr="0070218B" w:rsidP="00F4770E" w14:paraId="7FE84691" w14:textId="77777777">
                  <w:pPr>
                    <w:overflowPunct/>
                    <w:autoSpaceDE/>
                    <w:autoSpaceDN/>
                    <w:adjustRightInd/>
                    <w:textAlignment w:val="auto"/>
                    <w:rPr>
                      <w:rFonts w:ascii="Times New Roman" w:hAnsi="Times New Roman"/>
                      <w:b/>
                      <w:bCs/>
                      <w:color w:val="FFFFFF"/>
                      <w:szCs w:val="24"/>
                    </w:rPr>
                  </w:pPr>
                </w:p>
              </w:tc>
              <w:tc>
                <w:tcPr>
                  <w:tcW w:w="1800" w:type="dxa"/>
                  <w:tcBorders>
                    <w:top w:val="nil"/>
                    <w:left w:val="nil"/>
                    <w:bottom w:val="single" w:sz="4" w:space="0" w:color="000000"/>
                    <w:right w:val="single" w:sz="4" w:space="0" w:color="000000"/>
                  </w:tcBorders>
                  <w:shd w:val="clear" w:color="000000" w:fill="003399"/>
                  <w:vAlign w:val="center"/>
                  <w:hideMark/>
                </w:tcPr>
                <w:p w:rsidR="00C65C6F" w:rsidRPr="0070218B" w:rsidP="00F4770E" w14:paraId="0CE8371E"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(Dollars) </w:t>
                  </w:r>
                </w:p>
              </w:tc>
            </w:tr>
            <w:tr w14:paraId="7AC388E5"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C65C6F" w:rsidRPr="0070218B" w:rsidP="00F4770E" w14:paraId="1B6F39A2"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1502C06A"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4</w:t>
                  </w:r>
                  <w:r w:rsidR="0031095E">
                    <w:rPr>
                      <w:rFonts w:ascii="Times New Roman" w:hAnsi="Times New Roman"/>
                      <w:color w:val="000000"/>
                      <w:szCs w:val="24"/>
                    </w:rPr>
                    <w:t>1</w:t>
                  </w:r>
                </w:p>
              </w:tc>
              <w:tc>
                <w:tcPr>
                  <w:tcW w:w="18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259C5DB4"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31095E">
                    <w:rPr>
                      <w:rFonts w:ascii="Times New Roman" w:hAnsi="Times New Roman"/>
                      <w:szCs w:val="24"/>
                    </w:rPr>
                    <w:t>1,</w:t>
                  </w:r>
                  <w:r w:rsidR="00C36ADA">
                    <w:rPr>
                      <w:rFonts w:ascii="Times New Roman" w:hAnsi="Times New Roman"/>
                      <w:szCs w:val="24"/>
                    </w:rPr>
                    <w:t>941.76</w:t>
                  </w:r>
                  <w:r w:rsidRPr="0070218B">
                    <w:rPr>
                      <w:rFonts w:ascii="Times New Roman" w:hAnsi="Times New Roman"/>
                      <w:szCs w:val="24"/>
                    </w:rPr>
                    <w:t xml:space="preserve"> </w:t>
                  </w:r>
                </w:p>
              </w:tc>
            </w:tr>
            <w:tr w14:paraId="0CA98AAB"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C65C6F" w:rsidRPr="0070218B" w:rsidP="00F4770E" w14:paraId="3A67B679"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37D00E68"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43C58C70"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16C535B1"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C65C6F" w:rsidRPr="0070218B" w:rsidP="00F4770E" w14:paraId="5F397DC3"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3B9A9228"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33E5ED16"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281DAA94"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C65C6F" w:rsidRPr="0070218B" w:rsidP="00F4770E" w14:paraId="26A992D5"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5272AC73"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4</w:t>
                  </w:r>
                  <w:r w:rsidR="00C36ADA">
                    <w:rPr>
                      <w:rFonts w:ascii="Times New Roman" w:hAnsi="Times New Roman"/>
                      <w:color w:val="000000"/>
                      <w:szCs w:val="24"/>
                    </w:rPr>
                    <w:t>1</w:t>
                  </w:r>
                </w:p>
              </w:tc>
              <w:tc>
                <w:tcPr>
                  <w:tcW w:w="1800" w:type="dxa"/>
                  <w:tcBorders>
                    <w:top w:val="nil"/>
                    <w:left w:val="nil"/>
                    <w:bottom w:val="single" w:sz="4" w:space="0" w:color="000000"/>
                    <w:right w:val="single" w:sz="4" w:space="0" w:color="000000"/>
                  </w:tcBorders>
                  <w:shd w:val="clear" w:color="000000" w:fill="FFFFFF"/>
                  <w:vAlign w:val="center"/>
                  <w:hideMark/>
                </w:tcPr>
                <w:p w:rsidR="00C65C6F" w:rsidRPr="0070218B" w:rsidP="00F4770E" w14:paraId="144EA507"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C36ADA">
                    <w:rPr>
                      <w:rFonts w:ascii="Times New Roman" w:hAnsi="Times New Roman"/>
                      <w:szCs w:val="24"/>
                    </w:rPr>
                    <w:t>1,942</w:t>
                  </w:r>
                  <w:r w:rsidRPr="0070218B">
                    <w:rPr>
                      <w:rFonts w:ascii="Times New Roman" w:hAnsi="Times New Roman"/>
                      <w:szCs w:val="24"/>
                    </w:rPr>
                    <w:t xml:space="preserve"> </w:t>
                  </w:r>
                </w:p>
              </w:tc>
            </w:tr>
          </w:tbl>
          <w:p w:rsidR="00C65C6F" w:rsidRPr="00915869" w:rsidP="00F4770E" w14:paraId="1525A99D" w14:textId="77777777">
            <w:pPr>
              <w:widowControl w:val="0"/>
              <w:rPr>
                <w:rFonts w:ascii="Times New Roman" w:hAnsi="Times New Roman"/>
              </w:rPr>
            </w:pPr>
          </w:p>
        </w:tc>
      </w:tr>
    </w:tbl>
    <w:p w:rsidR="00C65C6F" w:rsidP="00C65C6F" w14:paraId="5889A742" w14:textId="77777777">
      <w:pPr>
        <w:pStyle w:val="NormalWeb"/>
        <w:widowControl w:val="0"/>
        <w:tabs>
          <w:tab w:val="left" w:pos="360"/>
          <w:tab w:val="left" w:pos="720"/>
          <w:tab w:val="left" w:pos="1080"/>
          <w:tab w:val="left" w:pos="1440"/>
        </w:tabs>
        <w:spacing w:before="0" w:beforeAutospacing="0" w:after="0" w:afterAutospacing="0"/>
        <w:rPr>
          <w:u w:val="single"/>
        </w:rPr>
      </w:pPr>
    </w:p>
    <w:p w:rsidR="004052CD" w:rsidRPr="00110EF3" w:rsidP="004052CD" w14:paraId="33E27D0C" w14:textId="77777777">
      <w:pPr>
        <w:pStyle w:val="Default"/>
        <w:widowControl w:val="0"/>
        <w:rPr>
          <w:rFonts w:ascii="Times New Roman" w:eastAsia="Times New Roman" w:hAnsi="Times New Roman"/>
          <w:b/>
          <w:bCs/>
        </w:rPr>
      </w:pPr>
      <w:r>
        <w:rPr>
          <w:rFonts w:ascii="Times New Roman" w:eastAsia="Times New Roman" w:hAnsi="Times New Roman"/>
          <w:b/>
          <w:bCs/>
        </w:rPr>
        <w:t xml:space="preserve">Training and Technical </w:t>
      </w:r>
      <w:r w:rsidR="00444B12">
        <w:rPr>
          <w:rFonts w:ascii="Times New Roman" w:eastAsia="Times New Roman" w:hAnsi="Times New Roman"/>
          <w:b/>
          <w:bCs/>
        </w:rPr>
        <w:t>Assistance</w:t>
      </w:r>
      <w:r>
        <w:rPr>
          <w:rFonts w:ascii="Times New Roman" w:eastAsia="Times New Roman" w:hAnsi="Times New Roman"/>
          <w:b/>
          <w:bCs/>
        </w:rPr>
        <w:t xml:space="preserve"> Survey (82 Respondents)</w:t>
      </w:r>
    </w:p>
    <w:tbl>
      <w:tblPr>
        <w:tblW w:w="5000" w:type="pct"/>
        <w:tblCellSpacing w:w="22" w:type="dxa"/>
        <w:tblCellMar>
          <w:left w:w="0" w:type="dxa"/>
          <w:right w:w="0" w:type="dxa"/>
        </w:tblCellMar>
        <w:tblLook w:val="04A0"/>
      </w:tblPr>
      <w:tblGrid>
        <w:gridCol w:w="9205"/>
        <w:gridCol w:w="155"/>
      </w:tblGrid>
      <w:tr w14:paraId="569FB986" w14:textId="77777777" w:rsidTr="00F4770E">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4052CD" w:rsidRPr="00915869" w:rsidP="00F4770E" w14:paraId="12E408AF" w14:textId="77777777">
            <w:pPr>
              <w:widowControl w:val="0"/>
              <w:rPr>
                <w:rFonts w:ascii="Times New Roman" w:hAnsi="Times New Roman"/>
              </w:rPr>
            </w:pPr>
            <w:r w:rsidRPr="0EEECE9C">
              <w:rPr>
                <w:rFonts w:ascii="Times New Roman" w:hAnsi="Times New Roman"/>
              </w:rPr>
              <w:t xml:space="preserve">Burden per Response: </w:t>
            </w:r>
          </w:p>
          <w:tbl>
            <w:tblPr>
              <w:tblW w:w="6180" w:type="dxa"/>
              <w:tblLook w:val="04A0"/>
            </w:tblPr>
            <w:tblGrid>
              <w:gridCol w:w="2300"/>
              <w:gridCol w:w="1200"/>
              <w:gridCol w:w="1200"/>
              <w:gridCol w:w="1480"/>
            </w:tblGrid>
            <w:tr w14:paraId="0290BE5D" w14:textId="77777777" w:rsidTr="00F4770E">
              <w:tblPrEx>
                <w:tblW w:w="6180" w:type="dxa"/>
                <w:tblLook w:val="04A0"/>
              </w:tblPrEx>
              <w:trPr>
                <w:trHeight w:val="600"/>
              </w:trPr>
              <w:tc>
                <w:tcPr>
                  <w:tcW w:w="2300"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4052CD" w:rsidRPr="009E26E0" w:rsidP="00F4770E" w14:paraId="512DD473"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4052CD" w:rsidRPr="009E26E0" w:rsidP="00F4770E" w14:paraId="663C266D"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Time Per Response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4052CD" w:rsidRPr="009E26E0" w:rsidP="00F4770E" w14:paraId="2C9B1DF5"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Hours </w:t>
                  </w:r>
                </w:p>
              </w:tc>
              <w:tc>
                <w:tcPr>
                  <w:tcW w:w="1480" w:type="dxa"/>
                  <w:tcBorders>
                    <w:top w:val="single" w:sz="4" w:space="0" w:color="000000"/>
                    <w:left w:val="nil"/>
                    <w:bottom w:val="single" w:sz="4" w:space="0" w:color="000000"/>
                    <w:right w:val="single" w:sz="4" w:space="0" w:color="000000"/>
                  </w:tcBorders>
                  <w:shd w:val="clear" w:color="000000" w:fill="003399"/>
                  <w:vAlign w:val="center"/>
                  <w:hideMark/>
                </w:tcPr>
                <w:p w:rsidR="004052CD" w:rsidRPr="009E26E0" w:rsidP="00F4770E" w14:paraId="55D90B3B"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Cost Per Response </w:t>
                  </w:r>
                </w:p>
              </w:tc>
            </w:tr>
            <w:tr w14:paraId="7017DF6D"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4052CD" w:rsidRPr="009E26E0" w:rsidP="00F4770E" w14:paraId="05E3A6CB"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09826549"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w:t>
                  </w:r>
                  <w:r w:rsidR="00444B12">
                    <w:rPr>
                      <w:rFonts w:ascii="Times New Roman" w:hAnsi="Times New Roman"/>
                      <w:color w:val="000000"/>
                      <w:szCs w:val="24"/>
                    </w:rPr>
                    <w:t>2</w:t>
                  </w:r>
                  <w:r>
                    <w:rPr>
                      <w:rFonts w:ascii="Times New Roman" w:hAnsi="Times New Roman"/>
                      <w:color w:val="000000"/>
                      <w:szCs w:val="24"/>
                    </w:rPr>
                    <w:t>5</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6A745A14"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w:t>
                  </w:r>
                  <w:r w:rsidR="00444B12">
                    <w:rPr>
                      <w:rFonts w:ascii="Times New Roman" w:hAnsi="Times New Roman"/>
                      <w:color w:val="000000"/>
                      <w:szCs w:val="24"/>
                    </w:rPr>
                    <w:t>2</w:t>
                  </w:r>
                  <w:r>
                    <w:rPr>
                      <w:rFonts w:ascii="Times New Roman" w:hAnsi="Times New Roman"/>
                      <w:color w:val="000000"/>
                      <w:szCs w:val="24"/>
                    </w:rPr>
                    <w:t>5</w:t>
                  </w:r>
                </w:p>
              </w:tc>
              <w:tc>
                <w:tcPr>
                  <w:tcW w:w="148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0CB0A789"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sidR="00A24180">
                    <w:rPr>
                      <w:rFonts w:ascii="Times New Roman" w:hAnsi="Times New Roman"/>
                      <w:szCs w:val="24"/>
                    </w:rPr>
                    <w:t>11.84</w:t>
                  </w:r>
                  <w:r w:rsidRPr="009E26E0">
                    <w:rPr>
                      <w:rFonts w:ascii="Times New Roman" w:hAnsi="Times New Roman"/>
                      <w:szCs w:val="24"/>
                    </w:rPr>
                    <w:t xml:space="preserve"> </w:t>
                  </w:r>
                </w:p>
              </w:tc>
            </w:tr>
            <w:tr w14:paraId="7556E90B"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4052CD" w:rsidRPr="009E26E0" w:rsidP="00F4770E" w14:paraId="5EE33C5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4E8E335D"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40555040"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23F47C72"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70CF1A1E"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4052CD" w:rsidRPr="009E26E0" w:rsidP="00F4770E" w14:paraId="22373DB7"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3C474C8E"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1650AA79"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4052CD" w:rsidRPr="009E26E0" w:rsidP="00F4770E" w14:paraId="2FA890FE"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1952C502"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A24180" w:rsidRPr="009E26E0" w:rsidP="00A24180" w14:paraId="5429D36E"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A24180" w:rsidRPr="009E26E0" w:rsidP="00A24180" w14:paraId="63A0F767"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A24180" w:rsidRPr="009E26E0" w:rsidP="00A24180" w14:paraId="31401F75"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0.25</w:t>
                  </w:r>
                </w:p>
              </w:tc>
              <w:tc>
                <w:tcPr>
                  <w:tcW w:w="1480" w:type="dxa"/>
                  <w:tcBorders>
                    <w:top w:val="nil"/>
                    <w:left w:val="nil"/>
                    <w:bottom w:val="single" w:sz="4" w:space="0" w:color="000000"/>
                    <w:right w:val="single" w:sz="4" w:space="0" w:color="000000"/>
                  </w:tcBorders>
                  <w:shd w:val="clear" w:color="000000" w:fill="FFFFFF"/>
                  <w:vAlign w:val="center"/>
                  <w:hideMark/>
                </w:tcPr>
                <w:p w:rsidR="00A24180" w:rsidRPr="009E26E0" w:rsidP="00A24180" w14:paraId="04039AB5"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Pr>
                      <w:rFonts w:ascii="Times New Roman" w:hAnsi="Times New Roman"/>
                      <w:szCs w:val="24"/>
                    </w:rPr>
                    <w:t>11.84</w:t>
                  </w:r>
                  <w:r w:rsidRPr="009E26E0">
                    <w:rPr>
                      <w:rFonts w:ascii="Times New Roman" w:hAnsi="Times New Roman"/>
                      <w:szCs w:val="24"/>
                    </w:rPr>
                    <w:t xml:space="preserve"> </w:t>
                  </w:r>
                </w:p>
              </w:tc>
            </w:tr>
          </w:tbl>
          <w:p w:rsidR="004052CD" w:rsidRPr="00915869" w:rsidP="00F4770E" w14:paraId="175C9A7F" w14:textId="77777777">
            <w:pPr>
              <w:widowControl w:val="0"/>
              <w:rPr>
                <w:rFonts w:ascii="Times New Roman" w:hAnsi="Times New Roman"/>
              </w:rPr>
            </w:pPr>
          </w:p>
        </w:tc>
      </w:tr>
      <w:tr w14:paraId="7B4FCB33" w14:textId="77777777" w:rsidTr="00146CE3">
        <w:tblPrEx>
          <w:tblW w:w="5000" w:type="pct"/>
          <w:tblCellSpacing w:w="22" w:type="dxa"/>
          <w:tblCellMar>
            <w:left w:w="0" w:type="dxa"/>
            <w:right w:w="0" w:type="dxa"/>
          </w:tblCellMar>
          <w:tblLook w:val="04A0"/>
        </w:tblPrEx>
        <w:trPr>
          <w:trHeight w:val="26"/>
          <w:tblCellSpacing w:w="22" w:type="dxa"/>
        </w:trPr>
        <w:tc>
          <w:tcPr>
            <w:tcW w:w="4953" w:type="pct"/>
            <w:gridSpan w:val="2"/>
            <w:tcMar>
              <w:top w:w="15" w:type="dxa"/>
              <w:left w:w="15" w:type="dxa"/>
              <w:bottom w:w="15" w:type="dxa"/>
              <w:right w:w="15" w:type="dxa"/>
            </w:tcMar>
            <w:vAlign w:val="center"/>
            <w:hideMark/>
          </w:tcPr>
          <w:p w:rsidR="004052CD" w:rsidRPr="00915869" w:rsidP="00F4770E" w14:paraId="489D3D25" w14:textId="77777777">
            <w:pPr>
              <w:widowControl w:val="0"/>
              <w:rPr>
                <w:rFonts w:ascii="Times New Roman" w:hAnsi="Times New Roman"/>
              </w:rPr>
            </w:pPr>
          </w:p>
          <w:p w:rsidR="004052CD" w:rsidRPr="00915869" w:rsidP="00F4770E" w14:paraId="533F8AC2" w14:textId="77777777">
            <w:pPr>
              <w:widowControl w:val="0"/>
              <w:rPr>
                <w:rFonts w:ascii="Times New Roman" w:hAnsi="Times New Roman"/>
              </w:rPr>
            </w:pPr>
            <w:r w:rsidRPr="0EEECE9C">
              <w:rPr>
                <w:rFonts w:ascii="Times New Roman" w:hAnsi="Times New Roman"/>
              </w:rPr>
              <w:t xml:space="preserve">Annual Burden: </w:t>
            </w:r>
          </w:p>
          <w:tbl>
            <w:tblPr>
              <w:tblW w:w="5300" w:type="dxa"/>
              <w:tblLook w:val="04A0"/>
            </w:tblPr>
            <w:tblGrid>
              <w:gridCol w:w="2300"/>
              <w:gridCol w:w="1200"/>
              <w:gridCol w:w="1800"/>
            </w:tblGrid>
            <w:tr w14:paraId="1EEEE537" w14:textId="77777777" w:rsidTr="00F4770E">
              <w:tblPrEx>
                <w:tblW w:w="5300" w:type="dxa"/>
                <w:tblLook w:val="04A0"/>
              </w:tblPrEx>
              <w:trPr>
                <w:trHeight w:val="300"/>
              </w:trPr>
              <w:tc>
                <w:tcPr>
                  <w:tcW w:w="23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4052CD" w:rsidRPr="0070218B" w:rsidP="00F4770E" w14:paraId="47BB17E8"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4052CD" w:rsidRPr="0070218B" w:rsidP="00F4770E" w14:paraId="6F90FA8B"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Annual Time Burden (Hours) </w:t>
                  </w:r>
                </w:p>
              </w:tc>
              <w:tc>
                <w:tcPr>
                  <w:tcW w:w="1800" w:type="dxa"/>
                  <w:tcBorders>
                    <w:top w:val="single" w:sz="4" w:space="0" w:color="000000"/>
                    <w:left w:val="nil"/>
                    <w:bottom w:val="nil"/>
                    <w:right w:val="single" w:sz="4" w:space="0" w:color="000000"/>
                  </w:tcBorders>
                  <w:shd w:val="clear" w:color="000000" w:fill="003399"/>
                  <w:vAlign w:val="center"/>
                  <w:hideMark/>
                </w:tcPr>
                <w:p w:rsidR="004052CD" w:rsidRPr="0070218B" w:rsidP="00F4770E" w14:paraId="27E8897A"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Annual Cost Burden</w:t>
                  </w:r>
                </w:p>
              </w:tc>
            </w:tr>
            <w:tr w14:paraId="25AAA694" w14:textId="77777777" w:rsidTr="00F4770E">
              <w:tblPrEx>
                <w:tblW w:w="5300" w:type="dxa"/>
                <w:tblLook w:val="04A0"/>
              </w:tblPrEx>
              <w:trPr>
                <w:trHeight w:val="300"/>
              </w:trPr>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4052CD" w:rsidRPr="0070218B" w:rsidP="00F4770E" w14:paraId="4DDC24EE" w14:textId="77777777">
                  <w:pPr>
                    <w:overflowPunct/>
                    <w:autoSpaceDE/>
                    <w:autoSpaceDN/>
                    <w:adjustRightInd/>
                    <w:textAlignment w:val="auto"/>
                    <w:rPr>
                      <w:rFonts w:ascii="Times New Roman" w:hAnsi="Times New Roman"/>
                      <w:b/>
                      <w:bCs/>
                      <w:color w:val="FFFFFF"/>
                      <w:szCs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4052CD" w:rsidRPr="0070218B" w:rsidP="00F4770E" w14:paraId="11818FE9" w14:textId="77777777">
                  <w:pPr>
                    <w:overflowPunct/>
                    <w:autoSpaceDE/>
                    <w:autoSpaceDN/>
                    <w:adjustRightInd/>
                    <w:textAlignment w:val="auto"/>
                    <w:rPr>
                      <w:rFonts w:ascii="Times New Roman" w:hAnsi="Times New Roman"/>
                      <w:b/>
                      <w:bCs/>
                      <w:color w:val="FFFFFF"/>
                      <w:szCs w:val="24"/>
                    </w:rPr>
                  </w:pPr>
                </w:p>
              </w:tc>
              <w:tc>
                <w:tcPr>
                  <w:tcW w:w="1800" w:type="dxa"/>
                  <w:tcBorders>
                    <w:top w:val="nil"/>
                    <w:left w:val="nil"/>
                    <w:bottom w:val="single" w:sz="4" w:space="0" w:color="000000"/>
                    <w:right w:val="single" w:sz="4" w:space="0" w:color="000000"/>
                  </w:tcBorders>
                  <w:shd w:val="clear" w:color="000000" w:fill="003399"/>
                  <w:vAlign w:val="center"/>
                  <w:hideMark/>
                </w:tcPr>
                <w:p w:rsidR="004052CD" w:rsidRPr="0070218B" w:rsidP="00F4770E" w14:paraId="327AA221"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(Dollars) </w:t>
                  </w:r>
                </w:p>
              </w:tc>
            </w:tr>
            <w:tr w14:paraId="50266677"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4052CD" w:rsidRPr="0070218B" w:rsidP="00F4770E" w14:paraId="1EC54666"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112A673D"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20.5</w:t>
                  </w:r>
                </w:p>
              </w:tc>
              <w:tc>
                <w:tcPr>
                  <w:tcW w:w="18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22C73AC5"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DC3DA8">
                    <w:rPr>
                      <w:rFonts w:ascii="Times New Roman" w:hAnsi="Times New Roman"/>
                      <w:szCs w:val="24"/>
                    </w:rPr>
                    <w:t>970.88</w:t>
                  </w:r>
                </w:p>
              </w:tc>
            </w:tr>
            <w:tr w14:paraId="609FC89A"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4052CD" w:rsidRPr="0070218B" w:rsidP="00F4770E" w14:paraId="6C35C755"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662CFB7E"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66B8F51A"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2E7B0B41"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4052CD" w:rsidRPr="0070218B" w:rsidP="00F4770E" w14:paraId="6CDF93D5"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5837550D"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5DC6CB88"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3D68EDE5"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4052CD" w:rsidRPr="0070218B" w:rsidP="00F4770E" w14:paraId="416B9734"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57947085"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21</w:t>
                  </w:r>
                </w:p>
              </w:tc>
              <w:tc>
                <w:tcPr>
                  <w:tcW w:w="1800" w:type="dxa"/>
                  <w:tcBorders>
                    <w:top w:val="nil"/>
                    <w:left w:val="nil"/>
                    <w:bottom w:val="single" w:sz="4" w:space="0" w:color="000000"/>
                    <w:right w:val="single" w:sz="4" w:space="0" w:color="000000"/>
                  </w:tcBorders>
                  <w:shd w:val="clear" w:color="000000" w:fill="FFFFFF"/>
                  <w:vAlign w:val="center"/>
                  <w:hideMark/>
                </w:tcPr>
                <w:p w:rsidR="004052CD" w:rsidRPr="0070218B" w:rsidP="00F4770E" w14:paraId="74AD74DB"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DC3DA8">
                    <w:rPr>
                      <w:rFonts w:ascii="Times New Roman" w:hAnsi="Times New Roman"/>
                      <w:szCs w:val="24"/>
                    </w:rPr>
                    <w:t>971</w:t>
                  </w:r>
                  <w:r w:rsidRPr="0070218B">
                    <w:rPr>
                      <w:rFonts w:ascii="Times New Roman" w:hAnsi="Times New Roman"/>
                      <w:szCs w:val="24"/>
                    </w:rPr>
                    <w:t xml:space="preserve"> </w:t>
                  </w:r>
                </w:p>
              </w:tc>
            </w:tr>
          </w:tbl>
          <w:p w:rsidR="004052CD" w:rsidRPr="00915869" w:rsidP="00F4770E" w14:paraId="7D7B393D" w14:textId="77777777">
            <w:pPr>
              <w:widowControl w:val="0"/>
              <w:rPr>
                <w:rFonts w:ascii="Times New Roman" w:hAnsi="Times New Roman"/>
              </w:rPr>
            </w:pPr>
          </w:p>
        </w:tc>
      </w:tr>
    </w:tbl>
    <w:p w:rsidR="004052CD" w:rsidP="004052CD" w14:paraId="3F334F0D" w14:textId="77777777">
      <w:pPr>
        <w:pStyle w:val="NormalWeb"/>
        <w:widowControl w:val="0"/>
        <w:tabs>
          <w:tab w:val="left" w:pos="360"/>
          <w:tab w:val="left" w:pos="720"/>
          <w:tab w:val="left" w:pos="1080"/>
          <w:tab w:val="left" w:pos="1440"/>
        </w:tabs>
        <w:spacing w:before="0" w:beforeAutospacing="0" w:after="0" w:afterAutospacing="0"/>
        <w:rPr>
          <w:u w:val="single"/>
        </w:rPr>
      </w:pPr>
    </w:p>
    <w:p w:rsidR="00146CE3" w:rsidRPr="00110EF3" w:rsidP="00146CE3" w14:paraId="2E6C7260" w14:textId="77777777">
      <w:pPr>
        <w:pStyle w:val="Default"/>
        <w:widowControl w:val="0"/>
        <w:rPr>
          <w:rFonts w:ascii="Times New Roman" w:eastAsia="Times New Roman" w:hAnsi="Times New Roman"/>
          <w:b/>
          <w:bCs/>
        </w:rPr>
      </w:pPr>
      <w:r>
        <w:rPr>
          <w:rFonts w:ascii="Times New Roman" w:eastAsia="Times New Roman" w:hAnsi="Times New Roman"/>
          <w:b/>
          <w:bCs/>
        </w:rPr>
        <w:t>Grantee Focus Group (15 Respondents)</w:t>
      </w:r>
    </w:p>
    <w:tbl>
      <w:tblPr>
        <w:tblW w:w="5000" w:type="pct"/>
        <w:tblCellSpacing w:w="22" w:type="dxa"/>
        <w:tblCellMar>
          <w:left w:w="0" w:type="dxa"/>
          <w:right w:w="0" w:type="dxa"/>
        </w:tblCellMar>
        <w:tblLook w:val="04A0"/>
      </w:tblPr>
      <w:tblGrid>
        <w:gridCol w:w="9205"/>
        <w:gridCol w:w="155"/>
      </w:tblGrid>
      <w:tr w14:paraId="11F59D4D" w14:textId="77777777" w:rsidTr="00F4770E">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146CE3" w:rsidRPr="00915869" w:rsidP="00F4770E" w14:paraId="116C9FC0" w14:textId="77777777">
            <w:pPr>
              <w:widowControl w:val="0"/>
              <w:rPr>
                <w:rFonts w:ascii="Times New Roman" w:hAnsi="Times New Roman"/>
              </w:rPr>
            </w:pPr>
            <w:r w:rsidRPr="0EEECE9C">
              <w:rPr>
                <w:rFonts w:ascii="Times New Roman" w:hAnsi="Times New Roman"/>
              </w:rPr>
              <w:t xml:space="preserve">Burden per Response: </w:t>
            </w:r>
          </w:p>
          <w:tbl>
            <w:tblPr>
              <w:tblW w:w="6180" w:type="dxa"/>
              <w:tblLook w:val="04A0"/>
            </w:tblPr>
            <w:tblGrid>
              <w:gridCol w:w="2300"/>
              <w:gridCol w:w="1200"/>
              <w:gridCol w:w="1200"/>
              <w:gridCol w:w="1480"/>
            </w:tblGrid>
            <w:tr w14:paraId="439C6220" w14:textId="77777777" w:rsidTr="00F4770E">
              <w:tblPrEx>
                <w:tblW w:w="6180" w:type="dxa"/>
                <w:tblLook w:val="04A0"/>
              </w:tblPrEx>
              <w:trPr>
                <w:trHeight w:val="600"/>
              </w:trPr>
              <w:tc>
                <w:tcPr>
                  <w:tcW w:w="2300"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146CE3" w:rsidRPr="009E26E0" w:rsidP="00F4770E" w14:paraId="0F39382F"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146CE3" w:rsidRPr="009E26E0" w:rsidP="00F4770E" w14:paraId="212D15BA"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Time Per Response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146CE3" w:rsidRPr="009E26E0" w:rsidP="00F4770E" w14:paraId="59A75251"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Hours </w:t>
                  </w:r>
                </w:p>
              </w:tc>
              <w:tc>
                <w:tcPr>
                  <w:tcW w:w="1480" w:type="dxa"/>
                  <w:tcBorders>
                    <w:top w:val="single" w:sz="4" w:space="0" w:color="000000"/>
                    <w:left w:val="nil"/>
                    <w:bottom w:val="single" w:sz="4" w:space="0" w:color="000000"/>
                    <w:right w:val="single" w:sz="4" w:space="0" w:color="000000"/>
                  </w:tcBorders>
                  <w:shd w:val="clear" w:color="000000" w:fill="003399"/>
                  <w:vAlign w:val="center"/>
                  <w:hideMark/>
                </w:tcPr>
                <w:p w:rsidR="00146CE3" w:rsidRPr="009E26E0" w:rsidP="00F4770E" w14:paraId="030DCDCA"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Cost Per Response </w:t>
                  </w:r>
                </w:p>
              </w:tc>
            </w:tr>
            <w:tr w14:paraId="28F83993"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146CE3" w:rsidRPr="009E26E0" w:rsidP="00F4770E" w14:paraId="616D31C1"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351A9893"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1.5</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585C029D"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1.5</w:t>
                  </w:r>
                </w:p>
              </w:tc>
              <w:tc>
                <w:tcPr>
                  <w:tcW w:w="148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5CDD1840"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sidR="00B36116">
                    <w:rPr>
                      <w:rFonts w:ascii="Times New Roman" w:hAnsi="Times New Roman"/>
                      <w:szCs w:val="24"/>
                    </w:rPr>
                    <w:t>71.04</w:t>
                  </w:r>
                </w:p>
              </w:tc>
            </w:tr>
            <w:tr w14:paraId="05CA62B8"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146CE3" w:rsidRPr="009E26E0" w:rsidP="00F4770E" w14:paraId="55C58C9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16AECAE2"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4AA9EDA8"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740F30A7"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4D77265C"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146CE3" w:rsidRPr="009E26E0" w:rsidP="00F4770E" w14:paraId="4039DD9F"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06F8001F"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73295331"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146CE3" w:rsidRPr="009E26E0" w:rsidP="00F4770E" w14:paraId="136965E8"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6DF5357D"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B36116" w:rsidRPr="009E26E0" w:rsidP="00B36116" w14:paraId="6F077049"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B36116" w:rsidRPr="009E26E0" w:rsidP="00B36116" w14:paraId="0B6B8AB2"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B36116" w:rsidRPr="009E26E0" w:rsidP="00B36116" w14:paraId="37B490FA"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1.5</w:t>
                  </w:r>
                </w:p>
              </w:tc>
              <w:tc>
                <w:tcPr>
                  <w:tcW w:w="1480" w:type="dxa"/>
                  <w:tcBorders>
                    <w:top w:val="nil"/>
                    <w:left w:val="nil"/>
                    <w:bottom w:val="single" w:sz="4" w:space="0" w:color="000000"/>
                    <w:right w:val="single" w:sz="4" w:space="0" w:color="000000"/>
                  </w:tcBorders>
                  <w:shd w:val="clear" w:color="000000" w:fill="FFFFFF"/>
                  <w:vAlign w:val="center"/>
                  <w:hideMark/>
                </w:tcPr>
                <w:p w:rsidR="00B36116" w:rsidRPr="009E26E0" w:rsidP="00B36116" w14:paraId="252A9725"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Pr>
                      <w:rFonts w:ascii="Times New Roman" w:hAnsi="Times New Roman"/>
                      <w:szCs w:val="24"/>
                    </w:rPr>
                    <w:t>71.04</w:t>
                  </w:r>
                </w:p>
              </w:tc>
            </w:tr>
          </w:tbl>
          <w:p w:rsidR="00146CE3" w:rsidRPr="00915869" w:rsidP="00F4770E" w14:paraId="7311EE73" w14:textId="77777777">
            <w:pPr>
              <w:widowControl w:val="0"/>
              <w:rPr>
                <w:rFonts w:ascii="Times New Roman" w:hAnsi="Times New Roman"/>
              </w:rPr>
            </w:pPr>
          </w:p>
        </w:tc>
      </w:tr>
      <w:tr w14:paraId="096737C3" w14:textId="77777777" w:rsidTr="00F4770E">
        <w:tblPrEx>
          <w:tblW w:w="5000" w:type="pct"/>
          <w:tblCellSpacing w:w="22" w:type="dxa"/>
          <w:tblCellMar>
            <w:left w:w="0" w:type="dxa"/>
            <w:right w:w="0" w:type="dxa"/>
          </w:tblCellMar>
          <w:tblLook w:val="04A0"/>
        </w:tblPrEx>
        <w:trPr>
          <w:trHeight w:val="26"/>
          <w:tblCellSpacing w:w="22" w:type="dxa"/>
        </w:trPr>
        <w:tc>
          <w:tcPr>
            <w:tcW w:w="4953" w:type="pct"/>
            <w:gridSpan w:val="2"/>
            <w:tcMar>
              <w:top w:w="15" w:type="dxa"/>
              <w:left w:w="15" w:type="dxa"/>
              <w:bottom w:w="15" w:type="dxa"/>
              <w:right w:w="15" w:type="dxa"/>
            </w:tcMar>
            <w:vAlign w:val="center"/>
            <w:hideMark/>
          </w:tcPr>
          <w:p w:rsidR="00146CE3" w:rsidRPr="00915869" w:rsidP="00F4770E" w14:paraId="16A05FA1" w14:textId="77777777">
            <w:pPr>
              <w:widowControl w:val="0"/>
              <w:rPr>
                <w:rFonts w:ascii="Times New Roman" w:hAnsi="Times New Roman"/>
              </w:rPr>
            </w:pPr>
          </w:p>
          <w:p w:rsidR="00146CE3" w:rsidRPr="00915869" w:rsidP="00F4770E" w14:paraId="21814FFF" w14:textId="77777777">
            <w:pPr>
              <w:widowControl w:val="0"/>
              <w:rPr>
                <w:rFonts w:ascii="Times New Roman" w:hAnsi="Times New Roman"/>
              </w:rPr>
            </w:pPr>
            <w:r w:rsidRPr="0EEECE9C">
              <w:rPr>
                <w:rFonts w:ascii="Times New Roman" w:hAnsi="Times New Roman"/>
              </w:rPr>
              <w:t xml:space="preserve">Annual Burden: </w:t>
            </w:r>
          </w:p>
          <w:tbl>
            <w:tblPr>
              <w:tblW w:w="5300" w:type="dxa"/>
              <w:tblLook w:val="04A0"/>
            </w:tblPr>
            <w:tblGrid>
              <w:gridCol w:w="2300"/>
              <w:gridCol w:w="1200"/>
              <w:gridCol w:w="1800"/>
            </w:tblGrid>
            <w:tr w14:paraId="1EDB7209" w14:textId="77777777" w:rsidTr="00F4770E">
              <w:tblPrEx>
                <w:tblW w:w="5300" w:type="dxa"/>
                <w:tblLook w:val="04A0"/>
              </w:tblPrEx>
              <w:trPr>
                <w:trHeight w:val="300"/>
              </w:trPr>
              <w:tc>
                <w:tcPr>
                  <w:tcW w:w="23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146CE3" w:rsidRPr="0070218B" w:rsidP="00F4770E" w14:paraId="78E6BF6D"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146CE3" w:rsidRPr="0070218B" w:rsidP="00F4770E" w14:paraId="474AB7FA"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Annual Time Burden (Hours) </w:t>
                  </w:r>
                </w:p>
              </w:tc>
              <w:tc>
                <w:tcPr>
                  <w:tcW w:w="1800" w:type="dxa"/>
                  <w:tcBorders>
                    <w:top w:val="single" w:sz="4" w:space="0" w:color="000000"/>
                    <w:left w:val="nil"/>
                    <w:bottom w:val="nil"/>
                    <w:right w:val="single" w:sz="4" w:space="0" w:color="000000"/>
                  </w:tcBorders>
                  <w:shd w:val="clear" w:color="000000" w:fill="003399"/>
                  <w:vAlign w:val="center"/>
                  <w:hideMark/>
                </w:tcPr>
                <w:p w:rsidR="00146CE3" w:rsidRPr="0070218B" w:rsidP="00F4770E" w14:paraId="1880C392"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Annual Cost Burden</w:t>
                  </w:r>
                </w:p>
              </w:tc>
            </w:tr>
            <w:tr w14:paraId="6CE26290" w14:textId="77777777" w:rsidTr="00F4770E">
              <w:tblPrEx>
                <w:tblW w:w="5300" w:type="dxa"/>
                <w:tblLook w:val="04A0"/>
              </w:tblPrEx>
              <w:trPr>
                <w:trHeight w:val="300"/>
              </w:trPr>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146CE3" w:rsidRPr="0070218B" w:rsidP="00F4770E" w14:paraId="63B28D5F" w14:textId="77777777">
                  <w:pPr>
                    <w:overflowPunct/>
                    <w:autoSpaceDE/>
                    <w:autoSpaceDN/>
                    <w:adjustRightInd/>
                    <w:textAlignment w:val="auto"/>
                    <w:rPr>
                      <w:rFonts w:ascii="Times New Roman" w:hAnsi="Times New Roman"/>
                      <w:b/>
                      <w:bCs/>
                      <w:color w:val="FFFFFF"/>
                      <w:szCs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146CE3" w:rsidRPr="0070218B" w:rsidP="00F4770E" w14:paraId="53E66800" w14:textId="77777777">
                  <w:pPr>
                    <w:overflowPunct/>
                    <w:autoSpaceDE/>
                    <w:autoSpaceDN/>
                    <w:adjustRightInd/>
                    <w:textAlignment w:val="auto"/>
                    <w:rPr>
                      <w:rFonts w:ascii="Times New Roman" w:hAnsi="Times New Roman"/>
                      <w:b/>
                      <w:bCs/>
                      <w:color w:val="FFFFFF"/>
                      <w:szCs w:val="24"/>
                    </w:rPr>
                  </w:pPr>
                </w:p>
              </w:tc>
              <w:tc>
                <w:tcPr>
                  <w:tcW w:w="1800" w:type="dxa"/>
                  <w:tcBorders>
                    <w:top w:val="nil"/>
                    <w:left w:val="nil"/>
                    <w:bottom w:val="single" w:sz="4" w:space="0" w:color="000000"/>
                    <w:right w:val="single" w:sz="4" w:space="0" w:color="000000"/>
                  </w:tcBorders>
                  <w:shd w:val="clear" w:color="000000" w:fill="003399"/>
                  <w:vAlign w:val="center"/>
                  <w:hideMark/>
                </w:tcPr>
                <w:p w:rsidR="00146CE3" w:rsidRPr="0070218B" w:rsidP="00F4770E" w14:paraId="4930B6D2"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(Dollars) </w:t>
                  </w:r>
                </w:p>
              </w:tc>
            </w:tr>
            <w:tr w14:paraId="0B7D44BF"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146CE3" w:rsidRPr="0070218B" w:rsidP="00F4770E" w14:paraId="43EC2B11"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563D15A6"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w:t>
                  </w:r>
                  <w:r w:rsidR="00B36116">
                    <w:rPr>
                      <w:rFonts w:ascii="Times New Roman" w:hAnsi="Times New Roman"/>
                      <w:color w:val="000000"/>
                      <w:szCs w:val="24"/>
                    </w:rPr>
                    <w:t>2</w:t>
                  </w:r>
                  <w:r>
                    <w:rPr>
                      <w:rFonts w:ascii="Times New Roman" w:hAnsi="Times New Roman"/>
                      <w:color w:val="000000"/>
                      <w:szCs w:val="24"/>
                    </w:rPr>
                    <w:t>.5</w:t>
                  </w:r>
                </w:p>
              </w:tc>
              <w:tc>
                <w:tcPr>
                  <w:tcW w:w="18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00745F6B"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B36116">
                    <w:rPr>
                      <w:rFonts w:ascii="Times New Roman" w:hAnsi="Times New Roman"/>
                      <w:szCs w:val="24"/>
                    </w:rPr>
                    <w:t>1,065.6</w:t>
                  </w:r>
                </w:p>
              </w:tc>
            </w:tr>
            <w:tr w14:paraId="52285614"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146CE3" w:rsidRPr="0070218B" w:rsidP="00F4770E" w14:paraId="5FC301B1"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5724D262"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3AA7CB20"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6D7B8DDF"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146CE3" w:rsidRPr="0070218B" w:rsidP="00F4770E" w14:paraId="707B13BB"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3CB0DE4D"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684D0311"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7595AEE0"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146CE3" w:rsidRPr="0070218B" w:rsidP="00F4770E" w14:paraId="37FE9707"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3CF4BA7D"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w:t>
                  </w:r>
                  <w:r w:rsidR="008D612A">
                    <w:rPr>
                      <w:rFonts w:ascii="Times New Roman" w:hAnsi="Times New Roman"/>
                      <w:color w:val="000000"/>
                      <w:szCs w:val="24"/>
                    </w:rPr>
                    <w:t>3</w:t>
                  </w:r>
                </w:p>
              </w:tc>
              <w:tc>
                <w:tcPr>
                  <w:tcW w:w="1800" w:type="dxa"/>
                  <w:tcBorders>
                    <w:top w:val="nil"/>
                    <w:left w:val="nil"/>
                    <w:bottom w:val="single" w:sz="4" w:space="0" w:color="000000"/>
                    <w:right w:val="single" w:sz="4" w:space="0" w:color="000000"/>
                  </w:tcBorders>
                  <w:shd w:val="clear" w:color="000000" w:fill="FFFFFF"/>
                  <w:vAlign w:val="center"/>
                  <w:hideMark/>
                </w:tcPr>
                <w:p w:rsidR="00146CE3" w:rsidRPr="0070218B" w:rsidP="00F4770E" w14:paraId="13A32A2D"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8D612A">
                    <w:rPr>
                      <w:rFonts w:ascii="Times New Roman" w:hAnsi="Times New Roman"/>
                      <w:szCs w:val="24"/>
                    </w:rPr>
                    <w:t>1,066</w:t>
                  </w:r>
                  <w:r w:rsidRPr="0070218B">
                    <w:rPr>
                      <w:rFonts w:ascii="Times New Roman" w:hAnsi="Times New Roman"/>
                      <w:szCs w:val="24"/>
                    </w:rPr>
                    <w:t xml:space="preserve"> </w:t>
                  </w:r>
                </w:p>
              </w:tc>
            </w:tr>
          </w:tbl>
          <w:p w:rsidR="00146CE3" w:rsidRPr="00915869" w:rsidP="00F4770E" w14:paraId="0A62BFDD" w14:textId="77777777">
            <w:pPr>
              <w:widowControl w:val="0"/>
              <w:rPr>
                <w:rFonts w:ascii="Times New Roman" w:hAnsi="Times New Roman"/>
              </w:rPr>
            </w:pPr>
          </w:p>
        </w:tc>
      </w:tr>
    </w:tbl>
    <w:p w:rsidR="00146CE3" w:rsidP="00146CE3" w14:paraId="57D2E956" w14:textId="77777777">
      <w:pPr>
        <w:pStyle w:val="NormalWeb"/>
        <w:widowControl w:val="0"/>
        <w:tabs>
          <w:tab w:val="left" w:pos="360"/>
          <w:tab w:val="left" w:pos="720"/>
          <w:tab w:val="left" w:pos="1080"/>
          <w:tab w:val="left" w:pos="1440"/>
        </w:tabs>
        <w:spacing w:before="0" w:beforeAutospacing="0" w:after="0" w:afterAutospacing="0"/>
        <w:rPr>
          <w:u w:val="single"/>
        </w:rPr>
      </w:pPr>
    </w:p>
    <w:p w:rsidR="008D612A" w:rsidRPr="00110EF3" w:rsidP="008D612A" w14:paraId="514E7C9B" w14:textId="77777777">
      <w:pPr>
        <w:pStyle w:val="Default"/>
        <w:widowControl w:val="0"/>
        <w:rPr>
          <w:rFonts w:ascii="Times New Roman" w:eastAsia="Times New Roman" w:hAnsi="Times New Roman"/>
          <w:b/>
          <w:bCs/>
        </w:rPr>
      </w:pPr>
      <w:r>
        <w:rPr>
          <w:rFonts w:ascii="Times New Roman" w:eastAsia="Times New Roman" w:hAnsi="Times New Roman"/>
          <w:b/>
          <w:bCs/>
        </w:rPr>
        <w:t>Early Exit Interview (10 Respondents)</w:t>
      </w:r>
    </w:p>
    <w:tbl>
      <w:tblPr>
        <w:tblW w:w="5000" w:type="pct"/>
        <w:tblCellSpacing w:w="22" w:type="dxa"/>
        <w:tblCellMar>
          <w:left w:w="0" w:type="dxa"/>
          <w:right w:w="0" w:type="dxa"/>
        </w:tblCellMar>
        <w:tblLook w:val="04A0"/>
      </w:tblPr>
      <w:tblGrid>
        <w:gridCol w:w="9161"/>
        <w:gridCol w:w="199"/>
      </w:tblGrid>
      <w:tr w14:paraId="1F91D40E" w14:textId="77777777" w:rsidTr="008476BC">
        <w:tblPrEx>
          <w:tblW w:w="5000" w:type="pct"/>
          <w:tblCellSpacing w:w="22" w:type="dxa"/>
          <w:tblCellMar>
            <w:left w:w="0" w:type="dxa"/>
            <w:right w:w="0" w:type="dxa"/>
          </w:tblCellMar>
          <w:tblLook w:val="04A0"/>
        </w:tblPrEx>
        <w:trPr>
          <w:gridAfter w:val="1"/>
          <w:wAfter w:w="48" w:type="dxa"/>
          <w:tblCellSpacing w:w="22" w:type="dxa"/>
        </w:trPr>
        <w:tc>
          <w:tcPr>
            <w:tcW w:w="4882" w:type="pct"/>
            <w:tcMar>
              <w:top w:w="15" w:type="dxa"/>
              <w:left w:w="15" w:type="dxa"/>
              <w:bottom w:w="15" w:type="dxa"/>
              <w:right w:w="15" w:type="dxa"/>
            </w:tcMar>
            <w:vAlign w:val="center"/>
            <w:hideMark/>
          </w:tcPr>
          <w:p w:rsidR="008D612A" w:rsidRPr="00915869" w:rsidP="00F4770E" w14:paraId="4B0F2385" w14:textId="77777777">
            <w:pPr>
              <w:widowControl w:val="0"/>
              <w:rPr>
                <w:rFonts w:ascii="Times New Roman" w:hAnsi="Times New Roman"/>
              </w:rPr>
            </w:pPr>
            <w:r w:rsidRPr="0EEECE9C">
              <w:rPr>
                <w:rFonts w:ascii="Times New Roman" w:hAnsi="Times New Roman"/>
              </w:rPr>
              <w:t xml:space="preserve">Burden per Response: </w:t>
            </w:r>
          </w:p>
          <w:tbl>
            <w:tblPr>
              <w:tblW w:w="6180" w:type="dxa"/>
              <w:tblLook w:val="04A0"/>
            </w:tblPr>
            <w:tblGrid>
              <w:gridCol w:w="2300"/>
              <w:gridCol w:w="1200"/>
              <w:gridCol w:w="1200"/>
              <w:gridCol w:w="1480"/>
            </w:tblGrid>
            <w:tr w14:paraId="2FC662FA" w14:textId="77777777" w:rsidTr="00F4770E">
              <w:tblPrEx>
                <w:tblW w:w="6180" w:type="dxa"/>
                <w:tblLook w:val="04A0"/>
              </w:tblPrEx>
              <w:trPr>
                <w:trHeight w:val="600"/>
              </w:trPr>
              <w:tc>
                <w:tcPr>
                  <w:tcW w:w="2300"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8D612A" w:rsidRPr="009E26E0" w:rsidP="00F4770E" w14:paraId="1ED27DA9"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8D612A" w:rsidRPr="009E26E0" w:rsidP="00F4770E" w14:paraId="0C2B75CB"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Time Per Response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8D612A" w:rsidRPr="009E26E0" w:rsidP="00F4770E" w14:paraId="7A52A577"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Hours </w:t>
                  </w:r>
                </w:p>
              </w:tc>
              <w:tc>
                <w:tcPr>
                  <w:tcW w:w="1480" w:type="dxa"/>
                  <w:tcBorders>
                    <w:top w:val="single" w:sz="4" w:space="0" w:color="000000"/>
                    <w:left w:val="nil"/>
                    <w:bottom w:val="single" w:sz="4" w:space="0" w:color="000000"/>
                    <w:right w:val="single" w:sz="4" w:space="0" w:color="000000"/>
                  </w:tcBorders>
                  <w:shd w:val="clear" w:color="000000" w:fill="003399"/>
                  <w:vAlign w:val="center"/>
                  <w:hideMark/>
                </w:tcPr>
                <w:p w:rsidR="008D612A" w:rsidRPr="009E26E0" w:rsidP="00F4770E" w14:paraId="4FA2B353"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Cost Per Response </w:t>
                  </w:r>
                </w:p>
              </w:tc>
            </w:tr>
            <w:tr w14:paraId="25F231C7"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D612A" w:rsidRPr="009E26E0" w:rsidP="00F4770E" w14:paraId="68CFD2E8"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07DAF011"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0.5</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75387139"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0.5</w:t>
                  </w:r>
                </w:p>
              </w:tc>
              <w:tc>
                <w:tcPr>
                  <w:tcW w:w="148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115C88A1"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sidR="00EB1361">
                    <w:rPr>
                      <w:rFonts w:ascii="Times New Roman" w:hAnsi="Times New Roman"/>
                      <w:szCs w:val="24"/>
                    </w:rPr>
                    <w:t>23.</w:t>
                  </w:r>
                  <w:r w:rsidR="00F66D60">
                    <w:rPr>
                      <w:rFonts w:ascii="Times New Roman" w:hAnsi="Times New Roman"/>
                      <w:szCs w:val="24"/>
                    </w:rPr>
                    <w:t>68</w:t>
                  </w:r>
                </w:p>
              </w:tc>
            </w:tr>
            <w:tr w14:paraId="65355165"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D612A" w:rsidRPr="009E26E0" w:rsidP="00F4770E" w14:paraId="576C55FD"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722BBBAD"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12CBC3DA"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2E253A2B"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344A0F76"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D612A" w:rsidRPr="009E26E0" w:rsidP="00F4770E" w14:paraId="49807E5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617C7420"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7E7FCE42"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8D612A" w:rsidRPr="009E26E0" w:rsidP="00F4770E" w14:paraId="0818A3A1"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48CF2E0F"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F66D60" w:rsidRPr="009E26E0" w:rsidP="00F66D60" w14:paraId="183FEFA5"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F66D60" w:rsidRPr="009E26E0" w:rsidP="00F66D60" w14:paraId="67D9553F"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F66D60" w:rsidRPr="009E26E0" w:rsidP="00F66D60" w14:paraId="17A83698"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0.5</w:t>
                  </w:r>
                </w:p>
              </w:tc>
              <w:tc>
                <w:tcPr>
                  <w:tcW w:w="1480" w:type="dxa"/>
                  <w:tcBorders>
                    <w:top w:val="nil"/>
                    <w:left w:val="nil"/>
                    <w:bottom w:val="single" w:sz="4" w:space="0" w:color="000000"/>
                    <w:right w:val="single" w:sz="4" w:space="0" w:color="000000"/>
                  </w:tcBorders>
                  <w:shd w:val="clear" w:color="000000" w:fill="FFFFFF"/>
                  <w:vAlign w:val="center"/>
                  <w:hideMark/>
                </w:tcPr>
                <w:p w:rsidR="00F66D60" w:rsidRPr="009E26E0" w:rsidP="00F66D60" w14:paraId="2B431D7E"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Pr>
                      <w:rFonts w:ascii="Times New Roman" w:hAnsi="Times New Roman"/>
                      <w:szCs w:val="24"/>
                    </w:rPr>
                    <w:t>23.68</w:t>
                  </w:r>
                </w:p>
              </w:tc>
            </w:tr>
          </w:tbl>
          <w:p w:rsidR="008D612A" w:rsidRPr="00915869" w:rsidP="00F4770E" w14:paraId="4F26D3A2" w14:textId="77777777">
            <w:pPr>
              <w:widowControl w:val="0"/>
              <w:rPr>
                <w:rFonts w:ascii="Times New Roman" w:hAnsi="Times New Roman"/>
              </w:rPr>
            </w:pPr>
          </w:p>
        </w:tc>
      </w:tr>
      <w:tr w14:paraId="7D8BB18E" w14:textId="77777777" w:rsidTr="00F4770E">
        <w:tblPrEx>
          <w:tblW w:w="5000" w:type="pct"/>
          <w:tblCellSpacing w:w="22" w:type="dxa"/>
          <w:tblCellMar>
            <w:left w:w="0" w:type="dxa"/>
            <w:right w:w="0" w:type="dxa"/>
          </w:tblCellMar>
          <w:tblLook w:val="04A0"/>
        </w:tblPrEx>
        <w:trPr>
          <w:trHeight w:val="26"/>
          <w:tblCellSpacing w:w="22" w:type="dxa"/>
        </w:trPr>
        <w:tc>
          <w:tcPr>
            <w:tcW w:w="4953" w:type="pct"/>
            <w:gridSpan w:val="2"/>
            <w:tcMar>
              <w:top w:w="15" w:type="dxa"/>
              <w:left w:w="15" w:type="dxa"/>
              <w:bottom w:w="15" w:type="dxa"/>
              <w:right w:w="15" w:type="dxa"/>
            </w:tcMar>
            <w:vAlign w:val="center"/>
            <w:hideMark/>
          </w:tcPr>
          <w:p w:rsidR="008D612A" w:rsidRPr="00915869" w:rsidP="00F4770E" w14:paraId="3880EDA2" w14:textId="77777777">
            <w:pPr>
              <w:widowControl w:val="0"/>
              <w:rPr>
                <w:rFonts w:ascii="Times New Roman" w:hAnsi="Times New Roman"/>
              </w:rPr>
            </w:pPr>
          </w:p>
          <w:p w:rsidR="008D612A" w:rsidRPr="00915869" w:rsidP="00F4770E" w14:paraId="452943CE" w14:textId="77777777">
            <w:pPr>
              <w:widowControl w:val="0"/>
              <w:rPr>
                <w:rFonts w:ascii="Times New Roman" w:hAnsi="Times New Roman"/>
              </w:rPr>
            </w:pPr>
            <w:r w:rsidRPr="0EEECE9C">
              <w:rPr>
                <w:rFonts w:ascii="Times New Roman" w:hAnsi="Times New Roman"/>
              </w:rPr>
              <w:t xml:space="preserve">Annual Burden: </w:t>
            </w:r>
          </w:p>
          <w:tbl>
            <w:tblPr>
              <w:tblW w:w="5300" w:type="dxa"/>
              <w:tblLook w:val="04A0"/>
            </w:tblPr>
            <w:tblGrid>
              <w:gridCol w:w="2300"/>
              <w:gridCol w:w="1200"/>
              <w:gridCol w:w="1800"/>
            </w:tblGrid>
            <w:tr w14:paraId="52A43204" w14:textId="77777777" w:rsidTr="00F4770E">
              <w:tblPrEx>
                <w:tblW w:w="5300" w:type="dxa"/>
                <w:tblLook w:val="04A0"/>
              </w:tblPrEx>
              <w:trPr>
                <w:trHeight w:val="300"/>
              </w:trPr>
              <w:tc>
                <w:tcPr>
                  <w:tcW w:w="23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8D612A" w:rsidRPr="0070218B" w:rsidP="00F4770E" w14:paraId="5B1B1B83"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8D612A" w:rsidRPr="0070218B" w:rsidP="00F4770E" w14:paraId="39FB5D16"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Annual Time Burden (Hours) </w:t>
                  </w:r>
                </w:p>
              </w:tc>
              <w:tc>
                <w:tcPr>
                  <w:tcW w:w="1800" w:type="dxa"/>
                  <w:tcBorders>
                    <w:top w:val="single" w:sz="4" w:space="0" w:color="000000"/>
                    <w:left w:val="nil"/>
                    <w:bottom w:val="nil"/>
                    <w:right w:val="single" w:sz="4" w:space="0" w:color="000000"/>
                  </w:tcBorders>
                  <w:shd w:val="clear" w:color="000000" w:fill="003399"/>
                  <w:vAlign w:val="center"/>
                  <w:hideMark/>
                </w:tcPr>
                <w:p w:rsidR="008D612A" w:rsidRPr="0070218B" w:rsidP="00F4770E" w14:paraId="7B2EEF6D"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Annual Cost Burden</w:t>
                  </w:r>
                </w:p>
              </w:tc>
            </w:tr>
            <w:tr w14:paraId="12C4423E" w14:textId="77777777" w:rsidTr="00F4770E">
              <w:tblPrEx>
                <w:tblW w:w="5300" w:type="dxa"/>
                <w:tblLook w:val="04A0"/>
              </w:tblPrEx>
              <w:trPr>
                <w:trHeight w:val="300"/>
              </w:trPr>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8D612A" w:rsidRPr="0070218B" w:rsidP="00F4770E" w14:paraId="001FA264" w14:textId="77777777">
                  <w:pPr>
                    <w:overflowPunct/>
                    <w:autoSpaceDE/>
                    <w:autoSpaceDN/>
                    <w:adjustRightInd/>
                    <w:textAlignment w:val="auto"/>
                    <w:rPr>
                      <w:rFonts w:ascii="Times New Roman" w:hAnsi="Times New Roman"/>
                      <w:b/>
                      <w:bCs/>
                      <w:color w:val="FFFFFF"/>
                      <w:szCs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8D612A" w:rsidRPr="0070218B" w:rsidP="00F4770E" w14:paraId="58A58F1F" w14:textId="77777777">
                  <w:pPr>
                    <w:overflowPunct/>
                    <w:autoSpaceDE/>
                    <w:autoSpaceDN/>
                    <w:adjustRightInd/>
                    <w:textAlignment w:val="auto"/>
                    <w:rPr>
                      <w:rFonts w:ascii="Times New Roman" w:hAnsi="Times New Roman"/>
                      <w:b/>
                      <w:bCs/>
                      <w:color w:val="FFFFFF"/>
                      <w:szCs w:val="24"/>
                    </w:rPr>
                  </w:pPr>
                </w:p>
              </w:tc>
              <w:tc>
                <w:tcPr>
                  <w:tcW w:w="1800" w:type="dxa"/>
                  <w:tcBorders>
                    <w:top w:val="nil"/>
                    <w:left w:val="nil"/>
                    <w:bottom w:val="single" w:sz="4" w:space="0" w:color="000000"/>
                    <w:right w:val="single" w:sz="4" w:space="0" w:color="000000"/>
                  </w:tcBorders>
                  <w:shd w:val="clear" w:color="000000" w:fill="003399"/>
                  <w:vAlign w:val="center"/>
                  <w:hideMark/>
                </w:tcPr>
                <w:p w:rsidR="008D612A" w:rsidRPr="0070218B" w:rsidP="00F4770E" w14:paraId="62708C53"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(Dollars) </w:t>
                  </w:r>
                </w:p>
              </w:tc>
            </w:tr>
            <w:tr w14:paraId="2F5DAF2D"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D612A" w:rsidRPr="0070218B" w:rsidP="00F4770E" w14:paraId="0E2E0231"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1616D816"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5</w:t>
                  </w:r>
                </w:p>
              </w:tc>
              <w:tc>
                <w:tcPr>
                  <w:tcW w:w="18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056C8602"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F66D60">
                    <w:rPr>
                      <w:rFonts w:ascii="Times New Roman" w:hAnsi="Times New Roman"/>
                      <w:szCs w:val="24"/>
                    </w:rPr>
                    <w:t>236.8</w:t>
                  </w:r>
                </w:p>
              </w:tc>
            </w:tr>
            <w:tr w14:paraId="139162F3"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D612A" w:rsidRPr="0070218B" w:rsidP="00F4770E" w14:paraId="381630E2"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465E1848"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22D65541"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5BBCDE7F"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D612A" w:rsidRPr="0070218B" w:rsidP="00F4770E" w14:paraId="4B8DD0EE"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1A950D56"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632D4BAC"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165D8525"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D612A" w:rsidRPr="0070218B" w:rsidP="00F4770E" w14:paraId="77B0A63E"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4EE69F3E"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5</w:t>
                  </w:r>
                </w:p>
              </w:tc>
              <w:tc>
                <w:tcPr>
                  <w:tcW w:w="1800" w:type="dxa"/>
                  <w:tcBorders>
                    <w:top w:val="nil"/>
                    <w:left w:val="nil"/>
                    <w:bottom w:val="single" w:sz="4" w:space="0" w:color="000000"/>
                    <w:right w:val="single" w:sz="4" w:space="0" w:color="000000"/>
                  </w:tcBorders>
                  <w:shd w:val="clear" w:color="000000" w:fill="FFFFFF"/>
                  <w:vAlign w:val="center"/>
                  <w:hideMark/>
                </w:tcPr>
                <w:p w:rsidR="008D612A" w:rsidRPr="0070218B" w:rsidP="00F4770E" w14:paraId="0077FE25"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F66D60">
                    <w:rPr>
                      <w:rFonts w:ascii="Times New Roman" w:hAnsi="Times New Roman"/>
                      <w:szCs w:val="24"/>
                    </w:rPr>
                    <w:t>237</w:t>
                  </w:r>
                  <w:r w:rsidRPr="0070218B">
                    <w:rPr>
                      <w:rFonts w:ascii="Times New Roman" w:hAnsi="Times New Roman"/>
                      <w:szCs w:val="24"/>
                    </w:rPr>
                    <w:t xml:space="preserve"> </w:t>
                  </w:r>
                </w:p>
              </w:tc>
            </w:tr>
          </w:tbl>
          <w:p w:rsidR="008D612A" w:rsidRPr="00915869" w:rsidP="00F4770E" w14:paraId="1CC99CA9" w14:textId="77777777">
            <w:pPr>
              <w:widowControl w:val="0"/>
              <w:rPr>
                <w:rFonts w:ascii="Times New Roman" w:hAnsi="Times New Roman"/>
              </w:rPr>
            </w:pPr>
          </w:p>
        </w:tc>
      </w:tr>
    </w:tbl>
    <w:p w:rsidR="008476BC" w:rsidP="008476BC" w14:paraId="732798F2" w14:textId="77777777">
      <w:pPr>
        <w:pStyle w:val="Default"/>
        <w:widowControl w:val="0"/>
        <w:rPr>
          <w:rFonts w:ascii="Times New Roman" w:eastAsia="Times New Roman" w:hAnsi="Times New Roman"/>
          <w:b/>
          <w:bCs/>
        </w:rPr>
      </w:pPr>
    </w:p>
    <w:p w:rsidR="008476BC" w:rsidRPr="00110EF3" w:rsidP="008476BC" w14:paraId="512363FD" w14:textId="77777777">
      <w:pPr>
        <w:pStyle w:val="Default"/>
        <w:widowControl w:val="0"/>
        <w:rPr>
          <w:rFonts w:ascii="Times New Roman" w:eastAsia="Times New Roman" w:hAnsi="Times New Roman"/>
          <w:b/>
          <w:bCs/>
        </w:rPr>
      </w:pPr>
      <w:r>
        <w:rPr>
          <w:rFonts w:ascii="Times New Roman" w:eastAsia="Times New Roman" w:hAnsi="Times New Roman"/>
          <w:b/>
          <w:bCs/>
        </w:rPr>
        <w:t>Partner Interview (4 Respondents)</w:t>
      </w:r>
    </w:p>
    <w:tbl>
      <w:tblPr>
        <w:tblW w:w="5000" w:type="pct"/>
        <w:tblCellSpacing w:w="22" w:type="dxa"/>
        <w:tblCellMar>
          <w:left w:w="0" w:type="dxa"/>
          <w:right w:w="0" w:type="dxa"/>
        </w:tblCellMar>
        <w:tblLook w:val="04A0"/>
      </w:tblPr>
      <w:tblGrid>
        <w:gridCol w:w="9205"/>
        <w:gridCol w:w="155"/>
      </w:tblGrid>
      <w:tr w14:paraId="28E3A783" w14:textId="77777777" w:rsidTr="00F4770E">
        <w:tblPrEx>
          <w:tblW w:w="5000" w:type="pct"/>
          <w:tblCellSpacing w:w="22" w:type="dxa"/>
          <w:tblCellMar>
            <w:left w:w="0" w:type="dxa"/>
            <w:right w:w="0" w:type="dxa"/>
          </w:tblCellMar>
          <w:tblLook w:val="04A0"/>
        </w:tblPrEx>
        <w:trPr>
          <w:gridAfter w:val="1"/>
          <w:wAfter w:w="25" w:type="dxa"/>
          <w:tblCellSpacing w:w="22" w:type="dxa"/>
        </w:trPr>
        <w:tc>
          <w:tcPr>
            <w:tcW w:w="4905" w:type="pct"/>
            <w:tcMar>
              <w:top w:w="15" w:type="dxa"/>
              <w:left w:w="15" w:type="dxa"/>
              <w:bottom w:w="15" w:type="dxa"/>
              <w:right w:w="15" w:type="dxa"/>
            </w:tcMar>
            <w:vAlign w:val="center"/>
            <w:hideMark/>
          </w:tcPr>
          <w:p w:rsidR="008476BC" w:rsidRPr="00915869" w:rsidP="00F4770E" w14:paraId="55BFC64A" w14:textId="77777777">
            <w:pPr>
              <w:widowControl w:val="0"/>
              <w:rPr>
                <w:rFonts w:ascii="Times New Roman" w:hAnsi="Times New Roman"/>
              </w:rPr>
            </w:pPr>
            <w:r w:rsidRPr="0EEECE9C">
              <w:rPr>
                <w:rFonts w:ascii="Times New Roman" w:hAnsi="Times New Roman"/>
              </w:rPr>
              <w:t xml:space="preserve">Burden per Response: </w:t>
            </w:r>
          </w:p>
          <w:tbl>
            <w:tblPr>
              <w:tblW w:w="6180" w:type="dxa"/>
              <w:tblLook w:val="04A0"/>
            </w:tblPr>
            <w:tblGrid>
              <w:gridCol w:w="2300"/>
              <w:gridCol w:w="1200"/>
              <w:gridCol w:w="1200"/>
              <w:gridCol w:w="1480"/>
            </w:tblGrid>
            <w:tr w14:paraId="49051859" w14:textId="77777777" w:rsidTr="00F4770E">
              <w:tblPrEx>
                <w:tblW w:w="6180" w:type="dxa"/>
                <w:tblLook w:val="04A0"/>
              </w:tblPrEx>
              <w:trPr>
                <w:trHeight w:val="600"/>
              </w:trPr>
              <w:tc>
                <w:tcPr>
                  <w:tcW w:w="2300" w:type="dxa"/>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8476BC" w:rsidRPr="009E26E0" w:rsidP="00F4770E" w14:paraId="3926D582"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8476BC" w:rsidRPr="009E26E0" w:rsidP="00F4770E" w14:paraId="21D9A0CA"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Time Per Response </w:t>
                  </w:r>
                </w:p>
              </w:tc>
              <w:tc>
                <w:tcPr>
                  <w:tcW w:w="1200" w:type="dxa"/>
                  <w:tcBorders>
                    <w:top w:val="single" w:sz="4" w:space="0" w:color="000000"/>
                    <w:left w:val="nil"/>
                    <w:bottom w:val="single" w:sz="4" w:space="0" w:color="000000"/>
                    <w:right w:val="single" w:sz="4" w:space="0" w:color="000000"/>
                  </w:tcBorders>
                  <w:shd w:val="clear" w:color="000000" w:fill="003399"/>
                  <w:vAlign w:val="center"/>
                  <w:hideMark/>
                </w:tcPr>
                <w:p w:rsidR="008476BC" w:rsidRPr="009E26E0" w:rsidP="00F4770E" w14:paraId="34FA2094"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Hours </w:t>
                  </w:r>
                </w:p>
              </w:tc>
              <w:tc>
                <w:tcPr>
                  <w:tcW w:w="1480" w:type="dxa"/>
                  <w:tcBorders>
                    <w:top w:val="single" w:sz="4" w:space="0" w:color="000000"/>
                    <w:left w:val="nil"/>
                    <w:bottom w:val="single" w:sz="4" w:space="0" w:color="000000"/>
                    <w:right w:val="single" w:sz="4" w:space="0" w:color="000000"/>
                  </w:tcBorders>
                  <w:shd w:val="clear" w:color="000000" w:fill="003399"/>
                  <w:vAlign w:val="center"/>
                  <w:hideMark/>
                </w:tcPr>
                <w:p w:rsidR="008476BC" w:rsidRPr="009E26E0" w:rsidP="00F4770E" w14:paraId="7AC09445" w14:textId="77777777">
                  <w:pPr>
                    <w:overflowPunct/>
                    <w:autoSpaceDE/>
                    <w:autoSpaceDN/>
                    <w:adjustRightInd/>
                    <w:jc w:val="center"/>
                    <w:textAlignment w:val="auto"/>
                    <w:rPr>
                      <w:rFonts w:ascii="Times New Roman" w:hAnsi="Times New Roman"/>
                      <w:b/>
                      <w:bCs/>
                      <w:color w:val="FFFFFF"/>
                      <w:szCs w:val="24"/>
                    </w:rPr>
                  </w:pPr>
                  <w:r w:rsidRPr="009E26E0">
                    <w:rPr>
                      <w:rFonts w:ascii="Times New Roman" w:hAnsi="Times New Roman"/>
                      <w:b/>
                      <w:bCs/>
                      <w:szCs w:val="24"/>
                    </w:rPr>
                    <w:t xml:space="preserve">Cost Per Response </w:t>
                  </w:r>
                </w:p>
              </w:tc>
            </w:tr>
            <w:tr w14:paraId="3D6EAE88"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9E26E0" w:rsidP="00F4770E" w14:paraId="6383DCC8"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54B9C550"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0.5</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75D37409"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0.5</w:t>
                  </w:r>
                </w:p>
              </w:tc>
              <w:tc>
                <w:tcPr>
                  <w:tcW w:w="148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4C1785A3"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Pr>
                      <w:rFonts w:ascii="Times New Roman" w:hAnsi="Times New Roman"/>
                      <w:szCs w:val="24"/>
                    </w:rPr>
                    <w:t>23.68</w:t>
                  </w:r>
                </w:p>
              </w:tc>
            </w:tr>
            <w:tr w14:paraId="33C369E6"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9E26E0" w:rsidP="00F4770E" w14:paraId="5A2A7BF5"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2AE25D11"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491920B4"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640876D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43D14092"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9E26E0" w:rsidP="00F4770E" w14:paraId="6AC26FF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404D9D7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7C9F809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48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0E148223"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r>
            <w:tr w14:paraId="296AF0EC" w14:textId="77777777" w:rsidTr="00F4770E">
              <w:tblPrEx>
                <w:tblW w:w="618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9E26E0" w:rsidP="00F4770E" w14:paraId="4DA7024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1B0FEE9C" w14:textId="77777777">
                  <w:pPr>
                    <w:overflowPunct/>
                    <w:autoSpaceDE/>
                    <w:autoSpaceDN/>
                    <w:adjustRightInd/>
                    <w:textAlignment w:val="auto"/>
                    <w:rPr>
                      <w:rFonts w:ascii="Times New Roman" w:hAnsi="Times New Roman"/>
                      <w:color w:val="000000"/>
                      <w:szCs w:val="24"/>
                    </w:rPr>
                  </w:pPr>
                  <w:r w:rsidRPr="009E26E0">
                    <w:rPr>
                      <w:rFonts w:ascii="Times New Roman" w:hAnsi="Times New Roman"/>
                      <w:szCs w:val="24"/>
                    </w:rPr>
                    <w:t>--</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4D4197B6" w14:textId="77777777">
                  <w:pPr>
                    <w:overflowPunct/>
                    <w:autoSpaceDE/>
                    <w:autoSpaceDN/>
                    <w:adjustRightInd/>
                    <w:jc w:val="right"/>
                    <w:textAlignment w:val="auto"/>
                    <w:rPr>
                      <w:rFonts w:ascii="Times New Roman" w:hAnsi="Times New Roman"/>
                      <w:color w:val="000000"/>
                      <w:szCs w:val="24"/>
                    </w:rPr>
                  </w:pPr>
                  <w:r>
                    <w:rPr>
                      <w:rFonts w:ascii="Times New Roman" w:hAnsi="Times New Roman"/>
                      <w:color w:val="000000"/>
                      <w:szCs w:val="24"/>
                    </w:rPr>
                    <w:t>0.5</w:t>
                  </w:r>
                </w:p>
              </w:tc>
              <w:tc>
                <w:tcPr>
                  <w:tcW w:w="1480" w:type="dxa"/>
                  <w:tcBorders>
                    <w:top w:val="nil"/>
                    <w:left w:val="nil"/>
                    <w:bottom w:val="single" w:sz="4" w:space="0" w:color="000000"/>
                    <w:right w:val="single" w:sz="4" w:space="0" w:color="000000"/>
                  </w:tcBorders>
                  <w:shd w:val="clear" w:color="000000" w:fill="FFFFFF"/>
                  <w:vAlign w:val="center"/>
                  <w:hideMark/>
                </w:tcPr>
                <w:p w:rsidR="008476BC" w:rsidRPr="009E26E0" w:rsidP="00F4770E" w14:paraId="6865EE11" w14:textId="77777777">
                  <w:pPr>
                    <w:overflowPunct/>
                    <w:autoSpaceDE/>
                    <w:autoSpaceDN/>
                    <w:adjustRightInd/>
                    <w:jc w:val="right"/>
                    <w:textAlignment w:val="auto"/>
                    <w:rPr>
                      <w:rFonts w:ascii="Times New Roman" w:hAnsi="Times New Roman"/>
                      <w:color w:val="000000"/>
                      <w:szCs w:val="24"/>
                    </w:rPr>
                  </w:pPr>
                  <w:r w:rsidRPr="009E26E0">
                    <w:rPr>
                      <w:rFonts w:ascii="Times New Roman" w:hAnsi="Times New Roman"/>
                      <w:szCs w:val="24"/>
                    </w:rPr>
                    <w:t>$</w:t>
                  </w:r>
                  <w:r>
                    <w:rPr>
                      <w:rFonts w:ascii="Times New Roman" w:hAnsi="Times New Roman"/>
                      <w:szCs w:val="24"/>
                    </w:rPr>
                    <w:t>23.68</w:t>
                  </w:r>
                </w:p>
              </w:tc>
            </w:tr>
          </w:tbl>
          <w:p w:rsidR="008476BC" w:rsidRPr="00915869" w:rsidP="00F4770E" w14:paraId="06A9530C" w14:textId="77777777">
            <w:pPr>
              <w:widowControl w:val="0"/>
              <w:rPr>
                <w:rFonts w:ascii="Times New Roman" w:hAnsi="Times New Roman"/>
              </w:rPr>
            </w:pPr>
          </w:p>
        </w:tc>
      </w:tr>
      <w:tr w14:paraId="78B44973" w14:textId="77777777" w:rsidTr="00F4770E">
        <w:tblPrEx>
          <w:tblW w:w="5000" w:type="pct"/>
          <w:tblCellSpacing w:w="22" w:type="dxa"/>
          <w:tblCellMar>
            <w:left w:w="0" w:type="dxa"/>
            <w:right w:w="0" w:type="dxa"/>
          </w:tblCellMar>
          <w:tblLook w:val="04A0"/>
        </w:tblPrEx>
        <w:trPr>
          <w:trHeight w:val="26"/>
          <w:tblCellSpacing w:w="22" w:type="dxa"/>
        </w:trPr>
        <w:tc>
          <w:tcPr>
            <w:tcW w:w="4953" w:type="pct"/>
            <w:gridSpan w:val="2"/>
            <w:tcMar>
              <w:top w:w="15" w:type="dxa"/>
              <w:left w:w="15" w:type="dxa"/>
              <w:bottom w:w="15" w:type="dxa"/>
              <w:right w:w="15" w:type="dxa"/>
            </w:tcMar>
            <w:vAlign w:val="center"/>
            <w:hideMark/>
          </w:tcPr>
          <w:p w:rsidR="008476BC" w:rsidRPr="00915869" w:rsidP="00F4770E" w14:paraId="409E1040" w14:textId="77777777">
            <w:pPr>
              <w:widowControl w:val="0"/>
              <w:rPr>
                <w:rFonts w:ascii="Times New Roman" w:hAnsi="Times New Roman"/>
              </w:rPr>
            </w:pPr>
          </w:p>
          <w:p w:rsidR="008476BC" w:rsidRPr="00915869" w:rsidP="00F4770E" w14:paraId="0AE241EB" w14:textId="77777777">
            <w:pPr>
              <w:widowControl w:val="0"/>
              <w:rPr>
                <w:rFonts w:ascii="Times New Roman" w:hAnsi="Times New Roman"/>
              </w:rPr>
            </w:pPr>
            <w:r w:rsidRPr="0EEECE9C">
              <w:rPr>
                <w:rFonts w:ascii="Times New Roman" w:hAnsi="Times New Roman"/>
              </w:rPr>
              <w:t xml:space="preserve">Annual Burden: </w:t>
            </w:r>
          </w:p>
          <w:tbl>
            <w:tblPr>
              <w:tblW w:w="5300" w:type="dxa"/>
              <w:tblLook w:val="04A0"/>
            </w:tblPr>
            <w:tblGrid>
              <w:gridCol w:w="2300"/>
              <w:gridCol w:w="1200"/>
              <w:gridCol w:w="1800"/>
            </w:tblGrid>
            <w:tr w14:paraId="2A84F489" w14:textId="77777777" w:rsidTr="00F4770E">
              <w:tblPrEx>
                <w:tblW w:w="5300" w:type="dxa"/>
                <w:tblLook w:val="04A0"/>
              </w:tblPrEx>
              <w:trPr>
                <w:trHeight w:val="300"/>
              </w:trPr>
              <w:tc>
                <w:tcPr>
                  <w:tcW w:w="23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8476BC" w:rsidRPr="0070218B" w:rsidP="00F4770E" w14:paraId="25077F9B"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  </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000000" w:fill="003399"/>
                  <w:vAlign w:val="center"/>
                  <w:hideMark/>
                </w:tcPr>
                <w:p w:rsidR="008476BC" w:rsidRPr="0070218B" w:rsidP="00F4770E" w14:paraId="2BB72FBB"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Annual Time Burden (Hours) </w:t>
                  </w:r>
                </w:p>
              </w:tc>
              <w:tc>
                <w:tcPr>
                  <w:tcW w:w="1800" w:type="dxa"/>
                  <w:tcBorders>
                    <w:top w:val="single" w:sz="4" w:space="0" w:color="000000"/>
                    <w:left w:val="nil"/>
                    <w:bottom w:val="nil"/>
                    <w:right w:val="single" w:sz="4" w:space="0" w:color="000000"/>
                  </w:tcBorders>
                  <w:shd w:val="clear" w:color="000000" w:fill="003399"/>
                  <w:vAlign w:val="center"/>
                  <w:hideMark/>
                </w:tcPr>
                <w:p w:rsidR="008476BC" w:rsidRPr="0070218B" w:rsidP="00F4770E" w14:paraId="2DAEEB48"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Annual Cost Burden</w:t>
                  </w:r>
                </w:p>
              </w:tc>
            </w:tr>
            <w:tr w14:paraId="233DFBBE" w14:textId="77777777" w:rsidTr="00F4770E">
              <w:tblPrEx>
                <w:tblW w:w="5300" w:type="dxa"/>
                <w:tblLook w:val="04A0"/>
              </w:tblPrEx>
              <w:trPr>
                <w:trHeight w:val="300"/>
              </w:trPr>
              <w:tc>
                <w:tcPr>
                  <w:tcW w:w="2300" w:type="dxa"/>
                  <w:vMerge/>
                  <w:tcBorders>
                    <w:top w:val="single" w:sz="4" w:space="0" w:color="000000"/>
                    <w:left w:val="single" w:sz="4" w:space="0" w:color="000000"/>
                    <w:bottom w:val="single" w:sz="4" w:space="0" w:color="000000"/>
                    <w:right w:val="single" w:sz="4" w:space="0" w:color="000000"/>
                  </w:tcBorders>
                  <w:vAlign w:val="center"/>
                  <w:hideMark/>
                </w:tcPr>
                <w:p w:rsidR="008476BC" w:rsidRPr="0070218B" w:rsidP="00F4770E" w14:paraId="49A5FB45" w14:textId="77777777">
                  <w:pPr>
                    <w:overflowPunct/>
                    <w:autoSpaceDE/>
                    <w:autoSpaceDN/>
                    <w:adjustRightInd/>
                    <w:textAlignment w:val="auto"/>
                    <w:rPr>
                      <w:rFonts w:ascii="Times New Roman" w:hAnsi="Times New Roman"/>
                      <w:b/>
                      <w:bCs/>
                      <w:color w:val="FFFFFF"/>
                      <w:szCs w:val="24"/>
                    </w:rPr>
                  </w:pPr>
                </w:p>
              </w:tc>
              <w:tc>
                <w:tcPr>
                  <w:tcW w:w="1200" w:type="dxa"/>
                  <w:vMerge/>
                  <w:tcBorders>
                    <w:top w:val="single" w:sz="4" w:space="0" w:color="000000"/>
                    <w:left w:val="single" w:sz="4" w:space="0" w:color="000000"/>
                    <w:bottom w:val="single" w:sz="4" w:space="0" w:color="000000"/>
                    <w:right w:val="single" w:sz="4" w:space="0" w:color="000000"/>
                  </w:tcBorders>
                  <w:vAlign w:val="center"/>
                  <w:hideMark/>
                </w:tcPr>
                <w:p w:rsidR="008476BC" w:rsidRPr="0070218B" w:rsidP="00F4770E" w14:paraId="7FA55530" w14:textId="77777777">
                  <w:pPr>
                    <w:overflowPunct/>
                    <w:autoSpaceDE/>
                    <w:autoSpaceDN/>
                    <w:adjustRightInd/>
                    <w:textAlignment w:val="auto"/>
                    <w:rPr>
                      <w:rFonts w:ascii="Times New Roman" w:hAnsi="Times New Roman"/>
                      <w:b/>
                      <w:bCs/>
                      <w:color w:val="FFFFFF"/>
                      <w:szCs w:val="24"/>
                    </w:rPr>
                  </w:pPr>
                </w:p>
              </w:tc>
              <w:tc>
                <w:tcPr>
                  <w:tcW w:w="1800" w:type="dxa"/>
                  <w:tcBorders>
                    <w:top w:val="nil"/>
                    <w:left w:val="nil"/>
                    <w:bottom w:val="single" w:sz="4" w:space="0" w:color="000000"/>
                    <w:right w:val="single" w:sz="4" w:space="0" w:color="000000"/>
                  </w:tcBorders>
                  <w:shd w:val="clear" w:color="000000" w:fill="003399"/>
                  <w:vAlign w:val="center"/>
                  <w:hideMark/>
                </w:tcPr>
                <w:p w:rsidR="008476BC" w:rsidRPr="0070218B" w:rsidP="00F4770E" w14:paraId="04C20B73" w14:textId="77777777">
                  <w:pPr>
                    <w:overflowPunct/>
                    <w:autoSpaceDE/>
                    <w:autoSpaceDN/>
                    <w:adjustRightInd/>
                    <w:jc w:val="center"/>
                    <w:textAlignment w:val="auto"/>
                    <w:rPr>
                      <w:rFonts w:ascii="Times New Roman" w:hAnsi="Times New Roman"/>
                      <w:b/>
                      <w:bCs/>
                      <w:color w:val="FFFFFF"/>
                      <w:szCs w:val="24"/>
                    </w:rPr>
                  </w:pPr>
                  <w:r w:rsidRPr="0070218B">
                    <w:rPr>
                      <w:rFonts w:ascii="Times New Roman" w:hAnsi="Times New Roman"/>
                      <w:b/>
                      <w:bCs/>
                      <w:szCs w:val="24"/>
                    </w:rPr>
                    <w:t xml:space="preserve">(Dollars) </w:t>
                  </w:r>
                </w:p>
              </w:tc>
            </w:tr>
            <w:tr w14:paraId="7A77672E"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70218B" w:rsidP="00F4770E" w14:paraId="1BEF6E02"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Reporting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4B5C0F3A"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w:t>
                  </w:r>
                </w:p>
              </w:tc>
              <w:tc>
                <w:tcPr>
                  <w:tcW w:w="18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25C10F5F"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4601F1">
                    <w:rPr>
                      <w:rFonts w:ascii="Times New Roman" w:hAnsi="Times New Roman"/>
                      <w:szCs w:val="24"/>
                    </w:rPr>
                    <w:t>94.72</w:t>
                  </w:r>
                </w:p>
              </w:tc>
            </w:tr>
            <w:tr w14:paraId="0A7BDAB3"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70218B" w:rsidP="00F4770E" w14:paraId="51BE4E57"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Record Keeping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0CD0388C"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2B161DA4"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06164287"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70218B" w:rsidP="00F4770E" w14:paraId="4C81A865"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Third Party Disclosure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2525FA58"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w:t>
                  </w:r>
                </w:p>
              </w:tc>
              <w:tc>
                <w:tcPr>
                  <w:tcW w:w="18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3D01B8AB"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p>
              </w:tc>
            </w:tr>
            <w:tr w14:paraId="07D9E486" w14:textId="77777777" w:rsidTr="00F4770E">
              <w:tblPrEx>
                <w:tblW w:w="5300" w:type="dxa"/>
                <w:tblLook w:val="04A0"/>
              </w:tblPrEx>
              <w:trPr>
                <w:trHeight w:val="310"/>
              </w:trPr>
              <w:tc>
                <w:tcPr>
                  <w:tcW w:w="2300" w:type="dxa"/>
                  <w:tcBorders>
                    <w:top w:val="nil"/>
                    <w:left w:val="single" w:sz="4" w:space="0" w:color="000000"/>
                    <w:bottom w:val="single" w:sz="4" w:space="0" w:color="000000"/>
                    <w:right w:val="single" w:sz="4" w:space="0" w:color="000000"/>
                  </w:tcBorders>
                  <w:shd w:val="clear" w:color="000000" w:fill="FFFFFF"/>
                  <w:vAlign w:val="center"/>
                  <w:hideMark/>
                </w:tcPr>
                <w:p w:rsidR="008476BC" w:rsidRPr="0070218B" w:rsidP="00F4770E" w14:paraId="1F02F6AF" w14:textId="77777777">
                  <w:pPr>
                    <w:overflowPunct/>
                    <w:autoSpaceDE/>
                    <w:autoSpaceDN/>
                    <w:adjustRightInd/>
                    <w:textAlignment w:val="auto"/>
                    <w:rPr>
                      <w:rFonts w:ascii="Times New Roman" w:hAnsi="Times New Roman"/>
                      <w:color w:val="000000"/>
                      <w:szCs w:val="24"/>
                    </w:rPr>
                  </w:pPr>
                  <w:r w:rsidRPr="0070218B">
                    <w:rPr>
                      <w:rFonts w:ascii="Times New Roman" w:hAnsi="Times New Roman"/>
                      <w:szCs w:val="24"/>
                    </w:rPr>
                    <w:t xml:space="preserve">Total </w:t>
                  </w:r>
                </w:p>
              </w:tc>
              <w:tc>
                <w:tcPr>
                  <w:tcW w:w="12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4FBE4F8C" w14:textId="77777777">
                  <w:pPr>
                    <w:overflowPunct/>
                    <w:autoSpaceDE/>
                    <w:autoSpaceDN/>
                    <w:adjustRightInd/>
                    <w:textAlignment w:val="auto"/>
                    <w:rPr>
                      <w:rFonts w:ascii="Times New Roman" w:hAnsi="Times New Roman"/>
                      <w:color w:val="000000"/>
                      <w:szCs w:val="24"/>
                    </w:rPr>
                  </w:pPr>
                  <w:r>
                    <w:rPr>
                      <w:rFonts w:ascii="Times New Roman" w:hAnsi="Times New Roman"/>
                      <w:color w:val="000000"/>
                      <w:szCs w:val="24"/>
                    </w:rPr>
                    <w:t>2</w:t>
                  </w:r>
                </w:p>
              </w:tc>
              <w:tc>
                <w:tcPr>
                  <w:tcW w:w="1800" w:type="dxa"/>
                  <w:tcBorders>
                    <w:top w:val="nil"/>
                    <w:left w:val="nil"/>
                    <w:bottom w:val="single" w:sz="4" w:space="0" w:color="000000"/>
                    <w:right w:val="single" w:sz="4" w:space="0" w:color="000000"/>
                  </w:tcBorders>
                  <w:shd w:val="clear" w:color="000000" w:fill="FFFFFF"/>
                  <w:vAlign w:val="center"/>
                  <w:hideMark/>
                </w:tcPr>
                <w:p w:rsidR="008476BC" w:rsidRPr="0070218B" w:rsidP="00F4770E" w14:paraId="52FE7BA2" w14:textId="77777777">
                  <w:pPr>
                    <w:overflowPunct/>
                    <w:autoSpaceDE/>
                    <w:autoSpaceDN/>
                    <w:adjustRightInd/>
                    <w:jc w:val="right"/>
                    <w:textAlignment w:val="auto"/>
                    <w:rPr>
                      <w:rFonts w:ascii="Times New Roman" w:hAnsi="Times New Roman"/>
                      <w:color w:val="000000"/>
                      <w:szCs w:val="24"/>
                    </w:rPr>
                  </w:pPr>
                  <w:r w:rsidRPr="0070218B">
                    <w:rPr>
                      <w:rFonts w:ascii="Times New Roman" w:hAnsi="Times New Roman"/>
                      <w:szCs w:val="24"/>
                    </w:rPr>
                    <w:t>$</w:t>
                  </w:r>
                  <w:r w:rsidR="004601F1">
                    <w:rPr>
                      <w:rFonts w:ascii="Times New Roman" w:hAnsi="Times New Roman"/>
                      <w:szCs w:val="24"/>
                    </w:rPr>
                    <w:t>95</w:t>
                  </w:r>
                  <w:r w:rsidRPr="0070218B">
                    <w:rPr>
                      <w:rFonts w:ascii="Times New Roman" w:hAnsi="Times New Roman"/>
                      <w:szCs w:val="24"/>
                    </w:rPr>
                    <w:t xml:space="preserve"> </w:t>
                  </w:r>
                </w:p>
              </w:tc>
            </w:tr>
          </w:tbl>
          <w:p w:rsidR="008476BC" w:rsidRPr="00915869" w:rsidP="00F4770E" w14:paraId="4D20A705" w14:textId="77777777">
            <w:pPr>
              <w:widowControl w:val="0"/>
              <w:rPr>
                <w:rFonts w:ascii="Times New Roman" w:hAnsi="Times New Roman"/>
              </w:rPr>
            </w:pPr>
          </w:p>
        </w:tc>
      </w:tr>
    </w:tbl>
    <w:p w:rsidR="00303B9A" w:rsidP="005561E5" w14:paraId="3772AA6D" w14:textId="77777777">
      <w:pPr>
        <w:pStyle w:val="NormalWeb"/>
        <w:widowControl w:val="0"/>
        <w:tabs>
          <w:tab w:val="left" w:pos="360"/>
          <w:tab w:val="left" w:pos="720"/>
          <w:tab w:val="left" w:pos="1080"/>
          <w:tab w:val="left" w:pos="1440"/>
        </w:tabs>
        <w:spacing w:before="0" w:beforeAutospacing="0" w:after="0" w:afterAutospacing="0"/>
        <w:rPr>
          <w:u w:val="single"/>
        </w:rPr>
      </w:pPr>
    </w:p>
    <w:p w:rsidR="005561E5" w:rsidP="005561E5" w14:paraId="4500F5EF" w14:textId="77777777">
      <w:pPr>
        <w:pStyle w:val="Heading2"/>
        <w:numPr>
          <w:ilvl w:val="0"/>
          <w:numId w:val="15"/>
        </w:numPr>
      </w:pPr>
      <w:r w:rsidRPr="0EEECE9C">
        <w:t xml:space="preserve">Estimated nonrecurring costs. </w:t>
      </w:r>
    </w:p>
    <w:p w:rsidR="005561E5" w:rsidRPr="009277BA" w:rsidP="005561E5" w14:paraId="50E79F99" w14:textId="77777777">
      <w:pPr>
        <w:widowControl w:val="0"/>
        <w:tabs>
          <w:tab w:val="left" w:pos="360"/>
          <w:tab w:val="left" w:pos="720"/>
          <w:tab w:val="left" w:pos="1080"/>
        </w:tabs>
        <w:rPr>
          <w:rFonts w:ascii="Times New Roman" w:hAnsi="Times New Roman"/>
        </w:rPr>
      </w:pPr>
      <w:r w:rsidRPr="0EEECE9C">
        <w:rPr>
          <w:rFonts w:ascii="Times New Roman" w:hAnsi="Times New Roman"/>
        </w:rPr>
        <w:t>No total capital and start-up costs, operation and maintenance costs, or purchase of services beyond customary and usual operating costs are required by this information collection.</w:t>
      </w:r>
    </w:p>
    <w:p w:rsidR="005561E5" w:rsidRPr="00727621" w:rsidP="005561E5" w14:paraId="60E29F40" w14:textId="77777777">
      <w:pPr>
        <w:pStyle w:val="Heading2"/>
        <w:numPr>
          <w:ilvl w:val="0"/>
          <w:numId w:val="15"/>
        </w:numPr>
      </w:pPr>
      <w:r w:rsidRPr="00727621">
        <w:t xml:space="preserve">Estimated cost to the Government. </w:t>
      </w:r>
    </w:p>
    <w:p w:rsidR="005561E5" w:rsidRPr="002C5E72" w:rsidP="005561E5" w14:paraId="71043EF3" w14:textId="77777777">
      <w:pPr>
        <w:shd w:val="clear" w:color="auto" w:fill="FFFFFF" w:themeFill="background1"/>
        <w:overflowPunct/>
        <w:autoSpaceDE/>
        <w:autoSpaceDN/>
        <w:adjustRightInd/>
        <w:rPr>
          <w:rFonts w:ascii="Times New Roman" w:hAnsi="Times New Roman"/>
          <w:sz w:val="18"/>
          <w:szCs w:val="18"/>
        </w:rPr>
      </w:pPr>
      <w:r w:rsidRPr="0EEECE9C">
        <w:rPr>
          <w:rFonts w:ascii="Times New Roman" w:hAnsi="Times New Roman"/>
          <w:color w:val="201F1E"/>
        </w:rPr>
        <w:t xml:space="preserve">The estimated cost to the Government is shown in the following table. It is estimated that it will take the Government </w:t>
      </w:r>
      <w:r w:rsidR="003732F4">
        <w:rPr>
          <w:rFonts w:ascii="Times New Roman" w:hAnsi="Times New Roman"/>
          <w:color w:val="201F1E"/>
        </w:rPr>
        <w:t>1.05</w:t>
      </w:r>
      <w:r w:rsidRPr="0EEECE9C">
        <w:rPr>
          <w:rFonts w:ascii="Times New Roman" w:hAnsi="Times New Roman"/>
          <w:color w:val="201F1E"/>
        </w:rPr>
        <w:t xml:space="preserve"> hour(s) to review each response. This estimate was developed by staff involved in the management of current activity. </w:t>
      </w:r>
    </w:p>
    <w:p w:rsidR="005561E5" w:rsidRPr="00937EAC" w:rsidP="005561E5" w14:paraId="4AEFF546" w14:textId="77777777">
      <w:pPr>
        <w:pStyle w:val="xmsonormal"/>
        <w:shd w:val="clear" w:color="auto" w:fill="FFFFFF" w:themeFill="background1"/>
        <w:spacing w:before="0" w:beforeAutospacing="0" w:after="0" w:afterAutospacing="0"/>
        <w:rPr>
          <w:color w:val="201F1E"/>
        </w:rPr>
      </w:pPr>
      <w:r w:rsidRPr="0EEECE9C">
        <w:rPr>
          <w:color w:val="201F1E"/>
        </w:rPr>
        <w:t> </w:t>
      </w:r>
    </w:p>
    <w:tbl>
      <w:tblPr>
        <w:tblW w:w="9270" w:type="dxa"/>
        <w:tblInd w:w="108" w:type="dxa"/>
        <w:shd w:val="clear" w:color="auto" w:fill="FFFFFF"/>
        <w:tblCellMar>
          <w:left w:w="0" w:type="dxa"/>
          <w:right w:w="0" w:type="dxa"/>
        </w:tblCellMar>
        <w:tblLook w:val="04A0"/>
      </w:tblPr>
      <w:tblGrid>
        <w:gridCol w:w="7020"/>
        <w:gridCol w:w="2250"/>
      </w:tblGrid>
      <w:tr w14:paraId="35258552" w14:textId="77777777" w:rsidTr="00F4770E">
        <w:tblPrEx>
          <w:tblW w:w="9270" w:type="dxa"/>
          <w:tblInd w:w="108" w:type="dxa"/>
          <w:shd w:val="clear" w:color="auto" w:fill="FFFFFF"/>
          <w:tblCellMar>
            <w:left w:w="0" w:type="dxa"/>
            <w:right w:w="0" w:type="dxa"/>
          </w:tblCellMar>
          <w:tblLook w:val="04A0"/>
        </w:tblPrEx>
        <w:trPr>
          <w:trHeight w:val="386"/>
        </w:trPr>
        <w:tc>
          <w:tcPr>
            <w:tcW w:w="9270" w:type="dxa"/>
            <w:gridSpan w:val="2"/>
            <w:tcBorders>
              <w:top w:val="single" w:sz="8" w:space="0" w:color="auto"/>
              <w:left w:val="single" w:sz="8" w:space="0" w:color="auto"/>
              <w:bottom w:val="single" w:sz="8" w:space="0" w:color="auto"/>
              <w:right w:val="single" w:sz="8" w:space="0" w:color="auto"/>
            </w:tcBorders>
            <w:shd w:val="clear" w:color="auto" w:fill="0033CC"/>
            <w:tcMar>
              <w:top w:w="0" w:type="dxa"/>
              <w:left w:w="108" w:type="dxa"/>
              <w:bottom w:w="0" w:type="dxa"/>
              <w:right w:w="108" w:type="dxa"/>
            </w:tcMar>
            <w:vAlign w:val="center"/>
            <w:hideMark/>
          </w:tcPr>
          <w:p w:rsidR="005561E5" w:rsidRPr="00C20A1E" w:rsidP="00F4770E" w14:paraId="72A16827" w14:textId="77777777">
            <w:pPr>
              <w:pStyle w:val="xmsonormal"/>
              <w:spacing w:before="0" w:beforeAutospacing="0" w:after="0" w:afterAutospacing="0"/>
              <w:jc w:val="center"/>
              <w:rPr>
                <w:b/>
                <w:bCs/>
                <w:color w:val="FFFFFF" w:themeColor="background1"/>
              </w:rPr>
            </w:pPr>
            <w:r w:rsidRPr="00C20A1E">
              <w:rPr>
                <w:b/>
                <w:bCs/>
                <w:color w:val="FFFFFF" w:themeColor="background1"/>
              </w:rPr>
              <w:t>Estimation of Cost to the Government</w:t>
            </w:r>
          </w:p>
        </w:tc>
      </w:tr>
      <w:tr w14:paraId="1D705031" w14:textId="77777777" w:rsidTr="00F4770E">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7B787D04" w14:textId="77777777">
            <w:pPr>
              <w:pStyle w:val="xmsonormal"/>
              <w:spacing w:before="0" w:beforeAutospacing="0" w:after="0" w:afterAutospacing="0"/>
              <w:rPr>
                <w:color w:val="201F1E"/>
              </w:rPr>
            </w:pPr>
            <w:r w:rsidRPr="0EEECE9C">
              <w:rPr>
                <w:color w:val="201F1E"/>
              </w:rPr>
              <w:t>Number of responses</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586107AD" w14:textId="77777777">
            <w:pPr>
              <w:pStyle w:val="xmsonormal"/>
              <w:spacing w:before="0" w:beforeAutospacing="0" w:after="0" w:afterAutospacing="0"/>
              <w:rPr>
                <w:color w:val="201F1E"/>
              </w:rPr>
            </w:pPr>
            <w:r>
              <w:rPr>
                <w:color w:val="201F1E"/>
              </w:rPr>
              <w:t>2,198</w:t>
            </w:r>
          </w:p>
        </w:tc>
      </w:tr>
      <w:tr w14:paraId="7B4A100E" w14:textId="77777777" w:rsidTr="00F4770E">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78C12131" w14:textId="77777777">
            <w:pPr>
              <w:pStyle w:val="xmsonormal"/>
              <w:spacing w:before="0" w:beforeAutospacing="0" w:after="0" w:afterAutospacing="0"/>
              <w:rPr>
                <w:color w:val="201F1E"/>
              </w:rPr>
            </w:pPr>
            <w:r w:rsidRPr="0EEECE9C">
              <w:rPr>
                <w:color w:val="201F1E"/>
              </w:rPr>
              <w:t>Hours per response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24235A40" w14:textId="77777777">
            <w:pPr>
              <w:pStyle w:val="xmsonormal"/>
              <w:spacing w:before="0" w:beforeAutospacing="0" w:after="0" w:afterAutospacing="0"/>
              <w:rPr>
                <w:color w:val="201F1E"/>
              </w:rPr>
            </w:pPr>
            <w:r w:rsidRPr="0EEECE9C">
              <w:rPr>
                <w:color w:val="201F1E"/>
              </w:rPr>
              <w:t>1</w:t>
            </w:r>
            <w:r>
              <w:rPr>
                <w:color w:val="201F1E"/>
              </w:rPr>
              <w:t>.05</w:t>
            </w:r>
          </w:p>
        </w:tc>
      </w:tr>
      <w:tr w14:paraId="64474F8B" w14:textId="77777777" w:rsidTr="00F4770E">
        <w:tblPrEx>
          <w:tblW w:w="9270" w:type="dxa"/>
          <w:tblInd w:w="108" w:type="dxa"/>
          <w:shd w:val="clear" w:color="auto" w:fill="FFFFFF"/>
          <w:tblCellMar>
            <w:left w:w="0" w:type="dxa"/>
            <w:right w:w="0" w:type="dxa"/>
          </w:tblCellMar>
          <w:tblLook w:val="04A0"/>
        </w:tblPrEx>
        <w:trPr>
          <w:trHeight w:val="449"/>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6356DBE0" w14:textId="77777777">
            <w:pPr>
              <w:pStyle w:val="xmsonormal"/>
              <w:spacing w:before="0" w:beforeAutospacing="0" w:after="0" w:afterAutospacing="0"/>
              <w:rPr>
                <w:color w:val="201F1E"/>
              </w:rPr>
            </w:pPr>
            <w:r w:rsidRPr="0EEECE9C">
              <w:rPr>
                <w:color w:val="201F1E"/>
              </w:rPr>
              <w:t>Total estimated hours (number of responses multiplied by hours per response)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163E04B5" w14:textId="77777777">
            <w:pPr>
              <w:pStyle w:val="xmsonormal"/>
              <w:spacing w:before="0" w:beforeAutospacing="0" w:after="0" w:afterAutospacing="0"/>
              <w:rPr>
                <w:color w:val="201F1E"/>
              </w:rPr>
            </w:pPr>
            <w:r>
              <w:rPr>
                <w:color w:val="201F1E"/>
              </w:rPr>
              <w:t>2,307.09</w:t>
            </w:r>
          </w:p>
        </w:tc>
      </w:tr>
      <w:tr w14:paraId="62EF7E42" w14:textId="77777777" w:rsidTr="00F4770E">
        <w:tblPrEx>
          <w:tblW w:w="9270" w:type="dxa"/>
          <w:tblInd w:w="108" w:type="dxa"/>
          <w:shd w:val="clear" w:color="auto" w:fill="FFFFFF"/>
          <w:tblCellMar>
            <w:left w:w="0" w:type="dxa"/>
            <w:right w:w="0" w:type="dxa"/>
          </w:tblCellMar>
          <w:tblLook w:val="04A0"/>
        </w:tblPrEx>
        <w:trPr>
          <w:trHeight w:val="431"/>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1EC385C1" w14:textId="77777777">
            <w:pPr>
              <w:pStyle w:val="xmsonormal"/>
              <w:spacing w:before="0" w:beforeAutospacing="0" w:after="0" w:afterAutospacing="0"/>
              <w:rPr>
                <w:color w:val="201F1E"/>
              </w:rPr>
            </w:pPr>
            <w:r w:rsidRPr="0EEECE9C">
              <w:rPr>
                <w:color w:val="201F1E"/>
              </w:rPr>
              <w:t>Cost per hour (hourly wage)</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4DEEF310" w14:textId="77777777">
            <w:pPr>
              <w:pStyle w:val="xmsonormal"/>
              <w:spacing w:before="0" w:beforeAutospacing="0" w:after="0" w:afterAutospacing="0"/>
              <w:rPr>
                <w:color w:val="201F1E"/>
              </w:rPr>
            </w:pPr>
            <w:r w:rsidRPr="0EEECE9C">
              <w:rPr>
                <w:color w:val="201F1E"/>
              </w:rPr>
              <w:t>$</w:t>
            </w:r>
            <w:r w:rsidR="00203527">
              <w:rPr>
                <w:color w:val="201F1E"/>
              </w:rPr>
              <w:t>52</w:t>
            </w:r>
            <w:r w:rsidR="004855AF">
              <w:rPr>
                <w:color w:val="201F1E"/>
              </w:rPr>
              <w:t>.</w:t>
            </w:r>
            <w:r w:rsidR="00203527">
              <w:rPr>
                <w:color w:val="201F1E"/>
              </w:rPr>
              <w:t>24</w:t>
            </w:r>
          </w:p>
        </w:tc>
      </w:tr>
      <w:tr w14:paraId="444F3E27" w14:textId="77777777" w:rsidTr="00F4770E">
        <w:tblPrEx>
          <w:tblW w:w="9270" w:type="dxa"/>
          <w:tblInd w:w="108" w:type="dxa"/>
          <w:shd w:val="clear" w:color="auto" w:fill="FFFFFF"/>
          <w:tblCellMar>
            <w:left w:w="0" w:type="dxa"/>
            <w:right w:w="0" w:type="dxa"/>
          </w:tblCellMar>
          <w:tblLook w:val="04A0"/>
        </w:tblPrEx>
        <w:trPr>
          <w:trHeight w:val="440"/>
        </w:trPr>
        <w:tc>
          <w:tcPr>
            <w:tcW w:w="702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18CB94D4" w14:textId="77777777">
            <w:pPr>
              <w:pStyle w:val="xmsonormal"/>
              <w:spacing w:before="0" w:beforeAutospacing="0" w:after="0" w:afterAutospacing="0"/>
              <w:rPr>
                <w:color w:val="201F1E"/>
              </w:rPr>
            </w:pPr>
            <w:r w:rsidRPr="0EEECE9C">
              <w:rPr>
                <w:color w:val="201F1E"/>
              </w:rPr>
              <w:t>Annual burden (estimated hours multiplied by cost per hour)</w:t>
            </w:r>
          </w:p>
        </w:tc>
        <w:tc>
          <w:tcPr>
            <w:tcW w:w="22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5561E5" w:rsidRPr="00937EAC" w:rsidP="00F4770E" w14:paraId="55193D3D" w14:textId="77777777">
            <w:pPr>
              <w:pStyle w:val="xmsonormal"/>
              <w:spacing w:before="0" w:beforeAutospacing="0" w:after="0" w:afterAutospacing="0"/>
              <w:rPr>
                <w:color w:val="201F1E"/>
              </w:rPr>
            </w:pPr>
            <w:r w:rsidRPr="0EEECE9C">
              <w:rPr>
                <w:color w:val="201F1E"/>
              </w:rPr>
              <w:t>$</w:t>
            </w:r>
            <w:r w:rsidR="004855AF">
              <w:rPr>
                <w:color w:val="201F1E"/>
              </w:rPr>
              <w:t>120,</w:t>
            </w:r>
            <w:r w:rsidR="0052787B">
              <w:rPr>
                <w:color w:val="201F1E"/>
              </w:rPr>
              <w:t>522</w:t>
            </w:r>
            <w:r w:rsidRPr="0EEECE9C">
              <w:rPr>
                <w:color w:val="201F1E"/>
              </w:rPr>
              <w:t xml:space="preserve"> (rounded)</w:t>
            </w:r>
          </w:p>
        </w:tc>
      </w:tr>
    </w:tbl>
    <w:p w:rsidR="005561E5" w:rsidRPr="00937EAC" w:rsidP="005561E5" w14:paraId="2F1034B6" w14:textId="77777777">
      <w:pPr>
        <w:pStyle w:val="xmsonormal"/>
        <w:shd w:val="clear" w:color="auto" w:fill="FFFFFF" w:themeFill="background1"/>
        <w:spacing w:before="0" w:beforeAutospacing="0" w:after="0" w:afterAutospacing="0"/>
        <w:rPr>
          <w:color w:val="201F1E"/>
        </w:rPr>
      </w:pPr>
      <w:r w:rsidRPr="0EEECE9C">
        <w:rPr>
          <w:color w:val="201F1E"/>
          <w:bdr w:val="none" w:sz="0" w:space="0" w:color="auto" w:frame="1"/>
        </w:rPr>
        <w:t> </w:t>
      </w:r>
    </w:p>
    <w:p w:rsidR="005561E5" w:rsidP="0070112F" w14:paraId="1BC2FC17" w14:textId="77777777">
      <w:pPr>
        <w:pStyle w:val="xmsonormal"/>
        <w:shd w:val="clear" w:color="auto" w:fill="FFFFFF" w:themeFill="background1"/>
        <w:spacing w:before="0" w:beforeAutospacing="0" w:after="0" w:afterAutospacing="0"/>
        <w:rPr>
          <w:color w:val="201F1E"/>
          <w:bdr w:val="none" w:sz="0" w:space="0" w:color="auto" w:frame="1"/>
        </w:rPr>
      </w:pPr>
      <w:r w:rsidRPr="0EEECE9C">
        <w:rPr>
          <w:b/>
          <w:bCs/>
          <w:color w:val="201F1E"/>
          <w:bdr w:val="none" w:sz="0" w:space="0" w:color="auto" w:frame="1"/>
        </w:rPr>
        <w:t>Note:</w:t>
      </w:r>
      <w:r w:rsidRPr="0EEECE9C">
        <w:rPr>
          <w:color w:val="201F1E"/>
          <w:bdr w:val="none" w:sz="0" w:space="0" w:color="auto" w:frame="1"/>
        </w:rPr>
        <w:t> The cost per hour is based on the average of eight 202</w:t>
      </w:r>
      <w:r w:rsidR="00B6115B">
        <w:rPr>
          <w:color w:val="201F1E"/>
          <w:bdr w:val="none" w:sz="0" w:space="0" w:color="auto" w:frame="1"/>
        </w:rPr>
        <w:t>4</w:t>
      </w:r>
      <w:r w:rsidRPr="0EEECE9C">
        <w:rPr>
          <w:color w:val="201F1E"/>
          <w:bdr w:val="none" w:sz="0" w:space="0" w:color="auto" w:frame="1"/>
        </w:rPr>
        <w:t xml:space="preserve"> OPM GS hourly rates (base + locality) for a GS-11, step 1 employee living in our eight regions of operation, plus the 36.25% civilian personnel full fringe benefit rate from OMB memorandum M-08-13. The average cost </w:t>
      </w:r>
      <w:r w:rsidRPr="0EEECE9C">
        <w:rPr>
          <w:color w:val="201F1E"/>
          <w:bdr w:val="none" w:sz="0" w:space="0" w:color="auto" w:frame="1"/>
        </w:rPr>
        <w:t>per hour is $</w:t>
      </w:r>
      <w:r w:rsidR="008F38D5">
        <w:rPr>
          <w:color w:val="201F1E"/>
          <w:bdr w:val="none" w:sz="0" w:space="0" w:color="auto" w:frame="1"/>
        </w:rPr>
        <w:t>38.34</w:t>
      </w:r>
      <w:r w:rsidRPr="0EEECE9C">
        <w:rPr>
          <w:color w:val="201F1E"/>
          <w:bdr w:val="none" w:sz="0" w:space="0" w:color="auto" w:frame="1"/>
        </w:rPr>
        <w:t xml:space="preserve"> (average hourly rate) + $13.</w:t>
      </w:r>
      <w:r w:rsidR="005F3A5B">
        <w:rPr>
          <w:color w:val="201F1E"/>
          <w:bdr w:val="none" w:sz="0" w:space="0" w:color="auto" w:frame="1"/>
        </w:rPr>
        <w:t xml:space="preserve">90 </w:t>
      </w:r>
      <w:r w:rsidRPr="0EEECE9C">
        <w:rPr>
          <w:color w:val="201F1E"/>
          <w:bdr w:val="none" w:sz="0" w:space="0" w:color="auto" w:frame="1"/>
        </w:rPr>
        <w:t>($</w:t>
      </w:r>
      <w:r w:rsidR="008F38D5">
        <w:rPr>
          <w:color w:val="201F1E"/>
          <w:bdr w:val="none" w:sz="0" w:space="0" w:color="auto" w:frame="1"/>
        </w:rPr>
        <w:t>38.34</w:t>
      </w:r>
      <w:r w:rsidRPr="0EEECE9C">
        <w:rPr>
          <w:color w:val="201F1E"/>
          <w:bdr w:val="none" w:sz="0" w:space="0" w:color="auto" w:frame="1"/>
        </w:rPr>
        <w:t xml:space="preserve"> average hourly rate x 36.25% fringe) = $</w:t>
      </w:r>
      <w:r w:rsidR="00203527">
        <w:rPr>
          <w:color w:val="201F1E"/>
          <w:bdr w:val="none" w:sz="0" w:space="0" w:color="auto" w:frame="1"/>
        </w:rPr>
        <w:t>52.24</w:t>
      </w:r>
      <w:r w:rsidRPr="0EEECE9C">
        <w:rPr>
          <w:color w:val="201F1E"/>
          <w:bdr w:val="none" w:sz="0" w:space="0" w:color="auto" w:frame="1"/>
        </w:rPr>
        <w:t>/hour (rounded to the nearest penny).</w:t>
      </w:r>
    </w:p>
    <w:p w:rsidR="00E7154A" w:rsidP="0070112F" w14:paraId="224DCD42" w14:textId="77777777">
      <w:pPr>
        <w:pStyle w:val="xmsonormal"/>
        <w:shd w:val="clear" w:color="auto" w:fill="FFFFFF" w:themeFill="background1"/>
        <w:spacing w:before="0" w:beforeAutospacing="0" w:after="0" w:afterAutospacing="0"/>
        <w:rPr>
          <w:color w:val="201F1E"/>
          <w:bdr w:val="none" w:sz="0" w:space="0" w:color="auto" w:frame="1"/>
        </w:rPr>
      </w:pPr>
    </w:p>
    <w:p w:rsidR="00E7154A" w:rsidRPr="0070112F" w:rsidP="0070112F" w14:paraId="1DC81AB8" w14:textId="77777777">
      <w:pPr>
        <w:pStyle w:val="xmsonormal"/>
        <w:shd w:val="clear" w:color="auto" w:fill="FFFFFF" w:themeFill="background1"/>
        <w:spacing w:before="0" w:beforeAutospacing="0" w:after="0" w:afterAutospacing="0"/>
      </w:pPr>
      <w:r>
        <w:rPr>
          <w:color w:val="201F1E"/>
          <w:bdr w:val="none" w:sz="0" w:space="0" w:color="auto" w:frame="1"/>
        </w:rPr>
        <w:t xml:space="preserve">The </w:t>
      </w:r>
      <w:r w:rsidR="00872F4A">
        <w:rPr>
          <w:color w:val="201F1E"/>
          <w:bdr w:val="none" w:sz="0" w:space="0" w:color="auto" w:frame="1"/>
        </w:rPr>
        <w:t>eight regions of operation and cities used are West</w:t>
      </w:r>
      <w:r w:rsidR="00A013CE">
        <w:rPr>
          <w:color w:val="201F1E"/>
          <w:bdr w:val="none" w:sz="0" w:space="0" w:color="auto" w:frame="1"/>
        </w:rPr>
        <w:t xml:space="preserve"> (Sacramento</w:t>
      </w:r>
      <w:r w:rsidR="002542FD">
        <w:rPr>
          <w:color w:val="201F1E"/>
          <w:bdr w:val="none" w:sz="0" w:space="0" w:color="auto" w:frame="1"/>
        </w:rPr>
        <w:t xml:space="preserve"> - $38.44)</w:t>
      </w:r>
      <w:r w:rsidR="00872F4A">
        <w:rPr>
          <w:color w:val="201F1E"/>
          <w:bdr w:val="none" w:sz="0" w:space="0" w:color="auto" w:frame="1"/>
        </w:rPr>
        <w:t>, Mountain</w:t>
      </w:r>
      <w:r w:rsidR="00FB1AEA">
        <w:rPr>
          <w:color w:val="201F1E"/>
          <w:bdr w:val="none" w:sz="0" w:space="0" w:color="auto" w:frame="1"/>
        </w:rPr>
        <w:t xml:space="preserve"> (Denver - $38.65)</w:t>
      </w:r>
      <w:r w:rsidR="00872F4A">
        <w:rPr>
          <w:color w:val="201F1E"/>
          <w:bdr w:val="none" w:sz="0" w:space="0" w:color="auto" w:frame="1"/>
        </w:rPr>
        <w:t>, North Central</w:t>
      </w:r>
      <w:r w:rsidR="00BC168A">
        <w:rPr>
          <w:color w:val="201F1E"/>
          <w:bdr w:val="none" w:sz="0" w:space="0" w:color="auto" w:frame="1"/>
        </w:rPr>
        <w:t xml:space="preserve"> (Des Moines, IA - $</w:t>
      </w:r>
      <w:r w:rsidR="00D10E0F">
        <w:rPr>
          <w:color w:val="201F1E"/>
          <w:bdr w:val="none" w:sz="0" w:space="0" w:color="auto" w:frame="1"/>
        </w:rPr>
        <w:t>35.02)</w:t>
      </w:r>
      <w:r w:rsidR="00872F4A">
        <w:rPr>
          <w:color w:val="201F1E"/>
          <w:bdr w:val="none" w:sz="0" w:space="0" w:color="auto" w:frame="1"/>
        </w:rPr>
        <w:t>, South Central</w:t>
      </w:r>
      <w:r w:rsidR="004E3A7B">
        <w:rPr>
          <w:color w:val="201F1E"/>
          <w:bdr w:val="none" w:sz="0" w:space="0" w:color="auto" w:frame="1"/>
        </w:rPr>
        <w:t xml:space="preserve"> (Houston - $40.09)</w:t>
      </w:r>
      <w:r w:rsidR="00872F4A">
        <w:rPr>
          <w:color w:val="201F1E"/>
          <w:bdr w:val="none" w:sz="0" w:space="0" w:color="auto" w:frame="1"/>
        </w:rPr>
        <w:t>, Midwest</w:t>
      </w:r>
      <w:r w:rsidR="00AA58BA">
        <w:rPr>
          <w:color w:val="201F1E"/>
          <w:bdr w:val="none" w:sz="0" w:space="0" w:color="auto" w:frame="1"/>
        </w:rPr>
        <w:t xml:space="preserve"> (Chicago - $38.81)</w:t>
      </w:r>
      <w:r w:rsidR="00872F4A">
        <w:rPr>
          <w:color w:val="201F1E"/>
          <w:bdr w:val="none" w:sz="0" w:space="0" w:color="auto" w:frame="1"/>
        </w:rPr>
        <w:t xml:space="preserve">, </w:t>
      </w:r>
      <w:r w:rsidR="00FA70CB">
        <w:rPr>
          <w:color w:val="201F1E"/>
          <w:bdr w:val="none" w:sz="0" w:space="0" w:color="auto" w:frame="1"/>
        </w:rPr>
        <w:t>Southeast</w:t>
      </w:r>
      <w:r w:rsidR="00D84769">
        <w:rPr>
          <w:color w:val="201F1E"/>
          <w:bdr w:val="none" w:sz="0" w:space="0" w:color="auto" w:frame="1"/>
        </w:rPr>
        <w:t xml:space="preserve"> (Atlanta - $36.74)</w:t>
      </w:r>
      <w:r w:rsidR="00872F4A">
        <w:rPr>
          <w:color w:val="201F1E"/>
          <w:bdr w:val="none" w:sz="0" w:space="0" w:color="auto" w:frame="1"/>
        </w:rPr>
        <w:t>, Mid-A</w:t>
      </w:r>
      <w:r w:rsidR="00FA70CB">
        <w:rPr>
          <w:color w:val="201F1E"/>
          <w:bdr w:val="none" w:sz="0" w:space="0" w:color="auto" w:frame="1"/>
        </w:rPr>
        <w:t>tlantic</w:t>
      </w:r>
      <w:r w:rsidR="009F0B82">
        <w:rPr>
          <w:color w:val="201F1E"/>
          <w:bdr w:val="none" w:sz="0" w:space="0" w:color="auto" w:frame="1"/>
        </w:rPr>
        <w:t xml:space="preserve"> (Washington, DC - $39.66)</w:t>
      </w:r>
      <w:r w:rsidR="00FA70CB">
        <w:rPr>
          <w:color w:val="201F1E"/>
          <w:bdr w:val="none" w:sz="0" w:space="0" w:color="auto" w:frame="1"/>
        </w:rPr>
        <w:t xml:space="preserve">, and Northeast </w:t>
      </w:r>
      <w:r w:rsidR="00B05B2B">
        <w:rPr>
          <w:color w:val="201F1E"/>
          <w:bdr w:val="none" w:sz="0" w:space="0" w:color="auto" w:frame="1"/>
        </w:rPr>
        <w:t>(Boston - $39.27).</w:t>
      </w:r>
      <w:r w:rsidR="008F38D5">
        <w:rPr>
          <w:color w:val="201F1E"/>
          <w:bdr w:val="none" w:sz="0" w:space="0" w:color="auto" w:frame="1"/>
        </w:rPr>
        <w:t xml:space="preserve"> The average is $38.34 ($306.68/8). </w:t>
      </w:r>
    </w:p>
    <w:p w:rsidR="005561E5" w:rsidRPr="00366678" w:rsidP="005561E5" w14:paraId="20B5D219" w14:textId="77777777">
      <w:pPr>
        <w:pStyle w:val="Heading2"/>
        <w:numPr>
          <w:ilvl w:val="0"/>
          <w:numId w:val="15"/>
        </w:numPr>
      </w:pPr>
      <w:r w:rsidRPr="0EEECE9C">
        <w:t xml:space="preserve">Reasons for changes.   </w:t>
      </w:r>
    </w:p>
    <w:p w:rsidR="005561E5" w:rsidRPr="00366678" w:rsidP="00800D6E" w14:paraId="7A49C6F8" w14:textId="77777777">
      <w:pPr>
        <w:widowControl w:val="0"/>
        <w:rPr>
          <w:rFonts w:ascii="Times New Roman" w:hAnsi="Times New Roman"/>
        </w:rPr>
      </w:pPr>
      <w:r w:rsidRPr="0EEECE9C">
        <w:rPr>
          <w:rFonts w:ascii="Times New Roman" w:hAnsi="Times New Roman"/>
        </w:rPr>
        <w:t xml:space="preserve">This new collection is due to a </w:t>
      </w:r>
      <w:r>
        <w:rPr>
          <w:rFonts w:ascii="Times New Roman" w:hAnsi="Times New Roman"/>
        </w:rPr>
        <w:t xml:space="preserve">“Program Change Due to Agency Discretion” because it is necessary to implement </w:t>
      </w:r>
      <w:r w:rsidRPr="0EEECE9C">
        <w:rPr>
          <w:rFonts w:ascii="Times New Roman" w:hAnsi="Times New Roman"/>
        </w:rPr>
        <w:t xml:space="preserve">Executive Order 13996, Establishing the COVID-19 Pandemic Testing Board and Ensuring a Sustainable Public Health Workforce. </w:t>
      </w:r>
    </w:p>
    <w:p w:rsidR="005561E5" w:rsidRPr="004326FF" w:rsidP="004326FF" w14:paraId="7B6319A4" w14:textId="77777777">
      <w:pPr>
        <w:pStyle w:val="Heading2"/>
        <w:numPr>
          <w:ilvl w:val="0"/>
          <w:numId w:val="15"/>
        </w:numPr>
      </w:pPr>
      <w:r w:rsidRPr="0EEECE9C">
        <w:t xml:space="preserve">Publicizing Results. </w:t>
      </w:r>
    </w:p>
    <w:p w:rsidR="005561E5" w:rsidRPr="00727621" w:rsidP="005561E5" w14:paraId="23DBAB08" w14:textId="77777777">
      <w:pPr>
        <w:pStyle w:val="Heading3"/>
        <w:numPr>
          <w:ilvl w:val="0"/>
          <w:numId w:val="16"/>
        </w:numPr>
      </w:pPr>
      <w:r w:rsidRPr="00727621">
        <w:t>Time Schedule</w:t>
      </w:r>
    </w:p>
    <w:p w:rsidR="005561E5" w:rsidP="005561E5" w14:paraId="3D3D0E86" w14:textId="77777777">
      <w:pPr>
        <w:rPr>
          <w:rFonts w:ascii="Times New Roman" w:hAnsi="Times New Roman"/>
        </w:rPr>
      </w:pPr>
      <w:r w:rsidRPr="0EEECE9C">
        <w:rPr>
          <w:rFonts w:ascii="Times New Roman" w:hAnsi="Times New Roman"/>
        </w:rPr>
        <w:t xml:space="preserve">The proposed information collection with members, grantees, and partners will be administered at three time points during the contractor’s period of performance. Figure 1 shows the </w:t>
      </w:r>
      <w:r>
        <w:rPr>
          <w:rFonts w:ascii="Times New Roman" w:hAnsi="Times New Roman"/>
        </w:rPr>
        <w:t xml:space="preserve">time schedule </w:t>
      </w:r>
      <w:r w:rsidRPr="0EEECE9C">
        <w:rPr>
          <w:rFonts w:ascii="Times New Roman" w:hAnsi="Times New Roman"/>
        </w:rPr>
        <w:t xml:space="preserve">for the process evaluation is June 1, 2024 – March 30, 2025. </w:t>
      </w:r>
      <w:r>
        <w:rPr>
          <w:rFonts w:ascii="Times New Roman" w:hAnsi="Times New Roman"/>
        </w:rPr>
        <w:t xml:space="preserve">The information collection with grantees includes a survey to all active grantees, focus group with a sample of grantees, and interviews with a sample of the grantees’ partners. The timeline for the data collection occurs from June 2024 through October 2024, following by analysis of the data then dissemination. </w:t>
      </w:r>
      <w:r w:rsidRPr="0EEECE9C">
        <w:rPr>
          <w:rFonts w:ascii="Times New Roman" w:hAnsi="Times New Roman"/>
        </w:rPr>
        <w:t xml:space="preserve"> </w:t>
      </w:r>
    </w:p>
    <w:p w:rsidR="005561E5" w:rsidP="005561E5" w14:paraId="6A63027E" w14:textId="77777777">
      <w:pPr>
        <w:rPr>
          <w:rFonts w:ascii="Times New Roman" w:hAnsi="Times New Roman"/>
        </w:rPr>
      </w:pPr>
    </w:p>
    <w:p w:rsidR="005561E5" w:rsidP="005561E5" w14:paraId="7363977A" w14:textId="77777777">
      <w:pPr>
        <w:rPr>
          <w:rFonts w:ascii="Times New Roman" w:hAnsi="Times New Roman"/>
        </w:rPr>
      </w:pPr>
      <w:r>
        <w:rPr>
          <w:rFonts w:ascii="Times New Roman" w:hAnsi="Times New Roman"/>
        </w:rPr>
        <w:t>Figure 1. Process Evaluation Information Collection Timeline</w:t>
      </w:r>
    </w:p>
    <w:p w:rsidR="005561E5" w:rsidP="005561E5" w14:paraId="4EB71F40" w14:textId="77777777">
      <w:r>
        <w:rPr>
          <w:noProof/>
        </w:rPr>
        <w:drawing>
          <wp:inline distT="0" distB="0" distL="0" distR="0">
            <wp:extent cx="5852160" cy="1533525"/>
            <wp:effectExtent l="0" t="19050" r="34290" b="285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561E5" w:rsidP="005561E5" w14:paraId="6236C4DF" w14:textId="77777777">
      <w:pPr>
        <w:rPr>
          <w:rFonts w:ascii="Times New Roman" w:hAnsi="Times New Roman"/>
        </w:rPr>
      </w:pPr>
    </w:p>
    <w:p w:rsidR="005561E5" w:rsidP="005561E5" w14:paraId="6A2B8B0E" w14:textId="77777777">
      <w:pPr>
        <w:rPr>
          <w:rFonts w:ascii="Times New Roman" w:hAnsi="Times New Roman"/>
        </w:rPr>
      </w:pPr>
      <w:r w:rsidRPr="0EEECE9C">
        <w:rPr>
          <w:rFonts w:ascii="Times New Roman" w:hAnsi="Times New Roman"/>
        </w:rPr>
        <w:t xml:space="preserve">Figure 2 shows the </w:t>
      </w:r>
      <w:r>
        <w:rPr>
          <w:rFonts w:ascii="Times New Roman" w:hAnsi="Times New Roman"/>
        </w:rPr>
        <w:t>time schedule</w:t>
      </w:r>
      <w:r w:rsidRPr="0EEECE9C">
        <w:rPr>
          <w:rFonts w:ascii="Times New Roman" w:hAnsi="Times New Roman"/>
        </w:rPr>
        <w:t xml:space="preserve"> for the </w:t>
      </w:r>
      <w:r>
        <w:rPr>
          <w:rFonts w:ascii="Times New Roman" w:hAnsi="Times New Roman"/>
        </w:rPr>
        <w:t>outcome</w:t>
      </w:r>
      <w:r w:rsidRPr="0EEECE9C">
        <w:rPr>
          <w:rFonts w:ascii="Times New Roman" w:hAnsi="Times New Roman"/>
        </w:rPr>
        <w:t xml:space="preserve"> evaluation is June 1, 2024 – March 30, 2026. The information collection proposes three rounds of data collection. The first two rounds are cross sectional consisting of recent alumni and early exit members. The third round is a follow-up with respondents who participated in the first two </w:t>
      </w:r>
      <w:r>
        <w:rPr>
          <w:rFonts w:ascii="Times New Roman" w:hAnsi="Times New Roman"/>
        </w:rPr>
        <w:t>rounds</w:t>
      </w:r>
      <w:r w:rsidRPr="0EEECE9C">
        <w:rPr>
          <w:rFonts w:ascii="Times New Roman" w:hAnsi="Times New Roman"/>
        </w:rPr>
        <w:t xml:space="preserve"> of the information collection. </w:t>
      </w:r>
    </w:p>
    <w:p w:rsidR="005561E5" w:rsidRPr="00920E30" w:rsidP="005561E5" w14:paraId="23829571" w14:textId="77777777">
      <w:pPr>
        <w:rPr>
          <w:rFonts w:ascii="Times New Roman" w:hAnsi="Times New Roman"/>
        </w:rPr>
      </w:pPr>
    </w:p>
    <w:p w:rsidR="005561E5" w:rsidRPr="00621B46" w:rsidP="005561E5" w14:paraId="63ABE578" w14:textId="77777777">
      <w:pPr>
        <w:spacing w:after="240"/>
        <w:rPr>
          <w:rFonts w:ascii="Times New Roman" w:hAnsi="Times New Roman"/>
          <w:color w:val="000000" w:themeColor="text1"/>
        </w:rPr>
      </w:pPr>
      <w:r w:rsidRPr="0EEECE9C">
        <w:rPr>
          <w:rFonts w:ascii="Times New Roman" w:hAnsi="Times New Roman"/>
          <w:color w:val="000000" w:themeColor="text1"/>
        </w:rPr>
        <w:t xml:space="preserve">Phase 1 </w:t>
      </w:r>
      <w:r>
        <w:rPr>
          <w:rFonts w:ascii="Times New Roman" w:hAnsi="Times New Roman"/>
          <w:color w:val="000000" w:themeColor="text1"/>
        </w:rPr>
        <w:t>information</w:t>
      </w:r>
      <w:r w:rsidRPr="0EEECE9C">
        <w:rPr>
          <w:rFonts w:ascii="Times New Roman" w:hAnsi="Times New Roman"/>
          <w:color w:val="000000" w:themeColor="text1"/>
        </w:rPr>
        <w:t xml:space="preserve"> collection with alumni and early exit members begin</w:t>
      </w:r>
      <w:r>
        <w:rPr>
          <w:rFonts w:ascii="Times New Roman" w:hAnsi="Times New Roman"/>
          <w:color w:val="000000" w:themeColor="text1"/>
        </w:rPr>
        <w:t>s</w:t>
      </w:r>
      <w:r w:rsidRPr="0EEECE9C">
        <w:rPr>
          <w:rFonts w:ascii="Times New Roman" w:hAnsi="Times New Roman"/>
          <w:color w:val="000000" w:themeColor="text1"/>
        </w:rPr>
        <w:t xml:space="preserve"> in June 2024 and end</w:t>
      </w:r>
      <w:r>
        <w:rPr>
          <w:rFonts w:ascii="Times New Roman" w:hAnsi="Times New Roman"/>
          <w:color w:val="000000" w:themeColor="text1"/>
        </w:rPr>
        <w:t>s</w:t>
      </w:r>
      <w:r w:rsidRPr="0EEECE9C">
        <w:rPr>
          <w:rFonts w:ascii="Times New Roman" w:hAnsi="Times New Roman"/>
          <w:color w:val="000000" w:themeColor="text1"/>
        </w:rPr>
        <w:t xml:space="preserve"> in October 2024. </w:t>
      </w:r>
      <w:r>
        <w:rPr>
          <w:rFonts w:ascii="Times New Roman" w:hAnsi="Times New Roman"/>
          <w:color w:val="000000" w:themeColor="text1"/>
        </w:rPr>
        <w:t xml:space="preserve">In Phase 1 includes members from the program inception through January 2024. During that period, some members completed their service term and are considered alumni, and some members who began service exited early and did not complete their service term, these members are considered early exit members. In Phase 1, </w:t>
      </w:r>
      <w:r w:rsidRPr="0EEECE9C">
        <w:rPr>
          <w:rFonts w:ascii="Times New Roman" w:hAnsi="Times New Roman"/>
          <w:color w:val="000000" w:themeColor="text1"/>
        </w:rPr>
        <w:t xml:space="preserve">early exit members </w:t>
      </w:r>
      <w:r>
        <w:rPr>
          <w:rFonts w:ascii="Times New Roman" w:hAnsi="Times New Roman"/>
          <w:color w:val="000000" w:themeColor="text1"/>
        </w:rPr>
        <w:t xml:space="preserve">consist of those </w:t>
      </w:r>
      <w:r w:rsidRPr="0EEECE9C">
        <w:rPr>
          <w:rFonts w:ascii="Times New Roman" w:hAnsi="Times New Roman"/>
          <w:color w:val="000000" w:themeColor="text1"/>
        </w:rPr>
        <w:t>who</w:t>
      </w:r>
      <w:r>
        <w:rPr>
          <w:rFonts w:ascii="Times New Roman" w:hAnsi="Times New Roman"/>
          <w:color w:val="000000" w:themeColor="text1"/>
        </w:rPr>
        <w:t xml:space="preserve"> did not complete their term of service from the program inception through January 2024, </w:t>
      </w:r>
      <w:r w:rsidRPr="0EEECE9C">
        <w:rPr>
          <w:rFonts w:ascii="Times New Roman" w:hAnsi="Times New Roman"/>
          <w:color w:val="000000" w:themeColor="text1"/>
        </w:rPr>
        <w:t>did not reapply to serve</w:t>
      </w:r>
      <w:r>
        <w:rPr>
          <w:rFonts w:ascii="Times New Roman" w:hAnsi="Times New Roman"/>
          <w:color w:val="000000" w:themeColor="text1"/>
        </w:rPr>
        <w:t xml:space="preserve"> and did not serve in another AmeriCorps program; </w:t>
      </w:r>
      <w:r w:rsidRPr="0EEECE9C">
        <w:rPr>
          <w:rFonts w:ascii="Times New Roman" w:hAnsi="Times New Roman"/>
          <w:color w:val="000000" w:themeColor="text1"/>
        </w:rPr>
        <w:t xml:space="preserve">alumni </w:t>
      </w:r>
      <w:r>
        <w:rPr>
          <w:rFonts w:ascii="Times New Roman" w:hAnsi="Times New Roman"/>
          <w:color w:val="000000" w:themeColor="text1"/>
        </w:rPr>
        <w:t xml:space="preserve">are </w:t>
      </w:r>
      <w:r>
        <w:rPr>
          <w:rFonts w:ascii="Times New Roman" w:hAnsi="Times New Roman"/>
          <w:color w:val="000000" w:themeColor="text1"/>
        </w:rPr>
        <w:t xml:space="preserve">members </w:t>
      </w:r>
      <w:r w:rsidRPr="0EEECE9C">
        <w:rPr>
          <w:rFonts w:ascii="Times New Roman" w:hAnsi="Times New Roman"/>
          <w:color w:val="000000" w:themeColor="text1"/>
        </w:rPr>
        <w:t xml:space="preserve">who completed their service terms </w:t>
      </w:r>
      <w:r>
        <w:rPr>
          <w:rFonts w:ascii="Times New Roman" w:hAnsi="Times New Roman"/>
          <w:color w:val="000000" w:themeColor="text1"/>
        </w:rPr>
        <w:t xml:space="preserve">from the program’s inception through January 2024. The information collection includes survey with alumni and early exit members, and interviews with a sample of early exit members. The timeline for the information collection occurs from June 2024 through October 2024, followed by analysis then dissemination. </w:t>
      </w:r>
    </w:p>
    <w:p w:rsidR="005561E5" w:rsidRPr="00621B46" w:rsidP="005561E5" w14:paraId="548F0921" w14:textId="77777777">
      <w:pPr>
        <w:spacing w:after="240"/>
        <w:rPr>
          <w:rFonts w:ascii="Times New Roman" w:hAnsi="Times New Roman"/>
          <w:color w:val="000000" w:themeColor="text1"/>
        </w:rPr>
      </w:pPr>
      <w:r w:rsidRPr="0EEECE9C">
        <w:rPr>
          <w:rFonts w:ascii="Times New Roman" w:hAnsi="Times New Roman"/>
          <w:color w:val="000000" w:themeColor="text1"/>
        </w:rPr>
        <w:t>Phase 2</w:t>
      </w:r>
      <w:r>
        <w:rPr>
          <w:rFonts w:ascii="Times New Roman" w:hAnsi="Times New Roman"/>
          <w:color w:val="000000" w:themeColor="text1"/>
        </w:rPr>
        <w:t xml:space="preserve"> information </w:t>
      </w:r>
      <w:r w:rsidRPr="0EEECE9C">
        <w:rPr>
          <w:rFonts w:ascii="Times New Roman" w:hAnsi="Times New Roman"/>
          <w:color w:val="000000" w:themeColor="text1"/>
        </w:rPr>
        <w:t>beginning in January 2025 and end</w:t>
      </w:r>
      <w:r>
        <w:rPr>
          <w:rFonts w:ascii="Times New Roman" w:hAnsi="Times New Roman"/>
          <w:color w:val="000000" w:themeColor="text1"/>
        </w:rPr>
        <w:t>s</w:t>
      </w:r>
      <w:r w:rsidRPr="0EEECE9C">
        <w:rPr>
          <w:rFonts w:ascii="Times New Roman" w:hAnsi="Times New Roman"/>
          <w:color w:val="000000" w:themeColor="text1"/>
        </w:rPr>
        <w:t xml:space="preserve"> in May 2025</w:t>
      </w:r>
      <w:r>
        <w:rPr>
          <w:rFonts w:ascii="Times New Roman" w:hAnsi="Times New Roman"/>
          <w:color w:val="000000" w:themeColor="text1"/>
        </w:rPr>
        <w:t>. In Phase 2 includes members from February 2024 through January 2025. In Phase 2</w:t>
      </w:r>
      <w:r w:rsidRPr="0EEECE9C">
        <w:rPr>
          <w:rFonts w:ascii="Times New Roman" w:hAnsi="Times New Roman"/>
          <w:color w:val="000000" w:themeColor="text1"/>
        </w:rPr>
        <w:t xml:space="preserve">, </w:t>
      </w:r>
      <w:r>
        <w:rPr>
          <w:rFonts w:ascii="Times New Roman" w:hAnsi="Times New Roman"/>
          <w:color w:val="000000" w:themeColor="text1"/>
        </w:rPr>
        <w:t xml:space="preserve">early exit members early exit members consist of those </w:t>
      </w:r>
      <w:r w:rsidRPr="0EEECE9C">
        <w:rPr>
          <w:rFonts w:ascii="Times New Roman" w:hAnsi="Times New Roman"/>
          <w:color w:val="000000" w:themeColor="text1"/>
        </w:rPr>
        <w:t>who</w:t>
      </w:r>
      <w:r>
        <w:rPr>
          <w:rFonts w:ascii="Times New Roman" w:hAnsi="Times New Roman"/>
          <w:color w:val="000000" w:themeColor="text1"/>
        </w:rPr>
        <w:t xml:space="preserve"> did not complete their term of service, </w:t>
      </w:r>
      <w:r w:rsidRPr="0EEECE9C">
        <w:rPr>
          <w:rFonts w:ascii="Times New Roman" w:hAnsi="Times New Roman"/>
          <w:color w:val="000000" w:themeColor="text1"/>
        </w:rPr>
        <w:t xml:space="preserve">did not reapply to </w:t>
      </w:r>
      <w:r w:rsidRPr="0EEECE9C">
        <w:rPr>
          <w:rFonts w:ascii="Times New Roman" w:hAnsi="Times New Roman"/>
          <w:color w:val="000000" w:themeColor="text1"/>
        </w:rPr>
        <w:t>serve</w:t>
      </w:r>
      <w:r>
        <w:rPr>
          <w:rFonts w:ascii="Times New Roman" w:hAnsi="Times New Roman"/>
          <w:color w:val="000000" w:themeColor="text1"/>
        </w:rPr>
        <w:t xml:space="preserve"> and did not serve in another AmeriCorps program; </w:t>
      </w:r>
      <w:r w:rsidRPr="0EEECE9C">
        <w:rPr>
          <w:rFonts w:ascii="Times New Roman" w:hAnsi="Times New Roman"/>
          <w:color w:val="000000" w:themeColor="text1"/>
        </w:rPr>
        <w:t xml:space="preserve">alumni </w:t>
      </w:r>
      <w:r>
        <w:rPr>
          <w:rFonts w:ascii="Times New Roman" w:hAnsi="Times New Roman"/>
          <w:color w:val="000000" w:themeColor="text1"/>
        </w:rPr>
        <w:t xml:space="preserve">are members </w:t>
      </w:r>
      <w:r w:rsidRPr="0EEECE9C">
        <w:rPr>
          <w:rFonts w:ascii="Times New Roman" w:hAnsi="Times New Roman"/>
          <w:color w:val="000000" w:themeColor="text1"/>
        </w:rPr>
        <w:t>who completed their service term</w:t>
      </w:r>
      <w:r>
        <w:rPr>
          <w:rFonts w:ascii="Times New Roman" w:hAnsi="Times New Roman"/>
          <w:color w:val="000000" w:themeColor="text1"/>
        </w:rPr>
        <w:t xml:space="preserve">. The information collection includes survey with alumni and early exit members, and interviews with a sample of early exit members. The timeline for the information collection occurs from January 2025 through May 2025, followed by analysis then dissemination. </w:t>
      </w:r>
    </w:p>
    <w:p w:rsidR="005561E5" w:rsidP="005561E5" w14:paraId="0E5E1D58" w14:textId="77777777">
      <w:pPr>
        <w:spacing w:after="240"/>
        <w:rPr>
          <w:rFonts w:ascii="Times New Roman" w:hAnsi="Times New Roman"/>
          <w:color w:val="000000" w:themeColor="text1"/>
        </w:rPr>
      </w:pPr>
      <w:r w:rsidRPr="0EEECE9C">
        <w:rPr>
          <w:rFonts w:ascii="Times New Roman" w:hAnsi="Times New Roman"/>
          <w:color w:val="000000" w:themeColor="text1"/>
        </w:rPr>
        <w:t xml:space="preserve">For the third and final Phase, </w:t>
      </w:r>
      <w:r>
        <w:rPr>
          <w:rFonts w:ascii="Times New Roman" w:hAnsi="Times New Roman"/>
          <w:color w:val="000000" w:themeColor="text1"/>
        </w:rPr>
        <w:t xml:space="preserve">the time schedule is </w:t>
      </w:r>
      <w:r w:rsidRPr="0EEECE9C">
        <w:rPr>
          <w:rFonts w:ascii="Times New Roman" w:hAnsi="Times New Roman"/>
          <w:color w:val="000000" w:themeColor="text1"/>
        </w:rPr>
        <w:t xml:space="preserve">November 2025 </w:t>
      </w:r>
      <w:r>
        <w:rPr>
          <w:rFonts w:ascii="Times New Roman" w:hAnsi="Times New Roman"/>
          <w:color w:val="000000" w:themeColor="text1"/>
        </w:rPr>
        <w:t>through</w:t>
      </w:r>
      <w:r w:rsidRPr="0EEECE9C">
        <w:rPr>
          <w:rFonts w:ascii="Times New Roman" w:hAnsi="Times New Roman"/>
          <w:color w:val="000000" w:themeColor="text1"/>
        </w:rPr>
        <w:t xml:space="preserve"> March 2026, JBS will administer a follow-up survey to alumni and early exit members who participated in Phases 1 and 2. JBS will clean and analyze the collected data between April 2026 and September 2026. JBS will report findings between October 2026 and May 2027. </w:t>
      </w:r>
    </w:p>
    <w:p w:rsidR="005561E5" w:rsidRPr="00A75DA4" w:rsidP="005561E5" w14:paraId="4B987117" w14:textId="77777777">
      <w:pPr>
        <w:rPr>
          <w:rFonts w:ascii="Times New Roman" w:hAnsi="Times New Roman"/>
        </w:rPr>
      </w:pPr>
      <w:r w:rsidRPr="00A75DA4">
        <w:rPr>
          <w:rFonts w:ascii="Times New Roman" w:hAnsi="Times New Roman"/>
        </w:rPr>
        <w:t>Figure 2. Outcome and Impact Evaluation Information Collection Timeline</w:t>
      </w:r>
    </w:p>
    <w:p w:rsidR="005561E5" w:rsidP="005561E5" w14:paraId="32375B12" w14:textId="77777777">
      <w:pPr>
        <w:rPr>
          <w:rFonts w:ascii="Times New Roman" w:hAnsi="Times New Roman"/>
        </w:rPr>
      </w:pPr>
      <w:r>
        <w:rPr>
          <w:noProof/>
        </w:rPr>
        <w:drawing>
          <wp:inline distT="0" distB="0" distL="0" distR="0">
            <wp:extent cx="4909213" cy="2703678"/>
            <wp:effectExtent l="0" t="19050" r="43815" b="4000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EEECE9C">
        <w:rPr>
          <w:rFonts w:ascii="Times New Roman" w:hAnsi="Times New Roman"/>
        </w:rPr>
        <w:t xml:space="preserve"> </w:t>
      </w:r>
    </w:p>
    <w:p w:rsidR="005561E5" w:rsidP="005561E5" w14:paraId="10AD819B" w14:textId="77777777">
      <w:pPr>
        <w:rPr>
          <w:rFonts w:ascii="Times New Roman" w:hAnsi="Times New Roman"/>
          <w:highlight w:val="yellow"/>
        </w:rPr>
      </w:pPr>
    </w:p>
    <w:p w:rsidR="005561E5" w:rsidRPr="00370885" w:rsidP="005561E5" w14:paraId="6B51D665" w14:textId="77777777">
      <w:pPr>
        <w:pStyle w:val="Heading3"/>
        <w:numPr>
          <w:ilvl w:val="0"/>
          <w:numId w:val="16"/>
        </w:numPr>
      </w:pPr>
      <w:r w:rsidRPr="0EEECE9C">
        <w:t>Publication Plan</w:t>
      </w:r>
    </w:p>
    <w:p w:rsidR="005561E5" w:rsidP="005561E5" w14:paraId="3D9ADEA5" w14:textId="77777777">
      <w:pPr>
        <w:spacing w:before="120" w:after="200"/>
        <w:rPr>
          <w:rFonts w:ascii="Times New Roman" w:hAnsi="Times New Roman"/>
        </w:rPr>
      </w:pPr>
      <w:r w:rsidRPr="0EEECE9C">
        <w:rPr>
          <w:rFonts w:ascii="Times New Roman" w:hAnsi="Times New Roman"/>
        </w:rPr>
        <w:t>In discussion and collaboration with AmeriCorps, JBS identified five primary target audiences for the Public Health AmeriCorps evaluation’s reports and communications products. Although these are the priority audiences, it is important to note that other stakeholders and audiences, such as the communities where Public Health AmeriCorps members serve, other community services and public health entities, Congress, and the White House are also of interest in this evaluation. JBS will continue the discussion and collaborate with the Contracting Officer Representative (COR) on how best to support disseminating critical information from the Public Health AmeriCorps evaluation to these additional audiences.</w:t>
      </w:r>
    </w:p>
    <w:p w:rsidR="005561E5" w:rsidP="005561E5" w14:paraId="795C46D1" w14:textId="77777777">
      <w:pPr>
        <w:spacing w:before="120" w:after="200"/>
        <w:rPr>
          <w:rFonts w:ascii="Times New Roman" w:hAnsi="Times New Roman"/>
        </w:rPr>
      </w:pPr>
      <w:r w:rsidRPr="0EEECE9C">
        <w:rPr>
          <w:rFonts w:ascii="Times New Roman" w:hAnsi="Times New Roman"/>
        </w:rPr>
        <w:t>To ensure the evaluation’s products reach the above-mentioned prioritized audiences, JBS identified the most effective means of delivery. The main means of dissemination will be:</w:t>
      </w:r>
    </w:p>
    <w:p w:rsidR="005561E5" w:rsidP="005561E5" w14:paraId="6415A8D3"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Email</w:t>
      </w:r>
    </w:p>
    <w:p w:rsidR="005561E5" w:rsidP="005561E5" w14:paraId="2DFA8BE2"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SharePoint</w:t>
      </w:r>
    </w:p>
    <w:p w:rsidR="005561E5" w:rsidP="005561E5" w14:paraId="7FD51FC9"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Newsletters</w:t>
      </w:r>
    </w:p>
    <w:p w:rsidR="005561E5" w:rsidP="005561E5" w14:paraId="2E315530"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Internal AmeriCorps Audience-Specific Recurring Meetings/Phone Calls</w:t>
      </w:r>
    </w:p>
    <w:p w:rsidR="005561E5" w:rsidP="005561E5" w14:paraId="359DCCF5"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Webinars/Presentations</w:t>
      </w:r>
    </w:p>
    <w:p w:rsidR="005561E5" w:rsidP="005561E5" w14:paraId="01CCA787"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Blogs</w:t>
      </w:r>
    </w:p>
    <w:p w:rsidR="005561E5" w:rsidP="005561E5" w14:paraId="23439553"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Social Media Messaging</w:t>
      </w:r>
    </w:p>
    <w:p w:rsidR="005561E5" w:rsidP="005561E5" w14:paraId="72C45C3B" w14:textId="77777777">
      <w:pPr>
        <w:pStyle w:val="ListParagraph"/>
        <w:numPr>
          <w:ilvl w:val="0"/>
          <w:numId w:val="14"/>
        </w:numPr>
        <w:overflowPunct/>
        <w:autoSpaceDE/>
        <w:autoSpaceDN/>
        <w:adjustRightInd/>
        <w:spacing w:before="120" w:after="200" w:line="276" w:lineRule="auto"/>
        <w:textAlignment w:val="auto"/>
        <w:rPr>
          <w:rFonts w:ascii="Times New Roman" w:hAnsi="Times New Roman"/>
        </w:rPr>
      </w:pPr>
      <w:r w:rsidRPr="0EEECE9C">
        <w:rPr>
          <w:rFonts w:ascii="Times New Roman" w:hAnsi="Times New Roman"/>
        </w:rPr>
        <w:t>Public Health AmeriCorps Grantee Exchange</w:t>
      </w:r>
    </w:p>
    <w:p w:rsidR="005561E5" w:rsidRPr="004326FF" w:rsidP="004326FF" w14:paraId="23F7FEEA" w14:textId="77777777">
      <w:pPr>
        <w:pStyle w:val="Heading2"/>
        <w:numPr>
          <w:ilvl w:val="0"/>
          <w:numId w:val="15"/>
        </w:numPr>
      </w:pPr>
      <w:r w:rsidRPr="00C20A1E">
        <w:t>OMB Not to Display Approval.</w:t>
      </w:r>
      <w:r w:rsidRPr="0EEECE9C">
        <w:t xml:space="preserve"> </w:t>
      </w:r>
    </w:p>
    <w:p w:rsidR="005561E5" w:rsidRPr="00370885" w:rsidP="005561E5" w14:paraId="7BFB2707" w14:textId="77777777">
      <w:pPr>
        <w:pStyle w:val="ListParagraph"/>
        <w:widowControl w:val="0"/>
        <w:tabs>
          <w:tab w:val="left" w:pos="360"/>
          <w:tab w:val="left" w:pos="720"/>
          <w:tab w:val="left" w:pos="1080"/>
        </w:tabs>
        <w:ind w:left="0"/>
        <w:rPr>
          <w:rFonts w:ascii="Times New Roman" w:hAnsi="Times New Roman"/>
        </w:rPr>
      </w:pPr>
      <w:r w:rsidRPr="0EEECE9C">
        <w:rPr>
          <w:rFonts w:ascii="Times New Roman" w:hAnsi="Times New Roman"/>
        </w:rPr>
        <w:t>The expiration date for OMB approval of the information collection will be displayed.</w:t>
      </w:r>
    </w:p>
    <w:p w:rsidR="005561E5" w:rsidRPr="00370885" w:rsidP="005561E5" w14:paraId="6D153771" w14:textId="77777777">
      <w:pPr>
        <w:pStyle w:val="ListParagraph"/>
        <w:widowControl w:val="0"/>
        <w:tabs>
          <w:tab w:val="left" w:pos="360"/>
          <w:tab w:val="left" w:pos="720"/>
          <w:tab w:val="left" w:pos="1080"/>
        </w:tabs>
        <w:ind w:left="0"/>
        <w:rPr>
          <w:rFonts w:ascii="Times New Roman" w:hAnsi="Times New Roman"/>
        </w:rPr>
      </w:pPr>
    </w:p>
    <w:p w:rsidR="005561E5" w:rsidRPr="00370885" w:rsidP="005561E5" w14:paraId="61FCECA6" w14:textId="77777777">
      <w:pPr>
        <w:pStyle w:val="Heading2"/>
        <w:numPr>
          <w:ilvl w:val="0"/>
          <w:numId w:val="15"/>
        </w:numPr>
      </w:pPr>
      <w:r w:rsidRPr="0EEECE9C">
        <w:t xml:space="preserve">Exceptions to "Certification for Paperwork Reduction Submissions." </w:t>
      </w:r>
    </w:p>
    <w:p w:rsidR="005561E5" w:rsidRPr="00E7756D" w:rsidP="005561E5" w14:paraId="3F0F8D39" w14:textId="77777777">
      <w:pPr>
        <w:pStyle w:val="ListParagraph"/>
        <w:widowControl w:val="0"/>
        <w:tabs>
          <w:tab w:val="left" w:pos="360"/>
          <w:tab w:val="left" w:pos="720"/>
          <w:tab w:val="left" w:pos="1080"/>
        </w:tabs>
        <w:ind w:left="0"/>
        <w:rPr>
          <w:rFonts w:ascii="Times New Roman" w:hAnsi="Times New Roman"/>
        </w:rPr>
      </w:pPr>
      <w:r w:rsidRPr="0EEECE9C">
        <w:rPr>
          <w:rFonts w:ascii="Times New Roman" w:hAnsi="Times New Roman"/>
        </w:rPr>
        <w:t>This collection of information involves no exceptions to the Certification for Paperwork Reduction Act Submissions.</w:t>
      </w:r>
    </w:p>
    <w:p w:rsidR="005561E5" w:rsidP="005561E5" w14:paraId="52A99348" w14:textId="77777777">
      <w:pPr>
        <w:widowControl w:val="0"/>
        <w:tabs>
          <w:tab w:val="left" w:pos="360"/>
          <w:tab w:val="left" w:pos="720"/>
          <w:tab w:val="left" w:pos="1080"/>
        </w:tabs>
        <w:rPr>
          <w:rFonts w:ascii="Times New Roman" w:hAnsi="Times New Roman"/>
        </w:rPr>
      </w:pPr>
    </w:p>
    <w:p w:rsidR="005561E5" w:rsidRPr="006505A3" w:rsidP="006505A3" w14:paraId="4E840740" w14:textId="77777777">
      <w:pPr>
        <w:pStyle w:val="Heading2"/>
        <w:numPr>
          <w:ilvl w:val="0"/>
          <w:numId w:val="15"/>
        </w:numPr>
      </w:pPr>
      <w:r w:rsidRPr="0EEECE9C">
        <w:t xml:space="preserve">Surveys, Censuses, and Other Collections that Employ Statistical Methods.  </w:t>
      </w:r>
    </w:p>
    <w:p w:rsidR="00280D3B" w:rsidP="005561E5" w14:paraId="3A16F0C7" w14:textId="77777777">
      <w:pPr>
        <w:pStyle w:val="ListParagraph"/>
        <w:widowControl w:val="0"/>
        <w:tabs>
          <w:tab w:val="left" w:pos="360"/>
          <w:tab w:val="left" w:pos="720"/>
          <w:tab w:val="left" w:pos="1080"/>
        </w:tabs>
        <w:ind w:left="0"/>
        <w:rPr>
          <w:rFonts w:ascii="Times New Roman" w:hAnsi="Times New Roman"/>
        </w:rPr>
      </w:pPr>
      <w:r w:rsidRPr="0EEECE9C">
        <w:rPr>
          <w:rFonts w:ascii="Times New Roman" w:hAnsi="Times New Roman"/>
        </w:rPr>
        <w:t xml:space="preserve">This request includes survey and will use statistical estimation technique; Part B supporting statement is </w:t>
      </w:r>
      <w:r w:rsidR="006505A3">
        <w:rPr>
          <w:rFonts w:ascii="Times New Roman" w:hAnsi="Times New Roman"/>
        </w:rPr>
        <w:t>provided</w:t>
      </w:r>
      <w:r w:rsidRPr="0EEECE9C">
        <w:rPr>
          <w:rFonts w:ascii="Times New Roman" w:hAnsi="Times New Roman"/>
        </w:rPr>
        <w:t>.</w:t>
      </w:r>
    </w:p>
    <w:p w:rsidR="00717B26" w:rsidP="005561E5" w14:paraId="03F464D0" w14:textId="77777777">
      <w:pPr>
        <w:pStyle w:val="ListParagraph"/>
        <w:widowControl w:val="0"/>
        <w:tabs>
          <w:tab w:val="left" w:pos="360"/>
          <w:tab w:val="left" w:pos="720"/>
          <w:tab w:val="left" w:pos="1080"/>
        </w:tabs>
        <w:ind w:left="0"/>
        <w:rPr>
          <w:rFonts w:ascii="Times New Roman" w:hAnsi="Times New Roman"/>
        </w:rPr>
      </w:pPr>
      <w:bookmarkStart w:id="25" w:name="_Toc156771798"/>
      <w:bookmarkStart w:id="26" w:name="_Toc156771987"/>
      <w:bookmarkStart w:id="27" w:name="_Toc156772197"/>
      <w:bookmarkStart w:id="28" w:name="_Toc156917286"/>
      <w:bookmarkStart w:id="29" w:name="_Toc156939150"/>
      <w:bookmarkStart w:id="30" w:name="_Toc156939358"/>
      <w:bookmarkStart w:id="31" w:name="_Toc156939528"/>
      <w:bookmarkStart w:id="32" w:name="_Toc156939586"/>
      <w:bookmarkStart w:id="33" w:name="_Toc156771800"/>
      <w:bookmarkStart w:id="34" w:name="_Toc156771989"/>
      <w:bookmarkStart w:id="35" w:name="_Toc156772199"/>
      <w:bookmarkStart w:id="36" w:name="_Toc156917288"/>
      <w:bookmarkStart w:id="37" w:name="_Toc156939152"/>
      <w:bookmarkStart w:id="38" w:name="_Toc156939360"/>
      <w:bookmarkStart w:id="39" w:name="_Toc156939530"/>
      <w:bookmarkStart w:id="40" w:name="_Toc156939588"/>
      <w:bookmarkStart w:id="41" w:name="_Hlk16246064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717B26" w14:paraId="51CC3BA7" w14:textId="77777777">
      <w:pPr>
        <w:overflowPunct/>
        <w:autoSpaceDE/>
        <w:autoSpaceDN/>
        <w:adjustRightInd/>
        <w:spacing w:after="160" w:line="259" w:lineRule="auto"/>
        <w:textAlignment w:val="auto"/>
        <w:rPr>
          <w:rFonts w:ascii="Times New Roman" w:hAnsi="Times New Roman"/>
          <w:b/>
          <w:bCs/>
        </w:rPr>
      </w:pPr>
      <w:r>
        <w:rPr>
          <w:rFonts w:ascii="Times New Roman" w:hAnsi="Times New Roman"/>
          <w:b/>
          <w:bCs/>
        </w:rPr>
        <w:br w:type="page"/>
      </w:r>
    </w:p>
    <w:bookmarkEnd w:id="41"/>
    <w:p w:rsidR="00717B26" w:rsidRPr="00717B26" w:rsidP="00717B26" w14:paraId="2319696F" w14:textId="77777777">
      <w:pPr>
        <w:pStyle w:val="ListParagraph"/>
        <w:widowControl w:val="0"/>
        <w:tabs>
          <w:tab w:val="left" w:pos="360"/>
          <w:tab w:val="left" w:pos="720"/>
          <w:tab w:val="left" w:pos="1080"/>
        </w:tabs>
        <w:ind w:left="0"/>
        <w:rPr>
          <w:rFonts w:ascii="Times New Roman" w:hAnsi="Times New Roman"/>
          <w:b/>
          <w:bCs/>
        </w:rPr>
      </w:pPr>
      <w:r>
        <w:rPr>
          <w:rFonts w:ascii="Times New Roman" w:hAnsi="Times New Roman"/>
          <w:b/>
          <w:bCs/>
        </w:rPr>
        <w:t>Appendix A</w:t>
      </w:r>
      <w:r w:rsidRPr="00717B26">
        <w:rPr>
          <w:rFonts w:ascii="Times New Roman" w:hAnsi="Times New Roman"/>
          <w:b/>
          <w:bCs/>
        </w:rPr>
        <w:t xml:space="preserve"> </w:t>
      </w:r>
      <w:r w:rsidRPr="00717B26">
        <w:rPr>
          <w:b/>
          <w:bCs/>
        </w:rPr>
        <w:t>Public Health AmeriCorps Two-Pager</w:t>
      </w:r>
    </w:p>
    <w:p w:rsidR="00717B26" w:rsidP="00717B26" w14:paraId="20EE9327" w14:textId="77777777">
      <w:pPr>
        <w:rPr>
          <w:b/>
          <w:bCs/>
        </w:rPr>
      </w:pPr>
    </w:p>
    <w:p w:rsidR="00717B26" w:rsidRPr="00935DBB" w:rsidP="00717B26" w14:paraId="7B90121C" w14:textId="77777777">
      <w:pPr>
        <w:jc w:val="center"/>
        <w:rPr>
          <w:sz w:val="28"/>
          <w:szCs w:val="28"/>
        </w:rPr>
      </w:pPr>
      <w:r w:rsidRPr="00935DBB">
        <w:rPr>
          <w:sz w:val="28"/>
          <w:szCs w:val="28"/>
        </w:rPr>
        <w:t>OMB Control Number: XXX (Expires XX/XX/XX)</w:t>
      </w:r>
    </w:p>
    <w:p w:rsidR="00717B26" w:rsidP="00717B26" w14:paraId="6113BF4B" w14:textId="77777777">
      <w:pPr>
        <w:overflowPunct/>
        <w:autoSpaceDE/>
        <w:autoSpaceDN/>
        <w:adjustRightInd/>
        <w:jc w:val="center"/>
        <w:rPr>
          <w:rFonts w:ascii="Avenir Next LT Pro" w:hAnsi="Avenir Next LT Pro" w:cs="Segoe UI"/>
          <w:b/>
          <w:bCs/>
          <w:color w:val="252525"/>
          <w:sz w:val="28"/>
          <w:szCs w:val="28"/>
        </w:rPr>
      </w:pPr>
    </w:p>
    <w:p w:rsidR="00717B26" w:rsidP="00717B26" w14:paraId="4D9E9BA7" w14:textId="77777777">
      <w:pPr>
        <w:overflowPunct/>
        <w:autoSpaceDE/>
        <w:autoSpaceDN/>
        <w:adjustRightInd/>
        <w:jc w:val="center"/>
        <w:rPr>
          <w:rFonts w:ascii="Avenir Next LT Pro" w:hAnsi="Avenir Next LT Pro" w:cs="Segoe UI"/>
          <w:color w:val="252525"/>
          <w:sz w:val="28"/>
          <w:szCs w:val="28"/>
        </w:rPr>
      </w:pPr>
      <w:bookmarkStart w:id="42" w:name="_Hlk156999033"/>
      <w:r w:rsidRPr="00F979F1">
        <w:rPr>
          <w:rFonts w:ascii="Avenir Next LT Pro" w:hAnsi="Avenir Next LT Pro" w:cs="Segoe UI"/>
          <w:b/>
          <w:bCs/>
          <w:color w:val="252525"/>
          <w:sz w:val="28"/>
          <w:szCs w:val="28"/>
        </w:rPr>
        <w:t xml:space="preserve">National Process, Outcomes, and Impact Evaluation of </w:t>
      </w:r>
      <w:r w:rsidRPr="00F979F1">
        <w:rPr>
          <w:rFonts w:ascii="Avenir Next LT Pro" w:hAnsi="Avenir Next LT Pro" w:cs="Segoe UI"/>
          <w:color w:val="252525"/>
          <w:sz w:val="28"/>
          <w:szCs w:val="28"/>
        </w:rPr>
        <w:t> </w:t>
      </w:r>
    </w:p>
    <w:p w:rsidR="00717B26" w:rsidRPr="00F979F1" w:rsidP="00717B26" w14:paraId="58C635BA" w14:textId="77777777">
      <w:pPr>
        <w:overflowPunct/>
        <w:autoSpaceDE/>
        <w:autoSpaceDN/>
        <w:adjustRightInd/>
        <w:jc w:val="center"/>
        <w:rPr>
          <w:rFonts w:ascii="Segoe UI" w:hAnsi="Segoe UI" w:cs="Segoe UI"/>
          <w:sz w:val="18"/>
          <w:szCs w:val="18"/>
        </w:rPr>
      </w:pPr>
      <w:r w:rsidRPr="00F979F1">
        <w:rPr>
          <w:rFonts w:ascii="Avenir Next LT Pro" w:hAnsi="Avenir Next LT Pro" w:cs="Segoe UI"/>
          <w:b/>
          <w:bCs/>
          <w:color w:val="252525"/>
          <w:sz w:val="28"/>
          <w:szCs w:val="28"/>
        </w:rPr>
        <w:t>Public Health</w:t>
      </w:r>
      <w:r>
        <w:rPr>
          <w:rFonts w:ascii="Avenir Next LT Pro" w:hAnsi="Avenir Next LT Pro" w:cs="Segoe UI"/>
          <w:b/>
          <w:bCs/>
          <w:color w:val="252525"/>
          <w:sz w:val="28"/>
          <w:szCs w:val="28"/>
        </w:rPr>
        <w:t xml:space="preserve"> </w:t>
      </w:r>
      <w:r w:rsidRPr="00F979F1">
        <w:rPr>
          <w:rFonts w:ascii="Avenir Next LT Pro" w:hAnsi="Avenir Next LT Pro" w:cs="Segoe UI"/>
          <w:b/>
          <w:bCs/>
          <w:color w:val="252525"/>
          <w:sz w:val="28"/>
          <w:szCs w:val="28"/>
        </w:rPr>
        <w:t>AmeriCorps </w:t>
      </w:r>
      <w:r w:rsidRPr="00F979F1">
        <w:rPr>
          <w:rFonts w:ascii="Avenir Next LT Pro" w:hAnsi="Avenir Next LT Pro" w:cs="Segoe UI"/>
          <w:b/>
          <w:bCs/>
          <w:sz w:val="28"/>
          <w:szCs w:val="28"/>
        </w:rPr>
        <w:t>Study Fact Sheet</w:t>
      </w:r>
      <w:r w:rsidRPr="00F979F1">
        <w:rPr>
          <w:rFonts w:ascii="Avenir Next LT Pro" w:hAnsi="Avenir Next LT Pro" w:cs="Segoe UI"/>
          <w:sz w:val="28"/>
          <w:szCs w:val="28"/>
        </w:rPr>
        <w:t> </w:t>
      </w:r>
      <w:bookmarkEnd w:id="42"/>
    </w:p>
    <w:p w:rsidR="00717B26" w:rsidRPr="00F979F1" w:rsidP="00717B26" w14:paraId="4707F52A" w14:textId="77777777">
      <w:pPr>
        <w:overflowPunct/>
        <w:autoSpaceDE/>
        <w:autoSpaceDN/>
        <w:adjustRightInd/>
        <w:rPr>
          <w:rFonts w:ascii="Segoe UI" w:hAnsi="Segoe UI" w:cs="Segoe UI"/>
          <w:sz w:val="18"/>
          <w:szCs w:val="18"/>
        </w:rPr>
      </w:pPr>
      <w:r w:rsidRPr="00F979F1">
        <w:rPr>
          <w:rFonts w:ascii="Avenir Next LT Pro" w:hAnsi="Avenir Next LT Pro" w:cs="Segoe UI"/>
          <w:b/>
          <w:bCs/>
          <w:sz w:val="20"/>
        </w:rPr>
        <w:t>Summary</w:t>
      </w:r>
      <w:r w:rsidRPr="00F979F1">
        <w:rPr>
          <w:rFonts w:ascii="Avenir Next LT Pro" w:hAnsi="Avenir Next LT Pro" w:cs="Segoe UI"/>
          <w:sz w:val="20"/>
        </w:rPr>
        <w:t> </w:t>
      </w:r>
    </w:p>
    <w:p w:rsidR="00717B26" w:rsidRPr="00F979F1" w:rsidP="00717B26" w14:paraId="175528DF"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 xml:space="preserve">Public Health AmeriCorps, a partnership between AmeriCorps and the Centers for Disease Control and Prevention, has invested since Spring 2022 in programs across the country to (1) engage AmeriCorps members in addressing local public health needs, (2) advance equitable health outcomes for underserved communities, and (3) create pathways to public health-related careers. To document implementation, facilitate “real-time” learning and improvement, and assess progress toward goals, outcomes, and impacts, AmeriCorps contracted with JBS International to conduct a five-year evaluation of </w:t>
      </w:r>
      <w:r w:rsidRPr="00F979F1">
        <w:rPr>
          <w:rFonts w:ascii="Calibri" w:hAnsi="Calibri" w:cs="Calibri"/>
          <w:sz w:val="22"/>
          <w:szCs w:val="22"/>
        </w:rPr>
        <w:t>Public Health AmeriCorps</w:t>
      </w:r>
      <w:r w:rsidRPr="00F979F1">
        <w:rPr>
          <w:rFonts w:ascii="Avenir Next LT Pro" w:hAnsi="Avenir Next LT Pro" w:cs="Segoe UI"/>
          <w:sz w:val="20"/>
        </w:rPr>
        <w:t>. </w:t>
      </w:r>
    </w:p>
    <w:p w:rsidR="00717B26" w:rsidRPr="00F979F1" w:rsidP="00717B26" w14:paraId="390DB9F8"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 </w:t>
      </w:r>
    </w:p>
    <w:p w:rsidR="00717B26" w:rsidRPr="00F979F1" w:rsidP="00717B26" w14:paraId="5EA43975" w14:textId="77777777">
      <w:pPr>
        <w:overflowPunct/>
        <w:autoSpaceDE/>
        <w:autoSpaceDN/>
        <w:adjustRightInd/>
        <w:rPr>
          <w:rFonts w:ascii="Segoe UI" w:hAnsi="Segoe UI" w:cs="Segoe UI"/>
          <w:sz w:val="18"/>
          <w:szCs w:val="18"/>
        </w:rPr>
      </w:pPr>
      <w:r w:rsidRPr="00F979F1">
        <w:rPr>
          <w:rFonts w:ascii="Avenir Next LT Pro" w:hAnsi="Avenir Next LT Pro" w:cs="Segoe UI"/>
          <w:b/>
          <w:bCs/>
          <w:sz w:val="20"/>
        </w:rPr>
        <w:t>Study Background</w:t>
      </w:r>
      <w:r w:rsidRPr="00F979F1">
        <w:rPr>
          <w:rFonts w:ascii="Avenir Next LT Pro" w:hAnsi="Avenir Next LT Pro" w:cs="Segoe UI"/>
          <w:sz w:val="20"/>
        </w:rPr>
        <w:t> </w:t>
      </w:r>
    </w:p>
    <w:p w:rsidR="00717B26" w:rsidRPr="00F979F1" w:rsidP="00717B26" w14:paraId="5D3D1997"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Public Health AmeriCorps is a partnership between AmeriCorps and the Centers for Disease Control and Prevention (CDC) that includes a $400 million investment, over five years, from the American Rescue Plan Act workforce funding that will enable the recruitment, training, and development of a new generation of public health leaders who are ready to respond to the needs of the nation by serving their communities. Public Health AmeriCorps has two main goals: </w:t>
      </w:r>
    </w:p>
    <w:p w:rsidR="00717B26" w:rsidRPr="00F979F1" w:rsidP="00717B26" w14:paraId="0C0B98C4" w14:textId="77777777">
      <w:pPr>
        <w:numPr>
          <w:ilvl w:val="0"/>
          <w:numId w:val="17"/>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Address public health needs of local communities by providing support in state and local public health settings and advancing equitable health outcomes for underserved communities. </w:t>
      </w:r>
    </w:p>
    <w:p w:rsidR="00717B26" w:rsidRPr="00F979F1" w:rsidP="00717B26" w14:paraId="33F041B0" w14:textId="77777777">
      <w:pPr>
        <w:numPr>
          <w:ilvl w:val="0"/>
          <w:numId w:val="18"/>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Create pathways to public health-related careers through onsite experience and training, and recruiting AmeriCorps members who reflect the communities they serve. </w:t>
      </w:r>
    </w:p>
    <w:p w:rsidR="00717B26" w:rsidRPr="00F979F1" w:rsidP="00717B26" w14:paraId="2314D667"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In Spring 2022, Public Health AmeriCorps began investing in programs across the country to support COVID-19 pandemic recovery and meet public health needs of local communities. Public Health AmeriCorps members provide needed capacity and support in local public health settings to advance more equitable health outcomes, emphasizing historically underserved communities.  </w:t>
      </w:r>
    </w:p>
    <w:p w:rsidR="00717B26" w:rsidRPr="00F979F1" w:rsidP="00717B26" w14:paraId="7172029C"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In August 2022, AmeriCorps contracted with JBS International, an independent research and evaluation firm, to conduct a multi-year national evaluation of this Initiative. The purpose is (1) to document implementation, facilitate “real-time” learning and process improvement and (2) to assess the Initiative’s progress toward goals and capture program outcomes and impacts. The Office of Research and Evaluation at AmeriCorps, in consultation with the CDC, is managing the national evaluation.  </w:t>
      </w:r>
    </w:p>
    <w:p w:rsidR="00717B26" w:rsidRPr="00F979F1" w:rsidP="00717B26" w14:paraId="3DDB08AB" w14:textId="77777777">
      <w:pPr>
        <w:overflowPunct/>
        <w:autoSpaceDE/>
        <w:autoSpaceDN/>
        <w:adjustRightInd/>
        <w:jc w:val="both"/>
        <w:rPr>
          <w:rFonts w:ascii="Segoe UI" w:hAnsi="Segoe UI" w:cs="Segoe UI"/>
          <w:sz w:val="18"/>
          <w:szCs w:val="18"/>
        </w:rPr>
      </w:pPr>
      <w:r w:rsidRPr="00F979F1">
        <w:rPr>
          <w:rFonts w:ascii="Avenir Next LT Pro" w:hAnsi="Avenir Next LT Pro" w:cs="Segoe UI"/>
          <w:b/>
          <w:bCs/>
          <w:sz w:val="20"/>
        </w:rPr>
        <w:t>Study Goals</w:t>
      </w:r>
      <w:r w:rsidRPr="00F979F1">
        <w:rPr>
          <w:rFonts w:ascii="Avenir Next LT Pro" w:hAnsi="Avenir Next LT Pro" w:cs="Segoe UI"/>
          <w:sz w:val="20"/>
        </w:rPr>
        <w:t> </w:t>
      </w:r>
    </w:p>
    <w:p w:rsidR="00717B26" w:rsidRPr="00F979F1" w:rsidP="00717B26" w14:paraId="16E8547A"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The national Public Health AmeriCorps evaluation will help AmeriCorps and its stakeholders understand the extent to which Public Health AmeriCorps is progressing toward its goals to address public health needs and develop the next generation of public health leaders. The Public Health AmeriCorps evaluation has three primary objectives:  </w:t>
      </w:r>
    </w:p>
    <w:p w:rsidR="00717B26" w:rsidRPr="00F979F1" w:rsidP="00717B26" w14:paraId="69FD8351" w14:textId="77777777">
      <w:pPr>
        <w:numPr>
          <w:ilvl w:val="0"/>
          <w:numId w:val="19"/>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 xml:space="preserve">Assess how Public Health AmeriCorps strengthens capacity to address the public health needs, especially in communities that have been historically underserved, and how recruiting members from within the </w:t>
      </w:r>
      <w:r w:rsidRPr="00F979F1">
        <w:rPr>
          <w:rFonts w:ascii="Avenir Next LT Pro" w:hAnsi="Avenir Next LT Pro" w:cs="Segoe UI"/>
          <w:sz w:val="20"/>
        </w:rPr>
        <w:t>communities</w:t>
      </w:r>
      <w:r w:rsidRPr="00F979F1">
        <w:rPr>
          <w:rFonts w:ascii="Avenir Next LT Pro" w:hAnsi="Avenir Next LT Pro" w:cs="Segoe UI"/>
          <w:sz w:val="20"/>
        </w:rPr>
        <w:t xml:space="preserve"> grantees serve affects both communities and members;  </w:t>
      </w:r>
    </w:p>
    <w:p w:rsidR="00717B26" w:rsidRPr="00F979F1" w:rsidP="00717B26" w14:paraId="3DA3A0B4" w14:textId="77777777">
      <w:pPr>
        <w:numPr>
          <w:ilvl w:val="0"/>
          <w:numId w:val="20"/>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Identify successes, challenges, and lessons learned in implementing Public Health AmeriCorps;  </w:t>
      </w:r>
    </w:p>
    <w:p w:rsidR="00717B26" w:rsidRPr="00F979F1" w:rsidP="00717B26" w14:paraId="4958F0E8" w14:textId="77777777">
      <w:pPr>
        <w:numPr>
          <w:ilvl w:val="0"/>
          <w:numId w:val="21"/>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Examine members’ public-health-related career pathways, civic participation, commitment to national service, and sense of community. </w:t>
      </w:r>
    </w:p>
    <w:p w:rsidR="00717B26" w:rsidRPr="00F979F1" w:rsidP="00717B26" w14:paraId="741ED41D"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 </w:t>
      </w:r>
    </w:p>
    <w:p w:rsidR="00717B26" w:rsidRPr="00F979F1" w:rsidP="00717B26" w14:paraId="5DBC4296" w14:textId="77777777">
      <w:pPr>
        <w:overflowPunct/>
        <w:autoSpaceDE/>
        <w:autoSpaceDN/>
        <w:adjustRightInd/>
        <w:jc w:val="both"/>
        <w:rPr>
          <w:rFonts w:ascii="Segoe UI" w:hAnsi="Segoe UI" w:cs="Segoe UI"/>
          <w:sz w:val="18"/>
          <w:szCs w:val="18"/>
        </w:rPr>
      </w:pPr>
      <w:r w:rsidRPr="00F979F1">
        <w:rPr>
          <w:rFonts w:ascii="Avenir Next LT Pro" w:hAnsi="Avenir Next LT Pro" w:cs="Segoe UI"/>
          <w:b/>
          <w:bCs/>
          <w:sz w:val="20"/>
        </w:rPr>
        <w:t>Study Design</w:t>
      </w:r>
      <w:r w:rsidRPr="00F979F1">
        <w:rPr>
          <w:rFonts w:ascii="Avenir Next LT Pro" w:hAnsi="Avenir Next LT Pro" w:cs="Segoe UI"/>
          <w:sz w:val="20"/>
        </w:rPr>
        <w:t> </w:t>
      </w:r>
    </w:p>
    <w:p w:rsidR="00717B26" w:rsidRPr="00F979F1" w:rsidP="00717B26" w14:paraId="1A535D9F" w14:textId="77777777">
      <w:pPr>
        <w:overflowPunct/>
        <w:autoSpaceDE/>
        <w:autoSpaceDN/>
        <w:adjustRightInd/>
        <w:jc w:val="both"/>
        <w:rPr>
          <w:rFonts w:ascii="Segoe UI" w:hAnsi="Segoe UI" w:cs="Segoe UI"/>
          <w:sz w:val="18"/>
          <w:szCs w:val="18"/>
        </w:rPr>
      </w:pPr>
      <w:r w:rsidRPr="00F979F1">
        <w:rPr>
          <w:rFonts w:ascii="Avenir Next LT Pro" w:hAnsi="Avenir Next LT Pro" w:cs="Segoe UI"/>
          <w:sz w:val="20"/>
        </w:rPr>
        <w:t>The mixed methods evaluation will use quantitative and qualitative data to answer the following evaluation questions:  </w:t>
      </w:r>
    </w:p>
    <w:p w:rsidR="00717B26" w:rsidRPr="00F979F1" w:rsidP="00717B26" w14:paraId="0B3B4A2C" w14:textId="77777777">
      <w:pPr>
        <w:numPr>
          <w:ilvl w:val="0"/>
          <w:numId w:val="22"/>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What are the overall successes and challenges of implementing Public Health AmeriCorps? How do grantees measure their performance and program effectiveness? What are the outreach and retention strategies grantees use? </w:t>
      </w:r>
    </w:p>
    <w:p w:rsidR="00717B26" w:rsidRPr="00F979F1" w:rsidP="00717B26" w14:paraId="7C99304E" w14:textId="77777777">
      <w:pPr>
        <w:numPr>
          <w:ilvl w:val="0"/>
          <w:numId w:val="22"/>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What education, training, and workforce development supports do Public Health AmeriCorps members receive that allow them to serve communities and prepare them to achieve their public health career goals?   </w:t>
      </w:r>
    </w:p>
    <w:p w:rsidR="00717B26" w:rsidRPr="00F979F1" w:rsidP="00717B26" w14:paraId="1BDF14A1" w14:textId="77777777">
      <w:pPr>
        <w:numPr>
          <w:ilvl w:val="0"/>
          <w:numId w:val="22"/>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What is the nature of the relationship and partnership between grantees and their local and state health departments?   </w:t>
      </w:r>
    </w:p>
    <w:p w:rsidR="00717B26" w:rsidRPr="00F979F1" w:rsidP="00717B26" w14:paraId="5827145E" w14:textId="77777777">
      <w:pPr>
        <w:numPr>
          <w:ilvl w:val="0"/>
          <w:numId w:val="22"/>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Does participation in Public Health AmeriCorps affect civic and community engagement?   </w:t>
      </w:r>
    </w:p>
    <w:p w:rsidR="00717B26" w:rsidRPr="00F979F1" w:rsidP="00717B26" w14:paraId="6E45369C" w14:textId="77777777">
      <w:pPr>
        <w:numPr>
          <w:ilvl w:val="0"/>
          <w:numId w:val="22"/>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sz w:val="20"/>
        </w:rPr>
        <w:t>Does participation in Public Heath AmeriCorps lead to placement in public health-related careers? Does participation in Public Health AmeriCorps lead members to pursue or obtain credentials, certifications, or degrees in a public health occupation?  </w:t>
      </w:r>
    </w:p>
    <w:p w:rsidR="00717B26" w:rsidRPr="00F979F1" w:rsidP="00717B26" w14:paraId="704CDE0E"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JBS International will collect data from the following sources: surveys of grantee/subgrantees and member; grantee documents and literature reviews expert stakeholder discussions; and focus groups and interviews with AmeriCorps and CDC staff, grantees/subgrantees, members, and community members.  </w:t>
      </w:r>
    </w:p>
    <w:p w:rsidR="00717B26" w:rsidRPr="00F979F1" w:rsidP="00717B26" w14:paraId="4FEFA1C4" w14:textId="77777777">
      <w:pPr>
        <w:overflowPunct/>
        <w:autoSpaceDE/>
        <w:autoSpaceDN/>
        <w:adjustRightInd/>
        <w:jc w:val="both"/>
        <w:rPr>
          <w:rFonts w:ascii="Segoe UI" w:hAnsi="Segoe UI" w:cs="Segoe UI"/>
          <w:sz w:val="18"/>
          <w:szCs w:val="18"/>
        </w:rPr>
      </w:pPr>
      <w:r w:rsidRPr="00F979F1">
        <w:rPr>
          <w:rFonts w:ascii="Avenir Next LT Pro" w:hAnsi="Avenir Next LT Pro" w:cs="Segoe UI"/>
          <w:b/>
          <w:bCs/>
          <w:sz w:val="20"/>
        </w:rPr>
        <w:t>Key Evaluation Activities &amp; Timelines in 2023</w:t>
      </w:r>
      <w:r w:rsidRPr="00F979F1">
        <w:rPr>
          <w:rFonts w:ascii="Avenir Next LT Pro" w:hAnsi="Avenir Next LT Pro" w:cs="Segoe UI"/>
          <w:sz w:val="20"/>
        </w:rPr>
        <w:t> </w:t>
      </w:r>
    </w:p>
    <w:p w:rsidR="00717B26" w:rsidRPr="00F979F1" w:rsidP="00717B26" w14:paraId="371DBE96"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sz w:val="20"/>
        </w:rPr>
        <w:t>January – March 2023</w:t>
      </w:r>
      <w:r w:rsidRPr="00F979F1">
        <w:rPr>
          <w:rFonts w:ascii="Calibri" w:hAnsi="Calibri" w:cs="Calibri"/>
          <w:sz w:val="20"/>
        </w:rPr>
        <w:tab/>
      </w:r>
      <w:r w:rsidRPr="00F979F1">
        <w:rPr>
          <w:rFonts w:ascii="Avenir Next LT Pro" w:hAnsi="Avenir Next LT Pro" w:cs="Segoe UI"/>
          <w:sz w:val="20"/>
        </w:rPr>
        <w:t>Literature Review </w:t>
      </w:r>
    </w:p>
    <w:p w:rsidR="00717B26" w:rsidRPr="00F979F1" w:rsidP="00717B26" w14:paraId="0B2546EE"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sz w:val="20"/>
        </w:rPr>
        <w:t>January – June 2023</w:t>
      </w:r>
      <w:r w:rsidRPr="00F979F1">
        <w:rPr>
          <w:rFonts w:ascii="Calibri" w:hAnsi="Calibri" w:cs="Calibri"/>
          <w:sz w:val="20"/>
        </w:rPr>
        <w:tab/>
      </w:r>
      <w:r w:rsidRPr="00F979F1">
        <w:rPr>
          <w:rFonts w:ascii="Avenir Next LT Pro" w:hAnsi="Avenir Next LT Pro" w:cs="Segoe UI"/>
          <w:color w:val="000000"/>
          <w:sz w:val="20"/>
        </w:rPr>
        <w:t>Identify and secure existing secondary data sources </w:t>
      </w:r>
    </w:p>
    <w:p w:rsidR="00717B26" w:rsidRPr="00F979F1" w:rsidP="00717B26" w14:paraId="301EC20C"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sz w:val="20"/>
        </w:rPr>
        <w:t>February – June 2023</w:t>
      </w:r>
      <w:r w:rsidRPr="00F979F1">
        <w:rPr>
          <w:rFonts w:ascii="Calibri" w:hAnsi="Calibri" w:cs="Calibri"/>
          <w:sz w:val="20"/>
        </w:rPr>
        <w:tab/>
      </w:r>
      <w:r w:rsidRPr="00F979F1">
        <w:rPr>
          <w:rFonts w:ascii="Avenir Next LT Pro" w:hAnsi="Avenir Next LT Pro" w:cs="Segoe UI"/>
          <w:color w:val="000000"/>
          <w:sz w:val="20"/>
        </w:rPr>
        <w:t>AmeriCorps and subject expert advisory group meetings </w:t>
      </w:r>
    </w:p>
    <w:p w:rsidR="00717B26" w:rsidRPr="00F979F1" w:rsidP="00717B26" w14:paraId="270718EF"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sz w:val="20"/>
        </w:rPr>
        <w:t>February – April 2023</w:t>
      </w:r>
      <w:r w:rsidRPr="00F979F1">
        <w:rPr>
          <w:rFonts w:ascii="Calibri" w:hAnsi="Calibri" w:cs="Calibri"/>
          <w:sz w:val="20"/>
        </w:rPr>
        <w:tab/>
      </w:r>
      <w:r w:rsidRPr="00F979F1">
        <w:rPr>
          <w:rFonts w:ascii="Avenir Next LT Pro" w:hAnsi="Avenir Next LT Pro" w:cs="Segoe UI"/>
          <w:color w:val="000000"/>
          <w:sz w:val="20"/>
        </w:rPr>
        <w:t>Develop instruments </w:t>
      </w:r>
    </w:p>
    <w:p w:rsidR="00717B26" w:rsidRPr="00F979F1" w:rsidP="00717B26" w14:paraId="565442BE"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color w:val="000000"/>
          <w:sz w:val="20"/>
        </w:rPr>
        <w:t>April – May 2023</w:t>
      </w:r>
      <w:r w:rsidRPr="00F979F1">
        <w:rPr>
          <w:rFonts w:ascii="Calibri" w:hAnsi="Calibri" w:cs="Calibri"/>
          <w:color w:val="000000"/>
          <w:sz w:val="20"/>
        </w:rPr>
        <w:tab/>
      </w:r>
      <w:r w:rsidRPr="00F979F1">
        <w:rPr>
          <w:rFonts w:ascii="Avenir Next LT Pro" w:hAnsi="Avenir Next LT Pro" w:cs="Segoe UI"/>
          <w:color w:val="000000"/>
          <w:sz w:val="20"/>
        </w:rPr>
        <w:t>Pilot test instruments </w:t>
      </w:r>
    </w:p>
    <w:p w:rsidR="00717B26" w:rsidRPr="00F979F1" w:rsidP="00717B26" w14:paraId="79915C85"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color w:val="000000"/>
          <w:sz w:val="20"/>
        </w:rPr>
        <w:t>April – June 2023</w:t>
      </w:r>
      <w:r w:rsidRPr="00F979F1">
        <w:rPr>
          <w:rFonts w:ascii="Calibri" w:hAnsi="Calibri" w:cs="Calibri"/>
          <w:color w:val="000000"/>
          <w:sz w:val="20"/>
        </w:rPr>
        <w:tab/>
      </w:r>
      <w:r w:rsidRPr="00F979F1">
        <w:rPr>
          <w:rFonts w:ascii="Avenir Next LT Pro" w:hAnsi="Avenir Next LT Pro" w:cs="Segoe UI"/>
          <w:color w:val="000000"/>
          <w:sz w:val="20"/>
        </w:rPr>
        <w:t>Draft evaluation design </w:t>
      </w:r>
    </w:p>
    <w:p w:rsidR="00717B26" w:rsidRPr="00F979F1" w:rsidP="00717B26" w14:paraId="589750ED"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color w:val="000000"/>
          <w:sz w:val="20"/>
        </w:rPr>
        <w:t>May – August 2023</w:t>
      </w:r>
      <w:r w:rsidRPr="00F979F1">
        <w:rPr>
          <w:rFonts w:ascii="Calibri" w:hAnsi="Calibri" w:cs="Calibri"/>
          <w:color w:val="000000"/>
          <w:sz w:val="20"/>
        </w:rPr>
        <w:tab/>
      </w:r>
      <w:r w:rsidRPr="00F979F1">
        <w:rPr>
          <w:rFonts w:ascii="Avenir Next LT Pro" w:hAnsi="Avenir Next LT Pro" w:cs="Segoe UI"/>
          <w:color w:val="000000"/>
          <w:sz w:val="20"/>
        </w:rPr>
        <w:t xml:space="preserve">Submit OMB </w:t>
      </w:r>
      <w:r w:rsidRPr="00F979F1">
        <w:rPr>
          <w:rFonts w:ascii="Avenir Next LT Pro" w:hAnsi="Avenir Next LT Pro" w:cs="Segoe UI"/>
          <w:color w:val="202124"/>
          <w:sz w:val="20"/>
        </w:rPr>
        <w:t>Paperwork Reduction Act (PRA)</w:t>
      </w:r>
      <w:r w:rsidRPr="00F979F1">
        <w:rPr>
          <w:rFonts w:ascii="Avenir Next LT Pro" w:hAnsi="Avenir Next LT Pro" w:cs="Segoe UI"/>
          <w:sz w:val="20"/>
        </w:rPr>
        <w:t xml:space="preserve"> </w:t>
      </w:r>
      <w:r w:rsidRPr="00F979F1">
        <w:rPr>
          <w:rFonts w:ascii="Avenir Next LT Pro" w:hAnsi="Avenir Next LT Pro" w:cs="Segoe UI"/>
          <w:color w:val="000000"/>
          <w:sz w:val="20"/>
        </w:rPr>
        <w:t>packet </w:t>
      </w:r>
    </w:p>
    <w:p w:rsidR="00717B26" w:rsidRPr="00F979F1" w:rsidP="00717B26" w14:paraId="4008829E"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color w:val="000000"/>
          <w:sz w:val="20"/>
        </w:rPr>
        <w:t>June – August 2023</w:t>
      </w:r>
      <w:r w:rsidRPr="00F979F1">
        <w:rPr>
          <w:rFonts w:ascii="Calibri" w:hAnsi="Calibri" w:cs="Calibri"/>
          <w:color w:val="000000"/>
          <w:sz w:val="20"/>
        </w:rPr>
        <w:tab/>
      </w:r>
      <w:r w:rsidRPr="00F979F1">
        <w:rPr>
          <w:rFonts w:ascii="Avenir Next LT Pro" w:hAnsi="Avenir Next LT Pro" w:cs="Segoe UI"/>
          <w:color w:val="000000"/>
          <w:sz w:val="20"/>
        </w:rPr>
        <w:t>Focus groups and interviews with grantees </w:t>
      </w:r>
    </w:p>
    <w:p w:rsidR="00717B26" w:rsidRPr="00F979F1" w:rsidP="00717B26" w14:paraId="2187BE2B" w14:textId="77777777">
      <w:pPr>
        <w:overflowPunct/>
        <w:autoSpaceDE/>
        <w:autoSpaceDN/>
        <w:adjustRightInd/>
        <w:ind w:left="2880" w:hanging="2880"/>
        <w:rPr>
          <w:rFonts w:ascii="Segoe UI" w:hAnsi="Segoe UI" w:cs="Segoe UI"/>
          <w:sz w:val="18"/>
          <w:szCs w:val="18"/>
        </w:rPr>
      </w:pPr>
      <w:r w:rsidRPr="00F979F1">
        <w:rPr>
          <w:rFonts w:ascii="Avenir Next LT Pro" w:hAnsi="Avenir Next LT Pro" w:cs="Segoe UI"/>
          <w:color w:val="000000"/>
          <w:sz w:val="20"/>
        </w:rPr>
        <w:t>January – December 2024</w:t>
      </w:r>
      <w:r w:rsidRPr="00F979F1">
        <w:rPr>
          <w:rFonts w:ascii="Calibri" w:hAnsi="Calibri" w:cs="Calibri"/>
          <w:color w:val="000000"/>
          <w:sz w:val="20"/>
        </w:rPr>
        <w:tab/>
      </w:r>
      <w:r w:rsidRPr="00F979F1">
        <w:rPr>
          <w:rFonts w:ascii="Avenir Next LT Pro" w:hAnsi="Avenir Next LT Pro" w:cs="Segoe UI"/>
          <w:color w:val="000000"/>
          <w:sz w:val="20"/>
        </w:rPr>
        <w:t>OMB approval, implement data collection, and conduct analysis </w:t>
      </w:r>
    </w:p>
    <w:p w:rsidR="00717B26" w:rsidRPr="00F979F1" w:rsidP="00717B26" w14:paraId="6F973822"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Between June and August 2023, JBS staff, in collaboration with the Office of Research and Evaluation, will gather data to inform how best to implement the evaluation</w:t>
      </w:r>
      <w:r w:rsidRPr="00F979F1">
        <w:rPr>
          <w:rFonts w:ascii="Avenir Next LT Pro" w:hAnsi="Avenir Next LT Pro" w:cs="Segoe UI"/>
          <w:color w:val="252525"/>
          <w:sz w:val="20"/>
        </w:rPr>
        <w:t>  </w:t>
      </w:r>
    </w:p>
    <w:p w:rsidR="00717B26" w:rsidRPr="00F979F1" w:rsidP="00717B26" w14:paraId="17515941" w14:textId="77777777">
      <w:pPr>
        <w:numPr>
          <w:ilvl w:val="0"/>
          <w:numId w:val="23"/>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b/>
          <w:bCs/>
          <w:color w:val="252525"/>
          <w:sz w:val="20"/>
        </w:rPr>
        <w:t xml:space="preserve">Interviews and focus groups. </w:t>
      </w:r>
      <w:r w:rsidRPr="00F979F1">
        <w:rPr>
          <w:rFonts w:ascii="Avenir Next LT Pro" w:hAnsi="Avenir Next LT Pro" w:cs="Segoe UI"/>
          <w:color w:val="252525"/>
          <w:sz w:val="20"/>
        </w:rPr>
        <w:t xml:space="preserve">JBS staff will contact AmeriCorps, CDC, and grantee staff to participate in virtual interviews and focus groups to discuss successes, opportunities, </w:t>
      </w:r>
      <w:r w:rsidRPr="00F979F1">
        <w:rPr>
          <w:rFonts w:ascii="Avenir Next LT Pro" w:hAnsi="Avenir Next LT Pro" w:cs="Segoe UI"/>
          <w:color w:val="252525"/>
          <w:sz w:val="20"/>
        </w:rPr>
        <w:t>challenges</w:t>
      </w:r>
      <w:r w:rsidRPr="00F979F1">
        <w:rPr>
          <w:rFonts w:ascii="Avenir Next LT Pro" w:hAnsi="Avenir Next LT Pro" w:cs="Segoe UI"/>
          <w:color w:val="252525"/>
          <w:sz w:val="20"/>
        </w:rPr>
        <w:t xml:space="preserve"> and other experiences implementing Public Health AmeriCorps programs.  </w:t>
      </w:r>
    </w:p>
    <w:p w:rsidR="00717B26" w:rsidRPr="00F979F1" w:rsidP="00717B26" w14:paraId="26D9D17B" w14:textId="77777777">
      <w:pPr>
        <w:numPr>
          <w:ilvl w:val="0"/>
          <w:numId w:val="23"/>
        </w:numPr>
        <w:overflowPunct/>
        <w:autoSpaceDE/>
        <w:autoSpaceDN/>
        <w:adjustRightInd/>
        <w:ind w:left="1080" w:firstLine="0"/>
        <w:rPr>
          <w:rFonts w:ascii="Avenir Next LT Pro" w:hAnsi="Avenir Next LT Pro" w:cs="Segoe UI"/>
          <w:sz w:val="20"/>
        </w:rPr>
      </w:pPr>
      <w:r w:rsidRPr="00F979F1">
        <w:rPr>
          <w:rFonts w:ascii="Avenir Next LT Pro" w:hAnsi="Avenir Next LT Pro" w:cs="Segoe UI"/>
          <w:b/>
          <w:bCs/>
          <w:color w:val="252525"/>
          <w:sz w:val="20"/>
        </w:rPr>
        <w:t xml:space="preserve">Pilot surveys. </w:t>
      </w:r>
      <w:r w:rsidRPr="00F979F1">
        <w:rPr>
          <w:rFonts w:ascii="Avenir Next LT Pro" w:hAnsi="Avenir Next LT Pro" w:cs="Segoe UI"/>
          <w:color w:val="252525"/>
          <w:sz w:val="20"/>
        </w:rPr>
        <w:t>JBS staff will request a small number of grantee staff and members to participate in piloting online member survey, focus group, and interview protocols designed to assess the Initiative’s influence on members, grantees, and communities.</w:t>
      </w:r>
      <w:r w:rsidRPr="00F979F1">
        <w:rPr>
          <w:rFonts w:ascii="Avenir Next LT Pro" w:hAnsi="Avenir Next LT Pro" w:cs="Segoe UI"/>
          <w:sz w:val="20"/>
        </w:rPr>
        <w:t>  </w:t>
      </w:r>
    </w:p>
    <w:p w:rsidR="00717B26" w:rsidRPr="00F979F1" w:rsidP="00717B26" w14:paraId="0D461E60" w14:textId="77777777">
      <w:pPr>
        <w:overflowPunct/>
        <w:autoSpaceDE/>
        <w:autoSpaceDN/>
        <w:adjustRightInd/>
        <w:jc w:val="both"/>
        <w:rPr>
          <w:rFonts w:ascii="Segoe UI" w:hAnsi="Segoe UI" w:cs="Segoe UI"/>
          <w:sz w:val="18"/>
          <w:szCs w:val="18"/>
        </w:rPr>
      </w:pPr>
      <w:r w:rsidRPr="00F979F1">
        <w:rPr>
          <w:rFonts w:ascii="Avenir Next LT Pro" w:hAnsi="Avenir Next LT Pro" w:cs="Segoe UI"/>
          <w:b/>
          <w:bCs/>
          <w:sz w:val="20"/>
        </w:rPr>
        <w:t>Study Contacts</w:t>
      </w:r>
      <w:r w:rsidRPr="00F979F1">
        <w:rPr>
          <w:rFonts w:ascii="Avenir Next LT Pro" w:hAnsi="Avenir Next LT Pro" w:cs="Segoe UI"/>
          <w:sz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81"/>
        <w:gridCol w:w="3141"/>
        <w:gridCol w:w="3138"/>
      </w:tblGrid>
      <w:tr w14:paraId="39CAF614" w14:textId="77777777" w:rsidTr="00F4770E">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70"/>
        </w:trPr>
        <w:tc>
          <w:tcPr>
            <w:tcW w:w="3435" w:type="dxa"/>
            <w:tcBorders>
              <w:top w:val="nil"/>
              <w:left w:val="nil"/>
              <w:bottom w:val="nil"/>
              <w:right w:val="nil"/>
            </w:tcBorders>
            <w:shd w:val="clear" w:color="auto" w:fill="auto"/>
            <w:hideMark/>
          </w:tcPr>
          <w:p w:rsidR="00717B26" w:rsidRPr="00F979F1" w:rsidP="00F4770E" w14:paraId="5607EF50" w14:textId="77777777">
            <w:pPr>
              <w:overflowPunct/>
              <w:autoSpaceDE/>
              <w:autoSpaceDN/>
              <w:adjustRightInd/>
              <w:jc w:val="both"/>
              <w:rPr>
                <w:rFonts w:ascii="Times New Roman" w:hAnsi="Times New Roman"/>
                <w:szCs w:val="24"/>
              </w:rPr>
            </w:pPr>
            <w:r w:rsidRPr="00F979F1">
              <w:rPr>
                <w:rFonts w:ascii="Avenir Next LT Pro" w:hAnsi="Avenir Next LT Pro"/>
                <w:sz w:val="20"/>
              </w:rPr>
              <w:t>Belayeth Hussain, PhD </w:t>
            </w:r>
          </w:p>
        </w:tc>
        <w:tc>
          <w:tcPr>
            <w:tcW w:w="3495" w:type="dxa"/>
            <w:tcBorders>
              <w:top w:val="nil"/>
              <w:left w:val="nil"/>
              <w:bottom w:val="nil"/>
              <w:right w:val="nil"/>
            </w:tcBorders>
            <w:shd w:val="clear" w:color="auto" w:fill="auto"/>
            <w:hideMark/>
          </w:tcPr>
          <w:p w:rsidR="00717B26" w:rsidRPr="00F979F1" w:rsidP="00F4770E" w14:paraId="0974B0E0" w14:textId="77777777">
            <w:pPr>
              <w:overflowPunct/>
              <w:autoSpaceDE/>
              <w:autoSpaceDN/>
              <w:adjustRightInd/>
              <w:jc w:val="both"/>
              <w:rPr>
                <w:rFonts w:ascii="Times New Roman" w:hAnsi="Times New Roman"/>
                <w:szCs w:val="24"/>
              </w:rPr>
            </w:pPr>
            <w:r w:rsidRPr="00F979F1">
              <w:rPr>
                <w:rFonts w:ascii="Avenir Next LT Pro" w:hAnsi="Avenir Next LT Pro"/>
                <w:sz w:val="20"/>
              </w:rPr>
              <w:t>Annie Georges, PhD </w:t>
            </w:r>
          </w:p>
        </w:tc>
        <w:tc>
          <w:tcPr>
            <w:tcW w:w="2880" w:type="dxa"/>
            <w:tcBorders>
              <w:top w:val="nil"/>
              <w:left w:val="nil"/>
              <w:bottom w:val="nil"/>
              <w:right w:val="nil"/>
            </w:tcBorders>
            <w:shd w:val="clear" w:color="auto" w:fill="auto"/>
            <w:hideMark/>
          </w:tcPr>
          <w:p w:rsidR="00717B26" w:rsidRPr="00F979F1" w:rsidP="00F4770E" w14:paraId="5CB22890" w14:textId="77777777">
            <w:pPr>
              <w:overflowPunct/>
              <w:autoSpaceDE/>
              <w:autoSpaceDN/>
              <w:adjustRightInd/>
              <w:jc w:val="both"/>
              <w:rPr>
                <w:rFonts w:ascii="Times New Roman" w:hAnsi="Times New Roman"/>
                <w:szCs w:val="24"/>
              </w:rPr>
            </w:pPr>
            <w:r w:rsidRPr="0043249B">
              <w:rPr>
                <w:rFonts w:ascii="Avenir Next LT Pro" w:hAnsi="Avenir Next LT Pro"/>
                <w:sz w:val="20"/>
              </w:rPr>
              <w:t>Ashley Lederman</w:t>
            </w:r>
            <w:r>
              <w:rPr>
                <w:rFonts w:ascii="Avenir Next LT Pro" w:hAnsi="Avenir Next LT Pro"/>
                <w:sz w:val="20"/>
              </w:rPr>
              <w:t xml:space="preserve">, DC, </w:t>
            </w:r>
            <w:r w:rsidRPr="00F979F1">
              <w:rPr>
                <w:rFonts w:ascii="Avenir Next LT Pro" w:hAnsi="Avenir Next LT Pro"/>
                <w:sz w:val="20"/>
              </w:rPr>
              <w:t>MPH</w:t>
            </w:r>
          </w:p>
        </w:tc>
      </w:tr>
      <w:tr w14:paraId="71D01E2A" w14:textId="77777777" w:rsidTr="00F4770E">
        <w:tblPrEx>
          <w:tblW w:w="0" w:type="dxa"/>
          <w:tblCellMar>
            <w:left w:w="0" w:type="dxa"/>
            <w:right w:w="0" w:type="dxa"/>
          </w:tblCellMar>
          <w:tblLook w:val="04A0"/>
        </w:tblPrEx>
        <w:trPr>
          <w:trHeight w:val="285"/>
        </w:trPr>
        <w:tc>
          <w:tcPr>
            <w:tcW w:w="3435" w:type="dxa"/>
            <w:tcBorders>
              <w:top w:val="nil"/>
              <w:left w:val="nil"/>
              <w:bottom w:val="nil"/>
              <w:right w:val="nil"/>
            </w:tcBorders>
            <w:shd w:val="clear" w:color="auto" w:fill="auto"/>
            <w:hideMark/>
          </w:tcPr>
          <w:p w:rsidR="00717B26" w:rsidRPr="00F979F1" w:rsidP="00F4770E" w14:paraId="3A4F27F8" w14:textId="77777777">
            <w:pPr>
              <w:overflowPunct/>
              <w:autoSpaceDE/>
              <w:autoSpaceDN/>
              <w:adjustRightInd/>
              <w:jc w:val="both"/>
              <w:rPr>
                <w:rFonts w:ascii="Times New Roman" w:hAnsi="Times New Roman"/>
                <w:szCs w:val="24"/>
              </w:rPr>
            </w:pPr>
            <w:r w:rsidRPr="00F979F1">
              <w:rPr>
                <w:rFonts w:ascii="Avenir Next LT Pro" w:hAnsi="Avenir Next LT Pro"/>
                <w:sz w:val="20"/>
              </w:rPr>
              <w:t>Project Director </w:t>
            </w:r>
          </w:p>
        </w:tc>
        <w:tc>
          <w:tcPr>
            <w:tcW w:w="3495" w:type="dxa"/>
            <w:tcBorders>
              <w:top w:val="nil"/>
              <w:left w:val="nil"/>
              <w:bottom w:val="nil"/>
              <w:right w:val="nil"/>
            </w:tcBorders>
            <w:shd w:val="clear" w:color="auto" w:fill="auto"/>
            <w:hideMark/>
          </w:tcPr>
          <w:p w:rsidR="00717B26" w:rsidRPr="00F979F1" w:rsidP="00F4770E" w14:paraId="09BD329C" w14:textId="77777777">
            <w:pPr>
              <w:overflowPunct/>
              <w:autoSpaceDE/>
              <w:autoSpaceDN/>
              <w:adjustRightInd/>
              <w:jc w:val="both"/>
              <w:rPr>
                <w:rFonts w:ascii="Times New Roman" w:hAnsi="Times New Roman"/>
                <w:szCs w:val="24"/>
              </w:rPr>
            </w:pPr>
            <w:r w:rsidRPr="00F979F1">
              <w:rPr>
                <w:rFonts w:ascii="Avenir Next LT Pro" w:hAnsi="Avenir Next LT Pro"/>
                <w:sz w:val="20"/>
              </w:rPr>
              <w:t>Principal Investigator </w:t>
            </w:r>
          </w:p>
        </w:tc>
        <w:tc>
          <w:tcPr>
            <w:tcW w:w="2880" w:type="dxa"/>
            <w:tcBorders>
              <w:top w:val="nil"/>
              <w:left w:val="nil"/>
              <w:bottom w:val="nil"/>
              <w:right w:val="nil"/>
            </w:tcBorders>
            <w:shd w:val="clear" w:color="auto" w:fill="auto"/>
            <w:hideMark/>
          </w:tcPr>
          <w:p w:rsidR="00717B26" w:rsidRPr="00F979F1" w:rsidP="00F4770E" w14:paraId="3A4B3229" w14:textId="77777777">
            <w:pPr>
              <w:overflowPunct/>
              <w:autoSpaceDE/>
              <w:autoSpaceDN/>
              <w:adjustRightInd/>
              <w:jc w:val="both"/>
              <w:rPr>
                <w:rFonts w:ascii="Times New Roman" w:hAnsi="Times New Roman"/>
                <w:szCs w:val="24"/>
              </w:rPr>
            </w:pPr>
            <w:r w:rsidRPr="00F979F1">
              <w:rPr>
                <w:rFonts w:ascii="Avenir Next LT Pro" w:hAnsi="Avenir Next LT Pro"/>
                <w:sz w:val="20"/>
              </w:rPr>
              <w:t>Project Officer </w:t>
            </w:r>
          </w:p>
        </w:tc>
      </w:tr>
      <w:tr w14:paraId="28D8FF0C" w14:textId="77777777" w:rsidTr="00F4770E">
        <w:tblPrEx>
          <w:tblW w:w="0" w:type="dxa"/>
          <w:tblCellMar>
            <w:left w:w="0" w:type="dxa"/>
            <w:right w:w="0" w:type="dxa"/>
          </w:tblCellMar>
          <w:tblLook w:val="04A0"/>
        </w:tblPrEx>
        <w:trPr>
          <w:trHeight w:val="270"/>
        </w:trPr>
        <w:tc>
          <w:tcPr>
            <w:tcW w:w="3435" w:type="dxa"/>
            <w:tcBorders>
              <w:top w:val="nil"/>
              <w:left w:val="nil"/>
              <w:bottom w:val="nil"/>
              <w:right w:val="nil"/>
            </w:tcBorders>
            <w:shd w:val="clear" w:color="auto" w:fill="auto"/>
            <w:hideMark/>
          </w:tcPr>
          <w:p w:rsidR="00717B26" w:rsidRPr="00F979F1" w:rsidP="00F4770E" w14:paraId="58223834" w14:textId="77777777">
            <w:pPr>
              <w:overflowPunct/>
              <w:autoSpaceDE/>
              <w:autoSpaceDN/>
              <w:adjustRightInd/>
              <w:jc w:val="both"/>
              <w:rPr>
                <w:rFonts w:ascii="Times New Roman" w:hAnsi="Times New Roman"/>
                <w:szCs w:val="24"/>
              </w:rPr>
            </w:pPr>
            <w:r w:rsidRPr="00F979F1">
              <w:rPr>
                <w:rFonts w:ascii="Avenir Next LT Pro" w:hAnsi="Avenir Next LT Pro"/>
                <w:sz w:val="20"/>
              </w:rPr>
              <w:t>JBS International </w:t>
            </w:r>
          </w:p>
        </w:tc>
        <w:tc>
          <w:tcPr>
            <w:tcW w:w="3495" w:type="dxa"/>
            <w:tcBorders>
              <w:top w:val="nil"/>
              <w:left w:val="nil"/>
              <w:bottom w:val="nil"/>
              <w:right w:val="nil"/>
            </w:tcBorders>
            <w:shd w:val="clear" w:color="auto" w:fill="auto"/>
            <w:hideMark/>
          </w:tcPr>
          <w:p w:rsidR="00717B26" w:rsidRPr="00F979F1" w:rsidP="00F4770E" w14:paraId="33D301FA" w14:textId="77777777">
            <w:pPr>
              <w:overflowPunct/>
              <w:autoSpaceDE/>
              <w:autoSpaceDN/>
              <w:adjustRightInd/>
              <w:jc w:val="both"/>
              <w:rPr>
                <w:rFonts w:ascii="Times New Roman" w:hAnsi="Times New Roman"/>
                <w:szCs w:val="24"/>
              </w:rPr>
            </w:pPr>
            <w:r w:rsidRPr="00F979F1">
              <w:rPr>
                <w:rFonts w:ascii="Avenir Next LT Pro" w:hAnsi="Avenir Next LT Pro"/>
                <w:sz w:val="20"/>
              </w:rPr>
              <w:t>JBS International </w:t>
            </w:r>
          </w:p>
        </w:tc>
        <w:tc>
          <w:tcPr>
            <w:tcW w:w="2880" w:type="dxa"/>
            <w:tcBorders>
              <w:top w:val="nil"/>
              <w:left w:val="nil"/>
              <w:bottom w:val="nil"/>
              <w:right w:val="nil"/>
            </w:tcBorders>
            <w:shd w:val="clear" w:color="auto" w:fill="auto"/>
            <w:hideMark/>
          </w:tcPr>
          <w:p w:rsidR="00717B26" w:rsidRPr="00F979F1" w:rsidP="00F4770E" w14:paraId="40FF9A8E" w14:textId="77777777">
            <w:pPr>
              <w:overflowPunct/>
              <w:autoSpaceDE/>
              <w:autoSpaceDN/>
              <w:adjustRightInd/>
              <w:rPr>
                <w:rFonts w:ascii="Times New Roman" w:hAnsi="Times New Roman"/>
                <w:szCs w:val="24"/>
              </w:rPr>
            </w:pPr>
            <w:r w:rsidRPr="00F979F1">
              <w:rPr>
                <w:rFonts w:ascii="Avenir Next LT Pro" w:hAnsi="Avenir Next LT Pro"/>
                <w:sz w:val="20"/>
              </w:rPr>
              <w:t>AmeriCorps </w:t>
            </w:r>
          </w:p>
        </w:tc>
      </w:tr>
      <w:tr w14:paraId="1B95AD44" w14:textId="77777777" w:rsidTr="00F4770E">
        <w:tblPrEx>
          <w:tblW w:w="0" w:type="dxa"/>
          <w:tblCellMar>
            <w:left w:w="0" w:type="dxa"/>
            <w:right w:w="0" w:type="dxa"/>
          </w:tblCellMar>
          <w:tblLook w:val="04A0"/>
        </w:tblPrEx>
        <w:trPr>
          <w:trHeight w:val="270"/>
        </w:trPr>
        <w:tc>
          <w:tcPr>
            <w:tcW w:w="3435" w:type="dxa"/>
            <w:tcBorders>
              <w:top w:val="nil"/>
              <w:left w:val="nil"/>
              <w:bottom w:val="nil"/>
              <w:right w:val="nil"/>
            </w:tcBorders>
            <w:shd w:val="clear" w:color="auto" w:fill="auto"/>
            <w:hideMark/>
          </w:tcPr>
          <w:p w:rsidR="00717B26" w:rsidRPr="00F979F1" w:rsidP="00F4770E" w14:paraId="27BD3173" w14:textId="77777777">
            <w:pPr>
              <w:overflowPunct/>
              <w:autoSpaceDE/>
              <w:autoSpaceDN/>
              <w:adjustRightInd/>
              <w:jc w:val="both"/>
              <w:rPr>
                <w:rFonts w:ascii="Times New Roman" w:hAnsi="Times New Roman"/>
                <w:szCs w:val="24"/>
              </w:rPr>
            </w:pPr>
            <w:hyperlink r:id="rId23" w:tgtFrame="_blank" w:history="1">
              <w:r w:rsidRPr="00F979F1" w:rsidR="003F51E3">
                <w:rPr>
                  <w:rFonts w:ascii="Avenir Next LT Pro" w:hAnsi="Avenir Next LT Pro"/>
                  <w:color w:val="0563C1"/>
                  <w:sz w:val="20"/>
                  <w:u w:val="single"/>
                </w:rPr>
                <w:t>bhussain@jbsinternational.com</w:t>
              </w:r>
            </w:hyperlink>
            <w:r w:rsidRPr="00F979F1" w:rsidR="003F51E3">
              <w:rPr>
                <w:rFonts w:ascii="Avenir Next LT Pro" w:hAnsi="Avenir Next LT Pro"/>
                <w:color w:val="0563C1"/>
                <w:sz w:val="20"/>
              </w:rPr>
              <w:t> </w:t>
            </w:r>
          </w:p>
          <w:p w:rsidR="00717B26" w:rsidRPr="00F979F1" w:rsidP="00F4770E" w14:paraId="201EC433" w14:textId="77777777">
            <w:pPr>
              <w:overflowPunct/>
              <w:autoSpaceDE/>
              <w:autoSpaceDN/>
              <w:adjustRightInd/>
              <w:jc w:val="both"/>
              <w:rPr>
                <w:rFonts w:ascii="Times New Roman" w:hAnsi="Times New Roman"/>
                <w:szCs w:val="24"/>
              </w:rPr>
            </w:pPr>
            <w:r w:rsidRPr="00F979F1">
              <w:rPr>
                <w:rFonts w:ascii="Avenir Next LT Pro" w:hAnsi="Avenir Next LT Pro"/>
                <w:sz w:val="20"/>
              </w:rPr>
              <w:t>650-373-4977 </w:t>
            </w:r>
          </w:p>
        </w:tc>
        <w:tc>
          <w:tcPr>
            <w:tcW w:w="3495" w:type="dxa"/>
            <w:tcBorders>
              <w:top w:val="nil"/>
              <w:left w:val="nil"/>
              <w:bottom w:val="nil"/>
              <w:right w:val="nil"/>
            </w:tcBorders>
            <w:shd w:val="clear" w:color="auto" w:fill="auto"/>
            <w:hideMark/>
          </w:tcPr>
          <w:p w:rsidR="00717B26" w:rsidRPr="00F979F1" w:rsidP="00F4770E" w14:paraId="57598D93" w14:textId="77777777">
            <w:pPr>
              <w:overflowPunct/>
              <w:autoSpaceDE/>
              <w:autoSpaceDN/>
              <w:adjustRightInd/>
              <w:jc w:val="both"/>
              <w:rPr>
                <w:rFonts w:ascii="Times New Roman" w:hAnsi="Times New Roman"/>
                <w:szCs w:val="24"/>
              </w:rPr>
            </w:pPr>
            <w:hyperlink r:id="rId24" w:tgtFrame="_blank" w:history="1">
              <w:r w:rsidRPr="00F979F1" w:rsidR="003F51E3">
                <w:rPr>
                  <w:rFonts w:ascii="Avenir Next LT Pro" w:hAnsi="Avenir Next LT Pro"/>
                  <w:color w:val="0563C1"/>
                  <w:sz w:val="20"/>
                  <w:u w:val="single"/>
                </w:rPr>
                <w:t>ageorges@jbsinternational.com</w:t>
              </w:r>
            </w:hyperlink>
            <w:r w:rsidRPr="00F979F1" w:rsidR="003F51E3">
              <w:rPr>
                <w:rFonts w:ascii="Avenir Next LT Pro" w:hAnsi="Avenir Next LT Pro"/>
                <w:color w:val="0563C1"/>
                <w:sz w:val="20"/>
              </w:rPr>
              <w:t> </w:t>
            </w:r>
          </w:p>
          <w:p w:rsidR="00717B26" w:rsidRPr="00F979F1" w:rsidP="00F4770E" w14:paraId="21993152" w14:textId="77777777">
            <w:pPr>
              <w:overflowPunct/>
              <w:autoSpaceDE/>
              <w:autoSpaceDN/>
              <w:adjustRightInd/>
              <w:jc w:val="both"/>
              <w:rPr>
                <w:rFonts w:ascii="Times New Roman" w:hAnsi="Times New Roman"/>
                <w:szCs w:val="24"/>
              </w:rPr>
            </w:pPr>
            <w:r w:rsidRPr="00F979F1">
              <w:rPr>
                <w:rFonts w:ascii="Avenir Next LT Pro" w:hAnsi="Avenir Next LT Pro"/>
                <w:color w:val="0563C1"/>
                <w:sz w:val="20"/>
                <w:u w:val="single"/>
              </w:rPr>
              <w:t>650-373-4938</w:t>
            </w:r>
            <w:r w:rsidRPr="00F979F1">
              <w:rPr>
                <w:rFonts w:ascii="Avenir Next LT Pro" w:hAnsi="Avenir Next LT Pro"/>
                <w:color w:val="0563C1"/>
                <w:sz w:val="20"/>
              </w:rPr>
              <w:t> </w:t>
            </w:r>
          </w:p>
        </w:tc>
        <w:tc>
          <w:tcPr>
            <w:tcW w:w="2880" w:type="dxa"/>
            <w:tcBorders>
              <w:top w:val="nil"/>
              <w:left w:val="nil"/>
              <w:bottom w:val="nil"/>
              <w:right w:val="nil"/>
            </w:tcBorders>
            <w:shd w:val="clear" w:color="auto" w:fill="auto"/>
            <w:hideMark/>
          </w:tcPr>
          <w:p w:rsidR="00717B26" w:rsidRPr="00F979F1" w:rsidP="00F4770E" w14:paraId="0D05E65E" w14:textId="77777777">
            <w:pPr>
              <w:overflowPunct/>
              <w:autoSpaceDE/>
              <w:autoSpaceDN/>
              <w:adjustRightInd/>
              <w:jc w:val="both"/>
              <w:rPr>
                <w:rFonts w:ascii="Times New Roman" w:hAnsi="Times New Roman"/>
                <w:szCs w:val="24"/>
              </w:rPr>
            </w:pPr>
            <w:hyperlink r:id="rId25" w:history="1">
              <w:r w:rsidRPr="00AC3AF4" w:rsidR="003F51E3">
                <w:rPr>
                  <w:rStyle w:val="Hyperlink"/>
                  <w:rFonts w:ascii="Avenir Next LT Pro" w:hAnsi="Avenir Next LT Pro"/>
                </w:rPr>
                <w:t>alederman</w:t>
              </w:r>
              <w:r w:rsidRPr="00F979F1" w:rsidR="003F51E3">
                <w:rPr>
                  <w:rStyle w:val="Hyperlink"/>
                  <w:rFonts w:ascii="Avenir Next LT Pro" w:hAnsi="Avenir Next LT Pro"/>
                </w:rPr>
                <w:t>@</w:t>
              </w:r>
              <w:r w:rsidRPr="00AC3AF4" w:rsidR="003F51E3">
                <w:rPr>
                  <w:rStyle w:val="Hyperlink"/>
                  <w:rFonts w:ascii="Avenir Next LT Pro" w:hAnsi="Avenir Next LT Pro"/>
                </w:rPr>
                <w:t>americorps</w:t>
              </w:r>
              <w:r w:rsidRPr="00F979F1" w:rsidR="003F51E3">
                <w:rPr>
                  <w:rStyle w:val="Hyperlink"/>
                  <w:rFonts w:ascii="Avenir Next LT Pro" w:hAnsi="Avenir Next LT Pro"/>
                </w:rPr>
                <w:t>.gov</w:t>
              </w:r>
            </w:hyperlink>
            <w:r w:rsidRPr="00F979F1" w:rsidR="003F51E3">
              <w:rPr>
                <w:rFonts w:ascii="Avenir Next LT Pro" w:hAnsi="Avenir Next LT Pro"/>
                <w:color w:val="0563C1"/>
                <w:sz w:val="20"/>
              </w:rPr>
              <w:t> </w:t>
            </w:r>
          </w:p>
          <w:p w:rsidR="00717B26" w:rsidRPr="00F979F1" w:rsidP="00F4770E" w14:paraId="366353E1" w14:textId="77777777">
            <w:pPr>
              <w:overflowPunct/>
              <w:autoSpaceDE/>
              <w:autoSpaceDN/>
              <w:adjustRightInd/>
              <w:jc w:val="both"/>
              <w:rPr>
                <w:rFonts w:ascii="Times New Roman" w:hAnsi="Times New Roman"/>
                <w:szCs w:val="24"/>
              </w:rPr>
            </w:pPr>
            <w:r w:rsidRPr="00F979F1">
              <w:rPr>
                <w:rFonts w:ascii="Century Gothic" w:hAnsi="Century Gothic"/>
                <w:color w:val="767171"/>
                <w:sz w:val="20"/>
              </w:rPr>
              <w:t>202-5</w:t>
            </w:r>
            <w:r>
              <w:rPr>
                <w:rFonts w:ascii="Century Gothic" w:hAnsi="Century Gothic"/>
                <w:color w:val="767171"/>
                <w:sz w:val="20"/>
              </w:rPr>
              <w:t>94</w:t>
            </w:r>
            <w:r w:rsidRPr="00F979F1">
              <w:rPr>
                <w:rFonts w:ascii="Century Gothic" w:hAnsi="Century Gothic"/>
                <w:color w:val="767171"/>
                <w:sz w:val="20"/>
              </w:rPr>
              <w:t>-</w:t>
            </w:r>
            <w:r>
              <w:rPr>
                <w:rFonts w:ascii="Century Gothic" w:hAnsi="Century Gothic"/>
                <w:color w:val="767171"/>
                <w:sz w:val="20"/>
              </w:rPr>
              <w:t>0612</w:t>
            </w:r>
            <w:r w:rsidRPr="00F979F1">
              <w:rPr>
                <w:rFonts w:ascii="Century Gothic" w:hAnsi="Century Gothic"/>
                <w:color w:val="767171"/>
                <w:sz w:val="20"/>
              </w:rPr>
              <w:t> </w:t>
            </w:r>
          </w:p>
        </w:tc>
      </w:tr>
      <w:tr w14:paraId="784627DF" w14:textId="77777777" w:rsidTr="00F4770E">
        <w:tblPrEx>
          <w:tblW w:w="0" w:type="dxa"/>
          <w:tblCellMar>
            <w:left w:w="0" w:type="dxa"/>
            <w:right w:w="0" w:type="dxa"/>
          </w:tblCellMar>
          <w:tblLook w:val="04A0"/>
        </w:tblPrEx>
        <w:trPr>
          <w:trHeight w:val="75"/>
        </w:trPr>
        <w:tc>
          <w:tcPr>
            <w:tcW w:w="9840" w:type="dxa"/>
            <w:gridSpan w:val="3"/>
            <w:tcBorders>
              <w:top w:val="nil"/>
              <w:left w:val="nil"/>
              <w:bottom w:val="nil"/>
              <w:right w:val="nil"/>
            </w:tcBorders>
            <w:shd w:val="clear" w:color="auto" w:fill="auto"/>
            <w:hideMark/>
          </w:tcPr>
          <w:p w:rsidR="00717B26" w:rsidRPr="00F979F1" w:rsidP="00F4770E" w14:paraId="5824CAF7" w14:textId="77777777">
            <w:pPr>
              <w:overflowPunct/>
              <w:autoSpaceDE/>
              <w:autoSpaceDN/>
              <w:adjustRightInd/>
              <w:rPr>
                <w:rFonts w:ascii="Times New Roman" w:hAnsi="Times New Roman"/>
                <w:szCs w:val="24"/>
              </w:rPr>
            </w:pPr>
            <w:r w:rsidRPr="00F979F1">
              <w:rPr>
                <w:rFonts w:ascii="Avenir Next LT Pro" w:hAnsi="Avenir Next LT Pro"/>
                <w:sz w:val="20"/>
              </w:rPr>
              <w:t> </w:t>
            </w:r>
          </w:p>
          <w:p w:rsidR="00717B26" w:rsidRPr="00F979F1" w:rsidP="00F4770E" w14:paraId="168B4797" w14:textId="77777777">
            <w:pPr>
              <w:overflowPunct/>
              <w:autoSpaceDE/>
              <w:autoSpaceDN/>
              <w:adjustRightInd/>
              <w:rPr>
                <w:rFonts w:ascii="Times New Roman" w:hAnsi="Times New Roman"/>
                <w:szCs w:val="24"/>
              </w:rPr>
            </w:pPr>
            <w:r w:rsidRPr="00F979F1">
              <w:rPr>
                <w:rFonts w:ascii="Avenir Next LT Pro" w:hAnsi="Avenir Next LT Pro"/>
                <w:sz w:val="20"/>
              </w:rPr>
              <w:t xml:space="preserve">If you have questions, please contact us at </w:t>
            </w:r>
            <w:hyperlink r:id="rId26" w:tgtFrame="_blank" w:history="1">
              <w:r w:rsidRPr="00F979F1">
                <w:rPr>
                  <w:rFonts w:ascii="Avenir Next LT Pro" w:hAnsi="Avenir Next LT Pro"/>
                  <w:color w:val="0563C1"/>
                  <w:sz w:val="20"/>
                  <w:u w:val="single"/>
                </w:rPr>
                <w:t>PublicHealthAmeriCorpsEval@cns.gov</w:t>
              </w:r>
            </w:hyperlink>
            <w:r w:rsidRPr="00F979F1">
              <w:rPr>
                <w:rFonts w:ascii="Avenir Next LT Pro" w:hAnsi="Avenir Next LT Pro"/>
                <w:color w:val="0563C1"/>
                <w:sz w:val="20"/>
                <w:u w:val="single"/>
              </w:rPr>
              <w:t> </w:t>
            </w:r>
            <w:r w:rsidRPr="00F979F1">
              <w:rPr>
                <w:rFonts w:ascii="Avenir Next LT Pro" w:hAnsi="Avenir Next LT Pro"/>
                <w:color w:val="0563C1"/>
                <w:sz w:val="20"/>
              </w:rPr>
              <w:t> </w:t>
            </w:r>
          </w:p>
        </w:tc>
      </w:tr>
    </w:tbl>
    <w:p w:rsidR="00717B26" w:rsidRPr="00F979F1" w:rsidP="00717B26" w14:paraId="367482CF" w14:textId="77777777">
      <w:pPr>
        <w:overflowPunct/>
        <w:autoSpaceDE/>
        <w:autoSpaceDN/>
        <w:adjustRightInd/>
        <w:rPr>
          <w:rFonts w:ascii="Segoe UI" w:hAnsi="Segoe UI" w:cs="Segoe UI"/>
          <w:sz w:val="18"/>
          <w:szCs w:val="18"/>
        </w:rPr>
      </w:pPr>
      <w:r w:rsidRPr="00F979F1">
        <w:rPr>
          <w:rFonts w:ascii="Avenir Next LT Pro" w:hAnsi="Avenir Next LT Pro" w:cs="Segoe UI"/>
          <w:sz w:val="20"/>
        </w:rPr>
        <w:t> </w:t>
      </w:r>
    </w:p>
    <w:p w:rsidR="00717B26" w:rsidRPr="00717B26" w:rsidP="005561E5" w14:paraId="2ECB0F26" w14:textId="77777777">
      <w:pPr>
        <w:pStyle w:val="ListParagraph"/>
        <w:widowControl w:val="0"/>
        <w:tabs>
          <w:tab w:val="left" w:pos="360"/>
          <w:tab w:val="left" w:pos="720"/>
          <w:tab w:val="left" w:pos="1080"/>
        </w:tabs>
        <w:ind w:left="0"/>
        <w:rPr>
          <w:rFonts w:ascii="Times New Roman" w:hAnsi="Times New Roman"/>
          <w:b/>
          <w:bCs/>
          <w:sz w:val="32"/>
          <w:szCs w:val="32"/>
        </w:rPr>
      </w:pPr>
    </w:p>
    <w:sectPr>
      <w:headerReference w:type="default" r:id="rId27"/>
      <w:footerReference w:type="default" r:id="rI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venir Next LT Pro">
    <w:altName w:val="Calibr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9166686"/>
      <w:docPartObj>
        <w:docPartGallery w:val="Page Numbers (Bottom of Page)"/>
        <w:docPartUnique/>
      </w:docPartObj>
    </w:sdtPr>
    <w:sdtContent>
      <w:sdt>
        <w:sdtPr>
          <w:id w:val="1728636285"/>
          <w:docPartObj>
            <w:docPartGallery w:val="Page Numbers (Top of Page)"/>
            <w:docPartUnique/>
          </w:docPartObj>
        </w:sdtPr>
        <w:sdtContent>
          <w:p w:rsidR="002E714F" w14:paraId="70989715" w14:textId="7777777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2E714F" w14:paraId="28E8F78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E16" w14:paraId="3DE284D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C58DC"/>
    <w:multiLevelType w:val="multilevel"/>
    <w:tmpl w:val="8CCE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7947EC"/>
    <w:multiLevelType w:val="hybridMultilevel"/>
    <w:tmpl w:val="48483E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D781B"/>
    <w:multiLevelType w:val="hybridMultilevel"/>
    <w:tmpl w:val="2A183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E8078F"/>
    <w:multiLevelType w:val="multilevel"/>
    <w:tmpl w:val="51C218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434CA0"/>
    <w:multiLevelType w:val="hybridMultilevel"/>
    <w:tmpl w:val="855A555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7C63A9"/>
    <w:multiLevelType w:val="multilevel"/>
    <w:tmpl w:val="3740D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4B9B1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1BD4DCF"/>
    <w:multiLevelType w:val="multilevel"/>
    <w:tmpl w:val="8A28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295465"/>
    <w:multiLevelType w:val="hybridMultilevel"/>
    <w:tmpl w:val="A9328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D017FC9"/>
    <w:multiLevelType w:val="hybridMultilevel"/>
    <w:tmpl w:val="20B4E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316514"/>
    <w:multiLevelType w:val="hybridMultilevel"/>
    <w:tmpl w:val="D40EB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57120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9C6E11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CFD18E3"/>
    <w:multiLevelType w:val="multilevel"/>
    <w:tmpl w:val="C560A3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ED30951"/>
    <w:multiLevelType w:val="hybridMultilevel"/>
    <w:tmpl w:val="2E0C0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3515880"/>
    <w:multiLevelType w:val="hybridMultilevel"/>
    <w:tmpl w:val="EA6A85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6957BF"/>
    <w:multiLevelType w:val="multilevel"/>
    <w:tmpl w:val="35F0C5AE"/>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914B8D"/>
    <w:multiLevelType w:val="hybridMultilevel"/>
    <w:tmpl w:val="3500A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D41707"/>
    <w:multiLevelType w:val="hybridMultilevel"/>
    <w:tmpl w:val="20C48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824375"/>
    <w:multiLevelType w:val="multilevel"/>
    <w:tmpl w:val="4C801A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023037"/>
    <w:multiLevelType w:val="hybridMultilevel"/>
    <w:tmpl w:val="99F264AE"/>
    <w:lvl w:ilvl="0">
      <w:start w:val="5"/>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4."/>
      <w:lvlJc w:val="left"/>
      <w:pPr>
        <w:ind w:left="720" w:hanging="360"/>
      </w:p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5935F70"/>
    <w:multiLevelType w:val="multilevel"/>
    <w:tmpl w:val="2B166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F912E8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90800639">
    <w:abstractNumId w:val="20"/>
  </w:num>
  <w:num w:numId="2" w16cid:durableId="2086762817">
    <w:abstractNumId w:val="14"/>
  </w:num>
  <w:num w:numId="3" w16cid:durableId="1104376650">
    <w:abstractNumId w:val="16"/>
  </w:num>
  <w:num w:numId="4" w16cid:durableId="1635332616">
    <w:abstractNumId w:val="2"/>
  </w:num>
  <w:num w:numId="5" w16cid:durableId="1281106522">
    <w:abstractNumId w:val="9"/>
  </w:num>
  <w:num w:numId="6" w16cid:durableId="1426533971">
    <w:abstractNumId w:val="15"/>
  </w:num>
  <w:num w:numId="7" w16cid:durableId="1907640223">
    <w:abstractNumId w:val="10"/>
  </w:num>
  <w:num w:numId="8" w16cid:durableId="968557087">
    <w:abstractNumId w:val="17"/>
  </w:num>
  <w:num w:numId="9" w16cid:durableId="829826596">
    <w:abstractNumId w:val="22"/>
  </w:num>
  <w:num w:numId="10" w16cid:durableId="760180610">
    <w:abstractNumId w:val="6"/>
  </w:num>
  <w:num w:numId="11" w16cid:durableId="1998223894">
    <w:abstractNumId w:val="11"/>
  </w:num>
  <w:num w:numId="12" w16cid:durableId="2042390910">
    <w:abstractNumId w:val="12"/>
  </w:num>
  <w:num w:numId="13" w16cid:durableId="46926736">
    <w:abstractNumId w:val="8"/>
  </w:num>
  <w:num w:numId="14" w16cid:durableId="209615883">
    <w:abstractNumId w:val="18"/>
  </w:num>
  <w:num w:numId="15" w16cid:durableId="1420712389">
    <w:abstractNumId w:val="1"/>
  </w:num>
  <w:num w:numId="16" w16cid:durableId="1583879086">
    <w:abstractNumId w:val="4"/>
  </w:num>
  <w:num w:numId="17" w16cid:durableId="1589193866">
    <w:abstractNumId w:val="21"/>
  </w:num>
  <w:num w:numId="18" w16cid:durableId="557322770">
    <w:abstractNumId w:val="13"/>
  </w:num>
  <w:num w:numId="19" w16cid:durableId="834032349">
    <w:abstractNumId w:val="5"/>
  </w:num>
  <w:num w:numId="20" w16cid:durableId="446699435">
    <w:abstractNumId w:val="3"/>
  </w:num>
  <w:num w:numId="21" w16cid:durableId="526142385">
    <w:abstractNumId w:val="19"/>
  </w:num>
  <w:num w:numId="22" w16cid:durableId="747651227">
    <w:abstractNumId w:val="7"/>
  </w:num>
  <w:num w:numId="23" w16cid:durableId="45818935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1E5"/>
    <w:rsid w:val="00031F4D"/>
    <w:rsid w:val="00044971"/>
    <w:rsid w:val="000527E2"/>
    <w:rsid w:val="00057218"/>
    <w:rsid w:val="00061254"/>
    <w:rsid w:val="00067B05"/>
    <w:rsid w:val="0007012C"/>
    <w:rsid w:val="00085E65"/>
    <w:rsid w:val="00092594"/>
    <w:rsid w:val="000C1AEB"/>
    <w:rsid w:val="0011096D"/>
    <w:rsid w:val="00110EF3"/>
    <w:rsid w:val="00120AB9"/>
    <w:rsid w:val="00146CE3"/>
    <w:rsid w:val="00187CEE"/>
    <w:rsid w:val="001B19A3"/>
    <w:rsid w:val="001B2CDB"/>
    <w:rsid w:val="001B3B84"/>
    <w:rsid w:val="001B4DCF"/>
    <w:rsid w:val="001C1E6D"/>
    <w:rsid w:val="001E005A"/>
    <w:rsid w:val="00203527"/>
    <w:rsid w:val="00213E11"/>
    <w:rsid w:val="00225EC4"/>
    <w:rsid w:val="0024083B"/>
    <w:rsid w:val="0024348A"/>
    <w:rsid w:val="002542FD"/>
    <w:rsid w:val="002726EF"/>
    <w:rsid w:val="00280D3B"/>
    <w:rsid w:val="002C5E72"/>
    <w:rsid w:val="002D7AFD"/>
    <w:rsid w:val="002E714F"/>
    <w:rsid w:val="00303B9A"/>
    <w:rsid w:val="00306269"/>
    <w:rsid w:val="0031095E"/>
    <w:rsid w:val="003134A1"/>
    <w:rsid w:val="00331AA0"/>
    <w:rsid w:val="003322E7"/>
    <w:rsid w:val="00337304"/>
    <w:rsid w:val="00366678"/>
    <w:rsid w:val="00370885"/>
    <w:rsid w:val="003732F4"/>
    <w:rsid w:val="003907D1"/>
    <w:rsid w:val="00394875"/>
    <w:rsid w:val="00397FA1"/>
    <w:rsid w:val="003B68E1"/>
    <w:rsid w:val="003E08C0"/>
    <w:rsid w:val="003F2FAD"/>
    <w:rsid w:val="003F51E3"/>
    <w:rsid w:val="003F5E16"/>
    <w:rsid w:val="00402912"/>
    <w:rsid w:val="004052CD"/>
    <w:rsid w:val="0042323B"/>
    <w:rsid w:val="00425BAF"/>
    <w:rsid w:val="0043249B"/>
    <w:rsid w:val="004326FF"/>
    <w:rsid w:val="00444B12"/>
    <w:rsid w:val="004601F1"/>
    <w:rsid w:val="00461253"/>
    <w:rsid w:val="004855AF"/>
    <w:rsid w:val="004B7940"/>
    <w:rsid w:val="004C2FCE"/>
    <w:rsid w:val="004D2774"/>
    <w:rsid w:val="004D2F77"/>
    <w:rsid w:val="004D6582"/>
    <w:rsid w:val="004E3A7B"/>
    <w:rsid w:val="004E56DC"/>
    <w:rsid w:val="004E5924"/>
    <w:rsid w:val="004F3343"/>
    <w:rsid w:val="004F7AB9"/>
    <w:rsid w:val="00505E03"/>
    <w:rsid w:val="00516FF9"/>
    <w:rsid w:val="0052787B"/>
    <w:rsid w:val="0053573A"/>
    <w:rsid w:val="00541B1F"/>
    <w:rsid w:val="00554421"/>
    <w:rsid w:val="005561E5"/>
    <w:rsid w:val="00565992"/>
    <w:rsid w:val="005755F1"/>
    <w:rsid w:val="005A23FB"/>
    <w:rsid w:val="005A45C5"/>
    <w:rsid w:val="005F3A5B"/>
    <w:rsid w:val="00606E73"/>
    <w:rsid w:val="00621B46"/>
    <w:rsid w:val="006225DD"/>
    <w:rsid w:val="0062333C"/>
    <w:rsid w:val="0064765C"/>
    <w:rsid w:val="006505A3"/>
    <w:rsid w:val="00650FAC"/>
    <w:rsid w:val="00660622"/>
    <w:rsid w:val="00665197"/>
    <w:rsid w:val="006676FC"/>
    <w:rsid w:val="006761E3"/>
    <w:rsid w:val="006B3FFC"/>
    <w:rsid w:val="006E6236"/>
    <w:rsid w:val="006F392E"/>
    <w:rsid w:val="0070112F"/>
    <w:rsid w:val="0070218B"/>
    <w:rsid w:val="007065C8"/>
    <w:rsid w:val="007068A1"/>
    <w:rsid w:val="00717B26"/>
    <w:rsid w:val="00722C8B"/>
    <w:rsid w:val="00727621"/>
    <w:rsid w:val="00737A24"/>
    <w:rsid w:val="00741F25"/>
    <w:rsid w:val="007540DC"/>
    <w:rsid w:val="007635E7"/>
    <w:rsid w:val="007721A4"/>
    <w:rsid w:val="00780DD0"/>
    <w:rsid w:val="0079752E"/>
    <w:rsid w:val="007A20E9"/>
    <w:rsid w:val="00800D6E"/>
    <w:rsid w:val="0082448D"/>
    <w:rsid w:val="00827131"/>
    <w:rsid w:val="00837D93"/>
    <w:rsid w:val="008476BC"/>
    <w:rsid w:val="00872F4A"/>
    <w:rsid w:val="008757C9"/>
    <w:rsid w:val="00880F3A"/>
    <w:rsid w:val="008A0210"/>
    <w:rsid w:val="008B728A"/>
    <w:rsid w:val="008D1950"/>
    <w:rsid w:val="008D1BF0"/>
    <w:rsid w:val="008D612A"/>
    <w:rsid w:val="008E3E6B"/>
    <w:rsid w:val="008F38D5"/>
    <w:rsid w:val="00915869"/>
    <w:rsid w:val="00920E30"/>
    <w:rsid w:val="009277BA"/>
    <w:rsid w:val="00935C4E"/>
    <w:rsid w:val="00935DBB"/>
    <w:rsid w:val="00937EAC"/>
    <w:rsid w:val="009425C0"/>
    <w:rsid w:val="009442E6"/>
    <w:rsid w:val="009715CA"/>
    <w:rsid w:val="00994C09"/>
    <w:rsid w:val="009966A4"/>
    <w:rsid w:val="009B3818"/>
    <w:rsid w:val="009B6653"/>
    <w:rsid w:val="009B6C1D"/>
    <w:rsid w:val="009D11B7"/>
    <w:rsid w:val="009E0EDC"/>
    <w:rsid w:val="009E26E0"/>
    <w:rsid w:val="009F0B82"/>
    <w:rsid w:val="009F1BC0"/>
    <w:rsid w:val="00A005A9"/>
    <w:rsid w:val="00A013CE"/>
    <w:rsid w:val="00A24180"/>
    <w:rsid w:val="00A31F12"/>
    <w:rsid w:val="00A6368C"/>
    <w:rsid w:val="00A71527"/>
    <w:rsid w:val="00A75DA4"/>
    <w:rsid w:val="00A7646F"/>
    <w:rsid w:val="00AA317A"/>
    <w:rsid w:val="00AA58BA"/>
    <w:rsid w:val="00AB4ADC"/>
    <w:rsid w:val="00AB676D"/>
    <w:rsid w:val="00AC252C"/>
    <w:rsid w:val="00AC3AF4"/>
    <w:rsid w:val="00AD186D"/>
    <w:rsid w:val="00AE2A32"/>
    <w:rsid w:val="00B0056F"/>
    <w:rsid w:val="00B031F3"/>
    <w:rsid w:val="00B05B2B"/>
    <w:rsid w:val="00B06FEB"/>
    <w:rsid w:val="00B17CE2"/>
    <w:rsid w:val="00B36116"/>
    <w:rsid w:val="00B460D3"/>
    <w:rsid w:val="00B55EE7"/>
    <w:rsid w:val="00B6115B"/>
    <w:rsid w:val="00B960AC"/>
    <w:rsid w:val="00BA5E7F"/>
    <w:rsid w:val="00BB5AB7"/>
    <w:rsid w:val="00BC168A"/>
    <w:rsid w:val="00BC76F6"/>
    <w:rsid w:val="00BD3DD9"/>
    <w:rsid w:val="00C03650"/>
    <w:rsid w:val="00C1154B"/>
    <w:rsid w:val="00C1443C"/>
    <w:rsid w:val="00C20A1E"/>
    <w:rsid w:val="00C36ADA"/>
    <w:rsid w:val="00C60197"/>
    <w:rsid w:val="00C65C6F"/>
    <w:rsid w:val="00C72B3B"/>
    <w:rsid w:val="00C80F80"/>
    <w:rsid w:val="00CC3D06"/>
    <w:rsid w:val="00CD0B4C"/>
    <w:rsid w:val="00CD1746"/>
    <w:rsid w:val="00CF5299"/>
    <w:rsid w:val="00D10E0F"/>
    <w:rsid w:val="00D2645B"/>
    <w:rsid w:val="00D54A99"/>
    <w:rsid w:val="00D55BEA"/>
    <w:rsid w:val="00D84769"/>
    <w:rsid w:val="00D956BE"/>
    <w:rsid w:val="00DA01CA"/>
    <w:rsid w:val="00DC1292"/>
    <w:rsid w:val="00DC3DA8"/>
    <w:rsid w:val="00DC7BF5"/>
    <w:rsid w:val="00DE67AA"/>
    <w:rsid w:val="00DF652B"/>
    <w:rsid w:val="00DF6850"/>
    <w:rsid w:val="00E179FF"/>
    <w:rsid w:val="00E26A05"/>
    <w:rsid w:val="00E53800"/>
    <w:rsid w:val="00E7154A"/>
    <w:rsid w:val="00E73ED4"/>
    <w:rsid w:val="00E7756D"/>
    <w:rsid w:val="00E8025F"/>
    <w:rsid w:val="00E80B69"/>
    <w:rsid w:val="00E9151F"/>
    <w:rsid w:val="00E927AD"/>
    <w:rsid w:val="00EB1361"/>
    <w:rsid w:val="00EF49E2"/>
    <w:rsid w:val="00EF541F"/>
    <w:rsid w:val="00EF6034"/>
    <w:rsid w:val="00F141B5"/>
    <w:rsid w:val="00F46E00"/>
    <w:rsid w:val="00F4770E"/>
    <w:rsid w:val="00F526B3"/>
    <w:rsid w:val="00F66D60"/>
    <w:rsid w:val="00F84F10"/>
    <w:rsid w:val="00F979F1"/>
    <w:rsid w:val="00FA70CB"/>
    <w:rsid w:val="00FB1AEA"/>
    <w:rsid w:val="00FB2A73"/>
    <w:rsid w:val="00FB3A02"/>
    <w:rsid w:val="00FB7E96"/>
    <w:rsid w:val="00FC6022"/>
    <w:rsid w:val="00FD64EE"/>
    <w:rsid w:val="00FF117C"/>
    <w:rsid w:val="0E42143E"/>
    <w:rsid w:val="0EEECE9C"/>
    <w:rsid w:val="22B39F4E"/>
    <w:rsid w:val="34D2167D"/>
    <w:rsid w:val="3AC7113B"/>
    <w:rsid w:val="54D488CB"/>
    <w:rsid w:val="64E72802"/>
    <w:rsid w:val="750BF1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722D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1E5"/>
    <w:pPr>
      <w:overflowPunct w:val="0"/>
      <w:autoSpaceDE w:val="0"/>
      <w:autoSpaceDN w:val="0"/>
      <w:adjustRightInd w:val="0"/>
      <w:spacing w:after="0" w:line="240" w:lineRule="auto"/>
      <w:textAlignment w:val="baseline"/>
    </w:pPr>
    <w:rPr>
      <w:rFonts w:ascii="Tms Rmn" w:eastAsia="Times New Roman" w:hAnsi="Tms Rmn"/>
      <w:szCs w:val="20"/>
    </w:rPr>
  </w:style>
  <w:style w:type="paragraph" w:styleId="Heading1">
    <w:name w:val="heading 1"/>
    <w:basedOn w:val="Normal"/>
    <w:next w:val="Normal"/>
    <w:link w:val="Heading1Char"/>
    <w:uiPriority w:val="9"/>
    <w:qFormat/>
    <w:rsid w:val="005561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61E5"/>
    <w:pPr>
      <w:overflowPunct/>
      <w:autoSpaceDE/>
      <w:autoSpaceDN/>
      <w:adjustRightInd/>
      <w:spacing w:before="240" w:after="200" w:line="276" w:lineRule="auto"/>
      <w:textAlignment w:val="auto"/>
      <w:outlineLvl w:val="1"/>
    </w:pPr>
    <w:rPr>
      <w:rFonts w:ascii="Times New Roman" w:hAnsi="Times New Roman" w:eastAsiaTheme="minorHAnsi" w:cstheme="minorBidi"/>
      <w:b/>
      <w:i/>
      <w:szCs w:val="22"/>
    </w:rPr>
  </w:style>
  <w:style w:type="paragraph" w:styleId="Heading3">
    <w:name w:val="heading 3"/>
    <w:basedOn w:val="Normal"/>
    <w:next w:val="Normal"/>
    <w:link w:val="Heading3Char"/>
    <w:uiPriority w:val="9"/>
    <w:unhideWhenUsed/>
    <w:qFormat/>
    <w:rsid w:val="005561E5"/>
    <w:pPr>
      <w:keepNext/>
      <w:keepLines/>
      <w:overflowPunct/>
      <w:autoSpaceDE/>
      <w:autoSpaceDN/>
      <w:adjustRightInd/>
      <w:spacing w:before="40" w:line="259" w:lineRule="auto"/>
      <w:textAlignment w:val="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1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61E5"/>
    <w:rPr>
      <w:rFonts w:cstheme="minorBidi"/>
      <w:b/>
      <w:i/>
    </w:rPr>
  </w:style>
  <w:style w:type="character" w:customStyle="1" w:styleId="Heading3Char">
    <w:name w:val="Heading 3 Char"/>
    <w:basedOn w:val="DefaultParagraphFont"/>
    <w:link w:val="Heading3"/>
    <w:uiPriority w:val="9"/>
    <w:rsid w:val="005561E5"/>
    <w:rPr>
      <w:rFonts w:asciiTheme="majorHAnsi" w:eastAsiaTheme="majorEastAsia" w:hAnsiTheme="majorHAnsi" w:cstheme="majorBidi"/>
      <w:color w:val="1F3763" w:themeColor="accent1" w:themeShade="7F"/>
      <w:szCs w:val="24"/>
    </w:rPr>
  </w:style>
  <w:style w:type="paragraph" w:styleId="Header">
    <w:name w:val="header"/>
    <w:basedOn w:val="Normal"/>
    <w:link w:val="HeaderChar"/>
    <w:uiPriority w:val="99"/>
    <w:rsid w:val="005561E5"/>
    <w:pPr>
      <w:tabs>
        <w:tab w:val="center" w:pos="4320"/>
        <w:tab w:val="right" w:pos="8640"/>
      </w:tabs>
    </w:pPr>
  </w:style>
  <w:style w:type="character" w:customStyle="1" w:styleId="HeaderChar">
    <w:name w:val="Header Char"/>
    <w:basedOn w:val="DefaultParagraphFont"/>
    <w:link w:val="Header"/>
    <w:uiPriority w:val="99"/>
    <w:rsid w:val="005561E5"/>
    <w:rPr>
      <w:rFonts w:ascii="Tms Rmn" w:eastAsia="Times New Roman" w:hAnsi="Tms Rmn"/>
      <w:szCs w:val="20"/>
    </w:rPr>
  </w:style>
  <w:style w:type="paragraph" w:styleId="Footer">
    <w:name w:val="footer"/>
    <w:basedOn w:val="Normal"/>
    <w:link w:val="FooterChar"/>
    <w:uiPriority w:val="99"/>
    <w:rsid w:val="005561E5"/>
    <w:pPr>
      <w:tabs>
        <w:tab w:val="center" w:pos="4320"/>
        <w:tab w:val="right" w:pos="8640"/>
      </w:tabs>
    </w:pPr>
  </w:style>
  <w:style w:type="character" w:customStyle="1" w:styleId="FooterChar">
    <w:name w:val="Footer Char"/>
    <w:basedOn w:val="DefaultParagraphFont"/>
    <w:link w:val="Footer"/>
    <w:uiPriority w:val="99"/>
    <w:rsid w:val="005561E5"/>
    <w:rPr>
      <w:rFonts w:ascii="Tms Rmn" w:eastAsia="Times New Roman" w:hAnsi="Tms Rmn"/>
      <w:szCs w:val="20"/>
    </w:rPr>
  </w:style>
  <w:style w:type="paragraph" w:styleId="FootnoteText">
    <w:name w:val="footnote text"/>
    <w:basedOn w:val="Normal"/>
    <w:link w:val="FootnoteTextChar"/>
    <w:semiHidden/>
    <w:rsid w:val="005561E5"/>
    <w:rPr>
      <w:sz w:val="20"/>
    </w:rPr>
  </w:style>
  <w:style w:type="character" w:customStyle="1" w:styleId="FootnoteTextChar">
    <w:name w:val="Footnote Text Char"/>
    <w:basedOn w:val="DefaultParagraphFont"/>
    <w:link w:val="FootnoteText"/>
    <w:semiHidden/>
    <w:rsid w:val="005561E5"/>
    <w:rPr>
      <w:rFonts w:ascii="Tms Rmn" w:eastAsia="Times New Roman" w:hAnsi="Tms Rmn"/>
      <w:sz w:val="20"/>
      <w:szCs w:val="20"/>
    </w:rPr>
  </w:style>
  <w:style w:type="character" w:styleId="FootnoteReference">
    <w:name w:val="footnote reference"/>
    <w:basedOn w:val="DefaultParagraphFont"/>
    <w:semiHidden/>
    <w:rsid w:val="005561E5"/>
    <w:rPr>
      <w:vertAlign w:val="superscript"/>
    </w:rPr>
  </w:style>
  <w:style w:type="paragraph" w:styleId="BalloonText">
    <w:name w:val="Balloon Text"/>
    <w:basedOn w:val="Normal"/>
    <w:link w:val="BalloonTextChar"/>
    <w:semiHidden/>
    <w:rsid w:val="005561E5"/>
    <w:rPr>
      <w:rFonts w:ascii="Tahoma" w:hAnsi="Tahoma" w:cs="Tahoma"/>
      <w:sz w:val="16"/>
      <w:szCs w:val="16"/>
    </w:rPr>
  </w:style>
  <w:style w:type="character" w:customStyle="1" w:styleId="BalloonTextChar">
    <w:name w:val="Balloon Text Char"/>
    <w:basedOn w:val="DefaultParagraphFont"/>
    <w:link w:val="BalloonText"/>
    <w:semiHidden/>
    <w:rsid w:val="005561E5"/>
    <w:rPr>
      <w:rFonts w:ascii="Tahoma" w:eastAsia="Times New Roman" w:hAnsi="Tahoma" w:cs="Tahoma"/>
      <w:sz w:val="16"/>
      <w:szCs w:val="16"/>
    </w:rPr>
  </w:style>
  <w:style w:type="character" w:styleId="PageNumber">
    <w:name w:val="page number"/>
    <w:basedOn w:val="DefaultParagraphFont"/>
    <w:rsid w:val="005561E5"/>
  </w:style>
  <w:style w:type="paragraph" w:styleId="EndnoteText">
    <w:name w:val="endnote text"/>
    <w:basedOn w:val="Normal"/>
    <w:link w:val="EndnoteTextChar"/>
    <w:rsid w:val="005561E5"/>
    <w:rPr>
      <w:sz w:val="20"/>
    </w:rPr>
  </w:style>
  <w:style w:type="character" w:customStyle="1" w:styleId="EndnoteTextChar">
    <w:name w:val="Endnote Text Char"/>
    <w:basedOn w:val="DefaultParagraphFont"/>
    <w:link w:val="EndnoteText"/>
    <w:rsid w:val="005561E5"/>
    <w:rPr>
      <w:rFonts w:ascii="Tms Rmn" w:eastAsia="Times New Roman" w:hAnsi="Tms Rmn"/>
      <w:sz w:val="20"/>
      <w:szCs w:val="20"/>
    </w:rPr>
  </w:style>
  <w:style w:type="character" w:styleId="EndnoteReference">
    <w:name w:val="endnote reference"/>
    <w:basedOn w:val="DefaultParagraphFont"/>
    <w:rsid w:val="005561E5"/>
    <w:rPr>
      <w:vertAlign w:val="superscript"/>
    </w:rPr>
  </w:style>
  <w:style w:type="paragraph" w:customStyle="1" w:styleId="p3">
    <w:name w:val="p3"/>
    <w:basedOn w:val="Normal"/>
    <w:rsid w:val="005561E5"/>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5561E5"/>
    <w:pPr>
      <w:widowControl w:val="0"/>
      <w:tabs>
        <w:tab w:val="left" w:pos="680"/>
      </w:tabs>
      <w:overflowPunct/>
      <w:textAlignment w:val="auto"/>
    </w:pPr>
    <w:rPr>
      <w:rFonts w:ascii="Times New Roman" w:hAnsi="Times New Roman"/>
      <w:szCs w:val="24"/>
    </w:rPr>
  </w:style>
  <w:style w:type="paragraph" w:styleId="ListParagraph">
    <w:name w:val="List Paragraph"/>
    <w:basedOn w:val="Normal"/>
    <w:link w:val="ListParagraphChar"/>
    <w:uiPriority w:val="34"/>
    <w:qFormat/>
    <w:rsid w:val="005561E5"/>
    <w:pPr>
      <w:ind w:left="720"/>
      <w:contextualSpacing/>
    </w:pPr>
  </w:style>
  <w:style w:type="paragraph" w:customStyle="1" w:styleId="c2">
    <w:name w:val="c2"/>
    <w:basedOn w:val="Normal"/>
    <w:rsid w:val="005561E5"/>
    <w:pPr>
      <w:widowControl w:val="0"/>
      <w:overflowPunct/>
      <w:jc w:val="center"/>
      <w:textAlignment w:val="auto"/>
    </w:pPr>
    <w:rPr>
      <w:rFonts w:ascii="Times New Roman" w:hAnsi="Times New Roman"/>
      <w:szCs w:val="24"/>
    </w:rPr>
  </w:style>
  <w:style w:type="paragraph" w:styleId="NormalWeb">
    <w:name w:val="Normal (Web)"/>
    <w:basedOn w:val="Normal"/>
    <w:uiPriority w:val="99"/>
    <w:rsid w:val="005561E5"/>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5561E5"/>
    <w:rPr>
      <w:color w:val="0000FF"/>
      <w:u w:val="single"/>
    </w:rPr>
  </w:style>
  <w:style w:type="character" w:styleId="CommentReference">
    <w:name w:val="annotation reference"/>
    <w:basedOn w:val="DefaultParagraphFont"/>
    <w:uiPriority w:val="99"/>
    <w:unhideWhenUsed/>
    <w:rsid w:val="005561E5"/>
    <w:rPr>
      <w:sz w:val="16"/>
      <w:szCs w:val="16"/>
    </w:rPr>
  </w:style>
  <w:style w:type="paragraph" w:styleId="CommentText">
    <w:name w:val="annotation text"/>
    <w:basedOn w:val="Normal"/>
    <w:link w:val="CommentTextChar"/>
    <w:uiPriority w:val="99"/>
    <w:unhideWhenUsed/>
    <w:rsid w:val="005561E5"/>
    <w:rPr>
      <w:sz w:val="20"/>
    </w:rPr>
  </w:style>
  <w:style w:type="character" w:customStyle="1" w:styleId="CommentTextChar">
    <w:name w:val="Comment Text Char"/>
    <w:basedOn w:val="DefaultParagraphFont"/>
    <w:link w:val="CommentText"/>
    <w:uiPriority w:val="99"/>
    <w:rsid w:val="005561E5"/>
    <w:rPr>
      <w:rFonts w:ascii="Tms Rmn" w:eastAsia="Times New Roman" w:hAnsi="Tms Rmn"/>
      <w:sz w:val="20"/>
      <w:szCs w:val="20"/>
    </w:rPr>
  </w:style>
  <w:style w:type="paragraph" w:styleId="CommentSubject">
    <w:name w:val="annotation subject"/>
    <w:basedOn w:val="CommentText"/>
    <w:next w:val="CommentText"/>
    <w:link w:val="CommentSubjectChar"/>
    <w:uiPriority w:val="99"/>
    <w:semiHidden/>
    <w:unhideWhenUsed/>
    <w:rsid w:val="005561E5"/>
    <w:rPr>
      <w:b/>
      <w:bCs/>
    </w:rPr>
  </w:style>
  <w:style w:type="character" w:customStyle="1" w:styleId="CommentSubjectChar">
    <w:name w:val="Comment Subject Char"/>
    <w:basedOn w:val="CommentTextChar"/>
    <w:link w:val="CommentSubject"/>
    <w:uiPriority w:val="99"/>
    <w:semiHidden/>
    <w:rsid w:val="005561E5"/>
    <w:rPr>
      <w:rFonts w:ascii="Tms Rmn" w:eastAsia="Times New Roman" w:hAnsi="Tms Rmn"/>
      <w:b/>
      <w:bCs/>
      <w:sz w:val="20"/>
      <w:szCs w:val="20"/>
    </w:rPr>
  </w:style>
  <w:style w:type="paragraph" w:styleId="BodyText">
    <w:name w:val="Body Text"/>
    <w:basedOn w:val="Normal"/>
    <w:link w:val="BodyTextChar"/>
    <w:uiPriority w:val="1"/>
    <w:qFormat/>
    <w:rsid w:val="005561E5"/>
    <w:pPr>
      <w:widowControl w:val="0"/>
      <w:overflowPunct/>
      <w:adjustRightInd/>
      <w:spacing w:before="161"/>
      <w:ind w:left="460" w:hanging="360"/>
      <w:textAlignment w:val="auto"/>
    </w:pPr>
    <w:rPr>
      <w:rFonts w:ascii="Times New Roman" w:hAnsi="Times New Roman"/>
      <w:szCs w:val="24"/>
      <w:lang w:bidi="en-US"/>
    </w:rPr>
  </w:style>
  <w:style w:type="character" w:customStyle="1" w:styleId="BodyTextChar">
    <w:name w:val="Body Text Char"/>
    <w:basedOn w:val="DefaultParagraphFont"/>
    <w:link w:val="BodyText"/>
    <w:uiPriority w:val="1"/>
    <w:rsid w:val="005561E5"/>
    <w:rPr>
      <w:rFonts w:eastAsia="Times New Roman"/>
      <w:szCs w:val="24"/>
      <w:lang w:bidi="en-US"/>
    </w:rPr>
  </w:style>
  <w:style w:type="paragraph" w:customStyle="1" w:styleId="Default">
    <w:name w:val="Default"/>
    <w:basedOn w:val="Normal"/>
    <w:rsid w:val="005561E5"/>
    <w:pPr>
      <w:overflowPunct/>
      <w:adjustRightInd/>
      <w:textAlignment w:val="auto"/>
    </w:pPr>
    <w:rPr>
      <w:rFonts w:ascii="Calibri" w:eastAsia="Calibri" w:hAnsi="Calibri"/>
      <w:color w:val="000000"/>
      <w:szCs w:val="24"/>
    </w:rPr>
  </w:style>
  <w:style w:type="table" w:styleId="TableGrid">
    <w:name w:val="Table Grid"/>
    <w:basedOn w:val="TableNormal"/>
    <w:uiPriority w:val="39"/>
    <w:rsid w:val="005561E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561E5"/>
    <w:pPr>
      <w:overflowPunct/>
      <w:autoSpaceDE/>
      <w:autoSpaceDN/>
      <w:adjustRightInd/>
      <w:spacing w:before="100" w:beforeAutospacing="1" w:after="100" w:afterAutospacing="1"/>
      <w:textAlignment w:val="auto"/>
    </w:pPr>
    <w:rPr>
      <w:rFonts w:ascii="Times New Roman" w:hAnsi="Times New Roman"/>
      <w:szCs w:val="24"/>
    </w:rPr>
  </w:style>
  <w:style w:type="paragraph" w:styleId="Revision">
    <w:name w:val="Revision"/>
    <w:hidden/>
    <w:uiPriority w:val="99"/>
    <w:semiHidden/>
    <w:rsid w:val="005561E5"/>
    <w:pPr>
      <w:spacing w:after="0" w:line="240" w:lineRule="auto"/>
    </w:pPr>
    <w:rPr>
      <w:rFonts w:ascii="Tms Rmn" w:eastAsia="Times New Roman" w:hAnsi="Tms Rmn"/>
      <w:szCs w:val="20"/>
    </w:rPr>
  </w:style>
  <w:style w:type="character" w:customStyle="1" w:styleId="ListParagraphChar">
    <w:name w:val="List Paragraph Char"/>
    <w:link w:val="ListParagraph"/>
    <w:uiPriority w:val="34"/>
    <w:locked/>
    <w:rsid w:val="005561E5"/>
    <w:rPr>
      <w:rFonts w:ascii="Tms Rmn" w:eastAsia="Times New Roman" w:hAnsi="Tms Rmn"/>
      <w:szCs w:val="20"/>
    </w:rPr>
  </w:style>
  <w:style w:type="paragraph" w:customStyle="1" w:styleId="paragraph">
    <w:name w:val="paragraph"/>
    <w:basedOn w:val="Normal"/>
    <w:rsid w:val="005561E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5561E5"/>
  </w:style>
  <w:style w:type="character" w:customStyle="1" w:styleId="eop">
    <w:name w:val="eop"/>
    <w:basedOn w:val="DefaultParagraphFont"/>
    <w:rsid w:val="005561E5"/>
  </w:style>
  <w:style w:type="table" w:styleId="GridTable1LightAccent5">
    <w:name w:val="Grid Table 1 Light Accent 5"/>
    <w:basedOn w:val="TableNormal"/>
    <w:uiPriority w:val="46"/>
    <w:rsid w:val="005561E5"/>
    <w:pPr>
      <w:spacing w:after="0" w:line="240" w:lineRule="auto"/>
    </w:pPr>
    <w:rPr>
      <w:rFonts w:asciiTheme="minorHAnsi" w:hAnsiTheme="minorHAnsi" w:cstheme="minorBidi"/>
      <w:kern w:val="2"/>
      <w:sz w:val="22"/>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561E5"/>
    <w:pPr>
      <w:overflowPunct/>
      <w:autoSpaceDE/>
      <w:autoSpaceDN/>
      <w:adjustRightInd/>
      <w:spacing w:after="200"/>
      <w:textAlignment w:val="auto"/>
    </w:pPr>
    <w:rPr>
      <w:rFonts w:ascii="Times New Roman" w:eastAsia="Calibri" w:hAnsi="Times New Roman"/>
      <w:i/>
      <w:iCs/>
      <w:color w:val="1F497D"/>
      <w:sz w:val="18"/>
      <w:szCs w:val="18"/>
    </w:rPr>
  </w:style>
  <w:style w:type="character" w:customStyle="1" w:styleId="cf01">
    <w:name w:val="cf01"/>
    <w:basedOn w:val="DefaultParagraphFont"/>
    <w:rsid w:val="005561E5"/>
    <w:rPr>
      <w:rFonts w:ascii="Segoe UI" w:hAnsi="Segoe UI" w:cs="Segoe UI" w:hint="default"/>
      <w:sz w:val="18"/>
      <w:szCs w:val="18"/>
    </w:rPr>
  </w:style>
  <w:style w:type="character" w:styleId="Strong">
    <w:name w:val="Strong"/>
    <w:basedOn w:val="DefaultParagraphFont"/>
    <w:uiPriority w:val="22"/>
    <w:qFormat/>
    <w:rsid w:val="005561E5"/>
    <w:rPr>
      <w:b/>
      <w:bCs/>
    </w:rPr>
  </w:style>
  <w:style w:type="character" w:customStyle="1" w:styleId="normaltextrun1">
    <w:name w:val="normaltextrun1"/>
    <w:basedOn w:val="DefaultParagraphFont"/>
    <w:rsid w:val="005561E5"/>
  </w:style>
  <w:style w:type="paragraph" w:customStyle="1" w:styleId="TableParagraph">
    <w:name w:val="Table Paragraph"/>
    <w:basedOn w:val="Normal"/>
    <w:uiPriority w:val="1"/>
    <w:qFormat/>
    <w:rsid w:val="005561E5"/>
    <w:pPr>
      <w:widowControl w:val="0"/>
      <w:overflowPunct/>
      <w:adjustRightInd/>
      <w:textAlignment w:val="auto"/>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5561E5"/>
    <w:rPr>
      <w:color w:val="605E5C"/>
      <w:shd w:val="clear" w:color="auto" w:fill="E1DFDD"/>
    </w:rPr>
  </w:style>
  <w:style w:type="character" w:styleId="Mention">
    <w:name w:val="Mention"/>
    <w:basedOn w:val="DefaultParagraphFont"/>
    <w:uiPriority w:val="99"/>
    <w:unhideWhenUsed/>
    <w:rsid w:val="005561E5"/>
    <w:rPr>
      <w:color w:val="2B579A"/>
      <w:shd w:val="clear" w:color="auto" w:fill="E1DFDD"/>
    </w:rPr>
  </w:style>
  <w:style w:type="paragraph" w:styleId="TOC2">
    <w:name w:val="toc 2"/>
    <w:basedOn w:val="Normal"/>
    <w:next w:val="Normal"/>
    <w:autoRedefine/>
    <w:uiPriority w:val="39"/>
    <w:unhideWhenUsed/>
    <w:rsid w:val="005561E5"/>
    <w:pPr>
      <w:tabs>
        <w:tab w:val="right" w:leader="dot" w:pos="9350"/>
      </w:tabs>
      <w:spacing w:after="100"/>
      <w:ind w:left="240"/>
    </w:pPr>
  </w:style>
  <w:style w:type="paragraph" w:styleId="TOC3">
    <w:name w:val="toc 3"/>
    <w:basedOn w:val="Normal"/>
    <w:next w:val="Normal"/>
    <w:autoRedefine/>
    <w:uiPriority w:val="39"/>
    <w:unhideWhenUsed/>
    <w:rsid w:val="005561E5"/>
    <w:pPr>
      <w:spacing w:after="100"/>
      <w:ind w:left="480"/>
    </w:pPr>
  </w:style>
  <w:style w:type="paragraph" w:styleId="TOCHeading">
    <w:name w:val="TOC Heading"/>
    <w:basedOn w:val="Heading1"/>
    <w:next w:val="Normal"/>
    <w:uiPriority w:val="39"/>
    <w:unhideWhenUsed/>
    <w:qFormat/>
    <w:rsid w:val="005561E5"/>
    <w:pPr>
      <w:overflowPunct/>
      <w:autoSpaceDE/>
      <w:autoSpaceDN/>
      <w:adjustRightInd/>
      <w:spacing w:line="259" w:lineRule="auto"/>
      <w:textAlignment w:val="auto"/>
      <w:outlineLvl w:val="9"/>
    </w:pPr>
  </w:style>
  <w:style w:type="paragraph" w:styleId="TOC1">
    <w:name w:val="toc 1"/>
    <w:basedOn w:val="Normal"/>
    <w:next w:val="Normal"/>
    <w:autoRedefine/>
    <w:uiPriority w:val="39"/>
    <w:unhideWhenUsed/>
    <w:rsid w:val="005561E5"/>
    <w:pPr>
      <w:tabs>
        <w:tab w:val="right" w:leader="dot" w:pos="9350"/>
      </w:tabs>
      <w:spacing w:after="100"/>
    </w:pPr>
  </w:style>
  <w:style w:type="character" w:customStyle="1" w:styleId="ReferencesChar">
    <w:name w:val="References Char"/>
    <w:link w:val="References"/>
    <w:locked/>
    <w:rsid w:val="005561E5"/>
    <w:rPr>
      <w:rFonts w:eastAsia="Calibri"/>
    </w:rPr>
  </w:style>
  <w:style w:type="paragraph" w:customStyle="1" w:styleId="References">
    <w:name w:val="References"/>
    <w:basedOn w:val="Normal"/>
    <w:link w:val="ReferencesChar"/>
    <w:qFormat/>
    <w:rsid w:val="005561E5"/>
    <w:pPr>
      <w:overflowPunct/>
      <w:autoSpaceDE/>
      <w:autoSpaceDN/>
      <w:adjustRightInd/>
      <w:spacing w:after="200"/>
      <w:ind w:left="720" w:hanging="720"/>
      <w:textAlignment w:val="auto"/>
    </w:pPr>
    <w:rPr>
      <w:rFonts w:ascii="Times New Roman" w:eastAsia="Calibri" w:hAnsi="Times New Roman"/>
      <w:szCs w:val="22"/>
    </w:rPr>
  </w:style>
  <w:style w:type="table" w:customStyle="1" w:styleId="Tabelacomgrade">
    <w:name w:val="Tabela com grade"/>
    <w:basedOn w:val="TableNormal"/>
    <w:rsid w:val="005561E5"/>
    <w:pPr>
      <w:spacing w:after="0" w:line="240" w:lineRule="auto"/>
    </w:pPr>
    <w:rPr>
      <w:rFonts w:eastAsia="Times New Roman"/>
      <w:szCs w:val="24"/>
    </w:rPr>
    <w:tblPr>
      <w:tblCellMar>
        <w:left w:w="0" w:type="dxa"/>
        <w:right w:w="0" w:type="dxa"/>
      </w:tblCellMar>
    </w:tblPr>
  </w:style>
  <w:style w:type="paragraph" w:customStyle="1" w:styleId="normaltext">
    <w:name w:val="normaltext"/>
    <w:rsid w:val="005561E5"/>
    <w:pPr>
      <w:spacing w:after="120" w:line="240" w:lineRule="auto"/>
    </w:pPr>
    <w:rPr>
      <w:rFonts w:eastAsiaTheme="minorEastAsia"/>
      <w:szCs w:val="24"/>
    </w:rPr>
  </w:style>
  <w:style w:type="character" w:customStyle="1" w:styleId="ui-provider">
    <w:name w:val="ui-provider"/>
    <w:basedOn w:val="DefaultParagraphFont"/>
    <w:rsid w:val="005561E5"/>
  </w:style>
  <w:style w:type="character" w:customStyle="1" w:styleId="xcontentpasted1">
    <w:name w:val="x_contentpasted1"/>
    <w:basedOn w:val="DefaultParagraphFont"/>
    <w:rsid w:val="005561E5"/>
  </w:style>
  <w:style w:type="character" w:styleId="FollowedHyperlink">
    <w:name w:val="FollowedHyperlink"/>
    <w:basedOn w:val="DefaultParagraphFont"/>
    <w:uiPriority w:val="99"/>
    <w:semiHidden/>
    <w:unhideWhenUsed/>
    <w:rsid w:val="005561E5"/>
    <w:rPr>
      <w:color w:val="954F72" w:themeColor="followedHyperlink"/>
      <w:u w:val="single"/>
    </w:rPr>
  </w:style>
  <w:style w:type="paragraph" w:customStyle="1" w:styleId="pf0">
    <w:name w:val="pf0"/>
    <w:basedOn w:val="Normal"/>
    <w:rsid w:val="005561E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gkelc">
    <w:name w:val="hgkelc"/>
    <w:basedOn w:val="DefaultParagraphFont"/>
    <w:rsid w:val="005561E5"/>
  </w:style>
  <w:style w:type="character" w:customStyle="1" w:styleId="scxw7440100">
    <w:name w:val="scxw7440100"/>
    <w:basedOn w:val="DefaultParagraphFont"/>
    <w:rsid w:val="005561E5"/>
  </w:style>
  <w:style w:type="character" w:customStyle="1" w:styleId="tabchar">
    <w:name w:val="tabchar"/>
    <w:basedOn w:val="DefaultParagraphFont"/>
    <w:rsid w:val="00556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www.opm.gov/policy-data-oversight/pay-leave/salaries-wages/salary-tables/pdf/2024/RUS_h.pdf" TargetMode="External" /><Relationship Id="rId12" Type="http://schemas.openxmlformats.org/officeDocument/2006/relationships/hyperlink" Target="https://www.whitehouse.gov/omb/information-for-agencies/memoranda/" TargetMode="External" /><Relationship Id="rId13" Type="http://schemas.microsoft.com/office/2007/relationships/diagramDrawing" Target="diagrams/drawing1.xml" /><Relationship Id="rId14" Type="http://schemas.openxmlformats.org/officeDocument/2006/relationships/diagramData" Target="diagrams/data1.xml" /><Relationship Id="rId15" Type="http://schemas.openxmlformats.org/officeDocument/2006/relationships/diagramLayout" Target="diagrams/layout1.xml" /><Relationship Id="rId16" Type="http://schemas.openxmlformats.org/officeDocument/2006/relationships/diagramQuickStyle" Target="diagrams/quickStyle1.xml" /><Relationship Id="rId17" Type="http://schemas.openxmlformats.org/officeDocument/2006/relationships/diagramColors" Target="diagrams/colors1.xml" /><Relationship Id="rId18" Type="http://schemas.microsoft.com/office/2007/relationships/diagramDrawing" Target="diagrams/drawing2.xml" /><Relationship Id="rId19" Type="http://schemas.openxmlformats.org/officeDocument/2006/relationships/diagramData" Target="diagrams/data2.xml" /><Relationship Id="rId2" Type="http://schemas.openxmlformats.org/officeDocument/2006/relationships/webSettings" Target="webSettings.xml" /><Relationship Id="rId20" Type="http://schemas.openxmlformats.org/officeDocument/2006/relationships/diagramLayout" Target="diagrams/layout2.xml" /><Relationship Id="rId21" Type="http://schemas.openxmlformats.org/officeDocument/2006/relationships/diagramQuickStyle" Target="diagrams/quickStyle2.xml" /><Relationship Id="rId22" Type="http://schemas.openxmlformats.org/officeDocument/2006/relationships/diagramColors" Target="diagrams/colors2.xml" /><Relationship Id="rId23" Type="http://schemas.openxmlformats.org/officeDocument/2006/relationships/hyperlink" Target="mailto:bhussain@jbsinternational.com" TargetMode="External" /><Relationship Id="rId24" Type="http://schemas.openxmlformats.org/officeDocument/2006/relationships/hyperlink" Target="mailto:ageorges@jbsinternational.com" TargetMode="External" /><Relationship Id="rId25" Type="http://schemas.openxmlformats.org/officeDocument/2006/relationships/hyperlink" Target="mailto:alederman@americorps.gov" TargetMode="External" /><Relationship Id="rId26" Type="http://schemas.openxmlformats.org/officeDocument/2006/relationships/hyperlink" Target="mailto:PublicHealthAmeriCorpsEval@cns.gov" TargetMode="External" /><Relationship Id="rId27" Type="http://schemas.openxmlformats.org/officeDocument/2006/relationships/header" Target="header1.xml" /><Relationship Id="rId28" Type="http://schemas.openxmlformats.org/officeDocument/2006/relationships/footer" Target="foot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FE65BF1-27D5-487A-A4EE-AE628EE37D44}" type="doc">
      <dgm:prSet loTypeId="urn:microsoft.com/office/officeart/2005/8/layout/vList6" loCatId="process" qsTypeId="urn:microsoft.com/office/officeart/2005/8/quickstyle/simple1" qsCatId="simple" csTypeId="urn:microsoft.com/office/officeart/2005/8/colors/accent1_5" csCatId="accent1" phldr="1"/>
      <dgm:spPr/>
      <dgm:t>
        <a:bodyPr/>
        <a:lstStyle/>
        <a:p>
          <a:endParaRPr lang="en-US"/>
        </a:p>
      </dgm:t>
    </dgm:pt>
    <dgm:pt modelId="{7911ED47-E3D7-4C27-BD21-81AF304BE032}">
      <dgm:prSet phldrT="[Text]" custT="1"/>
      <dgm:spPr/>
      <dgm:t>
        <a:bodyPr/>
        <a:lstStyle/>
        <a:p>
          <a:r>
            <a:rPr lang="en-US" sz="1000"/>
            <a:t>Process evaluation Participants </a:t>
          </a:r>
        </a:p>
      </dgm:t>
    </dgm:pt>
    <dgm:pt modelId="{99F79790-353D-4F31-9FC4-643C140A962E}" type="parTrans" cxnId="{A8CE6F06-89C1-4272-A2D4-983FDBCAE5ED}">
      <dgm:prSet/>
      <dgm:spPr/>
      <dgm:t>
        <a:bodyPr/>
        <a:lstStyle/>
        <a:p>
          <a:endParaRPr lang="en-US"/>
        </a:p>
      </dgm:t>
    </dgm:pt>
    <dgm:pt modelId="{8EDBBE6F-C895-4E3D-B8C9-9C3ABF1DCE47}" type="sibTrans" cxnId="{A8CE6F06-89C1-4272-A2D4-983FDBCAE5ED}">
      <dgm:prSet/>
      <dgm:spPr/>
      <dgm:t>
        <a:bodyPr/>
        <a:lstStyle/>
        <a:p>
          <a:endParaRPr lang="en-US"/>
        </a:p>
      </dgm:t>
    </dgm:pt>
    <dgm:pt modelId="{DA2C2BD0-72CB-48A5-A287-959176FDEEEE}">
      <dgm:prSet phldrT="[Text]" custT="1"/>
      <dgm:spPr/>
      <dgm:t>
        <a:bodyPr/>
        <a:lstStyle/>
        <a:p>
          <a:r>
            <a:rPr lang="en-US" sz="800"/>
            <a:t>Grantees</a:t>
          </a:r>
        </a:p>
      </dgm:t>
    </dgm:pt>
    <dgm:pt modelId="{5DCAAC27-973E-45EB-ABEA-80DB661A68D3}" type="parTrans" cxnId="{ACE0D6AF-F5CF-4526-A47A-2D28CAFAA022}">
      <dgm:prSet/>
      <dgm:spPr/>
      <dgm:t>
        <a:bodyPr/>
        <a:lstStyle/>
        <a:p>
          <a:endParaRPr lang="en-US"/>
        </a:p>
      </dgm:t>
    </dgm:pt>
    <dgm:pt modelId="{C276A52F-C80A-4C1D-865C-4B0A2829AAC1}" type="sibTrans" cxnId="{ACE0D6AF-F5CF-4526-A47A-2D28CAFAA022}">
      <dgm:prSet/>
      <dgm:spPr/>
      <dgm:t>
        <a:bodyPr/>
        <a:lstStyle/>
        <a:p>
          <a:endParaRPr lang="en-US"/>
        </a:p>
      </dgm:t>
    </dgm:pt>
    <dgm:pt modelId="{EEE880FE-957E-459F-A8EB-8F44DEEE58C7}">
      <dgm:prSet phldrT="[Text]" custT="1"/>
      <dgm:spPr/>
      <dgm:t>
        <a:bodyPr/>
        <a:lstStyle/>
        <a:p>
          <a:r>
            <a:rPr lang="en-US" sz="1000"/>
            <a:t>Data collection occurs 6/24 - 10/24</a:t>
          </a:r>
        </a:p>
      </dgm:t>
    </dgm:pt>
    <dgm:pt modelId="{822D238A-2F71-41DA-AFEC-AE578DBF2072}" type="parTrans" cxnId="{A3F73E42-B226-45D9-9AF4-990D83FAB77A}">
      <dgm:prSet/>
      <dgm:spPr/>
      <dgm:t>
        <a:bodyPr/>
        <a:lstStyle/>
        <a:p>
          <a:endParaRPr lang="en-US"/>
        </a:p>
      </dgm:t>
    </dgm:pt>
    <dgm:pt modelId="{575370B1-9380-4700-8059-2F81C5DD7321}" type="sibTrans" cxnId="{A3F73E42-B226-45D9-9AF4-990D83FAB77A}">
      <dgm:prSet/>
      <dgm:spPr/>
      <dgm:t>
        <a:bodyPr/>
        <a:lstStyle/>
        <a:p>
          <a:endParaRPr lang="en-US"/>
        </a:p>
      </dgm:t>
    </dgm:pt>
    <dgm:pt modelId="{B72F4079-DCED-4C18-BFD5-D248CB86D8DE}">
      <dgm:prSet phldrT="[Text]" custT="1"/>
      <dgm:spPr/>
      <dgm:t>
        <a:bodyPr/>
        <a:lstStyle/>
        <a:p>
          <a:r>
            <a:rPr lang="en-US" sz="800"/>
            <a:t>grantee survey (cohorts 1 and 2) and focus groups (cohorts 1 and 2)</a:t>
          </a:r>
        </a:p>
      </dgm:t>
    </dgm:pt>
    <dgm:pt modelId="{656D96D1-46D4-4499-A5AB-BB088844EA29}" type="parTrans" cxnId="{6F3ED153-307C-4E9E-9102-4920048BADFA}">
      <dgm:prSet/>
      <dgm:spPr/>
      <dgm:t>
        <a:bodyPr/>
        <a:lstStyle/>
        <a:p>
          <a:endParaRPr lang="en-US"/>
        </a:p>
      </dgm:t>
    </dgm:pt>
    <dgm:pt modelId="{E58968CA-5FE2-47A9-B821-54E789D2764C}" type="sibTrans" cxnId="{6F3ED153-307C-4E9E-9102-4920048BADFA}">
      <dgm:prSet/>
      <dgm:spPr/>
      <dgm:t>
        <a:bodyPr/>
        <a:lstStyle/>
        <a:p>
          <a:endParaRPr lang="en-US"/>
        </a:p>
      </dgm:t>
    </dgm:pt>
    <dgm:pt modelId="{0B4E3599-A849-49C4-8C99-F606D4D725D7}">
      <dgm:prSet phldrT="[Text]" custT="1"/>
      <dgm:spPr/>
      <dgm:t>
        <a:bodyPr/>
        <a:lstStyle/>
        <a:p>
          <a:r>
            <a:rPr lang="en-US" sz="1000"/>
            <a:t>Analysis occurs 11/24-1/25</a:t>
          </a:r>
        </a:p>
      </dgm:t>
    </dgm:pt>
    <dgm:pt modelId="{FB73A1F4-BABC-442A-B951-B327009DBB3A}" type="parTrans" cxnId="{503CF896-CE45-4540-85DB-C893C1526C84}">
      <dgm:prSet/>
      <dgm:spPr/>
      <dgm:t>
        <a:bodyPr/>
        <a:lstStyle/>
        <a:p>
          <a:endParaRPr lang="en-US"/>
        </a:p>
      </dgm:t>
    </dgm:pt>
    <dgm:pt modelId="{15A18910-D711-4DB7-B11E-B2C2C87EB190}" type="sibTrans" cxnId="{503CF896-CE45-4540-85DB-C893C1526C84}">
      <dgm:prSet/>
      <dgm:spPr/>
      <dgm:t>
        <a:bodyPr/>
        <a:lstStyle/>
        <a:p>
          <a:endParaRPr lang="en-US"/>
        </a:p>
      </dgm:t>
    </dgm:pt>
    <dgm:pt modelId="{9F921871-B9C6-4D63-B536-776888855DEF}">
      <dgm:prSet phldrT="[Text]" custT="1"/>
      <dgm:spPr/>
      <dgm:t>
        <a:bodyPr/>
        <a:lstStyle/>
        <a:p>
          <a:r>
            <a:rPr lang="en-US" sz="800"/>
            <a:t>Partners</a:t>
          </a:r>
        </a:p>
      </dgm:t>
    </dgm:pt>
    <dgm:pt modelId="{9C19FBBB-F4C6-42B3-B940-F680FC82E806}" type="parTrans" cxnId="{F27FF2A3-C4A3-4E55-8E71-43689D8CCCF6}">
      <dgm:prSet/>
      <dgm:spPr/>
      <dgm:t>
        <a:bodyPr/>
        <a:lstStyle/>
        <a:p>
          <a:endParaRPr lang="en-US"/>
        </a:p>
      </dgm:t>
    </dgm:pt>
    <dgm:pt modelId="{A0578430-2A06-4DF3-B130-A6CDD765A99B}" type="sibTrans" cxnId="{F27FF2A3-C4A3-4E55-8E71-43689D8CCCF6}">
      <dgm:prSet/>
      <dgm:spPr/>
      <dgm:t>
        <a:bodyPr/>
        <a:lstStyle/>
        <a:p>
          <a:endParaRPr lang="en-US"/>
        </a:p>
      </dgm:t>
    </dgm:pt>
    <dgm:pt modelId="{2E13BB78-03F2-49FC-93F4-E69A7F9B389D}">
      <dgm:prSet phldrT="[Text]" custT="1"/>
      <dgm:spPr/>
      <dgm:t>
        <a:bodyPr/>
        <a:lstStyle/>
        <a:p>
          <a:r>
            <a:rPr lang="en-US" sz="800"/>
            <a:t>partner interview </a:t>
          </a:r>
        </a:p>
      </dgm:t>
    </dgm:pt>
    <dgm:pt modelId="{A6A9A9F5-E248-4771-AF37-F717F400D1DD}" type="parTrans" cxnId="{D46573F4-0F3D-46A1-9618-7A68119F5EF2}">
      <dgm:prSet/>
      <dgm:spPr/>
      <dgm:t>
        <a:bodyPr/>
        <a:lstStyle/>
        <a:p>
          <a:endParaRPr lang="en-US"/>
        </a:p>
      </dgm:t>
    </dgm:pt>
    <dgm:pt modelId="{7015787C-7BE3-4ADC-BA7A-BFA487D13B57}" type="sibTrans" cxnId="{D46573F4-0F3D-46A1-9618-7A68119F5EF2}">
      <dgm:prSet/>
      <dgm:spPr/>
      <dgm:t>
        <a:bodyPr/>
        <a:lstStyle/>
        <a:p>
          <a:endParaRPr lang="en-US"/>
        </a:p>
      </dgm:t>
    </dgm:pt>
    <dgm:pt modelId="{EB3E4A2B-7F87-4946-82A4-BE8E7EE68F6C}">
      <dgm:prSet phldrT="[Text]" custT="1"/>
      <dgm:spPr/>
      <dgm:t>
        <a:bodyPr/>
        <a:lstStyle/>
        <a:p>
          <a:r>
            <a:rPr lang="en-US" sz="1000"/>
            <a:t>Reporting occurs 2/25-3/25</a:t>
          </a:r>
        </a:p>
      </dgm:t>
    </dgm:pt>
    <dgm:pt modelId="{F0DFFF06-8882-470D-AD35-731C0D104E59}" type="parTrans" cxnId="{C30C78E9-7F90-457B-AEFE-B8B702D09476}">
      <dgm:prSet/>
      <dgm:spPr/>
      <dgm:t>
        <a:bodyPr/>
        <a:lstStyle/>
        <a:p>
          <a:endParaRPr lang="en-US"/>
        </a:p>
      </dgm:t>
    </dgm:pt>
    <dgm:pt modelId="{5DE67937-0C75-4F71-991C-478391198741}" type="sibTrans" cxnId="{C30C78E9-7F90-457B-AEFE-B8B702D09476}">
      <dgm:prSet/>
      <dgm:spPr/>
      <dgm:t>
        <a:bodyPr/>
        <a:lstStyle/>
        <a:p>
          <a:endParaRPr lang="en-US"/>
        </a:p>
      </dgm:t>
    </dgm:pt>
    <dgm:pt modelId="{31DD34A6-2AEC-4370-B1DC-0D71377A9947}">
      <dgm:prSet custT="1"/>
      <dgm:spPr>
        <a:xfrm>
          <a:off x="3665219" y="3205553"/>
          <a:ext cx="5497830" cy="414039"/>
        </a:xfrm>
      </dgm:spPr>
      <dgm:t>
        <a:bodyPr/>
        <a:lstStyle/>
        <a:p>
          <a:pPr>
            <a:buChar char="•"/>
          </a:pPr>
          <a:r>
            <a:rPr lang="en-US" sz="800"/>
            <a:t>JBS analyzes the data</a:t>
          </a:r>
        </a:p>
      </dgm:t>
    </dgm:pt>
    <dgm:pt modelId="{3EEF1948-DE6A-41BE-8B75-52CCA93F2093}" type="parTrans" cxnId="{1B77E49E-BCF6-43C7-A1FE-82B4DBCF312A}">
      <dgm:prSet/>
      <dgm:spPr/>
      <dgm:t>
        <a:bodyPr/>
        <a:lstStyle/>
        <a:p>
          <a:endParaRPr lang="en-US"/>
        </a:p>
      </dgm:t>
    </dgm:pt>
    <dgm:pt modelId="{83D170F6-B9F7-4F34-BD63-98B3630B3915}" type="sibTrans" cxnId="{1B77E49E-BCF6-43C7-A1FE-82B4DBCF312A}">
      <dgm:prSet/>
      <dgm:spPr/>
      <dgm:t>
        <a:bodyPr/>
        <a:lstStyle/>
        <a:p>
          <a:endParaRPr lang="en-US"/>
        </a:p>
      </dgm:t>
    </dgm:pt>
    <dgm:pt modelId="{A0F58548-D6A4-4EDB-8067-EAD339FFB4F4}">
      <dgm:prSet custT="1"/>
      <dgm:spPr>
        <a:xfrm>
          <a:off x="3665219" y="3205553"/>
          <a:ext cx="5497830" cy="414039"/>
        </a:xfrm>
      </dgm:spPr>
      <dgm:t>
        <a:bodyPr/>
        <a:lstStyle/>
        <a:p>
          <a:pPr>
            <a:buChar char="•"/>
          </a:pPr>
          <a:r>
            <a:rPr lang="en-US" sz="800"/>
            <a:t>JBS and ORE collaborates to disseminate the findings as per Communication Plan</a:t>
          </a:r>
        </a:p>
      </dgm:t>
    </dgm:pt>
    <dgm:pt modelId="{77525557-A220-4838-BEF7-9F18473FBD6A}" type="parTrans" cxnId="{75E1717F-406A-4FF2-B687-383B0A6B2506}">
      <dgm:prSet/>
      <dgm:spPr/>
      <dgm:t>
        <a:bodyPr/>
        <a:lstStyle/>
        <a:p>
          <a:endParaRPr lang="en-US"/>
        </a:p>
      </dgm:t>
    </dgm:pt>
    <dgm:pt modelId="{D7DFB3F2-89B3-405F-93CA-1FA65F676F5D}" type="sibTrans" cxnId="{75E1717F-406A-4FF2-B687-383B0A6B2506}">
      <dgm:prSet/>
      <dgm:spPr/>
      <dgm:t>
        <a:bodyPr/>
        <a:lstStyle/>
        <a:p>
          <a:endParaRPr lang="en-US"/>
        </a:p>
      </dgm:t>
    </dgm:pt>
    <dgm:pt modelId="{B586E7DB-A6D2-4A3A-8CCB-6C15B18A81B7}" type="pres">
      <dgm:prSet presAssocID="{9FE65BF1-27D5-487A-A4EE-AE628EE37D44}" presName="Name0" presStyleCnt="0">
        <dgm:presLayoutVars>
          <dgm:dir val="norm"/>
          <dgm:animLvl val="lvl"/>
          <dgm:resizeHandles val="rel"/>
        </dgm:presLayoutVars>
      </dgm:prSet>
      <dgm:spPr/>
    </dgm:pt>
    <dgm:pt modelId="{2DF1E708-E5F1-4550-B3C8-5E28F712FD8A}" type="pres">
      <dgm:prSet presAssocID="{7911ED47-E3D7-4C27-BD21-81AF304BE032}" presName="linNode" presStyleCnt="0"/>
      <dgm:spPr/>
    </dgm:pt>
    <dgm:pt modelId="{574C98D0-D8D5-4D26-9C51-B837068D6D6B}" type="pres">
      <dgm:prSet presAssocID="{7911ED47-E3D7-4C27-BD21-81AF304BE032}" presName="parentShp" presStyleLbl="node1" presStyleIdx="0" presStyleCnt="4">
        <dgm:presLayoutVars>
          <dgm:bulletEnabled val="1"/>
        </dgm:presLayoutVars>
      </dgm:prSet>
      <dgm:spPr/>
    </dgm:pt>
    <dgm:pt modelId="{6229EE26-40FE-46C3-BBF6-BD75D945755D}" type="pres">
      <dgm:prSet presAssocID="{7911ED47-E3D7-4C27-BD21-81AF304BE032}" presName="childShp" presStyleLbl="bgAccFollowNode1" presStyleIdx="0" presStyleCnt="4">
        <dgm:presLayoutVars>
          <dgm:bulletEnabled val="1"/>
        </dgm:presLayoutVars>
      </dgm:prSet>
      <dgm:spPr/>
    </dgm:pt>
    <dgm:pt modelId="{73E8AF05-F5FD-4C98-B939-3B28756D63DE}" type="pres">
      <dgm:prSet presAssocID="{8EDBBE6F-C895-4E3D-B8C9-9C3ABF1DCE47}" presName="spacing" presStyleCnt="0"/>
      <dgm:spPr/>
    </dgm:pt>
    <dgm:pt modelId="{6EDB26C8-1264-4DF9-8E31-F678E2EC0A52}" type="pres">
      <dgm:prSet presAssocID="{EEE880FE-957E-459F-A8EB-8F44DEEE58C7}" presName="linNode" presStyleCnt="0"/>
      <dgm:spPr/>
    </dgm:pt>
    <dgm:pt modelId="{04B0ECC3-0A3A-4683-942B-F9106ADE1C91}" type="pres">
      <dgm:prSet presAssocID="{EEE880FE-957E-459F-A8EB-8F44DEEE58C7}" presName="parentShp" presStyleLbl="node1" presStyleIdx="1" presStyleCnt="4">
        <dgm:presLayoutVars>
          <dgm:bulletEnabled val="1"/>
        </dgm:presLayoutVars>
      </dgm:prSet>
      <dgm:spPr/>
    </dgm:pt>
    <dgm:pt modelId="{383BB83B-B2BE-48CC-B54F-C7570DEF8101}" type="pres">
      <dgm:prSet presAssocID="{EEE880FE-957E-459F-A8EB-8F44DEEE58C7}" presName="childShp" presStyleLbl="bgAccFollowNode1" presStyleIdx="1" presStyleCnt="4">
        <dgm:presLayoutVars>
          <dgm:bulletEnabled val="1"/>
        </dgm:presLayoutVars>
      </dgm:prSet>
      <dgm:spPr/>
    </dgm:pt>
    <dgm:pt modelId="{C0BCF1F5-B742-460D-AEFE-8026168A0CE1}" type="pres">
      <dgm:prSet presAssocID="{575370B1-9380-4700-8059-2F81C5DD7321}" presName="spacing" presStyleCnt="0"/>
      <dgm:spPr/>
    </dgm:pt>
    <dgm:pt modelId="{88C942EB-6CB4-4CC5-B35B-139BDED2D0A7}" type="pres">
      <dgm:prSet presAssocID="{0B4E3599-A849-49C4-8C99-F606D4D725D7}" presName="linNode" presStyleCnt="0"/>
      <dgm:spPr/>
    </dgm:pt>
    <dgm:pt modelId="{E45F0964-0B19-4052-A71A-7BB59A274590}" type="pres">
      <dgm:prSet presAssocID="{0B4E3599-A849-49C4-8C99-F606D4D725D7}" presName="parentShp" presStyleLbl="node1" presStyleIdx="2" presStyleCnt="4">
        <dgm:presLayoutVars>
          <dgm:bulletEnabled val="1"/>
        </dgm:presLayoutVars>
      </dgm:prSet>
      <dgm:spPr/>
    </dgm:pt>
    <dgm:pt modelId="{7E29728C-CAAF-4BE1-B6C5-841C1CF3553B}" type="pres">
      <dgm:prSet presAssocID="{0B4E3599-A849-49C4-8C99-F606D4D725D7}" presName="childShp" presStyleLbl="bgAccFollowNode1" presStyleIdx="2" presStyleCnt="4">
        <dgm:presLayoutVars>
          <dgm:bulletEnabled val="1"/>
        </dgm:presLayoutVars>
      </dgm:prSet>
      <dgm:spPr>
        <a:prstGeom prst="rightArrow">
          <a:avLst>
            <a:gd name="adj1" fmla="val 75000"/>
            <a:gd name="adj2" fmla="val 50000"/>
          </a:avLst>
        </a:prstGeom>
      </dgm:spPr>
    </dgm:pt>
    <dgm:pt modelId="{6E6444DF-99B2-47BA-9F0D-94A1D73D3E8D}" type="pres">
      <dgm:prSet presAssocID="{15A18910-D711-4DB7-B11E-B2C2C87EB190}" presName="spacing" presStyleCnt="0"/>
      <dgm:spPr/>
    </dgm:pt>
    <dgm:pt modelId="{3BF83002-1F33-421F-9680-ABB5AF127FB0}" type="pres">
      <dgm:prSet presAssocID="{EB3E4A2B-7F87-4946-82A4-BE8E7EE68F6C}" presName="linNode" presStyleCnt="0"/>
      <dgm:spPr/>
    </dgm:pt>
    <dgm:pt modelId="{D05747D2-6045-4DAF-A4C7-520C24BFB243}" type="pres">
      <dgm:prSet presAssocID="{EB3E4A2B-7F87-4946-82A4-BE8E7EE68F6C}" presName="parentShp" presStyleLbl="node1" presStyleIdx="3" presStyleCnt="4">
        <dgm:presLayoutVars>
          <dgm:bulletEnabled val="1"/>
        </dgm:presLayoutVars>
      </dgm:prSet>
      <dgm:spPr/>
    </dgm:pt>
    <dgm:pt modelId="{E6F4679A-0E88-4BFB-A9FC-682821557CDF}" type="pres">
      <dgm:prSet presAssocID="{EB3E4A2B-7F87-4946-82A4-BE8E7EE68F6C}" presName="childShp" presStyleLbl="bgAccFollowNode1" presStyleIdx="3" presStyleCnt="4">
        <dgm:presLayoutVars>
          <dgm:bulletEnabled val="1"/>
        </dgm:presLayoutVars>
      </dgm:prSet>
      <dgm:spPr>
        <a:prstGeom prst="rightArrow">
          <a:avLst>
            <a:gd name="adj1" fmla="val 75000"/>
            <a:gd name="adj2" fmla="val 50000"/>
          </a:avLst>
        </a:prstGeom>
      </dgm:spPr>
    </dgm:pt>
  </dgm:ptLst>
  <dgm:cxnLst>
    <dgm:cxn modelId="{3A34D500-BFC9-4848-A8B6-8BBAD9C025BB}" type="presOf" srcId="{31DD34A6-2AEC-4370-B1DC-0D71377A9947}" destId="{7E29728C-CAAF-4BE1-B6C5-841C1CF3553B}" srcOrd="0" destOrd="0" presId="urn:microsoft.com/office/officeart/2005/8/layout/vList6"/>
    <dgm:cxn modelId="{A8CE6F06-89C1-4272-A2D4-983FDBCAE5ED}" srcId="{9FE65BF1-27D5-487A-A4EE-AE628EE37D44}" destId="{7911ED47-E3D7-4C27-BD21-81AF304BE032}" srcOrd="0" destOrd="0" parTransId="{99F79790-353D-4F31-9FC4-643C140A962E}" sibTransId="{8EDBBE6F-C895-4E3D-B8C9-9C3ABF1DCE47}"/>
    <dgm:cxn modelId="{3FC0180A-157C-46EA-940A-4AA4E81ECDE7}" type="presOf" srcId="{9FE65BF1-27D5-487A-A4EE-AE628EE37D44}" destId="{B586E7DB-A6D2-4A3A-8CCB-6C15B18A81B7}" srcOrd="0" destOrd="0" presId="urn:microsoft.com/office/officeart/2005/8/layout/vList6"/>
    <dgm:cxn modelId="{E52D4E1A-D980-4225-BDFA-6CA225B33EDD}" type="presOf" srcId="{EB3E4A2B-7F87-4946-82A4-BE8E7EE68F6C}" destId="{D05747D2-6045-4DAF-A4C7-520C24BFB243}" srcOrd="0" destOrd="0" presId="urn:microsoft.com/office/officeart/2005/8/layout/vList6"/>
    <dgm:cxn modelId="{A3F73E42-B226-45D9-9AF4-990D83FAB77A}" srcId="{9FE65BF1-27D5-487A-A4EE-AE628EE37D44}" destId="{EEE880FE-957E-459F-A8EB-8F44DEEE58C7}" srcOrd="1" destOrd="0" parTransId="{822D238A-2F71-41DA-AFEC-AE578DBF2072}" sibTransId="{575370B1-9380-4700-8059-2F81C5DD7321}"/>
    <dgm:cxn modelId="{FC3C2E6B-B54C-46C7-8D2A-815B1AC20522}" type="presOf" srcId="{A0F58548-D6A4-4EDB-8067-EAD339FFB4F4}" destId="{E6F4679A-0E88-4BFB-A9FC-682821557CDF}" srcOrd="0" destOrd="0" presId="urn:microsoft.com/office/officeart/2005/8/layout/vList6"/>
    <dgm:cxn modelId="{CBDE596D-647B-4E69-8152-07E83BCEF262}" type="presOf" srcId="{0B4E3599-A849-49C4-8C99-F606D4D725D7}" destId="{E45F0964-0B19-4052-A71A-7BB59A274590}" srcOrd="0" destOrd="0" presId="urn:microsoft.com/office/officeart/2005/8/layout/vList6"/>
    <dgm:cxn modelId="{6F3ED153-307C-4E9E-9102-4920048BADFA}" srcId="{EEE880FE-957E-459F-A8EB-8F44DEEE58C7}" destId="{B72F4079-DCED-4C18-BFD5-D248CB86D8DE}" srcOrd="0" destOrd="0" parTransId="{656D96D1-46D4-4499-A5AB-BB088844EA29}" sibTransId="{E58968CA-5FE2-47A9-B821-54E789D2764C}"/>
    <dgm:cxn modelId="{75E1717F-406A-4FF2-B687-383B0A6B2506}" srcId="{EB3E4A2B-7F87-4946-82A4-BE8E7EE68F6C}" destId="{A0F58548-D6A4-4EDB-8067-EAD339FFB4F4}" srcOrd="0" destOrd="0" parTransId="{77525557-A220-4838-BEF7-9F18473FBD6A}" sibTransId="{D7DFB3F2-89B3-405F-93CA-1FA65F676F5D}"/>
    <dgm:cxn modelId="{E6F6698B-33CE-4296-B48F-77A97F33EED3}" type="presOf" srcId="{DA2C2BD0-72CB-48A5-A287-959176FDEEEE}" destId="{6229EE26-40FE-46C3-BBF6-BD75D945755D}" srcOrd="0" destOrd="0" presId="urn:microsoft.com/office/officeart/2005/8/layout/vList6"/>
    <dgm:cxn modelId="{503CF896-CE45-4540-85DB-C893C1526C84}" srcId="{9FE65BF1-27D5-487A-A4EE-AE628EE37D44}" destId="{0B4E3599-A849-49C4-8C99-F606D4D725D7}" srcOrd="2" destOrd="0" parTransId="{FB73A1F4-BABC-442A-B951-B327009DBB3A}" sibTransId="{15A18910-D711-4DB7-B11E-B2C2C87EB190}"/>
    <dgm:cxn modelId="{1B77E49E-BCF6-43C7-A1FE-82B4DBCF312A}" srcId="{0B4E3599-A849-49C4-8C99-F606D4D725D7}" destId="{31DD34A6-2AEC-4370-B1DC-0D71377A9947}" srcOrd="0" destOrd="0" parTransId="{3EEF1948-DE6A-41BE-8B75-52CCA93F2093}" sibTransId="{83D170F6-B9F7-4F34-BD63-98B3630B3915}"/>
    <dgm:cxn modelId="{F27FF2A3-C4A3-4E55-8E71-43689D8CCCF6}" srcId="{7911ED47-E3D7-4C27-BD21-81AF304BE032}" destId="{9F921871-B9C6-4D63-B536-776888855DEF}" srcOrd="1" destOrd="0" parTransId="{9C19FBBB-F4C6-42B3-B940-F680FC82E806}" sibTransId="{A0578430-2A06-4DF3-B130-A6CDD765A99B}"/>
    <dgm:cxn modelId="{680AF9AE-3FE2-4C2D-8507-7D9AAA66F11E}" type="presOf" srcId="{B72F4079-DCED-4C18-BFD5-D248CB86D8DE}" destId="{383BB83B-B2BE-48CC-B54F-C7570DEF8101}" srcOrd="0" destOrd="0" presId="urn:microsoft.com/office/officeart/2005/8/layout/vList6"/>
    <dgm:cxn modelId="{ACE0D6AF-F5CF-4526-A47A-2D28CAFAA022}" srcId="{7911ED47-E3D7-4C27-BD21-81AF304BE032}" destId="{DA2C2BD0-72CB-48A5-A287-959176FDEEEE}" srcOrd="0" destOrd="0" parTransId="{5DCAAC27-973E-45EB-ABEA-80DB661A68D3}" sibTransId="{C276A52F-C80A-4C1D-865C-4B0A2829AAC1}"/>
    <dgm:cxn modelId="{C70E31B4-8960-4216-A0F4-BAED649BAAD8}" type="presOf" srcId="{EEE880FE-957E-459F-A8EB-8F44DEEE58C7}" destId="{04B0ECC3-0A3A-4683-942B-F9106ADE1C91}" srcOrd="0" destOrd="0" presId="urn:microsoft.com/office/officeart/2005/8/layout/vList6"/>
    <dgm:cxn modelId="{326A71B8-E48D-43FD-8B4B-62ACD00C5CAD}" type="presOf" srcId="{7911ED47-E3D7-4C27-BD21-81AF304BE032}" destId="{574C98D0-D8D5-4D26-9C51-B837068D6D6B}" srcOrd="0" destOrd="0" presId="urn:microsoft.com/office/officeart/2005/8/layout/vList6"/>
    <dgm:cxn modelId="{C30C78E9-7F90-457B-AEFE-B8B702D09476}" srcId="{9FE65BF1-27D5-487A-A4EE-AE628EE37D44}" destId="{EB3E4A2B-7F87-4946-82A4-BE8E7EE68F6C}" srcOrd="3" destOrd="0" parTransId="{F0DFFF06-8882-470D-AD35-731C0D104E59}" sibTransId="{5DE67937-0C75-4F71-991C-478391198741}"/>
    <dgm:cxn modelId="{1B725AF0-42C6-4D3B-9B86-461029DB21D4}" type="presOf" srcId="{2E13BB78-03F2-49FC-93F4-E69A7F9B389D}" destId="{383BB83B-B2BE-48CC-B54F-C7570DEF8101}" srcOrd="0" destOrd="1" presId="urn:microsoft.com/office/officeart/2005/8/layout/vList6"/>
    <dgm:cxn modelId="{B767B1F0-5286-4435-91BB-0E72E802402A}" type="presOf" srcId="{9F921871-B9C6-4D63-B536-776888855DEF}" destId="{6229EE26-40FE-46C3-BBF6-BD75D945755D}" srcOrd="0" destOrd="1" presId="urn:microsoft.com/office/officeart/2005/8/layout/vList6"/>
    <dgm:cxn modelId="{D46573F4-0F3D-46A1-9618-7A68119F5EF2}" srcId="{EEE880FE-957E-459F-A8EB-8F44DEEE58C7}" destId="{2E13BB78-03F2-49FC-93F4-E69A7F9B389D}" srcOrd="1" destOrd="0" parTransId="{A6A9A9F5-E248-4771-AF37-F717F400D1DD}" sibTransId="{7015787C-7BE3-4ADC-BA7A-BFA487D13B57}"/>
    <dgm:cxn modelId="{3264F2B6-E57E-4599-B4A3-FE60DB25D1AF}" type="presParOf" srcId="{B586E7DB-A6D2-4A3A-8CCB-6C15B18A81B7}" destId="{2DF1E708-E5F1-4550-B3C8-5E28F712FD8A}" srcOrd="0" destOrd="0" presId="urn:microsoft.com/office/officeart/2005/8/layout/vList6"/>
    <dgm:cxn modelId="{117E949D-A916-46FA-A42A-600D19B0D0C5}" type="presParOf" srcId="{2DF1E708-E5F1-4550-B3C8-5E28F712FD8A}" destId="{574C98D0-D8D5-4D26-9C51-B837068D6D6B}" srcOrd="0" destOrd="0" presId="urn:microsoft.com/office/officeart/2005/8/layout/vList6"/>
    <dgm:cxn modelId="{34239A9F-251D-4A7C-A872-7B41DB2417DA}" type="presParOf" srcId="{2DF1E708-E5F1-4550-B3C8-5E28F712FD8A}" destId="{6229EE26-40FE-46C3-BBF6-BD75D945755D}" srcOrd="1" destOrd="0" presId="urn:microsoft.com/office/officeart/2005/8/layout/vList6"/>
    <dgm:cxn modelId="{41768866-E52C-4C50-84E7-83BE94FE67C5}" type="presParOf" srcId="{B586E7DB-A6D2-4A3A-8CCB-6C15B18A81B7}" destId="{73E8AF05-F5FD-4C98-B939-3B28756D63DE}" srcOrd="1" destOrd="0" presId="urn:microsoft.com/office/officeart/2005/8/layout/vList6"/>
    <dgm:cxn modelId="{1D8EA413-F05F-4D1F-A307-F35D60D358C3}" type="presParOf" srcId="{B586E7DB-A6D2-4A3A-8CCB-6C15B18A81B7}" destId="{6EDB26C8-1264-4DF9-8E31-F678E2EC0A52}" srcOrd="2" destOrd="0" presId="urn:microsoft.com/office/officeart/2005/8/layout/vList6"/>
    <dgm:cxn modelId="{2DB69D21-8FDE-45E9-ADBE-71E927F3EFBE}" type="presParOf" srcId="{6EDB26C8-1264-4DF9-8E31-F678E2EC0A52}" destId="{04B0ECC3-0A3A-4683-942B-F9106ADE1C91}" srcOrd="0" destOrd="0" presId="urn:microsoft.com/office/officeart/2005/8/layout/vList6"/>
    <dgm:cxn modelId="{2D688B32-E09B-4EBB-8FFA-94689B4115E3}" type="presParOf" srcId="{6EDB26C8-1264-4DF9-8E31-F678E2EC0A52}" destId="{383BB83B-B2BE-48CC-B54F-C7570DEF8101}" srcOrd="1" destOrd="0" presId="urn:microsoft.com/office/officeart/2005/8/layout/vList6"/>
    <dgm:cxn modelId="{9132A67F-E446-4953-8662-ED6CF8E8B612}" type="presParOf" srcId="{B586E7DB-A6D2-4A3A-8CCB-6C15B18A81B7}" destId="{C0BCF1F5-B742-460D-AEFE-8026168A0CE1}" srcOrd="3" destOrd="0" presId="urn:microsoft.com/office/officeart/2005/8/layout/vList6"/>
    <dgm:cxn modelId="{8B6D724B-AA18-424A-A8FE-65BA09E430DE}" type="presParOf" srcId="{B586E7DB-A6D2-4A3A-8CCB-6C15B18A81B7}" destId="{88C942EB-6CB4-4CC5-B35B-139BDED2D0A7}" srcOrd="4" destOrd="0" presId="urn:microsoft.com/office/officeart/2005/8/layout/vList6"/>
    <dgm:cxn modelId="{682F376E-D8C9-4527-B4EA-A37DB5118912}" type="presParOf" srcId="{88C942EB-6CB4-4CC5-B35B-139BDED2D0A7}" destId="{E45F0964-0B19-4052-A71A-7BB59A274590}" srcOrd="0" destOrd="0" presId="urn:microsoft.com/office/officeart/2005/8/layout/vList6"/>
    <dgm:cxn modelId="{5A24F668-87DF-46CF-88D5-738D42C55595}" type="presParOf" srcId="{88C942EB-6CB4-4CC5-B35B-139BDED2D0A7}" destId="{7E29728C-CAAF-4BE1-B6C5-841C1CF3553B}" srcOrd="1" destOrd="0" presId="urn:microsoft.com/office/officeart/2005/8/layout/vList6"/>
    <dgm:cxn modelId="{335DF8BB-2875-4A8D-BEDA-C004046A44B5}" type="presParOf" srcId="{B586E7DB-A6D2-4A3A-8CCB-6C15B18A81B7}" destId="{6E6444DF-99B2-47BA-9F0D-94A1D73D3E8D}" srcOrd="5" destOrd="0" presId="urn:microsoft.com/office/officeart/2005/8/layout/vList6"/>
    <dgm:cxn modelId="{5A3555D9-E440-4CC0-A89B-F78CE9F1FD0E}" type="presParOf" srcId="{B586E7DB-A6D2-4A3A-8CCB-6C15B18A81B7}" destId="{3BF83002-1F33-421F-9680-ABB5AF127FB0}" srcOrd="6" destOrd="0" presId="urn:microsoft.com/office/officeart/2005/8/layout/vList6"/>
    <dgm:cxn modelId="{3B420F4C-6C54-4618-8608-0C33510D9841}" type="presParOf" srcId="{3BF83002-1F33-421F-9680-ABB5AF127FB0}" destId="{D05747D2-6045-4DAF-A4C7-520C24BFB243}" srcOrd="0" destOrd="0" presId="urn:microsoft.com/office/officeart/2005/8/layout/vList6"/>
    <dgm:cxn modelId="{B3DA13A8-C479-4277-AD11-047B99E7E82C}" type="presParOf" srcId="{3BF83002-1F33-421F-9680-ABB5AF127FB0}" destId="{E6F4679A-0E88-4BFB-A9FC-682821557CDF}" srcOrd="1" destOrd="0" presId="urn:microsoft.com/office/officeart/2005/8/layout/vList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3"/>
    </a:ext>
  </dgm:extLst>
</dgm:dataModel>
</file>

<file path=word/diagrams/data2.xml><?xml version="1.0" encoding="utf-8"?>
<dgm:dataModel xmlns:dgm="http://schemas.openxmlformats.org/drawingml/2006/diagram" xmlns:a="http://schemas.openxmlformats.org/drawingml/2006/main">
  <dgm:ptLst>
    <dgm:pt modelId="{9FE65BF1-27D5-487A-A4EE-AE628EE37D44}" type="doc">
      <dgm:prSet loTypeId="urn:microsoft.com/office/officeart/2005/8/layout/vList6" loCatId="process" qsTypeId="urn:microsoft.com/office/officeart/2005/8/quickstyle/simple1" qsCatId="simple" csTypeId="urn:microsoft.com/office/officeart/2005/8/colors/colorful2" csCatId="colorful" phldr="1"/>
      <dgm:spPr/>
      <dgm:t>
        <a:bodyPr/>
        <a:lstStyle/>
        <a:p>
          <a:endParaRPr lang="en-US"/>
        </a:p>
      </dgm:t>
    </dgm:pt>
    <dgm:pt modelId="{7911ED47-E3D7-4C27-BD21-81AF304BE032}">
      <dgm:prSet phldrT="[Text]"/>
      <dgm:spPr>
        <a:xfrm>
          <a:off x="0" y="1663"/>
          <a:ext cx="3665220" cy="414039"/>
        </a:xfrm>
        <a:prstGeom prst="roundRect">
          <a:avLst/>
        </a:prstGeom>
      </dgm:spPr>
      <dgm:t>
        <a:bodyPr/>
        <a:lstStyle/>
        <a:p>
          <a:pPr>
            <a:buNone/>
          </a:pPr>
          <a:r>
            <a:rPr lang="en-US">
              <a:latin typeface="Calibri" panose="020F0502020204030204"/>
              <a:ea typeface="+mn-ea"/>
              <a:cs typeface="+mn-cs"/>
            </a:rPr>
            <a:t>Outcome and impact evaluation Participants </a:t>
          </a:r>
        </a:p>
      </dgm:t>
    </dgm:pt>
    <dgm:pt modelId="{99F79790-353D-4F31-9FC4-643C140A962E}" type="parTrans" cxnId="{A8CE6F06-89C1-4272-A2D4-983FDBCAE5ED}">
      <dgm:prSet/>
      <dgm:spPr/>
      <dgm:t>
        <a:bodyPr/>
        <a:lstStyle/>
        <a:p>
          <a:endParaRPr lang="en-US"/>
        </a:p>
      </dgm:t>
    </dgm:pt>
    <dgm:pt modelId="{8EDBBE6F-C895-4E3D-B8C9-9C3ABF1DCE47}" type="sibTrans" cxnId="{A8CE6F06-89C1-4272-A2D4-983FDBCAE5ED}">
      <dgm:prSet/>
      <dgm:spPr/>
      <dgm:t>
        <a:bodyPr/>
        <a:lstStyle/>
        <a:p>
          <a:endParaRPr lang="en-US"/>
        </a:p>
      </dgm:t>
    </dgm:pt>
    <dgm:pt modelId="{DA2C2BD0-72CB-48A5-A287-959176FDEEEE}">
      <dgm:prSet phldrT="[Text]" custT="1"/>
      <dgm:spPr>
        <a:xfrm>
          <a:off x="3665219" y="1663"/>
          <a:ext cx="5497830" cy="414039"/>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Alumni</a:t>
          </a:r>
        </a:p>
      </dgm:t>
    </dgm:pt>
    <dgm:pt modelId="{5DCAAC27-973E-45EB-ABEA-80DB661A68D3}" type="parTrans" cxnId="{ACE0D6AF-F5CF-4526-A47A-2D28CAFAA022}">
      <dgm:prSet/>
      <dgm:spPr/>
      <dgm:t>
        <a:bodyPr/>
        <a:lstStyle/>
        <a:p>
          <a:endParaRPr lang="en-US"/>
        </a:p>
      </dgm:t>
    </dgm:pt>
    <dgm:pt modelId="{C276A52F-C80A-4C1D-865C-4B0A2829AAC1}" type="sibTrans" cxnId="{ACE0D6AF-F5CF-4526-A47A-2D28CAFAA022}">
      <dgm:prSet/>
      <dgm:spPr/>
      <dgm:t>
        <a:bodyPr/>
        <a:lstStyle/>
        <a:p>
          <a:endParaRPr lang="en-US"/>
        </a:p>
      </dgm:t>
    </dgm:pt>
    <dgm:pt modelId="{EEE880FE-957E-459F-A8EB-8F44DEEE58C7}">
      <dgm:prSet phldrT="[Text]"/>
      <dgm:spPr>
        <a:xfrm>
          <a:off x="8943" y="571793"/>
          <a:ext cx="3658064" cy="414039"/>
        </a:xfrm>
        <a:prstGeom prst="roundRect">
          <a:avLst/>
        </a:prstGeom>
      </dgm:spPr>
      <dgm:t>
        <a:bodyPr/>
        <a:lstStyle/>
        <a:p>
          <a:pPr>
            <a:buNone/>
          </a:pPr>
          <a:r>
            <a:rPr lang="en-US">
              <a:latin typeface="Calibri" panose="020F0502020204030204"/>
              <a:ea typeface="+mn-ea"/>
              <a:cs typeface="+mn-cs"/>
            </a:rPr>
            <a:t>Phase 1 Data collection occurs 6/24 - 10/24</a:t>
          </a:r>
        </a:p>
      </dgm:t>
    </dgm:pt>
    <dgm:pt modelId="{822D238A-2F71-41DA-AFEC-AE578DBF2072}" type="parTrans" cxnId="{A3F73E42-B226-45D9-9AF4-990D83FAB77A}">
      <dgm:prSet/>
      <dgm:spPr/>
      <dgm:t>
        <a:bodyPr/>
        <a:lstStyle/>
        <a:p>
          <a:endParaRPr lang="en-US"/>
        </a:p>
      </dgm:t>
    </dgm:pt>
    <dgm:pt modelId="{575370B1-9380-4700-8059-2F81C5DD7321}" type="sibTrans" cxnId="{A3F73E42-B226-45D9-9AF4-990D83FAB77A}">
      <dgm:prSet/>
      <dgm:spPr/>
      <dgm:t>
        <a:bodyPr/>
        <a:lstStyle/>
        <a:p>
          <a:endParaRPr lang="en-US"/>
        </a:p>
      </dgm:t>
    </dgm:pt>
    <dgm:pt modelId="{B72F4079-DCED-4C18-BFD5-D248CB86D8DE}">
      <dgm:prSet phldrT="[Text]" custT="1"/>
      <dgm:spPr>
        <a:xfrm>
          <a:off x="3667008" y="457106"/>
          <a:ext cx="5487097" cy="643413"/>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alumni (completed service between start of program and 1/24) &amp; early exit (exited program between start of program and 1/24) survey</a:t>
          </a:r>
        </a:p>
      </dgm:t>
    </dgm:pt>
    <dgm:pt modelId="{656D96D1-46D4-4499-A5AB-BB088844EA29}" type="parTrans" cxnId="{6F3ED153-307C-4E9E-9102-4920048BADFA}">
      <dgm:prSet/>
      <dgm:spPr/>
      <dgm:t>
        <a:bodyPr/>
        <a:lstStyle/>
        <a:p>
          <a:endParaRPr lang="en-US"/>
        </a:p>
      </dgm:t>
    </dgm:pt>
    <dgm:pt modelId="{E58968CA-5FE2-47A9-B821-54E789D2764C}" type="sibTrans" cxnId="{6F3ED153-307C-4E9E-9102-4920048BADFA}">
      <dgm:prSet/>
      <dgm:spPr/>
      <dgm:t>
        <a:bodyPr/>
        <a:lstStyle/>
        <a:p>
          <a:endParaRPr lang="en-US"/>
        </a:p>
      </dgm:t>
    </dgm:pt>
    <dgm:pt modelId="{0B4E3599-A849-49C4-8C99-F606D4D725D7}">
      <dgm:prSet phldrT="[Text]"/>
      <dgm:spPr>
        <a:xfrm>
          <a:off x="0" y="1141924"/>
          <a:ext cx="3665220" cy="414039"/>
        </a:xfrm>
        <a:prstGeom prst="roundRect">
          <a:avLst/>
        </a:prstGeom>
      </dgm:spPr>
      <dgm:t>
        <a:bodyPr/>
        <a:lstStyle/>
        <a:p>
          <a:pPr>
            <a:buNone/>
          </a:pPr>
          <a:r>
            <a:rPr lang="en-US">
              <a:latin typeface="Calibri" panose="020F0502020204030204"/>
              <a:ea typeface="+mn-ea"/>
              <a:cs typeface="+mn-cs"/>
            </a:rPr>
            <a:t>Analysis Occurs 11/24-1/25</a:t>
          </a:r>
        </a:p>
        <a:p>
          <a:pPr>
            <a:buNone/>
          </a:pPr>
          <a:r>
            <a:rPr lang="en-US">
              <a:latin typeface="Calibri" panose="020F0502020204030204"/>
              <a:ea typeface="+mn-ea"/>
              <a:cs typeface="+mn-cs"/>
            </a:rPr>
            <a:t>Reporting Occurs 2/25-3/25</a:t>
          </a:r>
        </a:p>
      </dgm:t>
    </dgm:pt>
    <dgm:pt modelId="{FB73A1F4-BABC-442A-B951-B327009DBB3A}" type="parTrans" cxnId="{503CF896-CE45-4540-85DB-C893C1526C84}">
      <dgm:prSet/>
      <dgm:spPr/>
      <dgm:t>
        <a:bodyPr/>
        <a:lstStyle/>
        <a:p>
          <a:endParaRPr lang="en-US"/>
        </a:p>
      </dgm:t>
    </dgm:pt>
    <dgm:pt modelId="{15A18910-D711-4DB7-B11E-B2C2C87EB190}" type="sibTrans" cxnId="{503CF896-CE45-4540-85DB-C893C1526C84}">
      <dgm:prSet/>
      <dgm:spPr/>
      <dgm:t>
        <a:bodyPr/>
        <a:lstStyle/>
        <a:p>
          <a:endParaRPr lang="en-US"/>
        </a:p>
      </dgm:t>
    </dgm:pt>
    <dgm:pt modelId="{9F921871-B9C6-4D63-B536-776888855DEF}">
      <dgm:prSet phldrT="[Text]" custT="1"/>
      <dgm:spPr>
        <a:xfrm>
          <a:off x="3665219" y="1663"/>
          <a:ext cx="5497830" cy="414039"/>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Early exit</a:t>
          </a:r>
        </a:p>
      </dgm:t>
    </dgm:pt>
    <dgm:pt modelId="{9C19FBBB-F4C6-42B3-B940-F680FC82E806}" type="parTrans" cxnId="{F27FF2A3-C4A3-4E55-8E71-43689D8CCCF6}">
      <dgm:prSet/>
      <dgm:spPr/>
      <dgm:t>
        <a:bodyPr/>
        <a:lstStyle/>
        <a:p>
          <a:endParaRPr lang="en-US"/>
        </a:p>
      </dgm:t>
    </dgm:pt>
    <dgm:pt modelId="{A0578430-2A06-4DF3-B130-A6CDD765A99B}" type="sibTrans" cxnId="{F27FF2A3-C4A3-4E55-8E71-43689D8CCCF6}">
      <dgm:prSet/>
      <dgm:spPr/>
      <dgm:t>
        <a:bodyPr/>
        <a:lstStyle/>
        <a:p>
          <a:endParaRPr lang="en-US"/>
        </a:p>
      </dgm:t>
    </dgm:pt>
    <dgm:pt modelId="{2E13BB78-03F2-49FC-93F4-E69A7F9B389D}">
      <dgm:prSet phldrT="[Text]" custT="1"/>
      <dgm:spPr>
        <a:xfrm>
          <a:off x="3667008" y="457106"/>
          <a:ext cx="5487097" cy="643413"/>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early exit interview </a:t>
          </a:r>
        </a:p>
      </dgm:t>
    </dgm:pt>
    <dgm:pt modelId="{A6A9A9F5-E248-4771-AF37-F717F400D1DD}" type="parTrans" cxnId="{D46573F4-0F3D-46A1-9618-7A68119F5EF2}">
      <dgm:prSet/>
      <dgm:spPr/>
      <dgm:t>
        <a:bodyPr/>
        <a:lstStyle/>
        <a:p>
          <a:endParaRPr lang="en-US"/>
        </a:p>
      </dgm:t>
    </dgm:pt>
    <dgm:pt modelId="{7015787C-7BE3-4ADC-BA7A-BFA487D13B57}" type="sibTrans" cxnId="{D46573F4-0F3D-46A1-9618-7A68119F5EF2}">
      <dgm:prSet/>
      <dgm:spPr/>
      <dgm:t>
        <a:bodyPr/>
        <a:lstStyle/>
        <a:p>
          <a:endParaRPr lang="en-US"/>
        </a:p>
      </dgm:t>
    </dgm:pt>
    <dgm:pt modelId="{13F2C46F-0E68-4FEE-BF97-93A9707014A7}">
      <dgm:prSet phldrT="[Text]"/>
      <dgm:spPr>
        <a:xfrm>
          <a:off x="4474" y="1718295"/>
          <a:ext cx="3661640" cy="414039"/>
        </a:xfrm>
        <a:prstGeom prst="roundRect">
          <a:avLst/>
        </a:prstGeom>
      </dgm:spPr>
      <dgm:t>
        <a:bodyPr/>
        <a:lstStyle/>
        <a:p>
          <a:pPr>
            <a:buNone/>
          </a:pPr>
          <a:r>
            <a:rPr lang="en-US">
              <a:latin typeface="Calibri" panose="020F0502020204030204"/>
              <a:ea typeface="+mn-ea"/>
              <a:cs typeface="+mn-cs"/>
            </a:rPr>
            <a:t>Phase 2 Data collection occurs 1/25- 5/25</a:t>
          </a:r>
        </a:p>
      </dgm:t>
    </dgm:pt>
    <dgm:pt modelId="{C55C54CE-DB57-4F52-852E-D90E369A1523}" type="parTrans" cxnId="{9B89138D-A6EF-4080-90DC-34C27C12764C}">
      <dgm:prSet/>
      <dgm:spPr/>
      <dgm:t>
        <a:bodyPr/>
        <a:lstStyle/>
        <a:p>
          <a:endParaRPr lang="en-US"/>
        </a:p>
      </dgm:t>
    </dgm:pt>
    <dgm:pt modelId="{1BB1E250-1828-41DD-AA67-DC52A0BF8625}" type="sibTrans" cxnId="{9B89138D-A6EF-4080-90DC-34C27C12764C}">
      <dgm:prSet/>
      <dgm:spPr/>
      <dgm:t>
        <a:bodyPr/>
        <a:lstStyle/>
        <a:p>
          <a:endParaRPr lang="en-US"/>
        </a:p>
      </dgm:t>
    </dgm:pt>
    <dgm:pt modelId="{1BEF5EF5-0A78-4D68-AF5F-5C81B17D5145}">
      <dgm:prSet phldrT="[Text]" custT="1"/>
      <dgm:spPr>
        <a:xfrm>
          <a:off x="3666114" y="1597368"/>
          <a:ext cx="5492461" cy="655892"/>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alumni (completed service between 2/24 and 1/25) &amp; early exit (exited program between 2/24 and 1/25) survey</a:t>
          </a:r>
        </a:p>
      </dgm:t>
    </dgm:pt>
    <dgm:pt modelId="{486FF618-051A-49A7-95C5-62A7B848021C}" type="parTrans" cxnId="{C6436B9B-DA53-4019-B841-4A33D237F5E7}">
      <dgm:prSet/>
      <dgm:spPr/>
      <dgm:t>
        <a:bodyPr/>
        <a:lstStyle/>
        <a:p>
          <a:endParaRPr lang="en-US"/>
        </a:p>
      </dgm:t>
    </dgm:pt>
    <dgm:pt modelId="{844FF5D8-9D78-4DD5-BA8C-1DAB2E4A60B8}" type="sibTrans" cxnId="{C6436B9B-DA53-4019-B841-4A33D237F5E7}">
      <dgm:prSet/>
      <dgm:spPr/>
      <dgm:t>
        <a:bodyPr/>
        <a:lstStyle/>
        <a:p>
          <a:endParaRPr lang="en-US"/>
        </a:p>
      </dgm:t>
    </dgm:pt>
    <dgm:pt modelId="{0F49ACAE-A953-4404-B5E4-34DB83D8C1D4}">
      <dgm:prSet phldrT="[Text]" custT="1"/>
      <dgm:spPr>
        <a:xfrm>
          <a:off x="3666114" y="1597368"/>
          <a:ext cx="5492461" cy="655892"/>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early exit interview </a:t>
          </a:r>
        </a:p>
      </dgm:t>
    </dgm:pt>
    <dgm:pt modelId="{FAC3D3C5-EBFF-44DF-B969-5B9A0E5FAB1A}" type="parTrans" cxnId="{A6AE5DD3-085E-4397-9BC8-7718022F58A3}">
      <dgm:prSet/>
      <dgm:spPr/>
      <dgm:t>
        <a:bodyPr/>
        <a:lstStyle/>
        <a:p>
          <a:endParaRPr lang="en-US"/>
        </a:p>
      </dgm:t>
    </dgm:pt>
    <dgm:pt modelId="{CBF5AB55-1A43-4229-A302-8C1CAEABE449}" type="sibTrans" cxnId="{A6AE5DD3-085E-4397-9BC8-7718022F58A3}">
      <dgm:prSet/>
      <dgm:spPr/>
      <dgm:t>
        <a:bodyPr/>
        <a:lstStyle/>
        <a:p>
          <a:endParaRPr lang="en-US"/>
        </a:p>
      </dgm:t>
    </dgm:pt>
    <dgm:pt modelId="{A1DEE15D-B79C-4773-B751-DE4369D25BAF}">
      <dgm:prSet/>
      <dgm:spPr>
        <a:xfrm>
          <a:off x="0" y="2294665"/>
          <a:ext cx="3665220" cy="414039"/>
        </a:xfrm>
        <a:prstGeom prst="roundRect">
          <a:avLst/>
        </a:prstGeom>
      </dgm:spPr>
      <dgm:t>
        <a:bodyPr/>
        <a:lstStyle/>
        <a:p>
          <a:pPr>
            <a:buNone/>
          </a:pPr>
          <a:r>
            <a:rPr lang="en-US">
              <a:latin typeface="Calibri" panose="020F0502020204030204"/>
              <a:ea typeface="+mn-ea"/>
              <a:cs typeface="+mn-cs"/>
            </a:rPr>
            <a:t>Analysis Occurs 6/25-8/25</a:t>
          </a:r>
        </a:p>
        <a:p>
          <a:pPr>
            <a:buNone/>
          </a:pPr>
          <a:r>
            <a:rPr lang="en-US">
              <a:latin typeface="Calibri" panose="020F0502020204030204"/>
              <a:ea typeface="+mn-ea"/>
              <a:cs typeface="+mn-cs"/>
            </a:rPr>
            <a:t>Reporting Occurs 9/25-11/25</a:t>
          </a:r>
        </a:p>
      </dgm:t>
    </dgm:pt>
    <dgm:pt modelId="{98190F23-A97B-4F84-B2D2-4D7CF2857066}" type="parTrans" cxnId="{01C9CB14-3859-4235-B57F-F46C57089282}">
      <dgm:prSet/>
      <dgm:spPr/>
      <dgm:t>
        <a:bodyPr/>
        <a:lstStyle/>
        <a:p>
          <a:endParaRPr lang="en-US"/>
        </a:p>
      </dgm:t>
    </dgm:pt>
    <dgm:pt modelId="{A823EF8A-810D-42B4-A632-AB8C68CA6D0D}" type="sibTrans" cxnId="{01C9CB14-3859-4235-B57F-F46C57089282}">
      <dgm:prSet/>
      <dgm:spPr/>
      <dgm:t>
        <a:bodyPr/>
        <a:lstStyle/>
        <a:p>
          <a:endParaRPr lang="en-US"/>
        </a:p>
      </dgm:t>
    </dgm:pt>
    <dgm:pt modelId="{F06A13FF-E79C-4895-A77F-7C72B52E633A}">
      <dgm:prSet/>
      <dgm:spPr>
        <a:xfrm>
          <a:off x="0" y="2750109"/>
          <a:ext cx="3665220" cy="414039"/>
        </a:xfrm>
        <a:prstGeom prst="roundRect">
          <a:avLst/>
        </a:prstGeom>
      </dgm:spPr>
      <dgm:t>
        <a:bodyPr/>
        <a:lstStyle/>
        <a:p>
          <a:pPr>
            <a:buNone/>
          </a:pPr>
          <a:r>
            <a:rPr lang="en-US">
              <a:latin typeface="Calibri" panose="020F0502020204030204"/>
              <a:ea typeface="+mn-ea"/>
              <a:cs typeface="+mn-cs"/>
            </a:rPr>
            <a:t>Phase 3 Data Collection 11/25-4/26</a:t>
          </a:r>
        </a:p>
      </dgm:t>
    </dgm:pt>
    <dgm:pt modelId="{7F691333-98CE-44CA-A3A7-CE4AB9B27DAC}" type="parTrans" cxnId="{BA5FA002-82A8-4C17-ABE2-349A2746E848}">
      <dgm:prSet/>
      <dgm:spPr/>
      <dgm:t>
        <a:bodyPr/>
        <a:lstStyle/>
        <a:p>
          <a:endParaRPr lang="en-US"/>
        </a:p>
      </dgm:t>
    </dgm:pt>
    <dgm:pt modelId="{7F2CAF5F-46A6-4B96-9E3A-9490C9FCD28D}" type="sibTrans" cxnId="{BA5FA002-82A8-4C17-ABE2-349A2746E848}">
      <dgm:prSet/>
      <dgm:spPr/>
      <dgm:t>
        <a:bodyPr/>
        <a:lstStyle/>
        <a:p>
          <a:endParaRPr lang="en-US"/>
        </a:p>
      </dgm:t>
    </dgm:pt>
    <dgm:pt modelId="{99D975F4-84D1-40CD-B53C-2E4C592932D1}">
      <dgm:prSet/>
      <dgm:spPr>
        <a:xfrm>
          <a:off x="0" y="3205553"/>
          <a:ext cx="3665220" cy="414039"/>
        </a:xfrm>
        <a:prstGeom prst="roundRect">
          <a:avLst/>
        </a:prstGeom>
      </dgm:spPr>
      <dgm:t>
        <a:bodyPr/>
        <a:lstStyle/>
        <a:p>
          <a:pPr>
            <a:buNone/>
          </a:pPr>
          <a:r>
            <a:rPr lang="en-US">
              <a:latin typeface="Calibri" panose="020F0502020204030204"/>
              <a:ea typeface="+mn-ea"/>
              <a:cs typeface="+mn-cs"/>
            </a:rPr>
            <a:t>Final Analysis Occurs 4/26-9/26</a:t>
          </a:r>
        </a:p>
      </dgm:t>
    </dgm:pt>
    <dgm:pt modelId="{6B46374F-E316-44C0-B84D-2457A3C433A5}" type="parTrans" cxnId="{A458228B-5907-49E7-95B1-06E4B5E3D7FD}">
      <dgm:prSet/>
      <dgm:spPr/>
      <dgm:t>
        <a:bodyPr/>
        <a:lstStyle/>
        <a:p>
          <a:endParaRPr lang="en-US"/>
        </a:p>
      </dgm:t>
    </dgm:pt>
    <dgm:pt modelId="{95D20B90-991F-4E68-A089-BEE98B4E9DE0}" type="sibTrans" cxnId="{A458228B-5907-49E7-95B1-06E4B5E3D7FD}">
      <dgm:prSet/>
      <dgm:spPr/>
      <dgm:t>
        <a:bodyPr/>
        <a:lstStyle/>
        <a:p>
          <a:endParaRPr lang="en-US"/>
        </a:p>
      </dgm:t>
    </dgm:pt>
    <dgm:pt modelId="{A37BA1BC-D02D-4400-AAB6-3BDE2AF68DC9}">
      <dgm:prSet custT="1"/>
      <dgm:spPr>
        <a:xfrm>
          <a:off x="3665219" y="2750109"/>
          <a:ext cx="5497830" cy="414039"/>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Follow-up Phase 1 and 2 alumni and early exit survey </a:t>
          </a:r>
        </a:p>
      </dgm:t>
    </dgm:pt>
    <dgm:pt modelId="{7994D6FD-8E56-4DA6-9D64-F87CDEB64E6F}" type="parTrans" cxnId="{949E72F4-FE0F-4EE1-9659-EFA99394D54B}">
      <dgm:prSet/>
      <dgm:spPr/>
      <dgm:t>
        <a:bodyPr/>
        <a:lstStyle/>
        <a:p>
          <a:endParaRPr lang="en-US"/>
        </a:p>
      </dgm:t>
    </dgm:pt>
    <dgm:pt modelId="{E2E8FD84-9C57-4044-B99D-3EFA6BFBF619}" type="sibTrans" cxnId="{949E72F4-FE0F-4EE1-9659-EFA99394D54B}">
      <dgm:prSet/>
      <dgm:spPr/>
      <dgm:t>
        <a:bodyPr/>
        <a:lstStyle/>
        <a:p>
          <a:endParaRPr lang="en-US"/>
        </a:p>
      </dgm:t>
    </dgm:pt>
    <dgm:pt modelId="{A32FC90C-C6C8-4D0F-A244-50CCDDA19FCE}">
      <dgm:prSet/>
      <dgm:spPr>
        <a:xfrm>
          <a:off x="0" y="3660996"/>
          <a:ext cx="3665220" cy="414039"/>
        </a:xfrm>
        <a:prstGeom prst="roundRect">
          <a:avLst/>
        </a:prstGeom>
      </dgm:spPr>
      <dgm:t>
        <a:bodyPr/>
        <a:lstStyle/>
        <a:p>
          <a:pPr>
            <a:buNone/>
          </a:pPr>
          <a:r>
            <a:rPr lang="en-US">
              <a:latin typeface="Calibri" panose="020F0502020204030204"/>
              <a:ea typeface="+mn-ea"/>
              <a:cs typeface="+mn-cs"/>
            </a:rPr>
            <a:t>Final Reporting Occurs 10/26-5/27</a:t>
          </a:r>
        </a:p>
      </dgm:t>
    </dgm:pt>
    <dgm:pt modelId="{FB6DAA0D-CD67-4291-A9FD-AB07E9F95555}" type="parTrans" cxnId="{8D4F6F21-451A-4B25-B336-5740ED2479BF}">
      <dgm:prSet/>
      <dgm:spPr/>
      <dgm:t>
        <a:bodyPr/>
        <a:lstStyle/>
        <a:p>
          <a:endParaRPr lang="en-US"/>
        </a:p>
      </dgm:t>
    </dgm:pt>
    <dgm:pt modelId="{04C479F3-EE99-4616-9A97-C376A82D12C6}" type="sibTrans" cxnId="{8D4F6F21-451A-4B25-B336-5740ED2479BF}">
      <dgm:prSet/>
      <dgm:spPr/>
      <dgm:t>
        <a:bodyPr/>
        <a:lstStyle/>
        <a:p>
          <a:endParaRPr lang="en-US"/>
        </a:p>
      </dgm:t>
    </dgm:pt>
    <dgm:pt modelId="{B4150C8F-8ECB-403F-BA66-A7B6AB24BF90}">
      <dgm:prSet custT="1"/>
      <dgm:spPr>
        <a:xfrm>
          <a:off x="3665219" y="3205553"/>
          <a:ext cx="5497830" cy="414039"/>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JBS analyzes the data</a:t>
          </a:r>
        </a:p>
      </dgm:t>
    </dgm:pt>
    <dgm:pt modelId="{2295271D-E40D-40F9-AF4E-C7EEE7C269C7}" type="parTrans" cxnId="{3250092F-8BBD-4EC1-B1CA-92EC8407CE41}">
      <dgm:prSet/>
      <dgm:spPr/>
      <dgm:t>
        <a:bodyPr/>
        <a:lstStyle/>
        <a:p>
          <a:endParaRPr lang="en-US"/>
        </a:p>
      </dgm:t>
    </dgm:pt>
    <dgm:pt modelId="{B74627BF-B989-46B7-B812-119D6ABD3DD1}" type="sibTrans" cxnId="{3250092F-8BBD-4EC1-B1CA-92EC8407CE41}">
      <dgm:prSet/>
      <dgm:spPr/>
      <dgm:t>
        <a:bodyPr/>
        <a:lstStyle/>
        <a:p>
          <a:endParaRPr lang="en-US"/>
        </a:p>
      </dgm:t>
    </dgm:pt>
    <dgm:pt modelId="{DAB7D1A8-AE33-4A53-9EE9-9D72AEEC1EF0}">
      <dgm:prSet custT="1"/>
      <dgm:spPr>
        <a:xfrm>
          <a:off x="3665219" y="2750109"/>
          <a:ext cx="5497830" cy="414039"/>
        </a:xfrm>
        <a:prstGeom prst="rightArrow">
          <a:avLst>
            <a:gd name="adj1" fmla="val 75000"/>
            <a:gd name="adj2" fmla="val 50000"/>
          </a:avLst>
        </a:prstGeom>
      </dgm:spPr>
      <dgm:t>
        <a:bodyPr/>
        <a:lstStyle/>
        <a:p>
          <a:pPr>
            <a:buChar char="•"/>
          </a:pPr>
          <a:r>
            <a:rPr lang="en-US" sz="800">
              <a:latin typeface="Calibri" panose="020F0502020204030204"/>
              <a:ea typeface="+mn-ea"/>
              <a:cs typeface="+mn-cs"/>
            </a:rPr>
            <a:t>early exit interview</a:t>
          </a:r>
        </a:p>
      </dgm:t>
    </dgm:pt>
    <dgm:pt modelId="{AE8C48D1-3D21-4CE2-915D-8FC46B160317}" type="sibTrans" cxnId="{82571FDA-4294-49DC-98C7-CE936E5804BD}">
      <dgm:prSet/>
      <dgm:spPr/>
      <dgm:t>
        <a:bodyPr/>
        <a:lstStyle/>
        <a:p>
          <a:endParaRPr lang="en-US"/>
        </a:p>
      </dgm:t>
    </dgm:pt>
    <dgm:pt modelId="{E7B54E0C-885D-40C7-8E3A-A27A471520FA}" type="parTrans" cxnId="{82571FDA-4294-49DC-98C7-CE936E5804BD}">
      <dgm:prSet/>
      <dgm:spPr/>
      <dgm:t>
        <a:bodyPr/>
        <a:lstStyle/>
        <a:p>
          <a:endParaRPr lang="en-US"/>
        </a:p>
      </dgm:t>
    </dgm:pt>
    <dgm:pt modelId="{E38E7008-0DF1-433B-AA6C-3F889B2C4F7A}">
      <dgm:prSet custT="1"/>
      <dgm:spPr/>
      <dgm:t>
        <a:bodyPr/>
        <a:lstStyle/>
        <a:p>
          <a:r>
            <a:rPr lang="en-US" sz="800"/>
            <a:t>JBS and ORE collaborates to disseminate the findings as per Communication Plan</a:t>
          </a:r>
        </a:p>
      </dgm:t>
    </dgm:pt>
    <dgm:pt modelId="{22E4DAA0-1E8E-48A7-968F-C2C10ED3CD06}" type="parTrans" cxnId="{0838A40E-98C1-47ED-A648-5C8667171079}">
      <dgm:prSet/>
      <dgm:spPr/>
      <dgm:t>
        <a:bodyPr/>
        <a:lstStyle/>
        <a:p>
          <a:endParaRPr lang="en-US"/>
        </a:p>
      </dgm:t>
    </dgm:pt>
    <dgm:pt modelId="{19DBF154-5BEB-4989-9C2E-6236C7DC4E99}" type="sibTrans" cxnId="{0838A40E-98C1-47ED-A648-5C8667171079}">
      <dgm:prSet/>
      <dgm:spPr/>
      <dgm:t>
        <a:bodyPr/>
        <a:lstStyle/>
        <a:p>
          <a:endParaRPr lang="en-US"/>
        </a:p>
      </dgm:t>
    </dgm:pt>
    <dgm:pt modelId="{6F06CAEE-446F-4E67-99DE-838C6DA94CE3}">
      <dgm:prSet custT="1"/>
      <dgm:spPr>
        <a:xfrm>
          <a:off x="3665219" y="3205553"/>
          <a:ext cx="5497830" cy="414039"/>
        </a:xfrm>
      </dgm:spPr>
      <dgm:t>
        <a:bodyPr/>
        <a:lstStyle/>
        <a:p>
          <a:pPr>
            <a:buChar char="•"/>
          </a:pPr>
          <a:r>
            <a:rPr lang="en-US" sz="800">
              <a:latin typeface="Calibri" panose="020F0502020204030204"/>
              <a:ea typeface="+mn-ea"/>
              <a:cs typeface="+mn-cs"/>
            </a:rPr>
            <a:t>JBS analyzes the data</a:t>
          </a:r>
        </a:p>
      </dgm:t>
    </dgm:pt>
    <dgm:pt modelId="{795F114C-229E-48AE-A516-62CAB3EC911A}" type="parTrans" cxnId="{0E60D9EE-3A22-434C-87EF-3998AF0DF729}">
      <dgm:prSet/>
      <dgm:spPr/>
      <dgm:t>
        <a:bodyPr/>
        <a:lstStyle/>
        <a:p>
          <a:endParaRPr lang="en-US"/>
        </a:p>
      </dgm:t>
    </dgm:pt>
    <dgm:pt modelId="{F22369E0-0597-4ABA-9EBC-64453443BABA}" type="sibTrans" cxnId="{0E60D9EE-3A22-434C-87EF-3998AF0DF729}">
      <dgm:prSet/>
      <dgm:spPr/>
      <dgm:t>
        <a:bodyPr/>
        <a:lstStyle/>
        <a:p>
          <a:endParaRPr lang="en-US"/>
        </a:p>
      </dgm:t>
    </dgm:pt>
    <dgm:pt modelId="{5305409D-0D51-4391-8E46-5B54EBEBEA17}">
      <dgm:prSet custT="1"/>
      <dgm:spPr>
        <a:xfrm>
          <a:off x="3665219" y="3205553"/>
          <a:ext cx="5497830" cy="414039"/>
        </a:xfrm>
      </dgm:spPr>
      <dgm:t>
        <a:bodyPr/>
        <a:lstStyle/>
        <a:p>
          <a:pPr>
            <a:buChar char="•"/>
          </a:pPr>
          <a:r>
            <a:rPr lang="en-US" sz="800">
              <a:latin typeface="Calibri" panose="020F0502020204030204"/>
              <a:ea typeface="+mn-ea"/>
              <a:cs typeface="+mn-cs"/>
            </a:rPr>
            <a:t>JBS analyzes the data</a:t>
          </a:r>
        </a:p>
      </dgm:t>
    </dgm:pt>
    <dgm:pt modelId="{5D854FEE-D26C-43C3-917D-F2026E236D67}" type="parTrans" cxnId="{CD4357A2-EAFD-41EE-A2A0-C44229272A40}">
      <dgm:prSet/>
      <dgm:spPr/>
      <dgm:t>
        <a:bodyPr/>
        <a:lstStyle/>
        <a:p>
          <a:endParaRPr lang="en-US"/>
        </a:p>
      </dgm:t>
    </dgm:pt>
    <dgm:pt modelId="{23DD8608-FBC7-4D00-B4CD-5EBA51686876}" type="sibTrans" cxnId="{CD4357A2-EAFD-41EE-A2A0-C44229272A40}">
      <dgm:prSet/>
      <dgm:spPr/>
      <dgm:t>
        <a:bodyPr/>
        <a:lstStyle/>
        <a:p>
          <a:endParaRPr lang="en-US"/>
        </a:p>
      </dgm:t>
    </dgm:pt>
    <dgm:pt modelId="{CD9C879B-239A-40B9-BCFC-3431D7D51BE4}">
      <dgm:prSet custT="1"/>
      <dgm:spPr>
        <a:xfrm>
          <a:off x="3665219" y="3205553"/>
          <a:ext cx="5497830" cy="414039"/>
        </a:xfrm>
      </dgm:spPr>
      <dgm:t>
        <a:bodyPr/>
        <a:lstStyle/>
        <a:p>
          <a:pPr>
            <a:buChar char="•"/>
          </a:pPr>
          <a:r>
            <a:rPr lang="en-US" sz="800"/>
            <a:t>JBS and ORE collaborates to disseminate the findings as per Communication Plan</a:t>
          </a:r>
          <a:endParaRPr lang="en-US" sz="800">
            <a:latin typeface="Calibri" panose="020F0502020204030204"/>
            <a:ea typeface="+mn-ea"/>
            <a:cs typeface="+mn-cs"/>
          </a:endParaRPr>
        </a:p>
      </dgm:t>
    </dgm:pt>
    <dgm:pt modelId="{6195836C-22DB-4FDF-B511-042ABF7FB9F1}" type="parTrans" cxnId="{1A3B506D-3E6B-4642-89E7-7005D5E22D18}">
      <dgm:prSet/>
      <dgm:spPr/>
      <dgm:t>
        <a:bodyPr/>
        <a:lstStyle/>
        <a:p>
          <a:endParaRPr lang="en-US"/>
        </a:p>
      </dgm:t>
    </dgm:pt>
    <dgm:pt modelId="{578CB8B9-E3BF-4ABF-BB77-063656EC2428}" type="sibTrans" cxnId="{1A3B506D-3E6B-4642-89E7-7005D5E22D18}">
      <dgm:prSet/>
      <dgm:spPr/>
      <dgm:t>
        <a:bodyPr/>
        <a:lstStyle/>
        <a:p>
          <a:endParaRPr lang="en-US"/>
        </a:p>
      </dgm:t>
    </dgm:pt>
    <dgm:pt modelId="{6B430B78-E9A9-4815-BF4F-A16B78F95E3F}">
      <dgm:prSet custT="1"/>
      <dgm:spPr>
        <a:xfrm>
          <a:off x="3665219" y="3205553"/>
          <a:ext cx="5497830" cy="414039"/>
        </a:xfrm>
      </dgm:spPr>
      <dgm:t>
        <a:bodyPr/>
        <a:lstStyle/>
        <a:p>
          <a:pPr>
            <a:buChar char="•"/>
          </a:pPr>
          <a:r>
            <a:rPr lang="en-US" sz="800"/>
            <a:t>JBS and ORE collaborates to disseminate the findings as per Communication Plan</a:t>
          </a:r>
          <a:endParaRPr lang="en-US" sz="800">
            <a:latin typeface="Calibri" panose="020F0502020204030204"/>
            <a:ea typeface="+mn-ea"/>
            <a:cs typeface="+mn-cs"/>
          </a:endParaRPr>
        </a:p>
      </dgm:t>
    </dgm:pt>
    <dgm:pt modelId="{718E5AD7-E5E8-48E6-AB92-FD27CA3BC4AB}" type="parTrans" cxnId="{ADAD9FDB-BCAD-4514-8602-7CC524D138E5}">
      <dgm:prSet/>
      <dgm:spPr/>
      <dgm:t>
        <a:bodyPr/>
        <a:lstStyle/>
        <a:p>
          <a:endParaRPr lang="en-US"/>
        </a:p>
      </dgm:t>
    </dgm:pt>
    <dgm:pt modelId="{C1FFF373-B032-4D38-AC5C-F0C87FC0C18A}" type="sibTrans" cxnId="{ADAD9FDB-BCAD-4514-8602-7CC524D138E5}">
      <dgm:prSet/>
      <dgm:spPr/>
      <dgm:t>
        <a:bodyPr/>
        <a:lstStyle/>
        <a:p>
          <a:endParaRPr lang="en-US"/>
        </a:p>
      </dgm:t>
    </dgm:pt>
    <dgm:pt modelId="{9D559314-7417-4450-99CD-322800002615}">
      <dgm:prSet custT="1"/>
      <dgm:spPr>
        <a:xfrm>
          <a:off x="3665219" y="3205553"/>
          <a:ext cx="5497830" cy="414039"/>
        </a:xfrm>
      </dgm:spPr>
      <dgm:t>
        <a:bodyPr/>
        <a:lstStyle/>
        <a:p>
          <a:pPr>
            <a:buChar char="•"/>
          </a:pPr>
          <a:endParaRPr lang="en-US" sz="800">
            <a:latin typeface="Calibri" panose="020F0502020204030204"/>
            <a:ea typeface="+mn-ea"/>
            <a:cs typeface="+mn-cs"/>
          </a:endParaRPr>
        </a:p>
      </dgm:t>
    </dgm:pt>
    <dgm:pt modelId="{D1F6D6EF-40BB-488B-B2D4-41EA8FCB00BA}" type="parTrans" cxnId="{BE608D12-848E-4623-88DD-33D1A3715B49}">
      <dgm:prSet/>
      <dgm:spPr/>
      <dgm:t>
        <a:bodyPr/>
        <a:lstStyle/>
        <a:p>
          <a:endParaRPr lang="en-US"/>
        </a:p>
      </dgm:t>
    </dgm:pt>
    <dgm:pt modelId="{65630F15-5024-412E-9049-DFF6806304B1}" type="sibTrans" cxnId="{BE608D12-848E-4623-88DD-33D1A3715B49}">
      <dgm:prSet/>
      <dgm:spPr/>
      <dgm:t>
        <a:bodyPr/>
        <a:lstStyle/>
        <a:p>
          <a:endParaRPr lang="en-US"/>
        </a:p>
      </dgm:t>
    </dgm:pt>
    <dgm:pt modelId="{F31E3DA3-CA5E-4548-A5BA-1CEAEF1E8246}" type="pres">
      <dgm:prSet presAssocID="{9FE65BF1-27D5-487A-A4EE-AE628EE37D44}" presName="Name0" presStyleCnt="0">
        <dgm:presLayoutVars>
          <dgm:dir val="norm"/>
          <dgm:animLvl val="lvl"/>
          <dgm:resizeHandles val="rel"/>
        </dgm:presLayoutVars>
      </dgm:prSet>
      <dgm:spPr/>
    </dgm:pt>
    <dgm:pt modelId="{5C420A49-C15E-4DCC-A1AE-CFFB47BF7EAD}" type="pres">
      <dgm:prSet presAssocID="{7911ED47-E3D7-4C27-BD21-81AF304BE032}" presName="linNode" presStyleCnt="0"/>
      <dgm:spPr/>
    </dgm:pt>
    <dgm:pt modelId="{A939A5E8-A818-4D32-A221-07A3C31A7042}" type="pres">
      <dgm:prSet presAssocID="{7911ED47-E3D7-4C27-BD21-81AF304BE032}" presName="parentShp" presStyleLbl="node1" presStyleIdx="0" presStyleCnt="8">
        <dgm:presLayoutVars>
          <dgm:bulletEnabled val="1"/>
        </dgm:presLayoutVars>
      </dgm:prSet>
      <dgm:spPr/>
    </dgm:pt>
    <dgm:pt modelId="{AF5DCD6C-8240-4313-9A40-E37FFDB16555}" type="pres">
      <dgm:prSet presAssocID="{7911ED47-E3D7-4C27-BD21-81AF304BE032}" presName="childShp" presStyleLbl="bgAccFollowNode1" presStyleIdx="0" presStyleCnt="8">
        <dgm:presLayoutVars>
          <dgm:bulletEnabled val="1"/>
        </dgm:presLayoutVars>
      </dgm:prSet>
      <dgm:spPr/>
    </dgm:pt>
    <dgm:pt modelId="{B3FCB75B-C24E-4E74-8ECE-BD8F79D642D1}" type="pres">
      <dgm:prSet presAssocID="{8EDBBE6F-C895-4E3D-B8C9-9C3ABF1DCE47}" presName="spacing" presStyleCnt="0"/>
      <dgm:spPr/>
    </dgm:pt>
    <dgm:pt modelId="{390CBF47-8C23-4238-A7BF-5CCD206D4EE3}" type="pres">
      <dgm:prSet presAssocID="{EEE880FE-957E-459F-A8EB-8F44DEEE58C7}" presName="linNode" presStyleCnt="0"/>
      <dgm:spPr/>
    </dgm:pt>
    <dgm:pt modelId="{0A2E8E2E-FED3-439C-BD9E-E20DFBCF6A1A}" type="pres">
      <dgm:prSet presAssocID="{EEE880FE-957E-459F-A8EB-8F44DEEE58C7}" presName="parentShp" presStyleLbl="node1" presStyleIdx="1" presStyleCnt="8">
        <dgm:presLayoutVars>
          <dgm:bulletEnabled val="1"/>
        </dgm:presLayoutVars>
      </dgm:prSet>
      <dgm:spPr/>
    </dgm:pt>
    <dgm:pt modelId="{927E3295-2A93-4AE1-B523-273CC76F658C}" type="pres">
      <dgm:prSet presAssocID="{EEE880FE-957E-459F-A8EB-8F44DEEE58C7}" presName="childShp" presStyleLbl="bgAccFollowNode1" presStyleIdx="1" presStyleCnt="8">
        <dgm:presLayoutVars>
          <dgm:bulletEnabled val="1"/>
        </dgm:presLayoutVars>
      </dgm:prSet>
      <dgm:spPr/>
    </dgm:pt>
    <dgm:pt modelId="{8D26B73B-6FA8-41BB-82E2-23C1AFAD139A}" type="pres">
      <dgm:prSet presAssocID="{575370B1-9380-4700-8059-2F81C5DD7321}" presName="spacing" presStyleCnt="0"/>
      <dgm:spPr/>
    </dgm:pt>
    <dgm:pt modelId="{B9944366-0080-4113-8967-14785632F6EC}" type="pres">
      <dgm:prSet presAssocID="{0B4E3599-A849-49C4-8C99-F606D4D725D7}" presName="linNode" presStyleCnt="0"/>
      <dgm:spPr/>
    </dgm:pt>
    <dgm:pt modelId="{65181C3E-8D7B-4AB4-8805-9E37725791AE}" type="pres">
      <dgm:prSet presAssocID="{0B4E3599-A849-49C4-8C99-F606D4D725D7}" presName="parentShp" presStyleLbl="node1" presStyleIdx="2" presStyleCnt="8">
        <dgm:presLayoutVars>
          <dgm:bulletEnabled val="1"/>
        </dgm:presLayoutVars>
      </dgm:prSet>
      <dgm:spPr/>
    </dgm:pt>
    <dgm:pt modelId="{4D8D91C9-0949-41B2-94D2-B6085B7AFC2D}" type="pres">
      <dgm:prSet presAssocID="{0B4E3599-A849-49C4-8C99-F606D4D725D7}" presName="childShp" presStyleLbl="bgAccFollowNode1" presStyleIdx="2" presStyleCnt="8">
        <dgm:presLayoutVars>
          <dgm:bulletEnabled val="1"/>
        </dgm:presLayoutVars>
      </dgm:prSet>
      <dgm:spPr>
        <a:xfrm>
          <a:off x="3665219" y="1141924"/>
          <a:ext cx="5497830" cy="414039"/>
        </a:xfrm>
        <a:prstGeom prst="rightArrow">
          <a:avLst>
            <a:gd name="adj1" fmla="val 75000"/>
            <a:gd name="adj2" fmla="val 50000"/>
          </a:avLst>
        </a:prstGeom>
      </dgm:spPr>
    </dgm:pt>
    <dgm:pt modelId="{A632CA1B-B8CE-432B-AA9D-F2B82DF1CF43}" type="pres">
      <dgm:prSet presAssocID="{15A18910-D711-4DB7-B11E-B2C2C87EB190}" presName="spacing" presStyleCnt="0"/>
      <dgm:spPr/>
    </dgm:pt>
    <dgm:pt modelId="{5CC35C18-EB89-4B50-8370-E39655D813FC}" type="pres">
      <dgm:prSet presAssocID="{13F2C46F-0E68-4FEE-BF97-93A9707014A7}" presName="linNode" presStyleCnt="0"/>
      <dgm:spPr/>
    </dgm:pt>
    <dgm:pt modelId="{C4114C0F-5A6D-4C51-AAF2-C48C67CA503F}" type="pres">
      <dgm:prSet presAssocID="{13F2C46F-0E68-4FEE-BF97-93A9707014A7}" presName="parentShp" presStyleLbl="node1" presStyleIdx="3" presStyleCnt="8">
        <dgm:presLayoutVars>
          <dgm:bulletEnabled val="1"/>
        </dgm:presLayoutVars>
      </dgm:prSet>
      <dgm:spPr/>
    </dgm:pt>
    <dgm:pt modelId="{8172528D-306C-4C42-85E6-9801D63491E1}" type="pres">
      <dgm:prSet presAssocID="{13F2C46F-0E68-4FEE-BF97-93A9707014A7}" presName="childShp" presStyleLbl="bgAccFollowNode1" presStyleIdx="3" presStyleCnt="8">
        <dgm:presLayoutVars>
          <dgm:bulletEnabled val="1"/>
        </dgm:presLayoutVars>
      </dgm:prSet>
      <dgm:spPr/>
    </dgm:pt>
    <dgm:pt modelId="{F620F7B1-B612-4608-AB55-76010094EC40}" type="pres">
      <dgm:prSet presAssocID="{1BB1E250-1828-41DD-AA67-DC52A0BF8625}" presName="spacing" presStyleCnt="0"/>
      <dgm:spPr/>
    </dgm:pt>
    <dgm:pt modelId="{BAEAAFB4-0887-4972-B7B3-1ADA732352F2}" type="pres">
      <dgm:prSet presAssocID="{A1DEE15D-B79C-4773-B751-DE4369D25BAF}" presName="linNode" presStyleCnt="0"/>
      <dgm:spPr/>
    </dgm:pt>
    <dgm:pt modelId="{6BDF6E22-76AA-4EFD-88F0-991563D9B811}" type="pres">
      <dgm:prSet presAssocID="{A1DEE15D-B79C-4773-B751-DE4369D25BAF}" presName="parentShp" presStyleLbl="node1" presStyleIdx="4" presStyleCnt="8">
        <dgm:presLayoutVars>
          <dgm:bulletEnabled val="1"/>
        </dgm:presLayoutVars>
      </dgm:prSet>
      <dgm:spPr/>
    </dgm:pt>
    <dgm:pt modelId="{6493455C-7503-4D46-8404-F85B778A86B7}" type="pres">
      <dgm:prSet presAssocID="{A1DEE15D-B79C-4773-B751-DE4369D25BAF}" presName="childShp" presStyleLbl="bgAccFollowNode1" presStyleIdx="4" presStyleCnt="8">
        <dgm:presLayoutVars>
          <dgm:bulletEnabled val="1"/>
        </dgm:presLayoutVars>
      </dgm:prSet>
      <dgm:spPr>
        <a:xfrm>
          <a:off x="3665219" y="2294665"/>
          <a:ext cx="5497830" cy="414039"/>
        </a:xfrm>
        <a:prstGeom prst="rightArrow">
          <a:avLst>
            <a:gd name="adj1" fmla="val 75000"/>
            <a:gd name="adj2" fmla="val 50000"/>
          </a:avLst>
        </a:prstGeom>
      </dgm:spPr>
    </dgm:pt>
    <dgm:pt modelId="{531BBF28-DD1B-43CD-9FA9-CA14C662E074}" type="pres">
      <dgm:prSet presAssocID="{A823EF8A-810D-42B4-A632-AB8C68CA6D0D}" presName="spacing" presStyleCnt="0"/>
      <dgm:spPr/>
    </dgm:pt>
    <dgm:pt modelId="{D4DC90FB-9C92-429A-A14C-3B7129ED33A1}" type="pres">
      <dgm:prSet presAssocID="{F06A13FF-E79C-4895-A77F-7C72B52E633A}" presName="linNode" presStyleCnt="0"/>
      <dgm:spPr/>
    </dgm:pt>
    <dgm:pt modelId="{DD640EDC-4BB9-45CC-8650-65542D974F9D}" type="pres">
      <dgm:prSet presAssocID="{F06A13FF-E79C-4895-A77F-7C72B52E633A}" presName="parentShp" presStyleLbl="node1" presStyleIdx="5" presStyleCnt="8">
        <dgm:presLayoutVars>
          <dgm:bulletEnabled val="1"/>
        </dgm:presLayoutVars>
      </dgm:prSet>
      <dgm:spPr/>
    </dgm:pt>
    <dgm:pt modelId="{13AEEA81-BC67-4830-89D1-B39BD97039D0}" type="pres">
      <dgm:prSet presAssocID="{F06A13FF-E79C-4895-A77F-7C72B52E633A}" presName="childShp" presStyleLbl="bgAccFollowNode1" presStyleIdx="5" presStyleCnt="8">
        <dgm:presLayoutVars>
          <dgm:bulletEnabled val="1"/>
        </dgm:presLayoutVars>
      </dgm:prSet>
      <dgm:spPr/>
    </dgm:pt>
    <dgm:pt modelId="{5E284D96-4DD2-422F-A05E-9A317F2E1B47}" type="pres">
      <dgm:prSet presAssocID="{7F2CAF5F-46A6-4B96-9E3A-9490C9FCD28D}" presName="spacing" presStyleCnt="0"/>
      <dgm:spPr/>
    </dgm:pt>
    <dgm:pt modelId="{6E953032-F1F8-4EAA-9690-40801D180E36}" type="pres">
      <dgm:prSet presAssocID="{99D975F4-84D1-40CD-B53C-2E4C592932D1}" presName="linNode" presStyleCnt="0"/>
      <dgm:spPr/>
    </dgm:pt>
    <dgm:pt modelId="{0194D018-DF62-43F0-83F7-1DD760C57991}" type="pres">
      <dgm:prSet presAssocID="{99D975F4-84D1-40CD-B53C-2E4C592932D1}" presName="parentShp" presStyleLbl="node1" presStyleIdx="6" presStyleCnt="8">
        <dgm:presLayoutVars>
          <dgm:bulletEnabled val="1"/>
        </dgm:presLayoutVars>
      </dgm:prSet>
      <dgm:spPr/>
    </dgm:pt>
    <dgm:pt modelId="{78616A42-FB8C-4808-8293-29913DC8D8EC}" type="pres">
      <dgm:prSet presAssocID="{99D975F4-84D1-40CD-B53C-2E4C592932D1}" presName="childShp" presStyleLbl="bgAccFollowNode1" presStyleIdx="6" presStyleCnt="8">
        <dgm:presLayoutVars>
          <dgm:bulletEnabled val="1"/>
        </dgm:presLayoutVars>
      </dgm:prSet>
      <dgm:spPr>
        <a:prstGeom prst="rightArrow">
          <a:avLst>
            <a:gd name="adj1" fmla="val 75000"/>
            <a:gd name="adj2" fmla="val 50000"/>
          </a:avLst>
        </a:prstGeom>
      </dgm:spPr>
    </dgm:pt>
    <dgm:pt modelId="{94EF8A65-7E25-4340-9FEC-02D6EB63AE2A}" type="pres">
      <dgm:prSet presAssocID="{95D20B90-991F-4E68-A089-BEE98B4E9DE0}" presName="spacing" presStyleCnt="0"/>
      <dgm:spPr/>
    </dgm:pt>
    <dgm:pt modelId="{CD1364CC-3872-4502-9F91-D88D718831BA}" type="pres">
      <dgm:prSet presAssocID="{A32FC90C-C6C8-4D0F-A244-50CCDDA19FCE}" presName="linNode" presStyleCnt="0"/>
      <dgm:spPr/>
    </dgm:pt>
    <dgm:pt modelId="{CB5355E7-0A59-494D-B786-98261553B696}" type="pres">
      <dgm:prSet presAssocID="{A32FC90C-C6C8-4D0F-A244-50CCDDA19FCE}" presName="parentShp" presStyleLbl="node1" presStyleIdx="7" presStyleCnt="8">
        <dgm:presLayoutVars>
          <dgm:bulletEnabled val="1"/>
        </dgm:presLayoutVars>
      </dgm:prSet>
      <dgm:spPr/>
    </dgm:pt>
    <dgm:pt modelId="{DCCAC125-F9E6-4B05-8529-E355E4EAE8CF}" type="pres">
      <dgm:prSet presAssocID="{A32FC90C-C6C8-4D0F-A244-50CCDDA19FCE}" presName="childShp" presStyleLbl="bgAccFollowNode1" presStyleIdx="7" presStyleCnt="8">
        <dgm:presLayoutVars>
          <dgm:bulletEnabled val="1"/>
        </dgm:presLayoutVars>
      </dgm:prSet>
      <dgm:spPr>
        <a:xfrm>
          <a:off x="3665219" y="3660996"/>
          <a:ext cx="5497830" cy="414039"/>
        </a:xfrm>
        <a:prstGeom prst="rightArrow">
          <a:avLst>
            <a:gd name="adj1" fmla="val 75000"/>
            <a:gd name="adj2" fmla="val 50000"/>
          </a:avLst>
        </a:prstGeom>
      </dgm:spPr>
    </dgm:pt>
  </dgm:ptLst>
  <dgm:cxnLst>
    <dgm:cxn modelId="{BA5FA002-82A8-4C17-ABE2-349A2746E848}" srcId="{9FE65BF1-27D5-487A-A4EE-AE628EE37D44}" destId="{F06A13FF-E79C-4895-A77F-7C72B52E633A}" srcOrd="5" destOrd="0" parTransId="{7F691333-98CE-44CA-A3A7-CE4AB9B27DAC}" sibTransId="{7F2CAF5F-46A6-4B96-9E3A-9490C9FCD28D}"/>
    <dgm:cxn modelId="{A8CE6F06-89C1-4272-A2D4-983FDBCAE5ED}" srcId="{9FE65BF1-27D5-487A-A4EE-AE628EE37D44}" destId="{7911ED47-E3D7-4C27-BD21-81AF304BE032}" srcOrd="0" destOrd="0" parTransId="{99F79790-353D-4F31-9FC4-643C140A962E}" sibTransId="{8EDBBE6F-C895-4E3D-B8C9-9C3ABF1DCE47}"/>
    <dgm:cxn modelId="{BDCA8A0C-E334-4A7F-98BB-10223B2635C1}" type="presOf" srcId="{DA2C2BD0-72CB-48A5-A287-959176FDEEEE}" destId="{AF5DCD6C-8240-4313-9A40-E37FFDB16555}" srcOrd="0" destOrd="0" presId="urn:microsoft.com/office/officeart/2005/8/layout/vList6"/>
    <dgm:cxn modelId="{0838A40E-98C1-47ED-A648-5C8667171079}" srcId="{A32FC90C-C6C8-4D0F-A244-50CCDDA19FCE}" destId="{E38E7008-0DF1-433B-AA6C-3F889B2C4F7A}" srcOrd="0" destOrd="0" parTransId="{22E4DAA0-1E8E-48A7-968F-C2C10ED3CD06}" sibTransId="{19DBF154-5BEB-4989-9C2E-6236C7DC4E99}"/>
    <dgm:cxn modelId="{BE608D12-848E-4623-88DD-33D1A3715B49}" srcId="{99D975F4-84D1-40CD-B53C-2E4C592932D1}" destId="{9D559314-7417-4450-99CD-322800002615}" srcOrd="1" destOrd="0" parTransId="{D1F6D6EF-40BB-488B-B2D4-41EA8FCB00BA}" sibTransId="{65630F15-5024-412E-9049-DFF6806304B1}"/>
    <dgm:cxn modelId="{01C9CB14-3859-4235-B57F-F46C57089282}" srcId="{9FE65BF1-27D5-487A-A4EE-AE628EE37D44}" destId="{A1DEE15D-B79C-4773-B751-DE4369D25BAF}" srcOrd="4" destOrd="0" parTransId="{98190F23-A97B-4F84-B2D2-4D7CF2857066}" sibTransId="{A823EF8A-810D-42B4-A632-AB8C68CA6D0D}"/>
    <dgm:cxn modelId="{11131F19-5F0F-48F8-96C9-B084313B5FCC}" type="presOf" srcId="{0B4E3599-A849-49C4-8C99-F606D4D725D7}" destId="{65181C3E-8D7B-4AB4-8805-9E37725791AE}" srcOrd="0" destOrd="0" presId="urn:microsoft.com/office/officeart/2005/8/layout/vList6"/>
    <dgm:cxn modelId="{8D4F6F21-451A-4B25-B336-5740ED2479BF}" srcId="{9FE65BF1-27D5-487A-A4EE-AE628EE37D44}" destId="{A32FC90C-C6C8-4D0F-A244-50CCDDA19FCE}" srcOrd="7" destOrd="0" parTransId="{FB6DAA0D-CD67-4291-A9FD-AB07E9F95555}" sibTransId="{04C479F3-EE99-4616-9A97-C376A82D12C6}"/>
    <dgm:cxn modelId="{3250092F-8BBD-4EC1-B1CA-92EC8407CE41}" srcId="{99D975F4-84D1-40CD-B53C-2E4C592932D1}" destId="{B4150C8F-8ECB-403F-BA66-A7B6AB24BF90}" srcOrd="0" destOrd="0" parTransId="{2295271D-E40D-40F9-AF4E-C7EEE7C269C7}" sibTransId="{B74627BF-B989-46B7-B812-119D6ABD3DD1}"/>
    <dgm:cxn modelId="{6AC55437-E194-46AF-884D-9865606502CE}" type="presOf" srcId="{A1DEE15D-B79C-4773-B751-DE4369D25BAF}" destId="{6BDF6E22-76AA-4EFD-88F0-991563D9B811}" srcOrd="0" destOrd="0" presId="urn:microsoft.com/office/officeart/2005/8/layout/vList6"/>
    <dgm:cxn modelId="{2C39953F-1814-4C93-AB7A-8E32709D9580}" type="presOf" srcId="{5305409D-0D51-4391-8E46-5B54EBEBEA17}" destId="{4D8D91C9-0949-41B2-94D2-B6085B7AFC2D}" srcOrd="0" destOrd="0" presId="urn:microsoft.com/office/officeart/2005/8/layout/vList6"/>
    <dgm:cxn modelId="{D1D73840-B59D-4465-874C-1B36FDD0C688}" type="presOf" srcId="{9D559314-7417-4450-99CD-322800002615}" destId="{78616A42-FB8C-4808-8293-29913DC8D8EC}" srcOrd="0" destOrd="1" presId="urn:microsoft.com/office/officeart/2005/8/layout/vList6"/>
    <dgm:cxn modelId="{DC21FA5B-97AA-4FD5-B1A5-4D6ED65EFCF9}" type="presOf" srcId="{B72F4079-DCED-4C18-BFD5-D248CB86D8DE}" destId="{927E3295-2A93-4AE1-B523-273CC76F658C}" srcOrd="0" destOrd="0" presId="urn:microsoft.com/office/officeart/2005/8/layout/vList6"/>
    <dgm:cxn modelId="{ED33DA5D-326B-4FB3-AE15-8A3E10748D6D}" type="presOf" srcId="{A32FC90C-C6C8-4D0F-A244-50CCDDA19FCE}" destId="{CB5355E7-0A59-494D-B786-98261553B696}" srcOrd="0" destOrd="0" presId="urn:microsoft.com/office/officeart/2005/8/layout/vList6"/>
    <dgm:cxn modelId="{35A54561-EA4B-4A6E-A3AE-DA91C06DE360}" type="presOf" srcId="{0F49ACAE-A953-4404-B5E4-34DB83D8C1D4}" destId="{8172528D-306C-4C42-85E6-9801D63491E1}" srcOrd="0" destOrd="1" presId="urn:microsoft.com/office/officeart/2005/8/layout/vList6"/>
    <dgm:cxn modelId="{A3F73E42-B226-45D9-9AF4-990D83FAB77A}" srcId="{9FE65BF1-27D5-487A-A4EE-AE628EE37D44}" destId="{EEE880FE-957E-459F-A8EB-8F44DEEE58C7}" srcOrd="1" destOrd="0" parTransId="{822D238A-2F71-41DA-AFEC-AE578DBF2072}" sibTransId="{575370B1-9380-4700-8059-2F81C5DD7321}"/>
    <dgm:cxn modelId="{1A3B506D-3E6B-4642-89E7-7005D5E22D18}" srcId="{0B4E3599-A849-49C4-8C99-F606D4D725D7}" destId="{CD9C879B-239A-40B9-BCFC-3431D7D51BE4}" srcOrd="1" destOrd="0" parTransId="{6195836C-22DB-4FDF-B511-042ABF7FB9F1}" sibTransId="{578CB8B9-E3BF-4ABF-BB77-063656EC2428}"/>
    <dgm:cxn modelId="{1E59526E-0183-446A-A41D-77B25B3A0506}" type="presOf" srcId="{6B430B78-E9A9-4815-BF4F-A16B78F95E3F}" destId="{6493455C-7503-4D46-8404-F85B778A86B7}" srcOrd="0" destOrd="1" presId="urn:microsoft.com/office/officeart/2005/8/layout/vList6"/>
    <dgm:cxn modelId="{6F3ED153-307C-4E9E-9102-4920048BADFA}" srcId="{EEE880FE-957E-459F-A8EB-8F44DEEE58C7}" destId="{B72F4079-DCED-4C18-BFD5-D248CB86D8DE}" srcOrd="0" destOrd="0" parTransId="{656D96D1-46D4-4499-A5AB-BB088844EA29}" sibTransId="{E58968CA-5FE2-47A9-B821-54E789D2764C}"/>
    <dgm:cxn modelId="{9984C456-9D9B-41B1-879E-514E616EA395}" type="presOf" srcId="{99D975F4-84D1-40CD-B53C-2E4C592932D1}" destId="{0194D018-DF62-43F0-83F7-1DD760C57991}" srcOrd="0" destOrd="0" presId="urn:microsoft.com/office/officeart/2005/8/layout/vList6"/>
    <dgm:cxn modelId="{5B5D9F79-0DE1-4B83-AA36-81429509ABAB}" type="presOf" srcId="{1BEF5EF5-0A78-4D68-AF5F-5C81B17D5145}" destId="{8172528D-306C-4C42-85E6-9801D63491E1}" srcOrd="0" destOrd="0" presId="urn:microsoft.com/office/officeart/2005/8/layout/vList6"/>
    <dgm:cxn modelId="{66E81083-D1DA-490A-8DFB-457F1989E2BA}" type="presOf" srcId="{F06A13FF-E79C-4895-A77F-7C72B52E633A}" destId="{DD640EDC-4BB9-45CC-8650-65542D974F9D}" srcOrd="0" destOrd="0" presId="urn:microsoft.com/office/officeart/2005/8/layout/vList6"/>
    <dgm:cxn modelId="{A458228B-5907-49E7-95B1-06E4B5E3D7FD}" srcId="{9FE65BF1-27D5-487A-A4EE-AE628EE37D44}" destId="{99D975F4-84D1-40CD-B53C-2E4C592932D1}" srcOrd="6" destOrd="0" parTransId="{6B46374F-E316-44C0-B84D-2457A3C433A5}" sibTransId="{95D20B90-991F-4E68-A089-BEE98B4E9DE0}"/>
    <dgm:cxn modelId="{9B89138D-A6EF-4080-90DC-34C27C12764C}" srcId="{9FE65BF1-27D5-487A-A4EE-AE628EE37D44}" destId="{13F2C46F-0E68-4FEE-BF97-93A9707014A7}" srcOrd="3" destOrd="0" parTransId="{C55C54CE-DB57-4F52-852E-D90E369A1523}" sibTransId="{1BB1E250-1828-41DD-AA67-DC52A0BF8625}"/>
    <dgm:cxn modelId="{503CF896-CE45-4540-85DB-C893C1526C84}" srcId="{9FE65BF1-27D5-487A-A4EE-AE628EE37D44}" destId="{0B4E3599-A849-49C4-8C99-F606D4D725D7}" srcOrd="2" destOrd="0" parTransId="{FB73A1F4-BABC-442A-B951-B327009DBB3A}" sibTransId="{15A18910-D711-4DB7-B11E-B2C2C87EB190}"/>
    <dgm:cxn modelId="{C6436B9B-DA53-4019-B841-4A33D237F5E7}" srcId="{13F2C46F-0E68-4FEE-BF97-93A9707014A7}" destId="{1BEF5EF5-0A78-4D68-AF5F-5C81B17D5145}" srcOrd="0" destOrd="0" parTransId="{486FF618-051A-49A7-95C5-62A7B848021C}" sibTransId="{844FF5D8-9D78-4DD5-BA8C-1DAB2E4A60B8}"/>
    <dgm:cxn modelId="{D05CC29E-B450-4521-BE40-353002DC6360}" type="presOf" srcId="{9F921871-B9C6-4D63-B536-776888855DEF}" destId="{AF5DCD6C-8240-4313-9A40-E37FFDB16555}" srcOrd="0" destOrd="1" presId="urn:microsoft.com/office/officeart/2005/8/layout/vList6"/>
    <dgm:cxn modelId="{CD4357A2-EAFD-41EE-A2A0-C44229272A40}" srcId="{0B4E3599-A849-49C4-8C99-F606D4D725D7}" destId="{5305409D-0D51-4391-8E46-5B54EBEBEA17}" srcOrd="0" destOrd="0" parTransId="{5D854FEE-D26C-43C3-917D-F2026E236D67}" sibTransId="{23DD8608-FBC7-4D00-B4CD-5EBA51686876}"/>
    <dgm:cxn modelId="{F27FF2A3-C4A3-4E55-8E71-43689D8CCCF6}" srcId="{7911ED47-E3D7-4C27-BD21-81AF304BE032}" destId="{9F921871-B9C6-4D63-B536-776888855DEF}" srcOrd="1" destOrd="0" parTransId="{9C19FBBB-F4C6-42B3-B940-F680FC82E806}" sibTransId="{A0578430-2A06-4DF3-B130-A6CDD765A99B}"/>
    <dgm:cxn modelId="{0E27C1A5-7A8F-4CEB-BAD4-8799B6E60C1B}" type="presOf" srcId="{DAB7D1A8-AE33-4A53-9EE9-9D72AEEC1EF0}" destId="{13AEEA81-BC67-4830-89D1-B39BD97039D0}" srcOrd="0" destOrd="1" presId="urn:microsoft.com/office/officeart/2005/8/layout/vList6"/>
    <dgm:cxn modelId="{5D4739AA-BED3-43F3-AFE9-0A5BF00B8551}" type="presOf" srcId="{13F2C46F-0E68-4FEE-BF97-93A9707014A7}" destId="{C4114C0F-5A6D-4C51-AAF2-C48C67CA503F}" srcOrd="0" destOrd="0" presId="urn:microsoft.com/office/officeart/2005/8/layout/vList6"/>
    <dgm:cxn modelId="{ACE0D6AF-F5CF-4526-A47A-2D28CAFAA022}" srcId="{7911ED47-E3D7-4C27-BD21-81AF304BE032}" destId="{DA2C2BD0-72CB-48A5-A287-959176FDEEEE}" srcOrd="0" destOrd="0" parTransId="{5DCAAC27-973E-45EB-ABEA-80DB661A68D3}" sibTransId="{C276A52F-C80A-4C1D-865C-4B0A2829AAC1}"/>
    <dgm:cxn modelId="{621F84B8-F45E-45C5-BC1E-2FC08E3BF93C}" type="presOf" srcId="{A37BA1BC-D02D-4400-AAB6-3BDE2AF68DC9}" destId="{13AEEA81-BC67-4830-89D1-B39BD97039D0}" srcOrd="0" destOrd="0" presId="urn:microsoft.com/office/officeart/2005/8/layout/vList6"/>
    <dgm:cxn modelId="{16EA13BA-B8A2-4BBA-9C17-7A8096C8ECEB}" type="presOf" srcId="{B4150C8F-8ECB-403F-BA66-A7B6AB24BF90}" destId="{78616A42-FB8C-4808-8293-29913DC8D8EC}" srcOrd="0" destOrd="0" presId="urn:microsoft.com/office/officeart/2005/8/layout/vList6"/>
    <dgm:cxn modelId="{9DCEADBB-535C-46EA-B080-7188C2E32DD3}" type="presOf" srcId="{E38E7008-0DF1-433B-AA6C-3F889B2C4F7A}" destId="{DCCAC125-F9E6-4B05-8529-E355E4EAE8CF}" srcOrd="0" destOrd="0" presId="urn:microsoft.com/office/officeart/2005/8/layout/vList6"/>
    <dgm:cxn modelId="{AC3284BE-DC33-4F55-A96E-FA8176CF0EF1}" type="presOf" srcId="{EEE880FE-957E-459F-A8EB-8F44DEEE58C7}" destId="{0A2E8E2E-FED3-439C-BD9E-E20DFBCF6A1A}" srcOrd="0" destOrd="0" presId="urn:microsoft.com/office/officeart/2005/8/layout/vList6"/>
    <dgm:cxn modelId="{F3D730C3-8EF6-4002-AEAA-D43238E84B18}" type="presOf" srcId="{CD9C879B-239A-40B9-BCFC-3431D7D51BE4}" destId="{4D8D91C9-0949-41B2-94D2-B6085B7AFC2D}" srcOrd="0" destOrd="1" presId="urn:microsoft.com/office/officeart/2005/8/layout/vList6"/>
    <dgm:cxn modelId="{C45450C7-7191-4804-9FD8-6E447AC52638}" type="presOf" srcId="{2E13BB78-03F2-49FC-93F4-E69A7F9B389D}" destId="{927E3295-2A93-4AE1-B523-273CC76F658C}" srcOrd="0" destOrd="1" presId="urn:microsoft.com/office/officeart/2005/8/layout/vList6"/>
    <dgm:cxn modelId="{A6AE5DD3-085E-4397-9BC8-7718022F58A3}" srcId="{13F2C46F-0E68-4FEE-BF97-93A9707014A7}" destId="{0F49ACAE-A953-4404-B5E4-34DB83D8C1D4}" srcOrd="1" destOrd="0" parTransId="{FAC3D3C5-EBFF-44DF-B969-5B9A0E5FAB1A}" sibTransId="{CBF5AB55-1A43-4229-A302-8C1CAEABE449}"/>
    <dgm:cxn modelId="{82571FDA-4294-49DC-98C7-CE936E5804BD}" srcId="{F06A13FF-E79C-4895-A77F-7C72B52E633A}" destId="{DAB7D1A8-AE33-4A53-9EE9-9D72AEEC1EF0}" srcOrd="1" destOrd="0" parTransId="{E7B54E0C-885D-40C7-8E3A-A27A471520FA}" sibTransId="{AE8C48D1-3D21-4CE2-915D-8FC46B160317}"/>
    <dgm:cxn modelId="{F15DA7DA-C630-443F-AD4D-1EEF2993D4B0}" type="presOf" srcId="{6F06CAEE-446F-4E67-99DE-838C6DA94CE3}" destId="{6493455C-7503-4D46-8404-F85B778A86B7}" srcOrd="0" destOrd="0" presId="urn:microsoft.com/office/officeart/2005/8/layout/vList6"/>
    <dgm:cxn modelId="{ADAD9FDB-BCAD-4514-8602-7CC524D138E5}" srcId="{A1DEE15D-B79C-4773-B751-DE4369D25BAF}" destId="{6B430B78-E9A9-4815-BF4F-A16B78F95E3F}" srcOrd="1" destOrd="0" parTransId="{718E5AD7-E5E8-48E6-AB92-FD27CA3BC4AB}" sibTransId="{C1FFF373-B032-4D38-AC5C-F0C87FC0C18A}"/>
    <dgm:cxn modelId="{0130B8DD-1EB6-408D-A1A4-6532EF34855A}" type="presOf" srcId="{7911ED47-E3D7-4C27-BD21-81AF304BE032}" destId="{A939A5E8-A818-4D32-A221-07A3C31A7042}" srcOrd="0" destOrd="0" presId="urn:microsoft.com/office/officeart/2005/8/layout/vList6"/>
    <dgm:cxn modelId="{0E60D9EE-3A22-434C-87EF-3998AF0DF729}" srcId="{A1DEE15D-B79C-4773-B751-DE4369D25BAF}" destId="{6F06CAEE-446F-4E67-99DE-838C6DA94CE3}" srcOrd="0" destOrd="0" parTransId="{795F114C-229E-48AE-A516-62CAB3EC911A}" sibTransId="{F22369E0-0597-4ABA-9EBC-64453443BABA}"/>
    <dgm:cxn modelId="{949E72F4-FE0F-4EE1-9659-EFA99394D54B}" srcId="{F06A13FF-E79C-4895-A77F-7C72B52E633A}" destId="{A37BA1BC-D02D-4400-AAB6-3BDE2AF68DC9}" srcOrd="0" destOrd="0" parTransId="{7994D6FD-8E56-4DA6-9D64-F87CDEB64E6F}" sibTransId="{E2E8FD84-9C57-4044-B99D-3EFA6BFBF619}"/>
    <dgm:cxn modelId="{D46573F4-0F3D-46A1-9618-7A68119F5EF2}" srcId="{EEE880FE-957E-459F-A8EB-8F44DEEE58C7}" destId="{2E13BB78-03F2-49FC-93F4-E69A7F9B389D}" srcOrd="1" destOrd="0" parTransId="{A6A9A9F5-E248-4771-AF37-F717F400D1DD}" sibTransId="{7015787C-7BE3-4ADC-BA7A-BFA487D13B57}"/>
    <dgm:cxn modelId="{550807F9-3084-4B58-8206-C533E907AC1E}" type="presOf" srcId="{9FE65BF1-27D5-487A-A4EE-AE628EE37D44}" destId="{F31E3DA3-CA5E-4548-A5BA-1CEAEF1E8246}" srcOrd="0" destOrd="0" presId="urn:microsoft.com/office/officeart/2005/8/layout/vList6"/>
    <dgm:cxn modelId="{33DC6A4F-4088-463F-8D41-0BBCC8F42E57}" type="presParOf" srcId="{F31E3DA3-CA5E-4548-A5BA-1CEAEF1E8246}" destId="{5C420A49-C15E-4DCC-A1AE-CFFB47BF7EAD}" srcOrd="0" destOrd="0" presId="urn:microsoft.com/office/officeart/2005/8/layout/vList6"/>
    <dgm:cxn modelId="{FAB3B95B-FF7C-45C7-BA14-9FA6E3F07F9E}" type="presParOf" srcId="{5C420A49-C15E-4DCC-A1AE-CFFB47BF7EAD}" destId="{A939A5E8-A818-4D32-A221-07A3C31A7042}" srcOrd="0" destOrd="0" presId="urn:microsoft.com/office/officeart/2005/8/layout/vList6"/>
    <dgm:cxn modelId="{18C598BE-84B5-443C-8237-A7B226F12926}" type="presParOf" srcId="{5C420A49-C15E-4DCC-A1AE-CFFB47BF7EAD}" destId="{AF5DCD6C-8240-4313-9A40-E37FFDB16555}" srcOrd="1" destOrd="0" presId="urn:microsoft.com/office/officeart/2005/8/layout/vList6"/>
    <dgm:cxn modelId="{5A717E7F-E9AE-4DDA-858F-2D0D2A7D8738}" type="presParOf" srcId="{F31E3DA3-CA5E-4548-A5BA-1CEAEF1E8246}" destId="{B3FCB75B-C24E-4E74-8ECE-BD8F79D642D1}" srcOrd="1" destOrd="0" presId="urn:microsoft.com/office/officeart/2005/8/layout/vList6"/>
    <dgm:cxn modelId="{6DC01009-0DF4-4363-BCF9-72637CBA93BE}" type="presParOf" srcId="{F31E3DA3-CA5E-4548-A5BA-1CEAEF1E8246}" destId="{390CBF47-8C23-4238-A7BF-5CCD206D4EE3}" srcOrd="2" destOrd="0" presId="urn:microsoft.com/office/officeart/2005/8/layout/vList6"/>
    <dgm:cxn modelId="{405C6C88-A211-4898-B648-CC96BD56F237}" type="presParOf" srcId="{390CBF47-8C23-4238-A7BF-5CCD206D4EE3}" destId="{0A2E8E2E-FED3-439C-BD9E-E20DFBCF6A1A}" srcOrd="0" destOrd="0" presId="urn:microsoft.com/office/officeart/2005/8/layout/vList6"/>
    <dgm:cxn modelId="{C87D131A-D0AC-43FB-82BF-CFD8F7DFFAD4}" type="presParOf" srcId="{390CBF47-8C23-4238-A7BF-5CCD206D4EE3}" destId="{927E3295-2A93-4AE1-B523-273CC76F658C}" srcOrd="1" destOrd="0" presId="urn:microsoft.com/office/officeart/2005/8/layout/vList6"/>
    <dgm:cxn modelId="{16AF8D9E-EB77-4589-8730-87DE489C4496}" type="presParOf" srcId="{F31E3DA3-CA5E-4548-A5BA-1CEAEF1E8246}" destId="{8D26B73B-6FA8-41BB-82E2-23C1AFAD139A}" srcOrd="3" destOrd="0" presId="urn:microsoft.com/office/officeart/2005/8/layout/vList6"/>
    <dgm:cxn modelId="{D61C35E2-5584-4266-B67E-609102EBB012}" type="presParOf" srcId="{F31E3DA3-CA5E-4548-A5BA-1CEAEF1E8246}" destId="{B9944366-0080-4113-8967-14785632F6EC}" srcOrd="4" destOrd="0" presId="urn:microsoft.com/office/officeart/2005/8/layout/vList6"/>
    <dgm:cxn modelId="{7A32D053-0B72-4815-8F99-0E1AED795CC2}" type="presParOf" srcId="{B9944366-0080-4113-8967-14785632F6EC}" destId="{65181C3E-8D7B-4AB4-8805-9E37725791AE}" srcOrd="0" destOrd="0" presId="urn:microsoft.com/office/officeart/2005/8/layout/vList6"/>
    <dgm:cxn modelId="{9C3ACD9D-4642-4A14-A853-C89F43765602}" type="presParOf" srcId="{B9944366-0080-4113-8967-14785632F6EC}" destId="{4D8D91C9-0949-41B2-94D2-B6085B7AFC2D}" srcOrd="1" destOrd="0" presId="urn:microsoft.com/office/officeart/2005/8/layout/vList6"/>
    <dgm:cxn modelId="{FE6C46C6-73E4-4334-9B55-B7FB4E68C787}" type="presParOf" srcId="{F31E3DA3-CA5E-4548-A5BA-1CEAEF1E8246}" destId="{A632CA1B-B8CE-432B-AA9D-F2B82DF1CF43}" srcOrd="5" destOrd="0" presId="urn:microsoft.com/office/officeart/2005/8/layout/vList6"/>
    <dgm:cxn modelId="{C5DD0F31-DFA4-48D6-BB8F-5F9C9CF65DE6}" type="presParOf" srcId="{F31E3DA3-CA5E-4548-A5BA-1CEAEF1E8246}" destId="{5CC35C18-EB89-4B50-8370-E39655D813FC}" srcOrd="6" destOrd="0" presId="urn:microsoft.com/office/officeart/2005/8/layout/vList6"/>
    <dgm:cxn modelId="{ADA2991C-19C9-43C3-B82B-30903DF01062}" type="presParOf" srcId="{5CC35C18-EB89-4B50-8370-E39655D813FC}" destId="{C4114C0F-5A6D-4C51-AAF2-C48C67CA503F}" srcOrd="0" destOrd="0" presId="urn:microsoft.com/office/officeart/2005/8/layout/vList6"/>
    <dgm:cxn modelId="{B4B766EB-A5B1-46B7-A1D9-ECD92D109A1C}" type="presParOf" srcId="{5CC35C18-EB89-4B50-8370-E39655D813FC}" destId="{8172528D-306C-4C42-85E6-9801D63491E1}" srcOrd="1" destOrd="0" presId="urn:microsoft.com/office/officeart/2005/8/layout/vList6"/>
    <dgm:cxn modelId="{A9B3CEE0-ADD6-4B63-9D3C-DC7B24F2426B}" type="presParOf" srcId="{F31E3DA3-CA5E-4548-A5BA-1CEAEF1E8246}" destId="{F620F7B1-B612-4608-AB55-76010094EC40}" srcOrd="7" destOrd="0" presId="urn:microsoft.com/office/officeart/2005/8/layout/vList6"/>
    <dgm:cxn modelId="{2DF3C059-8BDA-4084-8562-9EEFFF54ECB9}" type="presParOf" srcId="{F31E3DA3-CA5E-4548-A5BA-1CEAEF1E8246}" destId="{BAEAAFB4-0887-4972-B7B3-1ADA732352F2}" srcOrd="8" destOrd="0" presId="urn:microsoft.com/office/officeart/2005/8/layout/vList6"/>
    <dgm:cxn modelId="{5B536CAF-9AFA-42F1-A281-DA3B25EE90EA}" type="presParOf" srcId="{BAEAAFB4-0887-4972-B7B3-1ADA732352F2}" destId="{6BDF6E22-76AA-4EFD-88F0-991563D9B811}" srcOrd="0" destOrd="0" presId="urn:microsoft.com/office/officeart/2005/8/layout/vList6"/>
    <dgm:cxn modelId="{E2C22E69-1BBB-4E98-A068-F2F1D552E681}" type="presParOf" srcId="{BAEAAFB4-0887-4972-B7B3-1ADA732352F2}" destId="{6493455C-7503-4D46-8404-F85B778A86B7}" srcOrd="1" destOrd="0" presId="urn:microsoft.com/office/officeart/2005/8/layout/vList6"/>
    <dgm:cxn modelId="{338E0CD8-4EF5-43AF-B947-BED095A04040}" type="presParOf" srcId="{F31E3DA3-CA5E-4548-A5BA-1CEAEF1E8246}" destId="{531BBF28-DD1B-43CD-9FA9-CA14C662E074}" srcOrd="9" destOrd="0" presId="urn:microsoft.com/office/officeart/2005/8/layout/vList6"/>
    <dgm:cxn modelId="{88681DF4-DC2D-4318-977E-47E74FC3F112}" type="presParOf" srcId="{F31E3DA3-CA5E-4548-A5BA-1CEAEF1E8246}" destId="{D4DC90FB-9C92-429A-A14C-3B7129ED33A1}" srcOrd="10" destOrd="0" presId="urn:microsoft.com/office/officeart/2005/8/layout/vList6"/>
    <dgm:cxn modelId="{6EE5205F-3D4B-412E-A23A-D3C25699505E}" type="presParOf" srcId="{D4DC90FB-9C92-429A-A14C-3B7129ED33A1}" destId="{DD640EDC-4BB9-45CC-8650-65542D974F9D}" srcOrd="0" destOrd="0" presId="urn:microsoft.com/office/officeart/2005/8/layout/vList6"/>
    <dgm:cxn modelId="{A71BC7D0-CC14-435F-A869-EC1184DCCD9A}" type="presParOf" srcId="{D4DC90FB-9C92-429A-A14C-3B7129ED33A1}" destId="{13AEEA81-BC67-4830-89D1-B39BD97039D0}" srcOrd="1" destOrd="0" presId="urn:microsoft.com/office/officeart/2005/8/layout/vList6"/>
    <dgm:cxn modelId="{45D5EA2F-061A-4D10-A952-E611DD53865D}" type="presParOf" srcId="{F31E3DA3-CA5E-4548-A5BA-1CEAEF1E8246}" destId="{5E284D96-4DD2-422F-A05E-9A317F2E1B47}" srcOrd="11" destOrd="0" presId="urn:microsoft.com/office/officeart/2005/8/layout/vList6"/>
    <dgm:cxn modelId="{15F832C1-D5CE-4B60-B5BB-D047773E25E4}" type="presParOf" srcId="{F31E3DA3-CA5E-4548-A5BA-1CEAEF1E8246}" destId="{6E953032-F1F8-4EAA-9690-40801D180E36}" srcOrd="12" destOrd="0" presId="urn:microsoft.com/office/officeart/2005/8/layout/vList6"/>
    <dgm:cxn modelId="{FDD598C6-DD29-4E3C-83B9-CAF2A7641912}" type="presParOf" srcId="{6E953032-F1F8-4EAA-9690-40801D180E36}" destId="{0194D018-DF62-43F0-83F7-1DD760C57991}" srcOrd="0" destOrd="0" presId="urn:microsoft.com/office/officeart/2005/8/layout/vList6"/>
    <dgm:cxn modelId="{318BB31D-1175-4940-9BBF-9D35C11C2647}" type="presParOf" srcId="{6E953032-F1F8-4EAA-9690-40801D180E36}" destId="{78616A42-FB8C-4808-8293-29913DC8D8EC}" srcOrd="1" destOrd="0" presId="urn:microsoft.com/office/officeart/2005/8/layout/vList6"/>
    <dgm:cxn modelId="{62F3CD63-CCEA-4F28-A837-FE86A55E6ECF}" type="presParOf" srcId="{F31E3DA3-CA5E-4548-A5BA-1CEAEF1E8246}" destId="{94EF8A65-7E25-4340-9FEC-02D6EB63AE2A}" srcOrd="13" destOrd="0" presId="urn:microsoft.com/office/officeart/2005/8/layout/vList6"/>
    <dgm:cxn modelId="{7B03FB3E-E225-4B4A-B4AC-1CB20AF4040B}" type="presParOf" srcId="{F31E3DA3-CA5E-4548-A5BA-1CEAEF1E8246}" destId="{CD1364CC-3872-4502-9F91-D88D718831BA}" srcOrd="14" destOrd="0" presId="urn:microsoft.com/office/officeart/2005/8/layout/vList6"/>
    <dgm:cxn modelId="{420CFB05-9BAD-43F1-8BEA-BD93512464BB}" type="presParOf" srcId="{CD1364CC-3872-4502-9F91-D88D718831BA}" destId="{CB5355E7-0A59-494D-B786-98261553B696}" srcOrd="0" destOrd="0" presId="urn:microsoft.com/office/officeart/2005/8/layout/vList6"/>
    <dgm:cxn modelId="{9894F127-8854-4D2C-B7EE-A1E838B6BB9F}" type="presParOf" srcId="{CD1364CC-3872-4502-9F91-D88D718831BA}" destId="{DCCAC125-F9E6-4B05-8529-E355E4EAE8CF}" srcOrd="1" destOrd="0" presId="urn:microsoft.com/office/officeart/2005/8/layout/vList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8"/>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229EE26-40FE-46C3-BBF6-BD75D945755D}">
      <dsp:nvSpPr>
        <dsp:cNvPr id="0" name=""/>
        <dsp:cNvSpPr/>
      </dsp:nvSpPr>
      <dsp:spPr>
        <a:xfrm>
          <a:off x="2340864" y="449"/>
          <a:ext cx="3511296" cy="356424"/>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t>Grantees</a:t>
          </a:r>
        </a:p>
        <a:p>
          <a:pPr marL="57150" lvl="1" indent="-57150" algn="l" defTabSz="355600">
            <a:lnSpc>
              <a:spcPct val="90000"/>
            </a:lnSpc>
            <a:spcBef>
              <a:spcPct val="0"/>
            </a:spcBef>
            <a:spcAft>
              <a:spcPct val="15000"/>
            </a:spcAft>
            <a:buChar char="•"/>
          </a:pPr>
          <a:r>
            <a:rPr lang="en-US" sz="800" kern="1200"/>
            <a:t>Partners</a:t>
          </a:r>
        </a:p>
      </dsp:txBody>
      <dsp:txXfrm>
        <a:off x="2340864" y="45002"/>
        <a:ext cx="3377637" cy="267318"/>
      </dsp:txXfrm>
    </dsp:sp>
    <dsp:sp modelId="{574C98D0-D8D5-4D26-9C51-B837068D6D6B}">
      <dsp:nvSpPr>
        <dsp:cNvPr id="0" name=""/>
        <dsp:cNvSpPr/>
      </dsp:nvSpPr>
      <dsp:spPr>
        <a:xfrm>
          <a:off x="0" y="449"/>
          <a:ext cx="2340864" cy="356424"/>
        </a:xfrm>
        <a:prstGeom prst="roundRect">
          <a:avLst/>
        </a:prstGeom>
        <a:solidFill>
          <a:schemeClr val="accent1">
            <a:alpha val="9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Process evaluation Participants </a:t>
          </a:r>
        </a:p>
      </dsp:txBody>
      <dsp:txXfrm>
        <a:off x="17399" y="17848"/>
        <a:ext cx="2306066" cy="321626"/>
      </dsp:txXfrm>
    </dsp:sp>
    <dsp:sp modelId="{383BB83B-B2BE-48CC-B54F-C7570DEF8101}">
      <dsp:nvSpPr>
        <dsp:cNvPr id="0" name=""/>
        <dsp:cNvSpPr/>
      </dsp:nvSpPr>
      <dsp:spPr>
        <a:xfrm>
          <a:off x="2340864" y="392516"/>
          <a:ext cx="3511296" cy="356424"/>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t>grantee survey (cohorts 1 and 2) and focus groups (cohorts 1 and 2)</a:t>
          </a:r>
        </a:p>
        <a:p>
          <a:pPr marL="57150" lvl="1" indent="-57150" algn="l" defTabSz="355600">
            <a:lnSpc>
              <a:spcPct val="90000"/>
            </a:lnSpc>
            <a:spcBef>
              <a:spcPct val="0"/>
            </a:spcBef>
            <a:spcAft>
              <a:spcPct val="15000"/>
            </a:spcAft>
            <a:buChar char="•"/>
          </a:pPr>
          <a:r>
            <a:rPr lang="en-US" sz="800" kern="1200"/>
            <a:t>partner interview </a:t>
          </a:r>
        </a:p>
      </dsp:txBody>
      <dsp:txXfrm>
        <a:off x="2340864" y="437069"/>
        <a:ext cx="3377637" cy="267318"/>
      </dsp:txXfrm>
    </dsp:sp>
    <dsp:sp modelId="{04B0ECC3-0A3A-4683-942B-F9106ADE1C91}">
      <dsp:nvSpPr>
        <dsp:cNvPr id="0" name=""/>
        <dsp:cNvSpPr/>
      </dsp:nvSpPr>
      <dsp:spPr>
        <a:xfrm>
          <a:off x="0" y="392516"/>
          <a:ext cx="2340864" cy="356424"/>
        </a:xfrm>
        <a:prstGeom prst="roundRect">
          <a:avLst/>
        </a:prstGeom>
        <a:solidFill>
          <a:schemeClr val="accent1">
            <a:alpha val="90000"/>
            <a:hueOff val="0"/>
            <a:satOff val="0"/>
            <a:lumOff val="0"/>
            <a:alphaOff val="-13333"/>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Data collection occurs 6/24 - 10/24</a:t>
          </a:r>
        </a:p>
      </dsp:txBody>
      <dsp:txXfrm>
        <a:off x="17399" y="409915"/>
        <a:ext cx="2306066" cy="321626"/>
      </dsp:txXfrm>
    </dsp:sp>
    <dsp:sp modelId="{7E29728C-CAAF-4BE1-B6C5-841C1CF3553B}">
      <dsp:nvSpPr>
        <dsp:cNvPr id="0" name=""/>
        <dsp:cNvSpPr/>
      </dsp:nvSpPr>
      <dsp:spPr>
        <a:xfrm>
          <a:off x="2340864" y="784583"/>
          <a:ext cx="3511296" cy="356424"/>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t>JBS analyzes the data</a:t>
          </a:r>
        </a:p>
      </dsp:txBody>
      <dsp:txXfrm>
        <a:off x="2340864" y="829136"/>
        <a:ext cx="3377637" cy="267318"/>
      </dsp:txXfrm>
    </dsp:sp>
    <dsp:sp modelId="{E45F0964-0B19-4052-A71A-7BB59A274590}">
      <dsp:nvSpPr>
        <dsp:cNvPr id="0" name=""/>
        <dsp:cNvSpPr/>
      </dsp:nvSpPr>
      <dsp:spPr>
        <a:xfrm>
          <a:off x="0" y="784583"/>
          <a:ext cx="2340864" cy="356424"/>
        </a:xfrm>
        <a:prstGeom prst="roundRect">
          <a:avLst/>
        </a:prstGeom>
        <a:solidFill>
          <a:schemeClr val="accent1">
            <a:alpha val="90000"/>
            <a:hueOff val="0"/>
            <a:satOff val="0"/>
            <a:lumOff val="0"/>
            <a:alphaOff val="-26667"/>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Analysis occurs 11/24-1/25</a:t>
          </a:r>
        </a:p>
      </dsp:txBody>
      <dsp:txXfrm>
        <a:off x="17399" y="801982"/>
        <a:ext cx="2306066" cy="321626"/>
      </dsp:txXfrm>
    </dsp:sp>
    <dsp:sp modelId="{E6F4679A-0E88-4BFB-A9FC-682821557CDF}">
      <dsp:nvSpPr>
        <dsp:cNvPr id="0" name=""/>
        <dsp:cNvSpPr/>
      </dsp:nvSpPr>
      <dsp:spPr>
        <a:xfrm>
          <a:off x="2340864" y="1176650"/>
          <a:ext cx="3511296" cy="356424"/>
        </a:xfrm>
        <a:prstGeom prst="rightArrow">
          <a:avLst>
            <a:gd name="adj1" fmla="val 75000"/>
            <a:gd name="adj2" fmla="val 50000"/>
          </a:avLst>
        </a:prstGeom>
        <a:solidFill>
          <a:schemeClr val="accent1">
            <a:alpha val="90000"/>
            <a:tint val="40000"/>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t>JBS and ORE collaborates to disseminate the findings as per Communication Plan</a:t>
          </a:r>
        </a:p>
      </dsp:txBody>
      <dsp:txXfrm>
        <a:off x="2340864" y="1221203"/>
        <a:ext cx="3377637" cy="267318"/>
      </dsp:txXfrm>
    </dsp:sp>
    <dsp:sp modelId="{D05747D2-6045-4DAF-A4C7-520C24BFB243}">
      <dsp:nvSpPr>
        <dsp:cNvPr id="0" name=""/>
        <dsp:cNvSpPr/>
      </dsp:nvSpPr>
      <dsp:spPr>
        <a:xfrm>
          <a:off x="0" y="1176650"/>
          <a:ext cx="2340864" cy="356424"/>
        </a:xfrm>
        <a:prstGeom prst="roundRect">
          <a:avLst/>
        </a:prstGeom>
        <a:solidFill>
          <a:schemeClr val="accent1">
            <a:alpha val="90000"/>
            <a:hueOff val="0"/>
            <a:satOff val="0"/>
            <a:lumOff val="0"/>
            <a:alphaOff val="-4000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lstStyle/>
        <a:p>
          <a:pPr marL="0" lvl="0" indent="0" algn="ctr" defTabSz="444500">
            <a:lnSpc>
              <a:spcPct val="90000"/>
            </a:lnSpc>
            <a:spcBef>
              <a:spcPct val="0"/>
            </a:spcBef>
            <a:spcAft>
              <a:spcPct val="35000"/>
            </a:spcAft>
            <a:buNone/>
          </a:pPr>
          <a:r>
            <a:rPr lang="en-US" sz="1000" kern="1200"/>
            <a:t>Reporting occurs 2/25-3/25</a:t>
          </a:r>
        </a:p>
      </dsp:txBody>
      <dsp:txXfrm>
        <a:off x="17399" y="1194049"/>
        <a:ext cx="2306066" cy="32162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5DCD6C-8240-4313-9A40-E37FFDB16555}">
      <dsp:nvSpPr>
        <dsp:cNvPr id="0" name=""/>
        <dsp:cNvSpPr/>
      </dsp:nvSpPr>
      <dsp:spPr>
        <a:xfrm>
          <a:off x="1963685" y="874"/>
          <a:ext cx="2945527" cy="310566"/>
        </a:xfrm>
        <a:prstGeom prst="rightArrow">
          <a:avLst>
            <a:gd name="adj1" fmla="val 75000"/>
            <a:gd name="adj2" fmla="val 50000"/>
          </a:avLst>
        </a:prstGeom>
        <a:solidFill>
          <a:schemeClr val="accent2">
            <a:tint val="40000"/>
            <a:alpha val="90000"/>
            <a:hueOff val="0"/>
            <a:satOff val="0"/>
            <a:lumOff val="0"/>
            <a:alphaOff val="0"/>
          </a:schemeClr>
        </a:solidFill>
        <a:ln w="12700">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Alumni</a:t>
          </a:r>
        </a:p>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Early exit</a:t>
          </a:r>
        </a:p>
      </dsp:txBody>
      <dsp:txXfrm>
        <a:off x="1963685" y="39695"/>
        <a:ext cx="2829065" cy="232924"/>
      </dsp:txXfrm>
    </dsp:sp>
    <dsp:sp modelId="{A939A5E8-A818-4D32-A221-07A3C31A7042}">
      <dsp:nvSpPr>
        <dsp:cNvPr id="0" name=""/>
        <dsp:cNvSpPr/>
      </dsp:nvSpPr>
      <dsp:spPr>
        <a:xfrm>
          <a:off x="0" y="874"/>
          <a:ext cx="1963685" cy="310566"/>
        </a:xfrm>
        <a:prstGeom prst="roundRect">
          <a:avLst/>
        </a:prstGeom>
        <a:solidFill>
          <a:schemeClr val="accent2">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Outcome and impact evaluation Participants </a:t>
          </a:r>
        </a:p>
      </dsp:txBody>
      <dsp:txXfrm>
        <a:off x="15161" y="16035"/>
        <a:ext cx="1933363" cy="280244"/>
      </dsp:txXfrm>
    </dsp:sp>
    <dsp:sp modelId="{927E3295-2A93-4AE1-B523-273CC76F658C}">
      <dsp:nvSpPr>
        <dsp:cNvPr id="0" name=""/>
        <dsp:cNvSpPr/>
      </dsp:nvSpPr>
      <dsp:spPr>
        <a:xfrm>
          <a:off x="1963685" y="342497"/>
          <a:ext cx="2945527" cy="310566"/>
        </a:xfrm>
        <a:prstGeom prst="rightArrow">
          <a:avLst>
            <a:gd name="adj1" fmla="val 75000"/>
            <a:gd name="adj2" fmla="val 50000"/>
          </a:avLst>
        </a:prstGeom>
        <a:solidFill>
          <a:schemeClr val="accent2">
            <a:tint val="40000"/>
            <a:alpha val="90000"/>
            <a:hueOff val="-121318"/>
            <a:satOff val="-10764"/>
            <a:lumOff val="-110"/>
            <a:alphaOff val="0"/>
          </a:schemeClr>
        </a:solidFill>
        <a:ln w="12700">
          <a:solidFill>
            <a:schemeClr val="accent2">
              <a:tint val="40000"/>
              <a:alpha val="90000"/>
              <a:hueOff val="-121318"/>
              <a:satOff val="-10764"/>
              <a:lumOff val="-11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alumni (completed service between start of program and 1/24) &amp; early exit (exited program between start of program and 1/24) survey</a:t>
          </a:r>
        </a:p>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early exit interview </a:t>
          </a:r>
        </a:p>
      </dsp:txBody>
      <dsp:txXfrm>
        <a:off x="1963685" y="381318"/>
        <a:ext cx="2829065" cy="232924"/>
      </dsp:txXfrm>
    </dsp:sp>
    <dsp:sp modelId="{0A2E8E2E-FED3-439C-BD9E-E20DFBCF6A1A}">
      <dsp:nvSpPr>
        <dsp:cNvPr id="0" name=""/>
        <dsp:cNvSpPr/>
      </dsp:nvSpPr>
      <dsp:spPr>
        <a:xfrm>
          <a:off x="0" y="342497"/>
          <a:ext cx="1963685" cy="310566"/>
        </a:xfrm>
        <a:prstGeom prst="roundRect">
          <a:avLst/>
        </a:prstGeom>
        <a:solidFill>
          <a:schemeClr val="accent2">
            <a:hueOff val="-207909"/>
            <a:satOff val="-11990"/>
            <a:lumOff val="1233"/>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Phase 1 Data collection occurs 6/24 - 10/24</a:t>
          </a:r>
        </a:p>
      </dsp:txBody>
      <dsp:txXfrm>
        <a:off x="15161" y="357658"/>
        <a:ext cx="1933363" cy="280244"/>
      </dsp:txXfrm>
    </dsp:sp>
    <dsp:sp modelId="{4D8D91C9-0949-41B2-94D2-B6085B7AFC2D}">
      <dsp:nvSpPr>
        <dsp:cNvPr id="0" name=""/>
        <dsp:cNvSpPr/>
      </dsp:nvSpPr>
      <dsp:spPr>
        <a:xfrm>
          <a:off x="1963685" y="684120"/>
          <a:ext cx="2945527" cy="310566"/>
        </a:xfrm>
        <a:prstGeom prst="rightArrow">
          <a:avLst>
            <a:gd name="adj1" fmla="val 75000"/>
            <a:gd name="adj2" fmla="val 50000"/>
          </a:avLst>
        </a:prstGeom>
        <a:solidFill>
          <a:schemeClr val="accent2">
            <a:tint val="40000"/>
            <a:alpha val="90000"/>
            <a:hueOff val="-242636"/>
            <a:satOff val="-21527"/>
            <a:lumOff val="-220"/>
            <a:alphaOff val="0"/>
          </a:schemeClr>
        </a:solidFill>
        <a:ln w="12700">
          <a:solidFill>
            <a:schemeClr val="accent2">
              <a:tint val="40000"/>
              <a:alpha val="90000"/>
              <a:hueOff val="-242636"/>
              <a:satOff val="-21527"/>
              <a:lumOff val="-22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JBS analyzes the data</a:t>
          </a:r>
        </a:p>
        <a:p>
          <a:pPr marL="57150" lvl="1" indent="-57150" algn="l" defTabSz="355600">
            <a:lnSpc>
              <a:spcPct val="90000"/>
            </a:lnSpc>
            <a:spcBef>
              <a:spcPct val="0"/>
            </a:spcBef>
            <a:spcAft>
              <a:spcPct val="15000"/>
            </a:spcAft>
            <a:buChar char="•"/>
          </a:pPr>
          <a:r>
            <a:rPr lang="en-US" sz="800" kern="1200"/>
            <a:t>JBS and ORE collaborates to disseminate the findings as per Communication Plan</a:t>
          </a:r>
          <a:endParaRPr lang="en-US" sz="800" kern="1200">
            <a:latin typeface="Calibri" panose="020F0502020204030204"/>
            <a:ea typeface="+mn-ea"/>
            <a:cs typeface="+mn-cs"/>
          </a:endParaRPr>
        </a:p>
      </dsp:txBody>
      <dsp:txXfrm>
        <a:off x="1963685" y="722941"/>
        <a:ext cx="2829065" cy="232924"/>
      </dsp:txXfrm>
    </dsp:sp>
    <dsp:sp modelId="{65181C3E-8D7B-4AB4-8805-9E37725791AE}">
      <dsp:nvSpPr>
        <dsp:cNvPr id="0" name=""/>
        <dsp:cNvSpPr/>
      </dsp:nvSpPr>
      <dsp:spPr>
        <a:xfrm>
          <a:off x="0" y="684120"/>
          <a:ext cx="1963685" cy="310566"/>
        </a:xfrm>
        <a:prstGeom prst="roundRect">
          <a:avLst/>
        </a:prstGeom>
        <a:solidFill>
          <a:schemeClr val="accent2">
            <a:hueOff val="-415818"/>
            <a:satOff val="-23979"/>
            <a:lumOff val="2465"/>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Analysis Occurs 11/24-1/25</a:t>
          </a:r>
        </a:p>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Reporting Occurs 2/25-3/25</a:t>
          </a:r>
        </a:p>
      </dsp:txBody>
      <dsp:txXfrm>
        <a:off x="15161" y="699281"/>
        <a:ext cx="1933363" cy="280244"/>
      </dsp:txXfrm>
    </dsp:sp>
    <dsp:sp modelId="{8172528D-306C-4C42-85E6-9801D63491E1}">
      <dsp:nvSpPr>
        <dsp:cNvPr id="0" name=""/>
        <dsp:cNvSpPr/>
      </dsp:nvSpPr>
      <dsp:spPr>
        <a:xfrm>
          <a:off x="1963685" y="1025744"/>
          <a:ext cx="2945527" cy="310566"/>
        </a:xfrm>
        <a:prstGeom prst="rightArrow">
          <a:avLst>
            <a:gd name="adj1" fmla="val 75000"/>
            <a:gd name="adj2" fmla="val 50000"/>
          </a:avLst>
        </a:prstGeom>
        <a:solidFill>
          <a:schemeClr val="accent2">
            <a:tint val="40000"/>
            <a:alpha val="90000"/>
            <a:hueOff val="-363954"/>
            <a:satOff val="-32291"/>
            <a:lumOff val="-330"/>
            <a:alphaOff val="0"/>
          </a:schemeClr>
        </a:solidFill>
        <a:ln w="12700">
          <a:solidFill>
            <a:schemeClr val="accent2">
              <a:tint val="40000"/>
              <a:alpha val="90000"/>
              <a:hueOff val="-363954"/>
              <a:satOff val="-32291"/>
              <a:lumOff val="-33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alumni (completed service between 2/24 and 1/25) &amp; early exit (exited program between 2/24 and 1/25) survey</a:t>
          </a:r>
        </a:p>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early exit interview </a:t>
          </a:r>
        </a:p>
      </dsp:txBody>
      <dsp:txXfrm>
        <a:off x="1963685" y="1064565"/>
        <a:ext cx="2829065" cy="232924"/>
      </dsp:txXfrm>
    </dsp:sp>
    <dsp:sp modelId="{C4114C0F-5A6D-4C51-AAF2-C48C67CA503F}">
      <dsp:nvSpPr>
        <dsp:cNvPr id="0" name=""/>
        <dsp:cNvSpPr/>
      </dsp:nvSpPr>
      <dsp:spPr>
        <a:xfrm>
          <a:off x="0" y="1025744"/>
          <a:ext cx="1963685" cy="310566"/>
        </a:xfrm>
        <a:prstGeom prst="roundRect">
          <a:avLst/>
        </a:prstGeom>
        <a:solidFill>
          <a:schemeClr val="accent2">
            <a:hueOff val="-623727"/>
            <a:satOff val="-35969"/>
            <a:lumOff val="3698"/>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Phase 2 Data collection occurs 1/25- 5/25</a:t>
          </a:r>
        </a:p>
      </dsp:txBody>
      <dsp:txXfrm>
        <a:off x="15161" y="1040905"/>
        <a:ext cx="1933363" cy="280244"/>
      </dsp:txXfrm>
    </dsp:sp>
    <dsp:sp modelId="{6493455C-7503-4D46-8404-F85B778A86B7}">
      <dsp:nvSpPr>
        <dsp:cNvPr id="0" name=""/>
        <dsp:cNvSpPr/>
      </dsp:nvSpPr>
      <dsp:spPr>
        <a:xfrm>
          <a:off x="1963685" y="1367367"/>
          <a:ext cx="2945527" cy="310566"/>
        </a:xfrm>
        <a:prstGeom prst="rightArrow">
          <a:avLst>
            <a:gd name="adj1" fmla="val 75000"/>
            <a:gd name="adj2" fmla="val 50000"/>
          </a:avLst>
        </a:prstGeom>
        <a:solidFill>
          <a:schemeClr val="accent2">
            <a:tint val="40000"/>
            <a:alpha val="90000"/>
            <a:hueOff val="-485272"/>
            <a:satOff val="-43055"/>
            <a:lumOff val="-439"/>
            <a:alphaOff val="0"/>
          </a:schemeClr>
        </a:solidFill>
        <a:ln w="12700">
          <a:solidFill>
            <a:schemeClr val="accent2">
              <a:tint val="40000"/>
              <a:alpha val="90000"/>
              <a:hueOff val="-485272"/>
              <a:satOff val="-43055"/>
              <a:lumOff val="-43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JBS analyzes the data</a:t>
          </a:r>
        </a:p>
        <a:p>
          <a:pPr marL="57150" lvl="1" indent="-57150" algn="l" defTabSz="355600">
            <a:lnSpc>
              <a:spcPct val="90000"/>
            </a:lnSpc>
            <a:spcBef>
              <a:spcPct val="0"/>
            </a:spcBef>
            <a:spcAft>
              <a:spcPct val="15000"/>
            </a:spcAft>
            <a:buChar char="•"/>
          </a:pPr>
          <a:r>
            <a:rPr lang="en-US" sz="800" kern="1200"/>
            <a:t>JBS and ORE collaborates to disseminate the findings as per Communication Plan</a:t>
          </a:r>
          <a:endParaRPr lang="en-US" sz="800" kern="1200">
            <a:latin typeface="Calibri" panose="020F0502020204030204"/>
            <a:ea typeface="+mn-ea"/>
            <a:cs typeface="+mn-cs"/>
          </a:endParaRPr>
        </a:p>
      </dsp:txBody>
      <dsp:txXfrm>
        <a:off x="1963685" y="1406188"/>
        <a:ext cx="2829065" cy="232924"/>
      </dsp:txXfrm>
    </dsp:sp>
    <dsp:sp modelId="{6BDF6E22-76AA-4EFD-88F0-991563D9B811}">
      <dsp:nvSpPr>
        <dsp:cNvPr id="0" name=""/>
        <dsp:cNvSpPr/>
      </dsp:nvSpPr>
      <dsp:spPr>
        <a:xfrm>
          <a:off x="0" y="1367367"/>
          <a:ext cx="1963685" cy="310566"/>
        </a:xfrm>
        <a:prstGeom prst="roundRect">
          <a:avLst/>
        </a:prstGeom>
        <a:solidFill>
          <a:schemeClr val="accent2">
            <a:hueOff val="-831636"/>
            <a:satOff val="-47959"/>
            <a:lumOff val="493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Analysis Occurs 6/25-8/25</a:t>
          </a:r>
        </a:p>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Reporting Occurs 9/25-11/25</a:t>
          </a:r>
        </a:p>
      </dsp:txBody>
      <dsp:txXfrm>
        <a:off x="15161" y="1382528"/>
        <a:ext cx="1933363" cy="280244"/>
      </dsp:txXfrm>
    </dsp:sp>
    <dsp:sp modelId="{13AEEA81-BC67-4830-89D1-B39BD97039D0}">
      <dsp:nvSpPr>
        <dsp:cNvPr id="0" name=""/>
        <dsp:cNvSpPr/>
      </dsp:nvSpPr>
      <dsp:spPr>
        <a:xfrm>
          <a:off x="1963685" y="1708990"/>
          <a:ext cx="2945527" cy="310566"/>
        </a:xfrm>
        <a:prstGeom prst="rightArrow">
          <a:avLst>
            <a:gd name="adj1" fmla="val 75000"/>
            <a:gd name="adj2" fmla="val 50000"/>
          </a:avLst>
        </a:prstGeom>
        <a:solidFill>
          <a:schemeClr val="accent2">
            <a:tint val="40000"/>
            <a:alpha val="90000"/>
            <a:hueOff val="-606590"/>
            <a:satOff val="-53819"/>
            <a:lumOff val="-549"/>
            <a:alphaOff val="0"/>
          </a:schemeClr>
        </a:solidFill>
        <a:ln w="12700">
          <a:solidFill>
            <a:schemeClr val="accent2">
              <a:tint val="40000"/>
              <a:alpha val="90000"/>
              <a:hueOff val="-606590"/>
              <a:satOff val="-53819"/>
              <a:lumOff val="-54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Follow-up Phase 1 and 2 alumni and early exit survey </a:t>
          </a:r>
        </a:p>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early exit interview</a:t>
          </a:r>
        </a:p>
      </dsp:txBody>
      <dsp:txXfrm>
        <a:off x="1963685" y="1747811"/>
        <a:ext cx="2829065" cy="232924"/>
      </dsp:txXfrm>
    </dsp:sp>
    <dsp:sp modelId="{DD640EDC-4BB9-45CC-8650-65542D974F9D}">
      <dsp:nvSpPr>
        <dsp:cNvPr id="0" name=""/>
        <dsp:cNvSpPr/>
      </dsp:nvSpPr>
      <dsp:spPr>
        <a:xfrm>
          <a:off x="0" y="1708990"/>
          <a:ext cx="1963685" cy="310566"/>
        </a:xfrm>
        <a:prstGeom prst="roundRect">
          <a:avLst/>
        </a:prstGeom>
        <a:solidFill>
          <a:schemeClr val="accent2">
            <a:hueOff val="-1039545"/>
            <a:satOff val="-59949"/>
            <a:lumOff val="6163"/>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Phase 3 Data Collection 11/25-4/26</a:t>
          </a:r>
        </a:p>
      </dsp:txBody>
      <dsp:txXfrm>
        <a:off x="15161" y="1724151"/>
        <a:ext cx="1933363" cy="280244"/>
      </dsp:txXfrm>
    </dsp:sp>
    <dsp:sp modelId="{78616A42-FB8C-4808-8293-29913DC8D8EC}">
      <dsp:nvSpPr>
        <dsp:cNvPr id="0" name=""/>
        <dsp:cNvSpPr/>
      </dsp:nvSpPr>
      <dsp:spPr>
        <a:xfrm>
          <a:off x="1963685" y="2050613"/>
          <a:ext cx="2945527" cy="310566"/>
        </a:xfrm>
        <a:prstGeom prst="rightArrow">
          <a:avLst>
            <a:gd name="adj1" fmla="val 75000"/>
            <a:gd name="adj2" fmla="val 50000"/>
          </a:avLst>
        </a:prstGeom>
        <a:solidFill>
          <a:schemeClr val="accent2">
            <a:tint val="40000"/>
            <a:alpha val="90000"/>
            <a:hueOff val="-727908"/>
            <a:satOff val="-64582"/>
            <a:lumOff val="-659"/>
            <a:alphaOff val="0"/>
          </a:schemeClr>
        </a:solidFill>
        <a:ln w="12700">
          <a:solidFill>
            <a:schemeClr val="accent2">
              <a:tint val="40000"/>
              <a:alpha val="90000"/>
              <a:hueOff val="-727908"/>
              <a:satOff val="-64582"/>
              <a:lumOff val="-65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latin typeface="Calibri" panose="020F0502020204030204"/>
              <a:ea typeface="+mn-ea"/>
              <a:cs typeface="+mn-cs"/>
            </a:rPr>
            <a:t>JBS analyzes the data</a:t>
          </a:r>
        </a:p>
        <a:p>
          <a:pPr marL="57150" lvl="1" indent="-57150" algn="l" defTabSz="355600">
            <a:lnSpc>
              <a:spcPct val="90000"/>
            </a:lnSpc>
            <a:spcBef>
              <a:spcPct val="0"/>
            </a:spcBef>
            <a:spcAft>
              <a:spcPct val="15000"/>
            </a:spcAft>
            <a:buChar char="•"/>
          </a:pPr>
          <a:endParaRPr lang="en-US" sz="800" kern="1200">
            <a:latin typeface="Calibri" panose="020F0502020204030204"/>
            <a:ea typeface="+mn-ea"/>
            <a:cs typeface="+mn-cs"/>
          </a:endParaRPr>
        </a:p>
      </dsp:txBody>
      <dsp:txXfrm>
        <a:off x="1963685" y="2089434"/>
        <a:ext cx="2829065" cy="232924"/>
      </dsp:txXfrm>
    </dsp:sp>
    <dsp:sp modelId="{0194D018-DF62-43F0-83F7-1DD760C57991}">
      <dsp:nvSpPr>
        <dsp:cNvPr id="0" name=""/>
        <dsp:cNvSpPr/>
      </dsp:nvSpPr>
      <dsp:spPr>
        <a:xfrm>
          <a:off x="0" y="2050613"/>
          <a:ext cx="1963685" cy="310566"/>
        </a:xfrm>
        <a:prstGeom prst="roundRect">
          <a:avLst/>
        </a:prstGeom>
        <a:solidFill>
          <a:schemeClr val="accent2">
            <a:hueOff val="-1247454"/>
            <a:satOff val="-71938"/>
            <a:lumOff val="7395"/>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Final Analysis Occurs 4/26-9/26</a:t>
          </a:r>
        </a:p>
      </dsp:txBody>
      <dsp:txXfrm>
        <a:off x="15161" y="2065774"/>
        <a:ext cx="1933363" cy="280244"/>
      </dsp:txXfrm>
    </dsp:sp>
    <dsp:sp modelId="{DCCAC125-F9E6-4B05-8529-E355E4EAE8CF}">
      <dsp:nvSpPr>
        <dsp:cNvPr id="0" name=""/>
        <dsp:cNvSpPr/>
      </dsp:nvSpPr>
      <dsp:spPr>
        <a:xfrm>
          <a:off x="1963685" y="2392236"/>
          <a:ext cx="2945527" cy="310566"/>
        </a:xfrm>
        <a:prstGeom prst="rightArrow">
          <a:avLst>
            <a:gd name="adj1" fmla="val 75000"/>
            <a:gd name="adj2" fmla="val 50000"/>
          </a:avLst>
        </a:prstGeom>
        <a:solidFill>
          <a:schemeClr val="accent2">
            <a:tint val="40000"/>
            <a:alpha val="90000"/>
            <a:hueOff val="-849226"/>
            <a:satOff val="-75346"/>
            <a:lumOff val="-769"/>
            <a:alphaOff val="0"/>
          </a:schemeClr>
        </a:solidFill>
        <a:ln w="12700">
          <a:solidFill>
            <a:schemeClr val="accent2">
              <a:tint val="40000"/>
              <a:alpha val="90000"/>
              <a:hueOff val="-849226"/>
              <a:satOff val="-75346"/>
              <a:lumOff val="-76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080" tIns="5080" rIns="5080" bIns="5080" numCol="1" spcCol="1270" anchor="t" anchorCtr="0"/>
        <a:lstStyle/>
        <a:p>
          <a:pPr marL="57150" lvl="1" indent="-57150" algn="l" defTabSz="355600">
            <a:lnSpc>
              <a:spcPct val="90000"/>
            </a:lnSpc>
            <a:spcBef>
              <a:spcPct val="0"/>
            </a:spcBef>
            <a:spcAft>
              <a:spcPct val="15000"/>
            </a:spcAft>
            <a:buChar char="•"/>
          </a:pPr>
          <a:r>
            <a:rPr lang="en-US" sz="800" kern="1200"/>
            <a:t>JBS and ORE collaborates to disseminate the findings as per Communication Plan</a:t>
          </a:r>
        </a:p>
      </dsp:txBody>
      <dsp:txXfrm>
        <a:off x="1963685" y="2431057"/>
        <a:ext cx="2829065" cy="232924"/>
      </dsp:txXfrm>
    </dsp:sp>
    <dsp:sp modelId="{CB5355E7-0A59-494D-B786-98261553B696}">
      <dsp:nvSpPr>
        <dsp:cNvPr id="0" name=""/>
        <dsp:cNvSpPr/>
      </dsp:nvSpPr>
      <dsp:spPr>
        <a:xfrm>
          <a:off x="0" y="2392236"/>
          <a:ext cx="1963685" cy="310566"/>
        </a:xfrm>
        <a:prstGeom prst="roundRect">
          <a:avLst/>
        </a:prstGeom>
        <a:solidFill>
          <a:schemeClr val="accent2">
            <a:hueOff val="-1455363"/>
            <a:satOff val="-83928"/>
            <a:lumOff val="8628"/>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3335" rIns="26670" bIns="13335" numCol="1" spcCol="1270" anchor="ctr" anchorCtr="0"/>
        <a:lstStyle/>
        <a:p>
          <a:pPr marL="0" lvl="0" indent="0" algn="ctr" defTabSz="311150">
            <a:lnSpc>
              <a:spcPct val="90000"/>
            </a:lnSpc>
            <a:spcBef>
              <a:spcPct val="0"/>
            </a:spcBef>
            <a:spcAft>
              <a:spcPct val="35000"/>
            </a:spcAft>
            <a:buNone/>
          </a:pPr>
          <a:r>
            <a:rPr lang="en-US" sz="700" kern="1200">
              <a:latin typeface="Calibri" panose="020F0502020204030204"/>
              <a:ea typeface="+mn-ea"/>
              <a:cs typeface="+mn-cs"/>
            </a:rPr>
            <a:t>Final Reporting Occurs 10/26-5/27</a:t>
          </a:r>
        </a:p>
      </dsp:txBody>
      <dsp:txXfrm>
        <a:off x="15161" y="2407397"/>
        <a:ext cx="1933363" cy="28024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rel"/>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rel"/>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3263C97756FA2D47B45612684054DAE2" ma:contentTypeVersion="26" ma:contentTypeDescription="Create a new document." ma:contentTypeScope="" ma:versionID="4573b82565c393cc5770333ed22f8034">
  <xsd:schema xmlns:xsd="http://www.w3.org/2001/XMLSchema" xmlns:xs="http://www.w3.org/2001/XMLSchema" xmlns:p="http://schemas.microsoft.com/office/2006/metadata/properties" xmlns:ns1="http://schemas.microsoft.com/sharepoint/v3" xmlns:ns2="a43b28a6-9bb0-4696-b776-f7505fe88166" xmlns:ns3="b79ba95e-3014-4428-8fb1-593c923a9eef" targetNamespace="http://schemas.microsoft.com/office/2006/metadata/properties" ma:root="true" ma:fieldsID="fab83e1f02cfbbce109683d5042c88f8" ns1:_="" ns2:_="" ns3:_="">
    <xsd:import namespace="http://schemas.microsoft.com/sharepoint/v3"/>
    <xsd:import namespace="a43b28a6-9bb0-4696-b776-f7505fe88166"/>
    <xsd:import namespace="b79ba95e-3014-4428-8fb1-593c923a9eef"/>
    <xsd:element name="properties">
      <xsd:complexType>
        <xsd:sequence>
          <xsd:element name="documentManagement">
            <xsd:complexType>
              <xsd:all>
                <xsd:element ref="ns2:PublishingStartDate" minOccurs="0"/>
                <xsd:element ref="ns2:PublishingExpirationDate" minOccurs="0"/>
                <xsd:element ref="ns3:SharedWithUsers" minOccurs="0"/>
                <xsd:element ref="ns3:SharedWithDetails" minOccurs="0"/>
                <xsd:element ref="ns2:MediaServiceMetadata" minOccurs="0"/>
                <xsd:element ref="ns2:MediaServiceFastMetadata" minOccurs="0"/>
                <xsd:element ref="ns1:_ip_UnifiedCompliancePolicyProperties" minOccurs="0"/>
                <xsd:element ref="ns1:_ip_UnifiedCompliancePolicyUIActio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b28a6-9bb0-4696-b776-f7505fe88166"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format="DateTim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format="DateTime" ma:internalName="PublishingExpirationDate" ma:readOnly="false">
      <xsd:simpleType>
        <xsd:restriction base="dms:Unknow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ba95e-3014-4428-8fb1-593c923a9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b44f5a5-7443-465e-b324-ae83b67926a3}" ma:internalName="TaxCatchAll" ma:showField="CatchAllData" ma:web="b79ba95e-3014-4428-8fb1-593c923a9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3b28a6-9bb0-4696-b776-f7505fe88166">
      <Terms xmlns="http://schemas.microsoft.com/office/infopath/2007/PartnerControls"/>
    </lcf76f155ced4ddcb4097134ff3c332f>
    <PublishingExpirationDate xmlns="a43b28a6-9bb0-4696-b776-f7505fe88166" xsi:nil="true"/>
    <_ip_UnifiedCompliancePolicyProperties xmlns="http://schemas.microsoft.com/sharepoint/v3" xsi:nil="true"/>
    <PublishingStartDate xmlns="a43b28a6-9bb0-4696-b776-f7505fe88166" xsi:nil="true"/>
    <TaxCatchAll xmlns="b79ba95e-3014-4428-8fb1-593c923a9eef" xsi:nil="true"/>
  </documentManagement>
</p:properties>
</file>

<file path=customXml/itemProps1.xml><?xml version="1.0" encoding="utf-8"?>
<ds:datastoreItem xmlns:ds="http://schemas.openxmlformats.org/officeDocument/2006/customXml" ds:itemID="{5567F88C-C4D2-4788-972F-736D109F9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EDE482-4266-4165-AD5E-3308B816D3C2}">
  <ds:schemaRefs>
    <ds:schemaRef ds:uri="http://schemas.microsoft.com/sharepoint/v3/contenttype/forms"/>
  </ds:schemaRefs>
</ds:datastoreItem>
</file>

<file path=customXml/itemProps3.xml><?xml version="1.0" encoding="utf-8"?>
<ds:datastoreItem xmlns:ds="http://schemas.openxmlformats.org/officeDocument/2006/customXml" ds:itemID="{52C3B127-7D24-4EDD-9F80-709D7659A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b28a6-9bb0-4696-b776-f7505fe88166"/>
    <ds:schemaRef ds:uri="b79ba95e-3014-4428-8fb1-593c923a9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BCFF8-152F-4551-A58F-8F802D37B579}">
  <ds:schemaRefs>
    <ds:schemaRef ds:uri="http://schemas.microsoft.com/sharepoint/v3/contenttype/forms"/>
  </ds:schemaRefs>
</ds:datastoreItem>
</file>

<file path=customXml/itemProps5.xml><?xml version="1.0" encoding="utf-8"?>
<ds:datastoreItem xmlns:ds="http://schemas.openxmlformats.org/officeDocument/2006/customXml" ds:itemID="{C330BE4E-9813-491A-B731-A330C987D923}">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customXml/itemProps6.xml><?xml version="1.0" encoding="utf-8"?>
<ds:datastoreItem xmlns:ds="http://schemas.openxmlformats.org/officeDocument/2006/customXml" ds:itemID="{04C3239A-E9ED-42F4-A53A-7924CC42C756}">
  <ds:schemaRefs>
    <ds:schemaRef ds:uri="http://schemas.openxmlformats.org/officeDocument/2006/bibliography"/>
  </ds:schemaRefs>
</ds:datastoreItem>
</file>

<file path=customXml/itemProps7.xml><?xml version="1.0" encoding="utf-8"?>
<ds:datastoreItem xmlns:ds="http://schemas.openxmlformats.org/officeDocument/2006/customXml" ds:itemID="{6E1F29D8-3D26-406A-BC3F-9C9C1A1C24D1}">
  <ds:schemaRefs>
    <ds:schemaRef ds:uri="http://schemas.microsoft.com/office/2006/metadata/properties"/>
    <ds:schemaRef ds:uri="http://schemas.microsoft.com/office/infopath/2007/PartnerControls"/>
    <ds:schemaRef ds:uri="http://schemas.microsoft.com/sharepoint/v3"/>
    <ds:schemaRef ds:uri="a43b28a6-9bb0-4696-b776-f7505fe88166"/>
    <ds:schemaRef ds:uri="b79ba95e-3014-4428-8fb1-593c923a9e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9059</Words>
  <Characters>51638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2024-04-04T15:57:00Z</dcterms:created>
  <dcterms:modified xsi:type="dcterms:W3CDTF">2024-04-04T16:01:00Z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0x0101003263C97756FA2D47B45612684054DAE2</vt:lpwstr>
  </property>
</Properties>
</file>