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B69" w:rsidRPr="00C5352C" w:rsidP="003B6B69" w14:paraId="153BD850" w14:textId="57186A50">
      <w:pPr>
        <w:spacing w:after="0" w:line="240" w:lineRule="auto"/>
        <w:rPr>
          <w:rFonts w:ascii="Times New Roman" w:hAnsi="Times New Roman" w:cs="Times New Roman"/>
          <w:b/>
          <w:sz w:val="24"/>
          <w:szCs w:val="24"/>
        </w:rPr>
      </w:pPr>
      <w:r w:rsidRPr="00C5352C">
        <w:rPr>
          <w:rFonts w:ascii="Times New Roman" w:hAnsi="Times New Roman" w:cs="Times New Roman"/>
          <w:b/>
          <w:sz w:val="24"/>
          <w:szCs w:val="24"/>
        </w:rPr>
        <w:t xml:space="preserve">Use of Spectrum Bands Above 24 GHz for Mobile Radio Services              </w:t>
      </w:r>
      <w:r w:rsidRPr="00C5352C" w:rsidR="0029309D">
        <w:rPr>
          <w:rFonts w:ascii="Times New Roman" w:hAnsi="Times New Roman" w:cs="Times New Roman"/>
          <w:b/>
          <w:sz w:val="24"/>
          <w:szCs w:val="24"/>
        </w:rPr>
        <w:t xml:space="preserve">    </w:t>
      </w:r>
      <w:r w:rsidRPr="00C5352C">
        <w:rPr>
          <w:rFonts w:ascii="Times New Roman" w:hAnsi="Times New Roman" w:cs="Times New Roman"/>
          <w:b/>
          <w:sz w:val="24"/>
          <w:szCs w:val="24"/>
        </w:rPr>
        <w:t xml:space="preserve">  </w:t>
      </w:r>
      <w:r w:rsidRPr="00C5352C" w:rsidR="00F658BC">
        <w:rPr>
          <w:rFonts w:ascii="Times New Roman" w:hAnsi="Times New Roman" w:cs="Times New Roman"/>
          <w:b/>
          <w:sz w:val="24"/>
          <w:szCs w:val="24"/>
        </w:rPr>
        <w:t xml:space="preserve"> </w:t>
      </w:r>
      <w:r w:rsidRPr="00C5352C" w:rsidR="00A97E8E">
        <w:rPr>
          <w:rFonts w:ascii="Times New Roman" w:hAnsi="Times New Roman" w:cs="Times New Roman"/>
          <w:b/>
          <w:sz w:val="24"/>
          <w:szCs w:val="24"/>
        </w:rPr>
        <w:t>3060-</w:t>
      </w:r>
      <w:r w:rsidRPr="00C5352C" w:rsidR="006C5848">
        <w:rPr>
          <w:rFonts w:ascii="Times New Roman" w:hAnsi="Times New Roman" w:cs="Times New Roman"/>
          <w:b/>
          <w:sz w:val="24"/>
          <w:szCs w:val="24"/>
        </w:rPr>
        <w:t>1215</w:t>
      </w:r>
    </w:p>
    <w:p w:rsidR="00C0329D" w:rsidRPr="00C5352C" w:rsidP="003B6B69" w14:paraId="33E61EF3" w14:textId="09D87659">
      <w:pPr>
        <w:spacing w:after="0" w:line="240" w:lineRule="auto"/>
        <w:rPr>
          <w:rFonts w:ascii="Times New Roman" w:hAnsi="Times New Roman" w:cs="Times New Roman"/>
          <w:b/>
          <w:sz w:val="24"/>
          <w:szCs w:val="24"/>
        </w:rPr>
      </w:pP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Pr>
          <w:rFonts w:ascii="Times New Roman" w:hAnsi="Times New Roman" w:cs="Times New Roman"/>
          <w:b/>
          <w:sz w:val="24"/>
          <w:szCs w:val="24"/>
        </w:rPr>
        <w:tab/>
      </w:r>
      <w:r w:rsidRPr="00C5352C" w:rsidR="002F7AAE">
        <w:rPr>
          <w:rFonts w:ascii="Times New Roman" w:hAnsi="Times New Roman" w:cs="Times New Roman"/>
          <w:b/>
          <w:sz w:val="24"/>
          <w:szCs w:val="24"/>
        </w:rPr>
        <w:t>June 202</w:t>
      </w:r>
      <w:r w:rsidRPr="00C5352C" w:rsidR="00C41A71">
        <w:rPr>
          <w:rFonts w:ascii="Times New Roman" w:hAnsi="Times New Roman" w:cs="Times New Roman"/>
          <w:b/>
          <w:sz w:val="24"/>
          <w:szCs w:val="24"/>
        </w:rPr>
        <w:t>4</w:t>
      </w:r>
    </w:p>
    <w:p w:rsidR="00061F14" w:rsidRPr="00C5352C" w:rsidP="00061F14" w14:paraId="1E3E185C" w14:textId="77777777">
      <w:pPr>
        <w:spacing w:after="0" w:line="240" w:lineRule="auto"/>
        <w:jc w:val="right"/>
        <w:rPr>
          <w:rFonts w:ascii="Times New Roman" w:hAnsi="Times New Roman" w:cs="Times New Roman"/>
          <w:sz w:val="24"/>
          <w:szCs w:val="24"/>
        </w:rPr>
      </w:pPr>
    </w:p>
    <w:p w:rsidR="00061F14" w:rsidRPr="00C5352C" w:rsidP="00061F14" w14:paraId="4F395138" w14:textId="77777777">
      <w:pPr>
        <w:spacing w:after="0" w:line="240" w:lineRule="auto"/>
        <w:jc w:val="center"/>
        <w:rPr>
          <w:rFonts w:ascii="Times New Roman" w:hAnsi="Times New Roman" w:cs="Times New Roman"/>
          <w:sz w:val="24"/>
          <w:szCs w:val="24"/>
        </w:rPr>
      </w:pPr>
      <w:r w:rsidRPr="00C5352C">
        <w:rPr>
          <w:rFonts w:ascii="Times New Roman" w:hAnsi="Times New Roman" w:cs="Times New Roman"/>
          <w:sz w:val="24"/>
          <w:szCs w:val="24"/>
        </w:rPr>
        <w:t>SUPPORTING STATEMENT</w:t>
      </w:r>
    </w:p>
    <w:p w:rsidR="00954132" w:rsidRPr="00C5352C" w:rsidP="00061F14" w14:paraId="2DD2669C" w14:textId="77777777">
      <w:pPr>
        <w:spacing w:after="0" w:line="240" w:lineRule="auto"/>
        <w:jc w:val="center"/>
        <w:rPr>
          <w:rFonts w:ascii="Times New Roman" w:hAnsi="Times New Roman" w:cs="Times New Roman"/>
          <w:sz w:val="24"/>
          <w:szCs w:val="24"/>
        </w:rPr>
      </w:pPr>
    </w:p>
    <w:p w:rsidR="00954132" w:rsidRPr="00440196" w:rsidP="00FE7E4C" w14:paraId="1AB05B2C" w14:textId="11CE0C94">
      <w:pPr>
        <w:spacing w:after="0" w:line="240" w:lineRule="auto"/>
        <w:rPr>
          <w:rFonts w:ascii="Times New Roman" w:hAnsi="Times New Roman" w:cs="Times New Roman"/>
          <w:sz w:val="24"/>
          <w:szCs w:val="24"/>
        </w:rPr>
      </w:pPr>
      <w:r w:rsidRPr="00C5352C">
        <w:rPr>
          <w:rFonts w:ascii="Times New Roman" w:hAnsi="Times New Roman" w:cs="Times New Roman"/>
          <w:sz w:val="24"/>
          <w:szCs w:val="24"/>
        </w:rPr>
        <w:t xml:space="preserve">With this submission, the </w:t>
      </w:r>
      <w:r w:rsidR="00577048">
        <w:rPr>
          <w:rFonts w:ascii="Times New Roman" w:hAnsi="Times New Roman" w:cs="Times New Roman"/>
          <w:sz w:val="24"/>
          <w:szCs w:val="24"/>
        </w:rPr>
        <w:t xml:space="preserve">Federal Communications </w:t>
      </w:r>
      <w:r w:rsidRPr="00C5352C">
        <w:rPr>
          <w:rFonts w:ascii="Times New Roman" w:hAnsi="Times New Roman" w:cs="Times New Roman"/>
          <w:sz w:val="24"/>
          <w:szCs w:val="24"/>
        </w:rPr>
        <w:t xml:space="preserve">Commission </w:t>
      </w:r>
      <w:r w:rsidR="00577048">
        <w:rPr>
          <w:rFonts w:ascii="Times New Roman" w:hAnsi="Times New Roman" w:cs="Times New Roman"/>
          <w:sz w:val="24"/>
          <w:szCs w:val="24"/>
        </w:rPr>
        <w:t xml:space="preserve">(Commission </w:t>
      </w:r>
      <w:r w:rsidRPr="00440196" w:rsidR="00577048">
        <w:rPr>
          <w:rFonts w:ascii="Times New Roman" w:hAnsi="Times New Roman" w:cs="Times New Roman"/>
          <w:sz w:val="24"/>
          <w:szCs w:val="24"/>
        </w:rPr>
        <w:t xml:space="preserve">or FCC) </w:t>
      </w:r>
      <w:r w:rsidRPr="00440196">
        <w:rPr>
          <w:rFonts w:ascii="Times New Roman" w:hAnsi="Times New Roman" w:cs="Times New Roman"/>
          <w:sz w:val="24"/>
          <w:szCs w:val="24"/>
        </w:rPr>
        <w:t>seeks Office of Management and Budget (“OMB”) approval for an extension to this information to obtain the full three-year clearance for the requirements described below.  Although there are no program changes, we are adjusting estimates of the currently approved information collection</w:t>
      </w:r>
      <w:r w:rsidRPr="00440196" w:rsidR="007E5CC4">
        <w:rPr>
          <w:rFonts w:ascii="Times New Roman" w:hAnsi="Times New Roman" w:cs="Times New Roman"/>
          <w:sz w:val="24"/>
          <w:szCs w:val="24"/>
        </w:rPr>
        <w:t xml:space="preserve">, because the Commission is activating  sections </w:t>
      </w:r>
      <w:r w:rsidRPr="00440196" w:rsidR="00292B9A">
        <w:rPr>
          <w:rFonts w:ascii="Times New Roman" w:hAnsi="Times New Roman" w:cs="Times New Roman"/>
          <w:sz w:val="24"/>
          <w:szCs w:val="24"/>
        </w:rPr>
        <w:t>30.104</w:t>
      </w:r>
      <w:r w:rsidRPr="00440196" w:rsidR="007E5CC4">
        <w:rPr>
          <w:rFonts w:ascii="Times New Roman" w:hAnsi="Times New Roman" w:cs="Times New Roman"/>
          <w:sz w:val="24"/>
          <w:szCs w:val="24"/>
        </w:rPr>
        <w:t xml:space="preserve"> and 30.107. </w:t>
      </w:r>
    </w:p>
    <w:p w:rsidR="00061F14" w:rsidRPr="00440196" w:rsidP="00061F14" w14:paraId="64EDBC57" w14:textId="77777777">
      <w:pPr>
        <w:spacing w:after="0" w:line="240" w:lineRule="auto"/>
        <w:jc w:val="center"/>
        <w:rPr>
          <w:rFonts w:ascii="Times New Roman" w:hAnsi="Times New Roman" w:cs="Times New Roman"/>
          <w:sz w:val="24"/>
          <w:szCs w:val="24"/>
        </w:rPr>
      </w:pPr>
    </w:p>
    <w:p w:rsidR="00FF4EAA" w:rsidRPr="00440196" w:rsidP="00954132" w14:paraId="0F5F3E22" w14:textId="6BDC3909">
      <w:pPr>
        <w:pStyle w:val="ListParagraph"/>
        <w:numPr>
          <w:ilvl w:val="0"/>
          <w:numId w:val="2"/>
        </w:numPr>
        <w:spacing w:after="0" w:line="240" w:lineRule="auto"/>
        <w:rPr>
          <w:rFonts w:ascii="Times New Roman" w:hAnsi="Times New Roman" w:cs="Times New Roman"/>
          <w:b/>
          <w:sz w:val="24"/>
          <w:szCs w:val="24"/>
          <w:u w:val="single"/>
        </w:rPr>
      </w:pPr>
      <w:r w:rsidRPr="00440196">
        <w:rPr>
          <w:rFonts w:ascii="Times New Roman" w:hAnsi="Times New Roman" w:cs="Times New Roman"/>
          <w:b/>
          <w:sz w:val="24"/>
          <w:szCs w:val="24"/>
          <w:u w:val="single"/>
        </w:rPr>
        <w:t>Justification</w:t>
      </w:r>
      <w:r w:rsidRPr="00440196" w:rsidR="00F63EAF">
        <w:rPr>
          <w:rFonts w:ascii="Times New Roman" w:hAnsi="Times New Roman" w:cs="Times New Roman"/>
          <w:b/>
          <w:sz w:val="24"/>
          <w:szCs w:val="24"/>
          <w:u w:val="single"/>
        </w:rPr>
        <w:t>:</w:t>
      </w:r>
    </w:p>
    <w:p w:rsidR="00FF4EAA" w:rsidRPr="00440196" w:rsidP="00FF4EAA" w14:paraId="53DF60BD" w14:textId="77777777">
      <w:pPr>
        <w:spacing w:after="0" w:line="240" w:lineRule="auto"/>
        <w:rPr>
          <w:rFonts w:ascii="Times New Roman" w:hAnsi="Times New Roman" w:cs="Times New Roman"/>
          <w:sz w:val="24"/>
          <w:szCs w:val="24"/>
        </w:rPr>
      </w:pPr>
    </w:p>
    <w:p w:rsidR="00F33C6B" w:rsidRPr="00440196" w:rsidP="00F33C6B" w14:paraId="5FC08215" w14:textId="0B7F094F">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7E5CC4">
        <w:rPr>
          <w:rFonts w:ascii="Times New Roman" w:hAnsi="Times New Roman" w:cs="Times New Roman"/>
          <w:sz w:val="24"/>
          <w:szCs w:val="24"/>
        </w:rPr>
        <w:t xml:space="preserve">The currently approved information collections under OMB Control Number 3060-1215 relate to </w:t>
      </w:r>
      <w:r w:rsidRPr="00440196">
        <w:rPr>
          <w:rFonts w:ascii="Times New Roman" w:hAnsi="Times New Roman" w:cs="Times New Roman"/>
          <w:sz w:val="24"/>
          <w:szCs w:val="24"/>
        </w:rPr>
        <w:t xml:space="preserve">“Use of Spectrum Bands Above 24 GHz for Mobile Radio Services” Fifth Report and Order (Fifth R&amp;O). </w:t>
      </w:r>
      <w:r>
        <w:rPr>
          <w:rStyle w:val="FootnoteReference"/>
          <w:rFonts w:ascii="Times New Roman" w:hAnsi="Times New Roman" w:cs="Times New Roman"/>
          <w:sz w:val="24"/>
          <w:szCs w:val="24"/>
        </w:rPr>
        <w:footnoteReference w:id="2"/>
      </w:r>
    </w:p>
    <w:p w:rsidR="00F33C6B" w:rsidRPr="00440196" w:rsidP="00F33C6B" w14:paraId="774B4824" w14:textId="77777777">
      <w:pPr>
        <w:spacing w:after="0" w:line="240" w:lineRule="auto"/>
        <w:rPr>
          <w:rFonts w:ascii="Times New Roman" w:hAnsi="Times New Roman" w:cs="Times New Roman"/>
          <w:sz w:val="24"/>
          <w:szCs w:val="24"/>
        </w:rPr>
      </w:pPr>
    </w:p>
    <w:p w:rsidR="00562170" w:rsidRPr="00440196" w:rsidP="00562170" w14:paraId="7FDE34BA" w14:textId="5C83CB71">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T</w:t>
      </w:r>
      <w:r w:rsidRPr="00440196">
        <w:rPr>
          <w:rFonts w:ascii="Times New Roman" w:hAnsi="Times New Roman" w:cs="Times New Roman"/>
          <w:sz w:val="24"/>
          <w:szCs w:val="24"/>
        </w:rPr>
        <w:t xml:space="preserve">he Commission is </w:t>
      </w:r>
      <w:bookmarkStart w:id="0" w:name="_Hlk161664586"/>
      <w:r w:rsidRPr="00440196">
        <w:rPr>
          <w:rFonts w:ascii="Times New Roman" w:hAnsi="Times New Roman" w:cs="Times New Roman"/>
          <w:sz w:val="24"/>
          <w:szCs w:val="24"/>
        </w:rPr>
        <w:t>activating section</w:t>
      </w:r>
      <w:r w:rsidRPr="00440196">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292B9A">
        <w:rPr>
          <w:rFonts w:ascii="Times New Roman" w:hAnsi="Times New Roman" w:cs="Times New Roman"/>
          <w:sz w:val="24"/>
          <w:szCs w:val="24"/>
        </w:rPr>
        <w:t>30.104</w:t>
      </w:r>
      <w:r w:rsidRPr="00440196">
        <w:rPr>
          <w:rFonts w:ascii="Times New Roman" w:hAnsi="Times New Roman" w:cs="Times New Roman"/>
          <w:sz w:val="24"/>
          <w:szCs w:val="24"/>
        </w:rPr>
        <w:t xml:space="preserve"> and 30.107</w:t>
      </w:r>
      <w:bookmarkEnd w:id="0"/>
      <w:r w:rsidRPr="00440196">
        <w:rPr>
          <w:rFonts w:ascii="Times New Roman" w:hAnsi="Times New Roman" w:cs="Times New Roman"/>
          <w:sz w:val="24"/>
          <w:szCs w:val="24"/>
        </w:rPr>
        <w:t xml:space="preserve">, because existing 28 GHz licensees shall be required to make a </w:t>
      </w:r>
      <w:r w:rsidRPr="00440196" w:rsidR="002337A3">
        <w:rPr>
          <w:rFonts w:ascii="Times New Roman" w:hAnsi="Times New Roman" w:cs="Times New Roman"/>
          <w:sz w:val="24"/>
          <w:szCs w:val="24"/>
        </w:rPr>
        <w:t xml:space="preserve">performance requirement </w:t>
      </w:r>
      <w:r w:rsidRPr="00440196">
        <w:rPr>
          <w:rFonts w:ascii="Times New Roman" w:hAnsi="Times New Roman" w:cs="Times New Roman"/>
          <w:sz w:val="24"/>
          <w:szCs w:val="24"/>
        </w:rPr>
        <w:t xml:space="preserve">showing pursuant to </w:t>
      </w:r>
      <w:r w:rsidRPr="00440196" w:rsidR="002337A3">
        <w:rPr>
          <w:rFonts w:ascii="Times New Roman" w:hAnsi="Times New Roman" w:cs="Times New Roman"/>
          <w:sz w:val="24"/>
          <w:szCs w:val="24"/>
        </w:rPr>
        <w:t xml:space="preserve">section </w:t>
      </w:r>
      <w:r w:rsidRPr="00440196" w:rsidR="00292B9A">
        <w:rPr>
          <w:rFonts w:ascii="Times New Roman" w:hAnsi="Times New Roman" w:cs="Times New Roman"/>
          <w:sz w:val="24"/>
          <w:szCs w:val="24"/>
        </w:rPr>
        <w:t>30.104</w:t>
      </w:r>
      <w:r w:rsidRPr="00440196" w:rsidR="002337A3">
        <w:rPr>
          <w:rFonts w:ascii="Times New Roman" w:hAnsi="Times New Roman" w:cs="Times New Roman"/>
          <w:sz w:val="24"/>
          <w:szCs w:val="24"/>
        </w:rPr>
        <w:t xml:space="preserve"> </w:t>
      </w:r>
      <w:r w:rsidRPr="00440196">
        <w:rPr>
          <w:rFonts w:ascii="Times New Roman" w:hAnsi="Times New Roman" w:cs="Times New Roman"/>
          <w:sz w:val="24"/>
          <w:szCs w:val="24"/>
        </w:rPr>
        <w:t>by June 1</w:t>
      </w:r>
      <w:r w:rsidRPr="00440196" w:rsidR="00FE7E4C">
        <w:rPr>
          <w:rFonts w:ascii="Times New Roman" w:hAnsi="Times New Roman" w:cs="Times New Roman"/>
          <w:sz w:val="24"/>
          <w:szCs w:val="24"/>
        </w:rPr>
        <w:t>6</w:t>
      </w:r>
      <w:r w:rsidRPr="00440196">
        <w:rPr>
          <w:rFonts w:ascii="Times New Roman" w:hAnsi="Times New Roman" w:cs="Times New Roman"/>
          <w:sz w:val="24"/>
          <w:szCs w:val="24"/>
        </w:rPr>
        <w:t>, 2024</w:t>
      </w:r>
      <w:r w:rsidRPr="00440196" w:rsidR="002337A3">
        <w:rPr>
          <w:rFonts w:ascii="Times New Roman" w:hAnsi="Times New Roman" w:cs="Times New Roman"/>
          <w:sz w:val="24"/>
          <w:szCs w:val="24"/>
        </w:rPr>
        <w:t>, and after that date, the obligation to report discontinuance pursuant to section 30.107 will apply</w:t>
      </w:r>
      <w:r w:rsidRPr="00440196">
        <w:rPr>
          <w:rFonts w:ascii="Times New Roman" w:hAnsi="Times New Roman" w:cs="Times New Roman"/>
          <w:sz w:val="24"/>
          <w:szCs w:val="24"/>
        </w:rPr>
        <w:t>.</w:t>
      </w:r>
      <w:r w:rsidRPr="00440196">
        <w:rPr>
          <w:rFonts w:ascii="Times New Roman" w:hAnsi="Times New Roman" w:cs="Times New Roman"/>
          <w:sz w:val="24"/>
          <w:szCs w:val="24"/>
        </w:rPr>
        <w:t xml:space="preserve"> </w:t>
      </w:r>
      <w:r w:rsidRPr="00440196">
        <w:rPr>
          <w:rFonts w:ascii="Times New Roman" w:hAnsi="Times New Roman" w:cs="Times New Roman"/>
          <w:sz w:val="24"/>
          <w:szCs w:val="24"/>
        </w:rPr>
        <w:t xml:space="preserve">The </w:t>
      </w:r>
      <w:r w:rsidRPr="00440196">
        <w:rPr>
          <w:rFonts w:ascii="Times New Roman" w:hAnsi="Times New Roman" w:cs="Times New Roman"/>
          <w:sz w:val="24"/>
          <w:szCs w:val="24"/>
        </w:rPr>
        <w:t xml:space="preserve">activation of the </w:t>
      </w:r>
      <w:r w:rsidRPr="00440196">
        <w:rPr>
          <w:rFonts w:ascii="Times New Roman" w:hAnsi="Times New Roman" w:cs="Times New Roman"/>
          <w:sz w:val="24"/>
          <w:szCs w:val="24"/>
        </w:rPr>
        <w:t xml:space="preserve">rules will </w:t>
      </w:r>
      <w:r w:rsidRPr="00440196" w:rsidR="00577048">
        <w:rPr>
          <w:rFonts w:ascii="Times New Roman" w:hAnsi="Times New Roman" w:cs="Times New Roman"/>
          <w:sz w:val="24"/>
          <w:szCs w:val="24"/>
        </w:rPr>
        <w:t xml:space="preserve">may </w:t>
      </w:r>
      <w:r w:rsidRPr="00440196">
        <w:rPr>
          <w:rFonts w:ascii="Times New Roman" w:hAnsi="Times New Roman" w:cs="Times New Roman"/>
          <w:sz w:val="24"/>
          <w:szCs w:val="24"/>
        </w:rPr>
        <w:t xml:space="preserve">increase, the number of respondents, the annual number of responses, annual burden hours and annual cost </w:t>
      </w:r>
      <w:r w:rsidRPr="00440196" w:rsidR="00C96690">
        <w:rPr>
          <w:rFonts w:ascii="Times New Roman" w:hAnsi="Times New Roman" w:cs="Times New Roman"/>
          <w:sz w:val="24"/>
          <w:szCs w:val="24"/>
        </w:rPr>
        <w:t xml:space="preserve">may </w:t>
      </w:r>
      <w:r w:rsidRPr="00440196">
        <w:rPr>
          <w:rFonts w:ascii="Times New Roman" w:hAnsi="Times New Roman" w:cs="Times New Roman"/>
          <w:sz w:val="24"/>
          <w:szCs w:val="24"/>
        </w:rPr>
        <w:t>increase</w:t>
      </w:r>
      <w:r w:rsidRPr="00440196" w:rsidR="00C96690">
        <w:rPr>
          <w:rFonts w:ascii="Times New Roman" w:hAnsi="Times New Roman" w:cs="Times New Roman"/>
          <w:sz w:val="24"/>
          <w:szCs w:val="24"/>
        </w:rPr>
        <w:t>/decrease</w:t>
      </w:r>
      <w:r w:rsidRPr="00440196">
        <w:rPr>
          <w:rFonts w:ascii="Times New Roman" w:hAnsi="Times New Roman" w:cs="Times New Roman"/>
          <w:sz w:val="24"/>
          <w:szCs w:val="24"/>
        </w:rPr>
        <w:t xml:space="preserve"> this collection.  The other rule sections previously approved under OMB Control Number 3060-1215 have not changed.</w:t>
      </w:r>
    </w:p>
    <w:p w:rsidR="00F33C6B" w:rsidRPr="00440196" w:rsidP="00F33C6B" w14:paraId="6927C98D" w14:textId="21F975A0">
      <w:pPr>
        <w:spacing w:after="0" w:line="240" w:lineRule="auto"/>
        <w:rPr>
          <w:rFonts w:ascii="Times New Roman" w:hAnsi="Times New Roman" w:cs="Times New Roman"/>
          <w:sz w:val="24"/>
          <w:szCs w:val="24"/>
        </w:rPr>
      </w:pPr>
    </w:p>
    <w:p w:rsidR="00F33C6B" w:rsidRPr="00440196" w:rsidP="00F33C6B" w14:paraId="2B640135" w14:textId="7395AA97">
      <w:pPr>
        <w:spacing w:after="0" w:line="240" w:lineRule="auto"/>
        <w:rPr>
          <w:rFonts w:ascii="Times New Roman" w:hAnsi="Times New Roman" w:cs="Times New Roman"/>
          <w:i/>
          <w:iCs/>
          <w:sz w:val="24"/>
          <w:szCs w:val="24"/>
        </w:rPr>
      </w:pPr>
      <w:bookmarkStart w:id="1" w:name="_Hlk161663345"/>
      <w:r w:rsidRPr="00440196">
        <w:rPr>
          <w:rFonts w:ascii="Times New Roman" w:hAnsi="Times New Roman" w:cs="Times New Roman"/>
          <w:i/>
          <w:iCs/>
          <w:sz w:val="24"/>
          <w:szCs w:val="24"/>
        </w:rPr>
        <w:t>§ 30.10</w:t>
      </w:r>
      <w:bookmarkEnd w:id="1"/>
      <w:r w:rsidRPr="00440196" w:rsidR="003D5EDB">
        <w:rPr>
          <w:rFonts w:ascii="Times New Roman" w:hAnsi="Times New Roman" w:cs="Times New Roman"/>
          <w:i/>
          <w:iCs/>
          <w:sz w:val="24"/>
          <w:szCs w:val="24"/>
        </w:rPr>
        <w:t>4</w:t>
      </w:r>
      <w:r w:rsidRPr="00440196">
        <w:rPr>
          <w:rFonts w:ascii="Times New Roman" w:hAnsi="Times New Roman" w:cs="Times New Roman"/>
          <w:i/>
          <w:iCs/>
          <w:sz w:val="24"/>
          <w:szCs w:val="24"/>
        </w:rPr>
        <w:t xml:space="preserve">, Subpart B – Applications and Licenses ‒ Construction Requirements.  </w:t>
      </w:r>
    </w:p>
    <w:p w:rsidR="00F33C6B" w:rsidRPr="00440196" w:rsidP="00F33C6B" w14:paraId="368F1C55" w14:textId="77777777">
      <w:pPr>
        <w:spacing w:after="0" w:line="240" w:lineRule="auto"/>
        <w:rPr>
          <w:rFonts w:ascii="Times New Roman" w:hAnsi="Times New Roman" w:cs="Times New Roman"/>
          <w:sz w:val="24"/>
          <w:szCs w:val="24"/>
        </w:rPr>
      </w:pPr>
    </w:p>
    <w:p w:rsidR="00F33C6B" w:rsidRPr="00440196" w:rsidP="00F33C6B" w14:paraId="1D8DCEE3" w14:textId="7216B766">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a)</w:t>
      </w:r>
      <w:r w:rsidRPr="00440196">
        <w:rPr>
          <w:rFonts w:ascii="Times New Roman" w:hAnsi="Times New Roman" w:cs="Times New Roman"/>
          <w:sz w:val="24"/>
          <w:szCs w:val="24"/>
        </w:rPr>
        <w:tab/>
        <w:t xml:space="preserve">UMFUS </w:t>
      </w:r>
      <w:r w:rsidRPr="00440196" w:rsidR="00577048">
        <w:rPr>
          <w:rFonts w:ascii="Times New Roman" w:hAnsi="Times New Roman" w:cs="Times New Roman"/>
          <w:sz w:val="24"/>
          <w:szCs w:val="24"/>
        </w:rPr>
        <w:t xml:space="preserve">(Upper Microwave Flexible Use Service) </w:t>
      </w:r>
      <w:r w:rsidRPr="00440196">
        <w:rPr>
          <w:rFonts w:ascii="Times New Roman" w:hAnsi="Times New Roman" w:cs="Times New Roman"/>
          <w:sz w:val="24"/>
          <w:szCs w:val="24"/>
        </w:rPr>
        <w:t>licensees must make a buildout showing as part of their renewal applications.</w:t>
      </w:r>
      <w:r w:rsidRPr="00440196" w:rsidR="00577048">
        <w:rPr>
          <w:rFonts w:ascii="Times New Roman" w:hAnsi="Times New Roman" w:cs="Times New Roman"/>
          <w:sz w:val="24"/>
          <w:szCs w:val="24"/>
        </w:rPr>
        <w:t xml:space="preserve"> </w:t>
      </w:r>
      <w:r w:rsidRPr="00440196">
        <w:rPr>
          <w:rFonts w:ascii="Times New Roman" w:hAnsi="Times New Roman" w:cs="Times New Roman"/>
          <w:sz w:val="24"/>
          <w:szCs w:val="24"/>
        </w:rPr>
        <w:t>Licensees relying on mobile or point-to-multipoint service must show that they are providing reliable signal coverage and service to at least 40 percent of the population within the service area of the licensee, and that they are using facilities to provide service in that area either to customers or for internal use.  Licensees relying on point-to-point service must demonstrate that they have four links operating and providing service, either to customers or for internal use, if the population within the license area is equal to or less than 268,000.  If the population within the license area is greater than 268,000, a licensee relying on point-to-point service must demonstrate it has at least one link in operation and is providing service for each 67,000 population within the license area.</w:t>
      </w:r>
    </w:p>
    <w:p w:rsidR="00F33C6B" w:rsidRPr="00440196" w:rsidP="00F33C6B" w14:paraId="6446943C" w14:textId="77777777">
      <w:pPr>
        <w:spacing w:after="0" w:line="240" w:lineRule="auto"/>
        <w:rPr>
          <w:rFonts w:ascii="Times New Roman" w:hAnsi="Times New Roman" w:cs="Times New Roman"/>
          <w:sz w:val="24"/>
          <w:szCs w:val="24"/>
        </w:rPr>
      </w:pPr>
    </w:p>
    <w:p w:rsidR="00F33C6B" w:rsidRPr="00440196" w:rsidP="00F33C6B" w14:paraId="72EEAAE9" w14:textId="543543A3">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b)</w:t>
      </w:r>
      <w:r w:rsidRPr="00440196">
        <w:rPr>
          <w:rFonts w:ascii="Times New Roman" w:hAnsi="Times New Roman" w:cs="Times New Roman"/>
          <w:sz w:val="24"/>
          <w:szCs w:val="24"/>
        </w:rPr>
        <w:tab/>
        <w:t>Existing 39 GHz licensees shall not be required to make a showing pursuant to this rule and</w:t>
      </w:r>
      <w:r w:rsidRPr="00440196" w:rsidR="00562170">
        <w:rPr>
          <w:rFonts w:ascii="Times New Roman" w:hAnsi="Times New Roman" w:cs="Times New Roman"/>
          <w:sz w:val="24"/>
          <w:szCs w:val="24"/>
        </w:rPr>
        <w:t xml:space="preserve"> </w:t>
      </w:r>
      <w:r w:rsidRPr="00440196">
        <w:rPr>
          <w:rFonts w:ascii="Times New Roman" w:hAnsi="Times New Roman" w:cs="Times New Roman"/>
          <w:sz w:val="24"/>
          <w:szCs w:val="24"/>
        </w:rPr>
        <w:t>shall be governed by the provisions of § 101.17 of this chapter if the expiration date of their license is prior to March 1, 2021.</w:t>
      </w:r>
      <w:r w:rsidRPr="00440196" w:rsidR="00FE7E4C">
        <w:rPr>
          <w:rFonts w:ascii="Times New Roman" w:hAnsi="Times New Roman" w:cs="Times New Roman"/>
          <w:sz w:val="24"/>
          <w:szCs w:val="24"/>
        </w:rPr>
        <w:t xml:space="preserve">  </w:t>
      </w:r>
      <w:r w:rsidRPr="00440196">
        <w:rPr>
          <w:rFonts w:ascii="Times New Roman" w:hAnsi="Times New Roman" w:cs="Times New Roman"/>
          <w:sz w:val="24"/>
          <w:szCs w:val="24"/>
        </w:rPr>
        <w:t>Showings that rely on a combination of multiple types of service will be evaluated on a case-by-case basis.</w:t>
      </w:r>
    </w:p>
    <w:p w:rsidR="00F33C6B" w:rsidRPr="00440196" w:rsidP="00F33C6B" w14:paraId="491F9A57" w14:textId="77777777">
      <w:pPr>
        <w:spacing w:after="0" w:line="240" w:lineRule="auto"/>
        <w:rPr>
          <w:rFonts w:ascii="Times New Roman" w:hAnsi="Times New Roman" w:cs="Times New Roman"/>
          <w:sz w:val="24"/>
          <w:szCs w:val="24"/>
        </w:rPr>
      </w:pPr>
    </w:p>
    <w:p w:rsidR="00F33C6B" w:rsidRPr="00440196" w:rsidP="00F33C6B" w14:paraId="5C70E986"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c)</w:t>
      </w:r>
      <w:r w:rsidRPr="00440196">
        <w:rPr>
          <w:rFonts w:ascii="Times New Roman" w:hAnsi="Times New Roman" w:cs="Times New Roman"/>
          <w:sz w:val="24"/>
          <w:szCs w:val="24"/>
        </w:rPr>
        <w:tab/>
        <w:t>If a licensee in this service is also a Fixed-Satellite Service (FSS) licensee and uses the</w:t>
      </w:r>
    </w:p>
    <w:p w:rsidR="00F33C6B" w:rsidRPr="00440196" w:rsidP="00F33C6B" w14:paraId="72BBA56C"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 xml:space="preserve">spectrum covered under its UMFUS license in connection with a satellite earth station, it can demonstrate compliance with the requirements of this section by demonstrating that the earth station in question is in service, operational, and using the spectrum associated with the license.  This provision can only be used to demonstrate compliance for the county in which the earth station is located. </w:t>
      </w:r>
    </w:p>
    <w:p w:rsidR="00F33C6B" w:rsidRPr="00440196" w:rsidP="00F33C6B" w14:paraId="23C62815" w14:textId="77777777">
      <w:pPr>
        <w:spacing w:after="0" w:line="240" w:lineRule="auto"/>
        <w:rPr>
          <w:rFonts w:ascii="Times New Roman" w:hAnsi="Times New Roman" w:cs="Times New Roman"/>
          <w:sz w:val="24"/>
          <w:szCs w:val="24"/>
        </w:rPr>
      </w:pPr>
    </w:p>
    <w:p w:rsidR="00F33C6B" w:rsidRPr="00440196" w:rsidP="00F33C6B" w14:paraId="03FC6D3F"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d)</w:t>
      </w:r>
      <w:r w:rsidRPr="00440196">
        <w:rPr>
          <w:rFonts w:ascii="Times New Roman" w:hAnsi="Times New Roman" w:cs="Times New Roman"/>
          <w:sz w:val="24"/>
          <w:szCs w:val="24"/>
        </w:rPr>
        <w:tab/>
        <w:t>Failure to meet this requirement will result in automatic cancellation of the license.  In</w:t>
      </w:r>
    </w:p>
    <w:p w:rsidR="00F33C6B" w:rsidRPr="00440196" w:rsidP="00F33C6B" w14:paraId="05F7C589"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bands licensed on a Partial Economic Area basis, licensees will have the option of partitioning a license on a county basis in order to reduce the population within the license area to a level where the licensee’s buildout would meet one of the applicable performance metrics.</w:t>
      </w:r>
    </w:p>
    <w:p w:rsidR="00F33C6B" w:rsidRPr="00440196" w:rsidP="00F33C6B" w14:paraId="0D61BC5D" w14:textId="77777777">
      <w:pPr>
        <w:spacing w:after="0" w:line="240" w:lineRule="auto"/>
        <w:rPr>
          <w:rFonts w:ascii="Times New Roman" w:hAnsi="Times New Roman" w:cs="Times New Roman"/>
          <w:sz w:val="24"/>
          <w:szCs w:val="24"/>
        </w:rPr>
      </w:pPr>
    </w:p>
    <w:p w:rsidR="00F33C6B" w:rsidRPr="00440196" w:rsidP="00F33C6B" w14:paraId="7983F9F9"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e)</w:t>
      </w:r>
      <w:r w:rsidRPr="00440196">
        <w:rPr>
          <w:rFonts w:ascii="Times New Roman" w:hAnsi="Times New Roman" w:cs="Times New Roman"/>
          <w:sz w:val="24"/>
          <w:szCs w:val="24"/>
        </w:rPr>
        <w:tab/>
      </w:r>
      <w:bookmarkStart w:id="2" w:name="_Hlk161663779"/>
      <w:r w:rsidRPr="00440196">
        <w:rPr>
          <w:rFonts w:ascii="Times New Roman" w:hAnsi="Times New Roman" w:cs="Times New Roman"/>
          <w:sz w:val="24"/>
          <w:szCs w:val="24"/>
        </w:rPr>
        <w:t>Existing 28 GHz and 39 GHz licensees shall be required to make a showing pursuant to</w:t>
      </w:r>
    </w:p>
    <w:p w:rsidR="00F33C6B" w:rsidRPr="00440196" w:rsidP="00F33C6B" w14:paraId="5719BC84"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this rule by June 1, 2024</w:t>
      </w:r>
      <w:bookmarkEnd w:id="2"/>
      <w:r w:rsidRPr="00440196">
        <w:rPr>
          <w:rFonts w:ascii="Times New Roman" w:hAnsi="Times New Roman" w:cs="Times New Roman"/>
          <w:sz w:val="24"/>
          <w:szCs w:val="24"/>
        </w:rPr>
        <w:t>.</w:t>
      </w:r>
    </w:p>
    <w:p w:rsidR="00F33C6B" w:rsidRPr="00440196" w:rsidP="00F33C6B" w14:paraId="5E4D510D" w14:textId="77777777">
      <w:pPr>
        <w:spacing w:after="0" w:line="240" w:lineRule="auto"/>
        <w:rPr>
          <w:rFonts w:ascii="Times New Roman" w:hAnsi="Times New Roman" w:cs="Times New Roman"/>
          <w:sz w:val="24"/>
          <w:szCs w:val="24"/>
        </w:rPr>
      </w:pPr>
    </w:p>
    <w:p w:rsidR="00F33C6B" w:rsidRPr="00440196" w:rsidP="00F33C6B" w14:paraId="572B59EE" w14:textId="77777777">
      <w:pPr>
        <w:spacing w:after="0" w:line="240" w:lineRule="auto"/>
        <w:rPr>
          <w:rFonts w:ascii="Times New Roman" w:hAnsi="Times New Roman" w:cs="Times New Roman"/>
          <w:i/>
          <w:iCs/>
          <w:sz w:val="24"/>
          <w:szCs w:val="24"/>
        </w:rPr>
      </w:pPr>
      <w:bookmarkStart w:id="3" w:name="_Hlk161663389"/>
      <w:r w:rsidRPr="00440196">
        <w:rPr>
          <w:rFonts w:ascii="Times New Roman" w:hAnsi="Times New Roman" w:cs="Times New Roman"/>
          <w:i/>
          <w:iCs/>
          <w:sz w:val="24"/>
          <w:szCs w:val="24"/>
        </w:rPr>
        <w:t>§ 30.107,</w:t>
      </w:r>
      <w:bookmarkEnd w:id="3"/>
      <w:r w:rsidRPr="00440196">
        <w:rPr>
          <w:rFonts w:ascii="Times New Roman" w:hAnsi="Times New Roman" w:cs="Times New Roman"/>
          <w:i/>
          <w:iCs/>
          <w:sz w:val="24"/>
          <w:szCs w:val="24"/>
        </w:rPr>
        <w:t xml:space="preserve"> Subpart B – Applications and Licenses ‒ Discontinuance of Service.  </w:t>
      </w:r>
    </w:p>
    <w:p w:rsidR="00F33C6B" w:rsidRPr="00440196" w:rsidP="00F33C6B" w14:paraId="3525E31E" w14:textId="77777777">
      <w:pPr>
        <w:spacing w:after="0" w:line="240" w:lineRule="auto"/>
        <w:rPr>
          <w:rFonts w:ascii="Times New Roman" w:hAnsi="Times New Roman" w:cs="Times New Roman"/>
          <w:sz w:val="24"/>
          <w:szCs w:val="24"/>
        </w:rPr>
      </w:pPr>
    </w:p>
    <w:p w:rsidR="00F33C6B" w:rsidRPr="00440196" w:rsidP="00F33C6B" w14:paraId="0986BFB5"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An Upper Microwave Flexible Use License authorization will automatically terminate,</w:t>
      </w:r>
    </w:p>
    <w:p w:rsidR="00F33C6B" w:rsidRPr="00440196" w:rsidP="00F33C6B" w14:paraId="11753303"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without specific Commission action, if the licensee permanently discontinues service after the initial license term.</w:t>
      </w:r>
    </w:p>
    <w:p w:rsidR="00F33C6B" w:rsidRPr="00440196" w:rsidP="00F33C6B" w14:paraId="5832ACAA" w14:textId="77777777">
      <w:pPr>
        <w:spacing w:after="0" w:line="240" w:lineRule="auto"/>
        <w:rPr>
          <w:rFonts w:ascii="Times New Roman" w:hAnsi="Times New Roman" w:cs="Times New Roman"/>
          <w:sz w:val="24"/>
          <w:szCs w:val="24"/>
        </w:rPr>
      </w:pPr>
    </w:p>
    <w:p w:rsidR="00F33C6B" w:rsidRPr="00440196" w:rsidP="00F33C6B" w14:paraId="28A4EA09" w14:textId="623988C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a)</w:t>
      </w:r>
      <w:r w:rsidRPr="00440196">
        <w:rPr>
          <w:rFonts w:ascii="Times New Roman" w:hAnsi="Times New Roman" w:cs="Times New Roman"/>
          <w:sz w:val="24"/>
          <w:szCs w:val="24"/>
        </w:rPr>
        <w:tab/>
        <w:t>For licensees with common carrier regulatory status, permanent discontinuance of service is defined as 180 consecutive days during which a licensee does not provide service to at least one subscriber that is not affiliated with, controlled by, or related to the licensee in the individual license area. For licensees with non-common carrier status, permanent discontinuance of service is defined as 180 consecutive days during which a licensee does not operate.</w:t>
      </w:r>
    </w:p>
    <w:p w:rsidR="00F33C6B" w:rsidRPr="00440196" w:rsidP="00F33C6B" w14:paraId="59B324FF" w14:textId="77777777">
      <w:pPr>
        <w:spacing w:after="0" w:line="240" w:lineRule="auto"/>
        <w:rPr>
          <w:rFonts w:ascii="Times New Roman" w:hAnsi="Times New Roman" w:cs="Times New Roman"/>
          <w:sz w:val="24"/>
          <w:szCs w:val="24"/>
        </w:rPr>
      </w:pPr>
    </w:p>
    <w:p w:rsidR="00F33C6B" w:rsidRPr="00440196" w:rsidP="00F33C6B" w14:paraId="489F40A6"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b)</w:t>
      </w:r>
      <w:r w:rsidRPr="00440196">
        <w:rPr>
          <w:rFonts w:ascii="Times New Roman" w:hAnsi="Times New Roman" w:cs="Times New Roman"/>
          <w:sz w:val="24"/>
          <w:szCs w:val="24"/>
        </w:rPr>
        <w:tab/>
        <w:t xml:space="preserve">A licensee that permanently discontinues service as defined in this section must notify the </w:t>
      </w:r>
    </w:p>
    <w:p w:rsidR="00C634FA" w:rsidRPr="00440196" w:rsidP="00462742" w14:paraId="1AF821C7" w14:textId="74C8B24A">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Commission of the discontinuance within 10 days by filing FCC Form 601 or 605 requesting license cancellation. An authorization will automatically terminate, without specific Commission action, if service is permanently discontinued as defined in this section, even if a licensee fails to file the required form requesting license cancellation.</w:t>
      </w:r>
    </w:p>
    <w:p w:rsidR="00FE7E4C" w:rsidRPr="00440196" w:rsidP="00A13384" w14:paraId="54BD956B" w14:textId="77777777">
      <w:pPr>
        <w:spacing w:after="0" w:line="240" w:lineRule="auto"/>
        <w:rPr>
          <w:rFonts w:ascii="Times New Roman" w:hAnsi="Times New Roman" w:cs="Times New Roman"/>
          <w:sz w:val="24"/>
          <w:szCs w:val="24"/>
        </w:rPr>
      </w:pPr>
    </w:p>
    <w:p w:rsidR="00A13384" w:rsidRPr="00440196" w:rsidP="00A13384" w14:paraId="6867E1D4" w14:textId="522446D1">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Statutory authority for this collection are contained in sections 1, 2, 3, 4, 5, 7, 10, 201, 225, 227, 301, 302, 302a, 303, 304, 307, 309, 310, 316, 319, 332, and 336 of the Communications Act of 1934, 47 U.S.C. §§ 151, 152, 153, 154, 155, 157, 160, 201, 225, 227, 301, 302, 302a, 303, 304, 307, 309, 310, 316, 319, 332, 336, Section 706 of the Telecommunications Act of 1996, as amended, 47 U.S.C. § 1302.</w:t>
      </w:r>
    </w:p>
    <w:p w:rsidR="00A13384" w:rsidRPr="00440196" w:rsidP="00A13384" w14:paraId="744F6AD6" w14:textId="77777777">
      <w:pPr>
        <w:spacing w:after="0" w:line="240" w:lineRule="auto"/>
        <w:rPr>
          <w:rFonts w:ascii="Times New Roman" w:hAnsi="Times New Roman" w:cs="Times New Roman"/>
          <w:sz w:val="24"/>
          <w:szCs w:val="24"/>
        </w:rPr>
      </w:pPr>
    </w:p>
    <w:p w:rsidR="00A13384" w:rsidRPr="00440196" w:rsidP="00A13384" w14:paraId="25C2985E"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This information collection does not affect individuals or households; thus, there are no impacts under the Privacy Act.</w:t>
      </w:r>
    </w:p>
    <w:p w:rsidR="00A13384" w:rsidRPr="00440196" w:rsidP="00A13384" w14:paraId="355C151B" w14:textId="77777777">
      <w:pPr>
        <w:spacing w:after="0" w:line="240" w:lineRule="auto"/>
        <w:rPr>
          <w:rFonts w:ascii="Times New Roman" w:hAnsi="Times New Roman" w:cs="Times New Roman"/>
          <w:sz w:val="24"/>
          <w:szCs w:val="24"/>
        </w:rPr>
      </w:pPr>
    </w:p>
    <w:p w:rsidR="00096043" w:rsidRPr="00440196" w:rsidP="002D5EDE" w14:paraId="28A2872D" w14:textId="6193C406">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 xml:space="preserve">2.  </w:t>
      </w:r>
      <w:r w:rsidRPr="00440196">
        <w:rPr>
          <w:rFonts w:ascii="Times New Roman" w:hAnsi="Times New Roman" w:cs="Times New Roman"/>
          <w:sz w:val="24"/>
          <w:szCs w:val="24"/>
        </w:rPr>
        <w:tab/>
      </w:r>
      <w:r w:rsidRPr="00440196" w:rsidR="008773C2">
        <w:rPr>
          <w:rFonts w:ascii="Times New Roman" w:hAnsi="Times New Roman" w:cs="Times New Roman"/>
          <w:sz w:val="24"/>
          <w:szCs w:val="24"/>
        </w:rPr>
        <w:t>The information collection requirements adopted in the</w:t>
      </w:r>
      <w:r w:rsidRPr="00440196" w:rsidR="00533976">
        <w:rPr>
          <w:rFonts w:ascii="Times New Roman" w:hAnsi="Times New Roman" w:cs="Times New Roman"/>
          <w:sz w:val="24"/>
          <w:szCs w:val="24"/>
        </w:rPr>
        <w:t xml:space="preserve"> </w:t>
      </w:r>
      <w:r w:rsidRPr="00440196" w:rsidR="00216FAE">
        <w:rPr>
          <w:rFonts w:ascii="Times New Roman" w:hAnsi="Times New Roman" w:cs="Times New Roman"/>
          <w:iCs/>
          <w:sz w:val="24"/>
          <w:szCs w:val="24"/>
        </w:rPr>
        <w:t>Report and Order</w:t>
      </w:r>
      <w:r w:rsidRPr="00440196" w:rsidR="00914F19">
        <w:rPr>
          <w:rFonts w:ascii="Times New Roman" w:hAnsi="Times New Roman" w:cs="Times New Roman"/>
          <w:sz w:val="24"/>
          <w:szCs w:val="24"/>
        </w:rPr>
        <w:t xml:space="preserve"> </w:t>
      </w:r>
      <w:r w:rsidRPr="00440196" w:rsidR="00EA3B94">
        <w:rPr>
          <w:rFonts w:ascii="Times New Roman" w:hAnsi="Times New Roman" w:cs="Times New Roman"/>
          <w:sz w:val="24"/>
          <w:szCs w:val="24"/>
        </w:rPr>
        <w:t>will apply</w:t>
      </w:r>
      <w:r w:rsidRPr="00440196">
        <w:rPr>
          <w:rFonts w:ascii="Times New Roman" w:hAnsi="Times New Roman" w:cs="Times New Roman"/>
          <w:sz w:val="24"/>
          <w:szCs w:val="24"/>
        </w:rPr>
        <w:t xml:space="preserve"> </w:t>
      </w:r>
      <w:r w:rsidRPr="00440196" w:rsidR="00EA3B94">
        <w:rPr>
          <w:rFonts w:ascii="Times New Roman" w:hAnsi="Times New Roman" w:cs="Times New Roman"/>
          <w:sz w:val="24"/>
          <w:szCs w:val="24"/>
        </w:rPr>
        <w:t>t</w:t>
      </w:r>
      <w:r w:rsidRPr="00440196" w:rsidR="00533976">
        <w:rPr>
          <w:rFonts w:ascii="Times New Roman" w:hAnsi="Times New Roman" w:cs="Times New Roman"/>
          <w:sz w:val="24"/>
          <w:szCs w:val="24"/>
        </w:rPr>
        <w:t>o all entities</w:t>
      </w:r>
      <w:r w:rsidRPr="00440196" w:rsidR="002D5EDE">
        <w:rPr>
          <w:rFonts w:ascii="Times New Roman" w:hAnsi="Times New Roman" w:cs="Times New Roman"/>
          <w:sz w:val="24"/>
          <w:szCs w:val="24"/>
        </w:rPr>
        <w:t xml:space="preserve"> </w:t>
      </w:r>
      <w:r w:rsidRPr="00440196" w:rsidR="008773C2">
        <w:rPr>
          <w:rFonts w:ascii="Times New Roman" w:hAnsi="Times New Roman" w:cs="Times New Roman"/>
          <w:sz w:val="24"/>
          <w:szCs w:val="24"/>
        </w:rPr>
        <w:t>in</w:t>
      </w:r>
      <w:r w:rsidRPr="00440196" w:rsidR="00533976">
        <w:rPr>
          <w:rFonts w:ascii="Times New Roman" w:hAnsi="Times New Roman" w:cs="Times New Roman"/>
          <w:sz w:val="24"/>
          <w:szCs w:val="24"/>
        </w:rPr>
        <w:t xml:space="preserve"> </w:t>
      </w:r>
      <w:r w:rsidRPr="00440196" w:rsidR="00EA3B94">
        <w:rPr>
          <w:rFonts w:ascii="Times New Roman" w:hAnsi="Times New Roman" w:cs="Times New Roman"/>
          <w:sz w:val="24"/>
          <w:szCs w:val="24"/>
        </w:rPr>
        <w:t>the same manner.  The Commission believes that applying the same rules equally to all entities in this context promotes fairness.  The Commission does not believe that the costs and/or administrative burdens associated with the rule</w:t>
      </w:r>
      <w:r w:rsidRPr="00440196" w:rsidR="002D45E9">
        <w:rPr>
          <w:rFonts w:ascii="Times New Roman" w:hAnsi="Times New Roman" w:cs="Times New Roman"/>
          <w:sz w:val="24"/>
          <w:szCs w:val="24"/>
        </w:rPr>
        <w:t xml:space="preserve"> change</w:t>
      </w:r>
      <w:r w:rsidRPr="00440196" w:rsidR="00EA3B94">
        <w:rPr>
          <w:rFonts w:ascii="Times New Roman" w:hAnsi="Times New Roman" w:cs="Times New Roman"/>
          <w:sz w:val="24"/>
          <w:szCs w:val="24"/>
        </w:rPr>
        <w:t xml:space="preserve"> will unduly burden small entities, as discussed below.  </w:t>
      </w:r>
    </w:p>
    <w:p w:rsidR="00096043" w:rsidRPr="00440196" w:rsidP="00EA3B94" w14:paraId="7E287F11"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 xml:space="preserve"> </w:t>
      </w:r>
    </w:p>
    <w:p w:rsidR="00127F11" w:rsidRPr="00440196" w:rsidP="001F2CA5" w14:paraId="7473BE42" w14:textId="703C654B">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3.</w:t>
      </w:r>
      <w:r w:rsidRPr="00440196">
        <w:rPr>
          <w:rFonts w:ascii="Times New Roman" w:hAnsi="Times New Roman" w:cs="Times New Roman"/>
          <w:sz w:val="24"/>
          <w:szCs w:val="24"/>
        </w:rPr>
        <w:tab/>
      </w:r>
      <w:r w:rsidRPr="00440196" w:rsidR="008F28EC">
        <w:rPr>
          <w:rFonts w:ascii="Times New Roman" w:hAnsi="Times New Roman" w:cs="Times New Roman"/>
          <w:sz w:val="24"/>
          <w:szCs w:val="24"/>
        </w:rPr>
        <w:t>The Commission’s rules provide for electronic filing, and it is the Commission’s goal to eliminate, to the greatest extent possible, the filing of paper applications.</w:t>
      </w:r>
    </w:p>
    <w:p w:rsidR="008F28EC" w:rsidRPr="00440196" w:rsidP="00061F14" w14:paraId="1756E9E2" w14:textId="77777777">
      <w:pPr>
        <w:pStyle w:val="ListParagraph"/>
        <w:spacing w:after="0" w:line="240" w:lineRule="auto"/>
        <w:ind w:left="0"/>
        <w:rPr>
          <w:rFonts w:ascii="Times New Roman" w:hAnsi="Times New Roman" w:cs="Times New Roman"/>
          <w:sz w:val="24"/>
          <w:szCs w:val="24"/>
        </w:rPr>
      </w:pPr>
    </w:p>
    <w:p w:rsidR="00464116" w:rsidRPr="00440196" w:rsidP="001F2CA5" w14:paraId="3931994D" w14:textId="69B835F2">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4.</w:t>
      </w:r>
      <w:r w:rsidRPr="00440196">
        <w:rPr>
          <w:rFonts w:ascii="Times New Roman" w:hAnsi="Times New Roman" w:cs="Times New Roman"/>
          <w:sz w:val="24"/>
          <w:szCs w:val="24"/>
        </w:rPr>
        <w:tab/>
      </w:r>
      <w:r w:rsidRPr="00440196">
        <w:rPr>
          <w:rFonts w:ascii="Times New Roman" w:hAnsi="Times New Roman" w:cs="Times New Roman"/>
          <w:sz w:val="24"/>
          <w:szCs w:val="24"/>
        </w:rPr>
        <w:t xml:space="preserve">The Commission </w:t>
      </w:r>
      <w:r w:rsidRPr="00440196" w:rsidR="001F2CA5">
        <w:rPr>
          <w:rFonts w:ascii="Times New Roman" w:hAnsi="Times New Roman" w:cs="Times New Roman"/>
          <w:sz w:val="24"/>
          <w:szCs w:val="24"/>
        </w:rPr>
        <w:t>does not impose a similar information requirement on the respondents</w:t>
      </w:r>
      <w:r w:rsidRPr="00440196" w:rsidR="009061C2">
        <w:rPr>
          <w:rFonts w:ascii="Times New Roman" w:hAnsi="Times New Roman" w:cs="Times New Roman"/>
          <w:sz w:val="24"/>
          <w:szCs w:val="24"/>
        </w:rPr>
        <w:t xml:space="preserve">.  </w:t>
      </w:r>
    </w:p>
    <w:p w:rsidR="004804D0" w:rsidRPr="00440196" w:rsidP="00061F14" w14:paraId="3ED2E7BA" w14:textId="77777777">
      <w:pPr>
        <w:pStyle w:val="ListParagraph"/>
        <w:spacing w:after="0" w:line="240" w:lineRule="auto"/>
        <w:ind w:left="0"/>
        <w:rPr>
          <w:rFonts w:ascii="Times New Roman" w:hAnsi="Times New Roman" w:cs="Times New Roman"/>
          <w:sz w:val="24"/>
          <w:szCs w:val="24"/>
        </w:rPr>
      </w:pPr>
    </w:p>
    <w:p w:rsidR="00D44265" w:rsidRPr="00440196" w:rsidP="00FF39AC" w14:paraId="3C10B2B9" w14:textId="0E0C7178">
      <w:pPr>
        <w:rPr>
          <w:rFonts w:ascii="Times New Roman" w:hAnsi="Times New Roman" w:cs="Times New Roman"/>
          <w:sz w:val="24"/>
          <w:szCs w:val="24"/>
        </w:rPr>
      </w:pPr>
      <w:r w:rsidRPr="00440196">
        <w:rPr>
          <w:rFonts w:ascii="Times New Roman" w:hAnsi="Times New Roman" w:cs="Times New Roman"/>
          <w:bCs/>
          <w:sz w:val="24"/>
          <w:szCs w:val="24"/>
        </w:rPr>
        <w:t>5.</w:t>
      </w:r>
      <w:r w:rsidRPr="00440196">
        <w:rPr>
          <w:rFonts w:ascii="Times New Roman" w:hAnsi="Times New Roman" w:cs="Times New Roman"/>
          <w:sz w:val="24"/>
          <w:szCs w:val="24"/>
        </w:rPr>
        <w:tab/>
      </w:r>
      <w:r w:rsidRPr="00440196" w:rsidR="00983641">
        <w:rPr>
          <w:rFonts w:ascii="Times New Roman" w:hAnsi="Times New Roman" w:cs="Times New Roman"/>
          <w:sz w:val="24"/>
          <w:szCs w:val="24"/>
        </w:rPr>
        <w:t>The performance requirements we have adopted are necessary to ensure that licensees are putting their spectrum to use and providing service.  They will apply equally to all licensees</w:t>
      </w:r>
      <w:r w:rsidRPr="00440196" w:rsidR="00EB539F">
        <w:rPr>
          <w:rFonts w:ascii="Times New Roman" w:hAnsi="Times New Roman" w:cs="Times New Roman"/>
          <w:sz w:val="24"/>
          <w:szCs w:val="24"/>
        </w:rPr>
        <w:t>, including small entities.</w:t>
      </w:r>
    </w:p>
    <w:p w:rsidR="00975F6D" w:rsidRPr="00440196" w:rsidP="00D44265" w14:paraId="67A5291D"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6.</w:t>
      </w:r>
      <w:r w:rsidRPr="00440196">
        <w:rPr>
          <w:rFonts w:ascii="Times New Roman" w:hAnsi="Times New Roman" w:cs="Times New Roman"/>
          <w:sz w:val="24"/>
          <w:szCs w:val="24"/>
        </w:rPr>
        <w:tab/>
      </w:r>
      <w:r w:rsidRPr="00440196" w:rsidR="00DF713F">
        <w:rPr>
          <w:rFonts w:ascii="Times New Roman" w:hAnsi="Times New Roman" w:cs="Times New Roman"/>
          <w:sz w:val="24"/>
          <w:szCs w:val="24"/>
        </w:rPr>
        <w:t>Information collection is required when an applicant seeks</w:t>
      </w:r>
      <w:r w:rsidRPr="00440196" w:rsidR="008A7632">
        <w:rPr>
          <w:rFonts w:ascii="Times New Roman" w:hAnsi="Times New Roman" w:cs="Times New Roman"/>
          <w:sz w:val="24"/>
          <w:szCs w:val="24"/>
        </w:rPr>
        <w:t xml:space="preserve"> Commission approval for</w:t>
      </w:r>
    </w:p>
    <w:p w:rsidR="00D44265" w:rsidRPr="00440196" w:rsidP="00D44265" w14:paraId="4627296F" w14:textId="4ACAD813">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renewal of license, or, in the case of incumbent licenses, once by June 16, 2024.</w:t>
      </w:r>
      <w:r w:rsidRPr="00440196" w:rsidR="00B862BA">
        <w:rPr>
          <w:rFonts w:ascii="Times New Roman" w:hAnsi="Times New Roman" w:cs="Times New Roman"/>
          <w:sz w:val="24"/>
          <w:szCs w:val="24"/>
        </w:rPr>
        <w:t xml:space="preserve"> </w:t>
      </w:r>
      <w:r w:rsidRPr="00440196" w:rsidR="00BA089C">
        <w:rPr>
          <w:rFonts w:ascii="Times New Roman" w:hAnsi="Times New Roman" w:cs="Times New Roman"/>
          <w:sz w:val="24"/>
          <w:szCs w:val="24"/>
        </w:rPr>
        <w:t>If this collection were not conducted, the Commission could not carry out its statutory responsibilities under Section 3</w:t>
      </w:r>
      <w:r w:rsidRPr="00440196" w:rsidR="00DD3B19">
        <w:rPr>
          <w:rFonts w:ascii="Times New Roman" w:hAnsi="Times New Roman" w:cs="Times New Roman"/>
          <w:sz w:val="24"/>
          <w:szCs w:val="24"/>
        </w:rPr>
        <w:t>08 and 309</w:t>
      </w:r>
      <w:r w:rsidRPr="00440196" w:rsidR="00BA089C">
        <w:rPr>
          <w:rFonts w:ascii="Times New Roman" w:hAnsi="Times New Roman" w:cs="Times New Roman"/>
          <w:sz w:val="24"/>
          <w:szCs w:val="24"/>
        </w:rPr>
        <w:t xml:space="preserve"> of the Communications Act of 1934, as amended</w:t>
      </w:r>
      <w:r w:rsidRPr="00440196" w:rsidR="000E77DF">
        <w:rPr>
          <w:rFonts w:ascii="Times New Roman" w:hAnsi="Times New Roman" w:cs="Times New Roman"/>
          <w:sz w:val="24"/>
          <w:szCs w:val="24"/>
        </w:rPr>
        <w:t>.</w:t>
      </w:r>
    </w:p>
    <w:p w:rsidR="00D44265" w:rsidRPr="00440196" w:rsidP="00D44265" w14:paraId="676D5061" w14:textId="77777777">
      <w:pPr>
        <w:spacing w:after="0" w:line="240" w:lineRule="auto"/>
        <w:rPr>
          <w:rFonts w:ascii="Times New Roman" w:hAnsi="Times New Roman" w:cs="Times New Roman"/>
          <w:sz w:val="24"/>
          <w:szCs w:val="24"/>
        </w:rPr>
      </w:pPr>
    </w:p>
    <w:p w:rsidR="00CF2ACE" w:rsidRPr="00440196" w:rsidP="00D44265" w14:paraId="67B176E6"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7.</w:t>
      </w:r>
      <w:r w:rsidRPr="00440196">
        <w:rPr>
          <w:rFonts w:ascii="Times New Roman" w:hAnsi="Times New Roman" w:cs="Times New Roman"/>
          <w:sz w:val="24"/>
          <w:szCs w:val="24"/>
        </w:rPr>
        <w:tab/>
      </w:r>
      <w:r w:rsidRPr="00440196" w:rsidR="00B862BA">
        <w:rPr>
          <w:rFonts w:ascii="Times New Roman" w:hAnsi="Times New Roman" w:cs="Times New Roman"/>
          <w:sz w:val="24"/>
          <w:szCs w:val="24"/>
        </w:rPr>
        <w:t xml:space="preserve">No special circumstances are associated with </w:t>
      </w:r>
      <w:r w:rsidRPr="00440196" w:rsidR="001F2CA5">
        <w:rPr>
          <w:rFonts w:ascii="Times New Roman" w:hAnsi="Times New Roman" w:cs="Times New Roman"/>
          <w:sz w:val="24"/>
          <w:szCs w:val="24"/>
        </w:rPr>
        <w:t>this colle</w:t>
      </w:r>
      <w:r w:rsidRPr="00440196">
        <w:rPr>
          <w:rFonts w:ascii="Times New Roman" w:hAnsi="Times New Roman" w:cs="Times New Roman"/>
          <w:sz w:val="24"/>
          <w:szCs w:val="24"/>
        </w:rPr>
        <w:t>ction of information that would</w:t>
      </w:r>
    </w:p>
    <w:p w:rsidR="00D44265" w:rsidRPr="00440196" w:rsidP="00D44265" w14:paraId="1E2B3158"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make the current data collection in</w:t>
      </w:r>
      <w:r w:rsidRPr="00440196" w:rsidR="00B862BA">
        <w:rPr>
          <w:rFonts w:ascii="Times New Roman" w:hAnsi="Times New Roman" w:cs="Times New Roman"/>
          <w:sz w:val="24"/>
          <w:szCs w:val="24"/>
        </w:rPr>
        <w:t>consistent with 5 C</w:t>
      </w:r>
      <w:r w:rsidRPr="00440196" w:rsidR="00E50B53">
        <w:rPr>
          <w:rFonts w:ascii="Times New Roman" w:hAnsi="Times New Roman" w:cs="Times New Roman"/>
          <w:sz w:val="24"/>
          <w:szCs w:val="24"/>
        </w:rPr>
        <w:t>.</w:t>
      </w:r>
      <w:r w:rsidRPr="00440196" w:rsidR="00B862BA">
        <w:rPr>
          <w:rFonts w:ascii="Times New Roman" w:hAnsi="Times New Roman" w:cs="Times New Roman"/>
          <w:sz w:val="24"/>
          <w:szCs w:val="24"/>
        </w:rPr>
        <w:t>F</w:t>
      </w:r>
      <w:r w:rsidRPr="00440196" w:rsidR="00E50B53">
        <w:rPr>
          <w:rFonts w:ascii="Times New Roman" w:hAnsi="Times New Roman" w:cs="Times New Roman"/>
          <w:sz w:val="24"/>
          <w:szCs w:val="24"/>
        </w:rPr>
        <w:t>.</w:t>
      </w:r>
      <w:r w:rsidRPr="00440196" w:rsidR="00B862BA">
        <w:rPr>
          <w:rFonts w:ascii="Times New Roman" w:hAnsi="Times New Roman" w:cs="Times New Roman"/>
          <w:sz w:val="24"/>
          <w:szCs w:val="24"/>
        </w:rPr>
        <w:t>R</w:t>
      </w:r>
      <w:r w:rsidRPr="00440196" w:rsidR="00E50B53">
        <w:rPr>
          <w:rFonts w:ascii="Times New Roman" w:hAnsi="Times New Roman" w:cs="Times New Roman"/>
          <w:sz w:val="24"/>
          <w:szCs w:val="24"/>
        </w:rPr>
        <w:t>.</w:t>
      </w:r>
      <w:r w:rsidRPr="00440196" w:rsidR="00B862BA">
        <w:rPr>
          <w:rFonts w:ascii="Times New Roman" w:hAnsi="Times New Roman" w:cs="Times New Roman"/>
          <w:sz w:val="24"/>
          <w:szCs w:val="24"/>
        </w:rPr>
        <w:t xml:space="preserve"> § 1320.5.</w:t>
      </w:r>
    </w:p>
    <w:p w:rsidR="00D44265" w:rsidRPr="00440196" w:rsidP="00D44265" w14:paraId="7A10C3FF" w14:textId="77777777">
      <w:pPr>
        <w:spacing w:after="0" w:line="240" w:lineRule="auto"/>
        <w:rPr>
          <w:rFonts w:ascii="Times New Roman" w:hAnsi="Times New Roman" w:cs="Times New Roman"/>
          <w:sz w:val="24"/>
          <w:szCs w:val="24"/>
        </w:rPr>
      </w:pPr>
    </w:p>
    <w:p w:rsidR="00C64CF0" w:rsidRPr="00440196" w:rsidP="00D44265" w14:paraId="703C1554" w14:textId="109E72E6">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8.</w:t>
      </w:r>
      <w:r w:rsidRPr="00440196">
        <w:rPr>
          <w:rFonts w:ascii="Times New Roman" w:hAnsi="Times New Roman" w:cs="Times New Roman"/>
          <w:sz w:val="24"/>
          <w:szCs w:val="24"/>
        </w:rPr>
        <w:tab/>
      </w:r>
      <w:r w:rsidRPr="00440196" w:rsidR="008C2323">
        <w:rPr>
          <w:rFonts w:ascii="Times New Roman" w:hAnsi="Times New Roman" w:cs="Times New Roman"/>
          <w:sz w:val="24"/>
          <w:szCs w:val="24"/>
        </w:rPr>
        <w:t xml:space="preserve">The 60-day notice soliciting public comments on this collection was published in the </w:t>
      </w:r>
      <w:r w:rsidRPr="00440196">
        <w:rPr>
          <w:rFonts w:ascii="Times New Roman" w:hAnsi="Times New Roman" w:cs="Times New Roman"/>
          <w:sz w:val="24"/>
          <w:szCs w:val="24"/>
          <w:u w:val="single"/>
        </w:rPr>
        <w:t>Federal</w:t>
      </w:r>
      <w:r w:rsidRPr="00440196" w:rsidR="00DD3B19">
        <w:rPr>
          <w:rFonts w:ascii="Times New Roman" w:hAnsi="Times New Roman" w:cs="Times New Roman"/>
          <w:sz w:val="24"/>
          <w:szCs w:val="24"/>
          <w:u w:val="single"/>
        </w:rPr>
        <w:t xml:space="preserve"> Register</w:t>
      </w:r>
      <w:r w:rsidRPr="00440196" w:rsidR="00DD3B19">
        <w:rPr>
          <w:rFonts w:ascii="Times New Roman" w:hAnsi="Times New Roman" w:cs="Times New Roman"/>
          <w:sz w:val="24"/>
          <w:szCs w:val="24"/>
        </w:rPr>
        <w:t xml:space="preserve"> as required under 5 C.F.R. § 1320.8(d) on </w:t>
      </w:r>
      <w:r w:rsidR="00E54FAC">
        <w:rPr>
          <w:rFonts w:ascii="Times New Roman" w:hAnsi="Times New Roman" w:cs="Times New Roman"/>
          <w:sz w:val="24"/>
          <w:szCs w:val="24"/>
        </w:rPr>
        <w:t>April 9</w:t>
      </w:r>
      <w:r w:rsidRPr="00440196">
        <w:rPr>
          <w:rFonts w:ascii="Times New Roman" w:hAnsi="Times New Roman" w:cs="Times New Roman"/>
          <w:sz w:val="24"/>
          <w:szCs w:val="24"/>
        </w:rPr>
        <w:t>, 20</w:t>
      </w:r>
      <w:r w:rsidRPr="00440196" w:rsidR="00635D58">
        <w:rPr>
          <w:rFonts w:ascii="Times New Roman" w:hAnsi="Times New Roman" w:cs="Times New Roman"/>
          <w:sz w:val="24"/>
          <w:szCs w:val="24"/>
        </w:rPr>
        <w:t>2</w:t>
      </w:r>
      <w:r w:rsidRPr="00440196" w:rsidR="00FE7E4C">
        <w:rPr>
          <w:rFonts w:ascii="Times New Roman" w:hAnsi="Times New Roman" w:cs="Times New Roman"/>
          <w:sz w:val="24"/>
          <w:szCs w:val="24"/>
        </w:rPr>
        <w:t>4</w:t>
      </w:r>
      <w:r w:rsidRPr="00440196">
        <w:rPr>
          <w:rFonts w:ascii="Times New Roman" w:hAnsi="Times New Roman" w:cs="Times New Roman"/>
          <w:sz w:val="24"/>
          <w:szCs w:val="24"/>
        </w:rPr>
        <w:t xml:space="preserve"> </w:t>
      </w:r>
      <w:r w:rsidRPr="00440196" w:rsidR="00DD3B19">
        <w:rPr>
          <w:rFonts w:ascii="Times New Roman" w:hAnsi="Times New Roman" w:cs="Times New Roman"/>
          <w:sz w:val="24"/>
          <w:szCs w:val="24"/>
        </w:rPr>
        <w:t>(</w:t>
      </w:r>
      <w:r w:rsidR="00E54FAC">
        <w:rPr>
          <w:rFonts w:ascii="Times New Roman" w:hAnsi="Times New Roman" w:cs="Times New Roman"/>
          <w:sz w:val="24"/>
          <w:szCs w:val="24"/>
        </w:rPr>
        <w:t>89</w:t>
      </w:r>
      <w:r w:rsidRPr="00440196" w:rsidR="00DD3B19">
        <w:rPr>
          <w:rFonts w:ascii="Times New Roman" w:hAnsi="Times New Roman" w:cs="Times New Roman"/>
          <w:sz w:val="24"/>
          <w:szCs w:val="24"/>
        </w:rPr>
        <w:t xml:space="preserve"> FR </w:t>
      </w:r>
      <w:r w:rsidR="00E54FAC">
        <w:rPr>
          <w:rFonts w:ascii="Times New Roman" w:hAnsi="Times New Roman" w:cs="Times New Roman"/>
          <w:sz w:val="24"/>
          <w:szCs w:val="24"/>
        </w:rPr>
        <w:t>24833</w:t>
      </w:r>
      <w:r w:rsidRPr="00440196" w:rsidR="00DD3B19">
        <w:rPr>
          <w:rFonts w:ascii="Times New Roman" w:hAnsi="Times New Roman" w:cs="Times New Roman"/>
          <w:sz w:val="24"/>
          <w:szCs w:val="24"/>
        </w:rPr>
        <w:t>).</w:t>
      </w:r>
      <w:r w:rsidRPr="00440196">
        <w:rPr>
          <w:rFonts w:ascii="Times New Roman" w:hAnsi="Times New Roman" w:cs="Times New Roman"/>
          <w:sz w:val="24"/>
          <w:szCs w:val="24"/>
        </w:rPr>
        <w:t xml:space="preserve">  No comments were received from the public on this information collection.</w:t>
      </w:r>
    </w:p>
    <w:p w:rsidR="00CE2785" w:rsidRPr="00440196" w:rsidP="00D44265" w14:paraId="4C0B35EB"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 xml:space="preserve">  </w:t>
      </w:r>
    </w:p>
    <w:p w:rsidR="00E50B53" w:rsidRPr="00440196" w:rsidP="00061F14" w14:paraId="652062B1" w14:textId="7777777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9.</w:t>
      </w:r>
      <w:r w:rsidRPr="00440196">
        <w:rPr>
          <w:rFonts w:ascii="Times New Roman" w:hAnsi="Times New Roman" w:cs="Times New Roman"/>
          <w:sz w:val="24"/>
          <w:szCs w:val="24"/>
        </w:rPr>
        <w:tab/>
        <w:t>Respondents will not receive any payments in connection with collection of information.</w:t>
      </w:r>
    </w:p>
    <w:p w:rsidR="00E50B53" w:rsidRPr="00440196" w:rsidP="00061F14" w14:paraId="267716D7" w14:textId="77777777">
      <w:pPr>
        <w:pStyle w:val="ListParagraph"/>
        <w:spacing w:after="0" w:line="240" w:lineRule="auto"/>
        <w:ind w:left="0"/>
        <w:rPr>
          <w:rFonts w:ascii="Times New Roman" w:hAnsi="Times New Roman" w:cs="Times New Roman"/>
          <w:sz w:val="24"/>
          <w:szCs w:val="24"/>
        </w:rPr>
      </w:pPr>
    </w:p>
    <w:p w:rsidR="00E50B53" w:rsidRPr="00440196" w:rsidP="00061F14" w14:paraId="41B3F738" w14:textId="7777777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10.</w:t>
      </w:r>
      <w:r w:rsidRPr="00440196">
        <w:rPr>
          <w:rFonts w:ascii="Times New Roman" w:hAnsi="Times New Roman" w:cs="Times New Roman"/>
          <w:sz w:val="24"/>
          <w:szCs w:val="24"/>
        </w:rPr>
        <w:tab/>
      </w:r>
      <w:r w:rsidRPr="00440196" w:rsidR="00DB2B57">
        <w:rPr>
          <w:rFonts w:ascii="Times New Roman" w:hAnsi="Times New Roman" w:cs="Times New Roman"/>
          <w:sz w:val="24"/>
          <w:szCs w:val="24"/>
        </w:rPr>
        <w:t>No need for confidentiality with this information collection.</w:t>
      </w:r>
    </w:p>
    <w:p w:rsidR="00DB2B57" w:rsidRPr="00440196" w:rsidP="00061F14" w14:paraId="301FF344" w14:textId="77777777">
      <w:pPr>
        <w:pStyle w:val="ListParagraph"/>
        <w:spacing w:after="0" w:line="240" w:lineRule="auto"/>
        <w:ind w:left="0"/>
        <w:rPr>
          <w:rFonts w:ascii="Times New Roman" w:hAnsi="Times New Roman" w:cs="Times New Roman"/>
          <w:sz w:val="24"/>
          <w:szCs w:val="24"/>
        </w:rPr>
      </w:pPr>
    </w:p>
    <w:p w:rsidR="00DB2B57" w:rsidRPr="00440196" w:rsidP="00061F14" w14:paraId="54C43BF6" w14:textId="7777777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11.</w:t>
      </w:r>
      <w:r w:rsidRPr="00440196">
        <w:rPr>
          <w:rFonts w:ascii="Times New Roman" w:hAnsi="Times New Roman" w:cs="Times New Roman"/>
          <w:sz w:val="24"/>
          <w:szCs w:val="24"/>
        </w:rPr>
        <w:tab/>
      </w:r>
      <w:r w:rsidRPr="00440196" w:rsidR="009A4A4B">
        <w:rPr>
          <w:rFonts w:ascii="Times New Roman" w:hAnsi="Times New Roman" w:cs="Times New Roman"/>
          <w:sz w:val="24"/>
          <w:szCs w:val="24"/>
        </w:rPr>
        <w:t>This collection of information does not address private matters or questions of a sensitive nature.</w:t>
      </w:r>
    </w:p>
    <w:p w:rsidR="009A4A4B" w:rsidRPr="00440196" w:rsidP="00061F14" w14:paraId="073D386B" w14:textId="77777777">
      <w:pPr>
        <w:pStyle w:val="ListParagraph"/>
        <w:spacing w:after="0" w:line="240" w:lineRule="auto"/>
        <w:ind w:left="0"/>
        <w:rPr>
          <w:rFonts w:ascii="Times New Roman" w:hAnsi="Times New Roman" w:cs="Times New Roman"/>
          <w:sz w:val="24"/>
          <w:szCs w:val="24"/>
        </w:rPr>
      </w:pPr>
    </w:p>
    <w:p w:rsidR="00FD1CAC" w:rsidRPr="00440196" w:rsidP="002771CE" w14:paraId="52AA1180" w14:textId="06D2EE1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12.</w:t>
      </w:r>
      <w:r w:rsidRPr="00440196">
        <w:rPr>
          <w:rFonts w:ascii="Times New Roman" w:hAnsi="Times New Roman" w:cs="Times New Roman"/>
          <w:sz w:val="24"/>
          <w:szCs w:val="24"/>
        </w:rPr>
        <w:tab/>
        <w:t>Annual Burden</w:t>
      </w:r>
      <w:r w:rsidRPr="00440196" w:rsidR="002771CE">
        <w:rPr>
          <w:rFonts w:ascii="Times New Roman" w:hAnsi="Times New Roman" w:cs="Times New Roman"/>
          <w:sz w:val="24"/>
          <w:szCs w:val="24"/>
        </w:rPr>
        <w:t>:  For the purpose of this supporting statement, the Commission estimates the number of respondent burden hours for</w:t>
      </w:r>
      <w:r w:rsidRPr="00440196">
        <w:rPr>
          <w:rFonts w:ascii="Times New Roman" w:hAnsi="Times New Roman" w:cs="Times New Roman"/>
          <w:sz w:val="24"/>
          <w:szCs w:val="24"/>
        </w:rPr>
        <w:t xml:space="preserve"> each rule section</w:t>
      </w:r>
      <w:r w:rsidRPr="00440196" w:rsidR="00CE2785">
        <w:rPr>
          <w:rFonts w:ascii="Times New Roman" w:hAnsi="Times New Roman" w:cs="Times New Roman"/>
          <w:sz w:val="24"/>
          <w:szCs w:val="24"/>
        </w:rPr>
        <w:t xml:space="preserve"> which contains information collection requirements</w:t>
      </w:r>
      <w:r w:rsidRPr="00440196" w:rsidR="002771CE">
        <w:rPr>
          <w:rFonts w:ascii="Times New Roman" w:hAnsi="Times New Roman" w:cs="Times New Roman"/>
          <w:sz w:val="24"/>
          <w:szCs w:val="24"/>
        </w:rPr>
        <w:t xml:space="preserve">. </w:t>
      </w:r>
      <w:r w:rsidRPr="00440196" w:rsidR="00E3492F">
        <w:rPr>
          <w:rFonts w:ascii="Times New Roman" w:hAnsi="Times New Roman" w:cs="Times New Roman"/>
          <w:sz w:val="24"/>
          <w:szCs w:val="24"/>
        </w:rPr>
        <w:t xml:space="preserve"> </w:t>
      </w:r>
      <w:r w:rsidRPr="00440196" w:rsidR="002771CE">
        <w:rPr>
          <w:rFonts w:ascii="Times New Roman" w:hAnsi="Times New Roman" w:cs="Times New Roman"/>
          <w:sz w:val="24"/>
          <w:szCs w:val="24"/>
        </w:rPr>
        <w:t>The chart below outlines the number of respondents, frequency of response</w:t>
      </w:r>
      <w:r w:rsidRPr="00440196" w:rsidR="00357E34">
        <w:rPr>
          <w:rFonts w:ascii="Times New Roman" w:hAnsi="Times New Roman" w:cs="Times New Roman"/>
          <w:sz w:val="24"/>
          <w:szCs w:val="24"/>
        </w:rPr>
        <w:t>s</w:t>
      </w:r>
      <w:r w:rsidRPr="00440196" w:rsidR="002771CE">
        <w:rPr>
          <w:rFonts w:ascii="Times New Roman" w:hAnsi="Times New Roman" w:cs="Times New Roman"/>
          <w:sz w:val="24"/>
          <w:szCs w:val="24"/>
        </w:rPr>
        <w:t xml:space="preserve">, </w:t>
      </w:r>
      <w:r w:rsidRPr="00440196" w:rsidR="00357E34">
        <w:rPr>
          <w:rFonts w:ascii="Times New Roman" w:hAnsi="Times New Roman" w:cs="Times New Roman"/>
          <w:sz w:val="24"/>
          <w:szCs w:val="24"/>
        </w:rPr>
        <w:t xml:space="preserve">total number of responses, </w:t>
      </w:r>
      <w:r w:rsidRPr="00440196" w:rsidR="002771CE">
        <w:rPr>
          <w:rFonts w:ascii="Times New Roman" w:hAnsi="Times New Roman" w:cs="Times New Roman"/>
          <w:sz w:val="24"/>
          <w:szCs w:val="24"/>
        </w:rPr>
        <w:t xml:space="preserve">time per response, </w:t>
      </w:r>
      <w:r w:rsidRPr="00440196" w:rsidR="00FE594B">
        <w:rPr>
          <w:rFonts w:ascii="Times New Roman" w:hAnsi="Times New Roman" w:cs="Times New Roman"/>
          <w:sz w:val="24"/>
          <w:szCs w:val="24"/>
        </w:rPr>
        <w:t>and total</w:t>
      </w:r>
      <w:r w:rsidRPr="00440196" w:rsidR="002771CE">
        <w:rPr>
          <w:rFonts w:ascii="Times New Roman" w:hAnsi="Times New Roman" w:cs="Times New Roman"/>
          <w:sz w:val="24"/>
          <w:szCs w:val="24"/>
        </w:rPr>
        <w:t xml:space="preserve"> annual burden hours for each new collection.</w:t>
      </w:r>
      <w:r w:rsidRPr="00440196" w:rsidR="00FE594B">
        <w:rPr>
          <w:rFonts w:ascii="Times New Roman" w:hAnsi="Times New Roman" w:cs="Times New Roman"/>
          <w:sz w:val="24"/>
          <w:szCs w:val="24"/>
        </w:rPr>
        <w:t xml:space="preserve">  </w:t>
      </w:r>
    </w:p>
    <w:p w:rsidR="00466DD7" w:rsidRPr="00440196" w:rsidP="002771CE" w14:paraId="616E30EB" w14:textId="77777777">
      <w:pPr>
        <w:pStyle w:val="ListParagraph"/>
        <w:spacing w:after="0" w:line="240" w:lineRule="auto"/>
        <w:ind w:left="0"/>
        <w:rPr>
          <w:rFonts w:ascii="Times New Roman" w:hAnsi="Times New Roman" w:cs="Times New Roman"/>
          <w:sz w:val="24"/>
          <w:szCs w:val="24"/>
        </w:rPr>
      </w:pPr>
    </w:p>
    <w:p w:rsidR="002B2F77" w:rsidRPr="00440196" w:rsidP="002B2F77" w14:paraId="1F1EC257" w14:textId="32FD9CAC">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Cs/>
          <w:sz w:val="24"/>
          <w:szCs w:val="24"/>
        </w:rPr>
        <w:t>Existing Burden Hours:</w:t>
      </w:r>
      <w:r w:rsidRPr="00440196" w:rsidR="005E52F9">
        <w:rPr>
          <w:rFonts w:ascii="Times New Roman" w:hAnsi="Times New Roman" w:cs="Times New Roman"/>
          <w:bCs/>
          <w:sz w:val="24"/>
          <w:szCs w:val="24"/>
        </w:rPr>
        <w:t xml:space="preserve">  </w:t>
      </w:r>
      <w:r w:rsidRPr="00440196" w:rsidR="007E44CA">
        <w:rPr>
          <w:rFonts w:ascii="Times New Roman" w:hAnsi="Times New Roman" w:cs="Times New Roman"/>
          <w:sz w:val="24"/>
          <w:szCs w:val="24"/>
        </w:rPr>
        <w:t>The following requirements have been previously approved by OMB</w:t>
      </w:r>
      <w:r w:rsidRPr="00440196" w:rsidR="00EB4FEF">
        <w:rPr>
          <w:rFonts w:ascii="Times New Roman" w:hAnsi="Times New Roman" w:cs="Times New Roman"/>
          <w:sz w:val="24"/>
          <w:szCs w:val="24"/>
        </w:rPr>
        <w:t xml:space="preserve">.  </w:t>
      </w:r>
      <w:r w:rsidRPr="00440196" w:rsidR="00A02D17">
        <w:rPr>
          <w:rFonts w:ascii="Times New Roman" w:hAnsi="Times New Roman" w:cs="Times New Roman"/>
          <w:sz w:val="24"/>
          <w:szCs w:val="24"/>
        </w:rPr>
        <w:t xml:space="preserve"> </w:t>
      </w:r>
      <w:r w:rsidRPr="00440196" w:rsidR="009541A4">
        <w:rPr>
          <w:rFonts w:ascii="Times New Roman" w:hAnsi="Times New Roman" w:cs="Times New Roman"/>
          <w:sz w:val="24"/>
          <w:szCs w:val="24"/>
        </w:rPr>
        <w:t>The Commission</w:t>
      </w:r>
      <w:r w:rsidRPr="00440196" w:rsidR="00352876">
        <w:rPr>
          <w:rFonts w:ascii="Times New Roman" w:hAnsi="Times New Roman" w:cs="Times New Roman"/>
          <w:sz w:val="24"/>
          <w:szCs w:val="24"/>
        </w:rPr>
        <w:t xml:space="preserve">’s </w:t>
      </w:r>
      <w:r w:rsidRPr="00440196" w:rsidR="002130A5">
        <w:rPr>
          <w:rFonts w:ascii="Times New Roman" w:hAnsi="Times New Roman" w:cs="Times New Roman"/>
          <w:sz w:val="24"/>
          <w:szCs w:val="24"/>
        </w:rPr>
        <w:t xml:space="preserve">activation </w:t>
      </w:r>
      <w:r w:rsidRPr="00440196" w:rsidR="00EB4FEF">
        <w:rPr>
          <w:rFonts w:ascii="Times New Roman" w:hAnsi="Times New Roman" w:cs="Times New Roman"/>
          <w:sz w:val="24"/>
          <w:szCs w:val="24"/>
        </w:rPr>
        <w:t xml:space="preserve">of </w:t>
      </w:r>
      <w:r w:rsidRPr="00440196" w:rsidR="009864F1">
        <w:rPr>
          <w:rFonts w:ascii="Times New Roman" w:hAnsi="Times New Roman" w:cs="Times New Roman"/>
          <w:sz w:val="24"/>
          <w:szCs w:val="24"/>
        </w:rPr>
        <w:t>section</w:t>
      </w:r>
      <w:r w:rsidRPr="00440196" w:rsidR="002130A5">
        <w:rPr>
          <w:rFonts w:ascii="Times New Roman" w:hAnsi="Times New Roman" w:cs="Times New Roman"/>
          <w:sz w:val="24"/>
          <w:szCs w:val="24"/>
        </w:rPr>
        <w:t>s</w:t>
      </w:r>
      <w:r w:rsidRPr="00440196" w:rsidR="009864F1">
        <w:rPr>
          <w:rFonts w:ascii="Times New Roman" w:hAnsi="Times New Roman" w:cs="Times New Roman"/>
          <w:sz w:val="24"/>
          <w:szCs w:val="24"/>
        </w:rPr>
        <w:t xml:space="preserve"> </w:t>
      </w:r>
      <w:r w:rsidRPr="00440196" w:rsidR="00292B9A">
        <w:rPr>
          <w:rFonts w:ascii="Times New Roman" w:hAnsi="Times New Roman" w:cs="Times New Roman"/>
          <w:sz w:val="24"/>
          <w:szCs w:val="24"/>
        </w:rPr>
        <w:t>30.104</w:t>
      </w:r>
      <w:r w:rsidRPr="00440196" w:rsidR="002130A5">
        <w:rPr>
          <w:rFonts w:ascii="Times New Roman" w:hAnsi="Times New Roman" w:cs="Times New Roman"/>
          <w:sz w:val="24"/>
          <w:szCs w:val="24"/>
        </w:rPr>
        <w:t xml:space="preserve"> and 30.107</w:t>
      </w:r>
      <w:r w:rsidRPr="00440196" w:rsidR="009864F1">
        <w:rPr>
          <w:rFonts w:ascii="Times New Roman" w:hAnsi="Times New Roman" w:cs="Times New Roman"/>
          <w:sz w:val="24"/>
          <w:szCs w:val="24"/>
        </w:rPr>
        <w:t xml:space="preserve"> </w:t>
      </w:r>
      <w:r w:rsidRPr="00440196" w:rsidR="003D5EDB">
        <w:rPr>
          <w:rFonts w:ascii="Times New Roman" w:hAnsi="Times New Roman" w:cs="Times New Roman"/>
          <w:sz w:val="24"/>
          <w:szCs w:val="24"/>
        </w:rPr>
        <w:t xml:space="preserve">will </w:t>
      </w:r>
      <w:r w:rsidRPr="00440196" w:rsidR="009864F1">
        <w:rPr>
          <w:rFonts w:ascii="Times New Roman" w:hAnsi="Times New Roman" w:cs="Times New Roman"/>
          <w:sz w:val="24"/>
          <w:szCs w:val="24"/>
        </w:rPr>
        <w:t>increase</w:t>
      </w:r>
      <w:r w:rsidRPr="00440196" w:rsidR="005E52F9">
        <w:rPr>
          <w:rFonts w:ascii="Times New Roman" w:hAnsi="Times New Roman" w:cs="Times New Roman"/>
          <w:sz w:val="24"/>
          <w:szCs w:val="24"/>
        </w:rPr>
        <w:t xml:space="preserve"> </w:t>
      </w:r>
      <w:r w:rsidRPr="00440196" w:rsidR="009864F1">
        <w:rPr>
          <w:rFonts w:ascii="Times New Roman" w:hAnsi="Times New Roman" w:cs="Times New Roman"/>
          <w:sz w:val="24"/>
          <w:szCs w:val="24"/>
        </w:rPr>
        <w:t xml:space="preserve">the </w:t>
      </w:r>
      <w:r w:rsidRPr="00440196" w:rsidR="009541A4">
        <w:rPr>
          <w:rFonts w:ascii="Times New Roman" w:hAnsi="Times New Roman" w:cs="Times New Roman"/>
          <w:sz w:val="24"/>
          <w:szCs w:val="24"/>
        </w:rPr>
        <w:t xml:space="preserve">respondents </w:t>
      </w:r>
      <w:r w:rsidRPr="00440196" w:rsidR="00352876">
        <w:rPr>
          <w:rFonts w:ascii="Times New Roman" w:hAnsi="Times New Roman" w:cs="Times New Roman"/>
          <w:sz w:val="24"/>
          <w:szCs w:val="24"/>
        </w:rPr>
        <w:t>and responses</w:t>
      </w:r>
      <w:r w:rsidRPr="00440196" w:rsidR="00D7673E">
        <w:rPr>
          <w:rFonts w:ascii="Times New Roman" w:hAnsi="Times New Roman" w:cs="Times New Roman"/>
          <w:sz w:val="24"/>
          <w:szCs w:val="24"/>
        </w:rPr>
        <w:t>.</w:t>
      </w:r>
    </w:p>
    <w:p w:rsidR="00F947A9" w:rsidRPr="00440196" w:rsidP="009541A4" w14:paraId="7A1238F4" w14:textId="77777777">
      <w:pPr>
        <w:pStyle w:val="ListParagraph"/>
        <w:spacing w:after="0" w:line="240" w:lineRule="auto"/>
        <w:ind w:left="0"/>
        <w:rPr>
          <w:rFonts w:ascii="Times New Roman" w:hAnsi="Times New Roman" w:cs="Times New Roman"/>
          <w:sz w:val="24"/>
          <w:szCs w:val="24"/>
        </w:rPr>
      </w:pPr>
    </w:p>
    <w:p w:rsidR="00FD1CAC" w:rsidRPr="00440196" w:rsidP="002771CE" w14:paraId="1B3B3850" w14:textId="15CB3D6D">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Cs/>
          <w:sz w:val="24"/>
          <w:szCs w:val="24"/>
        </w:rPr>
        <w:t xml:space="preserve">Revised </w:t>
      </w:r>
      <w:r w:rsidRPr="00440196" w:rsidR="009541A4">
        <w:rPr>
          <w:rFonts w:ascii="Times New Roman" w:hAnsi="Times New Roman" w:cs="Times New Roman"/>
          <w:bCs/>
          <w:sz w:val="24"/>
          <w:szCs w:val="24"/>
        </w:rPr>
        <w:t>Burden added to this information collection:</w:t>
      </w:r>
      <w:r w:rsidRPr="00440196" w:rsidR="0089478E">
        <w:rPr>
          <w:rFonts w:ascii="Times New Roman" w:hAnsi="Times New Roman" w:cs="Times New Roman"/>
          <w:bCs/>
          <w:sz w:val="24"/>
          <w:szCs w:val="24"/>
        </w:rPr>
        <w:t xml:space="preserve"> </w:t>
      </w:r>
      <w:r w:rsidRPr="00440196" w:rsidR="005E52F9">
        <w:rPr>
          <w:rFonts w:ascii="Times New Roman" w:hAnsi="Times New Roman" w:cs="Times New Roman"/>
          <w:bCs/>
          <w:sz w:val="24"/>
          <w:szCs w:val="24"/>
        </w:rPr>
        <w:t xml:space="preserve"> </w:t>
      </w:r>
      <w:r w:rsidRPr="00440196" w:rsidR="00E50D07">
        <w:rPr>
          <w:rFonts w:ascii="Times New Roman" w:hAnsi="Times New Roman" w:cs="Times New Roman"/>
          <w:sz w:val="24"/>
          <w:szCs w:val="24"/>
        </w:rPr>
        <w:t xml:space="preserve">The </w:t>
      </w:r>
      <w:r w:rsidRPr="00440196" w:rsidR="00243C15">
        <w:rPr>
          <w:rFonts w:ascii="Times New Roman" w:hAnsi="Times New Roman" w:cs="Times New Roman"/>
          <w:sz w:val="24"/>
          <w:szCs w:val="24"/>
        </w:rPr>
        <w:t>in-house cost</w:t>
      </w:r>
      <w:r w:rsidRPr="00440196" w:rsidR="00963796">
        <w:rPr>
          <w:rFonts w:ascii="Times New Roman" w:hAnsi="Times New Roman" w:cs="Times New Roman"/>
          <w:sz w:val="24"/>
          <w:szCs w:val="24"/>
        </w:rPr>
        <w:t xml:space="preserve"> </w:t>
      </w:r>
      <w:r w:rsidRPr="00440196" w:rsidR="00E50D07">
        <w:rPr>
          <w:rFonts w:ascii="Times New Roman" w:hAnsi="Times New Roman" w:cs="Times New Roman"/>
          <w:sz w:val="24"/>
          <w:szCs w:val="24"/>
        </w:rPr>
        <w:t>is reflective in the table below titled “Annual Burden</w:t>
      </w:r>
      <w:r w:rsidRPr="00440196" w:rsidR="00344F9D">
        <w:rPr>
          <w:rFonts w:ascii="Times New Roman" w:hAnsi="Times New Roman" w:cs="Times New Roman"/>
          <w:sz w:val="24"/>
          <w:szCs w:val="24"/>
        </w:rPr>
        <w:t>.</w:t>
      </w:r>
      <w:r w:rsidRPr="00440196" w:rsidR="00E50D07">
        <w:rPr>
          <w:rFonts w:ascii="Times New Roman" w:hAnsi="Times New Roman" w:cs="Times New Roman"/>
          <w:sz w:val="24"/>
          <w:szCs w:val="24"/>
        </w:rPr>
        <w:t xml:space="preserve">”  </w:t>
      </w:r>
      <w:r w:rsidRPr="00440196" w:rsidR="00466DD7">
        <w:rPr>
          <w:rFonts w:ascii="Times New Roman" w:hAnsi="Times New Roman" w:cs="Times New Roman"/>
          <w:sz w:val="24"/>
          <w:szCs w:val="24"/>
        </w:rPr>
        <w:t>We assume that th</w:t>
      </w:r>
      <w:r w:rsidRPr="00440196" w:rsidR="007F6F1D">
        <w:rPr>
          <w:rFonts w:ascii="Times New Roman" w:hAnsi="Times New Roman" w:cs="Times New Roman"/>
          <w:sz w:val="24"/>
          <w:szCs w:val="24"/>
        </w:rPr>
        <w:t xml:space="preserve">e respondents will use </w:t>
      </w:r>
      <w:r w:rsidRPr="00440196" w:rsidR="00FC756B">
        <w:rPr>
          <w:rFonts w:ascii="Times New Roman" w:hAnsi="Times New Roman" w:cs="Times New Roman"/>
          <w:sz w:val="24"/>
          <w:szCs w:val="24"/>
        </w:rPr>
        <w:t>an in-house staff attorney ($</w:t>
      </w:r>
      <w:r w:rsidRPr="00440196" w:rsidR="005A26CB">
        <w:rPr>
          <w:rFonts w:ascii="Times New Roman" w:hAnsi="Times New Roman" w:cs="Times New Roman"/>
          <w:sz w:val="24"/>
          <w:szCs w:val="24"/>
        </w:rPr>
        <w:t>78.74</w:t>
      </w:r>
      <w:r w:rsidRPr="00440196" w:rsidR="00FC756B">
        <w:rPr>
          <w:rFonts w:ascii="Times New Roman" w:hAnsi="Times New Roman" w:cs="Times New Roman"/>
          <w:sz w:val="24"/>
          <w:szCs w:val="24"/>
        </w:rPr>
        <w:t xml:space="preserve">/hour) </w:t>
      </w:r>
      <w:r w:rsidRPr="00440196" w:rsidR="00847F06">
        <w:rPr>
          <w:rFonts w:ascii="Times New Roman" w:hAnsi="Times New Roman" w:cs="Times New Roman"/>
          <w:sz w:val="24"/>
          <w:szCs w:val="24"/>
        </w:rPr>
        <w:t xml:space="preserve">an </w:t>
      </w:r>
      <w:r w:rsidRPr="00440196" w:rsidR="007F6F1D">
        <w:rPr>
          <w:rFonts w:ascii="Times New Roman" w:hAnsi="Times New Roman" w:cs="Times New Roman"/>
          <w:sz w:val="24"/>
          <w:szCs w:val="24"/>
        </w:rPr>
        <w:t xml:space="preserve">in-house </w:t>
      </w:r>
      <w:r w:rsidRPr="00440196" w:rsidR="009A75E1">
        <w:rPr>
          <w:rFonts w:ascii="Times New Roman" w:hAnsi="Times New Roman" w:cs="Times New Roman"/>
          <w:sz w:val="24"/>
          <w:szCs w:val="24"/>
        </w:rPr>
        <w:t>engineer ($</w:t>
      </w:r>
      <w:r w:rsidRPr="00440196" w:rsidR="005A26CB">
        <w:rPr>
          <w:rFonts w:ascii="Times New Roman" w:hAnsi="Times New Roman" w:cs="Times New Roman"/>
          <w:sz w:val="24"/>
          <w:szCs w:val="24"/>
        </w:rPr>
        <w:t>53.50</w:t>
      </w:r>
      <w:r w:rsidRPr="00440196" w:rsidR="00466DD7">
        <w:rPr>
          <w:rFonts w:ascii="Times New Roman" w:hAnsi="Times New Roman" w:cs="Times New Roman"/>
          <w:sz w:val="24"/>
          <w:szCs w:val="24"/>
        </w:rPr>
        <w:t>/hour) to consult and prepare information</w:t>
      </w:r>
      <w:r w:rsidRPr="00440196" w:rsidR="00E8016D">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440196" w:rsidR="00466DD7">
        <w:rPr>
          <w:rFonts w:ascii="Times New Roman" w:hAnsi="Times New Roman" w:cs="Times New Roman"/>
          <w:sz w:val="24"/>
          <w:szCs w:val="24"/>
        </w:rPr>
        <w:t xml:space="preserve"> </w:t>
      </w:r>
    </w:p>
    <w:p w:rsidR="00466DD7" w:rsidRPr="00440196" w:rsidP="002771CE" w14:paraId="49EC1487" w14:textId="77777777">
      <w:pPr>
        <w:pStyle w:val="ListParagraph"/>
        <w:spacing w:after="0" w:line="240" w:lineRule="auto"/>
        <w:ind w:left="0"/>
        <w:rPr>
          <w:rFonts w:ascii="Times New Roman" w:hAnsi="Times New Roman" w:cs="Times New Roman"/>
          <w:sz w:val="24"/>
          <w:szCs w:val="24"/>
        </w:rPr>
      </w:pPr>
    </w:p>
    <w:p w:rsidR="009A4A4B" w:rsidRPr="00440196" w:rsidP="00061F14" w14:paraId="00DC531E" w14:textId="1AC758C3">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 xml:space="preserve">The Commission </w:t>
      </w:r>
      <w:r w:rsidRPr="00440196" w:rsidR="00341D88">
        <w:rPr>
          <w:rFonts w:ascii="Times New Roman" w:hAnsi="Times New Roman" w:cs="Times New Roman"/>
          <w:sz w:val="24"/>
          <w:szCs w:val="24"/>
        </w:rPr>
        <w:t xml:space="preserve">calculates the burden from each rule to be as follows: </w:t>
      </w:r>
    </w:p>
    <w:p w:rsidR="00D869B8" w:rsidP="00061F14" w14:paraId="1F6D51BC" w14:textId="77777777">
      <w:pPr>
        <w:pStyle w:val="ListParagraph"/>
        <w:spacing w:after="0" w:line="240" w:lineRule="auto"/>
        <w:ind w:left="0"/>
        <w:rPr>
          <w:rFonts w:ascii="Times New Roman" w:hAnsi="Times New Roman" w:cs="Times New Roman"/>
          <w:sz w:val="24"/>
          <w:szCs w:val="24"/>
        </w:rPr>
      </w:pPr>
    </w:p>
    <w:p w:rsidR="00E54FAC" w:rsidP="00061F14" w14:paraId="1112BAD9" w14:textId="77777777">
      <w:pPr>
        <w:pStyle w:val="ListParagraph"/>
        <w:spacing w:after="0" w:line="240" w:lineRule="auto"/>
        <w:ind w:left="0"/>
        <w:rPr>
          <w:rFonts w:ascii="Times New Roman" w:hAnsi="Times New Roman" w:cs="Times New Roman"/>
          <w:sz w:val="24"/>
          <w:szCs w:val="24"/>
        </w:rPr>
      </w:pPr>
    </w:p>
    <w:p w:rsidR="00E54FAC" w:rsidRPr="00440196" w:rsidP="00061F14" w14:paraId="32466596" w14:textId="77777777">
      <w:pPr>
        <w:pStyle w:val="ListParagraph"/>
        <w:spacing w:after="0" w:line="240" w:lineRule="auto"/>
        <w:ind w:left="0"/>
        <w:rPr>
          <w:rFonts w:ascii="Times New Roman" w:hAnsi="Times New Roman" w:cs="Times New Roman"/>
          <w:sz w:val="24"/>
          <w:szCs w:val="24"/>
        </w:rPr>
      </w:pPr>
    </w:p>
    <w:p w:rsidR="004836A0" w:rsidRPr="00440196" w:rsidP="008A7632" w14:paraId="3FE556BD" w14:textId="77777777">
      <w:pPr>
        <w:pStyle w:val="ListParagraph"/>
        <w:spacing w:after="0" w:line="240" w:lineRule="auto"/>
        <w:ind w:left="0"/>
        <w:jc w:val="center"/>
        <w:rPr>
          <w:rFonts w:ascii="Times New Roman" w:hAnsi="Times New Roman" w:cs="Times New Roman"/>
          <w:sz w:val="24"/>
          <w:szCs w:val="24"/>
        </w:rPr>
      </w:pPr>
      <w:r w:rsidRPr="00440196">
        <w:rPr>
          <w:rFonts w:ascii="Times New Roman" w:hAnsi="Times New Roman" w:cs="Times New Roman"/>
          <w:sz w:val="24"/>
          <w:szCs w:val="24"/>
        </w:rPr>
        <w:t xml:space="preserve">Annual Burden </w:t>
      </w:r>
    </w:p>
    <w:p w:rsidR="00D869B8" w:rsidRPr="00440196" w:rsidP="008A7632" w14:paraId="5C3D73E7" w14:textId="77777777">
      <w:pPr>
        <w:pStyle w:val="ListParagraph"/>
        <w:spacing w:after="0" w:line="240" w:lineRule="auto"/>
        <w:ind w:left="0"/>
        <w:jc w:val="center"/>
        <w:rPr>
          <w:rFonts w:ascii="Times New Roman" w:hAnsi="Times New Roman" w:cs="Times New Roman"/>
          <w:sz w:val="24"/>
          <w:szCs w:val="24"/>
        </w:rPr>
      </w:pPr>
    </w:p>
    <w:tbl>
      <w:tblPr>
        <w:tblStyle w:val="TableGrid"/>
        <w:tblW w:w="8635" w:type="dxa"/>
        <w:tblLayout w:type="fixed"/>
        <w:tblLook w:val="04A0"/>
      </w:tblPr>
      <w:tblGrid>
        <w:gridCol w:w="393"/>
        <w:gridCol w:w="1672"/>
        <w:gridCol w:w="1530"/>
        <w:gridCol w:w="1350"/>
        <w:gridCol w:w="1440"/>
        <w:gridCol w:w="1170"/>
        <w:gridCol w:w="1080"/>
      </w:tblGrid>
      <w:tr w14:paraId="09E75D1D" w14:textId="77777777" w:rsidTr="00D7673E">
        <w:tblPrEx>
          <w:tblW w:w="8635" w:type="dxa"/>
          <w:tblLayout w:type="fixed"/>
          <w:tblLook w:val="04A0"/>
        </w:tblPrEx>
        <w:trPr>
          <w:trHeight w:val="1656"/>
        </w:trPr>
        <w:tc>
          <w:tcPr>
            <w:tcW w:w="393" w:type="dxa"/>
          </w:tcPr>
          <w:p w:rsidR="00312F60" w:rsidRPr="00440196" w:rsidP="00303DA0" w14:paraId="3C9441FB" w14:textId="77777777">
            <w:pPr>
              <w:pStyle w:val="ListParagraph"/>
              <w:ind w:left="0"/>
              <w:rPr>
                <w:rFonts w:ascii="Times New Roman" w:hAnsi="Times New Roman" w:cs="Times New Roman"/>
                <w:sz w:val="24"/>
                <w:szCs w:val="24"/>
              </w:rPr>
            </w:pPr>
          </w:p>
        </w:tc>
        <w:tc>
          <w:tcPr>
            <w:tcW w:w="1672" w:type="dxa"/>
          </w:tcPr>
          <w:p w:rsidR="00312F60" w:rsidRPr="00440196" w:rsidP="00303DA0" w14:paraId="1EB40497" w14:textId="50082F73">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Requirement</w:t>
            </w:r>
          </w:p>
        </w:tc>
        <w:tc>
          <w:tcPr>
            <w:tcW w:w="1530" w:type="dxa"/>
          </w:tcPr>
          <w:p w:rsidR="00312F60" w:rsidRPr="00440196" w:rsidP="00303DA0" w14:paraId="7B20D67D"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Estimated Number of Respondents</w:t>
            </w:r>
          </w:p>
        </w:tc>
        <w:tc>
          <w:tcPr>
            <w:tcW w:w="1350" w:type="dxa"/>
          </w:tcPr>
          <w:p w:rsidR="00312F60" w:rsidRPr="00440196" w:rsidP="00303DA0" w14:paraId="35D17E1C"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Estimated Frequency of Responses</w:t>
            </w:r>
          </w:p>
        </w:tc>
        <w:tc>
          <w:tcPr>
            <w:tcW w:w="1440" w:type="dxa"/>
          </w:tcPr>
          <w:p w:rsidR="00312F60" w:rsidRPr="00440196" w:rsidP="00303DA0" w14:paraId="40DFC606"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Total Number of Responses</w:t>
            </w:r>
          </w:p>
        </w:tc>
        <w:tc>
          <w:tcPr>
            <w:tcW w:w="1170" w:type="dxa"/>
          </w:tcPr>
          <w:p w:rsidR="00312F60" w:rsidRPr="00440196" w:rsidP="00303DA0" w14:paraId="63BCA374"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Time per Response (Hours)</w:t>
            </w:r>
          </w:p>
        </w:tc>
        <w:tc>
          <w:tcPr>
            <w:tcW w:w="1080" w:type="dxa"/>
          </w:tcPr>
          <w:p w:rsidR="00312F60" w:rsidRPr="00440196" w:rsidP="00303DA0" w14:paraId="56D779B9"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Total Annual Burden Hours</w:t>
            </w:r>
          </w:p>
        </w:tc>
      </w:tr>
      <w:tr w14:paraId="35CFCC21" w14:textId="77777777" w:rsidTr="00D7673E">
        <w:tblPrEx>
          <w:tblW w:w="8635" w:type="dxa"/>
          <w:tblLayout w:type="fixed"/>
          <w:tblLook w:val="04A0"/>
        </w:tblPrEx>
        <w:trPr>
          <w:trHeight w:val="1656"/>
        </w:trPr>
        <w:tc>
          <w:tcPr>
            <w:tcW w:w="393" w:type="dxa"/>
          </w:tcPr>
          <w:p w:rsidR="00312F60" w:rsidRPr="00440196" w:rsidP="00303DA0" w14:paraId="0BEBC4C1"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a</w:t>
            </w:r>
          </w:p>
        </w:tc>
        <w:tc>
          <w:tcPr>
            <w:tcW w:w="1672" w:type="dxa"/>
          </w:tcPr>
          <w:p w:rsidR="00312F60" w:rsidRPr="00440196" w:rsidP="00303DA0" w14:paraId="6EE7E1D3" w14:textId="4DDD34E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§25.136, Concerning Satellite Stations -</w:t>
            </w:r>
          </w:p>
          <w:p w:rsidR="00312F60" w:rsidRPr="00440196" w:rsidP="00303DA0" w14:paraId="50CF40F4" w14:textId="3A43AE8E">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Third Party Disclosure</w:t>
            </w:r>
          </w:p>
        </w:tc>
        <w:tc>
          <w:tcPr>
            <w:tcW w:w="1530" w:type="dxa"/>
          </w:tcPr>
          <w:p w:rsidR="00312F60" w:rsidRPr="00440196" w:rsidP="00303DA0" w14:paraId="39FBC0A9" w14:textId="034D7C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350</w:t>
            </w:r>
          </w:p>
        </w:tc>
        <w:tc>
          <w:tcPr>
            <w:tcW w:w="1350" w:type="dxa"/>
          </w:tcPr>
          <w:p w:rsidR="00312F60" w:rsidRPr="00440196" w:rsidP="00303DA0" w14:paraId="0A1ADC14" w14:textId="12813EA8">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On occasion</w:t>
            </w:r>
          </w:p>
        </w:tc>
        <w:tc>
          <w:tcPr>
            <w:tcW w:w="1440" w:type="dxa"/>
          </w:tcPr>
          <w:p w:rsidR="00312F60" w:rsidRPr="00440196" w:rsidP="00303DA0" w14:paraId="4379A616" w14:textId="10186256">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350</w:t>
            </w:r>
          </w:p>
        </w:tc>
        <w:tc>
          <w:tcPr>
            <w:tcW w:w="1170" w:type="dxa"/>
          </w:tcPr>
          <w:p w:rsidR="00312F60" w:rsidRPr="00440196" w:rsidP="00303DA0" w14:paraId="2CE56406" w14:textId="4EF109F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0.5</w:t>
            </w:r>
          </w:p>
        </w:tc>
        <w:tc>
          <w:tcPr>
            <w:tcW w:w="1080" w:type="dxa"/>
          </w:tcPr>
          <w:p w:rsidR="00312F60" w:rsidRPr="00440196" w:rsidP="0097773B" w14:paraId="773AFF56" w14:textId="30552ECC">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175</w:t>
            </w:r>
          </w:p>
        </w:tc>
      </w:tr>
      <w:tr w14:paraId="195440E0" w14:textId="77777777" w:rsidTr="00D7673E">
        <w:tblPrEx>
          <w:tblW w:w="8635" w:type="dxa"/>
          <w:tblLayout w:type="fixed"/>
          <w:tblLook w:val="04A0"/>
        </w:tblPrEx>
        <w:trPr>
          <w:trHeight w:val="1656"/>
        </w:trPr>
        <w:tc>
          <w:tcPr>
            <w:tcW w:w="393" w:type="dxa"/>
          </w:tcPr>
          <w:p w:rsidR="00312F60" w:rsidRPr="00440196" w:rsidP="00303DA0" w14:paraId="7FD6CF79"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b</w:t>
            </w:r>
          </w:p>
        </w:tc>
        <w:tc>
          <w:tcPr>
            <w:tcW w:w="1672" w:type="dxa"/>
          </w:tcPr>
          <w:p w:rsidR="00312F60" w:rsidRPr="00440196" w:rsidP="00303DA0" w14:paraId="6EE24BB7" w14:textId="638779EC">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§25.136, Concerning Satellite Stations -</w:t>
            </w:r>
          </w:p>
          <w:p w:rsidR="00312F60" w:rsidRPr="00440196" w:rsidP="00303DA0" w14:paraId="7A7FA7EF" w14:textId="16D11A91">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Filing Requirement</w:t>
            </w:r>
          </w:p>
        </w:tc>
        <w:tc>
          <w:tcPr>
            <w:tcW w:w="1530" w:type="dxa"/>
          </w:tcPr>
          <w:p w:rsidR="00312F60" w:rsidRPr="00440196" w:rsidP="00303DA0" w14:paraId="0E5A70CA" w14:textId="49A0DE15">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15</w:t>
            </w:r>
          </w:p>
        </w:tc>
        <w:tc>
          <w:tcPr>
            <w:tcW w:w="1350" w:type="dxa"/>
          </w:tcPr>
          <w:p w:rsidR="00312F60" w:rsidRPr="00440196" w:rsidP="00303DA0" w14:paraId="3EA5BDB0" w14:textId="665D2B3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On occasion</w:t>
            </w:r>
          </w:p>
        </w:tc>
        <w:tc>
          <w:tcPr>
            <w:tcW w:w="1440" w:type="dxa"/>
          </w:tcPr>
          <w:p w:rsidR="00312F60" w:rsidRPr="00440196" w:rsidP="00303DA0" w14:paraId="776AEDA3" w14:textId="09AFC89B">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50</w:t>
            </w:r>
          </w:p>
        </w:tc>
        <w:tc>
          <w:tcPr>
            <w:tcW w:w="1170" w:type="dxa"/>
          </w:tcPr>
          <w:p w:rsidR="00312F60" w:rsidRPr="00440196" w:rsidP="00303DA0" w14:paraId="5C2B8B36" w14:textId="0E79C673">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10</w:t>
            </w:r>
          </w:p>
        </w:tc>
        <w:tc>
          <w:tcPr>
            <w:tcW w:w="1080" w:type="dxa"/>
          </w:tcPr>
          <w:p w:rsidR="00312F60" w:rsidRPr="00440196" w:rsidP="006D7032" w14:paraId="48B06EC2" w14:textId="37AF94E3">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500</w:t>
            </w:r>
          </w:p>
        </w:tc>
      </w:tr>
      <w:tr w14:paraId="6C4026E7" w14:textId="77777777" w:rsidTr="00D7673E">
        <w:tblPrEx>
          <w:tblW w:w="8635" w:type="dxa"/>
          <w:tblLayout w:type="fixed"/>
          <w:tblLook w:val="04A0"/>
        </w:tblPrEx>
        <w:trPr>
          <w:trHeight w:val="1656"/>
        </w:trPr>
        <w:tc>
          <w:tcPr>
            <w:tcW w:w="393" w:type="dxa"/>
          </w:tcPr>
          <w:p w:rsidR="00312F60" w:rsidRPr="00440196" w:rsidP="00303DA0" w14:paraId="50498B72"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c.</w:t>
            </w:r>
          </w:p>
        </w:tc>
        <w:tc>
          <w:tcPr>
            <w:tcW w:w="1672" w:type="dxa"/>
          </w:tcPr>
          <w:p w:rsidR="00312F60" w:rsidRPr="00440196" w:rsidP="00303DA0" w14:paraId="3077657D" w14:textId="2D4D915C">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Reporting ‒ Compliance Eligibility, Foreign ownership reports.</w:t>
            </w:r>
          </w:p>
        </w:tc>
        <w:tc>
          <w:tcPr>
            <w:tcW w:w="1530" w:type="dxa"/>
          </w:tcPr>
          <w:p w:rsidR="00312F60" w:rsidRPr="00440196" w:rsidP="007F6F1D" w14:paraId="6F7D346A" w14:textId="7A671C2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 xml:space="preserve">30 </w:t>
            </w:r>
          </w:p>
        </w:tc>
        <w:tc>
          <w:tcPr>
            <w:tcW w:w="1350" w:type="dxa"/>
          </w:tcPr>
          <w:p w:rsidR="00312F60" w:rsidRPr="00440196" w:rsidP="00FE594B" w14:paraId="3150B5B4" w14:textId="2C2AA0C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Once</w:t>
            </w:r>
          </w:p>
        </w:tc>
        <w:tc>
          <w:tcPr>
            <w:tcW w:w="1440" w:type="dxa"/>
          </w:tcPr>
          <w:p w:rsidR="00312F60" w:rsidRPr="00440196" w:rsidP="00E8016D" w14:paraId="00578326" w14:textId="6B014E6D">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30</w:t>
            </w:r>
          </w:p>
        </w:tc>
        <w:tc>
          <w:tcPr>
            <w:tcW w:w="1170" w:type="dxa"/>
          </w:tcPr>
          <w:p w:rsidR="00312F60" w:rsidRPr="00440196" w:rsidP="00303DA0" w14:paraId="384F0A98" w14:textId="43172C0A">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0.5</w:t>
            </w:r>
          </w:p>
        </w:tc>
        <w:tc>
          <w:tcPr>
            <w:tcW w:w="1080" w:type="dxa"/>
          </w:tcPr>
          <w:p w:rsidR="00312F60" w:rsidRPr="00440196" w:rsidP="00303DA0" w14:paraId="4B562F21" w14:textId="6EF4DEE0">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15</w:t>
            </w:r>
          </w:p>
        </w:tc>
      </w:tr>
      <w:tr w14:paraId="428208A6" w14:textId="77777777" w:rsidTr="00D7673E">
        <w:tblPrEx>
          <w:tblW w:w="8635" w:type="dxa"/>
          <w:tblLayout w:type="fixed"/>
          <w:tblLook w:val="04A0"/>
        </w:tblPrEx>
        <w:trPr>
          <w:trHeight w:val="1656"/>
        </w:trPr>
        <w:tc>
          <w:tcPr>
            <w:tcW w:w="393" w:type="dxa"/>
          </w:tcPr>
          <w:p w:rsidR="00312F60" w:rsidRPr="00440196" w:rsidP="00303DA0" w14:paraId="742157F6" w14:textId="77777777">
            <w:pPr>
              <w:rPr>
                <w:rFonts w:ascii="Times New Roman" w:hAnsi="Times New Roman" w:cs="Times New Roman"/>
                <w:sz w:val="24"/>
                <w:szCs w:val="24"/>
              </w:rPr>
            </w:pPr>
            <w:bookmarkStart w:id="5" w:name="_Hlk161666786"/>
            <w:r w:rsidRPr="00440196">
              <w:rPr>
                <w:rFonts w:ascii="Times New Roman" w:hAnsi="Times New Roman" w:cs="Times New Roman"/>
                <w:sz w:val="24"/>
                <w:szCs w:val="24"/>
              </w:rPr>
              <w:t>d.</w:t>
            </w:r>
          </w:p>
        </w:tc>
        <w:tc>
          <w:tcPr>
            <w:tcW w:w="1672" w:type="dxa"/>
          </w:tcPr>
          <w:p w:rsidR="00312F60" w:rsidRPr="00440196" w:rsidP="00303DA0" w14:paraId="3E3875DF" w14:textId="193DC991">
            <w:pPr>
              <w:rPr>
                <w:rFonts w:ascii="Times New Roman" w:hAnsi="Times New Roman" w:cs="Times New Roman"/>
                <w:sz w:val="24"/>
                <w:szCs w:val="24"/>
              </w:rPr>
            </w:pPr>
            <w:bookmarkStart w:id="6" w:name="_Hlk161846638"/>
            <w:r w:rsidRPr="00440196">
              <w:rPr>
                <w:rFonts w:ascii="Times New Roman" w:hAnsi="Times New Roman" w:cs="Times New Roman"/>
                <w:sz w:val="24"/>
                <w:szCs w:val="24"/>
              </w:rPr>
              <w:t>§</w:t>
            </w:r>
            <w:r w:rsidRPr="00440196" w:rsidR="00292B9A">
              <w:rPr>
                <w:rFonts w:ascii="Times New Roman" w:hAnsi="Times New Roman" w:cs="Times New Roman"/>
                <w:sz w:val="24"/>
                <w:szCs w:val="24"/>
              </w:rPr>
              <w:t>30.104</w:t>
            </w:r>
            <w:r w:rsidRPr="00440196">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440196">
              <w:rPr>
                <w:rFonts w:ascii="Times New Roman" w:hAnsi="Times New Roman" w:cs="Times New Roman"/>
                <w:sz w:val="24"/>
                <w:szCs w:val="24"/>
              </w:rPr>
              <w:t xml:space="preserve"> Subpart B – Applications and Licenses</w:t>
            </w:r>
          </w:p>
          <w:bookmarkEnd w:id="6"/>
          <w:p w:rsidR="00312F60" w:rsidRPr="00440196" w:rsidP="00303DA0" w14:paraId="170ECF72"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Construction requirements</w:t>
            </w:r>
          </w:p>
        </w:tc>
        <w:tc>
          <w:tcPr>
            <w:tcW w:w="1530" w:type="dxa"/>
          </w:tcPr>
          <w:p w:rsidR="00312F60" w:rsidRPr="00440196" w:rsidP="00303DA0" w14:paraId="2E38FD51" w14:textId="3CEF8C0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21</w:t>
            </w:r>
          </w:p>
        </w:tc>
        <w:tc>
          <w:tcPr>
            <w:tcW w:w="1350" w:type="dxa"/>
          </w:tcPr>
          <w:p w:rsidR="00312F60" w:rsidRPr="00440196" w:rsidP="002C176A" w14:paraId="44DF82D0" w14:textId="77E5C9ED">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Once</w:t>
            </w:r>
          </w:p>
        </w:tc>
        <w:tc>
          <w:tcPr>
            <w:tcW w:w="1440" w:type="dxa"/>
          </w:tcPr>
          <w:p w:rsidR="00312F60" w:rsidRPr="00440196" w:rsidP="00303DA0" w14:paraId="4DAA3AE8" w14:textId="4CDC0F1C">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942</w:t>
            </w:r>
          </w:p>
        </w:tc>
        <w:tc>
          <w:tcPr>
            <w:tcW w:w="1170" w:type="dxa"/>
          </w:tcPr>
          <w:p w:rsidR="00312F60" w:rsidRPr="00440196" w:rsidP="004C4110" w14:paraId="16A2ABDA"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2</w:t>
            </w:r>
          </w:p>
        </w:tc>
        <w:tc>
          <w:tcPr>
            <w:tcW w:w="1080" w:type="dxa"/>
          </w:tcPr>
          <w:p w:rsidR="00312F60" w:rsidRPr="00440196" w:rsidP="00303DA0" w14:paraId="79A78E4D" w14:textId="65EF933E">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1,884</w:t>
            </w:r>
          </w:p>
        </w:tc>
      </w:tr>
      <w:bookmarkEnd w:id="5"/>
      <w:tr w14:paraId="7C62AC23" w14:textId="77777777" w:rsidTr="00D7673E">
        <w:tblPrEx>
          <w:tblW w:w="8635" w:type="dxa"/>
          <w:tblLayout w:type="fixed"/>
          <w:tblLook w:val="04A0"/>
        </w:tblPrEx>
        <w:trPr>
          <w:trHeight w:val="1656"/>
        </w:trPr>
        <w:tc>
          <w:tcPr>
            <w:tcW w:w="393" w:type="dxa"/>
          </w:tcPr>
          <w:p w:rsidR="00312F60" w:rsidRPr="00440196" w:rsidP="00303DA0" w14:paraId="11929CFA" w14:textId="77777777">
            <w:pPr>
              <w:rPr>
                <w:rFonts w:ascii="Times New Roman" w:hAnsi="Times New Roman" w:cs="Times New Roman"/>
                <w:sz w:val="24"/>
                <w:szCs w:val="24"/>
              </w:rPr>
            </w:pPr>
            <w:r w:rsidRPr="00440196">
              <w:rPr>
                <w:rFonts w:ascii="Times New Roman" w:hAnsi="Times New Roman" w:cs="Times New Roman"/>
                <w:sz w:val="24"/>
                <w:szCs w:val="24"/>
              </w:rPr>
              <w:t>e.</w:t>
            </w:r>
          </w:p>
        </w:tc>
        <w:tc>
          <w:tcPr>
            <w:tcW w:w="1672" w:type="dxa"/>
          </w:tcPr>
          <w:p w:rsidR="00312F60" w:rsidRPr="00440196" w:rsidP="00303DA0" w14:paraId="409CE009" w14:textId="77777777">
            <w:pPr>
              <w:rPr>
                <w:rFonts w:ascii="Times New Roman" w:hAnsi="Times New Roman" w:cs="Times New Roman"/>
                <w:sz w:val="24"/>
                <w:szCs w:val="24"/>
              </w:rPr>
            </w:pPr>
            <w:bookmarkStart w:id="8" w:name="_Hlk161847422"/>
            <w:r w:rsidRPr="00440196">
              <w:rPr>
                <w:rFonts w:ascii="Times New Roman" w:hAnsi="Times New Roman" w:cs="Times New Roman"/>
                <w:sz w:val="24"/>
                <w:szCs w:val="24"/>
              </w:rPr>
              <w:t>§30.107, Subpart B – Applications and Licenses</w:t>
            </w:r>
          </w:p>
          <w:p w:rsidR="00312F60" w:rsidRPr="00440196" w:rsidP="00303DA0" w14:paraId="5D4BA278"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Discontinuance of Service</w:t>
            </w:r>
            <w:bookmarkEnd w:id="8"/>
          </w:p>
        </w:tc>
        <w:tc>
          <w:tcPr>
            <w:tcW w:w="1530" w:type="dxa"/>
          </w:tcPr>
          <w:p w:rsidR="00312F60" w:rsidRPr="00440196" w:rsidP="00303DA0" w14:paraId="39A4B055" w14:textId="727D66B9">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w:t>
            </w:r>
          </w:p>
        </w:tc>
        <w:tc>
          <w:tcPr>
            <w:tcW w:w="1350" w:type="dxa"/>
          </w:tcPr>
          <w:p w:rsidR="00312F60" w:rsidRPr="00440196" w:rsidP="00303DA0" w14:paraId="7E0D8571"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On occasion</w:t>
            </w:r>
          </w:p>
        </w:tc>
        <w:tc>
          <w:tcPr>
            <w:tcW w:w="1440" w:type="dxa"/>
          </w:tcPr>
          <w:p w:rsidR="00312F60" w:rsidRPr="00440196" w:rsidP="00303DA0" w14:paraId="67C534B6" w14:textId="161B449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w:t>
            </w:r>
          </w:p>
        </w:tc>
        <w:tc>
          <w:tcPr>
            <w:tcW w:w="1170" w:type="dxa"/>
          </w:tcPr>
          <w:p w:rsidR="00312F60" w:rsidRPr="00440196" w:rsidP="00303DA0" w14:paraId="13842347" w14:textId="77777777">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0.5</w:t>
            </w:r>
          </w:p>
        </w:tc>
        <w:tc>
          <w:tcPr>
            <w:tcW w:w="1080" w:type="dxa"/>
          </w:tcPr>
          <w:p w:rsidR="00312F60" w:rsidRPr="00440196" w:rsidP="00303DA0" w14:paraId="4F4A299E" w14:textId="6CA7A632">
            <w:pPr>
              <w:pStyle w:val="ListParagraph"/>
              <w:ind w:left="0"/>
              <w:rPr>
                <w:rFonts w:ascii="Times New Roman" w:hAnsi="Times New Roman" w:cs="Times New Roman"/>
                <w:sz w:val="24"/>
                <w:szCs w:val="24"/>
              </w:rPr>
            </w:pPr>
            <w:r w:rsidRPr="00440196">
              <w:rPr>
                <w:rFonts w:ascii="Times New Roman" w:hAnsi="Times New Roman" w:cs="Times New Roman"/>
                <w:sz w:val="24"/>
                <w:szCs w:val="24"/>
              </w:rPr>
              <w:t>0</w:t>
            </w:r>
          </w:p>
        </w:tc>
      </w:tr>
      <w:tr w14:paraId="276C6EF4" w14:textId="77777777" w:rsidTr="00D7673E">
        <w:tblPrEx>
          <w:tblW w:w="8635" w:type="dxa"/>
          <w:tblLayout w:type="fixed"/>
          <w:tblLook w:val="04A0"/>
        </w:tblPrEx>
        <w:trPr>
          <w:trHeight w:val="1656"/>
        </w:trPr>
        <w:tc>
          <w:tcPr>
            <w:tcW w:w="393" w:type="dxa"/>
          </w:tcPr>
          <w:p w:rsidR="00312F60" w:rsidRPr="00440196" w:rsidP="00E24D8E" w14:paraId="7072C51B" w14:textId="77777777">
            <w:pPr>
              <w:rPr>
                <w:rFonts w:ascii="Times New Roman" w:hAnsi="Times New Roman" w:cs="Times New Roman"/>
                <w:sz w:val="24"/>
                <w:szCs w:val="24"/>
              </w:rPr>
            </w:pPr>
          </w:p>
        </w:tc>
        <w:tc>
          <w:tcPr>
            <w:tcW w:w="1672" w:type="dxa"/>
          </w:tcPr>
          <w:p w:rsidR="00312F60" w:rsidRPr="00440196" w:rsidP="00303DA0" w14:paraId="7E008987" w14:textId="77777777">
            <w:pPr>
              <w:rPr>
                <w:rFonts w:ascii="Times New Roman" w:hAnsi="Times New Roman" w:cs="Times New Roman"/>
                <w:b/>
                <w:sz w:val="24"/>
                <w:szCs w:val="24"/>
              </w:rPr>
            </w:pPr>
            <w:r w:rsidRPr="00440196">
              <w:rPr>
                <w:rFonts w:ascii="Times New Roman" w:hAnsi="Times New Roman" w:cs="Times New Roman"/>
                <w:b/>
                <w:sz w:val="24"/>
                <w:szCs w:val="24"/>
              </w:rPr>
              <w:t>Totals:</w:t>
            </w:r>
          </w:p>
        </w:tc>
        <w:tc>
          <w:tcPr>
            <w:tcW w:w="1530" w:type="dxa"/>
          </w:tcPr>
          <w:p w:rsidR="00312F60" w:rsidRPr="00440196" w:rsidP="00752B72" w14:paraId="75A8EF75" w14:textId="049A8A95">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416</w:t>
            </w:r>
          </w:p>
          <w:p w:rsidR="00312F60" w:rsidRPr="00440196" w:rsidP="00752B72" w14:paraId="6CF75F9A"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 xml:space="preserve">In-House </w:t>
            </w:r>
          </w:p>
          <w:p w:rsidR="00312F60" w:rsidRPr="00440196" w:rsidP="00752B72" w14:paraId="691B79C6"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Respondents</w:t>
            </w:r>
          </w:p>
          <w:p w:rsidR="00312F60" w:rsidRPr="00440196" w:rsidP="00752B72" w14:paraId="5E1B913F" w14:textId="77777777">
            <w:pPr>
              <w:pStyle w:val="ListParagraph"/>
              <w:ind w:left="0"/>
              <w:rPr>
                <w:rFonts w:ascii="Times New Roman" w:hAnsi="Times New Roman" w:cs="Times New Roman"/>
                <w:b/>
                <w:sz w:val="24"/>
                <w:szCs w:val="24"/>
              </w:rPr>
            </w:pPr>
          </w:p>
        </w:tc>
        <w:tc>
          <w:tcPr>
            <w:tcW w:w="1350" w:type="dxa"/>
          </w:tcPr>
          <w:p w:rsidR="00312F60" w:rsidRPr="00440196" w:rsidP="00303DA0" w14:paraId="62A00270" w14:textId="77777777">
            <w:pPr>
              <w:pStyle w:val="ListParagraph"/>
              <w:ind w:left="0"/>
              <w:rPr>
                <w:rFonts w:ascii="Times New Roman" w:hAnsi="Times New Roman" w:cs="Times New Roman"/>
                <w:b/>
                <w:sz w:val="24"/>
                <w:szCs w:val="24"/>
              </w:rPr>
            </w:pPr>
          </w:p>
        </w:tc>
        <w:tc>
          <w:tcPr>
            <w:tcW w:w="1440" w:type="dxa"/>
          </w:tcPr>
          <w:p w:rsidR="00312F60" w:rsidRPr="00440196" w:rsidP="00752B72" w14:paraId="2F8A79C0" w14:textId="290BD11F">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1,</w:t>
            </w:r>
            <w:r w:rsidRPr="00440196" w:rsidR="00292B9A">
              <w:rPr>
                <w:rFonts w:ascii="Times New Roman" w:hAnsi="Times New Roman" w:cs="Times New Roman"/>
                <w:b/>
                <w:sz w:val="24"/>
                <w:szCs w:val="24"/>
              </w:rPr>
              <w:t>3</w:t>
            </w:r>
            <w:r w:rsidRPr="00440196" w:rsidR="005D09F6">
              <w:rPr>
                <w:rFonts w:ascii="Times New Roman" w:hAnsi="Times New Roman" w:cs="Times New Roman"/>
                <w:b/>
                <w:sz w:val="24"/>
                <w:szCs w:val="24"/>
              </w:rPr>
              <w:t>72</w:t>
            </w:r>
          </w:p>
          <w:p w:rsidR="00312F60" w:rsidRPr="00440196" w:rsidP="00752B72" w14:paraId="6E6D8646"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In-House</w:t>
            </w:r>
          </w:p>
          <w:p w:rsidR="00312F60" w:rsidRPr="00440196" w:rsidP="00752B72" w14:paraId="7AC52F3A"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Responses</w:t>
            </w:r>
          </w:p>
        </w:tc>
        <w:tc>
          <w:tcPr>
            <w:tcW w:w="1170" w:type="dxa"/>
          </w:tcPr>
          <w:p w:rsidR="00312F60" w:rsidRPr="00440196" w:rsidP="00303DA0" w14:paraId="79B1B163"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0.5-10</w:t>
            </w:r>
          </w:p>
        </w:tc>
        <w:tc>
          <w:tcPr>
            <w:tcW w:w="1080" w:type="dxa"/>
          </w:tcPr>
          <w:p w:rsidR="000A66C4" w:rsidRPr="00440196" w:rsidP="00752B72" w14:paraId="3BCF6444" w14:textId="77777777">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2,574</w:t>
            </w:r>
          </w:p>
          <w:p w:rsidR="00312F60" w:rsidRPr="00440196" w:rsidP="00752B72" w14:paraId="613BF955" w14:textId="5D3455E0">
            <w:pPr>
              <w:pStyle w:val="ListParagraph"/>
              <w:ind w:left="0"/>
              <w:rPr>
                <w:rFonts w:ascii="Times New Roman" w:hAnsi="Times New Roman" w:cs="Times New Roman"/>
                <w:b/>
                <w:sz w:val="24"/>
                <w:szCs w:val="24"/>
              </w:rPr>
            </w:pPr>
            <w:r w:rsidRPr="00440196">
              <w:rPr>
                <w:rFonts w:ascii="Times New Roman" w:hAnsi="Times New Roman" w:cs="Times New Roman"/>
                <w:b/>
                <w:sz w:val="24"/>
                <w:szCs w:val="24"/>
              </w:rPr>
              <w:t>Hours</w:t>
            </w:r>
          </w:p>
        </w:tc>
      </w:tr>
    </w:tbl>
    <w:p w:rsidR="00485A16" w:rsidRPr="00440196" w:rsidP="00061F14" w14:paraId="05E95CF6" w14:textId="7777777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 xml:space="preserve"> </w:t>
      </w:r>
    </w:p>
    <w:p w:rsidR="00243C15" w:rsidRPr="00440196" w:rsidP="00A01F5A" w14:paraId="6A23AB96" w14:textId="000E1D8D">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12-a.</w:t>
      </w:r>
      <w:r w:rsidRPr="00440196">
        <w:rPr>
          <w:rFonts w:ascii="Times New Roman" w:hAnsi="Times New Roman" w:cs="Times New Roman"/>
          <w:sz w:val="24"/>
          <w:szCs w:val="24"/>
        </w:rPr>
        <w:t xml:space="preserve"> </w:t>
      </w:r>
      <w:r w:rsidRPr="00440196">
        <w:rPr>
          <w:rFonts w:ascii="Times New Roman" w:hAnsi="Times New Roman" w:cs="Times New Roman"/>
          <w:i/>
          <w:sz w:val="24"/>
          <w:szCs w:val="24"/>
        </w:rPr>
        <w:t xml:space="preserve">§25.136, Concerning Satellite Stations </w:t>
      </w:r>
      <w:r w:rsidRPr="00440196" w:rsidR="00C96694">
        <w:rPr>
          <w:rFonts w:ascii="Times New Roman" w:hAnsi="Times New Roman" w:cs="Times New Roman"/>
          <w:i/>
          <w:sz w:val="24"/>
          <w:szCs w:val="24"/>
        </w:rPr>
        <w:t>–</w:t>
      </w:r>
      <w:r w:rsidRPr="00440196">
        <w:rPr>
          <w:rFonts w:ascii="Times New Roman" w:hAnsi="Times New Roman" w:cs="Times New Roman"/>
          <w:i/>
          <w:sz w:val="24"/>
          <w:szCs w:val="24"/>
        </w:rPr>
        <w:t xml:space="preserve"> </w:t>
      </w:r>
      <w:r w:rsidRPr="00440196" w:rsidR="00C96694">
        <w:rPr>
          <w:rFonts w:ascii="Times New Roman" w:hAnsi="Times New Roman" w:cs="Times New Roman"/>
          <w:i/>
          <w:sz w:val="24"/>
          <w:szCs w:val="24"/>
        </w:rPr>
        <w:t>Third Party Disclosure.</w:t>
      </w:r>
      <w:r w:rsidRPr="00440196" w:rsidR="00C96694">
        <w:rPr>
          <w:rFonts w:ascii="Times New Roman" w:hAnsi="Times New Roman" w:cs="Times New Roman"/>
          <w:sz w:val="24"/>
          <w:szCs w:val="24"/>
        </w:rPr>
        <w:t xml:space="preserve"> </w:t>
      </w:r>
      <w:r w:rsidRPr="00440196" w:rsidR="003F727D">
        <w:rPr>
          <w:rFonts w:ascii="Times New Roman" w:hAnsi="Times New Roman" w:cs="Times New Roman"/>
          <w:sz w:val="24"/>
          <w:szCs w:val="24"/>
        </w:rPr>
        <w:t>The Commission requires third-</w:t>
      </w:r>
      <w:r w:rsidRPr="00440196" w:rsidR="00C96694">
        <w:rPr>
          <w:rFonts w:ascii="Times New Roman" w:hAnsi="Times New Roman" w:cs="Times New Roman"/>
          <w:sz w:val="24"/>
          <w:szCs w:val="24"/>
        </w:rPr>
        <w:t>party disclosure</w:t>
      </w:r>
      <w:r w:rsidRPr="00440196" w:rsidR="00BD4547">
        <w:rPr>
          <w:rFonts w:ascii="Times New Roman" w:hAnsi="Times New Roman" w:cs="Times New Roman"/>
          <w:sz w:val="24"/>
          <w:szCs w:val="24"/>
        </w:rPr>
        <w:t>s during</w:t>
      </w:r>
      <w:r w:rsidRPr="00440196" w:rsidR="00C96694">
        <w:rPr>
          <w:rFonts w:ascii="Times New Roman" w:hAnsi="Times New Roman" w:cs="Times New Roman"/>
          <w:sz w:val="24"/>
          <w:szCs w:val="24"/>
        </w:rPr>
        <w:t xml:space="preserve"> coordination </w:t>
      </w:r>
      <w:r w:rsidRPr="00440196" w:rsidR="009061C2">
        <w:rPr>
          <w:rFonts w:ascii="Times New Roman" w:hAnsi="Times New Roman" w:cs="Times New Roman"/>
          <w:sz w:val="24"/>
          <w:szCs w:val="24"/>
        </w:rPr>
        <w:t xml:space="preserve">and re-coordination </w:t>
      </w:r>
      <w:r w:rsidRPr="00440196" w:rsidR="00C96694">
        <w:rPr>
          <w:rFonts w:ascii="Times New Roman" w:hAnsi="Times New Roman" w:cs="Times New Roman"/>
          <w:sz w:val="24"/>
          <w:szCs w:val="24"/>
        </w:rPr>
        <w:t xml:space="preserve">between terrestrial and satellite operators. </w:t>
      </w:r>
      <w:r w:rsidRPr="00440196" w:rsidR="002072CD">
        <w:rPr>
          <w:rFonts w:ascii="Times New Roman" w:hAnsi="Times New Roman" w:cs="Times New Roman"/>
          <w:sz w:val="24"/>
          <w:szCs w:val="24"/>
        </w:rPr>
        <w:t xml:space="preserve"> </w:t>
      </w:r>
      <w:r w:rsidRPr="00440196" w:rsidR="00F12AD0">
        <w:rPr>
          <w:rFonts w:ascii="Times New Roman" w:hAnsi="Times New Roman" w:cs="Times New Roman"/>
          <w:sz w:val="24"/>
          <w:szCs w:val="24"/>
        </w:rPr>
        <w:t>We</w:t>
      </w:r>
      <w:r w:rsidRPr="00440196" w:rsidR="00D03605">
        <w:rPr>
          <w:rFonts w:ascii="Times New Roman" w:hAnsi="Times New Roman" w:cs="Times New Roman"/>
          <w:sz w:val="24"/>
          <w:szCs w:val="24"/>
        </w:rPr>
        <w:t xml:space="preserve"> estimate </w:t>
      </w:r>
      <w:r w:rsidRPr="00440196" w:rsidR="00F12AD0">
        <w:rPr>
          <w:rFonts w:ascii="Times New Roman" w:hAnsi="Times New Roman" w:cs="Times New Roman"/>
          <w:sz w:val="24"/>
          <w:szCs w:val="24"/>
        </w:rPr>
        <w:t>that</w:t>
      </w:r>
      <w:r w:rsidRPr="00440196" w:rsidR="00DB0C19">
        <w:rPr>
          <w:rFonts w:ascii="Times New Roman" w:hAnsi="Times New Roman" w:cs="Times New Roman"/>
          <w:sz w:val="24"/>
          <w:szCs w:val="24"/>
        </w:rPr>
        <w:t xml:space="preserve"> </w:t>
      </w:r>
      <w:r w:rsidRPr="00440196" w:rsidR="0099212D">
        <w:rPr>
          <w:rFonts w:ascii="Times New Roman" w:hAnsi="Times New Roman" w:cs="Times New Roman"/>
          <w:sz w:val="24"/>
          <w:szCs w:val="24"/>
        </w:rPr>
        <w:t>3</w:t>
      </w:r>
      <w:r w:rsidRPr="00440196" w:rsidR="009061C2">
        <w:rPr>
          <w:rFonts w:ascii="Times New Roman" w:hAnsi="Times New Roman" w:cs="Times New Roman"/>
          <w:sz w:val="24"/>
          <w:szCs w:val="24"/>
        </w:rPr>
        <w:t>5</w:t>
      </w:r>
      <w:r w:rsidRPr="00440196" w:rsidR="0099212D">
        <w:rPr>
          <w:rFonts w:ascii="Times New Roman" w:hAnsi="Times New Roman" w:cs="Times New Roman"/>
          <w:sz w:val="24"/>
          <w:szCs w:val="24"/>
        </w:rPr>
        <w:t>0</w:t>
      </w:r>
      <w:r w:rsidRPr="00440196" w:rsidR="00DF38B3">
        <w:rPr>
          <w:rFonts w:ascii="Times New Roman" w:hAnsi="Times New Roman" w:cs="Times New Roman"/>
          <w:sz w:val="24"/>
          <w:szCs w:val="24"/>
        </w:rPr>
        <w:t xml:space="preserve"> annual respondents (</w:t>
      </w:r>
      <w:r w:rsidRPr="00440196" w:rsidR="009061C2">
        <w:rPr>
          <w:rFonts w:ascii="Times New Roman" w:hAnsi="Times New Roman" w:cs="Times New Roman"/>
          <w:sz w:val="24"/>
          <w:szCs w:val="24"/>
        </w:rPr>
        <w:t>7</w:t>
      </w:r>
      <w:r w:rsidRPr="00440196" w:rsidR="00351F01">
        <w:rPr>
          <w:rFonts w:ascii="Times New Roman" w:hAnsi="Times New Roman" w:cs="Times New Roman"/>
          <w:sz w:val="24"/>
          <w:szCs w:val="24"/>
        </w:rPr>
        <w:t xml:space="preserve">0 </w:t>
      </w:r>
      <w:r w:rsidRPr="00440196" w:rsidR="00D03605">
        <w:rPr>
          <w:rFonts w:ascii="Times New Roman" w:hAnsi="Times New Roman" w:cs="Times New Roman"/>
          <w:sz w:val="24"/>
          <w:szCs w:val="24"/>
        </w:rPr>
        <w:t>are</w:t>
      </w:r>
      <w:r w:rsidRPr="00440196" w:rsidR="00C96694">
        <w:rPr>
          <w:rFonts w:ascii="Times New Roman" w:hAnsi="Times New Roman" w:cs="Times New Roman"/>
          <w:sz w:val="24"/>
          <w:szCs w:val="24"/>
        </w:rPr>
        <w:t xml:space="preserve"> satellite applicants and </w:t>
      </w:r>
      <w:r w:rsidRPr="00440196" w:rsidR="00351F01">
        <w:rPr>
          <w:rFonts w:ascii="Times New Roman" w:hAnsi="Times New Roman" w:cs="Times New Roman"/>
          <w:sz w:val="24"/>
          <w:szCs w:val="24"/>
        </w:rPr>
        <w:t>2</w:t>
      </w:r>
      <w:r w:rsidRPr="00440196" w:rsidR="009061C2">
        <w:rPr>
          <w:rFonts w:ascii="Times New Roman" w:hAnsi="Times New Roman" w:cs="Times New Roman"/>
          <w:sz w:val="24"/>
          <w:szCs w:val="24"/>
        </w:rPr>
        <w:t>8</w:t>
      </w:r>
      <w:r w:rsidRPr="00440196" w:rsidR="003F3AC2">
        <w:rPr>
          <w:rFonts w:ascii="Times New Roman" w:hAnsi="Times New Roman" w:cs="Times New Roman"/>
          <w:sz w:val="24"/>
          <w:szCs w:val="24"/>
        </w:rPr>
        <w:t>0</w:t>
      </w:r>
      <w:r w:rsidRPr="00440196" w:rsidR="00C41A71">
        <w:rPr>
          <w:rFonts w:ascii="Times New Roman" w:hAnsi="Times New Roman" w:cs="Times New Roman"/>
          <w:sz w:val="24"/>
          <w:szCs w:val="24"/>
        </w:rPr>
        <w:t xml:space="preserve"> </w:t>
      </w:r>
      <w:r w:rsidRPr="00440196" w:rsidR="002D0AE8">
        <w:rPr>
          <w:rFonts w:ascii="Times New Roman" w:hAnsi="Times New Roman" w:cs="Times New Roman"/>
          <w:sz w:val="24"/>
          <w:szCs w:val="24"/>
        </w:rPr>
        <w:t>are UMFUS</w:t>
      </w:r>
      <w:r w:rsidRPr="00440196" w:rsidR="00D03605">
        <w:rPr>
          <w:rFonts w:ascii="Times New Roman" w:hAnsi="Times New Roman" w:cs="Times New Roman"/>
          <w:sz w:val="24"/>
          <w:szCs w:val="24"/>
        </w:rPr>
        <w:t xml:space="preserve"> licensees</w:t>
      </w:r>
      <w:r w:rsidRPr="00440196" w:rsidR="00DF38B3">
        <w:rPr>
          <w:rFonts w:ascii="Times New Roman" w:hAnsi="Times New Roman" w:cs="Times New Roman"/>
          <w:sz w:val="24"/>
          <w:szCs w:val="24"/>
        </w:rPr>
        <w:t>)</w:t>
      </w:r>
      <w:r w:rsidRPr="00440196" w:rsidR="00D03605">
        <w:rPr>
          <w:rFonts w:ascii="Times New Roman" w:hAnsi="Times New Roman" w:cs="Times New Roman"/>
          <w:sz w:val="24"/>
          <w:szCs w:val="24"/>
        </w:rPr>
        <w:t xml:space="preserve"> to </w:t>
      </w:r>
      <w:r w:rsidRPr="00440196" w:rsidR="00DB0C19">
        <w:rPr>
          <w:rFonts w:ascii="Times New Roman" w:hAnsi="Times New Roman" w:cs="Times New Roman"/>
          <w:sz w:val="24"/>
          <w:szCs w:val="24"/>
        </w:rPr>
        <w:t>respond once per year.</w:t>
      </w:r>
      <w:r w:rsidRPr="00440196" w:rsidR="005D2C0F">
        <w:rPr>
          <w:rFonts w:ascii="Times New Roman" w:hAnsi="Times New Roman" w:cs="Times New Roman"/>
          <w:sz w:val="24"/>
          <w:szCs w:val="24"/>
        </w:rPr>
        <w:t xml:space="preserve"> </w:t>
      </w:r>
      <w:r w:rsidRPr="00440196" w:rsidR="00DB0C19">
        <w:rPr>
          <w:rFonts w:ascii="Times New Roman" w:hAnsi="Times New Roman" w:cs="Times New Roman"/>
          <w:sz w:val="24"/>
          <w:szCs w:val="24"/>
        </w:rPr>
        <w:t xml:space="preserve">The Commission estimates that the filing will be prepared by a licensee’s existing staff engineer </w:t>
      </w:r>
      <w:bookmarkStart w:id="9" w:name="_Hlk161840165"/>
      <w:r w:rsidRPr="00440196" w:rsidR="00DB0C19">
        <w:rPr>
          <w:rFonts w:ascii="Times New Roman" w:hAnsi="Times New Roman" w:cs="Times New Roman"/>
          <w:sz w:val="24"/>
          <w:szCs w:val="24"/>
        </w:rPr>
        <w:t>(“in-house”)</w:t>
      </w:r>
      <w:bookmarkEnd w:id="9"/>
      <w:r w:rsidRPr="00440196" w:rsidR="00DB0C19">
        <w:rPr>
          <w:rFonts w:ascii="Times New Roman" w:hAnsi="Times New Roman" w:cs="Times New Roman"/>
          <w:sz w:val="24"/>
          <w:szCs w:val="24"/>
        </w:rPr>
        <w:t xml:space="preserve"> at approx. $53.50 per hour, and we estimate that it would take about 0.5 hour to complete this filing.</w:t>
      </w:r>
      <w:r w:rsidRPr="00440196" w:rsidR="003A045E">
        <w:rPr>
          <w:rFonts w:ascii="Times New Roman" w:hAnsi="Times New Roman" w:cs="Times New Roman"/>
          <w:sz w:val="24"/>
          <w:szCs w:val="24"/>
        </w:rPr>
        <w:t xml:space="preserve"> </w:t>
      </w:r>
    </w:p>
    <w:p w:rsidR="007B3B67" w:rsidRPr="00440196" w:rsidP="00A01F5A" w14:paraId="3F38C680" w14:textId="77777777">
      <w:pPr>
        <w:pStyle w:val="ListParagraph"/>
        <w:spacing w:after="0" w:line="240" w:lineRule="auto"/>
        <w:ind w:left="0"/>
        <w:rPr>
          <w:rFonts w:ascii="Times New Roman" w:hAnsi="Times New Roman" w:cs="Times New Roman"/>
          <w:b/>
          <w:sz w:val="24"/>
          <w:szCs w:val="24"/>
        </w:rPr>
      </w:pPr>
    </w:p>
    <w:p w:rsidR="00D03605" w:rsidRPr="00440196" w:rsidP="00A01F5A" w14:paraId="757A7C78" w14:textId="317060A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Annual Burden:</w:t>
      </w:r>
      <w:r w:rsidRPr="00440196">
        <w:rPr>
          <w:rFonts w:ascii="Times New Roman" w:hAnsi="Times New Roman" w:cs="Times New Roman"/>
          <w:sz w:val="24"/>
          <w:szCs w:val="24"/>
        </w:rPr>
        <w:t xml:space="preserve"> </w:t>
      </w:r>
      <w:r w:rsidRPr="00440196" w:rsidR="009061C2">
        <w:rPr>
          <w:rFonts w:ascii="Times New Roman" w:hAnsi="Times New Roman" w:cs="Times New Roman"/>
          <w:sz w:val="24"/>
          <w:szCs w:val="24"/>
        </w:rPr>
        <w:t xml:space="preserve">350 </w:t>
      </w:r>
      <w:r w:rsidRPr="00440196">
        <w:rPr>
          <w:rFonts w:ascii="Times New Roman" w:hAnsi="Times New Roman" w:cs="Times New Roman"/>
          <w:sz w:val="24"/>
          <w:szCs w:val="24"/>
        </w:rPr>
        <w:t xml:space="preserve">respondents x 1 response each x 0.5 hours per response = </w:t>
      </w:r>
      <w:r w:rsidRPr="00440196" w:rsidR="00E47812">
        <w:rPr>
          <w:rFonts w:ascii="Times New Roman" w:hAnsi="Times New Roman" w:cs="Times New Roman"/>
          <w:b/>
          <w:sz w:val="24"/>
          <w:szCs w:val="24"/>
        </w:rPr>
        <w:t>1</w:t>
      </w:r>
      <w:r w:rsidRPr="00440196" w:rsidR="009061C2">
        <w:rPr>
          <w:rFonts w:ascii="Times New Roman" w:hAnsi="Times New Roman" w:cs="Times New Roman"/>
          <w:b/>
          <w:sz w:val="24"/>
          <w:szCs w:val="24"/>
        </w:rPr>
        <w:t>75</w:t>
      </w:r>
      <w:r w:rsidRPr="00440196" w:rsidR="00682108">
        <w:rPr>
          <w:rFonts w:ascii="Times New Roman" w:hAnsi="Times New Roman" w:cs="Times New Roman"/>
          <w:b/>
          <w:sz w:val="24"/>
          <w:szCs w:val="24"/>
        </w:rPr>
        <w:t xml:space="preserve"> </w:t>
      </w:r>
      <w:r w:rsidRPr="00440196">
        <w:rPr>
          <w:rFonts w:ascii="Times New Roman" w:hAnsi="Times New Roman" w:cs="Times New Roman"/>
          <w:b/>
          <w:sz w:val="24"/>
          <w:szCs w:val="24"/>
        </w:rPr>
        <w:t>hours</w:t>
      </w:r>
      <w:r w:rsidRPr="00440196">
        <w:rPr>
          <w:rFonts w:ascii="Times New Roman" w:hAnsi="Times New Roman" w:cs="Times New Roman"/>
          <w:sz w:val="24"/>
          <w:szCs w:val="24"/>
        </w:rPr>
        <w:t>.</w:t>
      </w:r>
    </w:p>
    <w:p w:rsidR="00A01F5A" w:rsidRPr="00440196" w:rsidP="00061F14" w14:paraId="770605C5" w14:textId="77777777">
      <w:pPr>
        <w:pStyle w:val="ListParagraph"/>
        <w:spacing w:after="0" w:line="240" w:lineRule="auto"/>
        <w:ind w:left="0"/>
        <w:rPr>
          <w:rFonts w:ascii="Times New Roman" w:hAnsi="Times New Roman" w:cs="Times New Roman"/>
          <w:sz w:val="24"/>
          <w:szCs w:val="24"/>
        </w:rPr>
      </w:pPr>
    </w:p>
    <w:p w:rsidR="00ED65DD" w:rsidRPr="00440196" w:rsidP="00ED65DD" w14:paraId="3D185246" w14:textId="4AF1CCE1">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bCs/>
          <w:sz w:val="24"/>
          <w:szCs w:val="24"/>
        </w:rPr>
        <w:t>In-House Staff Cost:</w:t>
      </w:r>
      <w:r w:rsidRPr="00440196">
        <w:rPr>
          <w:rFonts w:ascii="Times New Roman" w:hAnsi="Times New Roman" w:cs="Times New Roman"/>
          <w:sz w:val="24"/>
          <w:szCs w:val="24"/>
        </w:rPr>
        <w:t xml:space="preserve"> </w:t>
      </w:r>
      <w:r w:rsidRPr="00440196">
        <w:rPr>
          <w:rFonts w:ascii="Times New Roman" w:hAnsi="Times New Roman" w:cs="Times New Roman"/>
          <w:sz w:val="24"/>
          <w:szCs w:val="24"/>
        </w:rPr>
        <w:t>(</w:t>
      </w:r>
      <w:r w:rsidRPr="00440196" w:rsidR="009061C2">
        <w:rPr>
          <w:rFonts w:ascii="Times New Roman" w:hAnsi="Times New Roman" w:cs="Times New Roman"/>
          <w:sz w:val="24"/>
          <w:szCs w:val="24"/>
        </w:rPr>
        <w:t xml:space="preserve">350 </w:t>
      </w:r>
      <w:r w:rsidRPr="00440196">
        <w:rPr>
          <w:rFonts w:ascii="Times New Roman" w:hAnsi="Times New Roman" w:cs="Times New Roman"/>
          <w:sz w:val="24"/>
          <w:szCs w:val="24"/>
        </w:rPr>
        <w:t xml:space="preserve">respondents x 1 response each x </w:t>
      </w:r>
      <w:r w:rsidRPr="00440196" w:rsidR="00A72D51">
        <w:rPr>
          <w:rFonts w:ascii="Times New Roman" w:hAnsi="Times New Roman" w:cs="Times New Roman"/>
          <w:sz w:val="24"/>
          <w:szCs w:val="24"/>
        </w:rPr>
        <w:t>0</w:t>
      </w:r>
      <w:r w:rsidRPr="00440196">
        <w:rPr>
          <w:rFonts w:ascii="Times New Roman" w:hAnsi="Times New Roman" w:cs="Times New Roman"/>
          <w:sz w:val="24"/>
          <w:szCs w:val="24"/>
        </w:rPr>
        <w:t>.5 hours of engineer time per response) x $</w:t>
      </w:r>
      <w:r w:rsidRPr="00440196" w:rsidR="00A70128">
        <w:rPr>
          <w:rFonts w:ascii="Times New Roman" w:hAnsi="Times New Roman" w:cs="Times New Roman"/>
          <w:sz w:val="24"/>
          <w:szCs w:val="24"/>
        </w:rPr>
        <w:t>53.50</w:t>
      </w:r>
      <w:r w:rsidRPr="00440196">
        <w:rPr>
          <w:rFonts w:ascii="Times New Roman" w:hAnsi="Times New Roman" w:cs="Times New Roman"/>
          <w:sz w:val="24"/>
          <w:szCs w:val="24"/>
        </w:rPr>
        <w:t>/hour = $</w:t>
      </w:r>
      <w:r w:rsidRPr="00440196" w:rsidR="0047602C">
        <w:rPr>
          <w:rFonts w:ascii="Times New Roman" w:hAnsi="Times New Roman" w:cs="Times New Roman"/>
          <w:sz w:val="24"/>
          <w:szCs w:val="24"/>
        </w:rPr>
        <w:t>9,263.00 ($9,262.50)</w:t>
      </w:r>
      <w:r w:rsidRPr="00440196" w:rsidR="009061C2">
        <w:rPr>
          <w:rFonts w:ascii="Times New Roman" w:hAnsi="Times New Roman" w:cs="Times New Roman"/>
          <w:sz w:val="24"/>
          <w:szCs w:val="24"/>
        </w:rPr>
        <w:t>.</w:t>
      </w:r>
    </w:p>
    <w:p w:rsidR="00ED65DD" w:rsidRPr="00440196" w:rsidP="00061F14" w14:paraId="69191D12" w14:textId="77777777">
      <w:pPr>
        <w:pStyle w:val="ListParagraph"/>
        <w:spacing w:after="0" w:line="240" w:lineRule="auto"/>
        <w:ind w:left="0"/>
        <w:rPr>
          <w:rFonts w:ascii="Times New Roman" w:hAnsi="Times New Roman" w:cs="Times New Roman"/>
          <w:sz w:val="24"/>
          <w:szCs w:val="24"/>
        </w:rPr>
      </w:pPr>
    </w:p>
    <w:p w:rsidR="00A01F5A" w:rsidRPr="00440196" w:rsidP="00C96694" w14:paraId="037D2CFC" w14:textId="6267A6BB">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12-b.</w:t>
      </w:r>
      <w:r w:rsidRPr="00440196" w:rsidR="00C96694">
        <w:rPr>
          <w:rFonts w:ascii="Times New Roman" w:hAnsi="Times New Roman" w:cs="Times New Roman"/>
          <w:sz w:val="24"/>
          <w:szCs w:val="24"/>
        </w:rPr>
        <w:t xml:space="preserve"> </w:t>
      </w:r>
      <w:r w:rsidRPr="00440196" w:rsidR="00C96694">
        <w:rPr>
          <w:rFonts w:ascii="Times New Roman" w:hAnsi="Times New Roman" w:cs="Times New Roman"/>
          <w:i/>
          <w:sz w:val="24"/>
          <w:szCs w:val="24"/>
        </w:rPr>
        <w:t>§25.136, Concerning Satellite Stations - Filing Requirement.</w:t>
      </w:r>
      <w:r w:rsidRPr="00440196" w:rsidR="00D03605">
        <w:rPr>
          <w:rFonts w:ascii="Times New Roman" w:hAnsi="Times New Roman" w:cs="Times New Roman"/>
          <w:i/>
          <w:sz w:val="24"/>
          <w:szCs w:val="24"/>
        </w:rPr>
        <w:t xml:space="preserve"> </w:t>
      </w:r>
      <w:r w:rsidRPr="00440196" w:rsidR="002F6857">
        <w:rPr>
          <w:rFonts w:ascii="Times New Roman" w:hAnsi="Times New Roman" w:cs="Times New Roman"/>
          <w:i/>
          <w:sz w:val="24"/>
          <w:szCs w:val="24"/>
        </w:rPr>
        <w:t xml:space="preserve"> </w:t>
      </w:r>
      <w:r w:rsidRPr="00440196" w:rsidR="00D03605">
        <w:rPr>
          <w:rFonts w:ascii="Times New Roman" w:hAnsi="Times New Roman" w:cs="Times New Roman"/>
          <w:sz w:val="24"/>
          <w:szCs w:val="24"/>
        </w:rPr>
        <w:t>The Commission requires a filing requirement</w:t>
      </w:r>
      <w:r w:rsidRPr="00440196" w:rsidR="006D7032">
        <w:rPr>
          <w:rFonts w:ascii="Times New Roman" w:hAnsi="Times New Roman" w:cs="Times New Roman"/>
          <w:sz w:val="24"/>
          <w:szCs w:val="24"/>
        </w:rPr>
        <w:t xml:space="preserve"> when applicants file for earth stations in the </w:t>
      </w:r>
      <w:r w:rsidRPr="00440196" w:rsidR="005F761E">
        <w:rPr>
          <w:rFonts w:ascii="Times New Roman" w:hAnsi="Times New Roman" w:cs="Times New Roman"/>
          <w:sz w:val="24"/>
          <w:szCs w:val="24"/>
        </w:rPr>
        <w:t xml:space="preserve">24 GHz, </w:t>
      </w:r>
      <w:r w:rsidRPr="00440196" w:rsidR="006D7032">
        <w:rPr>
          <w:rFonts w:ascii="Times New Roman" w:hAnsi="Times New Roman" w:cs="Times New Roman"/>
          <w:sz w:val="24"/>
          <w:szCs w:val="24"/>
        </w:rPr>
        <w:t>28 GHz</w:t>
      </w:r>
      <w:r w:rsidRPr="00440196" w:rsidR="00300989">
        <w:rPr>
          <w:rFonts w:ascii="Times New Roman" w:hAnsi="Times New Roman" w:cs="Times New Roman"/>
          <w:sz w:val="24"/>
          <w:szCs w:val="24"/>
        </w:rPr>
        <w:t>,</w:t>
      </w:r>
      <w:r w:rsidRPr="00440196" w:rsidR="006D7032">
        <w:rPr>
          <w:rFonts w:ascii="Times New Roman" w:hAnsi="Times New Roman" w:cs="Times New Roman"/>
          <w:sz w:val="24"/>
          <w:szCs w:val="24"/>
        </w:rPr>
        <w:t xml:space="preserve"> 37.5-40 GHz</w:t>
      </w:r>
      <w:r w:rsidRPr="00440196" w:rsidR="005F761E">
        <w:rPr>
          <w:rFonts w:ascii="Times New Roman" w:hAnsi="Times New Roman" w:cs="Times New Roman"/>
          <w:sz w:val="24"/>
          <w:szCs w:val="24"/>
        </w:rPr>
        <w:t>, or 47 GHz</w:t>
      </w:r>
      <w:r w:rsidRPr="00440196" w:rsidR="006D7032">
        <w:rPr>
          <w:rFonts w:ascii="Times New Roman" w:hAnsi="Times New Roman" w:cs="Times New Roman"/>
          <w:sz w:val="24"/>
          <w:szCs w:val="24"/>
        </w:rPr>
        <w:t xml:space="preserve"> bands</w:t>
      </w:r>
      <w:r w:rsidRPr="00440196" w:rsidR="00B02FFC">
        <w:rPr>
          <w:rFonts w:ascii="Times New Roman" w:hAnsi="Times New Roman" w:cs="Times New Roman"/>
          <w:sz w:val="24"/>
          <w:szCs w:val="24"/>
        </w:rPr>
        <w:t xml:space="preserve">.  </w:t>
      </w:r>
      <w:bookmarkStart w:id="10" w:name="_Hlk161924225"/>
      <w:bookmarkStart w:id="11" w:name="_Hlk161924489"/>
      <w:bookmarkStart w:id="12" w:name="_Hlk162429518"/>
      <w:r w:rsidRPr="00440196" w:rsidR="00DB0C19">
        <w:rPr>
          <w:rFonts w:ascii="Times New Roman" w:hAnsi="Times New Roman" w:cs="Times New Roman"/>
          <w:sz w:val="24"/>
          <w:szCs w:val="24"/>
        </w:rPr>
        <w:t>We</w:t>
      </w:r>
      <w:r w:rsidRPr="00440196" w:rsidR="00B02FFC">
        <w:rPr>
          <w:rFonts w:ascii="Times New Roman" w:hAnsi="Times New Roman" w:cs="Times New Roman"/>
          <w:sz w:val="24"/>
          <w:szCs w:val="24"/>
        </w:rPr>
        <w:t xml:space="preserve"> estimate</w:t>
      </w:r>
      <w:bookmarkStart w:id="13" w:name="_Hlk161841589"/>
      <w:r w:rsidRPr="00440196" w:rsidR="00DB0C19">
        <w:rPr>
          <w:rFonts w:ascii="Times New Roman" w:hAnsi="Times New Roman" w:cs="Times New Roman"/>
          <w:sz w:val="24"/>
          <w:szCs w:val="24"/>
        </w:rPr>
        <w:t xml:space="preserve"> 60 respondents</w:t>
      </w:r>
      <w:r w:rsidRPr="00440196" w:rsidR="004A6469">
        <w:rPr>
          <w:rFonts w:ascii="Times New Roman" w:hAnsi="Times New Roman" w:cs="Times New Roman"/>
          <w:sz w:val="24"/>
          <w:szCs w:val="24"/>
        </w:rPr>
        <w:t xml:space="preserve"> to file 200 applications per year</w:t>
      </w:r>
      <w:bookmarkEnd w:id="10"/>
      <w:bookmarkEnd w:id="13"/>
      <w:r w:rsidRPr="00440196" w:rsidR="001E42BD">
        <w:rPr>
          <w:rFonts w:ascii="Times New Roman" w:hAnsi="Times New Roman" w:cs="Times New Roman"/>
          <w:sz w:val="24"/>
          <w:szCs w:val="24"/>
        </w:rPr>
        <w:t xml:space="preserve"> at a burden of 10 hours per response,</w:t>
      </w:r>
      <w:bookmarkEnd w:id="11"/>
      <w:r w:rsidRPr="00440196" w:rsidR="00B02FFC">
        <w:rPr>
          <w:rFonts w:ascii="Times New Roman" w:hAnsi="Times New Roman" w:cs="Times New Roman"/>
          <w:sz w:val="24"/>
          <w:szCs w:val="24"/>
        </w:rPr>
        <w:t xml:space="preserve"> The Commission estimate</w:t>
      </w:r>
      <w:r w:rsidRPr="00440196" w:rsidR="00A806FB">
        <w:rPr>
          <w:rFonts w:ascii="Times New Roman" w:hAnsi="Times New Roman" w:cs="Times New Roman"/>
          <w:sz w:val="24"/>
          <w:szCs w:val="24"/>
        </w:rPr>
        <w:t>s</w:t>
      </w:r>
      <w:r w:rsidRPr="00440196" w:rsidR="00B02FFC">
        <w:rPr>
          <w:rFonts w:ascii="Times New Roman" w:hAnsi="Times New Roman" w:cs="Times New Roman"/>
          <w:sz w:val="24"/>
          <w:szCs w:val="24"/>
        </w:rPr>
        <w:t xml:space="preserve"> that 75 percent of applications will be completed by outside engineers</w:t>
      </w:r>
      <w:r w:rsidRPr="00440196" w:rsidR="001A2C61">
        <w:rPr>
          <w:rFonts w:ascii="Times New Roman" w:hAnsi="Times New Roman" w:cs="Times New Roman"/>
          <w:sz w:val="24"/>
          <w:szCs w:val="24"/>
        </w:rPr>
        <w:t xml:space="preserve"> (Consultant)</w:t>
      </w:r>
      <w:r w:rsidRPr="00440196" w:rsidR="00B02FFC">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440196" w:rsidR="00B02FFC">
        <w:rPr>
          <w:rFonts w:ascii="Times New Roman" w:hAnsi="Times New Roman" w:cs="Times New Roman"/>
          <w:sz w:val="24"/>
          <w:szCs w:val="24"/>
        </w:rPr>
        <w:t xml:space="preserve"> and 25 percent </w:t>
      </w:r>
      <w:r w:rsidRPr="00440196" w:rsidR="00DF5B77">
        <w:rPr>
          <w:rFonts w:ascii="Times New Roman" w:hAnsi="Times New Roman" w:cs="Times New Roman"/>
          <w:sz w:val="24"/>
          <w:szCs w:val="24"/>
        </w:rPr>
        <w:t xml:space="preserve">(15 respondents and 50 responses) </w:t>
      </w:r>
      <w:r w:rsidRPr="00440196" w:rsidR="00B02FFC">
        <w:rPr>
          <w:rFonts w:ascii="Times New Roman" w:hAnsi="Times New Roman" w:cs="Times New Roman"/>
          <w:sz w:val="24"/>
          <w:szCs w:val="24"/>
        </w:rPr>
        <w:t>from in-house engineers</w:t>
      </w:r>
      <w:r w:rsidRPr="00440196" w:rsidR="001E42BD">
        <w:rPr>
          <w:rFonts w:ascii="Times New Roman" w:hAnsi="Times New Roman" w:cs="Times New Roman"/>
          <w:sz w:val="24"/>
          <w:szCs w:val="24"/>
        </w:rPr>
        <w:t xml:space="preserve"> at $53.50 per hour.</w:t>
      </w:r>
      <w:bookmarkEnd w:id="12"/>
    </w:p>
    <w:p w:rsidR="00A01F5A" w:rsidRPr="00440196" w:rsidP="00061F14" w14:paraId="7433732B" w14:textId="77777777">
      <w:pPr>
        <w:pStyle w:val="ListParagraph"/>
        <w:spacing w:after="0" w:line="240" w:lineRule="auto"/>
        <w:ind w:left="0"/>
        <w:rPr>
          <w:rFonts w:ascii="Times New Roman" w:hAnsi="Times New Roman" w:cs="Times New Roman"/>
          <w:sz w:val="24"/>
          <w:szCs w:val="24"/>
        </w:rPr>
      </w:pPr>
    </w:p>
    <w:p w:rsidR="00B02FFC" w:rsidRPr="00440196" w:rsidP="00061F14" w14:paraId="74D63E97" w14:textId="51D1F42D">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Annual Burden:</w:t>
      </w:r>
      <w:r w:rsidRPr="00440196">
        <w:rPr>
          <w:rFonts w:ascii="Times New Roman" w:hAnsi="Times New Roman" w:cs="Times New Roman"/>
          <w:sz w:val="24"/>
          <w:szCs w:val="24"/>
        </w:rPr>
        <w:t xml:space="preserve"> </w:t>
      </w:r>
      <w:r w:rsidRPr="00440196" w:rsidR="006414F5">
        <w:rPr>
          <w:rFonts w:ascii="Times New Roman" w:hAnsi="Times New Roman" w:cs="Times New Roman"/>
          <w:sz w:val="24"/>
          <w:szCs w:val="24"/>
        </w:rPr>
        <w:t xml:space="preserve"> </w:t>
      </w:r>
      <w:r w:rsidRPr="00440196" w:rsidR="004A6469">
        <w:rPr>
          <w:rFonts w:ascii="Times New Roman" w:hAnsi="Times New Roman" w:cs="Times New Roman"/>
          <w:sz w:val="24"/>
          <w:szCs w:val="24"/>
        </w:rPr>
        <w:t>50</w:t>
      </w:r>
      <w:r w:rsidRPr="00440196">
        <w:rPr>
          <w:rFonts w:ascii="Times New Roman" w:hAnsi="Times New Roman" w:cs="Times New Roman"/>
          <w:sz w:val="24"/>
          <w:szCs w:val="24"/>
        </w:rPr>
        <w:t xml:space="preserve"> response</w:t>
      </w:r>
      <w:r w:rsidRPr="00440196" w:rsidR="00297C8C">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297C8C">
        <w:rPr>
          <w:rFonts w:ascii="Times New Roman" w:hAnsi="Times New Roman" w:cs="Times New Roman"/>
          <w:sz w:val="24"/>
          <w:szCs w:val="24"/>
        </w:rPr>
        <w:t xml:space="preserve">total </w:t>
      </w:r>
      <w:r w:rsidRPr="00440196">
        <w:rPr>
          <w:rFonts w:ascii="Times New Roman" w:hAnsi="Times New Roman" w:cs="Times New Roman"/>
          <w:sz w:val="24"/>
          <w:szCs w:val="24"/>
        </w:rPr>
        <w:t xml:space="preserve">x 10 hours per response = </w:t>
      </w:r>
      <w:r w:rsidRPr="00440196" w:rsidR="006414F5">
        <w:rPr>
          <w:rFonts w:ascii="Times New Roman" w:hAnsi="Times New Roman" w:cs="Times New Roman"/>
          <w:b/>
          <w:sz w:val="24"/>
          <w:szCs w:val="24"/>
        </w:rPr>
        <w:t>50</w:t>
      </w:r>
      <w:r w:rsidRPr="00440196" w:rsidR="00297C8C">
        <w:rPr>
          <w:rFonts w:ascii="Times New Roman" w:hAnsi="Times New Roman" w:cs="Times New Roman"/>
          <w:b/>
          <w:sz w:val="24"/>
          <w:szCs w:val="24"/>
        </w:rPr>
        <w:t>0</w:t>
      </w:r>
      <w:r w:rsidRPr="00440196" w:rsidR="00077731">
        <w:rPr>
          <w:rFonts w:ascii="Times New Roman" w:hAnsi="Times New Roman" w:cs="Times New Roman"/>
          <w:b/>
          <w:sz w:val="24"/>
          <w:szCs w:val="24"/>
        </w:rPr>
        <w:t xml:space="preserve"> </w:t>
      </w:r>
      <w:r w:rsidRPr="00440196">
        <w:rPr>
          <w:rFonts w:ascii="Times New Roman" w:hAnsi="Times New Roman" w:cs="Times New Roman"/>
          <w:b/>
          <w:sz w:val="24"/>
          <w:szCs w:val="24"/>
        </w:rPr>
        <w:t>hours.</w:t>
      </w:r>
    </w:p>
    <w:p w:rsidR="00B02FFC" w:rsidRPr="00440196" w:rsidP="00061F14" w14:paraId="5A2C1E5D" w14:textId="77777777">
      <w:pPr>
        <w:pStyle w:val="ListParagraph"/>
        <w:spacing w:after="0" w:line="240" w:lineRule="auto"/>
        <w:ind w:left="0"/>
        <w:rPr>
          <w:rFonts w:ascii="Times New Roman" w:hAnsi="Times New Roman" w:cs="Times New Roman"/>
          <w:sz w:val="24"/>
          <w:szCs w:val="24"/>
        </w:rPr>
      </w:pPr>
    </w:p>
    <w:p w:rsidR="00DA1C99" w:rsidRPr="00440196" w:rsidP="00061F14" w14:paraId="6995CB32" w14:textId="4652210F">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bCs/>
          <w:sz w:val="24"/>
          <w:szCs w:val="24"/>
        </w:rPr>
        <w:t xml:space="preserve">In-House Staff Cost: </w:t>
      </w:r>
      <w:r w:rsidRPr="00440196">
        <w:rPr>
          <w:rFonts w:ascii="Times New Roman" w:hAnsi="Times New Roman" w:cs="Times New Roman"/>
          <w:sz w:val="24"/>
          <w:szCs w:val="24"/>
        </w:rPr>
        <w:t>(</w:t>
      </w:r>
      <w:r w:rsidRPr="00440196" w:rsidR="004A6469">
        <w:rPr>
          <w:rFonts w:ascii="Times New Roman" w:hAnsi="Times New Roman" w:cs="Times New Roman"/>
          <w:sz w:val="24"/>
          <w:szCs w:val="24"/>
        </w:rPr>
        <w:t>50</w:t>
      </w:r>
      <w:r w:rsidRPr="00440196">
        <w:rPr>
          <w:rFonts w:ascii="Times New Roman" w:hAnsi="Times New Roman" w:cs="Times New Roman"/>
          <w:sz w:val="24"/>
          <w:szCs w:val="24"/>
        </w:rPr>
        <w:t xml:space="preserve"> response</w:t>
      </w:r>
      <w:r w:rsidRPr="00440196" w:rsidR="00297C8C">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297C8C">
        <w:rPr>
          <w:rFonts w:ascii="Times New Roman" w:hAnsi="Times New Roman" w:cs="Times New Roman"/>
          <w:sz w:val="24"/>
          <w:szCs w:val="24"/>
        </w:rPr>
        <w:t xml:space="preserve">total </w:t>
      </w:r>
      <w:r w:rsidRPr="00440196">
        <w:rPr>
          <w:rFonts w:ascii="Times New Roman" w:hAnsi="Times New Roman" w:cs="Times New Roman"/>
          <w:sz w:val="24"/>
          <w:szCs w:val="24"/>
        </w:rPr>
        <w:t>x 10 hour</w:t>
      </w:r>
      <w:r w:rsidRPr="00440196" w:rsidR="006414F5">
        <w:rPr>
          <w:rFonts w:ascii="Times New Roman" w:hAnsi="Times New Roman" w:cs="Times New Roman"/>
          <w:sz w:val="24"/>
          <w:szCs w:val="24"/>
        </w:rPr>
        <w:t xml:space="preserve">s </w:t>
      </w:r>
      <w:r w:rsidRPr="00440196">
        <w:rPr>
          <w:rFonts w:ascii="Times New Roman" w:hAnsi="Times New Roman" w:cs="Times New Roman"/>
          <w:sz w:val="24"/>
          <w:szCs w:val="24"/>
        </w:rPr>
        <w:t>of engineer time per response) x $</w:t>
      </w:r>
      <w:r w:rsidRPr="00440196" w:rsidR="00A70128">
        <w:rPr>
          <w:rFonts w:ascii="Times New Roman" w:hAnsi="Times New Roman" w:cs="Times New Roman"/>
          <w:sz w:val="24"/>
          <w:szCs w:val="24"/>
        </w:rPr>
        <w:t>53.50</w:t>
      </w:r>
      <w:r w:rsidRPr="00440196">
        <w:rPr>
          <w:rFonts w:ascii="Times New Roman" w:hAnsi="Times New Roman" w:cs="Times New Roman"/>
          <w:sz w:val="24"/>
          <w:szCs w:val="24"/>
        </w:rPr>
        <w:t>/hour = $</w:t>
      </w:r>
      <w:r w:rsidRPr="00440196" w:rsidR="00297C8C">
        <w:rPr>
          <w:rFonts w:ascii="Times New Roman" w:hAnsi="Times New Roman" w:cs="Times New Roman"/>
          <w:sz w:val="24"/>
          <w:szCs w:val="24"/>
        </w:rPr>
        <w:t>26,750</w:t>
      </w:r>
      <w:r w:rsidRPr="00440196" w:rsidR="0047602C">
        <w:rPr>
          <w:rFonts w:ascii="Times New Roman" w:hAnsi="Times New Roman" w:cs="Times New Roman"/>
          <w:sz w:val="24"/>
          <w:szCs w:val="24"/>
        </w:rPr>
        <w:t>.00</w:t>
      </w:r>
      <w:r w:rsidRPr="00440196">
        <w:rPr>
          <w:rFonts w:ascii="Times New Roman" w:hAnsi="Times New Roman" w:cs="Times New Roman"/>
          <w:sz w:val="24"/>
          <w:szCs w:val="24"/>
        </w:rPr>
        <w:t>.</w:t>
      </w:r>
    </w:p>
    <w:p w:rsidR="006414F5" w:rsidRPr="00440196" w:rsidP="00061F14" w14:paraId="5F167844" w14:textId="77777777">
      <w:pPr>
        <w:pStyle w:val="ListParagraph"/>
        <w:spacing w:after="0" w:line="240" w:lineRule="auto"/>
        <w:ind w:left="0"/>
        <w:rPr>
          <w:rFonts w:ascii="Times New Roman" w:hAnsi="Times New Roman" w:cs="Times New Roman"/>
          <w:sz w:val="24"/>
          <w:szCs w:val="24"/>
        </w:rPr>
      </w:pPr>
    </w:p>
    <w:p w:rsidR="00651FE5" w:rsidRPr="00440196" w:rsidP="00651FE5" w14:paraId="6C9CC943" w14:textId="0024028E">
      <w:pPr>
        <w:pStyle w:val="ListParagraph"/>
        <w:spacing w:after="0" w:line="240" w:lineRule="auto"/>
        <w:ind w:left="0"/>
        <w:rPr>
          <w:rFonts w:ascii="Times New Roman" w:hAnsi="Times New Roman" w:cs="Times New Roman"/>
          <w:sz w:val="24"/>
          <w:szCs w:val="24"/>
        </w:rPr>
      </w:pPr>
      <w:bookmarkStart w:id="15" w:name="_Hlk163045627"/>
      <w:r w:rsidRPr="00440196">
        <w:rPr>
          <w:rFonts w:ascii="Times New Roman" w:hAnsi="Times New Roman" w:cs="Times New Roman"/>
          <w:b/>
          <w:sz w:val="24"/>
          <w:szCs w:val="24"/>
        </w:rPr>
        <w:t>12-c.</w:t>
      </w:r>
      <w:r w:rsidRPr="00440196">
        <w:rPr>
          <w:rFonts w:ascii="Times New Roman" w:hAnsi="Times New Roman" w:cs="Times New Roman"/>
          <w:sz w:val="24"/>
          <w:szCs w:val="24"/>
        </w:rPr>
        <w:tab/>
      </w:r>
      <w:r w:rsidRPr="00440196">
        <w:rPr>
          <w:rFonts w:ascii="Times New Roman" w:hAnsi="Times New Roman" w:cs="Times New Roman"/>
          <w:i/>
          <w:sz w:val="24"/>
          <w:szCs w:val="24"/>
        </w:rPr>
        <w:t>Reporting ‒ Compliance with §30.3, Eligibility, Foreign ownership reports.</w:t>
      </w:r>
      <w:bookmarkEnd w:id="15"/>
      <w:r w:rsidRPr="00440196">
        <w:rPr>
          <w:rFonts w:ascii="Times New Roman" w:hAnsi="Times New Roman" w:cs="Times New Roman"/>
          <w:sz w:val="24"/>
          <w:szCs w:val="24"/>
        </w:rPr>
        <w:t xml:space="preserve"> The Commission estimate</w:t>
      </w:r>
      <w:r w:rsidRPr="00440196" w:rsidR="001E42BD">
        <w:rPr>
          <w:rFonts w:ascii="Times New Roman" w:hAnsi="Times New Roman" w:cs="Times New Roman"/>
          <w:sz w:val="24"/>
          <w:szCs w:val="24"/>
        </w:rPr>
        <w:t xml:space="preserve"> 30 respondents to file 200 applications per year  at a burden of 0.5 hours per response,</w:t>
      </w:r>
      <w:r w:rsidRPr="00440196" w:rsidR="007B3B67">
        <w:rPr>
          <w:rFonts w:ascii="Times New Roman" w:hAnsi="Times New Roman" w:cs="Times New Roman"/>
          <w:sz w:val="24"/>
          <w:szCs w:val="24"/>
        </w:rPr>
        <w:t xml:space="preserve"> </w:t>
      </w:r>
      <w:r w:rsidRPr="00440196">
        <w:rPr>
          <w:rFonts w:ascii="Times New Roman" w:hAnsi="Times New Roman" w:cs="Times New Roman"/>
          <w:sz w:val="24"/>
          <w:szCs w:val="24"/>
        </w:rPr>
        <w:t>The Commission estimates that an in-house attorney paid at an hourly rate of $</w:t>
      </w:r>
      <w:r w:rsidRPr="00440196" w:rsidR="00E73186">
        <w:rPr>
          <w:rFonts w:ascii="Times New Roman" w:hAnsi="Times New Roman" w:cs="Times New Roman"/>
          <w:sz w:val="24"/>
          <w:szCs w:val="24"/>
        </w:rPr>
        <w:t>78.74</w:t>
      </w:r>
      <w:r w:rsidRPr="00440196">
        <w:rPr>
          <w:rFonts w:ascii="Times New Roman" w:hAnsi="Times New Roman" w:cs="Times New Roman"/>
          <w:sz w:val="24"/>
          <w:szCs w:val="24"/>
        </w:rPr>
        <w:t>/hour will make the filing.</w:t>
      </w:r>
    </w:p>
    <w:p w:rsidR="00651FE5" w:rsidRPr="00440196" w:rsidP="00651FE5" w14:paraId="55E1F458" w14:textId="77777777">
      <w:pPr>
        <w:pStyle w:val="ListParagraph"/>
        <w:spacing w:after="0" w:line="240" w:lineRule="auto"/>
        <w:ind w:left="0"/>
        <w:rPr>
          <w:rFonts w:ascii="Times New Roman" w:hAnsi="Times New Roman" w:cs="Times New Roman"/>
          <w:sz w:val="24"/>
          <w:szCs w:val="24"/>
        </w:rPr>
      </w:pPr>
    </w:p>
    <w:p w:rsidR="00651FE5" w:rsidRPr="00440196" w:rsidP="00651FE5" w14:paraId="5867A81D" w14:textId="7777777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Annual Burden:</w:t>
      </w:r>
      <w:r w:rsidRPr="00440196">
        <w:rPr>
          <w:rFonts w:ascii="Times New Roman" w:hAnsi="Times New Roman" w:cs="Times New Roman"/>
          <w:sz w:val="24"/>
          <w:szCs w:val="24"/>
        </w:rPr>
        <w:t xml:space="preserve"> 30 respondents x 1 response each x 0.5 hours per response = </w:t>
      </w:r>
      <w:r w:rsidRPr="00440196">
        <w:rPr>
          <w:rFonts w:ascii="Times New Roman" w:hAnsi="Times New Roman" w:cs="Times New Roman"/>
          <w:b/>
          <w:sz w:val="24"/>
          <w:szCs w:val="24"/>
        </w:rPr>
        <w:t>15 hours.</w:t>
      </w:r>
    </w:p>
    <w:p w:rsidR="00651FE5" w:rsidRPr="00440196" w:rsidP="00651FE5" w14:paraId="1BA939B4" w14:textId="77777777">
      <w:pPr>
        <w:pStyle w:val="ListParagraph"/>
        <w:spacing w:after="0" w:line="240" w:lineRule="auto"/>
        <w:ind w:left="0"/>
        <w:rPr>
          <w:rFonts w:ascii="Times New Roman" w:hAnsi="Times New Roman" w:cs="Times New Roman"/>
          <w:b/>
          <w:sz w:val="24"/>
          <w:szCs w:val="24"/>
        </w:rPr>
      </w:pPr>
    </w:p>
    <w:p w:rsidR="00651FE5" w:rsidRPr="00440196" w:rsidP="00651FE5" w14:paraId="461767B6" w14:textId="5144E7D9">
      <w:pPr>
        <w:pStyle w:val="ListParagraph"/>
        <w:spacing w:after="0" w:line="240" w:lineRule="auto"/>
        <w:ind w:left="0"/>
        <w:rPr>
          <w:rFonts w:ascii="Times New Roman" w:hAnsi="Times New Roman" w:cs="Times New Roman"/>
          <w:sz w:val="24"/>
          <w:szCs w:val="24"/>
        </w:rPr>
      </w:pPr>
      <w:bookmarkStart w:id="16" w:name="_Hlk161239824"/>
      <w:r w:rsidRPr="00440196">
        <w:rPr>
          <w:rFonts w:ascii="Times New Roman" w:hAnsi="Times New Roman" w:cs="Times New Roman"/>
          <w:b/>
          <w:bCs/>
          <w:sz w:val="24"/>
          <w:szCs w:val="24"/>
        </w:rPr>
        <w:t>In-House Staff Cost:</w:t>
      </w:r>
      <w:r w:rsidRPr="00440196">
        <w:rPr>
          <w:rFonts w:ascii="Times New Roman" w:hAnsi="Times New Roman" w:cs="Times New Roman"/>
          <w:sz w:val="24"/>
          <w:szCs w:val="24"/>
        </w:rPr>
        <w:t xml:space="preserve">  30 respondents x 1 response each x 0.5 hour of attorney time per response x </w:t>
      </w:r>
      <w:r w:rsidRPr="00440196" w:rsidR="00090AC4">
        <w:rPr>
          <w:rFonts w:ascii="Times New Roman" w:hAnsi="Times New Roman" w:cs="Times New Roman"/>
          <w:sz w:val="24"/>
          <w:szCs w:val="24"/>
        </w:rPr>
        <w:t>$</w:t>
      </w:r>
      <w:r w:rsidRPr="00440196" w:rsidR="00F22F5D">
        <w:rPr>
          <w:rFonts w:ascii="Times New Roman" w:hAnsi="Times New Roman" w:cs="Times New Roman"/>
          <w:sz w:val="24"/>
          <w:szCs w:val="24"/>
        </w:rPr>
        <w:t>78.74</w:t>
      </w:r>
      <w:r w:rsidRPr="00440196">
        <w:rPr>
          <w:rFonts w:ascii="Times New Roman" w:hAnsi="Times New Roman" w:cs="Times New Roman"/>
          <w:sz w:val="24"/>
          <w:szCs w:val="24"/>
        </w:rPr>
        <w:t>/hour = $</w:t>
      </w:r>
      <w:r w:rsidRPr="00440196" w:rsidR="00D77240">
        <w:rPr>
          <w:rFonts w:ascii="Times New Roman" w:hAnsi="Times New Roman" w:cs="Times New Roman"/>
          <w:sz w:val="24"/>
          <w:szCs w:val="24"/>
        </w:rPr>
        <w:t>1,181.00 (</w:t>
      </w:r>
      <w:r w:rsidRPr="00440196" w:rsidR="00090AC4">
        <w:rPr>
          <w:rFonts w:ascii="Times New Roman" w:hAnsi="Times New Roman" w:cs="Times New Roman"/>
          <w:sz w:val="24"/>
          <w:szCs w:val="24"/>
        </w:rPr>
        <w:t>1,</w:t>
      </w:r>
      <w:r w:rsidRPr="00440196" w:rsidR="0047602C">
        <w:rPr>
          <w:rFonts w:ascii="Times New Roman" w:hAnsi="Times New Roman" w:cs="Times New Roman"/>
          <w:sz w:val="24"/>
          <w:szCs w:val="24"/>
        </w:rPr>
        <w:t>181</w:t>
      </w:r>
      <w:r w:rsidRPr="00440196" w:rsidR="0002207F">
        <w:rPr>
          <w:rFonts w:ascii="Times New Roman" w:hAnsi="Times New Roman" w:cs="Times New Roman"/>
          <w:sz w:val="24"/>
          <w:szCs w:val="24"/>
        </w:rPr>
        <w:t>.10</w:t>
      </w:r>
      <w:r w:rsidRPr="00440196" w:rsidR="00D77240">
        <w:rPr>
          <w:rFonts w:ascii="Times New Roman" w:hAnsi="Times New Roman" w:cs="Times New Roman"/>
          <w:sz w:val="24"/>
          <w:szCs w:val="24"/>
        </w:rPr>
        <w:t>).</w:t>
      </w:r>
    </w:p>
    <w:bookmarkEnd w:id="16"/>
    <w:p w:rsidR="00651FE5" w:rsidRPr="00440196" w:rsidP="00651FE5" w14:paraId="0AF2893D" w14:textId="77777777">
      <w:pPr>
        <w:pStyle w:val="ListParagraph"/>
        <w:spacing w:after="0" w:line="240" w:lineRule="auto"/>
        <w:ind w:left="0"/>
        <w:rPr>
          <w:rFonts w:ascii="Times New Roman" w:hAnsi="Times New Roman" w:cs="Times New Roman"/>
          <w:b/>
          <w:sz w:val="24"/>
          <w:szCs w:val="24"/>
        </w:rPr>
      </w:pPr>
    </w:p>
    <w:p w:rsidR="00BB482A" w:rsidRPr="00440196" w:rsidP="00324D54" w14:paraId="3694D485" w14:textId="007EA246">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12-d.</w:t>
      </w:r>
      <w:r w:rsidRPr="00440196">
        <w:rPr>
          <w:rFonts w:ascii="Times New Roman" w:hAnsi="Times New Roman" w:cs="Times New Roman"/>
          <w:sz w:val="24"/>
          <w:szCs w:val="24"/>
        </w:rPr>
        <w:tab/>
      </w:r>
      <w:bookmarkStart w:id="17" w:name="_Hlk161846851"/>
      <w:r w:rsidRPr="00440196">
        <w:rPr>
          <w:rFonts w:ascii="Times New Roman" w:hAnsi="Times New Roman" w:cs="Times New Roman"/>
          <w:i/>
          <w:sz w:val="24"/>
          <w:szCs w:val="24"/>
        </w:rPr>
        <w:t>Reporting ‒ Compliance with §</w:t>
      </w:r>
      <w:r w:rsidRPr="00440196" w:rsidR="00292B9A">
        <w:rPr>
          <w:rFonts w:ascii="Times New Roman" w:hAnsi="Times New Roman" w:cs="Times New Roman"/>
          <w:i/>
          <w:sz w:val="24"/>
          <w:szCs w:val="24"/>
        </w:rPr>
        <w:t>30.104</w:t>
      </w:r>
      <w:r w:rsidRPr="00440196">
        <w:rPr>
          <w:rFonts w:ascii="Times New Roman" w:hAnsi="Times New Roman" w:cs="Times New Roman"/>
          <w:i/>
          <w:sz w:val="24"/>
          <w:szCs w:val="24"/>
        </w:rPr>
        <w:t>, Subpart B – Applications and Licenses, Construction requirements</w:t>
      </w:r>
      <w:bookmarkEnd w:id="17"/>
      <w:r w:rsidRPr="00440196">
        <w:rPr>
          <w:rFonts w:ascii="Times New Roman" w:hAnsi="Times New Roman" w:cs="Times New Roman"/>
          <w:i/>
          <w:sz w:val="24"/>
          <w:szCs w:val="24"/>
        </w:rPr>
        <w:t>.</w:t>
      </w:r>
      <w:r w:rsidRPr="00440196">
        <w:rPr>
          <w:rFonts w:ascii="Times New Roman" w:hAnsi="Times New Roman" w:cs="Times New Roman"/>
          <w:sz w:val="24"/>
          <w:szCs w:val="24"/>
        </w:rPr>
        <w:t xml:space="preserve">  The Commission requires that UMFUS licensees shall demonstrate compliance with their performance requirements by filing a construction notification with the Commission.  The first renewal period should be 10 years after the initial license is granted, or, </w:t>
      </w:r>
      <w:r w:rsidRPr="00440196">
        <w:rPr>
          <w:rFonts w:ascii="Times New Roman" w:hAnsi="Times New Roman" w:cs="Times New Roman"/>
          <w:sz w:val="24"/>
          <w:szCs w:val="24"/>
        </w:rPr>
        <w:t xml:space="preserve">for incumbent licensees, </w:t>
      </w:r>
      <w:r w:rsidRPr="00440196" w:rsidR="00C41A71">
        <w:rPr>
          <w:rFonts w:ascii="Times New Roman" w:hAnsi="Times New Roman" w:cs="Times New Roman"/>
          <w:sz w:val="24"/>
          <w:szCs w:val="24"/>
        </w:rPr>
        <w:t xml:space="preserve">June </w:t>
      </w:r>
      <w:r w:rsidRPr="00440196">
        <w:rPr>
          <w:rFonts w:ascii="Times New Roman" w:hAnsi="Times New Roman" w:cs="Times New Roman"/>
          <w:sz w:val="24"/>
          <w:szCs w:val="24"/>
        </w:rPr>
        <w:t>1</w:t>
      </w:r>
      <w:r w:rsidRPr="00440196" w:rsidR="00647476">
        <w:rPr>
          <w:rFonts w:ascii="Times New Roman" w:hAnsi="Times New Roman" w:cs="Times New Roman"/>
          <w:sz w:val="24"/>
          <w:szCs w:val="24"/>
        </w:rPr>
        <w:t>6</w:t>
      </w:r>
      <w:r w:rsidRPr="00440196">
        <w:rPr>
          <w:rFonts w:ascii="Times New Roman" w:hAnsi="Times New Roman" w:cs="Times New Roman"/>
          <w:sz w:val="24"/>
          <w:szCs w:val="24"/>
        </w:rPr>
        <w:t xml:space="preserve">, 2024.  </w:t>
      </w:r>
      <w:bookmarkStart w:id="18" w:name="_Hlk162429770"/>
      <w:r w:rsidRPr="00440196">
        <w:rPr>
          <w:rFonts w:ascii="Times New Roman" w:hAnsi="Times New Roman" w:cs="Times New Roman"/>
          <w:sz w:val="24"/>
          <w:szCs w:val="24"/>
        </w:rPr>
        <w:t>We estimate 28 respondents to file 1,256 respnses per year</w:t>
      </w:r>
      <w:r w:rsidRPr="00440196" w:rsidR="007B3B67">
        <w:rPr>
          <w:rFonts w:ascii="Times New Roman" w:hAnsi="Times New Roman" w:cs="Times New Roman"/>
          <w:sz w:val="24"/>
          <w:szCs w:val="24"/>
        </w:rPr>
        <w:t xml:space="preserve"> </w:t>
      </w:r>
      <w:r w:rsidRPr="00440196">
        <w:rPr>
          <w:rFonts w:ascii="Times New Roman" w:hAnsi="Times New Roman" w:cs="Times New Roman"/>
          <w:sz w:val="24"/>
          <w:szCs w:val="24"/>
        </w:rPr>
        <w:t>burden of 2 hours for each response.  The Commission estimates that 25 percent of applications will be completed by outside engineers (Consultant)</w:t>
      </w:r>
      <w:r>
        <w:rPr>
          <w:rStyle w:val="FootnoteReference"/>
          <w:rFonts w:ascii="Times New Roman" w:hAnsi="Times New Roman" w:cs="Times New Roman"/>
          <w:sz w:val="24"/>
          <w:szCs w:val="24"/>
        </w:rPr>
        <w:footnoteReference w:id="6"/>
      </w:r>
      <w:r w:rsidRPr="00440196">
        <w:rPr>
          <w:rFonts w:ascii="Times New Roman" w:hAnsi="Times New Roman" w:cs="Times New Roman"/>
          <w:sz w:val="24"/>
          <w:szCs w:val="24"/>
        </w:rPr>
        <w:t xml:space="preserve"> and 75 percent</w:t>
      </w:r>
      <w:r w:rsidRPr="00440196" w:rsidR="00DF5B77">
        <w:rPr>
          <w:rFonts w:ascii="Times New Roman" w:hAnsi="Times New Roman" w:cs="Times New Roman"/>
          <w:sz w:val="24"/>
          <w:szCs w:val="24"/>
        </w:rPr>
        <w:t xml:space="preserve"> (21 respondents and 942 responses)</w:t>
      </w:r>
      <w:r w:rsidRPr="00440196">
        <w:rPr>
          <w:rFonts w:ascii="Times New Roman" w:hAnsi="Times New Roman" w:cs="Times New Roman"/>
          <w:sz w:val="24"/>
          <w:szCs w:val="24"/>
        </w:rPr>
        <w:t xml:space="preserve"> from in-house engineers.</w:t>
      </w:r>
    </w:p>
    <w:bookmarkEnd w:id="18"/>
    <w:p w:rsidR="00BB482A" w:rsidRPr="00440196" w:rsidP="00BB482A" w14:paraId="06A9D24E" w14:textId="77777777">
      <w:pPr>
        <w:pStyle w:val="ListParagraph"/>
        <w:spacing w:after="0" w:line="240" w:lineRule="auto"/>
        <w:rPr>
          <w:rFonts w:ascii="Times New Roman" w:hAnsi="Times New Roman" w:cs="Times New Roman"/>
          <w:sz w:val="24"/>
          <w:szCs w:val="24"/>
        </w:rPr>
      </w:pPr>
    </w:p>
    <w:p w:rsidR="00BB482A" w:rsidRPr="00440196" w:rsidP="00C5352C" w14:paraId="3BF5A199" w14:textId="452B9FF6">
      <w:pPr>
        <w:spacing w:after="0" w:line="240" w:lineRule="auto"/>
        <w:rPr>
          <w:rFonts w:ascii="Times New Roman" w:hAnsi="Times New Roman" w:cs="Times New Roman"/>
          <w:sz w:val="24"/>
          <w:szCs w:val="24"/>
        </w:rPr>
      </w:pPr>
      <w:r w:rsidRPr="00440196">
        <w:rPr>
          <w:rFonts w:ascii="Times New Roman" w:hAnsi="Times New Roman" w:cs="Times New Roman"/>
          <w:b/>
          <w:bCs/>
          <w:sz w:val="24"/>
          <w:szCs w:val="24"/>
        </w:rPr>
        <w:t>Annual Burden:</w:t>
      </w:r>
      <w:r w:rsidRPr="00440196">
        <w:rPr>
          <w:rFonts w:ascii="Times New Roman" w:hAnsi="Times New Roman" w:cs="Times New Roman"/>
          <w:sz w:val="24"/>
          <w:szCs w:val="24"/>
        </w:rPr>
        <w:t xml:space="preserve">   942 response</w:t>
      </w:r>
      <w:r w:rsidRPr="00440196" w:rsidR="008A5BD9">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8A5BD9">
        <w:rPr>
          <w:rFonts w:ascii="Times New Roman" w:hAnsi="Times New Roman" w:cs="Times New Roman"/>
          <w:sz w:val="24"/>
          <w:szCs w:val="24"/>
        </w:rPr>
        <w:t xml:space="preserve">total </w:t>
      </w:r>
      <w:r w:rsidRPr="00440196">
        <w:rPr>
          <w:rFonts w:ascii="Times New Roman" w:hAnsi="Times New Roman" w:cs="Times New Roman"/>
          <w:sz w:val="24"/>
          <w:szCs w:val="24"/>
        </w:rPr>
        <w:t xml:space="preserve">x 2 hours per response = </w:t>
      </w:r>
      <w:r w:rsidRPr="00440196" w:rsidR="008A5BD9">
        <w:rPr>
          <w:rFonts w:ascii="Times New Roman" w:hAnsi="Times New Roman" w:cs="Times New Roman"/>
          <w:sz w:val="24"/>
          <w:szCs w:val="24"/>
        </w:rPr>
        <w:t xml:space="preserve">1,884 </w:t>
      </w:r>
      <w:r w:rsidRPr="00440196">
        <w:rPr>
          <w:rFonts w:ascii="Times New Roman" w:hAnsi="Times New Roman" w:cs="Times New Roman"/>
          <w:sz w:val="24"/>
          <w:szCs w:val="24"/>
        </w:rPr>
        <w:t>hours.</w:t>
      </w:r>
    </w:p>
    <w:p w:rsidR="00BB482A" w:rsidRPr="00440196" w:rsidP="00BB482A" w14:paraId="59454B50" w14:textId="77777777">
      <w:pPr>
        <w:pStyle w:val="ListParagraph"/>
        <w:spacing w:after="0" w:line="240" w:lineRule="auto"/>
        <w:rPr>
          <w:rFonts w:ascii="Times New Roman" w:hAnsi="Times New Roman" w:cs="Times New Roman"/>
          <w:sz w:val="24"/>
          <w:szCs w:val="24"/>
        </w:rPr>
      </w:pPr>
    </w:p>
    <w:p w:rsidR="00651FE5" w:rsidRPr="00440196" w:rsidP="00BB482A" w14:paraId="15878DA7" w14:textId="78389D3B">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bCs/>
          <w:sz w:val="24"/>
          <w:szCs w:val="24"/>
        </w:rPr>
        <w:t>In-House Staff Cost:</w:t>
      </w:r>
      <w:r w:rsidRPr="00440196">
        <w:rPr>
          <w:rFonts w:ascii="Times New Roman" w:hAnsi="Times New Roman" w:cs="Times New Roman"/>
          <w:sz w:val="24"/>
          <w:szCs w:val="24"/>
        </w:rPr>
        <w:t xml:space="preserve"> (</w:t>
      </w:r>
      <w:r w:rsidRPr="00440196" w:rsidR="002B21C6">
        <w:rPr>
          <w:rFonts w:ascii="Times New Roman" w:hAnsi="Times New Roman" w:cs="Times New Roman"/>
          <w:sz w:val="24"/>
          <w:szCs w:val="24"/>
        </w:rPr>
        <w:t>9</w:t>
      </w:r>
      <w:r w:rsidRPr="00440196">
        <w:rPr>
          <w:rFonts w:ascii="Times New Roman" w:hAnsi="Times New Roman" w:cs="Times New Roman"/>
          <w:sz w:val="24"/>
          <w:szCs w:val="24"/>
        </w:rPr>
        <w:t>42 response</w:t>
      </w:r>
      <w:r w:rsidRPr="00440196" w:rsidR="008A5BD9">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8A5BD9">
        <w:rPr>
          <w:rFonts w:ascii="Times New Roman" w:hAnsi="Times New Roman" w:cs="Times New Roman"/>
          <w:sz w:val="24"/>
          <w:szCs w:val="24"/>
        </w:rPr>
        <w:t xml:space="preserve">total </w:t>
      </w:r>
      <w:r w:rsidRPr="00440196">
        <w:rPr>
          <w:rFonts w:ascii="Times New Roman" w:hAnsi="Times New Roman" w:cs="Times New Roman"/>
          <w:sz w:val="24"/>
          <w:szCs w:val="24"/>
        </w:rPr>
        <w:t>x 2 hours of engineer time per response) x $53.50/hour = $</w:t>
      </w:r>
      <w:r w:rsidRPr="00440196" w:rsidR="008A5BD9">
        <w:rPr>
          <w:rFonts w:ascii="Times New Roman" w:hAnsi="Times New Roman" w:cs="Times New Roman"/>
          <w:sz w:val="24"/>
          <w:szCs w:val="24"/>
        </w:rPr>
        <w:t xml:space="preserve"> </w:t>
      </w:r>
      <w:r w:rsidRPr="00440196" w:rsidR="008A5BD9">
        <w:rPr>
          <w:rFonts w:ascii="Times New Roman" w:hAnsi="Times New Roman" w:cs="Times New Roman"/>
          <w:sz w:val="24"/>
          <w:szCs w:val="24"/>
        </w:rPr>
        <w:t>100,794</w:t>
      </w:r>
      <w:r w:rsidRPr="00440196">
        <w:rPr>
          <w:rFonts w:ascii="Times New Roman" w:hAnsi="Times New Roman" w:cs="Times New Roman"/>
          <w:sz w:val="24"/>
          <w:szCs w:val="24"/>
        </w:rPr>
        <w:t>.00</w:t>
      </w:r>
    </w:p>
    <w:p w:rsidR="00651FE5" w:rsidRPr="00440196" w:rsidP="00651FE5" w14:paraId="0C5204C1" w14:textId="77777777">
      <w:pPr>
        <w:pStyle w:val="ListParagraph"/>
        <w:spacing w:after="0" w:line="240" w:lineRule="auto"/>
        <w:ind w:left="0"/>
        <w:rPr>
          <w:rFonts w:ascii="Times New Roman" w:hAnsi="Times New Roman" w:cs="Times New Roman"/>
          <w:sz w:val="24"/>
          <w:szCs w:val="24"/>
        </w:rPr>
      </w:pPr>
    </w:p>
    <w:p w:rsidR="00651FE5" w:rsidRPr="00440196" w:rsidP="00651FE5" w14:paraId="444882F9" w14:textId="0C58C45A">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12-e.</w:t>
      </w:r>
      <w:r w:rsidRPr="00440196">
        <w:rPr>
          <w:rFonts w:ascii="Times New Roman" w:hAnsi="Times New Roman" w:cs="Times New Roman"/>
          <w:sz w:val="24"/>
          <w:szCs w:val="24"/>
        </w:rPr>
        <w:tab/>
      </w:r>
      <w:bookmarkStart w:id="19" w:name="_Hlk161847888"/>
      <w:r w:rsidRPr="00440196">
        <w:rPr>
          <w:rFonts w:ascii="Times New Roman" w:hAnsi="Times New Roman" w:cs="Times New Roman"/>
          <w:i/>
          <w:sz w:val="24"/>
          <w:szCs w:val="24"/>
        </w:rPr>
        <w:t>Reporting ‒ Compliance with §30.107, Subpart B – Applications and Licenses, Discontinuance of Service</w:t>
      </w:r>
      <w:bookmarkEnd w:id="19"/>
      <w:r w:rsidRPr="00440196">
        <w:rPr>
          <w:rFonts w:ascii="Times New Roman" w:hAnsi="Times New Roman" w:cs="Times New Roman"/>
          <w:i/>
          <w:sz w:val="24"/>
          <w:szCs w:val="24"/>
        </w:rPr>
        <w:t>.</w:t>
      </w:r>
      <w:r w:rsidRPr="00440196">
        <w:rPr>
          <w:rFonts w:ascii="Times New Roman" w:hAnsi="Times New Roman" w:cs="Times New Roman"/>
          <w:sz w:val="24"/>
          <w:szCs w:val="24"/>
        </w:rPr>
        <w:t xml:space="preserve">  Upper Microwave Flexible Use Service licensees must notify the Commission within 10 days of discontinuance if they permanently discontinue service by filing FCC Form 601 or 605 to request license cancellation.  </w:t>
      </w:r>
    </w:p>
    <w:p w:rsidR="00651FE5" w:rsidRPr="00440196" w:rsidP="00651FE5" w14:paraId="2CD5669F" w14:textId="77777777">
      <w:pPr>
        <w:spacing w:after="0" w:line="240" w:lineRule="auto"/>
        <w:rPr>
          <w:rFonts w:ascii="Times New Roman" w:hAnsi="Times New Roman" w:cs="Times New Roman"/>
          <w:sz w:val="24"/>
          <w:szCs w:val="24"/>
        </w:rPr>
      </w:pPr>
    </w:p>
    <w:p w:rsidR="00DA1C99" w:rsidRPr="00440196" w:rsidP="00F22F5D" w14:paraId="3FA73B28" w14:textId="6D1D5CA6">
      <w:pPr>
        <w:spacing w:after="0" w:line="240" w:lineRule="auto"/>
        <w:rPr>
          <w:rFonts w:ascii="Times New Roman" w:hAnsi="Times New Roman" w:cs="Times New Roman"/>
          <w:b/>
          <w:sz w:val="24"/>
          <w:szCs w:val="24"/>
        </w:rPr>
      </w:pPr>
      <w:r w:rsidRPr="00440196">
        <w:rPr>
          <w:rFonts w:ascii="Times New Roman" w:hAnsi="Times New Roman" w:cs="Times New Roman"/>
          <w:sz w:val="24"/>
          <w:szCs w:val="24"/>
        </w:rPr>
        <w:t xml:space="preserve">= </w:t>
      </w:r>
      <w:r w:rsidRPr="00440196" w:rsidR="00F22F5D">
        <w:rPr>
          <w:rFonts w:ascii="Times New Roman" w:hAnsi="Times New Roman" w:cs="Times New Roman"/>
          <w:b/>
          <w:sz w:val="24"/>
          <w:szCs w:val="24"/>
        </w:rPr>
        <w:t>In-House Staff Cost:</w:t>
      </w:r>
      <w:r>
        <w:rPr>
          <w:rStyle w:val="FootnoteReference"/>
          <w:rFonts w:ascii="Times New Roman" w:hAnsi="Times New Roman" w:cs="Times New Roman"/>
          <w:b/>
          <w:sz w:val="24"/>
          <w:szCs w:val="24"/>
        </w:rPr>
        <w:footnoteReference w:id="7"/>
      </w:r>
      <w:r w:rsidRPr="00440196" w:rsidR="00F22F5D">
        <w:rPr>
          <w:rFonts w:ascii="Times New Roman" w:hAnsi="Times New Roman" w:cs="Times New Roman"/>
          <w:b/>
          <w:sz w:val="24"/>
          <w:szCs w:val="24"/>
        </w:rPr>
        <w:t xml:space="preserve"> </w:t>
      </w:r>
      <w:r w:rsidRPr="00440196" w:rsidR="00ED58FA">
        <w:rPr>
          <w:rFonts w:ascii="Times New Roman" w:hAnsi="Times New Roman" w:cs="Times New Roman"/>
          <w:bCs/>
          <w:sz w:val="24"/>
          <w:szCs w:val="24"/>
        </w:rPr>
        <w:t>0</w:t>
      </w:r>
      <w:r w:rsidRPr="00440196" w:rsidR="00F22F5D">
        <w:rPr>
          <w:rFonts w:ascii="Times New Roman" w:hAnsi="Times New Roman" w:cs="Times New Roman"/>
          <w:bCs/>
          <w:sz w:val="24"/>
          <w:szCs w:val="24"/>
        </w:rPr>
        <w:t xml:space="preserve"> respondents x </w:t>
      </w:r>
      <w:r w:rsidRPr="00440196" w:rsidR="002B21C6">
        <w:rPr>
          <w:rFonts w:ascii="Times New Roman" w:hAnsi="Times New Roman" w:cs="Times New Roman"/>
          <w:bCs/>
          <w:sz w:val="24"/>
          <w:szCs w:val="24"/>
        </w:rPr>
        <w:t>0</w:t>
      </w:r>
      <w:r w:rsidRPr="00440196" w:rsidR="00F22F5D">
        <w:rPr>
          <w:rFonts w:ascii="Times New Roman" w:hAnsi="Times New Roman" w:cs="Times New Roman"/>
          <w:bCs/>
          <w:sz w:val="24"/>
          <w:szCs w:val="24"/>
        </w:rPr>
        <w:t xml:space="preserve"> response each x .5 hour of attorney time per response x $78.74/hour = $</w:t>
      </w:r>
      <w:r w:rsidRPr="00440196" w:rsidR="00ED58FA">
        <w:rPr>
          <w:rFonts w:ascii="Times New Roman" w:hAnsi="Times New Roman" w:cs="Times New Roman"/>
          <w:bCs/>
          <w:sz w:val="24"/>
          <w:szCs w:val="24"/>
        </w:rPr>
        <w:t>0</w:t>
      </w:r>
    </w:p>
    <w:p w:rsidR="008D2B93" w:rsidRPr="00440196" w:rsidP="00F22F5D" w14:paraId="4D4916C7" w14:textId="2EF4E4D5">
      <w:pPr>
        <w:spacing w:after="0" w:line="240" w:lineRule="auto"/>
        <w:rPr>
          <w:rFonts w:ascii="Times New Roman" w:hAnsi="Times New Roman" w:cs="Times New Roman"/>
          <w:sz w:val="24"/>
          <w:szCs w:val="24"/>
        </w:rPr>
      </w:pPr>
    </w:p>
    <w:p w:rsidR="00D869B8" w:rsidRPr="00440196" w:rsidP="00AC1FE7" w14:paraId="0D954760" w14:textId="65C21CF1">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TOTAL NUMBER OF RESPONDENTS:</w:t>
      </w:r>
      <w:r w:rsidRPr="00440196">
        <w:rPr>
          <w:rFonts w:ascii="Times New Roman" w:hAnsi="Times New Roman" w:cs="Times New Roman"/>
          <w:sz w:val="24"/>
          <w:szCs w:val="24"/>
        </w:rPr>
        <w:t xml:space="preserve">  </w:t>
      </w:r>
      <w:r w:rsidRPr="00440196" w:rsidR="00BD4547">
        <w:rPr>
          <w:rFonts w:ascii="Times New Roman" w:hAnsi="Times New Roman" w:cs="Times New Roman"/>
          <w:b/>
          <w:sz w:val="24"/>
          <w:szCs w:val="24"/>
        </w:rPr>
        <w:t xml:space="preserve">350 </w:t>
      </w:r>
      <w:r w:rsidRPr="00440196">
        <w:rPr>
          <w:rFonts w:ascii="Times New Roman" w:hAnsi="Times New Roman" w:cs="Times New Roman"/>
          <w:b/>
          <w:sz w:val="24"/>
          <w:szCs w:val="24"/>
        </w:rPr>
        <w:t xml:space="preserve">+ </w:t>
      </w:r>
      <w:r w:rsidRPr="00440196" w:rsidR="00556926">
        <w:rPr>
          <w:rFonts w:ascii="Times New Roman" w:hAnsi="Times New Roman" w:cs="Times New Roman"/>
          <w:b/>
          <w:sz w:val="24"/>
          <w:szCs w:val="24"/>
        </w:rPr>
        <w:t>15</w:t>
      </w:r>
      <w:r w:rsidRPr="00440196" w:rsidR="00751AD5">
        <w:rPr>
          <w:rFonts w:ascii="Times New Roman" w:hAnsi="Times New Roman" w:cs="Times New Roman"/>
          <w:b/>
          <w:sz w:val="24"/>
          <w:szCs w:val="24"/>
        </w:rPr>
        <w:t xml:space="preserve"> </w:t>
      </w:r>
      <w:r w:rsidRPr="00440196">
        <w:rPr>
          <w:rFonts w:ascii="Times New Roman" w:hAnsi="Times New Roman" w:cs="Times New Roman"/>
          <w:b/>
          <w:sz w:val="24"/>
          <w:szCs w:val="24"/>
        </w:rPr>
        <w:t>+ 30</w:t>
      </w:r>
      <w:r w:rsidRPr="00440196" w:rsidR="003F727D">
        <w:rPr>
          <w:rFonts w:ascii="Times New Roman" w:hAnsi="Times New Roman" w:cs="Times New Roman"/>
          <w:b/>
          <w:sz w:val="24"/>
          <w:szCs w:val="24"/>
        </w:rPr>
        <w:t xml:space="preserve"> </w:t>
      </w:r>
      <w:r w:rsidRPr="00440196" w:rsidR="00E121B6">
        <w:rPr>
          <w:rFonts w:ascii="Times New Roman" w:hAnsi="Times New Roman" w:cs="Times New Roman"/>
          <w:b/>
          <w:sz w:val="24"/>
          <w:szCs w:val="24"/>
        </w:rPr>
        <w:t xml:space="preserve">+ </w:t>
      </w:r>
      <w:r w:rsidRPr="00440196" w:rsidR="00556926">
        <w:rPr>
          <w:rFonts w:ascii="Times New Roman" w:hAnsi="Times New Roman" w:cs="Times New Roman"/>
          <w:b/>
          <w:sz w:val="24"/>
          <w:szCs w:val="24"/>
        </w:rPr>
        <w:t>21</w:t>
      </w:r>
      <w:r w:rsidRPr="00440196" w:rsidR="00E121B6">
        <w:rPr>
          <w:rFonts w:ascii="Times New Roman" w:hAnsi="Times New Roman" w:cs="Times New Roman"/>
          <w:b/>
          <w:sz w:val="24"/>
          <w:szCs w:val="24"/>
        </w:rPr>
        <w:t xml:space="preserve">+ </w:t>
      </w:r>
      <w:r w:rsidRPr="00440196" w:rsidR="00556926">
        <w:rPr>
          <w:rFonts w:ascii="Times New Roman" w:hAnsi="Times New Roman" w:cs="Times New Roman"/>
          <w:b/>
          <w:sz w:val="24"/>
          <w:szCs w:val="24"/>
        </w:rPr>
        <w:t>0</w:t>
      </w:r>
      <w:r w:rsidRPr="00440196" w:rsidR="00D221CB">
        <w:rPr>
          <w:rFonts w:ascii="Times New Roman" w:hAnsi="Times New Roman" w:cs="Times New Roman"/>
          <w:b/>
          <w:sz w:val="24"/>
          <w:szCs w:val="24"/>
        </w:rPr>
        <w:t xml:space="preserve"> </w:t>
      </w:r>
      <w:r w:rsidRPr="00440196" w:rsidR="00C44C0B">
        <w:rPr>
          <w:rFonts w:ascii="Times New Roman" w:hAnsi="Times New Roman" w:cs="Times New Roman"/>
          <w:b/>
          <w:sz w:val="24"/>
          <w:szCs w:val="24"/>
        </w:rPr>
        <w:t xml:space="preserve">+ 45 + 7 +10 </w:t>
      </w:r>
      <w:r w:rsidRPr="00440196">
        <w:rPr>
          <w:rFonts w:ascii="Times New Roman" w:hAnsi="Times New Roman" w:cs="Times New Roman"/>
          <w:b/>
          <w:sz w:val="24"/>
          <w:szCs w:val="24"/>
        </w:rPr>
        <w:t xml:space="preserve">= </w:t>
      </w:r>
      <w:bookmarkStart w:id="21" w:name="_Hlk60846058"/>
      <w:r w:rsidRPr="00440196" w:rsidR="00556926">
        <w:rPr>
          <w:rFonts w:ascii="Times New Roman" w:hAnsi="Times New Roman" w:cs="Times New Roman"/>
          <w:b/>
          <w:sz w:val="24"/>
          <w:szCs w:val="24"/>
        </w:rPr>
        <w:t>4</w:t>
      </w:r>
      <w:bookmarkEnd w:id="21"/>
      <w:r w:rsidRPr="00440196" w:rsidR="00C44C0B">
        <w:rPr>
          <w:rFonts w:ascii="Times New Roman" w:hAnsi="Times New Roman" w:cs="Times New Roman"/>
          <w:b/>
          <w:sz w:val="24"/>
          <w:szCs w:val="24"/>
        </w:rPr>
        <w:t>78</w:t>
      </w:r>
      <w:r w:rsidRPr="00440196">
        <w:rPr>
          <w:rFonts w:ascii="Times New Roman" w:hAnsi="Times New Roman" w:cs="Times New Roman"/>
          <w:sz w:val="24"/>
          <w:szCs w:val="24"/>
        </w:rPr>
        <w:t>.</w:t>
      </w:r>
      <w:r w:rsidRPr="00440196" w:rsidR="00C44C0B">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
      </w:r>
    </w:p>
    <w:p w:rsidR="00D869B8" w:rsidRPr="00440196" w:rsidP="00AC1FE7" w14:paraId="32DFD92F" w14:textId="77777777">
      <w:pPr>
        <w:spacing w:after="0" w:line="240" w:lineRule="auto"/>
        <w:rPr>
          <w:rFonts w:ascii="Times New Roman" w:hAnsi="Times New Roman" w:cs="Times New Roman"/>
          <w:sz w:val="24"/>
          <w:szCs w:val="24"/>
        </w:rPr>
      </w:pPr>
    </w:p>
    <w:p w:rsidR="00C44C0B" w:rsidRPr="00440196" w:rsidP="00C44C0B" w14:paraId="254E5766" w14:textId="4B7131D7">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TOTAL NUMBER OF ANNUAL RESPONSES:</w:t>
      </w:r>
      <w:r w:rsidRPr="00440196">
        <w:rPr>
          <w:rFonts w:ascii="Times New Roman" w:hAnsi="Times New Roman" w:cs="Times New Roman"/>
          <w:sz w:val="24"/>
          <w:szCs w:val="24"/>
        </w:rPr>
        <w:t xml:space="preserve">  </w:t>
      </w:r>
      <w:r w:rsidRPr="00440196" w:rsidR="00BD4547">
        <w:rPr>
          <w:rFonts w:ascii="Times New Roman" w:hAnsi="Times New Roman" w:cs="Times New Roman"/>
          <w:b/>
          <w:sz w:val="24"/>
          <w:szCs w:val="24"/>
        </w:rPr>
        <w:t xml:space="preserve">350 </w:t>
      </w:r>
      <w:r w:rsidRPr="00440196">
        <w:rPr>
          <w:rFonts w:ascii="Times New Roman" w:hAnsi="Times New Roman" w:cs="Times New Roman"/>
          <w:b/>
          <w:sz w:val="24"/>
          <w:szCs w:val="24"/>
        </w:rPr>
        <w:t xml:space="preserve">+ </w:t>
      </w:r>
      <w:r w:rsidRPr="00440196" w:rsidR="006F1126">
        <w:rPr>
          <w:rFonts w:ascii="Times New Roman" w:hAnsi="Times New Roman" w:cs="Times New Roman"/>
          <w:b/>
          <w:sz w:val="24"/>
          <w:szCs w:val="24"/>
        </w:rPr>
        <w:t>50</w:t>
      </w:r>
      <w:r w:rsidRPr="00440196" w:rsidR="00751AD5">
        <w:rPr>
          <w:rFonts w:ascii="Times New Roman" w:hAnsi="Times New Roman" w:cs="Times New Roman"/>
          <w:b/>
          <w:sz w:val="24"/>
          <w:szCs w:val="24"/>
        </w:rPr>
        <w:t xml:space="preserve"> </w:t>
      </w:r>
      <w:r w:rsidRPr="00440196">
        <w:rPr>
          <w:rFonts w:ascii="Times New Roman" w:hAnsi="Times New Roman" w:cs="Times New Roman"/>
          <w:b/>
          <w:sz w:val="24"/>
          <w:szCs w:val="24"/>
        </w:rPr>
        <w:t xml:space="preserve">+ </w:t>
      </w:r>
      <w:r w:rsidRPr="00440196" w:rsidR="00017C04">
        <w:rPr>
          <w:rFonts w:ascii="Times New Roman" w:hAnsi="Times New Roman" w:cs="Times New Roman"/>
          <w:b/>
          <w:sz w:val="24"/>
          <w:szCs w:val="24"/>
        </w:rPr>
        <w:t xml:space="preserve">30 + </w:t>
      </w:r>
      <w:r w:rsidRPr="00440196" w:rsidR="00556926">
        <w:rPr>
          <w:rFonts w:ascii="Times New Roman" w:hAnsi="Times New Roman" w:cs="Times New Roman"/>
          <w:b/>
          <w:sz w:val="24"/>
          <w:szCs w:val="24"/>
        </w:rPr>
        <w:t>942</w:t>
      </w:r>
      <w:r w:rsidRPr="00440196" w:rsidR="00017C04">
        <w:rPr>
          <w:rFonts w:ascii="Times New Roman" w:hAnsi="Times New Roman" w:cs="Times New Roman"/>
          <w:b/>
          <w:sz w:val="24"/>
          <w:szCs w:val="24"/>
        </w:rPr>
        <w:t xml:space="preserve">+ </w:t>
      </w:r>
      <w:r w:rsidRPr="00440196" w:rsidR="00556926">
        <w:rPr>
          <w:rFonts w:ascii="Times New Roman" w:hAnsi="Times New Roman" w:cs="Times New Roman"/>
          <w:b/>
          <w:sz w:val="24"/>
          <w:szCs w:val="24"/>
        </w:rPr>
        <w:t>0</w:t>
      </w:r>
      <w:r w:rsidRPr="00440196" w:rsidR="00017C04">
        <w:rPr>
          <w:rFonts w:ascii="Times New Roman" w:hAnsi="Times New Roman" w:cs="Times New Roman"/>
          <w:b/>
          <w:sz w:val="24"/>
          <w:szCs w:val="24"/>
        </w:rPr>
        <w:t xml:space="preserve"> </w:t>
      </w:r>
      <w:r w:rsidRPr="00440196">
        <w:rPr>
          <w:rFonts w:ascii="Times New Roman" w:hAnsi="Times New Roman" w:cs="Times New Roman"/>
          <w:b/>
          <w:sz w:val="24"/>
          <w:szCs w:val="24"/>
        </w:rPr>
        <w:t xml:space="preserve">+ 150 + 314 + 10 </w:t>
      </w:r>
      <w:r w:rsidRPr="00440196" w:rsidR="00017C04">
        <w:rPr>
          <w:rFonts w:ascii="Times New Roman" w:hAnsi="Times New Roman" w:cs="Times New Roman"/>
          <w:b/>
          <w:sz w:val="24"/>
          <w:szCs w:val="24"/>
        </w:rPr>
        <w:t xml:space="preserve">= </w:t>
      </w:r>
      <w:r w:rsidRPr="00440196" w:rsidR="00556926">
        <w:rPr>
          <w:rFonts w:ascii="Times New Roman" w:hAnsi="Times New Roman" w:cs="Times New Roman"/>
          <w:b/>
          <w:sz w:val="24"/>
          <w:szCs w:val="24"/>
        </w:rPr>
        <w:t>1,</w:t>
      </w:r>
      <w:r w:rsidRPr="00440196">
        <w:rPr>
          <w:rFonts w:ascii="Times New Roman" w:hAnsi="Times New Roman" w:cs="Times New Roman"/>
          <w:b/>
          <w:sz w:val="24"/>
          <w:szCs w:val="24"/>
        </w:rPr>
        <w:t>846</w:t>
      </w:r>
      <w:r w:rsidRPr="00440196">
        <w:rPr>
          <w:rFonts w:ascii="Times New Roman" w:hAnsi="Times New Roman" w:cs="Times New Roman"/>
          <w:sz w:val="24"/>
          <w:szCs w:val="24"/>
        </w:rPr>
        <w:t>.</w:t>
      </w:r>
      <w:r w:rsidRPr="00440196">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9"/>
      </w:r>
      <w:r w:rsidRPr="00440196">
        <w:rPr>
          <w:rFonts w:ascii="Times New Roman" w:hAnsi="Times New Roman" w:cs="Times New Roman"/>
          <w:sz w:val="24"/>
          <w:szCs w:val="24"/>
        </w:rPr>
        <w:t xml:space="preserve"> </w:t>
      </w:r>
    </w:p>
    <w:p w:rsidR="004D031D" w:rsidRPr="00440196" w:rsidP="00AC1FE7" w14:paraId="3EF7B0A2" w14:textId="77777777">
      <w:pPr>
        <w:spacing w:after="0" w:line="240" w:lineRule="auto"/>
        <w:rPr>
          <w:rFonts w:ascii="Times New Roman" w:hAnsi="Times New Roman" w:cs="Times New Roman"/>
          <w:sz w:val="24"/>
          <w:szCs w:val="24"/>
        </w:rPr>
      </w:pPr>
    </w:p>
    <w:p w:rsidR="00837D88" w:rsidRPr="00440196" w:rsidP="00C0341B" w14:paraId="4A4ACC42" w14:textId="4B8D1AAC">
      <w:pPr>
        <w:tabs>
          <w:tab w:val="left" w:pos="7830"/>
        </w:tabs>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TOTAL ANNUAL BURDEN:</w:t>
      </w:r>
      <w:r w:rsidRPr="00440196">
        <w:rPr>
          <w:rFonts w:ascii="Times New Roman" w:hAnsi="Times New Roman" w:cs="Times New Roman"/>
          <w:sz w:val="24"/>
          <w:szCs w:val="24"/>
        </w:rPr>
        <w:t xml:space="preserve"> </w:t>
      </w:r>
      <w:r w:rsidRPr="00440196" w:rsidR="002F6857">
        <w:rPr>
          <w:rFonts w:ascii="Times New Roman" w:hAnsi="Times New Roman" w:cs="Times New Roman"/>
          <w:sz w:val="24"/>
          <w:szCs w:val="24"/>
        </w:rPr>
        <w:t xml:space="preserve"> </w:t>
      </w:r>
      <w:r w:rsidRPr="00440196" w:rsidR="00BD4547">
        <w:rPr>
          <w:rFonts w:ascii="Times New Roman" w:hAnsi="Times New Roman" w:cs="Times New Roman"/>
          <w:b/>
          <w:sz w:val="24"/>
          <w:szCs w:val="24"/>
        </w:rPr>
        <w:t xml:space="preserve">175 </w:t>
      </w:r>
      <w:r w:rsidRPr="00440196">
        <w:rPr>
          <w:rFonts w:ascii="Times New Roman" w:hAnsi="Times New Roman" w:cs="Times New Roman"/>
          <w:b/>
          <w:sz w:val="24"/>
          <w:szCs w:val="24"/>
        </w:rPr>
        <w:t xml:space="preserve">+ </w:t>
      </w:r>
      <w:r w:rsidRPr="00440196" w:rsidR="006F1126">
        <w:rPr>
          <w:rFonts w:ascii="Times New Roman" w:hAnsi="Times New Roman" w:cs="Times New Roman"/>
          <w:b/>
          <w:sz w:val="24"/>
          <w:szCs w:val="24"/>
        </w:rPr>
        <w:t>500</w:t>
      </w:r>
      <w:r w:rsidRPr="00440196" w:rsidR="00D6750E">
        <w:rPr>
          <w:rFonts w:ascii="Times New Roman" w:hAnsi="Times New Roman" w:cs="Times New Roman"/>
          <w:b/>
          <w:sz w:val="24"/>
          <w:szCs w:val="24"/>
        </w:rPr>
        <w:t xml:space="preserve"> </w:t>
      </w:r>
      <w:r w:rsidRPr="00440196">
        <w:rPr>
          <w:rFonts w:ascii="Times New Roman" w:hAnsi="Times New Roman" w:cs="Times New Roman"/>
          <w:b/>
          <w:sz w:val="24"/>
          <w:szCs w:val="24"/>
        </w:rPr>
        <w:t xml:space="preserve">+ </w:t>
      </w:r>
      <w:r w:rsidRPr="00440196" w:rsidR="009A55F0">
        <w:rPr>
          <w:rFonts w:ascii="Times New Roman" w:hAnsi="Times New Roman" w:cs="Times New Roman"/>
          <w:b/>
          <w:sz w:val="24"/>
          <w:szCs w:val="24"/>
        </w:rPr>
        <w:t xml:space="preserve">15 </w:t>
      </w:r>
      <w:r w:rsidRPr="00440196" w:rsidR="00E73186">
        <w:rPr>
          <w:rFonts w:ascii="Times New Roman" w:hAnsi="Times New Roman" w:cs="Times New Roman"/>
          <w:b/>
          <w:sz w:val="24"/>
          <w:szCs w:val="24"/>
        </w:rPr>
        <w:t xml:space="preserve"> + </w:t>
      </w:r>
      <w:r w:rsidRPr="00440196" w:rsidR="006F1126">
        <w:rPr>
          <w:rFonts w:ascii="Times New Roman" w:hAnsi="Times New Roman" w:cs="Times New Roman"/>
          <w:b/>
          <w:sz w:val="24"/>
          <w:szCs w:val="24"/>
        </w:rPr>
        <w:t>1</w:t>
      </w:r>
      <w:r w:rsidRPr="00440196" w:rsidR="00F05F43">
        <w:rPr>
          <w:rFonts w:ascii="Times New Roman" w:hAnsi="Times New Roman" w:cs="Times New Roman"/>
          <w:b/>
          <w:sz w:val="24"/>
          <w:szCs w:val="24"/>
        </w:rPr>
        <w:t>,</w:t>
      </w:r>
      <w:r w:rsidRPr="00440196" w:rsidR="006F1126">
        <w:rPr>
          <w:rFonts w:ascii="Times New Roman" w:hAnsi="Times New Roman" w:cs="Times New Roman"/>
          <w:b/>
          <w:sz w:val="24"/>
          <w:szCs w:val="24"/>
        </w:rPr>
        <w:t>884</w:t>
      </w:r>
      <w:r w:rsidRPr="00440196" w:rsidR="00E73186">
        <w:rPr>
          <w:rFonts w:ascii="Times New Roman" w:hAnsi="Times New Roman" w:cs="Times New Roman"/>
          <w:b/>
          <w:sz w:val="24"/>
          <w:szCs w:val="24"/>
        </w:rPr>
        <w:t xml:space="preserve"> + </w:t>
      </w:r>
      <w:r w:rsidRPr="00440196" w:rsidR="00556926">
        <w:rPr>
          <w:rFonts w:ascii="Times New Roman" w:hAnsi="Times New Roman" w:cs="Times New Roman"/>
          <w:b/>
          <w:sz w:val="24"/>
          <w:szCs w:val="24"/>
        </w:rPr>
        <w:t>0</w:t>
      </w:r>
      <w:r w:rsidRPr="00440196" w:rsidR="00E73186">
        <w:rPr>
          <w:rFonts w:ascii="Times New Roman" w:hAnsi="Times New Roman" w:cs="Times New Roman"/>
          <w:b/>
          <w:sz w:val="24"/>
          <w:szCs w:val="24"/>
        </w:rPr>
        <w:t xml:space="preserve"> </w:t>
      </w:r>
      <w:r w:rsidRPr="00440196">
        <w:rPr>
          <w:rFonts w:ascii="Times New Roman" w:hAnsi="Times New Roman" w:cs="Times New Roman"/>
          <w:b/>
          <w:sz w:val="24"/>
          <w:szCs w:val="24"/>
        </w:rPr>
        <w:t xml:space="preserve">= </w:t>
      </w:r>
      <w:r w:rsidRPr="00440196" w:rsidR="006F1126">
        <w:rPr>
          <w:rFonts w:ascii="Times New Roman" w:hAnsi="Times New Roman" w:cs="Times New Roman"/>
          <w:b/>
          <w:sz w:val="24"/>
          <w:szCs w:val="24"/>
        </w:rPr>
        <w:t>2,574</w:t>
      </w:r>
      <w:r w:rsidRPr="00440196" w:rsidR="00D92A45">
        <w:rPr>
          <w:rFonts w:ascii="Times New Roman" w:hAnsi="Times New Roman" w:cs="Times New Roman"/>
          <w:b/>
          <w:sz w:val="24"/>
          <w:szCs w:val="24"/>
        </w:rPr>
        <w:t xml:space="preserve"> </w:t>
      </w:r>
      <w:r w:rsidRPr="00440196">
        <w:rPr>
          <w:rFonts w:ascii="Times New Roman" w:hAnsi="Times New Roman" w:cs="Times New Roman"/>
          <w:b/>
          <w:sz w:val="24"/>
          <w:szCs w:val="24"/>
        </w:rPr>
        <w:t>HOUR</w:t>
      </w:r>
      <w:r w:rsidRPr="00440196" w:rsidR="00D869B8">
        <w:rPr>
          <w:rFonts w:ascii="Times New Roman" w:hAnsi="Times New Roman" w:cs="Times New Roman"/>
          <w:b/>
          <w:sz w:val="24"/>
          <w:szCs w:val="24"/>
        </w:rPr>
        <w:t>S</w:t>
      </w:r>
      <w:r w:rsidRPr="00440196" w:rsidR="00D869B8">
        <w:rPr>
          <w:rFonts w:ascii="Times New Roman" w:hAnsi="Times New Roman" w:cs="Times New Roman"/>
          <w:sz w:val="24"/>
          <w:szCs w:val="24"/>
        </w:rPr>
        <w:t>.</w:t>
      </w:r>
    </w:p>
    <w:p w:rsidR="005F6619" w:rsidRPr="00440196" w:rsidP="00EA2D0F" w14:paraId="328ACBF5" w14:textId="77777777">
      <w:pPr>
        <w:spacing w:after="0" w:line="240" w:lineRule="auto"/>
        <w:rPr>
          <w:rFonts w:ascii="Times New Roman" w:hAnsi="Times New Roman" w:cs="Times New Roman"/>
          <w:sz w:val="24"/>
          <w:szCs w:val="24"/>
        </w:rPr>
      </w:pPr>
    </w:p>
    <w:p w:rsidR="00837D88" w:rsidRPr="00440196" w:rsidP="00EA2D0F" w14:paraId="11BF3BFD" w14:textId="484B7301">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 xml:space="preserve">TOTAL </w:t>
      </w:r>
      <w:r w:rsidRPr="00440196">
        <w:rPr>
          <w:rFonts w:ascii="Times New Roman" w:hAnsi="Times New Roman" w:cs="Times New Roman"/>
          <w:b/>
          <w:sz w:val="24"/>
          <w:szCs w:val="24"/>
        </w:rPr>
        <w:t>IN-HOU</w:t>
      </w:r>
      <w:r w:rsidRPr="00440196" w:rsidR="00791977">
        <w:rPr>
          <w:rFonts w:ascii="Times New Roman" w:hAnsi="Times New Roman" w:cs="Times New Roman"/>
          <w:b/>
          <w:sz w:val="24"/>
          <w:szCs w:val="24"/>
        </w:rPr>
        <w:t xml:space="preserve">SE </w:t>
      </w:r>
      <w:r w:rsidRPr="00440196" w:rsidR="007B6326">
        <w:rPr>
          <w:rFonts w:ascii="Times New Roman" w:hAnsi="Times New Roman" w:cs="Times New Roman"/>
          <w:b/>
          <w:sz w:val="24"/>
          <w:szCs w:val="24"/>
        </w:rPr>
        <w:t xml:space="preserve">STAFF </w:t>
      </w:r>
      <w:r w:rsidRPr="00440196" w:rsidR="00791977">
        <w:rPr>
          <w:rFonts w:ascii="Times New Roman" w:hAnsi="Times New Roman" w:cs="Times New Roman"/>
          <w:b/>
          <w:sz w:val="24"/>
          <w:szCs w:val="24"/>
        </w:rPr>
        <w:t>COST</w:t>
      </w:r>
      <w:r w:rsidRPr="00440196" w:rsidR="00791977">
        <w:rPr>
          <w:rFonts w:ascii="Times New Roman" w:hAnsi="Times New Roman" w:cs="Times New Roman"/>
          <w:sz w:val="24"/>
          <w:szCs w:val="24"/>
        </w:rPr>
        <w:t xml:space="preserve">: </w:t>
      </w:r>
      <w:r w:rsidRPr="00440196" w:rsidR="002F6857">
        <w:rPr>
          <w:rFonts w:ascii="Times New Roman" w:hAnsi="Times New Roman" w:cs="Times New Roman"/>
          <w:sz w:val="24"/>
          <w:szCs w:val="24"/>
        </w:rPr>
        <w:t xml:space="preserve"> </w:t>
      </w:r>
      <w:r w:rsidRPr="00440196" w:rsidR="00B23D74">
        <w:rPr>
          <w:rFonts w:ascii="Times New Roman" w:hAnsi="Times New Roman" w:cs="Times New Roman"/>
          <w:b/>
          <w:sz w:val="24"/>
          <w:szCs w:val="24"/>
        </w:rPr>
        <w:t>$</w:t>
      </w:r>
      <w:r w:rsidRPr="00440196" w:rsidR="00C47E30">
        <w:rPr>
          <w:rFonts w:ascii="Times New Roman" w:hAnsi="Times New Roman" w:cs="Times New Roman"/>
          <w:b/>
          <w:sz w:val="24"/>
          <w:szCs w:val="24"/>
        </w:rPr>
        <w:t>9.263.00</w:t>
      </w:r>
      <w:r w:rsidRPr="00440196" w:rsidR="000126D3">
        <w:rPr>
          <w:rFonts w:ascii="Times New Roman" w:hAnsi="Times New Roman" w:cs="Times New Roman"/>
          <w:b/>
          <w:sz w:val="24"/>
          <w:szCs w:val="24"/>
        </w:rPr>
        <w:t xml:space="preserve"> </w:t>
      </w:r>
      <w:r w:rsidRPr="00440196" w:rsidR="00B23D74">
        <w:rPr>
          <w:rFonts w:ascii="Times New Roman" w:hAnsi="Times New Roman" w:cs="Times New Roman"/>
          <w:b/>
          <w:sz w:val="24"/>
          <w:szCs w:val="24"/>
        </w:rPr>
        <w:t xml:space="preserve">+ </w:t>
      </w:r>
      <w:r w:rsidRPr="00440196" w:rsidR="0029309D">
        <w:rPr>
          <w:rFonts w:ascii="Times New Roman" w:hAnsi="Times New Roman" w:cs="Times New Roman"/>
          <w:b/>
          <w:sz w:val="24"/>
          <w:szCs w:val="24"/>
        </w:rPr>
        <w:t>$</w:t>
      </w:r>
      <w:r w:rsidRPr="00440196" w:rsidR="006F1126">
        <w:rPr>
          <w:rFonts w:ascii="Times New Roman" w:hAnsi="Times New Roman" w:cs="Times New Roman"/>
          <w:b/>
          <w:sz w:val="24"/>
          <w:szCs w:val="24"/>
        </w:rPr>
        <w:t>26,750</w:t>
      </w:r>
      <w:r w:rsidRPr="00440196" w:rsidR="00D77240">
        <w:rPr>
          <w:rFonts w:ascii="Times New Roman" w:hAnsi="Times New Roman" w:cs="Times New Roman"/>
          <w:b/>
          <w:sz w:val="24"/>
          <w:szCs w:val="24"/>
        </w:rPr>
        <w:t>.00</w:t>
      </w:r>
      <w:r w:rsidRPr="00440196" w:rsidR="00602F41">
        <w:rPr>
          <w:rFonts w:ascii="Times New Roman" w:hAnsi="Times New Roman" w:cs="Times New Roman"/>
          <w:b/>
          <w:sz w:val="24"/>
          <w:szCs w:val="24"/>
        </w:rPr>
        <w:t xml:space="preserve"> + $</w:t>
      </w:r>
      <w:r w:rsidRPr="00440196" w:rsidR="0029309D">
        <w:rPr>
          <w:rFonts w:ascii="Times New Roman" w:hAnsi="Times New Roman" w:cs="Times New Roman"/>
          <w:b/>
          <w:sz w:val="24"/>
          <w:szCs w:val="24"/>
        </w:rPr>
        <w:t>1</w:t>
      </w:r>
      <w:r w:rsidRPr="00440196" w:rsidR="00C47E30">
        <w:rPr>
          <w:rFonts w:ascii="Times New Roman" w:hAnsi="Times New Roman" w:cs="Times New Roman"/>
          <w:b/>
          <w:sz w:val="24"/>
          <w:szCs w:val="24"/>
        </w:rPr>
        <w:t>,181.</w:t>
      </w:r>
      <w:r w:rsidRPr="00440196" w:rsidR="00D77240">
        <w:rPr>
          <w:rFonts w:ascii="Times New Roman" w:hAnsi="Times New Roman" w:cs="Times New Roman"/>
          <w:b/>
          <w:sz w:val="24"/>
          <w:szCs w:val="24"/>
        </w:rPr>
        <w:t>0</w:t>
      </w:r>
      <w:r w:rsidRPr="00440196" w:rsidR="006F1126">
        <w:rPr>
          <w:rFonts w:ascii="Times New Roman" w:hAnsi="Times New Roman" w:cs="Times New Roman"/>
          <w:b/>
          <w:sz w:val="24"/>
          <w:szCs w:val="24"/>
        </w:rPr>
        <w:t>0</w:t>
      </w:r>
      <w:r w:rsidRPr="00440196" w:rsidR="00C47E30">
        <w:rPr>
          <w:rFonts w:ascii="Times New Roman" w:hAnsi="Times New Roman" w:cs="Times New Roman"/>
          <w:b/>
          <w:sz w:val="24"/>
          <w:szCs w:val="24"/>
        </w:rPr>
        <w:t xml:space="preserve"> + $</w:t>
      </w:r>
      <w:r w:rsidRPr="00440196" w:rsidR="006F1126">
        <w:rPr>
          <w:rFonts w:ascii="Times New Roman" w:hAnsi="Times New Roman" w:cs="Times New Roman"/>
          <w:b/>
          <w:sz w:val="24"/>
          <w:szCs w:val="24"/>
        </w:rPr>
        <w:t>100,794</w:t>
      </w:r>
      <w:r w:rsidRPr="00440196" w:rsidR="00C47E30">
        <w:rPr>
          <w:rFonts w:ascii="Times New Roman" w:hAnsi="Times New Roman" w:cs="Times New Roman"/>
          <w:b/>
          <w:sz w:val="24"/>
          <w:szCs w:val="24"/>
        </w:rPr>
        <w:t xml:space="preserve"> +$</w:t>
      </w:r>
      <w:r w:rsidRPr="00440196" w:rsidR="009E3D29">
        <w:rPr>
          <w:rFonts w:ascii="Times New Roman" w:hAnsi="Times New Roman" w:cs="Times New Roman"/>
          <w:b/>
          <w:sz w:val="24"/>
          <w:szCs w:val="24"/>
        </w:rPr>
        <w:t>0</w:t>
      </w:r>
      <w:r w:rsidRPr="00440196" w:rsidR="00602F41">
        <w:rPr>
          <w:rFonts w:ascii="Times New Roman" w:hAnsi="Times New Roman" w:cs="Times New Roman"/>
          <w:b/>
          <w:sz w:val="24"/>
          <w:szCs w:val="24"/>
        </w:rPr>
        <w:t xml:space="preserve"> </w:t>
      </w:r>
      <w:r w:rsidRPr="00440196">
        <w:rPr>
          <w:rFonts w:ascii="Times New Roman" w:hAnsi="Times New Roman" w:cs="Times New Roman"/>
          <w:b/>
          <w:sz w:val="24"/>
          <w:szCs w:val="24"/>
        </w:rPr>
        <w:t xml:space="preserve">= </w:t>
      </w:r>
      <w:r w:rsidRPr="00440196" w:rsidR="00090AC4">
        <w:rPr>
          <w:rFonts w:ascii="Times New Roman" w:hAnsi="Times New Roman" w:cs="Times New Roman"/>
          <w:b/>
          <w:sz w:val="24"/>
          <w:szCs w:val="24"/>
        </w:rPr>
        <w:t>$</w:t>
      </w:r>
      <w:r w:rsidRPr="00440196" w:rsidR="006F1126">
        <w:rPr>
          <w:rFonts w:ascii="Times New Roman" w:hAnsi="Times New Roman" w:cs="Times New Roman"/>
          <w:b/>
          <w:sz w:val="24"/>
          <w:szCs w:val="24"/>
        </w:rPr>
        <w:t>137,988.</w:t>
      </w:r>
      <w:r w:rsidRPr="00440196" w:rsidR="00D77240">
        <w:rPr>
          <w:rFonts w:ascii="Times New Roman" w:hAnsi="Times New Roman" w:cs="Times New Roman"/>
          <w:b/>
          <w:sz w:val="24"/>
          <w:szCs w:val="24"/>
        </w:rPr>
        <w:t>0</w:t>
      </w:r>
      <w:r w:rsidRPr="00440196" w:rsidR="006F1126">
        <w:rPr>
          <w:rFonts w:ascii="Times New Roman" w:hAnsi="Times New Roman" w:cs="Times New Roman"/>
          <w:b/>
          <w:sz w:val="24"/>
          <w:szCs w:val="24"/>
        </w:rPr>
        <w:t>0</w:t>
      </w:r>
      <w:r w:rsidRPr="00440196" w:rsidR="004D031D">
        <w:rPr>
          <w:rFonts w:ascii="Times New Roman" w:hAnsi="Times New Roman" w:cs="Times New Roman"/>
          <w:b/>
          <w:sz w:val="24"/>
          <w:szCs w:val="24"/>
        </w:rPr>
        <w:t>.</w:t>
      </w:r>
    </w:p>
    <w:p w:rsidR="00F93E20" w:rsidRPr="00440196" w:rsidP="00EA2D0F" w14:paraId="706D2569" w14:textId="77777777">
      <w:pPr>
        <w:spacing w:after="0" w:line="240" w:lineRule="auto"/>
        <w:rPr>
          <w:rFonts w:ascii="Times New Roman" w:hAnsi="Times New Roman" w:cs="Times New Roman"/>
          <w:sz w:val="24"/>
          <w:szCs w:val="24"/>
        </w:rPr>
      </w:pPr>
    </w:p>
    <w:p w:rsidR="002B21C6" w:rsidRPr="00440196" w:rsidP="00643E86" w14:paraId="23744A6C" w14:textId="277ADE7A">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1</w:t>
      </w:r>
      <w:r w:rsidRPr="00440196" w:rsidR="003D3A37">
        <w:rPr>
          <w:rFonts w:ascii="Times New Roman" w:hAnsi="Times New Roman" w:cs="Times New Roman"/>
          <w:sz w:val="24"/>
          <w:szCs w:val="24"/>
        </w:rPr>
        <w:t>3.</w:t>
      </w:r>
      <w:r w:rsidRPr="00440196" w:rsidR="003D3A37">
        <w:rPr>
          <w:rFonts w:ascii="Times New Roman" w:hAnsi="Times New Roman" w:cs="Times New Roman"/>
          <w:sz w:val="24"/>
          <w:szCs w:val="24"/>
        </w:rPr>
        <w:tab/>
      </w:r>
      <w:bookmarkStart w:id="22" w:name="_Hlk161841432"/>
      <w:r w:rsidRPr="00440196" w:rsidR="003D3A37">
        <w:rPr>
          <w:rFonts w:ascii="Times New Roman" w:hAnsi="Times New Roman" w:cs="Times New Roman"/>
          <w:sz w:val="24"/>
          <w:szCs w:val="24"/>
        </w:rPr>
        <w:t>Annual Cost</w:t>
      </w:r>
      <w:r w:rsidRPr="00440196" w:rsidR="00055F58">
        <w:rPr>
          <w:rFonts w:ascii="Times New Roman" w:hAnsi="Times New Roman" w:cs="Times New Roman"/>
          <w:sz w:val="24"/>
          <w:szCs w:val="24"/>
        </w:rPr>
        <w:t xml:space="preserve"> Burden</w:t>
      </w:r>
      <w:r w:rsidRPr="00440196" w:rsidR="00243C15">
        <w:rPr>
          <w:rFonts w:ascii="Times New Roman" w:hAnsi="Times New Roman" w:cs="Times New Roman"/>
          <w:sz w:val="24"/>
          <w:szCs w:val="24"/>
        </w:rPr>
        <w:t xml:space="preserve"> - Consultant</w:t>
      </w:r>
      <w:bookmarkEnd w:id="22"/>
      <w:r w:rsidRPr="00440196" w:rsidR="003D3A37">
        <w:rPr>
          <w:rFonts w:ascii="Times New Roman" w:hAnsi="Times New Roman" w:cs="Times New Roman"/>
          <w:sz w:val="24"/>
          <w:szCs w:val="24"/>
        </w:rPr>
        <w:t>:  Applicants should not incur outside capital and star</w:t>
      </w:r>
      <w:r w:rsidRPr="00440196" w:rsidR="00B23D74">
        <w:rPr>
          <w:rFonts w:ascii="Times New Roman" w:hAnsi="Times New Roman" w:cs="Times New Roman"/>
          <w:sz w:val="24"/>
          <w:szCs w:val="24"/>
        </w:rPr>
        <w:t>t</w:t>
      </w:r>
      <w:r w:rsidRPr="00440196" w:rsidR="003D3A37">
        <w:rPr>
          <w:rFonts w:ascii="Times New Roman" w:hAnsi="Times New Roman" w:cs="Times New Roman"/>
          <w:sz w:val="24"/>
          <w:szCs w:val="24"/>
        </w:rPr>
        <w:t>-up costs and/or operation and maintenance of purchase or services in connection with this information collection.</w:t>
      </w:r>
      <w:r w:rsidRPr="00440196" w:rsidR="00055F58">
        <w:rPr>
          <w:rFonts w:ascii="Times New Roman" w:hAnsi="Times New Roman" w:cs="Times New Roman"/>
          <w:sz w:val="24"/>
          <w:szCs w:val="24"/>
        </w:rPr>
        <w:t xml:space="preserve"> </w:t>
      </w:r>
      <w:r w:rsidRPr="00440196" w:rsidR="00D06B13">
        <w:rPr>
          <w:rFonts w:ascii="Times New Roman" w:hAnsi="Times New Roman" w:cs="Times New Roman"/>
          <w:sz w:val="24"/>
          <w:szCs w:val="24"/>
        </w:rPr>
        <w:t xml:space="preserve"> </w:t>
      </w:r>
      <w:r w:rsidRPr="00440196" w:rsidR="00055F58">
        <w:rPr>
          <w:rFonts w:ascii="Times New Roman" w:hAnsi="Times New Roman" w:cs="Times New Roman"/>
          <w:sz w:val="24"/>
          <w:szCs w:val="24"/>
        </w:rPr>
        <w:t>Ho</w:t>
      </w:r>
      <w:r w:rsidRPr="00440196" w:rsidR="00751168">
        <w:rPr>
          <w:rFonts w:ascii="Times New Roman" w:hAnsi="Times New Roman" w:cs="Times New Roman"/>
          <w:sz w:val="24"/>
          <w:szCs w:val="24"/>
        </w:rPr>
        <w:t xml:space="preserve">wever, </w:t>
      </w:r>
      <w:r w:rsidRPr="00440196" w:rsidR="00A23C75">
        <w:rPr>
          <w:rFonts w:ascii="Times New Roman" w:hAnsi="Times New Roman" w:cs="Times New Roman"/>
          <w:sz w:val="24"/>
          <w:szCs w:val="24"/>
        </w:rPr>
        <w:t xml:space="preserve">Section 25.136, </w:t>
      </w:r>
      <w:r w:rsidRPr="00440196" w:rsidR="00751168">
        <w:rPr>
          <w:rFonts w:ascii="Times New Roman" w:hAnsi="Times New Roman" w:cs="Times New Roman"/>
          <w:sz w:val="24"/>
          <w:szCs w:val="24"/>
        </w:rPr>
        <w:t xml:space="preserve">we assume that 75 percent </w:t>
      </w:r>
      <w:bookmarkStart w:id="23" w:name="_Hlk161926119"/>
      <w:r w:rsidRPr="00440196" w:rsidR="00E50D07">
        <w:rPr>
          <w:rFonts w:ascii="Times New Roman" w:hAnsi="Times New Roman" w:cs="Times New Roman"/>
          <w:sz w:val="24"/>
          <w:szCs w:val="24"/>
        </w:rPr>
        <w:t>of the respondents will contract consultants to handle the burden</w:t>
      </w:r>
      <w:r w:rsidRPr="00440196" w:rsidR="00751168">
        <w:rPr>
          <w:rFonts w:ascii="Times New Roman" w:hAnsi="Times New Roman" w:cs="Times New Roman"/>
          <w:sz w:val="24"/>
          <w:szCs w:val="24"/>
        </w:rPr>
        <w:t xml:space="preserve"> of reporting</w:t>
      </w:r>
      <w:r w:rsidRPr="00440196" w:rsidR="00B4576D">
        <w:rPr>
          <w:rFonts w:ascii="Times New Roman" w:hAnsi="Times New Roman" w:cs="Times New Roman"/>
          <w:sz w:val="24"/>
          <w:szCs w:val="24"/>
        </w:rPr>
        <w:t xml:space="preserve"> </w:t>
      </w:r>
      <w:r w:rsidRPr="00440196" w:rsidR="00A23C75">
        <w:rPr>
          <w:rFonts w:ascii="Times New Roman" w:hAnsi="Times New Roman" w:cs="Times New Roman"/>
          <w:sz w:val="24"/>
          <w:szCs w:val="24"/>
        </w:rPr>
        <w:t>and</w:t>
      </w:r>
      <w:r w:rsidRPr="00440196">
        <w:rPr>
          <w:rFonts w:ascii="Times New Roman" w:hAnsi="Times New Roman" w:cs="Times New Roman"/>
          <w:sz w:val="24"/>
          <w:szCs w:val="24"/>
        </w:rPr>
        <w:t xml:space="preserve"> </w:t>
      </w:r>
      <w:r w:rsidRPr="00440196" w:rsidR="00751168">
        <w:rPr>
          <w:rFonts w:ascii="Times New Roman" w:hAnsi="Times New Roman" w:cs="Times New Roman"/>
          <w:sz w:val="24"/>
          <w:szCs w:val="24"/>
        </w:rPr>
        <w:t>the remaining 25 percent</w:t>
      </w:r>
      <w:r w:rsidRPr="00440196" w:rsidR="00E50D07">
        <w:rPr>
          <w:rFonts w:ascii="Times New Roman" w:hAnsi="Times New Roman" w:cs="Times New Roman"/>
          <w:sz w:val="24"/>
          <w:szCs w:val="24"/>
        </w:rPr>
        <w:t xml:space="preserve"> of respondents will employ in-house staff to respond</w:t>
      </w:r>
      <w:bookmarkEnd w:id="23"/>
      <w:r w:rsidRPr="00440196" w:rsidR="00A23C75">
        <w:rPr>
          <w:rFonts w:ascii="Times New Roman" w:hAnsi="Times New Roman" w:cs="Times New Roman"/>
          <w:sz w:val="24"/>
          <w:szCs w:val="24"/>
        </w:rPr>
        <w:t xml:space="preserve">. Section </w:t>
      </w:r>
      <w:r w:rsidRPr="00440196" w:rsidR="00292B9A">
        <w:rPr>
          <w:rFonts w:ascii="Times New Roman" w:hAnsi="Times New Roman" w:cs="Times New Roman"/>
          <w:sz w:val="24"/>
          <w:szCs w:val="24"/>
        </w:rPr>
        <w:t>30.104</w:t>
      </w:r>
      <w:r w:rsidRPr="00440196" w:rsidR="00A23C75">
        <w:rPr>
          <w:rFonts w:ascii="Times New Roman" w:hAnsi="Times New Roman" w:cs="Times New Roman"/>
          <w:sz w:val="24"/>
          <w:szCs w:val="24"/>
        </w:rPr>
        <w:t>, we assume that 25 percent of the respondents will contract consultants and 7</w:t>
      </w:r>
      <w:r w:rsidRPr="00440196">
        <w:rPr>
          <w:rFonts w:ascii="Times New Roman" w:hAnsi="Times New Roman" w:cs="Times New Roman"/>
          <w:sz w:val="24"/>
          <w:szCs w:val="24"/>
        </w:rPr>
        <w:t xml:space="preserve">5 </w:t>
      </w:r>
      <w:r w:rsidRPr="00440196" w:rsidR="00A23C75">
        <w:rPr>
          <w:rFonts w:ascii="Times New Roman" w:hAnsi="Times New Roman" w:cs="Times New Roman"/>
          <w:sz w:val="24"/>
          <w:szCs w:val="24"/>
        </w:rPr>
        <w:t xml:space="preserve">percent of respondents will employ in-house staff to respond. </w:t>
      </w:r>
      <w:r w:rsidRPr="00440196">
        <w:rPr>
          <w:rFonts w:ascii="Times New Roman" w:hAnsi="Times New Roman" w:cs="Times New Roman"/>
          <w:sz w:val="24"/>
          <w:szCs w:val="24"/>
        </w:rPr>
        <w:t>See #12, Annual Cost Burden – In-house.</w:t>
      </w:r>
    </w:p>
    <w:p w:rsidR="002B21C6" w:rsidRPr="00440196" w:rsidP="00643E86" w14:paraId="259266BF" w14:textId="77777777">
      <w:pPr>
        <w:pStyle w:val="ListParagraph"/>
        <w:spacing w:after="0" w:line="240" w:lineRule="auto"/>
        <w:ind w:left="0"/>
        <w:rPr>
          <w:rFonts w:ascii="Times New Roman" w:hAnsi="Times New Roman" w:cs="Times New Roman"/>
          <w:sz w:val="24"/>
          <w:szCs w:val="24"/>
        </w:rPr>
      </w:pPr>
    </w:p>
    <w:p w:rsidR="003D3A37" w:rsidRPr="00440196" w:rsidP="00643E86" w14:paraId="26411872" w14:textId="095D4A5C">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The Commission</w:t>
      </w:r>
      <w:r w:rsidRPr="00440196" w:rsidR="009B1741">
        <w:rPr>
          <w:rFonts w:ascii="Times New Roman" w:hAnsi="Times New Roman" w:cs="Times New Roman"/>
          <w:sz w:val="24"/>
          <w:szCs w:val="24"/>
        </w:rPr>
        <w:t xml:space="preserve"> assume</w:t>
      </w:r>
      <w:r w:rsidRPr="00440196">
        <w:rPr>
          <w:rFonts w:ascii="Times New Roman" w:hAnsi="Times New Roman" w:cs="Times New Roman"/>
          <w:sz w:val="24"/>
          <w:szCs w:val="24"/>
        </w:rPr>
        <w:t>s</w:t>
      </w:r>
      <w:r w:rsidRPr="00440196" w:rsidR="009B1741">
        <w:rPr>
          <w:rFonts w:ascii="Times New Roman" w:hAnsi="Times New Roman" w:cs="Times New Roman"/>
          <w:sz w:val="24"/>
          <w:szCs w:val="24"/>
        </w:rPr>
        <w:t xml:space="preserve"> that the respondents</w:t>
      </w:r>
      <w:r w:rsidRPr="00440196" w:rsidR="00A23C75">
        <w:rPr>
          <w:rFonts w:ascii="Times New Roman" w:hAnsi="Times New Roman" w:cs="Times New Roman"/>
          <w:sz w:val="24"/>
          <w:szCs w:val="24"/>
        </w:rPr>
        <w:t xml:space="preserve"> for sections 25.1</w:t>
      </w:r>
      <w:r w:rsidRPr="00440196" w:rsidR="008A5BD9">
        <w:rPr>
          <w:rFonts w:ascii="Times New Roman" w:hAnsi="Times New Roman" w:cs="Times New Roman"/>
          <w:sz w:val="24"/>
          <w:szCs w:val="24"/>
        </w:rPr>
        <w:t>3</w:t>
      </w:r>
      <w:r w:rsidRPr="00440196" w:rsidR="00A23C75">
        <w:rPr>
          <w:rFonts w:ascii="Times New Roman" w:hAnsi="Times New Roman" w:cs="Times New Roman"/>
          <w:sz w:val="24"/>
          <w:szCs w:val="24"/>
        </w:rPr>
        <w:t xml:space="preserve">6 and </w:t>
      </w:r>
      <w:r w:rsidRPr="00440196" w:rsidR="008A5BD9">
        <w:rPr>
          <w:rFonts w:ascii="Times New Roman" w:hAnsi="Times New Roman" w:cs="Times New Roman"/>
          <w:sz w:val="24"/>
          <w:szCs w:val="24"/>
        </w:rPr>
        <w:t>3</w:t>
      </w:r>
      <w:r w:rsidRPr="00440196" w:rsidR="00A23C75">
        <w:rPr>
          <w:rFonts w:ascii="Times New Roman" w:hAnsi="Times New Roman" w:cs="Times New Roman"/>
          <w:sz w:val="24"/>
          <w:szCs w:val="24"/>
        </w:rPr>
        <w:t>0.10</w:t>
      </w:r>
      <w:r w:rsidRPr="00440196" w:rsidR="008A5BD9">
        <w:rPr>
          <w:rFonts w:ascii="Times New Roman" w:hAnsi="Times New Roman" w:cs="Times New Roman"/>
          <w:sz w:val="24"/>
          <w:szCs w:val="24"/>
        </w:rPr>
        <w:t>4</w:t>
      </w:r>
      <w:r w:rsidRPr="00440196" w:rsidR="009B1741">
        <w:rPr>
          <w:rFonts w:ascii="Times New Roman" w:hAnsi="Times New Roman" w:cs="Times New Roman"/>
          <w:sz w:val="24"/>
          <w:szCs w:val="24"/>
        </w:rPr>
        <w:t xml:space="preserve"> will use </w:t>
      </w:r>
      <w:r w:rsidRPr="00440196" w:rsidR="0055674C">
        <w:rPr>
          <w:rFonts w:ascii="Times New Roman" w:hAnsi="Times New Roman" w:cs="Times New Roman"/>
          <w:sz w:val="24"/>
          <w:szCs w:val="24"/>
        </w:rPr>
        <w:t xml:space="preserve">a </w:t>
      </w:r>
      <w:r w:rsidRPr="00440196" w:rsidR="009B1741">
        <w:rPr>
          <w:rFonts w:ascii="Times New Roman" w:hAnsi="Times New Roman" w:cs="Times New Roman"/>
          <w:sz w:val="24"/>
          <w:szCs w:val="24"/>
        </w:rPr>
        <w:t xml:space="preserve">consultant engineer ($250/hour) to consult and prepare information. </w:t>
      </w:r>
      <w:r w:rsidRPr="00440196" w:rsidR="00A23C75">
        <w:rPr>
          <w:rFonts w:ascii="Times New Roman" w:hAnsi="Times New Roman" w:cs="Times New Roman"/>
          <w:sz w:val="24"/>
          <w:szCs w:val="24"/>
        </w:rPr>
        <w:t xml:space="preserve">Section 30.107, we assume that </w:t>
      </w:r>
      <w:r w:rsidRPr="00440196" w:rsidR="00344D67">
        <w:rPr>
          <w:rFonts w:ascii="Times New Roman" w:hAnsi="Times New Roman" w:cs="Times New Roman"/>
          <w:sz w:val="24"/>
          <w:szCs w:val="24"/>
        </w:rPr>
        <w:t>10</w:t>
      </w:r>
      <w:r w:rsidRPr="00440196" w:rsidR="002B21C6">
        <w:rPr>
          <w:rFonts w:ascii="Times New Roman" w:hAnsi="Times New Roman" w:cs="Times New Roman"/>
          <w:sz w:val="24"/>
          <w:szCs w:val="24"/>
        </w:rPr>
        <w:t xml:space="preserve"> (</w:t>
      </w:r>
      <w:r w:rsidRPr="00440196" w:rsidR="00A23C75">
        <w:rPr>
          <w:rFonts w:ascii="Times New Roman" w:hAnsi="Times New Roman" w:cs="Times New Roman"/>
          <w:sz w:val="24"/>
          <w:szCs w:val="24"/>
        </w:rPr>
        <w:t xml:space="preserve">100 percent </w:t>
      </w:r>
      <w:r w:rsidRPr="00440196" w:rsidR="002B21C6">
        <w:rPr>
          <w:rFonts w:ascii="Times New Roman" w:hAnsi="Times New Roman" w:cs="Times New Roman"/>
          <w:sz w:val="24"/>
          <w:szCs w:val="24"/>
        </w:rPr>
        <w:t xml:space="preserve">) </w:t>
      </w:r>
      <w:r w:rsidRPr="00440196" w:rsidR="00A23C75">
        <w:rPr>
          <w:rFonts w:ascii="Times New Roman" w:hAnsi="Times New Roman" w:cs="Times New Roman"/>
          <w:sz w:val="24"/>
          <w:szCs w:val="24"/>
        </w:rPr>
        <w:t xml:space="preserve">of the respondents will contract consultants to handle the burden of </w:t>
      </w:r>
      <w:r w:rsidRPr="00440196" w:rsidR="00A23C75">
        <w:rPr>
          <w:rFonts w:ascii="Times New Roman" w:hAnsi="Times New Roman" w:cs="Times New Roman"/>
          <w:sz w:val="24"/>
          <w:szCs w:val="24"/>
        </w:rPr>
        <w:t>reporting. We assume that the respondents will use an attorney ($300</w:t>
      </w:r>
      <w:r w:rsidRPr="00440196" w:rsidR="00344D67">
        <w:rPr>
          <w:rFonts w:ascii="Times New Roman" w:hAnsi="Times New Roman" w:cs="Times New Roman"/>
          <w:sz w:val="24"/>
          <w:szCs w:val="24"/>
        </w:rPr>
        <w:t>/hour</w:t>
      </w:r>
      <w:r w:rsidRPr="00440196" w:rsidR="00A23C75">
        <w:rPr>
          <w:rFonts w:ascii="Times New Roman" w:hAnsi="Times New Roman" w:cs="Times New Roman"/>
          <w:sz w:val="24"/>
          <w:szCs w:val="24"/>
        </w:rPr>
        <w:t>) to consult and prepare information.</w:t>
      </w:r>
    </w:p>
    <w:p w:rsidR="00243C15" w:rsidRPr="00440196" w:rsidP="00643E86" w14:paraId="2A538516" w14:textId="77777777">
      <w:pPr>
        <w:pStyle w:val="ListParagraph"/>
        <w:spacing w:after="0" w:line="240" w:lineRule="auto"/>
        <w:ind w:left="0"/>
        <w:rPr>
          <w:rFonts w:ascii="Times New Roman" w:hAnsi="Times New Roman" w:cs="Times New Roman"/>
          <w:sz w:val="24"/>
          <w:szCs w:val="24"/>
        </w:rPr>
      </w:pPr>
    </w:p>
    <w:p w:rsidR="005527A6" w:rsidRPr="00440196" w:rsidP="00751168" w14:paraId="61257542" w14:textId="1C9AA235">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 xml:space="preserve">-a. </w:t>
      </w:r>
      <w:r w:rsidRPr="00440196">
        <w:rPr>
          <w:rFonts w:ascii="Times New Roman" w:hAnsi="Times New Roman" w:cs="Times New Roman"/>
          <w:i/>
          <w:sz w:val="24"/>
          <w:szCs w:val="24"/>
        </w:rPr>
        <w:t>§25.136, Concerning Satellite Stations – Third Party Disclosure.</w:t>
      </w:r>
      <w:r w:rsidRPr="00440196">
        <w:rPr>
          <w:rFonts w:ascii="Times New Roman" w:hAnsi="Times New Roman" w:cs="Times New Roman"/>
          <w:sz w:val="24"/>
          <w:szCs w:val="24"/>
        </w:rPr>
        <w:t xml:space="preserve"> </w:t>
      </w:r>
    </w:p>
    <w:p w:rsidR="005527A6" w:rsidRPr="00440196" w:rsidP="005527A6" w14:paraId="75103DC4" w14:textId="77777777">
      <w:pPr>
        <w:pStyle w:val="ListParagraph"/>
        <w:spacing w:after="0" w:line="240" w:lineRule="auto"/>
        <w:rPr>
          <w:rFonts w:ascii="Times New Roman" w:hAnsi="Times New Roman" w:cs="Times New Roman"/>
          <w:sz w:val="24"/>
          <w:szCs w:val="24"/>
        </w:rPr>
      </w:pPr>
    </w:p>
    <w:p w:rsidR="005527A6" w:rsidRPr="00440196" w:rsidP="00751168" w14:paraId="0B1E6B69" w14:textId="4E6E1E6C">
      <w:pPr>
        <w:spacing w:after="0" w:line="240" w:lineRule="auto"/>
        <w:rPr>
          <w:rFonts w:ascii="Times New Roman" w:hAnsi="Times New Roman" w:cs="Times New Roman"/>
          <w:sz w:val="24"/>
          <w:szCs w:val="24"/>
        </w:rPr>
      </w:pPr>
      <w:r w:rsidRPr="00440196">
        <w:rPr>
          <w:rFonts w:ascii="Times New Roman" w:hAnsi="Times New Roman" w:cs="Times New Roman"/>
          <w:b/>
          <w:bCs/>
          <w:sz w:val="24"/>
          <w:szCs w:val="24"/>
        </w:rPr>
        <w:t>Annual Cost Burden - Consultant</w:t>
      </w:r>
      <w:r w:rsidRPr="00440196" w:rsidR="00FF2560">
        <w:rPr>
          <w:rFonts w:ascii="Times New Roman" w:hAnsi="Times New Roman" w:cs="Times New Roman"/>
          <w:b/>
          <w:bCs/>
          <w:sz w:val="24"/>
          <w:szCs w:val="24"/>
        </w:rPr>
        <w:t>:</w:t>
      </w:r>
      <w:r w:rsidRPr="00440196" w:rsidR="00FF2560">
        <w:rPr>
          <w:rFonts w:ascii="Times New Roman" w:hAnsi="Times New Roman" w:cs="Times New Roman"/>
          <w:sz w:val="24"/>
          <w:szCs w:val="24"/>
        </w:rPr>
        <w:t xml:space="preserve"> (</w:t>
      </w:r>
      <w:r w:rsidRPr="00440196" w:rsidR="000554FA">
        <w:rPr>
          <w:rFonts w:ascii="Times New Roman" w:hAnsi="Times New Roman" w:cs="Times New Roman"/>
          <w:sz w:val="24"/>
          <w:szCs w:val="24"/>
        </w:rPr>
        <w:t>0</w:t>
      </w:r>
      <w:r w:rsidRPr="00440196" w:rsidR="009061C2">
        <w:rPr>
          <w:rFonts w:ascii="Times New Roman" w:hAnsi="Times New Roman" w:cs="Times New Roman"/>
          <w:sz w:val="24"/>
          <w:szCs w:val="24"/>
        </w:rPr>
        <w:t xml:space="preserve"> </w:t>
      </w:r>
      <w:r w:rsidRPr="00440196">
        <w:rPr>
          <w:rFonts w:ascii="Times New Roman" w:hAnsi="Times New Roman" w:cs="Times New Roman"/>
          <w:sz w:val="24"/>
          <w:szCs w:val="24"/>
        </w:rPr>
        <w:t xml:space="preserve">respondents x </w:t>
      </w:r>
      <w:r w:rsidRPr="00440196" w:rsidR="002B21C6">
        <w:rPr>
          <w:rFonts w:ascii="Times New Roman" w:hAnsi="Times New Roman" w:cs="Times New Roman"/>
          <w:sz w:val="24"/>
          <w:szCs w:val="24"/>
        </w:rPr>
        <w:t>0</w:t>
      </w:r>
      <w:r w:rsidRPr="00440196">
        <w:rPr>
          <w:rFonts w:ascii="Times New Roman" w:hAnsi="Times New Roman" w:cs="Times New Roman"/>
          <w:sz w:val="24"/>
          <w:szCs w:val="24"/>
        </w:rPr>
        <w:t xml:space="preserve"> response each x 0.5 hours of engineer time per response) x $250/hour = $</w:t>
      </w:r>
      <w:r w:rsidRPr="00440196" w:rsidR="002B21C6">
        <w:rPr>
          <w:rFonts w:ascii="Times New Roman" w:hAnsi="Times New Roman" w:cs="Times New Roman"/>
          <w:sz w:val="24"/>
          <w:szCs w:val="24"/>
        </w:rPr>
        <w:t>0</w:t>
      </w:r>
    </w:p>
    <w:p w:rsidR="005527A6" w:rsidRPr="00440196" w:rsidP="005527A6" w14:paraId="290B6181" w14:textId="77777777">
      <w:pPr>
        <w:pStyle w:val="ListParagraph"/>
        <w:spacing w:after="0" w:line="240" w:lineRule="auto"/>
        <w:rPr>
          <w:rFonts w:ascii="Times New Roman" w:hAnsi="Times New Roman" w:cs="Times New Roman"/>
          <w:sz w:val="24"/>
          <w:szCs w:val="24"/>
        </w:rPr>
      </w:pPr>
    </w:p>
    <w:p w:rsidR="005527A6" w:rsidRPr="00440196" w:rsidP="00751168" w14:paraId="34A85AD8" w14:textId="02875521">
      <w:pPr>
        <w:spacing w:after="0" w:line="240" w:lineRule="auto"/>
        <w:rPr>
          <w:rFonts w:ascii="Times New Roman" w:hAnsi="Times New Roman" w:cs="Times New Roman"/>
          <w:i/>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 xml:space="preserve">-b. </w:t>
      </w:r>
      <w:bookmarkStart w:id="24" w:name="_Hlk161846883"/>
      <w:r w:rsidRPr="00440196">
        <w:rPr>
          <w:rFonts w:ascii="Times New Roman" w:hAnsi="Times New Roman" w:cs="Times New Roman"/>
          <w:i/>
          <w:sz w:val="24"/>
          <w:szCs w:val="24"/>
        </w:rPr>
        <w:t>§25.136</w:t>
      </w:r>
      <w:bookmarkEnd w:id="24"/>
      <w:r w:rsidRPr="00440196">
        <w:rPr>
          <w:rFonts w:ascii="Times New Roman" w:hAnsi="Times New Roman" w:cs="Times New Roman"/>
          <w:i/>
          <w:sz w:val="24"/>
          <w:szCs w:val="24"/>
        </w:rPr>
        <w:t xml:space="preserve">, Concerning Satellite Stations - Filing Requirement. </w:t>
      </w:r>
      <w:r w:rsidRPr="00440196" w:rsidR="00126DBC">
        <w:rPr>
          <w:rFonts w:ascii="Times New Roman" w:hAnsi="Times New Roman" w:cs="Times New Roman"/>
          <w:i/>
          <w:sz w:val="24"/>
          <w:szCs w:val="24"/>
        </w:rPr>
        <w:t xml:space="preserve"> </w:t>
      </w:r>
      <w:r w:rsidRPr="00440196" w:rsidR="00DF5B77">
        <w:rPr>
          <w:rFonts w:ascii="Times New Roman" w:hAnsi="Times New Roman" w:cs="Times New Roman"/>
          <w:iCs/>
          <w:sz w:val="24"/>
          <w:szCs w:val="24"/>
        </w:rPr>
        <w:t>We estimate 60 respondents to file 200 applications per year at a burden of 10 hours per response, The Commission estimates that 75 percent (45 respondents and 150 responses) of applications will be completed by outside engineers (Consultant),  and 25 percent (15 respondents and 50 responses) from in-house engineers at $53.50 per hour.</w:t>
      </w:r>
    </w:p>
    <w:p w:rsidR="005527A6" w:rsidRPr="00440196" w:rsidP="005527A6" w14:paraId="39B1E729" w14:textId="77777777">
      <w:pPr>
        <w:pStyle w:val="ListParagraph"/>
        <w:spacing w:after="0" w:line="240" w:lineRule="auto"/>
        <w:rPr>
          <w:rFonts w:ascii="Times New Roman" w:hAnsi="Times New Roman" w:cs="Times New Roman"/>
          <w:sz w:val="24"/>
          <w:szCs w:val="24"/>
        </w:rPr>
      </w:pPr>
    </w:p>
    <w:p w:rsidR="00E50D07" w:rsidRPr="00440196" w:rsidP="005527A6" w14:paraId="78FDEFCD" w14:textId="355F79BF">
      <w:pPr>
        <w:pStyle w:val="ListParagraph"/>
        <w:spacing w:after="0" w:line="240" w:lineRule="auto"/>
        <w:ind w:left="0"/>
        <w:rPr>
          <w:rFonts w:ascii="Times New Roman" w:hAnsi="Times New Roman" w:cs="Times New Roman"/>
          <w:sz w:val="24"/>
          <w:szCs w:val="24"/>
        </w:rPr>
      </w:pPr>
      <w:bookmarkStart w:id="25" w:name="_Hlk161847115"/>
      <w:r w:rsidRPr="00440196">
        <w:rPr>
          <w:rFonts w:ascii="Times New Roman" w:hAnsi="Times New Roman" w:cs="Times New Roman"/>
          <w:b/>
          <w:bCs/>
          <w:sz w:val="24"/>
          <w:szCs w:val="24"/>
        </w:rPr>
        <w:t>Annual Cost Burden – Con</w:t>
      </w:r>
      <w:r w:rsidRPr="00440196" w:rsidR="00335FAB">
        <w:rPr>
          <w:rFonts w:ascii="Times New Roman" w:hAnsi="Times New Roman" w:cs="Times New Roman"/>
          <w:b/>
          <w:bCs/>
          <w:sz w:val="24"/>
          <w:szCs w:val="24"/>
        </w:rPr>
        <w:t>sultant:</w:t>
      </w:r>
      <w:r w:rsidRPr="00440196" w:rsidR="00335FAB">
        <w:rPr>
          <w:rFonts w:ascii="Times New Roman" w:hAnsi="Times New Roman" w:cs="Times New Roman"/>
          <w:sz w:val="24"/>
          <w:szCs w:val="24"/>
        </w:rPr>
        <w:t xml:space="preserve"> </w:t>
      </w:r>
      <w:r w:rsidRPr="00440196" w:rsidR="00D460DD">
        <w:rPr>
          <w:rFonts w:ascii="Times New Roman" w:hAnsi="Times New Roman" w:cs="Times New Roman"/>
          <w:sz w:val="24"/>
          <w:szCs w:val="24"/>
        </w:rPr>
        <w:t>(</w:t>
      </w:r>
      <w:r w:rsidRPr="00440196">
        <w:rPr>
          <w:rFonts w:ascii="Times New Roman" w:hAnsi="Times New Roman" w:cs="Times New Roman"/>
          <w:sz w:val="24"/>
          <w:szCs w:val="24"/>
        </w:rPr>
        <w:t>1</w:t>
      </w:r>
      <w:r w:rsidRPr="00440196" w:rsidR="00B66B90">
        <w:rPr>
          <w:rFonts w:ascii="Times New Roman" w:hAnsi="Times New Roman" w:cs="Times New Roman"/>
          <w:sz w:val="24"/>
          <w:szCs w:val="24"/>
        </w:rPr>
        <w:t>50</w:t>
      </w:r>
      <w:r w:rsidRPr="00440196">
        <w:rPr>
          <w:rFonts w:ascii="Times New Roman" w:hAnsi="Times New Roman" w:cs="Times New Roman"/>
          <w:sz w:val="24"/>
          <w:szCs w:val="24"/>
        </w:rPr>
        <w:t xml:space="preserve"> response</w:t>
      </w:r>
      <w:r w:rsidRPr="00440196" w:rsidR="00B66B90">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B66B90">
        <w:rPr>
          <w:rFonts w:ascii="Times New Roman" w:hAnsi="Times New Roman" w:cs="Times New Roman"/>
          <w:sz w:val="24"/>
          <w:szCs w:val="24"/>
        </w:rPr>
        <w:t xml:space="preserve">total </w:t>
      </w:r>
      <w:r w:rsidRPr="00440196">
        <w:rPr>
          <w:rFonts w:ascii="Times New Roman" w:hAnsi="Times New Roman" w:cs="Times New Roman"/>
          <w:sz w:val="24"/>
          <w:szCs w:val="24"/>
        </w:rPr>
        <w:t>x 10 hour of engineer time per response) x $250/hour =</w:t>
      </w:r>
      <w:bookmarkEnd w:id="25"/>
      <w:r w:rsidRPr="00440196">
        <w:rPr>
          <w:rFonts w:ascii="Times New Roman" w:hAnsi="Times New Roman" w:cs="Times New Roman"/>
          <w:sz w:val="24"/>
          <w:szCs w:val="24"/>
        </w:rPr>
        <w:t xml:space="preserve"> $</w:t>
      </w:r>
      <w:bookmarkStart w:id="26" w:name="_Hlk163043728"/>
      <w:r w:rsidRPr="00440196" w:rsidR="00B66B90">
        <w:rPr>
          <w:rFonts w:ascii="Times New Roman" w:hAnsi="Times New Roman" w:cs="Times New Roman"/>
          <w:sz w:val="24"/>
          <w:szCs w:val="24"/>
        </w:rPr>
        <w:t>375,</w:t>
      </w:r>
      <w:r w:rsidRPr="00440196" w:rsidR="00D713C5">
        <w:rPr>
          <w:rFonts w:ascii="Times New Roman" w:hAnsi="Times New Roman" w:cs="Times New Roman"/>
          <w:sz w:val="24"/>
          <w:szCs w:val="24"/>
        </w:rPr>
        <w:t>00</w:t>
      </w:r>
      <w:r w:rsidRPr="00440196" w:rsidR="004F56D7">
        <w:rPr>
          <w:rFonts w:ascii="Times New Roman" w:hAnsi="Times New Roman" w:cs="Times New Roman"/>
          <w:sz w:val="24"/>
          <w:szCs w:val="24"/>
        </w:rPr>
        <w:t>0</w:t>
      </w:r>
      <w:r w:rsidRPr="00440196" w:rsidR="00D713C5">
        <w:rPr>
          <w:rFonts w:ascii="Times New Roman" w:hAnsi="Times New Roman" w:cs="Times New Roman"/>
          <w:sz w:val="24"/>
          <w:szCs w:val="24"/>
        </w:rPr>
        <w:t>.00</w:t>
      </w:r>
      <w:r w:rsidRPr="00440196">
        <w:rPr>
          <w:rFonts w:ascii="Times New Roman" w:hAnsi="Times New Roman" w:cs="Times New Roman"/>
          <w:sz w:val="24"/>
          <w:szCs w:val="24"/>
        </w:rPr>
        <w:t>.</w:t>
      </w:r>
      <w:bookmarkEnd w:id="26"/>
    </w:p>
    <w:p w:rsidR="00307839" w:rsidRPr="00440196" w:rsidP="005527A6" w14:paraId="40B26CEC" w14:textId="77777777">
      <w:pPr>
        <w:pStyle w:val="ListParagraph"/>
        <w:spacing w:after="0" w:line="240" w:lineRule="auto"/>
        <w:ind w:left="0"/>
        <w:rPr>
          <w:rFonts w:ascii="Times New Roman" w:hAnsi="Times New Roman" w:cs="Times New Roman"/>
          <w:sz w:val="24"/>
          <w:szCs w:val="24"/>
        </w:rPr>
      </w:pPr>
    </w:p>
    <w:p w:rsidR="000E77DF" w:rsidRPr="00440196" w:rsidP="005527A6" w14:paraId="40E5787E" w14:textId="6224BC97">
      <w:pPr>
        <w:pStyle w:val="ListParagraph"/>
        <w:spacing w:after="0" w:line="240" w:lineRule="auto"/>
        <w:ind w:left="0"/>
        <w:rPr>
          <w:rFonts w:ascii="Times New Roman" w:hAnsi="Times New Roman" w:cs="Times New Roman"/>
          <w:i/>
          <w:iCs/>
          <w:sz w:val="24"/>
          <w:szCs w:val="24"/>
        </w:rPr>
      </w:pPr>
      <w:r w:rsidRPr="00440196">
        <w:rPr>
          <w:rFonts w:ascii="Times New Roman" w:hAnsi="Times New Roman" w:cs="Times New Roman"/>
          <w:i/>
          <w:iCs/>
          <w:sz w:val="24"/>
          <w:szCs w:val="24"/>
        </w:rPr>
        <w:t>1</w:t>
      </w:r>
      <w:r w:rsidRPr="00440196" w:rsidR="00F05E4C">
        <w:rPr>
          <w:rFonts w:ascii="Times New Roman" w:hAnsi="Times New Roman" w:cs="Times New Roman"/>
          <w:i/>
          <w:iCs/>
          <w:sz w:val="24"/>
          <w:szCs w:val="24"/>
        </w:rPr>
        <w:t>3</w:t>
      </w:r>
      <w:r w:rsidRPr="00440196">
        <w:rPr>
          <w:rFonts w:ascii="Times New Roman" w:hAnsi="Times New Roman" w:cs="Times New Roman"/>
          <w:i/>
          <w:iCs/>
          <w:sz w:val="24"/>
          <w:szCs w:val="24"/>
        </w:rPr>
        <w:t>-c.</w:t>
      </w:r>
      <w:r w:rsidRPr="00440196">
        <w:rPr>
          <w:rFonts w:ascii="Times New Roman" w:hAnsi="Times New Roman" w:cs="Times New Roman"/>
          <w:i/>
          <w:iCs/>
          <w:sz w:val="24"/>
          <w:szCs w:val="24"/>
        </w:rPr>
        <w:tab/>
        <w:t xml:space="preserve">Reporting ‒ Compliance </w:t>
      </w:r>
      <w:bookmarkStart w:id="27" w:name="_Hlk163045968"/>
      <w:r w:rsidRPr="00440196">
        <w:rPr>
          <w:rFonts w:ascii="Times New Roman" w:hAnsi="Times New Roman" w:cs="Times New Roman"/>
          <w:i/>
          <w:iCs/>
          <w:sz w:val="24"/>
          <w:szCs w:val="24"/>
        </w:rPr>
        <w:t>with §30.3</w:t>
      </w:r>
      <w:bookmarkEnd w:id="27"/>
      <w:r w:rsidRPr="00440196">
        <w:rPr>
          <w:rFonts w:ascii="Times New Roman" w:hAnsi="Times New Roman" w:cs="Times New Roman"/>
          <w:i/>
          <w:iCs/>
          <w:sz w:val="24"/>
          <w:szCs w:val="24"/>
        </w:rPr>
        <w:t>, Eligibility, Foreign ownership reports.</w:t>
      </w:r>
    </w:p>
    <w:p w:rsidR="00307839" w:rsidRPr="00440196" w:rsidP="005527A6" w14:paraId="536D4495" w14:textId="77777777">
      <w:pPr>
        <w:pStyle w:val="ListParagraph"/>
        <w:spacing w:after="0" w:line="240" w:lineRule="auto"/>
        <w:ind w:left="0"/>
        <w:rPr>
          <w:rFonts w:ascii="Times New Roman" w:hAnsi="Times New Roman" w:cs="Times New Roman"/>
          <w:sz w:val="24"/>
          <w:szCs w:val="24"/>
        </w:rPr>
      </w:pPr>
    </w:p>
    <w:p w:rsidR="00307839" w:rsidRPr="00440196" w:rsidP="005527A6" w14:paraId="54B6B857" w14:textId="3473A427">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Annual Cost Burden:  $0</w:t>
      </w:r>
    </w:p>
    <w:p w:rsidR="00307839" w:rsidRPr="00440196" w:rsidP="005527A6" w14:paraId="6BC8E530" w14:textId="77777777">
      <w:pPr>
        <w:pStyle w:val="ListParagraph"/>
        <w:spacing w:after="0" w:line="240" w:lineRule="auto"/>
        <w:ind w:left="0"/>
        <w:rPr>
          <w:rFonts w:ascii="Times New Roman" w:hAnsi="Times New Roman" w:cs="Times New Roman"/>
          <w:sz w:val="24"/>
          <w:szCs w:val="24"/>
        </w:rPr>
      </w:pPr>
    </w:p>
    <w:p w:rsidR="00DF5B77" w:rsidRPr="00440196" w:rsidP="005527A6" w14:paraId="6F90CB36" w14:textId="2F0C3258">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sidR="00D56CF6">
        <w:rPr>
          <w:rFonts w:ascii="Times New Roman" w:hAnsi="Times New Roman" w:cs="Times New Roman"/>
          <w:sz w:val="24"/>
          <w:szCs w:val="24"/>
        </w:rPr>
        <w:t>-</w:t>
      </w:r>
      <w:r w:rsidRPr="00440196">
        <w:rPr>
          <w:rFonts w:ascii="Times New Roman" w:hAnsi="Times New Roman" w:cs="Times New Roman"/>
          <w:sz w:val="24"/>
          <w:szCs w:val="24"/>
        </w:rPr>
        <w:t xml:space="preserve">d. </w:t>
      </w:r>
      <w:bookmarkStart w:id="28" w:name="_Hlk163043649"/>
      <w:r w:rsidRPr="00440196">
        <w:rPr>
          <w:rFonts w:ascii="Times New Roman" w:hAnsi="Times New Roman" w:cs="Times New Roman"/>
          <w:i/>
          <w:iCs/>
          <w:sz w:val="24"/>
          <w:szCs w:val="24"/>
        </w:rPr>
        <w:t>§</w:t>
      </w:r>
      <w:r w:rsidRPr="00440196" w:rsidR="00292B9A">
        <w:rPr>
          <w:rFonts w:ascii="Times New Roman" w:hAnsi="Times New Roman" w:cs="Times New Roman"/>
          <w:i/>
          <w:iCs/>
          <w:sz w:val="24"/>
          <w:szCs w:val="24"/>
        </w:rPr>
        <w:t>30.104</w:t>
      </w:r>
      <w:bookmarkEnd w:id="28"/>
      <w:r w:rsidRPr="00440196">
        <w:rPr>
          <w:rFonts w:ascii="Times New Roman" w:hAnsi="Times New Roman" w:cs="Times New Roman"/>
          <w:i/>
          <w:iCs/>
          <w:sz w:val="24"/>
          <w:szCs w:val="24"/>
        </w:rPr>
        <w:t>. Reporting ‒ Compliance with §30.104, Subpart B – Applications and Licenses,</w:t>
      </w:r>
      <w:r w:rsidRPr="00440196" w:rsidR="00307839">
        <w:rPr>
          <w:rFonts w:ascii="Times New Roman" w:hAnsi="Times New Roman" w:cs="Times New Roman"/>
          <w:i/>
          <w:iCs/>
          <w:sz w:val="24"/>
          <w:szCs w:val="24"/>
        </w:rPr>
        <w:t xml:space="preserve"> </w:t>
      </w:r>
      <w:r w:rsidRPr="00440196">
        <w:rPr>
          <w:rFonts w:ascii="Times New Roman" w:hAnsi="Times New Roman" w:cs="Times New Roman"/>
          <w:i/>
          <w:iCs/>
          <w:sz w:val="24"/>
          <w:szCs w:val="24"/>
        </w:rPr>
        <w:t>Construction requirements</w:t>
      </w:r>
      <w:r w:rsidRPr="00440196" w:rsidR="00D56CF6">
        <w:rPr>
          <w:rFonts w:ascii="Times New Roman" w:hAnsi="Times New Roman" w:cs="Times New Roman"/>
          <w:i/>
          <w:iCs/>
          <w:sz w:val="24"/>
          <w:szCs w:val="24"/>
        </w:rPr>
        <w:t>.</w:t>
      </w:r>
      <w:r w:rsidRPr="00440196" w:rsidR="00126DBC">
        <w:rPr>
          <w:rFonts w:ascii="Times New Roman" w:hAnsi="Times New Roman" w:cs="Times New Roman"/>
          <w:i/>
          <w:iCs/>
          <w:sz w:val="24"/>
          <w:szCs w:val="24"/>
        </w:rPr>
        <w:t xml:space="preserve"> </w:t>
      </w:r>
      <w:bookmarkStart w:id="29" w:name="_Hlk162430845"/>
      <w:r w:rsidRPr="00440196">
        <w:rPr>
          <w:rFonts w:ascii="Times New Roman" w:hAnsi="Times New Roman" w:cs="Times New Roman"/>
          <w:sz w:val="24"/>
          <w:szCs w:val="24"/>
        </w:rPr>
        <w:t xml:space="preserve">We estimate 28 respondents to file 1,256 </w:t>
      </w:r>
      <w:r w:rsidRPr="00440196" w:rsidR="00126DBC">
        <w:rPr>
          <w:rFonts w:ascii="Times New Roman" w:hAnsi="Times New Roman" w:cs="Times New Roman"/>
          <w:sz w:val="24"/>
          <w:szCs w:val="24"/>
        </w:rPr>
        <w:t>responses</w:t>
      </w:r>
      <w:r w:rsidRPr="00440196">
        <w:rPr>
          <w:rFonts w:ascii="Times New Roman" w:hAnsi="Times New Roman" w:cs="Times New Roman"/>
          <w:sz w:val="24"/>
          <w:szCs w:val="24"/>
        </w:rPr>
        <w:t xml:space="preserve"> per year burden of 2 hours for each response.  </w:t>
      </w:r>
      <w:bookmarkEnd w:id="29"/>
      <w:r w:rsidRPr="00440196">
        <w:rPr>
          <w:rFonts w:ascii="Times New Roman" w:hAnsi="Times New Roman" w:cs="Times New Roman"/>
          <w:sz w:val="24"/>
          <w:szCs w:val="24"/>
        </w:rPr>
        <w:t xml:space="preserve">The Commission estimates that 25 percent </w:t>
      </w:r>
      <w:r w:rsidRPr="00440196" w:rsidR="00126DBC">
        <w:rPr>
          <w:rFonts w:ascii="Times New Roman" w:hAnsi="Times New Roman" w:cs="Times New Roman"/>
          <w:sz w:val="24"/>
          <w:szCs w:val="24"/>
        </w:rPr>
        <w:t xml:space="preserve">(7 respondents and 314 responses) </w:t>
      </w:r>
      <w:r w:rsidRPr="00440196">
        <w:rPr>
          <w:rFonts w:ascii="Times New Roman" w:hAnsi="Times New Roman" w:cs="Times New Roman"/>
          <w:sz w:val="24"/>
          <w:szCs w:val="24"/>
        </w:rPr>
        <w:t>of applications</w:t>
      </w:r>
      <w:r w:rsidRPr="00440196" w:rsidR="00126DBC">
        <w:rPr>
          <w:rFonts w:ascii="Times New Roman" w:hAnsi="Times New Roman" w:cs="Times New Roman"/>
          <w:sz w:val="24"/>
          <w:szCs w:val="24"/>
        </w:rPr>
        <w:t xml:space="preserve"> </w:t>
      </w:r>
      <w:r w:rsidRPr="00440196">
        <w:rPr>
          <w:rFonts w:ascii="Times New Roman" w:hAnsi="Times New Roman" w:cs="Times New Roman"/>
          <w:sz w:val="24"/>
          <w:szCs w:val="24"/>
        </w:rPr>
        <w:t>will be completed by outside engineers (Consultant) and 75 percent (21 respondents and 942 responses) from in-house engineers.</w:t>
      </w:r>
    </w:p>
    <w:p w:rsidR="00D56CF6" w:rsidRPr="00440196" w:rsidP="005527A6" w14:paraId="2231715E" w14:textId="77777777">
      <w:pPr>
        <w:pStyle w:val="ListParagraph"/>
        <w:spacing w:after="0" w:line="240" w:lineRule="auto"/>
        <w:ind w:left="0"/>
        <w:rPr>
          <w:rFonts w:ascii="Times New Roman" w:hAnsi="Times New Roman" w:cs="Times New Roman"/>
          <w:sz w:val="24"/>
          <w:szCs w:val="24"/>
        </w:rPr>
      </w:pPr>
    </w:p>
    <w:p w:rsidR="00D56CF6" w:rsidRPr="00440196" w:rsidP="005527A6" w14:paraId="1DC892DE" w14:textId="3BE4185A">
      <w:pPr>
        <w:pStyle w:val="ListParagraph"/>
        <w:spacing w:after="0" w:line="240" w:lineRule="auto"/>
        <w:ind w:left="0"/>
        <w:rPr>
          <w:rFonts w:ascii="Times New Roman" w:hAnsi="Times New Roman" w:cs="Times New Roman"/>
          <w:sz w:val="24"/>
          <w:szCs w:val="24"/>
        </w:rPr>
      </w:pPr>
      <w:bookmarkStart w:id="30" w:name="_Hlk161847482"/>
      <w:r w:rsidRPr="00440196">
        <w:rPr>
          <w:rFonts w:ascii="Times New Roman" w:hAnsi="Times New Roman" w:cs="Times New Roman"/>
          <w:b/>
          <w:bCs/>
          <w:sz w:val="24"/>
          <w:szCs w:val="24"/>
        </w:rPr>
        <w:t>Annual Cost Burden – Consultant:</w:t>
      </w:r>
      <w:r w:rsidRPr="00440196">
        <w:rPr>
          <w:rFonts w:ascii="Times New Roman" w:hAnsi="Times New Roman" w:cs="Times New Roman"/>
          <w:sz w:val="24"/>
          <w:szCs w:val="24"/>
        </w:rPr>
        <w:t xml:space="preserve"> </w:t>
      </w:r>
      <w:r w:rsidRPr="00440196" w:rsidR="00126DBC">
        <w:rPr>
          <w:rFonts w:ascii="Times New Roman" w:hAnsi="Times New Roman" w:cs="Times New Roman"/>
          <w:sz w:val="24"/>
          <w:szCs w:val="24"/>
        </w:rPr>
        <w:t xml:space="preserve"> </w:t>
      </w:r>
      <w:r w:rsidRPr="00440196" w:rsidR="00D460DD">
        <w:rPr>
          <w:rFonts w:ascii="Times New Roman" w:hAnsi="Times New Roman" w:cs="Times New Roman"/>
          <w:sz w:val="24"/>
          <w:szCs w:val="24"/>
        </w:rPr>
        <w:t>(</w:t>
      </w:r>
      <w:r w:rsidRPr="00440196">
        <w:rPr>
          <w:rFonts w:ascii="Times New Roman" w:hAnsi="Times New Roman" w:cs="Times New Roman"/>
          <w:sz w:val="24"/>
          <w:szCs w:val="24"/>
        </w:rPr>
        <w:t>314 response</w:t>
      </w:r>
      <w:r w:rsidRPr="00440196" w:rsidR="00344D67">
        <w:rPr>
          <w:rFonts w:ascii="Times New Roman" w:hAnsi="Times New Roman" w:cs="Times New Roman"/>
          <w:sz w:val="24"/>
          <w:szCs w:val="24"/>
        </w:rPr>
        <w:t>s</w:t>
      </w:r>
      <w:r w:rsidRPr="00440196">
        <w:rPr>
          <w:rFonts w:ascii="Times New Roman" w:hAnsi="Times New Roman" w:cs="Times New Roman"/>
          <w:sz w:val="24"/>
          <w:szCs w:val="24"/>
        </w:rPr>
        <w:t xml:space="preserve"> </w:t>
      </w:r>
      <w:r w:rsidRPr="00440196" w:rsidR="00344D67">
        <w:rPr>
          <w:rFonts w:ascii="Times New Roman" w:hAnsi="Times New Roman" w:cs="Times New Roman"/>
          <w:sz w:val="24"/>
          <w:szCs w:val="24"/>
        </w:rPr>
        <w:t xml:space="preserve">total </w:t>
      </w:r>
      <w:r w:rsidRPr="00440196">
        <w:rPr>
          <w:rFonts w:ascii="Times New Roman" w:hAnsi="Times New Roman" w:cs="Times New Roman"/>
          <w:sz w:val="24"/>
          <w:szCs w:val="24"/>
        </w:rPr>
        <w:t>x 2 hour of engineer time per response) x $250/hour = $</w:t>
      </w:r>
      <w:r w:rsidRPr="00440196" w:rsidR="00344D67">
        <w:rPr>
          <w:rFonts w:ascii="Times New Roman" w:hAnsi="Times New Roman" w:cs="Times New Roman"/>
          <w:sz w:val="24"/>
          <w:szCs w:val="24"/>
        </w:rPr>
        <w:t>157</w:t>
      </w:r>
      <w:r w:rsidRPr="00440196">
        <w:rPr>
          <w:rFonts w:ascii="Times New Roman" w:hAnsi="Times New Roman" w:cs="Times New Roman"/>
          <w:sz w:val="24"/>
          <w:szCs w:val="24"/>
        </w:rPr>
        <w:t>,000.00</w:t>
      </w:r>
    </w:p>
    <w:bookmarkEnd w:id="30"/>
    <w:p w:rsidR="00D56CF6" w:rsidRPr="00440196" w:rsidP="005527A6" w14:paraId="6B186029" w14:textId="77777777">
      <w:pPr>
        <w:pStyle w:val="ListParagraph"/>
        <w:spacing w:after="0" w:line="240" w:lineRule="auto"/>
        <w:ind w:left="0"/>
        <w:rPr>
          <w:rFonts w:ascii="Times New Roman" w:hAnsi="Times New Roman" w:cs="Times New Roman"/>
          <w:sz w:val="24"/>
          <w:szCs w:val="24"/>
        </w:rPr>
      </w:pPr>
    </w:p>
    <w:p w:rsidR="00D56CF6" w:rsidRPr="00440196" w:rsidP="00D56CF6" w14:paraId="78A0BDB7" w14:textId="0CFC25D6">
      <w:pPr>
        <w:spacing w:after="0" w:line="240" w:lineRule="auto"/>
        <w:rPr>
          <w:rFonts w:ascii="Times New Roman" w:hAnsi="Times New Roman" w:cs="Times New Roman"/>
          <w:sz w:val="24"/>
          <w:szCs w:val="24"/>
        </w:rPr>
      </w:pPr>
      <w:bookmarkStart w:id="31" w:name="_Hlk163043682"/>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-e.</w:t>
      </w:r>
      <w:r w:rsidRPr="00440196">
        <w:rPr>
          <w:rFonts w:ascii="Times New Roman" w:hAnsi="Times New Roman" w:cs="Times New Roman"/>
          <w:i/>
          <w:iCs/>
          <w:sz w:val="24"/>
          <w:szCs w:val="24"/>
        </w:rPr>
        <w:t xml:space="preserve"> §30.107</w:t>
      </w:r>
      <w:bookmarkEnd w:id="31"/>
      <w:r w:rsidRPr="00440196">
        <w:rPr>
          <w:rFonts w:ascii="Times New Roman" w:hAnsi="Times New Roman" w:cs="Times New Roman"/>
          <w:i/>
          <w:iCs/>
          <w:sz w:val="24"/>
          <w:szCs w:val="24"/>
        </w:rPr>
        <w:t>, Subpart B – Applications and Licenses Discontinuance of Service</w:t>
      </w:r>
    </w:p>
    <w:p w:rsidR="00307839" w:rsidRPr="00440196" w:rsidP="00D56CF6" w14:paraId="1781DC67" w14:textId="77777777">
      <w:pPr>
        <w:spacing w:after="0" w:line="240" w:lineRule="auto"/>
        <w:rPr>
          <w:rFonts w:ascii="Times New Roman" w:hAnsi="Times New Roman" w:cs="Times New Roman"/>
          <w:sz w:val="24"/>
          <w:szCs w:val="24"/>
        </w:rPr>
      </w:pPr>
    </w:p>
    <w:p w:rsidR="00D56CF6" w:rsidRPr="00440196" w:rsidP="00324D54" w14:paraId="0BCD1426" w14:textId="054DA7B4">
      <w:pPr>
        <w:spacing w:after="0" w:line="240" w:lineRule="auto"/>
        <w:rPr>
          <w:rFonts w:ascii="Times New Roman" w:hAnsi="Times New Roman" w:cs="Times New Roman"/>
          <w:sz w:val="24"/>
          <w:szCs w:val="24"/>
        </w:rPr>
      </w:pPr>
      <w:r w:rsidRPr="00440196">
        <w:rPr>
          <w:rFonts w:ascii="Times New Roman" w:hAnsi="Times New Roman" w:cs="Times New Roman"/>
          <w:b/>
          <w:bCs/>
          <w:sz w:val="24"/>
          <w:szCs w:val="24"/>
        </w:rPr>
        <w:t xml:space="preserve">Annual Cost Burden – Consultant: </w:t>
      </w:r>
      <w:r w:rsidRPr="00440196">
        <w:rPr>
          <w:rFonts w:ascii="Times New Roman" w:hAnsi="Times New Roman" w:cs="Times New Roman"/>
          <w:sz w:val="24"/>
          <w:szCs w:val="24"/>
        </w:rPr>
        <w:t>10 respondents x 1 response each x 0.5 hour of attorney time per response) x $</w:t>
      </w:r>
      <w:r w:rsidRPr="00440196" w:rsidR="008D2B93">
        <w:rPr>
          <w:rFonts w:ascii="Times New Roman" w:hAnsi="Times New Roman" w:cs="Times New Roman"/>
          <w:sz w:val="24"/>
          <w:szCs w:val="24"/>
        </w:rPr>
        <w:t>300</w:t>
      </w:r>
      <w:r w:rsidRPr="00440196">
        <w:rPr>
          <w:rFonts w:ascii="Times New Roman" w:hAnsi="Times New Roman" w:cs="Times New Roman"/>
          <w:sz w:val="24"/>
          <w:szCs w:val="24"/>
        </w:rPr>
        <w:t xml:space="preserve">/hour = </w:t>
      </w:r>
      <w:bookmarkStart w:id="32" w:name="_Hlk163043757"/>
      <w:r w:rsidRPr="00440196">
        <w:rPr>
          <w:rFonts w:ascii="Times New Roman" w:hAnsi="Times New Roman" w:cs="Times New Roman"/>
          <w:sz w:val="24"/>
          <w:szCs w:val="24"/>
        </w:rPr>
        <w:t>$1,</w:t>
      </w:r>
      <w:r w:rsidRPr="00440196" w:rsidR="008D2B93">
        <w:rPr>
          <w:rFonts w:ascii="Times New Roman" w:hAnsi="Times New Roman" w:cs="Times New Roman"/>
          <w:sz w:val="24"/>
          <w:szCs w:val="24"/>
        </w:rPr>
        <w:t>500</w:t>
      </w:r>
      <w:r w:rsidRPr="00440196">
        <w:rPr>
          <w:rFonts w:ascii="Times New Roman" w:hAnsi="Times New Roman" w:cs="Times New Roman"/>
          <w:sz w:val="24"/>
          <w:szCs w:val="24"/>
        </w:rPr>
        <w:t>.00</w:t>
      </w:r>
      <w:bookmarkEnd w:id="32"/>
    </w:p>
    <w:p w:rsidR="004F56D7" w:rsidRPr="00440196" w:rsidP="00324D54" w14:paraId="76E52263" w14:textId="77777777">
      <w:pPr>
        <w:spacing w:after="0" w:line="240" w:lineRule="auto"/>
        <w:rPr>
          <w:rFonts w:ascii="Times New Roman" w:hAnsi="Times New Roman" w:cs="Times New Roman"/>
          <w:sz w:val="24"/>
          <w:szCs w:val="24"/>
        </w:rPr>
      </w:pPr>
    </w:p>
    <w:p w:rsidR="004F56D7" w:rsidRPr="00440196" w:rsidP="004F56D7" w14:paraId="5402C18B" w14:textId="14EC3EFC">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 xml:space="preserve">-a. §25.136 = </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t>$0.</w:t>
      </w:r>
    </w:p>
    <w:p w:rsidR="004F56D7" w:rsidRPr="00440196" w:rsidP="004F56D7" w14:paraId="08C7C93E" w14:textId="156648CD">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 xml:space="preserve">-b. §25.136 = </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t>$375,000.00.</w:t>
      </w:r>
    </w:p>
    <w:p w:rsidR="00307839" w:rsidRPr="00440196" w:rsidP="004F56D7" w14:paraId="4E715596" w14:textId="745B226E">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-c.</w:t>
      </w:r>
      <w:r w:rsidRPr="00440196">
        <w:t xml:space="preserve"> </w:t>
      </w:r>
      <w:r w:rsidRPr="00440196">
        <w:rPr>
          <w:rFonts w:ascii="Times New Roman" w:hAnsi="Times New Roman" w:cs="Times New Roman"/>
          <w:sz w:val="24"/>
          <w:szCs w:val="24"/>
        </w:rPr>
        <w:t>§30.3     =</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t>$0.</w:t>
      </w:r>
    </w:p>
    <w:p w:rsidR="004F56D7" w:rsidRPr="00440196" w:rsidP="004F56D7" w14:paraId="5C789EAD" w14:textId="544F383B">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-d. §30.104 =</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t>$157,000.00.</w:t>
      </w:r>
    </w:p>
    <w:p w:rsidR="004F56D7" w:rsidRPr="00440196" w:rsidP="004F56D7" w14:paraId="6A5C68BB" w14:textId="235BD67D">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w:t>
      </w:r>
      <w:r w:rsidRPr="00440196" w:rsidR="00F05E4C">
        <w:rPr>
          <w:rFonts w:ascii="Times New Roman" w:hAnsi="Times New Roman" w:cs="Times New Roman"/>
          <w:sz w:val="24"/>
          <w:szCs w:val="24"/>
        </w:rPr>
        <w:t>3</w:t>
      </w:r>
      <w:r w:rsidRPr="00440196">
        <w:rPr>
          <w:rFonts w:ascii="Times New Roman" w:hAnsi="Times New Roman" w:cs="Times New Roman"/>
          <w:sz w:val="24"/>
          <w:szCs w:val="24"/>
        </w:rPr>
        <w:t>-e. §30.107 =</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u w:val="single"/>
        </w:rPr>
        <w:t>$    1,500.00.</w:t>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r w:rsidRPr="00440196">
        <w:rPr>
          <w:rFonts w:ascii="Times New Roman" w:hAnsi="Times New Roman" w:cs="Times New Roman"/>
          <w:sz w:val="24"/>
          <w:szCs w:val="24"/>
        </w:rPr>
        <w:tab/>
      </w:r>
    </w:p>
    <w:p w:rsidR="004F56D7" w:rsidRPr="00440196" w:rsidP="004F56D7" w14:paraId="74861AF0" w14:textId="1EB7FE79">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Total Annual Cost Burden – Consultant</w:t>
      </w:r>
      <w:r w:rsidRPr="00440196">
        <w:rPr>
          <w:rFonts w:ascii="Times New Roman" w:hAnsi="Times New Roman" w:cs="Times New Roman"/>
          <w:sz w:val="24"/>
          <w:szCs w:val="24"/>
        </w:rPr>
        <w:tab/>
        <w:t>$533,500.00.</w:t>
      </w:r>
    </w:p>
    <w:p w:rsidR="00E50D07" w:rsidRPr="00440196" w:rsidP="00643E86" w14:paraId="5D82E3AD" w14:textId="77777777">
      <w:pPr>
        <w:pStyle w:val="ListParagraph"/>
        <w:spacing w:after="0" w:line="240" w:lineRule="auto"/>
        <w:ind w:left="0"/>
        <w:rPr>
          <w:rFonts w:ascii="Times New Roman" w:hAnsi="Times New Roman" w:cs="Times New Roman"/>
          <w:sz w:val="24"/>
          <w:szCs w:val="24"/>
        </w:rPr>
      </w:pPr>
    </w:p>
    <w:p w:rsidR="003D3A37" w:rsidRPr="00440196" w:rsidP="00643E86" w14:paraId="01653F7D" w14:textId="28BA9FC1">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b/>
          <w:sz w:val="24"/>
          <w:szCs w:val="24"/>
        </w:rPr>
        <w:t xml:space="preserve">TOTAL CAPITAL AND START-UP COSTS and/or OPERATION AND MAINTENANCE (O&amp;M COSTS):   </w:t>
      </w:r>
      <w:r w:rsidRPr="00440196" w:rsidR="009C7472">
        <w:rPr>
          <w:rFonts w:ascii="Times New Roman" w:hAnsi="Times New Roman" w:cs="Times New Roman"/>
          <w:b/>
          <w:sz w:val="24"/>
          <w:szCs w:val="24"/>
        </w:rPr>
        <w:t>$</w:t>
      </w:r>
      <w:r w:rsidRPr="00440196" w:rsidR="00D460DD">
        <w:rPr>
          <w:rFonts w:ascii="Times New Roman" w:hAnsi="Times New Roman" w:cs="Times New Roman"/>
          <w:b/>
          <w:sz w:val="24"/>
          <w:szCs w:val="24"/>
        </w:rPr>
        <w:t>533,500.00</w:t>
      </w:r>
    </w:p>
    <w:p w:rsidR="006365C9" w:rsidRPr="00440196" w:rsidP="00643E86" w14:paraId="24415782" w14:textId="77777777">
      <w:pPr>
        <w:pStyle w:val="ListParagraph"/>
        <w:spacing w:after="0" w:line="240" w:lineRule="auto"/>
        <w:ind w:left="0"/>
        <w:rPr>
          <w:rFonts w:ascii="Times New Roman" w:hAnsi="Times New Roman" w:cs="Times New Roman"/>
          <w:sz w:val="24"/>
          <w:szCs w:val="24"/>
        </w:rPr>
      </w:pPr>
    </w:p>
    <w:p w:rsidR="00C44C0B" w:rsidRPr="00440196" w:rsidP="00643E86" w14:paraId="5288034A" w14:textId="77777777">
      <w:pPr>
        <w:pStyle w:val="ListParagraph"/>
        <w:spacing w:after="0" w:line="240" w:lineRule="auto"/>
        <w:ind w:left="0"/>
        <w:rPr>
          <w:rFonts w:ascii="Times New Roman" w:hAnsi="Times New Roman" w:cs="Times New Roman"/>
          <w:sz w:val="24"/>
          <w:szCs w:val="24"/>
        </w:rPr>
      </w:pPr>
    </w:p>
    <w:p w:rsidR="00C44C0B" w:rsidRPr="00440196" w:rsidP="00643E86" w14:paraId="7886E752" w14:textId="77777777">
      <w:pPr>
        <w:pStyle w:val="ListParagraph"/>
        <w:spacing w:after="0" w:line="240" w:lineRule="auto"/>
        <w:ind w:left="0"/>
        <w:rPr>
          <w:rFonts w:ascii="Times New Roman" w:hAnsi="Times New Roman" w:cs="Times New Roman"/>
          <w:sz w:val="24"/>
          <w:szCs w:val="24"/>
        </w:rPr>
      </w:pPr>
    </w:p>
    <w:p w:rsidR="00A2748D" w:rsidRPr="00440196" w:rsidP="00255F42" w14:paraId="79C6D96F"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14.</w:t>
      </w:r>
      <w:r w:rsidRPr="00440196">
        <w:rPr>
          <w:rFonts w:ascii="Times New Roman" w:hAnsi="Times New Roman" w:cs="Times New Roman"/>
          <w:sz w:val="24"/>
          <w:szCs w:val="24"/>
        </w:rPr>
        <w:tab/>
      </w:r>
      <w:r w:rsidRPr="00440196" w:rsidR="00751168">
        <w:rPr>
          <w:rFonts w:ascii="Times New Roman" w:hAnsi="Times New Roman" w:cs="Times New Roman"/>
          <w:sz w:val="24"/>
          <w:szCs w:val="24"/>
        </w:rPr>
        <w:t>Government Cost</w:t>
      </w:r>
      <w:r w:rsidRPr="00440196" w:rsidR="00272321">
        <w:rPr>
          <w:rFonts w:ascii="Times New Roman" w:hAnsi="Times New Roman" w:cs="Times New Roman"/>
          <w:sz w:val="24"/>
          <w:szCs w:val="24"/>
        </w:rPr>
        <w:t xml:space="preserve">: </w:t>
      </w:r>
      <w:r w:rsidRPr="00440196" w:rsidR="003D3A37">
        <w:rPr>
          <w:rFonts w:ascii="Times New Roman" w:hAnsi="Times New Roman" w:cs="Times New Roman"/>
          <w:sz w:val="24"/>
          <w:szCs w:val="24"/>
        </w:rPr>
        <w:t xml:space="preserve"> </w:t>
      </w:r>
    </w:p>
    <w:p w:rsidR="00A2748D" w:rsidRPr="00440196" w:rsidP="00255F42" w14:paraId="5C908067" w14:textId="77777777">
      <w:pPr>
        <w:spacing w:after="0" w:line="240" w:lineRule="auto"/>
        <w:rPr>
          <w:rFonts w:ascii="Times New Roman" w:hAnsi="Times New Roman" w:cs="Times New Roman"/>
          <w:sz w:val="24"/>
          <w:szCs w:val="24"/>
        </w:rPr>
      </w:pPr>
    </w:p>
    <w:p w:rsidR="00255F42" w:rsidRPr="00440196" w:rsidP="00255F42" w14:paraId="2E9AE86E" w14:textId="77777777">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14-a-b.</w:t>
      </w:r>
      <w:r w:rsidRPr="00440196">
        <w:rPr>
          <w:rFonts w:ascii="Times New Roman" w:hAnsi="Times New Roman" w:cs="Times New Roman"/>
          <w:sz w:val="24"/>
          <w:szCs w:val="24"/>
        </w:rPr>
        <w:t xml:space="preserve">  </w:t>
      </w:r>
      <w:r w:rsidRPr="00440196">
        <w:rPr>
          <w:rFonts w:ascii="Times New Roman" w:hAnsi="Times New Roman" w:cs="Times New Roman"/>
          <w:i/>
          <w:sz w:val="24"/>
          <w:szCs w:val="24"/>
        </w:rPr>
        <w:t xml:space="preserve">Compliance with §25.136, Concerning Satellite Stations. </w:t>
      </w:r>
      <w:r w:rsidRPr="00440196">
        <w:rPr>
          <w:rFonts w:ascii="Times New Roman" w:hAnsi="Times New Roman" w:cs="Times New Roman"/>
          <w:sz w:val="24"/>
          <w:szCs w:val="24"/>
        </w:rPr>
        <w:t>The licensees are required to file an application, however, the actual approval under the PRA for the application and the filing of it with the Commission is approved under OMB number 3060-0738 (</w:t>
      </w:r>
      <w:hyperlink r:id="rId6" w:history="1">
        <w:r w:rsidRPr="00440196">
          <w:rPr>
            <w:rStyle w:val="Hyperlink"/>
            <w:rFonts w:ascii="Times New Roman" w:hAnsi="Times New Roman" w:cs="Times New Roman"/>
            <w:color w:val="auto"/>
            <w:sz w:val="24"/>
            <w:szCs w:val="24"/>
            <w:u w:val="none"/>
          </w:rPr>
          <w:t>Part 25 of the Federal Communications Commission's Rules Governing the Licensing of, and Spectrum Usage By, Commercial Earth Stations and Space Stations)</w:t>
        </w:r>
      </w:hyperlink>
      <w:r w:rsidRPr="00440196">
        <w:rPr>
          <w:rFonts w:ascii="Times New Roman" w:hAnsi="Times New Roman" w:cs="Times New Roman"/>
          <w:sz w:val="24"/>
          <w:szCs w:val="24"/>
        </w:rPr>
        <w:t>.</w:t>
      </w:r>
    </w:p>
    <w:p w:rsidR="00255F42" w:rsidRPr="00440196" w:rsidP="00255F42" w14:paraId="07D384DA" w14:textId="77777777">
      <w:pPr>
        <w:spacing w:after="0" w:line="240" w:lineRule="auto"/>
        <w:rPr>
          <w:rFonts w:ascii="Times New Roman" w:hAnsi="Times New Roman" w:cs="Times New Roman"/>
          <w:i/>
          <w:sz w:val="24"/>
          <w:szCs w:val="24"/>
        </w:rPr>
      </w:pPr>
    </w:p>
    <w:p w:rsidR="00255F42" w:rsidRPr="00440196" w:rsidP="00255F42" w14:paraId="589C5E35" w14:textId="77777777">
      <w:pPr>
        <w:spacing w:after="0" w:line="240" w:lineRule="auto"/>
        <w:rPr>
          <w:rFonts w:ascii="Times New Roman" w:hAnsi="Times New Roman" w:cs="Times New Roman"/>
          <w:b/>
          <w:sz w:val="24"/>
          <w:szCs w:val="24"/>
        </w:rPr>
      </w:pPr>
      <w:bookmarkStart w:id="33" w:name="_Hlk163045784"/>
      <w:r w:rsidRPr="00440196">
        <w:rPr>
          <w:rFonts w:ascii="Times New Roman" w:hAnsi="Times New Roman" w:cs="Times New Roman"/>
          <w:b/>
          <w:bCs/>
          <w:sz w:val="24"/>
          <w:szCs w:val="24"/>
        </w:rPr>
        <w:t>Annual Cost:</w:t>
      </w:r>
      <w:r w:rsidRPr="00440196">
        <w:rPr>
          <w:rFonts w:ascii="Times New Roman" w:hAnsi="Times New Roman" w:cs="Times New Roman"/>
          <w:b/>
          <w:sz w:val="24"/>
          <w:szCs w:val="24"/>
        </w:rPr>
        <w:t xml:space="preserve">  $0</w:t>
      </w:r>
    </w:p>
    <w:bookmarkEnd w:id="33"/>
    <w:p w:rsidR="00255F42" w:rsidRPr="00440196" w:rsidP="00255F42" w14:paraId="01D70E3F" w14:textId="77777777">
      <w:pPr>
        <w:spacing w:after="0" w:line="240" w:lineRule="auto"/>
        <w:rPr>
          <w:rFonts w:ascii="Times New Roman" w:hAnsi="Times New Roman" w:cs="Times New Roman"/>
          <w:sz w:val="24"/>
          <w:szCs w:val="24"/>
        </w:rPr>
      </w:pPr>
    </w:p>
    <w:p w:rsidR="00255F42" w:rsidRPr="00440196" w:rsidP="00255F42" w14:paraId="324A2516" w14:textId="1D23C58C">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14-c.</w:t>
      </w:r>
      <w:r w:rsidRPr="00440196">
        <w:rPr>
          <w:rFonts w:ascii="Times New Roman" w:hAnsi="Times New Roman" w:cs="Times New Roman"/>
          <w:sz w:val="24"/>
          <w:szCs w:val="24"/>
        </w:rPr>
        <w:tab/>
      </w:r>
      <w:r w:rsidRPr="00440196">
        <w:rPr>
          <w:rFonts w:ascii="Times New Roman" w:hAnsi="Times New Roman" w:cs="Times New Roman"/>
          <w:i/>
          <w:sz w:val="24"/>
          <w:szCs w:val="24"/>
        </w:rPr>
        <w:t>Compliance with Foreign Ownership Requirements pursuant to §30.3 – Edibility, Foreign ownership reports.</w:t>
      </w:r>
      <w:r w:rsidRPr="00440196">
        <w:rPr>
          <w:rFonts w:ascii="Times New Roman" w:hAnsi="Times New Roman" w:cs="Times New Roman"/>
          <w:sz w:val="24"/>
          <w:szCs w:val="24"/>
        </w:rPr>
        <w:t xml:space="preserve">  The Commission will use a reviewer at the rate of $</w:t>
      </w:r>
      <w:r w:rsidRPr="00440196" w:rsidR="00A912EB">
        <w:rPr>
          <w:rFonts w:ascii="Times New Roman" w:hAnsi="Times New Roman" w:cs="Times New Roman"/>
          <w:sz w:val="24"/>
          <w:szCs w:val="24"/>
        </w:rPr>
        <w:t>30.37</w:t>
      </w:r>
      <w:r w:rsidRPr="00440196">
        <w:rPr>
          <w:rFonts w:ascii="Times New Roman" w:hAnsi="Times New Roman" w:cs="Times New Roman"/>
          <w:sz w:val="24"/>
          <w:szCs w:val="24"/>
        </w:rPr>
        <w:t>per hour, and the review process should take about a quarter of an hour. The cost to the Federal government processing costs are as follows (the hourly pay rate for the employee is a GS-7 step 5, $</w:t>
      </w:r>
      <w:r w:rsidRPr="00440196" w:rsidR="003450A3">
        <w:rPr>
          <w:rFonts w:ascii="Times New Roman" w:hAnsi="Times New Roman" w:cs="Times New Roman"/>
          <w:sz w:val="24"/>
          <w:szCs w:val="24"/>
        </w:rPr>
        <w:t>30.37</w:t>
      </w:r>
      <w:r w:rsidRPr="00440196" w:rsidR="00632491">
        <w:rPr>
          <w:rFonts w:ascii="Times New Roman" w:hAnsi="Times New Roman" w:cs="Times New Roman"/>
          <w:sz w:val="24"/>
          <w:szCs w:val="24"/>
        </w:rPr>
        <w:t>/</w:t>
      </w:r>
      <w:r w:rsidRPr="00440196">
        <w:rPr>
          <w:rFonts w:ascii="Times New Roman" w:hAnsi="Times New Roman" w:cs="Times New Roman"/>
          <w:sz w:val="24"/>
          <w:szCs w:val="24"/>
        </w:rPr>
        <w:t xml:space="preserve">hour).  </w:t>
      </w:r>
    </w:p>
    <w:p w:rsidR="00255F42" w:rsidRPr="00440196" w:rsidP="00255F42" w14:paraId="617D7830" w14:textId="77777777">
      <w:pPr>
        <w:spacing w:after="0" w:line="240" w:lineRule="auto"/>
        <w:rPr>
          <w:rFonts w:ascii="Times New Roman" w:hAnsi="Times New Roman" w:cs="Times New Roman"/>
          <w:sz w:val="24"/>
          <w:szCs w:val="24"/>
        </w:rPr>
      </w:pPr>
    </w:p>
    <w:p w:rsidR="00255F42" w:rsidRPr="00440196" w:rsidP="00255F42" w14:paraId="2578A6F3" w14:textId="005E3AC5">
      <w:pPr>
        <w:spacing w:after="0" w:line="240" w:lineRule="auto"/>
        <w:rPr>
          <w:rFonts w:ascii="Times New Roman" w:hAnsi="Times New Roman" w:cs="Times New Roman"/>
          <w:b/>
          <w:sz w:val="24"/>
          <w:szCs w:val="24"/>
        </w:rPr>
      </w:pPr>
      <w:bookmarkStart w:id="34" w:name="_Hlk161243861"/>
      <w:r w:rsidRPr="00440196">
        <w:rPr>
          <w:rFonts w:ascii="Times New Roman" w:hAnsi="Times New Roman" w:cs="Times New Roman"/>
          <w:b/>
          <w:bCs/>
          <w:sz w:val="24"/>
          <w:szCs w:val="24"/>
        </w:rPr>
        <w:t>Annual Cost:</w:t>
      </w:r>
      <w:r w:rsidRPr="00440196">
        <w:rPr>
          <w:rFonts w:ascii="Times New Roman" w:hAnsi="Times New Roman" w:cs="Times New Roman"/>
          <w:sz w:val="24"/>
          <w:szCs w:val="24"/>
        </w:rPr>
        <w:tab/>
        <w:t>30 respondents x .25 hours/review x $</w:t>
      </w:r>
      <w:r w:rsidRPr="00440196" w:rsidR="003450A3">
        <w:rPr>
          <w:rFonts w:ascii="Times New Roman" w:hAnsi="Times New Roman" w:cs="Times New Roman"/>
          <w:sz w:val="24"/>
          <w:szCs w:val="24"/>
        </w:rPr>
        <w:t>30.37</w:t>
      </w:r>
      <w:r w:rsidRPr="00440196">
        <w:rPr>
          <w:rFonts w:ascii="Times New Roman" w:hAnsi="Times New Roman" w:cs="Times New Roman"/>
          <w:sz w:val="24"/>
          <w:szCs w:val="24"/>
        </w:rPr>
        <w:t xml:space="preserve">/hour = </w:t>
      </w:r>
      <w:r w:rsidRPr="00440196">
        <w:rPr>
          <w:rFonts w:ascii="Times New Roman" w:hAnsi="Times New Roman" w:cs="Times New Roman"/>
          <w:b/>
          <w:sz w:val="24"/>
          <w:szCs w:val="24"/>
        </w:rPr>
        <w:t>$</w:t>
      </w:r>
      <w:r w:rsidRPr="00440196" w:rsidR="003450A3">
        <w:rPr>
          <w:rFonts w:ascii="Times New Roman" w:hAnsi="Times New Roman" w:cs="Times New Roman"/>
          <w:b/>
          <w:sz w:val="24"/>
          <w:szCs w:val="24"/>
        </w:rPr>
        <w:t>228.00 ($</w:t>
      </w:r>
      <w:r w:rsidRPr="00440196" w:rsidR="002A6369">
        <w:rPr>
          <w:rFonts w:ascii="Times New Roman" w:hAnsi="Times New Roman" w:cs="Times New Roman"/>
          <w:b/>
          <w:sz w:val="24"/>
          <w:szCs w:val="24"/>
        </w:rPr>
        <w:t>22</w:t>
      </w:r>
      <w:r w:rsidRPr="00440196" w:rsidR="003450A3">
        <w:rPr>
          <w:rFonts w:ascii="Times New Roman" w:hAnsi="Times New Roman" w:cs="Times New Roman"/>
          <w:b/>
          <w:sz w:val="24"/>
          <w:szCs w:val="24"/>
        </w:rPr>
        <w:t>7.77).</w:t>
      </w:r>
    </w:p>
    <w:bookmarkEnd w:id="34"/>
    <w:p w:rsidR="00255F42" w:rsidRPr="00440196" w:rsidP="00255F42" w14:paraId="20A98621" w14:textId="77777777">
      <w:pPr>
        <w:spacing w:after="0" w:line="240" w:lineRule="auto"/>
        <w:rPr>
          <w:rFonts w:ascii="Times New Roman" w:hAnsi="Times New Roman" w:cs="Times New Roman"/>
          <w:b/>
          <w:sz w:val="24"/>
          <w:szCs w:val="24"/>
        </w:rPr>
      </w:pPr>
    </w:p>
    <w:p w:rsidR="00255F42" w:rsidRPr="00440196" w:rsidP="00255F42" w14:paraId="228B6F44" w14:textId="682B541D">
      <w:pPr>
        <w:spacing w:after="0" w:line="240" w:lineRule="auto"/>
        <w:rPr>
          <w:rFonts w:ascii="Times New Roman" w:hAnsi="Times New Roman" w:cs="Times New Roman"/>
          <w:i/>
          <w:iCs/>
          <w:sz w:val="24"/>
          <w:szCs w:val="24"/>
        </w:rPr>
      </w:pPr>
      <w:r w:rsidRPr="00440196">
        <w:rPr>
          <w:rFonts w:ascii="Times New Roman" w:hAnsi="Times New Roman" w:cs="Times New Roman"/>
          <w:b/>
          <w:sz w:val="24"/>
          <w:szCs w:val="24"/>
        </w:rPr>
        <w:t>14-d.</w:t>
      </w:r>
      <w:r w:rsidRPr="00440196">
        <w:rPr>
          <w:rFonts w:ascii="Times New Roman" w:hAnsi="Times New Roman" w:cs="Times New Roman"/>
          <w:sz w:val="24"/>
          <w:szCs w:val="24"/>
        </w:rPr>
        <w:tab/>
      </w:r>
      <w:r w:rsidRPr="00440196">
        <w:rPr>
          <w:rFonts w:ascii="Times New Roman" w:hAnsi="Times New Roman" w:cs="Times New Roman"/>
          <w:i/>
          <w:sz w:val="24"/>
          <w:szCs w:val="24"/>
        </w:rPr>
        <w:t>Compliance with Performance Requirements pursuant to §</w:t>
      </w:r>
      <w:r w:rsidRPr="00440196" w:rsidR="00292B9A">
        <w:rPr>
          <w:rFonts w:ascii="Times New Roman" w:hAnsi="Times New Roman" w:cs="Times New Roman"/>
          <w:i/>
          <w:sz w:val="24"/>
          <w:szCs w:val="24"/>
        </w:rPr>
        <w:t>30.104</w:t>
      </w:r>
      <w:r w:rsidRPr="00440196">
        <w:rPr>
          <w:rFonts w:ascii="Times New Roman" w:hAnsi="Times New Roman" w:cs="Times New Roman"/>
          <w:i/>
          <w:sz w:val="24"/>
          <w:szCs w:val="24"/>
        </w:rPr>
        <w:t>, Subpart B – Applications and Licenses, Construction requirements.</w:t>
      </w:r>
      <w:r w:rsidRPr="00440196">
        <w:rPr>
          <w:rFonts w:ascii="Times New Roman" w:hAnsi="Times New Roman" w:cs="Times New Roman"/>
          <w:sz w:val="24"/>
          <w:szCs w:val="24"/>
        </w:rPr>
        <w:t xml:space="preserve">  The first notification </w:t>
      </w:r>
      <w:r w:rsidRPr="00440196" w:rsidR="00A912EB">
        <w:rPr>
          <w:rFonts w:ascii="Times New Roman" w:hAnsi="Times New Roman" w:cs="Times New Roman"/>
          <w:sz w:val="24"/>
          <w:szCs w:val="24"/>
        </w:rPr>
        <w:t>will</w:t>
      </w:r>
      <w:r w:rsidRPr="00440196">
        <w:rPr>
          <w:rFonts w:ascii="Times New Roman" w:hAnsi="Times New Roman" w:cs="Times New Roman"/>
          <w:sz w:val="24"/>
          <w:szCs w:val="24"/>
        </w:rPr>
        <w:t xml:space="preserve"> be filed after </w:t>
      </w:r>
      <w:r w:rsidRPr="00440196" w:rsidR="00A912EB">
        <w:rPr>
          <w:rFonts w:ascii="Times New Roman" w:hAnsi="Times New Roman" w:cs="Times New Roman"/>
          <w:sz w:val="24"/>
          <w:szCs w:val="24"/>
        </w:rPr>
        <w:t>June 1</w:t>
      </w:r>
      <w:r w:rsidRPr="00440196" w:rsidR="002B21C6">
        <w:rPr>
          <w:rFonts w:ascii="Times New Roman" w:hAnsi="Times New Roman" w:cs="Times New Roman"/>
          <w:sz w:val="24"/>
          <w:szCs w:val="24"/>
        </w:rPr>
        <w:t>6</w:t>
      </w:r>
      <w:r w:rsidRPr="00440196" w:rsidR="00A912EB">
        <w:rPr>
          <w:rFonts w:ascii="Times New Roman" w:hAnsi="Times New Roman" w:cs="Times New Roman"/>
          <w:sz w:val="24"/>
          <w:szCs w:val="24"/>
        </w:rPr>
        <w:t xml:space="preserve">, 2024 when </w:t>
      </w:r>
      <w:r w:rsidRPr="00440196">
        <w:rPr>
          <w:rFonts w:ascii="Times New Roman" w:hAnsi="Times New Roman" w:cs="Times New Roman"/>
          <w:sz w:val="24"/>
          <w:szCs w:val="24"/>
        </w:rPr>
        <w:t xml:space="preserve">the initial license </w:t>
      </w:r>
      <w:r w:rsidRPr="00440196" w:rsidR="00A912EB">
        <w:rPr>
          <w:rFonts w:ascii="Times New Roman" w:hAnsi="Times New Roman" w:cs="Times New Roman"/>
          <w:sz w:val="24"/>
          <w:szCs w:val="24"/>
        </w:rPr>
        <w:t xml:space="preserve">will be </w:t>
      </w:r>
      <w:r w:rsidRPr="00440196">
        <w:rPr>
          <w:rFonts w:ascii="Times New Roman" w:hAnsi="Times New Roman" w:cs="Times New Roman"/>
          <w:sz w:val="24"/>
          <w:szCs w:val="24"/>
        </w:rPr>
        <w:t xml:space="preserve"> granted under §</w:t>
      </w:r>
      <w:r w:rsidRPr="00440196">
        <w:rPr>
          <w:rFonts w:ascii="Times New Roman" w:hAnsi="Times New Roman" w:cs="Times New Roman"/>
          <w:i/>
          <w:iCs/>
          <w:sz w:val="24"/>
          <w:szCs w:val="24"/>
        </w:rPr>
        <w:t>30.10</w:t>
      </w:r>
      <w:r w:rsidRPr="00440196" w:rsidR="005C56F9">
        <w:rPr>
          <w:rFonts w:ascii="Times New Roman" w:hAnsi="Times New Roman" w:cs="Times New Roman"/>
          <w:i/>
          <w:iCs/>
          <w:sz w:val="24"/>
          <w:szCs w:val="24"/>
        </w:rPr>
        <w:t>4</w:t>
      </w:r>
      <w:r w:rsidRPr="00440196">
        <w:rPr>
          <w:rFonts w:ascii="Times New Roman" w:hAnsi="Times New Roman" w:cs="Times New Roman"/>
          <w:i/>
          <w:iCs/>
          <w:sz w:val="24"/>
          <w:szCs w:val="24"/>
        </w:rPr>
        <w:t xml:space="preserve">, Subpart B – Applications and Licenses ‒ Construction Requirements.  </w:t>
      </w:r>
      <w:r w:rsidRPr="00440196" w:rsidR="00F05F43">
        <w:rPr>
          <w:rFonts w:ascii="Times New Roman" w:hAnsi="Times New Roman" w:cs="Times New Roman"/>
          <w:sz w:val="24"/>
          <w:szCs w:val="24"/>
        </w:rPr>
        <w:t>We estimate 28 respondents to file 1,256 responses per year burden of 0,25 hours for each response</w:t>
      </w:r>
      <w:r w:rsidRPr="00440196" w:rsidR="00F05F43">
        <w:rPr>
          <w:rFonts w:ascii="Times New Roman" w:hAnsi="Times New Roman" w:cs="Times New Roman"/>
          <w:i/>
          <w:iCs/>
          <w:sz w:val="24"/>
          <w:szCs w:val="24"/>
        </w:rPr>
        <w:t xml:space="preserve">.  </w:t>
      </w:r>
    </w:p>
    <w:p w:rsidR="00255F42" w:rsidRPr="00440196" w:rsidP="00255F42" w14:paraId="5A383DEC" w14:textId="77777777">
      <w:pPr>
        <w:spacing w:after="0" w:line="240" w:lineRule="auto"/>
        <w:rPr>
          <w:rFonts w:ascii="Times New Roman" w:hAnsi="Times New Roman" w:cs="Times New Roman"/>
          <w:sz w:val="24"/>
          <w:szCs w:val="24"/>
        </w:rPr>
      </w:pPr>
    </w:p>
    <w:p w:rsidR="00255F42" w:rsidRPr="00440196" w:rsidP="00255F42" w14:paraId="02C81028" w14:textId="655BC7E6">
      <w:pPr>
        <w:spacing w:after="0" w:line="240" w:lineRule="auto"/>
        <w:rPr>
          <w:rFonts w:ascii="Times New Roman" w:hAnsi="Times New Roman" w:cs="Times New Roman"/>
          <w:bCs/>
          <w:sz w:val="24"/>
          <w:szCs w:val="24"/>
        </w:rPr>
      </w:pPr>
      <w:bookmarkStart w:id="35" w:name="_Hlk161244017"/>
      <w:r w:rsidRPr="00440196">
        <w:rPr>
          <w:rFonts w:ascii="Times New Roman" w:hAnsi="Times New Roman" w:cs="Times New Roman"/>
          <w:b/>
          <w:sz w:val="24"/>
          <w:szCs w:val="24"/>
        </w:rPr>
        <w:t>Annual Cost:</w:t>
      </w:r>
      <w:r w:rsidRPr="00440196">
        <w:rPr>
          <w:rFonts w:ascii="Times New Roman" w:hAnsi="Times New Roman" w:cs="Times New Roman"/>
          <w:b/>
          <w:sz w:val="24"/>
          <w:szCs w:val="24"/>
        </w:rPr>
        <w:tab/>
      </w:r>
      <w:r w:rsidRPr="00440196">
        <w:rPr>
          <w:rFonts w:ascii="Times New Roman" w:hAnsi="Times New Roman" w:cs="Times New Roman"/>
          <w:bCs/>
          <w:sz w:val="24"/>
          <w:szCs w:val="24"/>
        </w:rPr>
        <w:t xml:space="preserve"> </w:t>
      </w:r>
      <w:r w:rsidRPr="00440196" w:rsidR="00B66B90">
        <w:rPr>
          <w:rFonts w:ascii="Times New Roman" w:hAnsi="Times New Roman" w:cs="Times New Roman"/>
          <w:bCs/>
          <w:sz w:val="24"/>
          <w:szCs w:val="24"/>
        </w:rPr>
        <w:t xml:space="preserve"> </w:t>
      </w:r>
      <w:r w:rsidRPr="00440196" w:rsidR="00D460DD">
        <w:rPr>
          <w:rFonts w:ascii="Times New Roman" w:hAnsi="Times New Roman" w:cs="Times New Roman"/>
          <w:bCs/>
          <w:sz w:val="24"/>
          <w:szCs w:val="24"/>
        </w:rPr>
        <w:t>(</w:t>
      </w:r>
      <w:r w:rsidRPr="00440196" w:rsidR="00B66B90">
        <w:rPr>
          <w:rFonts w:ascii="Times New Roman" w:hAnsi="Times New Roman" w:cs="Times New Roman"/>
          <w:bCs/>
          <w:sz w:val="24"/>
          <w:szCs w:val="24"/>
        </w:rPr>
        <w:t xml:space="preserve">1,256 responses </w:t>
      </w:r>
      <w:r w:rsidRPr="00440196" w:rsidR="00F05F43">
        <w:rPr>
          <w:rFonts w:ascii="Times New Roman" w:hAnsi="Times New Roman" w:cs="Times New Roman"/>
          <w:bCs/>
          <w:sz w:val="24"/>
          <w:szCs w:val="24"/>
        </w:rPr>
        <w:t>x</w:t>
      </w:r>
      <w:r w:rsidRPr="00440196">
        <w:rPr>
          <w:rFonts w:ascii="Times New Roman" w:hAnsi="Times New Roman" w:cs="Times New Roman"/>
          <w:bCs/>
          <w:sz w:val="24"/>
          <w:szCs w:val="24"/>
        </w:rPr>
        <w:t xml:space="preserve"> </w:t>
      </w:r>
      <w:r w:rsidRPr="00440196" w:rsidR="000A66C4">
        <w:rPr>
          <w:rFonts w:ascii="Times New Roman" w:hAnsi="Times New Roman" w:cs="Times New Roman"/>
          <w:bCs/>
          <w:sz w:val="24"/>
          <w:szCs w:val="24"/>
        </w:rPr>
        <w:t>0</w:t>
      </w:r>
      <w:r w:rsidRPr="00440196">
        <w:rPr>
          <w:rFonts w:ascii="Times New Roman" w:hAnsi="Times New Roman" w:cs="Times New Roman"/>
          <w:bCs/>
          <w:sz w:val="24"/>
          <w:szCs w:val="24"/>
        </w:rPr>
        <w:t>.25 hours/review</w:t>
      </w:r>
      <w:r w:rsidRPr="00440196" w:rsidR="00D460DD">
        <w:rPr>
          <w:rFonts w:ascii="Times New Roman" w:hAnsi="Times New Roman" w:cs="Times New Roman"/>
          <w:bCs/>
          <w:sz w:val="24"/>
          <w:szCs w:val="24"/>
        </w:rPr>
        <w:t>)</w:t>
      </w:r>
      <w:r w:rsidRPr="00440196">
        <w:rPr>
          <w:rFonts w:ascii="Times New Roman" w:hAnsi="Times New Roman" w:cs="Times New Roman"/>
          <w:bCs/>
          <w:sz w:val="24"/>
          <w:szCs w:val="24"/>
        </w:rPr>
        <w:t xml:space="preserve"> x $30.37/hour = $</w:t>
      </w:r>
      <w:r w:rsidRPr="00440196" w:rsidR="00B66B90">
        <w:rPr>
          <w:rFonts w:ascii="Times New Roman" w:hAnsi="Times New Roman" w:cs="Times New Roman"/>
          <w:bCs/>
          <w:sz w:val="24"/>
          <w:szCs w:val="24"/>
        </w:rPr>
        <w:t>9,536</w:t>
      </w:r>
      <w:r w:rsidRPr="00440196">
        <w:rPr>
          <w:rFonts w:ascii="Times New Roman" w:hAnsi="Times New Roman" w:cs="Times New Roman"/>
          <w:bCs/>
          <w:sz w:val="24"/>
          <w:szCs w:val="24"/>
        </w:rPr>
        <w:t>.00 ($</w:t>
      </w:r>
      <w:r w:rsidRPr="00440196" w:rsidR="00B66B90">
        <w:rPr>
          <w:rFonts w:ascii="Times New Roman" w:hAnsi="Times New Roman" w:cs="Times New Roman"/>
          <w:bCs/>
          <w:sz w:val="24"/>
          <w:szCs w:val="24"/>
        </w:rPr>
        <w:t>9,536.18</w:t>
      </w:r>
      <w:r w:rsidRPr="00440196">
        <w:rPr>
          <w:rFonts w:ascii="Times New Roman" w:hAnsi="Times New Roman" w:cs="Times New Roman"/>
          <w:bCs/>
          <w:sz w:val="24"/>
          <w:szCs w:val="24"/>
        </w:rPr>
        <w:t>).</w:t>
      </w:r>
      <w:bookmarkEnd w:id="35"/>
    </w:p>
    <w:p w:rsidR="00A912EB" w:rsidRPr="00440196" w:rsidP="00255F42" w14:paraId="0864EA38" w14:textId="77777777">
      <w:pPr>
        <w:spacing w:after="0" w:line="240" w:lineRule="auto"/>
        <w:rPr>
          <w:rFonts w:ascii="Times New Roman" w:hAnsi="Times New Roman" w:cs="Times New Roman"/>
          <w:sz w:val="24"/>
          <w:szCs w:val="24"/>
        </w:rPr>
      </w:pPr>
    </w:p>
    <w:p w:rsidR="00255F42" w:rsidRPr="00440196" w:rsidP="00255F42" w14:paraId="502071BF" w14:textId="1077BCC1">
      <w:pPr>
        <w:spacing w:after="0" w:line="240" w:lineRule="auto"/>
        <w:rPr>
          <w:rFonts w:ascii="Times New Roman" w:hAnsi="Times New Roman" w:cs="Times New Roman"/>
          <w:sz w:val="24"/>
          <w:szCs w:val="24"/>
        </w:rPr>
      </w:pPr>
      <w:r w:rsidRPr="00440196">
        <w:rPr>
          <w:rFonts w:ascii="Times New Roman" w:hAnsi="Times New Roman" w:cs="Times New Roman"/>
          <w:b/>
          <w:sz w:val="24"/>
          <w:szCs w:val="24"/>
        </w:rPr>
        <w:t>14-e.</w:t>
      </w:r>
      <w:r w:rsidRPr="00440196">
        <w:rPr>
          <w:rFonts w:ascii="Times New Roman" w:hAnsi="Times New Roman" w:cs="Times New Roman"/>
          <w:sz w:val="24"/>
          <w:szCs w:val="24"/>
        </w:rPr>
        <w:tab/>
      </w:r>
      <w:r w:rsidRPr="00440196">
        <w:rPr>
          <w:rFonts w:ascii="Times New Roman" w:hAnsi="Times New Roman" w:cs="Times New Roman"/>
          <w:i/>
          <w:sz w:val="24"/>
          <w:szCs w:val="24"/>
        </w:rPr>
        <w:t>Compliance with §30.107, Subpart B – Applications and Licenses, Discontinuance of Service.</w:t>
      </w:r>
      <w:r w:rsidRPr="00440196">
        <w:rPr>
          <w:rFonts w:ascii="Times New Roman" w:hAnsi="Times New Roman" w:cs="Times New Roman"/>
          <w:sz w:val="24"/>
          <w:szCs w:val="24"/>
        </w:rPr>
        <w:t xml:space="preserve">  </w:t>
      </w:r>
    </w:p>
    <w:p w:rsidR="00255F42" w:rsidRPr="00440196" w:rsidP="00255F42" w14:paraId="07B89478" w14:textId="77777777">
      <w:pPr>
        <w:spacing w:after="0" w:line="240" w:lineRule="auto"/>
        <w:rPr>
          <w:rFonts w:ascii="Times New Roman" w:hAnsi="Times New Roman" w:cs="Times New Roman"/>
          <w:sz w:val="24"/>
          <w:szCs w:val="24"/>
        </w:rPr>
      </w:pPr>
    </w:p>
    <w:p w:rsidR="00255F42" w:rsidRPr="00440196" w:rsidP="00255F42" w14:paraId="4F246F2C" w14:textId="0477689E">
      <w:pPr>
        <w:spacing w:after="0" w:line="240" w:lineRule="auto"/>
        <w:rPr>
          <w:rFonts w:ascii="Times New Roman" w:hAnsi="Times New Roman" w:cs="Times New Roman"/>
          <w:bCs/>
          <w:sz w:val="24"/>
          <w:szCs w:val="24"/>
        </w:rPr>
      </w:pPr>
      <w:r w:rsidRPr="00440196">
        <w:rPr>
          <w:rFonts w:ascii="Times New Roman" w:hAnsi="Times New Roman" w:cs="Times New Roman"/>
          <w:b/>
          <w:sz w:val="24"/>
          <w:szCs w:val="24"/>
        </w:rPr>
        <w:t>Annual Cost:</w:t>
      </w:r>
      <w:r w:rsidRPr="00440196" w:rsidR="0033573D">
        <w:rPr>
          <w:rFonts w:ascii="Times New Roman" w:hAnsi="Times New Roman" w:cs="Times New Roman"/>
          <w:bCs/>
          <w:sz w:val="24"/>
          <w:szCs w:val="24"/>
        </w:rPr>
        <w:t xml:space="preserve"> </w:t>
      </w:r>
      <w:r w:rsidRPr="00440196" w:rsidR="00B66B90">
        <w:rPr>
          <w:rFonts w:ascii="Times New Roman" w:hAnsi="Times New Roman" w:cs="Times New Roman"/>
          <w:bCs/>
          <w:sz w:val="24"/>
          <w:szCs w:val="24"/>
        </w:rPr>
        <w:t>10</w:t>
      </w:r>
      <w:r w:rsidRPr="00440196">
        <w:rPr>
          <w:rFonts w:ascii="Times New Roman" w:hAnsi="Times New Roman" w:cs="Times New Roman"/>
          <w:bCs/>
          <w:sz w:val="24"/>
          <w:szCs w:val="24"/>
        </w:rPr>
        <w:t xml:space="preserve"> respondents x </w:t>
      </w:r>
      <w:r w:rsidRPr="00440196" w:rsidR="00525074">
        <w:rPr>
          <w:rFonts w:ascii="Times New Roman" w:hAnsi="Times New Roman" w:cs="Times New Roman"/>
          <w:bCs/>
          <w:sz w:val="24"/>
          <w:szCs w:val="24"/>
        </w:rPr>
        <w:t xml:space="preserve">1 response X </w:t>
      </w:r>
      <w:r w:rsidRPr="00440196" w:rsidR="000A66C4">
        <w:rPr>
          <w:rFonts w:ascii="Times New Roman" w:hAnsi="Times New Roman" w:cs="Times New Roman"/>
          <w:bCs/>
          <w:sz w:val="24"/>
          <w:szCs w:val="24"/>
        </w:rPr>
        <w:t>0</w:t>
      </w:r>
      <w:r w:rsidRPr="00440196">
        <w:rPr>
          <w:rFonts w:ascii="Times New Roman" w:hAnsi="Times New Roman" w:cs="Times New Roman"/>
          <w:bCs/>
          <w:sz w:val="24"/>
          <w:szCs w:val="24"/>
        </w:rPr>
        <w:t>.25 hours/review x $30.37/hour =$</w:t>
      </w:r>
      <w:r w:rsidRPr="00440196" w:rsidR="00B66B90">
        <w:rPr>
          <w:rFonts w:ascii="Times New Roman" w:hAnsi="Times New Roman" w:cs="Times New Roman"/>
          <w:bCs/>
          <w:sz w:val="24"/>
          <w:szCs w:val="24"/>
        </w:rPr>
        <w:t>76</w:t>
      </w:r>
      <w:r w:rsidRPr="00440196">
        <w:rPr>
          <w:rFonts w:ascii="Times New Roman" w:hAnsi="Times New Roman" w:cs="Times New Roman"/>
          <w:bCs/>
          <w:sz w:val="24"/>
          <w:szCs w:val="24"/>
        </w:rPr>
        <w:t>.00 ($</w:t>
      </w:r>
      <w:r w:rsidRPr="00440196" w:rsidR="00B66B90">
        <w:rPr>
          <w:rFonts w:ascii="Times New Roman" w:hAnsi="Times New Roman" w:cs="Times New Roman"/>
          <w:bCs/>
          <w:sz w:val="24"/>
          <w:szCs w:val="24"/>
        </w:rPr>
        <w:t>75.92</w:t>
      </w:r>
      <w:r w:rsidRPr="00440196">
        <w:rPr>
          <w:rFonts w:ascii="Times New Roman" w:hAnsi="Times New Roman" w:cs="Times New Roman"/>
          <w:bCs/>
          <w:sz w:val="24"/>
          <w:szCs w:val="24"/>
        </w:rPr>
        <w:t>).</w:t>
      </w:r>
    </w:p>
    <w:p w:rsidR="00255F42" w:rsidRPr="00440196" w:rsidP="00255F42" w14:paraId="43C9D1F0" w14:textId="77777777">
      <w:pPr>
        <w:spacing w:after="0" w:line="240" w:lineRule="auto"/>
        <w:rPr>
          <w:rFonts w:ascii="Times New Roman" w:hAnsi="Times New Roman" w:cs="Times New Roman"/>
          <w:b/>
          <w:sz w:val="24"/>
          <w:szCs w:val="24"/>
        </w:rPr>
      </w:pPr>
    </w:p>
    <w:p w:rsidR="00255F42" w:rsidRPr="00440196" w:rsidP="00255F42" w14:paraId="3087ADB2" w14:textId="78A62FEB">
      <w:pPr>
        <w:spacing w:after="0" w:line="240" w:lineRule="auto"/>
        <w:rPr>
          <w:rFonts w:ascii="Times New Roman" w:hAnsi="Times New Roman" w:cs="Times New Roman"/>
          <w:b/>
          <w:sz w:val="24"/>
          <w:szCs w:val="24"/>
        </w:rPr>
      </w:pPr>
      <w:r w:rsidRPr="00440196">
        <w:rPr>
          <w:rFonts w:ascii="Times New Roman" w:hAnsi="Times New Roman" w:cs="Times New Roman"/>
          <w:b/>
          <w:sz w:val="24"/>
          <w:szCs w:val="24"/>
        </w:rPr>
        <w:t xml:space="preserve">TOTAL ANNUAL </w:t>
      </w:r>
      <w:r w:rsidRPr="00440196" w:rsidR="00A2748D">
        <w:rPr>
          <w:rFonts w:ascii="Times New Roman" w:hAnsi="Times New Roman" w:cs="Times New Roman"/>
          <w:b/>
          <w:sz w:val="24"/>
          <w:szCs w:val="24"/>
        </w:rPr>
        <w:t xml:space="preserve">FEDERAL </w:t>
      </w:r>
      <w:r w:rsidRPr="00440196">
        <w:rPr>
          <w:rFonts w:ascii="Times New Roman" w:hAnsi="Times New Roman" w:cs="Times New Roman"/>
          <w:b/>
          <w:sz w:val="24"/>
          <w:szCs w:val="24"/>
        </w:rPr>
        <w:t xml:space="preserve">GOVERNMENT COST:  </w:t>
      </w:r>
      <w:r w:rsidRPr="00440196" w:rsidR="00A2748D">
        <w:rPr>
          <w:rFonts w:ascii="Times New Roman" w:hAnsi="Times New Roman" w:cs="Times New Roman"/>
          <w:b/>
          <w:sz w:val="24"/>
          <w:szCs w:val="24"/>
        </w:rPr>
        <w:t>$</w:t>
      </w:r>
      <w:r w:rsidRPr="00440196" w:rsidR="000A66C4">
        <w:rPr>
          <w:rFonts w:ascii="Times New Roman" w:hAnsi="Times New Roman" w:cs="Times New Roman"/>
          <w:b/>
          <w:sz w:val="24"/>
          <w:szCs w:val="24"/>
        </w:rPr>
        <w:t>9,</w:t>
      </w:r>
      <w:r w:rsidRPr="00440196" w:rsidR="00F05E4C">
        <w:rPr>
          <w:rFonts w:ascii="Times New Roman" w:hAnsi="Times New Roman" w:cs="Times New Roman"/>
          <w:b/>
          <w:sz w:val="24"/>
          <w:szCs w:val="24"/>
        </w:rPr>
        <w:t>840</w:t>
      </w:r>
      <w:r w:rsidRPr="00440196" w:rsidR="000A66C4">
        <w:rPr>
          <w:rFonts w:ascii="Times New Roman" w:hAnsi="Times New Roman" w:cs="Times New Roman"/>
          <w:b/>
          <w:sz w:val="24"/>
          <w:szCs w:val="24"/>
        </w:rPr>
        <w:t>.00</w:t>
      </w:r>
    </w:p>
    <w:p w:rsidR="003D3A37" w:rsidRPr="00440196" w:rsidP="003D3A37" w14:paraId="601F4068" w14:textId="77777777">
      <w:pPr>
        <w:spacing w:after="0" w:line="240" w:lineRule="auto"/>
        <w:rPr>
          <w:rFonts w:ascii="Times New Roman" w:hAnsi="Times New Roman" w:cs="Times New Roman"/>
          <w:sz w:val="24"/>
          <w:szCs w:val="24"/>
        </w:rPr>
      </w:pPr>
    </w:p>
    <w:p w:rsidR="000C31DA" w:rsidRPr="00440196" w:rsidP="00272321" w14:paraId="25FC27D0" w14:textId="6BC06EF6">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15.</w:t>
      </w:r>
      <w:r w:rsidRPr="00440196">
        <w:rPr>
          <w:rFonts w:ascii="Times New Roman" w:hAnsi="Times New Roman" w:cs="Times New Roman"/>
          <w:sz w:val="24"/>
          <w:szCs w:val="24"/>
        </w:rPr>
        <w:tab/>
      </w:r>
      <w:r w:rsidRPr="00440196" w:rsidR="00EB6DD7">
        <w:rPr>
          <w:rFonts w:ascii="Times New Roman" w:hAnsi="Times New Roman" w:cs="Times New Roman"/>
          <w:sz w:val="24"/>
          <w:szCs w:val="24"/>
        </w:rPr>
        <w:t xml:space="preserve">The Commission </w:t>
      </w:r>
      <w:r w:rsidRPr="00440196" w:rsidR="0089478E">
        <w:rPr>
          <w:rFonts w:ascii="Times New Roman" w:hAnsi="Times New Roman" w:cs="Times New Roman"/>
          <w:sz w:val="24"/>
          <w:szCs w:val="24"/>
        </w:rPr>
        <w:t>activated</w:t>
      </w:r>
      <w:r w:rsidRPr="00440196" w:rsidR="00D6750E">
        <w:rPr>
          <w:rFonts w:ascii="Times New Roman" w:hAnsi="Times New Roman" w:cs="Times New Roman"/>
          <w:sz w:val="24"/>
          <w:szCs w:val="24"/>
        </w:rPr>
        <w:t xml:space="preserve"> §</w:t>
      </w:r>
      <w:r w:rsidRPr="00440196" w:rsidR="002A6369">
        <w:rPr>
          <w:rFonts w:ascii="Times New Roman" w:hAnsi="Times New Roman" w:cs="Times New Roman"/>
          <w:sz w:val="24"/>
          <w:szCs w:val="24"/>
        </w:rPr>
        <w:t>§</w:t>
      </w:r>
      <w:r w:rsidRPr="00440196" w:rsidR="00292B9A">
        <w:rPr>
          <w:rFonts w:ascii="Times New Roman" w:hAnsi="Times New Roman" w:cs="Times New Roman"/>
          <w:sz w:val="24"/>
          <w:szCs w:val="24"/>
        </w:rPr>
        <w:t>30.104</w:t>
      </w:r>
      <w:r w:rsidRPr="00440196" w:rsidR="002A6369">
        <w:rPr>
          <w:rFonts w:ascii="Times New Roman" w:hAnsi="Times New Roman" w:cs="Times New Roman"/>
          <w:sz w:val="24"/>
          <w:szCs w:val="24"/>
        </w:rPr>
        <w:t xml:space="preserve"> and 30.107</w:t>
      </w:r>
      <w:r w:rsidRPr="00440196" w:rsidR="00D6750E">
        <w:rPr>
          <w:rFonts w:ascii="Times New Roman" w:hAnsi="Times New Roman" w:cs="Times New Roman"/>
          <w:sz w:val="24"/>
          <w:szCs w:val="24"/>
        </w:rPr>
        <w:t xml:space="preserve"> information requirement</w:t>
      </w:r>
      <w:r w:rsidRPr="00440196" w:rsidR="00EB6DD7">
        <w:rPr>
          <w:rFonts w:ascii="Times New Roman" w:hAnsi="Times New Roman" w:cs="Times New Roman"/>
          <w:sz w:val="24"/>
          <w:szCs w:val="24"/>
        </w:rPr>
        <w:t>, which established information collection requirements</w:t>
      </w:r>
      <w:r w:rsidRPr="00440196" w:rsidR="00660130">
        <w:rPr>
          <w:rFonts w:ascii="Times New Roman" w:hAnsi="Times New Roman" w:cs="Times New Roman"/>
          <w:sz w:val="24"/>
          <w:szCs w:val="24"/>
        </w:rPr>
        <w:t xml:space="preserve"> which are contained in this collection</w:t>
      </w:r>
      <w:r w:rsidRPr="00440196" w:rsidR="00EB6DD7">
        <w:rPr>
          <w:rFonts w:ascii="Times New Roman" w:hAnsi="Times New Roman" w:cs="Times New Roman"/>
          <w:sz w:val="24"/>
          <w:szCs w:val="24"/>
        </w:rPr>
        <w:t xml:space="preserve">. </w:t>
      </w:r>
      <w:r w:rsidRPr="00440196">
        <w:rPr>
          <w:rFonts w:ascii="Times New Roman" w:hAnsi="Times New Roman" w:cs="Times New Roman"/>
          <w:sz w:val="24"/>
          <w:szCs w:val="24"/>
        </w:rPr>
        <w:t xml:space="preserve">Therefore, there are program changes/increases to the collection as follows:  +21 to the number of respondents, +942 to the annual number of responses, </w:t>
      </w:r>
      <w:r w:rsidRPr="00440196" w:rsidR="00C740AC">
        <w:rPr>
          <w:rFonts w:ascii="Times New Roman" w:hAnsi="Times New Roman" w:cs="Times New Roman"/>
          <w:sz w:val="24"/>
          <w:szCs w:val="24"/>
        </w:rPr>
        <w:t>+</w:t>
      </w:r>
      <w:r w:rsidRPr="00440196">
        <w:rPr>
          <w:rFonts w:ascii="Times New Roman" w:hAnsi="Times New Roman" w:cs="Times New Roman"/>
          <w:sz w:val="24"/>
          <w:szCs w:val="24"/>
        </w:rPr>
        <w:t xml:space="preserve">$1,884 to the annual burden hours and </w:t>
      </w:r>
      <w:r w:rsidRPr="00440196" w:rsidR="00EB6DD7">
        <w:rPr>
          <w:rFonts w:ascii="Times New Roman" w:hAnsi="Times New Roman" w:cs="Times New Roman"/>
          <w:sz w:val="24"/>
          <w:szCs w:val="24"/>
        </w:rPr>
        <w:t xml:space="preserve"> </w:t>
      </w:r>
      <w:r w:rsidRPr="00440196" w:rsidR="00C740AC">
        <w:rPr>
          <w:rFonts w:ascii="Times New Roman" w:hAnsi="Times New Roman" w:cs="Times New Roman"/>
          <w:sz w:val="24"/>
          <w:szCs w:val="24"/>
        </w:rPr>
        <w:t>+</w:t>
      </w:r>
      <w:r w:rsidRPr="00440196">
        <w:rPr>
          <w:rFonts w:ascii="Times New Roman" w:hAnsi="Times New Roman" w:cs="Times New Roman"/>
          <w:sz w:val="24"/>
          <w:szCs w:val="24"/>
        </w:rPr>
        <w:t xml:space="preserve">$158,500 to the annual cost.  </w:t>
      </w:r>
    </w:p>
    <w:p w:rsidR="000C31DA" w:rsidRPr="00440196" w:rsidP="00272321" w14:paraId="14F46FBE" w14:textId="77777777">
      <w:pPr>
        <w:spacing w:after="0" w:line="240" w:lineRule="auto"/>
        <w:rPr>
          <w:rFonts w:ascii="Times New Roman" w:hAnsi="Times New Roman" w:cs="Times New Roman"/>
          <w:sz w:val="24"/>
          <w:szCs w:val="24"/>
        </w:rPr>
      </w:pPr>
    </w:p>
    <w:p w:rsidR="00272321" w:rsidRPr="00440196" w:rsidP="00272321" w14:paraId="29F6BF35" w14:textId="69F041F6">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There</w:t>
      </w:r>
      <w:r w:rsidRPr="00440196" w:rsidR="000C31DA">
        <w:rPr>
          <w:rFonts w:ascii="Times New Roman" w:hAnsi="Times New Roman" w:cs="Times New Roman"/>
          <w:sz w:val="24"/>
          <w:szCs w:val="24"/>
        </w:rPr>
        <w:t xml:space="preserve"> are adjustments to the collection as follows:  -1,213 to the number of respondents, </w:t>
      </w:r>
      <w:r w:rsidRPr="00440196" w:rsidR="00C740AC">
        <w:rPr>
          <w:rFonts w:ascii="Times New Roman" w:hAnsi="Times New Roman" w:cs="Times New Roman"/>
          <w:sz w:val="24"/>
          <w:szCs w:val="24"/>
        </w:rPr>
        <w:t>-766 to the annual number of responses, -100 to the annual burden hours and -$206,250 to the annual cost</w:t>
      </w:r>
      <w:r w:rsidRPr="00440196" w:rsidR="007C37A0">
        <w:rPr>
          <w:rFonts w:ascii="Times New Roman" w:hAnsi="Times New Roman" w:cs="Times New Roman"/>
          <w:sz w:val="24"/>
          <w:szCs w:val="24"/>
        </w:rPr>
        <w:t>.</w:t>
      </w:r>
    </w:p>
    <w:p w:rsidR="00810DB0" w:rsidRPr="00440196" w:rsidP="00272321" w14:paraId="0922B53F" w14:textId="138FE3CB">
      <w:pPr>
        <w:spacing w:after="0" w:line="240" w:lineRule="auto"/>
        <w:rPr>
          <w:rFonts w:ascii="Times New Roman" w:hAnsi="Times New Roman" w:cs="Times New Roman"/>
          <w:sz w:val="24"/>
          <w:szCs w:val="24"/>
        </w:rPr>
      </w:pPr>
    </w:p>
    <w:p w:rsidR="00E53175" w:rsidRPr="00440196" w:rsidP="00272321" w14:paraId="7A121D88" w14:textId="77777777">
      <w:pPr>
        <w:spacing w:after="0" w:line="240" w:lineRule="auto"/>
        <w:rPr>
          <w:rFonts w:ascii="Times New Roman" w:hAnsi="Times New Roman" w:cs="Times New Roman"/>
          <w:sz w:val="24"/>
          <w:szCs w:val="24"/>
        </w:rPr>
      </w:pPr>
    </w:p>
    <w:p w:rsidR="00E53175" w:rsidRPr="00440196" w:rsidP="00272321" w14:paraId="2403DCF9" w14:textId="77777777">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16.</w:t>
      </w:r>
      <w:r w:rsidRPr="00440196">
        <w:rPr>
          <w:rFonts w:ascii="Times New Roman" w:hAnsi="Times New Roman" w:cs="Times New Roman"/>
          <w:sz w:val="24"/>
          <w:szCs w:val="24"/>
        </w:rPr>
        <w:tab/>
        <w:t>The data will not be published for statistical use.</w:t>
      </w:r>
    </w:p>
    <w:p w:rsidR="00E53175" w:rsidRPr="00440196" w:rsidP="00272321" w14:paraId="43410BF5" w14:textId="77777777">
      <w:pPr>
        <w:spacing w:after="0" w:line="240" w:lineRule="auto"/>
        <w:rPr>
          <w:rFonts w:ascii="Times New Roman" w:hAnsi="Times New Roman" w:cs="Times New Roman"/>
          <w:sz w:val="24"/>
          <w:szCs w:val="24"/>
        </w:rPr>
      </w:pPr>
    </w:p>
    <w:p w:rsidR="00E53175" w:rsidRPr="00440196" w:rsidP="006725BF" w14:paraId="31748521" w14:textId="01EBCA32">
      <w:pPr>
        <w:rPr>
          <w:rFonts w:ascii="Times New Roman" w:hAnsi="Times New Roman" w:cs="Times New Roman"/>
          <w:sz w:val="24"/>
          <w:szCs w:val="24"/>
        </w:rPr>
      </w:pPr>
      <w:r w:rsidRPr="00440196">
        <w:rPr>
          <w:rFonts w:ascii="Times New Roman" w:hAnsi="Times New Roman" w:cs="Times New Roman"/>
          <w:sz w:val="24"/>
          <w:szCs w:val="24"/>
        </w:rPr>
        <w:t xml:space="preserve">17. </w:t>
      </w:r>
      <w:r w:rsidRPr="00440196">
        <w:rPr>
          <w:rFonts w:ascii="Times New Roman" w:hAnsi="Times New Roman" w:cs="Times New Roman"/>
          <w:sz w:val="24"/>
          <w:szCs w:val="24"/>
        </w:rPr>
        <w:tab/>
      </w:r>
      <w:r w:rsidRPr="00440196" w:rsidR="00B21614">
        <w:rPr>
          <w:rFonts w:ascii="Times New Roman" w:hAnsi="Times New Roman" w:cs="Times New Roman"/>
          <w:spacing w:val="-3"/>
          <w:sz w:val="24"/>
          <w:szCs w:val="24"/>
        </w:rPr>
        <w:t xml:space="preserve">OMB approval of the expiration of the information collection will be displayed </w:t>
      </w:r>
      <w:r w:rsidRPr="00440196" w:rsidR="00770C51">
        <w:rPr>
          <w:rFonts w:ascii="Times New Roman" w:hAnsi="Times New Roman" w:cs="Times New Roman"/>
          <w:spacing w:val="-3"/>
          <w:sz w:val="24"/>
          <w:szCs w:val="24"/>
        </w:rPr>
        <w:t>on OMB’s website.</w:t>
      </w:r>
    </w:p>
    <w:p w:rsidR="00E53175" w:rsidRPr="00440196" w:rsidP="00272321" w14:paraId="5E2415A2" w14:textId="34DE1221">
      <w:pPr>
        <w:spacing w:after="0" w:line="240" w:lineRule="auto"/>
        <w:rPr>
          <w:rFonts w:ascii="Times New Roman" w:hAnsi="Times New Roman" w:cs="Times New Roman"/>
          <w:sz w:val="24"/>
          <w:szCs w:val="24"/>
        </w:rPr>
      </w:pPr>
      <w:r w:rsidRPr="00440196">
        <w:rPr>
          <w:rFonts w:ascii="Times New Roman" w:hAnsi="Times New Roman" w:cs="Times New Roman"/>
          <w:sz w:val="24"/>
          <w:szCs w:val="24"/>
        </w:rPr>
        <w:t>18.</w:t>
      </w:r>
      <w:r w:rsidRPr="00440196">
        <w:rPr>
          <w:rFonts w:ascii="Times New Roman" w:hAnsi="Times New Roman" w:cs="Times New Roman"/>
          <w:sz w:val="24"/>
          <w:szCs w:val="24"/>
        </w:rPr>
        <w:tab/>
      </w:r>
      <w:r w:rsidRPr="00440196" w:rsidR="00323F00">
        <w:rPr>
          <w:rFonts w:ascii="Times New Roman" w:hAnsi="Times New Roman" w:cs="Times New Roman"/>
          <w:sz w:val="24"/>
          <w:szCs w:val="24"/>
        </w:rPr>
        <w:t xml:space="preserve">There are no </w:t>
      </w:r>
      <w:r w:rsidRPr="00440196" w:rsidR="00F43234">
        <w:rPr>
          <w:rFonts w:ascii="Times New Roman" w:hAnsi="Times New Roman" w:cs="Times New Roman"/>
          <w:sz w:val="24"/>
          <w:szCs w:val="24"/>
        </w:rPr>
        <w:t xml:space="preserve">exceptions </w:t>
      </w:r>
      <w:r w:rsidRPr="00440196" w:rsidR="00323F00">
        <w:rPr>
          <w:rFonts w:ascii="Times New Roman" w:hAnsi="Times New Roman" w:cs="Times New Roman"/>
          <w:sz w:val="24"/>
          <w:szCs w:val="24"/>
        </w:rPr>
        <w:t>to</w:t>
      </w:r>
      <w:r w:rsidRPr="00440196" w:rsidR="00F43234">
        <w:rPr>
          <w:rFonts w:ascii="Times New Roman" w:hAnsi="Times New Roman" w:cs="Times New Roman"/>
          <w:sz w:val="24"/>
          <w:szCs w:val="24"/>
        </w:rPr>
        <w:t xml:space="preserve"> the Certification Statement.</w:t>
      </w:r>
    </w:p>
    <w:p w:rsidR="00F43234" w:rsidRPr="00440196" w:rsidP="00272321" w14:paraId="295ECF1B" w14:textId="77777777">
      <w:pPr>
        <w:spacing w:after="0" w:line="240" w:lineRule="auto"/>
        <w:rPr>
          <w:rFonts w:ascii="Times New Roman" w:hAnsi="Times New Roman" w:cs="Times New Roman"/>
          <w:sz w:val="24"/>
          <w:szCs w:val="24"/>
        </w:rPr>
      </w:pPr>
    </w:p>
    <w:p w:rsidR="00F43234" w:rsidRPr="00440196" w:rsidP="00770C51" w14:paraId="353BFDD3" w14:textId="73F51B3C">
      <w:pPr>
        <w:pStyle w:val="ListParagraph"/>
        <w:spacing w:after="0" w:line="240" w:lineRule="auto"/>
        <w:ind w:left="0"/>
        <w:rPr>
          <w:rFonts w:ascii="Times New Roman" w:hAnsi="Times New Roman" w:cs="Times New Roman"/>
          <w:sz w:val="24"/>
          <w:szCs w:val="24"/>
        </w:rPr>
      </w:pPr>
      <w:r w:rsidRPr="00440196">
        <w:rPr>
          <w:rFonts w:ascii="Times New Roman" w:hAnsi="Times New Roman" w:cs="Times New Roman"/>
          <w:sz w:val="24"/>
          <w:szCs w:val="24"/>
        </w:rPr>
        <w:tab/>
      </w:r>
      <w:r w:rsidRPr="00440196">
        <w:rPr>
          <w:rFonts w:ascii="Times New Roman" w:hAnsi="Times New Roman" w:cs="Times New Roman"/>
          <w:sz w:val="24"/>
          <w:szCs w:val="24"/>
        </w:rPr>
        <w:t>Collections of Information Employing Statistical Methods:</w:t>
      </w:r>
    </w:p>
    <w:p w:rsidR="00122BD2" w:rsidRPr="00440196" w:rsidP="00F43234" w14:paraId="59855846" w14:textId="77777777">
      <w:pPr>
        <w:spacing w:after="0" w:line="240" w:lineRule="auto"/>
        <w:rPr>
          <w:rFonts w:ascii="Times New Roman" w:hAnsi="Times New Roman" w:cs="Times New Roman"/>
          <w:sz w:val="24"/>
          <w:szCs w:val="24"/>
        </w:rPr>
      </w:pPr>
    </w:p>
    <w:p w:rsidR="00F43234" w:rsidRPr="00C5352C" w:rsidP="00122BD2" w14:paraId="6B98605A" w14:textId="77777777">
      <w:pPr>
        <w:spacing w:after="0" w:line="240" w:lineRule="auto"/>
        <w:ind w:firstLine="720"/>
        <w:rPr>
          <w:rFonts w:ascii="Times New Roman" w:hAnsi="Times New Roman" w:cs="Times New Roman"/>
          <w:sz w:val="24"/>
          <w:szCs w:val="24"/>
        </w:rPr>
      </w:pPr>
      <w:r w:rsidRPr="00440196">
        <w:rPr>
          <w:rFonts w:ascii="Times New Roman" w:hAnsi="Times New Roman" w:cs="Times New Roman"/>
          <w:sz w:val="24"/>
          <w:szCs w:val="24"/>
        </w:rPr>
        <w:t>No statistical methods are employed.</w:t>
      </w:r>
    </w:p>
    <w:p w:rsidR="00EB6DD7" w:rsidRPr="00C5352C" w:rsidP="00122BD2" w14:paraId="4FB53E40" w14:textId="77777777">
      <w:pPr>
        <w:spacing w:after="0" w:line="240" w:lineRule="auto"/>
        <w:ind w:firstLine="720"/>
        <w:rPr>
          <w:rFonts w:ascii="Times New Roman" w:hAnsi="Times New Roman" w:cs="Times New Roman"/>
          <w:sz w:val="24"/>
          <w:szCs w:val="24"/>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1644233"/>
      <w:docPartObj>
        <w:docPartGallery w:val="Page Numbers (Bottom of Page)"/>
        <w:docPartUnique/>
      </w:docPartObj>
    </w:sdtPr>
    <w:sdtEndPr>
      <w:rPr>
        <w:noProof/>
      </w:rPr>
    </w:sdtEndPr>
    <w:sdtContent>
      <w:p w:rsidR="00EC4BD6" w14:paraId="5C056E7E" w14:textId="77777777">
        <w:pPr>
          <w:pStyle w:val="Footer"/>
          <w:jc w:val="center"/>
        </w:pPr>
        <w:r>
          <w:fldChar w:fldCharType="begin"/>
        </w:r>
        <w:r>
          <w:instrText xml:space="preserve"> PAGE   \* MERGEFORMAT </w:instrText>
        </w:r>
        <w:r>
          <w:fldChar w:fldCharType="separate"/>
        </w:r>
        <w:r w:rsidR="006F4113">
          <w:rPr>
            <w:noProof/>
          </w:rPr>
          <w:t>1</w:t>
        </w:r>
        <w:r>
          <w:rPr>
            <w:noProof/>
          </w:rPr>
          <w:fldChar w:fldCharType="end"/>
        </w:r>
      </w:p>
    </w:sdtContent>
  </w:sdt>
  <w:p w:rsidR="00EC4BD6" w14:paraId="576CBF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6785" w:rsidP="00A97E8E" w14:paraId="35FB44FC" w14:textId="77777777">
      <w:pPr>
        <w:spacing w:after="0" w:line="240" w:lineRule="auto"/>
      </w:pPr>
      <w:r>
        <w:separator/>
      </w:r>
    </w:p>
  </w:footnote>
  <w:footnote w:type="continuationSeparator" w:id="1">
    <w:p w:rsidR="00C06785" w:rsidP="00A97E8E" w14:paraId="20B06479" w14:textId="77777777">
      <w:pPr>
        <w:spacing w:after="0" w:line="240" w:lineRule="auto"/>
      </w:pPr>
      <w:r>
        <w:continuationSeparator/>
      </w:r>
    </w:p>
  </w:footnote>
  <w:footnote w:id="2">
    <w:p w:rsidR="00FF39C6" w:rsidRPr="00C5352C" w14:paraId="530C3541" w14:textId="4201E77E">
      <w:pPr>
        <w:pStyle w:val="FootnoteText"/>
        <w:rPr>
          <w:rFonts w:ascii="Times New Roman" w:hAnsi="Times New Roman" w:cs="Times New Roman"/>
          <w:sz w:val="16"/>
          <w:szCs w:val="16"/>
        </w:rPr>
      </w:pPr>
      <w:r w:rsidRPr="00C5352C">
        <w:rPr>
          <w:rStyle w:val="FootnoteReference"/>
          <w:rFonts w:ascii="Times New Roman" w:hAnsi="Times New Roman" w:cs="Times New Roman"/>
          <w:sz w:val="16"/>
          <w:szCs w:val="16"/>
        </w:rPr>
        <w:footnoteRef/>
      </w:r>
      <w:r w:rsidRPr="00C5352C">
        <w:rPr>
          <w:rFonts w:ascii="Times New Roman" w:hAnsi="Times New Roman" w:cs="Times New Roman"/>
          <w:sz w:val="16"/>
          <w:szCs w:val="16"/>
        </w:rPr>
        <w:t xml:space="preserve"> Amendment of Parts 2, 25, and 30 of the Commission’s Rules to Use of Spectrum Bands Above 24 GHz for Mobile Radio Services, Fifth Report and Order, GN Docket No. 14-177, FCC 19-30; adopted Apr. 15, 2019; </w:t>
      </w:r>
      <w:r w:rsidRPr="00C5352C" w:rsidR="002130A5">
        <w:rPr>
          <w:rFonts w:ascii="Times New Roman" w:hAnsi="Times New Roman" w:cs="Times New Roman"/>
          <w:sz w:val="16"/>
          <w:szCs w:val="16"/>
        </w:rPr>
        <w:t>84 FR 47146</w:t>
      </w:r>
      <w:r w:rsidRPr="00C5352C">
        <w:rPr>
          <w:rFonts w:ascii="Times New Roman" w:hAnsi="Times New Roman" w:cs="Times New Roman"/>
          <w:sz w:val="16"/>
          <w:szCs w:val="16"/>
        </w:rPr>
        <w:t>. (Fifth R&amp;O).</w:t>
      </w:r>
    </w:p>
  </w:footnote>
  <w:footnote w:id="3">
    <w:p w:rsidR="00EC4BD6" w:rsidRPr="00C5352C" w14:paraId="4D24E3E1" w14:textId="7507024D">
      <w:pPr>
        <w:pStyle w:val="FootnoteText"/>
        <w:rPr>
          <w:rFonts w:ascii="Times New Roman" w:hAnsi="Times New Roman" w:cs="Times New Roman"/>
          <w:sz w:val="16"/>
          <w:szCs w:val="16"/>
        </w:rPr>
      </w:pPr>
      <w:r w:rsidRPr="00C5352C">
        <w:rPr>
          <w:rStyle w:val="FootnoteReference"/>
          <w:rFonts w:ascii="Times New Roman" w:hAnsi="Times New Roman" w:cs="Times New Roman"/>
          <w:sz w:val="16"/>
          <w:szCs w:val="16"/>
        </w:rPr>
        <w:footnoteRef/>
      </w:r>
      <w:r w:rsidRPr="00C5352C">
        <w:rPr>
          <w:rFonts w:ascii="Times New Roman" w:hAnsi="Times New Roman" w:cs="Times New Roman"/>
          <w:sz w:val="16"/>
          <w:szCs w:val="16"/>
        </w:rPr>
        <w:t xml:space="preserve"> </w:t>
      </w:r>
      <w:bookmarkStart w:id="4" w:name="_Hlk504054223"/>
      <w:r w:rsidRPr="00C5352C">
        <w:rPr>
          <w:rFonts w:ascii="Times New Roman" w:hAnsi="Times New Roman" w:cs="Times New Roman"/>
          <w:sz w:val="16"/>
          <w:szCs w:val="16"/>
        </w:rPr>
        <w:t>U.S. Bureau of Labor Statistics,</w:t>
      </w:r>
      <w:r w:rsidRPr="00C5352C" w:rsidR="00824B14">
        <w:rPr>
          <w:rFonts w:ascii="Times New Roman" w:hAnsi="Times New Roman" w:cs="Times New Roman"/>
          <w:sz w:val="16"/>
          <w:szCs w:val="16"/>
        </w:rPr>
        <w:t xml:space="preserve"> Economic Releases,</w:t>
      </w:r>
      <w:r w:rsidRPr="00C5352C">
        <w:rPr>
          <w:rFonts w:ascii="Times New Roman" w:hAnsi="Times New Roman" w:cs="Times New Roman"/>
          <w:sz w:val="16"/>
          <w:szCs w:val="16"/>
        </w:rPr>
        <w:t xml:space="preserve"> </w:t>
      </w:r>
      <w:r w:rsidRPr="00C5352C" w:rsidR="00824B14">
        <w:rPr>
          <w:rFonts w:ascii="Times New Roman" w:hAnsi="Times New Roman" w:cs="Times New Roman"/>
          <w:sz w:val="16"/>
          <w:szCs w:val="16"/>
        </w:rPr>
        <w:t>T</w:t>
      </w:r>
      <w:r w:rsidRPr="00C5352C">
        <w:rPr>
          <w:rFonts w:ascii="Times New Roman" w:hAnsi="Times New Roman" w:cs="Times New Roman"/>
          <w:sz w:val="16"/>
          <w:szCs w:val="16"/>
        </w:rPr>
        <w:t>able 1. National employment and wage data from Occupational Employment Statistics survey by occupation - May 20</w:t>
      </w:r>
      <w:r w:rsidRPr="00C5352C" w:rsidR="00A70128">
        <w:rPr>
          <w:rFonts w:ascii="Times New Roman" w:hAnsi="Times New Roman" w:cs="Times New Roman"/>
          <w:sz w:val="16"/>
          <w:szCs w:val="16"/>
        </w:rPr>
        <w:t>24</w:t>
      </w:r>
      <w:r w:rsidRPr="00C5352C">
        <w:rPr>
          <w:rFonts w:ascii="Times New Roman" w:hAnsi="Times New Roman" w:cs="Times New Roman"/>
          <w:sz w:val="16"/>
          <w:szCs w:val="16"/>
        </w:rPr>
        <w:t xml:space="preserve">, </w:t>
      </w:r>
      <w:r w:rsidRPr="00C5352C" w:rsidR="0002207F">
        <w:rPr>
          <w:rFonts w:ascii="Times New Roman" w:hAnsi="Times New Roman" w:cs="Times New Roman"/>
          <w:sz w:val="16"/>
          <w:szCs w:val="16"/>
        </w:rPr>
        <w:t>Lawyer</w:t>
      </w:r>
      <w:r w:rsidRPr="00C5352C">
        <w:rPr>
          <w:rFonts w:ascii="Times New Roman" w:hAnsi="Times New Roman" w:cs="Times New Roman"/>
          <w:sz w:val="16"/>
          <w:szCs w:val="16"/>
        </w:rPr>
        <w:t xml:space="preserve"> and Engineer, Mean Wages – Hourly.</w:t>
      </w:r>
      <w:bookmarkEnd w:id="4"/>
    </w:p>
  </w:footnote>
  <w:footnote w:id="4">
    <w:p w:rsidR="00312F60" w:rsidRPr="00C5352C" w:rsidP="000C27AF" w14:paraId="1AC1CB4F" w14:textId="1CF570B8">
      <w:pPr>
        <w:pStyle w:val="FootnoteText"/>
        <w:rPr>
          <w:rFonts w:ascii="Times New Roman" w:hAnsi="Times New Roman" w:cs="Times New Roman"/>
          <w:sz w:val="16"/>
          <w:szCs w:val="16"/>
        </w:rPr>
      </w:pPr>
      <w:r w:rsidRPr="00C5352C">
        <w:rPr>
          <w:rStyle w:val="FootnoteReference"/>
          <w:rFonts w:ascii="Times New Roman" w:hAnsi="Times New Roman" w:cs="Times New Roman"/>
          <w:sz w:val="16"/>
          <w:szCs w:val="16"/>
        </w:rPr>
        <w:footnoteRef/>
      </w:r>
      <w:r w:rsidRPr="00C5352C">
        <w:rPr>
          <w:rFonts w:ascii="Times New Roman" w:hAnsi="Times New Roman" w:cs="Times New Roman"/>
          <w:sz w:val="16"/>
          <w:szCs w:val="16"/>
        </w:rPr>
        <w:t xml:space="preserve"> </w:t>
      </w:r>
      <w:r w:rsidRPr="00C5352C">
        <w:rPr>
          <w:rFonts w:ascii="Times New Roman" w:hAnsi="Times New Roman" w:cs="Times New Roman"/>
          <w:i/>
          <w:iCs/>
          <w:sz w:val="16"/>
          <w:szCs w:val="16"/>
        </w:rPr>
        <w:t>See</w:t>
      </w:r>
      <w:r w:rsidRPr="00C5352C">
        <w:rPr>
          <w:rFonts w:ascii="Times New Roman" w:hAnsi="Times New Roman" w:cs="Times New Roman"/>
          <w:sz w:val="16"/>
          <w:szCs w:val="16"/>
        </w:rPr>
        <w:t xml:space="preserve"> Supporting Statement, Use of Spectrum Bands Above 24 GHz for Mobile Radio Services, 3060-1215, June 2021, </w:t>
      </w:r>
      <w:bookmarkStart w:id="7" w:name="_Hlk161666851"/>
      <w:r w:rsidRPr="00C5352C">
        <w:rPr>
          <w:rFonts w:ascii="Times New Roman" w:hAnsi="Times New Roman" w:cs="Times New Roman"/>
          <w:sz w:val="16"/>
          <w:szCs w:val="16"/>
        </w:rPr>
        <w:t>§30.10</w:t>
      </w:r>
      <w:bookmarkEnd w:id="7"/>
      <w:r w:rsidRPr="00C5352C" w:rsidR="00EB4FEF">
        <w:rPr>
          <w:rFonts w:ascii="Times New Roman" w:hAnsi="Times New Roman" w:cs="Times New Roman"/>
          <w:sz w:val="16"/>
          <w:szCs w:val="16"/>
        </w:rPr>
        <w:t>5</w:t>
      </w:r>
      <w:r w:rsidRPr="00C5352C">
        <w:rPr>
          <w:rFonts w:ascii="Times New Roman" w:hAnsi="Times New Roman" w:cs="Times New Roman"/>
          <w:sz w:val="16"/>
          <w:szCs w:val="16"/>
        </w:rPr>
        <w:t xml:space="preserve">,  Subpart B – Applications and Licenses Construction requirements section should have </w:t>
      </w:r>
      <w:r w:rsidR="00D7673E">
        <w:rPr>
          <w:rFonts w:ascii="Times New Roman" w:hAnsi="Times New Roman" w:cs="Times New Roman"/>
          <w:sz w:val="16"/>
          <w:szCs w:val="16"/>
        </w:rPr>
        <w:t>read</w:t>
      </w:r>
      <w:r w:rsidRPr="00C5352C">
        <w:rPr>
          <w:rFonts w:ascii="Times New Roman" w:hAnsi="Times New Roman" w:cs="Times New Roman"/>
          <w:sz w:val="16"/>
          <w:szCs w:val="16"/>
        </w:rPr>
        <w:t xml:space="preserve"> §30.10</w:t>
      </w:r>
      <w:r w:rsidRPr="00C5352C" w:rsidR="00EB4FEF">
        <w:rPr>
          <w:rFonts w:ascii="Times New Roman" w:hAnsi="Times New Roman" w:cs="Times New Roman"/>
          <w:sz w:val="16"/>
          <w:szCs w:val="16"/>
        </w:rPr>
        <w:t>4</w:t>
      </w:r>
      <w:r w:rsidRPr="00C5352C">
        <w:rPr>
          <w:rFonts w:ascii="Times New Roman" w:hAnsi="Times New Roman" w:cs="Times New Roman"/>
          <w:sz w:val="16"/>
          <w:szCs w:val="16"/>
        </w:rPr>
        <w:t>.</w:t>
      </w:r>
    </w:p>
  </w:footnote>
  <w:footnote w:id="5">
    <w:p w:rsidR="001A2C61" w:rsidRPr="00C5352C" w14:paraId="57867219" w14:textId="0D7A1698">
      <w:pPr>
        <w:pStyle w:val="FootnoteText"/>
        <w:rPr>
          <w:rFonts w:ascii="Times New Roman" w:hAnsi="Times New Roman" w:cs="Times New Roman"/>
          <w:sz w:val="16"/>
          <w:szCs w:val="16"/>
        </w:rPr>
      </w:pPr>
      <w:r w:rsidRPr="00C5352C">
        <w:rPr>
          <w:rStyle w:val="FootnoteReference"/>
          <w:rFonts w:ascii="Times New Roman" w:hAnsi="Times New Roman" w:cs="Times New Roman"/>
          <w:sz w:val="16"/>
          <w:szCs w:val="16"/>
        </w:rPr>
        <w:footnoteRef/>
      </w:r>
      <w:r w:rsidRPr="00C5352C">
        <w:rPr>
          <w:rFonts w:ascii="Times New Roman" w:hAnsi="Times New Roman" w:cs="Times New Roman"/>
          <w:sz w:val="16"/>
          <w:szCs w:val="16"/>
        </w:rPr>
        <w:t xml:space="preserve"> </w:t>
      </w:r>
      <w:bookmarkStart w:id="14" w:name="_Hlk161846400"/>
      <w:r w:rsidRPr="00C5352C">
        <w:rPr>
          <w:rFonts w:ascii="Times New Roman" w:hAnsi="Times New Roman" w:cs="Times New Roman"/>
          <w:sz w:val="16"/>
          <w:szCs w:val="16"/>
        </w:rPr>
        <w:t xml:space="preserve">See 13. </w:t>
      </w:r>
      <w:r w:rsidRPr="00C5352C" w:rsidR="00D713C5">
        <w:rPr>
          <w:rFonts w:ascii="Times New Roman" w:hAnsi="Times New Roman" w:cs="Times New Roman"/>
          <w:sz w:val="16"/>
          <w:szCs w:val="16"/>
        </w:rPr>
        <w:t>12-</w:t>
      </w:r>
      <w:r w:rsidRPr="00C5352C" w:rsidR="009358B8">
        <w:rPr>
          <w:rFonts w:ascii="Times New Roman" w:hAnsi="Times New Roman" w:cs="Times New Roman"/>
          <w:sz w:val="16"/>
          <w:szCs w:val="16"/>
        </w:rPr>
        <w:t>b</w:t>
      </w:r>
      <w:r w:rsidRPr="00C5352C" w:rsidR="00D713C5">
        <w:rPr>
          <w:rFonts w:ascii="Times New Roman" w:hAnsi="Times New Roman" w:cs="Times New Roman"/>
          <w:sz w:val="16"/>
          <w:szCs w:val="16"/>
        </w:rPr>
        <w:t xml:space="preserve">. §25.136 </w:t>
      </w:r>
      <w:r w:rsidRPr="00C5352C">
        <w:rPr>
          <w:rFonts w:ascii="Times New Roman" w:hAnsi="Times New Roman" w:cs="Times New Roman"/>
          <w:sz w:val="16"/>
          <w:szCs w:val="16"/>
        </w:rPr>
        <w:t xml:space="preserve">Annual Cost Burden – Consultant. The Commission estimates that </w:t>
      </w:r>
      <w:r w:rsidRPr="00C5352C" w:rsidR="00FA7893">
        <w:rPr>
          <w:rFonts w:ascii="Times New Roman" w:hAnsi="Times New Roman" w:cs="Times New Roman"/>
          <w:sz w:val="16"/>
          <w:szCs w:val="16"/>
        </w:rPr>
        <w:t xml:space="preserve">45 </w:t>
      </w:r>
      <w:r w:rsidRPr="00C5352C">
        <w:rPr>
          <w:rFonts w:ascii="Times New Roman" w:hAnsi="Times New Roman" w:cs="Times New Roman"/>
          <w:sz w:val="16"/>
          <w:szCs w:val="16"/>
        </w:rPr>
        <w:t>Consultant</w:t>
      </w:r>
      <w:r w:rsidRPr="00C5352C" w:rsidR="00FA7893">
        <w:rPr>
          <w:rFonts w:ascii="Times New Roman" w:hAnsi="Times New Roman" w:cs="Times New Roman"/>
          <w:sz w:val="16"/>
          <w:szCs w:val="16"/>
        </w:rPr>
        <w:t>s</w:t>
      </w:r>
      <w:r w:rsidRPr="00C5352C">
        <w:rPr>
          <w:rFonts w:ascii="Times New Roman" w:hAnsi="Times New Roman" w:cs="Times New Roman"/>
          <w:sz w:val="16"/>
          <w:szCs w:val="16"/>
        </w:rPr>
        <w:t xml:space="preserve"> will </w:t>
      </w:r>
      <w:r w:rsidRPr="00C5352C" w:rsidR="00315DD0">
        <w:rPr>
          <w:rFonts w:ascii="Times New Roman" w:hAnsi="Times New Roman" w:cs="Times New Roman"/>
          <w:sz w:val="16"/>
          <w:szCs w:val="16"/>
        </w:rPr>
        <w:t>process</w:t>
      </w:r>
      <w:r w:rsidRPr="00C5352C">
        <w:rPr>
          <w:rFonts w:ascii="Times New Roman" w:hAnsi="Times New Roman" w:cs="Times New Roman"/>
          <w:sz w:val="16"/>
          <w:szCs w:val="16"/>
        </w:rPr>
        <w:t xml:space="preserve"> </w:t>
      </w:r>
      <w:r w:rsidRPr="00C5352C" w:rsidR="00FA7893">
        <w:rPr>
          <w:rFonts w:ascii="Times New Roman" w:hAnsi="Times New Roman" w:cs="Times New Roman"/>
          <w:sz w:val="16"/>
          <w:szCs w:val="16"/>
        </w:rPr>
        <w:t>150</w:t>
      </w:r>
      <w:r w:rsidRPr="00C5352C">
        <w:rPr>
          <w:rFonts w:ascii="Times New Roman" w:hAnsi="Times New Roman" w:cs="Times New Roman"/>
          <w:sz w:val="16"/>
          <w:szCs w:val="16"/>
        </w:rPr>
        <w:t xml:space="preserve"> applications per year.</w:t>
      </w:r>
      <w:bookmarkEnd w:id="14"/>
    </w:p>
  </w:footnote>
  <w:footnote w:id="6">
    <w:p w:rsidR="00BB482A" w:rsidRPr="00324D54" w14:paraId="70D54D7E" w14:textId="0931C61D">
      <w:pPr>
        <w:pStyle w:val="FootnoteText"/>
        <w:rPr>
          <w:rFonts w:ascii="Times New Roman" w:hAnsi="Times New Roman" w:cs="Times New Roman"/>
          <w:sz w:val="16"/>
          <w:szCs w:val="16"/>
        </w:rPr>
      </w:pPr>
      <w:r w:rsidRPr="00324D54">
        <w:rPr>
          <w:rStyle w:val="FootnoteReference"/>
          <w:rFonts w:ascii="Times New Roman" w:hAnsi="Times New Roman" w:cs="Times New Roman"/>
          <w:sz w:val="16"/>
          <w:szCs w:val="16"/>
        </w:rPr>
        <w:footnoteRef/>
      </w:r>
      <w:r w:rsidRPr="00324D54">
        <w:rPr>
          <w:rFonts w:ascii="Times New Roman" w:hAnsi="Times New Roman" w:cs="Times New Roman"/>
          <w:sz w:val="16"/>
          <w:szCs w:val="16"/>
        </w:rPr>
        <w:t xml:space="preserve"> </w:t>
      </w:r>
      <w:r w:rsidRPr="002B21C6">
        <w:rPr>
          <w:rFonts w:ascii="Times New Roman" w:hAnsi="Times New Roman" w:cs="Times New Roman"/>
          <w:i/>
          <w:iCs/>
          <w:sz w:val="16"/>
          <w:szCs w:val="16"/>
        </w:rPr>
        <w:t>See</w:t>
      </w:r>
      <w:r w:rsidRPr="00324D54">
        <w:rPr>
          <w:rFonts w:ascii="Times New Roman" w:hAnsi="Times New Roman" w:cs="Times New Roman"/>
          <w:sz w:val="16"/>
          <w:szCs w:val="16"/>
        </w:rPr>
        <w:t xml:space="preserve"> 13. 12-</w:t>
      </w:r>
      <w:r w:rsidRPr="00324D54" w:rsidR="009358B8">
        <w:rPr>
          <w:rFonts w:ascii="Times New Roman" w:hAnsi="Times New Roman" w:cs="Times New Roman"/>
          <w:sz w:val="16"/>
          <w:szCs w:val="16"/>
        </w:rPr>
        <w:t>d</w:t>
      </w:r>
      <w:r w:rsidRPr="00324D54">
        <w:rPr>
          <w:rFonts w:ascii="Times New Roman" w:hAnsi="Times New Roman" w:cs="Times New Roman"/>
          <w:sz w:val="16"/>
          <w:szCs w:val="16"/>
        </w:rPr>
        <w:t>.</w:t>
      </w:r>
      <w:r w:rsidRPr="00324D54" w:rsidR="009358B8">
        <w:rPr>
          <w:rFonts w:ascii="Times New Roman" w:hAnsi="Times New Roman" w:cs="Times New Roman"/>
          <w:sz w:val="16"/>
          <w:szCs w:val="16"/>
        </w:rPr>
        <w:t xml:space="preserve"> </w:t>
      </w:r>
      <w:r w:rsidRPr="002B21C6" w:rsidR="009358B8">
        <w:rPr>
          <w:rFonts w:ascii="Times New Roman" w:hAnsi="Times New Roman" w:cs="Times New Roman"/>
          <w:i/>
          <w:iCs/>
          <w:sz w:val="16"/>
          <w:szCs w:val="16"/>
        </w:rPr>
        <w:t xml:space="preserve">§30.104,  Subpart B – Applications and Licenses, </w:t>
      </w:r>
      <w:r w:rsidRPr="002B21C6">
        <w:rPr>
          <w:rFonts w:ascii="Times New Roman" w:hAnsi="Times New Roman" w:cs="Times New Roman"/>
          <w:i/>
          <w:iCs/>
          <w:sz w:val="16"/>
          <w:szCs w:val="16"/>
        </w:rPr>
        <w:t>Annual Cost Burden – Consultan</w:t>
      </w:r>
      <w:r w:rsidRPr="00324D54">
        <w:rPr>
          <w:rFonts w:ascii="Times New Roman" w:hAnsi="Times New Roman" w:cs="Times New Roman"/>
          <w:sz w:val="16"/>
          <w:szCs w:val="16"/>
        </w:rPr>
        <w:t xml:space="preserve">t. The Commission estimates that </w:t>
      </w:r>
      <w:r w:rsidRPr="00324D54" w:rsidR="009358B8">
        <w:rPr>
          <w:rFonts w:ascii="Times New Roman" w:hAnsi="Times New Roman" w:cs="Times New Roman"/>
          <w:sz w:val="16"/>
          <w:szCs w:val="16"/>
        </w:rPr>
        <w:t>7</w:t>
      </w:r>
      <w:r w:rsidRPr="00324D54">
        <w:rPr>
          <w:rFonts w:ascii="Times New Roman" w:hAnsi="Times New Roman" w:cs="Times New Roman"/>
          <w:sz w:val="16"/>
          <w:szCs w:val="16"/>
        </w:rPr>
        <w:t xml:space="preserve"> Consultants will process </w:t>
      </w:r>
      <w:r w:rsidRPr="00324D54" w:rsidR="009358B8">
        <w:rPr>
          <w:rFonts w:ascii="Times New Roman" w:hAnsi="Times New Roman" w:cs="Times New Roman"/>
          <w:sz w:val="16"/>
          <w:szCs w:val="16"/>
        </w:rPr>
        <w:t>314</w:t>
      </w:r>
      <w:r w:rsidRPr="00324D54">
        <w:rPr>
          <w:rFonts w:ascii="Times New Roman" w:hAnsi="Times New Roman" w:cs="Times New Roman"/>
          <w:sz w:val="16"/>
          <w:szCs w:val="16"/>
        </w:rPr>
        <w:t xml:space="preserve"> </w:t>
      </w:r>
      <w:r w:rsidRPr="00324D54" w:rsidR="009358B8">
        <w:rPr>
          <w:rFonts w:ascii="Times New Roman" w:hAnsi="Times New Roman" w:cs="Times New Roman"/>
          <w:sz w:val="16"/>
          <w:szCs w:val="16"/>
        </w:rPr>
        <w:t xml:space="preserve">filings </w:t>
      </w:r>
      <w:r w:rsidRPr="00324D54">
        <w:rPr>
          <w:rFonts w:ascii="Times New Roman" w:hAnsi="Times New Roman" w:cs="Times New Roman"/>
          <w:sz w:val="16"/>
          <w:szCs w:val="16"/>
        </w:rPr>
        <w:t xml:space="preserve"> per year.</w:t>
      </w:r>
    </w:p>
  </w:footnote>
  <w:footnote w:id="7">
    <w:p w:rsidR="00ED58FA" w:rsidRPr="00324D54" w14:paraId="4364DF70" w14:textId="6206C318">
      <w:pPr>
        <w:pStyle w:val="FootnoteText"/>
        <w:rPr>
          <w:rFonts w:ascii="Times New Roman" w:hAnsi="Times New Roman" w:cs="Times New Roman"/>
          <w:sz w:val="16"/>
          <w:szCs w:val="16"/>
        </w:rPr>
      </w:pPr>
      <w:r w:rsidRPr="00324D54">
        <w:rPr>
          <w:rStyle w:val="FootnoteReference"/>
          <w:rFonts w:ascii="Times New Roman" w:hAnsi="Times New Roman" w:cs="Times New Roman"/>
          <w:sz w:val="16"/>
          <w:szCs w:val="16"/>
        </w:rPr>
        <w:footnoteRef/>
      </w:r>
      <w:bookmarkStart w:id="20" w:name="_Hlk161859175"/>
      <w:r w:rsidRPr="00324D54">
        <w:rPr>
          <w:rFonts w:ascii="Times New Roman" w:hAnsi="Times New Roman" w:cs="Times New Roman"/>
          <w:sz w:val="16"/>
          <w:szCs w:val="16"/>
        </w:rPr>
        <w:t xml:space="preserve"> </w:t>
      </w:r>
      <w:r w:rsidR="003673C5">
        <w:rPr>
          <w:rFonts w:ascii="Times New Roman" w:hAnsi="Times New Roman" w:cs="Times New Roman"/>
          <w:sz w:val="16"/>
          <w:szCs w:val="16"/>
        </w:rPr>
        <w:t xml:space="preserve">The Commission believes licenses will hire outside attorneys to be </w:t>
      </w:r>
      <w:r w:rsidR="00A912EB">
        <w:rPr>
          <w:rFonts w:ascii="Times New Roman" w:hAnsi="Times New Roman" w:cs="Times New Roman"/>
          <w:sz w:val="16"/>
          <w:szCs w:val="16"/>
        </w:rPr>
        <w:t>the</w:t>
      </w:r>
      <w:r w:rsidR="003673C5">
        <w:rPr>
          <w:rFonts w:ascii="Times New Roman" w:hAnsi="Times New Roman" w:cs="Times New Roman"/>
          <w:sz w:val="16"/>
          <w:szCs w:val="16"/>
        </w:rPr>
        <w:t xml:space="preserve"> respondents and process the responses. </w:t>
      </w:r>
      <w:r w:rsidRPr="00324D54">
        <w:rPr>
          <w:rFonts w:ascii="Times New Roman" w:hAnsi="Times New Roman" w:cs="Times New Roman"/>
          <w:i/>
          <w:iCs/>
          <w:sz w:val="16"/>
          <w:szCs w:val="16"/>
        </w:rPr>
        <w:t xml:space="preserve">See </w:t>
      </w:r>
      <w:r w:rsidRPr="00324D54">
        <w:rPr>
          <w:rFonts w:ascii="Times New Roman" w:hAnsi="Times New Roman" w:cs="Times New Roman"/>
          <w:sz w:val="16"/>
          <w:szCs w:val="16"/>
        </w:rPr>
        <w:t>13. 12-</w:t>
      </w:r>
      <w:r w:rsidR="003673C5">
        <w:rPr>
          <w:rFonts w:ascii="Times New Roman" w:hAnsi="Times New Roman" w:cs="Times New Roman"/>
          <w:sz w:val="16"/>
          <w:szCs w:val="16"/>
        </w:rPr>
        <w:t>e.</w:t>
      </w:r>
      <w:r w:rsidRPr="00324D54">
        <w:rPr>
          <w:rFonts w:ascii="Times New Roman" w:hAnsi="Times New Roman" w:cs="Times New Roman"/>
          <w:sz w:val="16"/>
          <w:szCs w:val="16"/>
        </w:rPr>
        <w:t xml:space="preserve"> </w:t>
      </w:r>
      <w:r w:rsidRPr="00324D54">
        <w:rPr>
          <w:rFonts w:ascii="Times New Roman" w:hAnsi="Times New Roman" w:cs="Times New Roman"/>
          <w:i/>
          <w:iCs/>
          <w:sz w:val="16"/>
          <w:szCs w:val="16"/>
        </w:rPr>
        <w:t>§30.107 Reporting ‒ Compliance with §30.107, Subpart B – Applications and Licenses, Discontinuance of Servic</w:t>
      </w:r>
      <w:r w:rsidRPr="00324D54">
        <w:rPr>
          <w:rFonts w:ascii="Times New Roman" w:hAnsi="Times New Roman" w:cs="Times New Roman"/>
          <w:sz w:val="16"/>
          <w:szCs w:val="16"/>
        </w:rPr>
        <w:t>e Annual Cost Burden – Consultant. The Commission estimates that 28 Consultants will respon</w:t>
      </w:r>
      <w:r w:rsidR="003673C5">
        <w:rPr>
          <w:rFonts w:ascii="Times New Roman" w:hAnsi="Times New Roman" w:cs="Times New Roman"/>
          <w:sz w:val="16"/>
          <w:szCs w:val="16"/>
        </w:rPr>
        <w:t>d</w:t>
      </w:r>
      <w:r w:rsidRPr="00324D54">
        <w:rPr>
          <w:rFonts w:ascii="Times New Roman" w:hAnsi="Times New Roman" w:cs="Times New Roman"/>
          <w:sz w:val="16"/>
          <w:szCs w:val="16"/>
        </w:rPr>
        <w:t xml:space="preserve"> once  per year.</w:t>
      </w:r>
      <w:bookmarkEnd w:id="20"/>
    </w:p>
  </w:footnote>
  <w:footnote w:id="8">
    <w:p w:rsidR="00C44C0B" w:rsidRPr="00C0341B" w:rsidP="00C44C0B" w14:paraId="394D4E50" w14:textId="77777777">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The totals for the number of respondents account for all respondents to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9">
    <w:p w:rsidR="00C44C0B" w:rsidP="00C44C0B" w14:paraId="2A8A135E" w14:textId="77777777">
      <w:pPr>
        <w:pStyle w:val="FootnoteText"/>
      </w:pPr>
      <w:r>
        <w:rPr>
          <w:rStyle w:val="FootnoteReference"/>
        </w:rPr>
        <w:footnoteRef/>
      </w:r>
      <w:r>
        <w:t xml:space="preserve"> </w:t>
      </w:r>
      <w:r>
        <w:rPr>
          <w:rFonts w:ascii="Times New Roman" w:hAnsi="Times New Roman" w:cs="Times New Roman"/>
        </w:rPr>
        <w:t>The totals for the number of annual responses account for all the responses for this information collection for both in-house and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23EFD"/>
    <w:multiLevelType w:val="hybridMultilevel"/>
    <w:tmpl w:val="D1FAEA94"/>
    <w:lvl w:ilvl="0">
      <w:start w:val="1"/>
      <w:numFmt w:val="upperLetter"/>
      <w:lvlText w:val="%1."/>
      <w:lvlJc w:val="left"/>
      <w:pPr>
        <w:tabs>
          <w:tab w:val="num" w:pos="806"/>
        </w:tabs>
        <w:ind w:left="0" w:firstLine="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9D438EB"/>
    <w:multiLevelType w:val="hybridMultilevel"/>
    <w:tmpl w:val="F410BD2C"/>
    <w:lvl w:ilvl="0">
      <w:start w:val="12"/>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6D752A"/>
    <w:multiLevelType w:val="hybridMultilevel"/>
    <w:tmpl w:val="1EAE4F4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6A4AC4"/>
    <w:multiLevelType w:val="hybridMultilevel"/>
    <w:tmpl w:val="61A0C35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70B0D78"/>
    <w:multiLevelType w:val="hybridMultilevel"/>
    <w:tmpl w:val="B304241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2D013845"/>
    <w:multiLevelType w:val="multilevel"/>
    <w:tmpl w:val="E64A2688"/>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705ECA"/>
    <w:multiLevelType w:val="hybridMultilevel"/>
    <w:tmpl w:val="72FA4F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64045D"/>
    <w:multiLevelType w:val="hybridMultilevel"/>
    <w:tmpl w:val="A200445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C37A11"/>
    <w:multiLevelType w:val="hybridMultilevel"/>
    <w:tmpl w:val="A8229DF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0C49A5"/>
    <w:multiLevelType w:val="hybridMultilevel"/>
    <w:tmpl w:val="9CDAE9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5D84481"/>
    <w:multiLevelType w:val="hybridMultilevel"/>
    <w:tmpl w:val="01822CEA"/>
    <w:lvl w:ilvl="0">
      <w:start w:val="1"/>
      <w:numFmt w:val="low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8A50AED"/>
    <w:multiLevelType w:val="hybridMultilevel"/>
    <w:tmpl w:val="6E5AF8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78122F"/>
    <w:multiLevelType w:val="hybridMultilevel"/>
    <w:tmpl w:val="785601FC"/>
    <w:lvl w:ilvl="0">
      <w:start w:val="19"/>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1511934"/>
    <w:multiLevelType w:val="hybridMultilevel"/>
    <w:tmpl w:val="3236C5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464AEB"/>
    <w:multiLevelType w:val="hybridMultilevel"/>
    <w:tmpl w:val="D14E1E76"/>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D941F04"/>
    <w:multiLevelType w:val="hybridMultilevel"/>
    <w:tmpl w:val="AFC224D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7C2EC2"/>
    <w:multiLevelType w:val="hybridMultilevel"/>
    <w:tmpl w:val="CF5A59EE"/>
    <w:lvl w:ilvl="0">
      <w:start w:val="1"/>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49864651">
    <w:abstractNumId w:val="0"/>
  </w:num>
  <w:num w:numId="2" w16cid:durableId="729310997">
    <w:abstractNumId w:val="2"/>
  </w:num>
  <w:num w:numId="3" w16cid:durableId="441800882">
    <w:abstractNumId w:val="12"/>
  </w:num>
  <w:num w:numId="4" w16cid:durableId="736510777">
    <w:abstractNumId w:val="4"/>
  </w:num>
  <w:num w:numId="5" w16cid:durableId="1600796776">
    <w:abstractNumId w:val="14"/>
  </w:num>
  <w:num w:numId="6" w16cid:durableId="1690446472">
    <w:abstractNumId w:val="16"/>
  </w:num>
  <w:num w:numId="7" w16cid:durableId="2021856929">
    <w:abstractNumId w:val="8"/>
  </w:num>
  <w:num w:numId="8" w16cid:durableId="1032262087">
    <w:abstractNumId w:val="1"/>
  </w:num>
  <w:num w:numId="9" w16cid:durableId="1346129791">
    <w:abstractNumId w:val="10"/>
  </w:num>
  <w:num w:numId="10" w16cid:durableId="1200900516">
    <w:abstractNumId w:val="3"/>
  </w:num>
  <w:num w:numId="11" w16cid:durableId="1909608176">
    <w:abstractNumId w:val="11"/>
  </w:num>
  <w:num w:numId="12" w16cid:durableId="1287204049">
    <w:abstractNumId w:val="7"/>
  </w:num>
  <w:num w:numId="13" w16cid:durableId="128519537">
    <w:abstractNumId w:val="5"/>
  </w:num>
  <w:num w:numId="14" w16cid:durableId="915944943">
    <w:abstractNumId w:val="6"/>
  </w:num>
  <w:num w:numId="15" w16cid:durableId="812598849">
    <w:abstractNumId w:val="17"/>
  </w:num>
  <w:num w:numId="16" w16cid:durableId="1015883493">
    <w:abstractNumId w:val="9"/>
  </w:num>
  <w:num w:numId="17" w16cid:durableId="1854807176">
    <w:abstractNumId w:val="15"/>
  </w:num>
  <w:num w:numId="18" w16cid:durableId="1998268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14"/>
    <w:rsid w:val="000013EF"/>
    <w:rsid w:val="0000415F"/>
    <w:rsid w:val="000073A8"/>
    <w:rsid w:val="000126D3"/>
    <w:rsid w:val="0001630E"/>
    <w:rsid w:val="000175C8"/>
    <w:rsid w:val="00017C04"/>
    <w:rsid w:val="00020267"/>
    <w:rsid w:val="0002194B"/>
    <w:rsid w:val="00022037"/>
    <w:rsid w:val="0002207F"/>
    <w:rsid w:val="00023673"/>
    <w:rsid w:val="00027216"/>
    <w:rsid w:val="00034150"/>
    <w:rsid w:val="0003543E"/>
    <w:rsid w:val="000400FC"/>
    <w:rsid w:val="000517D5"/>
    <w:rsid w:val="0005199B"/>
    <w:rsid w:val="000554FA"/>
    <w:rsid w:val="00055F58"/>
    <w:rsid w:val="00061F14"/>
    <w:rsid w:val="00062C97"/>
    <w:rsid w:val="00064922"/>
    <w:rsid w:val="00065354"/>
    <w:rsid w:val="00065FB2"/>
    <w:rsid w:val="00066099"/>
    <w:rsid w:val="00070292"/>
    <w:rsid w:val="000716A0"/>
    <w:rsid w:val="00075767"/>
    <w:rsid w:val="00077731"/>
    <w:rsid w:val="000812B9"/>
    <w:rsid w:val="000812EE"/>
    <w:rsid w:val="00086C2F"/>
    <w:rsid w:val="000876B9"/>
    <w:rsid w:val="00090AC4"/>
    <w:rsid w:val="00091365"/>
    <w:rsid w:val="00096043"/>
    <w:rsid w:val="0009635F"/>
    <w:rsid w:val="00097F59"/>
    <w:rsid w:val="000A14E5"/>
    <w:rsid w:val="000A2B15"/>
    <w:rsid w:val="000A3891"/>
    <w:rsid w:val="000A49FF"/>
    <w:rsid w:val="000A66C4"/>
    <w:rsid w:val="000A7722"/>
    <w:rsid w:val="000B3116"/>
    <w:rsid w:val="000C27AF"/>
    <w:rsid w:val="000C2822"/>
    <w:rsid w:val="000C31DA"/>
    <w:rsid w:val="000C46BC"/>
    <w:rsid w:val="000C523B"/>
    <w:rsid w:val="000C5674"/>
    <w:rsid w:val="000C6E05"/>
    <w:rsid w:val="000E6635"/>
    <w:rsid w:val="000E71D6"/>
    <w:rsid w:val="000E77DF"/>
    <w:rsid w:val="000F0F37"/>
    <w:rsid w:val="00100808"/>
    <w:rsid w:val="00101650"/>
    <w:rsid w:val="00104145"/>
    <w:rsid w:val="00106AC9"/>
    <w:rsid w:val="00107373"/>
    <w:rsid w:val="0011197E"/>
    <w:rsid w:val="0011239E"/>
    <w:rsid w:val="001155B5"/>
    <w:rsid w:val="00121C54"/>
    <w:rsid w:val="00122BD2"/>
    <w:rsid w:val="00126DBC"/>
    <w:rsid w:val="00127F11"/>
    <w:rsid w:val="00131CAA"/>
    <w:rsid w:val="0013769D"/>
    <w:rsid w:val="00143BA2"/>
    <w:rsid w:val="00144435"/>
    <w:rsid w:val="001453FC"/>
    <w:rsid w:val="001532DA"/>
    <w:rsid w:val="001537C3"/>
    <w:rsid w:val="001570E0"/>
    <w:rsid w:val="001572F2"/>
    <w:rsid w:val="00157785"/>
    <w:rsid w:val="00166CA0"/>
    <w:rsid w:val="00175905"/>
    <w:rsid w:val="00176F6E"/>
    <w:rsid w:val="0018452C"/>
    <w:rsid w:val="00187E0A"/>
    <w:rsid w:val="00192166"/>
    <w:rsid w:val="00194902"/>
    <w:rsid w:val="0019567A"/>
    <w:rsid w:val="0019615B"/>
    <w:rsid w:val="001A1133"/>
    <w:rsid w:val="001A2B48"/>
    <w:rsid w:val="001A2C61"/>
    <w:rsid w:val="001A2D2D"/>
    <w:rsid w:val="001A2E30"/>
    <w:rsid w:val="001B5BCD"/>
    <w:rsid w:val="001D5604"/>
    <w:rsid w:val="001D6A1A"/>
    <w:rsid w:val="001E11BF"/>
    <w:rsid w:val="001E42BD"/>
    <w:rsid w:val="001F1B01"/>
    <w:rsid w:val="001F2CA5"/>
    <w:rsid w:val="001F6A74"/>
    <w:rsid w:val="00200A64"/>
    <w:rsid w:val="002015D8"/>
    <w:rsid w:val="002072CD"/>
    <w:rsid w:val="0021079C"/>
    <w:rsid w:val="002116E7"/>
    <w:rsid w:val="002130A5"/>
    <w:rsid w:val="00215D3B"/>
    <w:rsid w:val="00215D70"/>
    <w:rsid w:val="00216FAE"/>
    <w:rsid w:val="00227401"/>
    <w:rsid w:val="002309D0"/>
    <w:rsid w:val="002313F4"/>
    <w:rsid w:val="002337A3"/>
    <w:rsid w:val="0023522E"/>
    <w:rsid w:val="00240E07"/>
    <w:rsid w:val="00243C15"/>
    <w:rsid w:val="00253F02"/>
    <w:rsid w:val="002541D8"/>
    <w:rsid w:val="00254D19"/>
    <w:rsid w:val="00255D09"/>
    <w:rsid w:val="00255F42"/>
    <w:rsid w:val="0025637D"/>
    <w:rsid w:val="00257F3D"/>
    <w:rsid w:val="002600F8"/>
    <w:rsid w:val="00264C05"/>
    <w:rsid w:val="0026799E"/>
    <w:rsid w:val="00272321"/>
    <w:rsid w:val="00276E69"/>
    <w:rsid w:val="002771CE"/>
    <w:rsid w:val="00277B7B"/>
    <w:rsid w:val="00291B84"/>
    <w:rsid w:val="00292B9A"/>
    <w:rsid w:val="0029309D"/>
    <w:rsid w:val="002930E1"/>
    <w:rsid w:val="002959A5"/>
    <w:rsid w:val="002978BB"/>
    <w:rsid w:val="00297C8C"/>
    <w:rsid w:val="002A2FFC"/>
    <w:rsid w:val="002A4A0D"/>
    <w:rsid w:val="002A4BB8"/>
    <w:rsid w:val="002A6369"/>
    <w:rsid w:val="002B21C6"/>
    <w:rsid w:val="002B28D3"/>
    <w:rsid w:val="002B2F77"/>
    <w:rsid w:val="002B3D59"/>
    <w:rsid w:val="002B7A42"/>
    <w:rsid w:val="002C094A"/>
    <w:rsid w:val="002C176A"/>
    <w:rsid w:val="002C3F01"/>
    <w:rsid w:val="002D0AE8"/>
    <w:rsid w:val="002D1D0E"/>
    <w:rsid w:val="002D45E9"/>
    <w:rsid w:val="002D51B2"/>
    <w:rsid w:val="002D5EDE"/>
    <w:rsid w:val="002E3264"/>
    <w:rsid w:val="002E339F"/>
    <w:rsid w:val="002F0498"/>
    <w:rsid w:val="002F64BC"/>
    <w:rsid w:val="002F6857"/>
    <w:rsid w:val="002F7AAE"/>
    <w:rsid w:val="00300989"/>
    <w:rsid w:val="003010DD"/>
    <w:rsid w:val="00301D81"/>
    <w:rsid w:val="00303DA0"/>
    <w:rsid w:val="00304688"/>
    <w:rsid w:val="00307839"/>
    <w:rsid w:val="00312F60"/>
    <w:rsid w:val="00314CF9"/>
    <w:rsid w:val="00315DD0"/>
    <w:rsid w:val="00320F71"/>
    <w:rsid w:val="00323F00"/>
    <w:rsid w:val="00324D54"/>
    <w:rsid w:val="003256CF"/>
    <w:rsid w:val="00333217"/>
    <w:rsid w:val="00334C1B"/>
    <w:rsid w:val="0033573D"/>
    <w:rsid w:val="00335FAB"/>
    <w:rsid w:val="00341D88"/>
    <w:rsid w:val="00344D67"/>
    <w:rsid w:val="00344F9D"/>
    <w:rsid w:val="003450A3"/>
    <w:rsid w:val="00351F01"/>
    <w:rsid w:val="00352876"/>
    <w:rsid w:val="00354B1F"/>
    <w:rsid w:val="00354FD2"/>
    <w:rsid w:val="00356367"/>
    <w:rsid w:val="00357E34"/>
    <w:rsid w:val="003646A4"/>
    <w:rsid w:val="00365449"/>
    <w:rsid w:val="003660A0"/>
    <w:rsid w:val="003673C5"/>
    <w:rsid w:val="00377512"/>
    <w:rsid w:val="00380F00"/>
    <w:rsid w:val="00381E71"/>
    <w:rsid w:val="00384C00"/>
    <w:rsid w:val="00387BF4"/>
    <w:rsid w:val="00391C54"/>
    <w:rsid w:val="00392E7B"/>
    <w:rsid w:val="00396467"/>
    <w:rsid w:val="003A045E"/>
    <w:rsid w:val="003A284D"/>
    <w:rsid w:val="003A5991"/>
    <w:rsid w:val="003A69B6"/>
    <w:rsid w:val="003A6CE8"/>
    <w:rsid w:val="003A7E83"/>
    <w:rsid w:val="003B01E1"/>
    <w:rsid w:val="003B0FDD"/>
    <w:rsid w:val="003B6B69"/>
    <w:rsid w:val="003C3FC5"/>
    <w:rsid w:val="003C496D"/>
    <w:rsid w:val="003C4F97"/>
    <w:rsid w:val="003C757A"/>
    <w:rsid w:val="003D280E"/>
    <w:rsid w:val="003D2A32"/>
    <w:rsid w:val="003D3A37"/>
    <w:rsid w:val="003D4FAD"/>
    <w:rsid w:val="003D5EDB"/>
    <w:rsid w:val="003E137D"/>
    <w:rsid w:val="003E15DB"/>
    <w:rsid w:val="003E5F4F"/>
    <w:rsid w:val="003E70A7"/>
    <w:rsid w:val="003E7D20"/>
    <w:rsid w:val="003F0049"/>
    <w:rsid w:val="003F081C"/>
    <w:rsid w:val="003F1E45"/>
    <w:rsid w:val="003F3AC2"/>
    <w:rsid w:val="003F727D"/>
    <w:rsid w:val="003F7347"/>
    <w:rsid w:val="004115F2"/>
    <w:rsid w:val="00413E9E"/>
    <w:rsid w:val="004142E7"/>
    <w:rsid w:val="00414339"/>
    <w:rsid w:val="00420088"/>
    <w:rsid w:val="004209FA"/>
    <w:rsid w:val="00420B18"/>
    <w:rsid w:val="00422D1D"/>
    <w:rsid w:val="00422D31"/>
    <w:rsid w:val="0042401F"/>
    <w:rsid w:val="0042417F"/>
    <w:rsid w:val="00426D12"/>
    <w:rsid w:val="00430856"/>
    <w:rsid w:val="00430CC2"/>
    <w:rsid w:val="00437D27"/>
    <w:rsid w:val="00440196"/>
    <w:rsid w:val="00440220"/>
    <w:rsid w:val="00445530"/>
    <w:rsid w:val="004476B9"/>
    <w:rsid w:val="00447FE6"/>
    <w:rsid w:val="00454599"/>
    <w:rsid w:val="00455075"/>
    <w:rsid w:val="00462742"/>
    <w:rsid w:val="00464116"/>
    <w:rsid w:val="00466DD7"/>
    <w:rsid w:val="00472F1F"/>
    <w:rsid w:val="00473C11"/>
    <w:rsid w:val="00475041"/>
    <w:rsid w:val="00475DBB"/>
    <w:rsid w:val="0047602C"/>
    <w:rsid w:val="004804D0"/>
    <w:rsid w:val="004836A0"/>
    <w:rsid w:val="00485A16"/>
    <w:rsid w:val="00486F76"/>
    <w:rsid w:val="00491407"/>
    <w:rsid w:val="00493283"/>
    <w:rsid w:val="00494C27"/>
    <w:rsid w:val="0049749D"/>
    <w:rsid w:val="004A0194"/>
    <w:rsid w:val="004A3D3B"/>
    <w:rsid w:val="004A6469"/>
    <w:rsid w:val="004A658C"/>
    <w:rsid w:val="004B04FC"/>
    <w:rsid w:val="004B0BC0"/>
    <w:rsid w:val="004B1528"/>
    <w:rsid w:val="004B562B"/>
    <w:rsid w:val="004C3BD5"/>
    <w:rsid w:val="004C4110"/>
    <w:rsid w:val="004C453B"/>
    <w:rsid w:val="004C4856"/>
    <w:rsid w:val="004C51F6"/>
    <w:rsid w:val="004C7D63"/>
    <w:rsid w:val="004D031D"/>
    <w:rsid w:val="004D2C79"/>
    <w:rsid w:val="004E519C"/>
    <w:rsid w:val="004E6155"/>
    <w:rsid w:val="004F41A9"/>
    <w:rsid w:val="004F4EB9"/>
    <w:rsid w:val="004F56D7"/>
    <w:rsid w:val="00513302"/>
    <w:rsid w:val="00517B39"/>
    <w:rsid w:val="005207BB"/>
    <w:rsid w:val="00521A7B"/>
    <w:rsid w:val="00523369"/>
    <w:rsid w:val="00525074"/>
    <w:rsid w:val="005321E9"/>
    <w:rsid w:val="00533646"/>
    <w:rsid w:val="00533976"/>
    <w:rsid w:val="0053435F"/>
    <w:rsid w:val="00535A62"/>
    <w:rsid w:val="00535ABD"/>
    <w:rsid w:val="005413A1"/>
    <w:rsid w:val="00547588"/>
    <w:rsid w:val="00550A21"/>
    <w:rsid w:val="005527A6"/>
    <w:rsid w:val="005541C7"/>
    <w:rsid w:val="00554601"/>
    <w:rsid w:val="0055674C"/>
    <w:rsid w:val="00556926"/>
    <w:rsid w:val="00562170"/>
    <w:rsid w:val="00565685"/>
    <w:rsid w:val="005720E6"/>
    <w:rsid w:val="00572DEC"/>
    <w:rsid w:val="00575873"/>
    <w:rsid w:val="00577048"/>
    <w:rsid w:val="00577DE9"/>
    <w:rsid w:val="00581884"/>
    <w:rsid w:val="005A0340"/>
    <w:rsid w:val="005A203C"/>
    <w:rsid w:val="005A26CB"/>
    <w:rsid w:val="005B2F5F"/>
    <w:rsid w:val="005B4722"/>
    <w:rsid w:val="005B5FAB"/>
    <w:rsid w:val="005B645D"/>
    <w:rsid w:val="005B6F92"/>
    <w:rsid w:val="005C56F9"/>
    <w:rsid w:val="005D09F6"/>
    <w:rsid w:val="005D1CF4"/>
    <w:rsid w:val="005D2C0F"/>
    <w:rsid w:val="005D2F8A"/>
    <w:rsid w:val="005E1E2A"/>
    <w:rsid w:val="005E52F9"/>
    <w:rsid w:val="005E75E8"/>
    <w:rsid w:val="005F076C"/>
    <w:rsid w:val="005F51AE"/>
    <w:rsid w:val="005F6619"/>
    <w:rsid w:val="005F761E"/>
    <w:rsid w:val="006022D5"/>
    <w:rsid w:val="00602F41"/>
    <w:rsid w:val="006051A0"/>
    <w:rsid w:val="006061DD"/>
    <w:rsid w:val="00610FC3"/>
    <w:rsid w:val="006217BB"/>
    <w:rsid w:val="00622D94"/>
    <w:rsid w:val="006242DF"/>
    <w:rsid w:val="0062708F"/>
    <w:rsid w:val="00632491"/>
    <w:rsid w:val="00633618"/>
    <w:rsid w:val="00635D58"/>
    <w:rsid w:val="006365C9"/>
    <w:rsid w:val="006414F5"/>
    <w:rsid w:val="00642102"/>
    <w:rsid w:val="00643E86"/>
    <w:rsid w:val="00647476"/>
    <w:rsid w:val="006515B4"/>
    <w:rsid w:val="00651FE5"/>
    <w:rsid w:val="00653370"/>
    <w:rsid w:val="00653385"/>
    <w:rsid w:val="00657D75"/>
    <w:rsid w:val="00660130"/>
    <w:rsid w:val="00671E9E"/>
    <w:rsid w:val="006725BF"/>
    <w:rsid w:val="006734E0"/>
    <w:rsid w:val="006744EA"/>
    <w:rsid w:val="006759B9"/>
    <w:rsid w:val="00680F06"/>
    <w:rsid w:val="00682108"/>
    <w:rsid w:val="006845C3"/>
    <w:rsid w:val="00694707"/>
    <w:rsid w:val="006968B5"/>
    <w:rsid w:val="006A7641"/>
    <w:rsid w:val="006B1DC1"/>
    <w:rsid w:val="006B2C22"/>
    <w:rsid w:val="006B470E"/>
    <w:rsid w:val="006B47CF"/>
    <w:rsid w:val="006C146C"/>
    <w:rsid w:val="006C190C"/>
    <w:rsid w:val="006C4595"/>
    <w:rsid w:val="006C5848"/>
    <w:rsid w:val="006C6B2D"/>
    <w:rsid w:val="006D2998"/>
    <w:rsid w:val="006D3B98"/>
    <w:rsid w:val="006D53E2"/>
    <w:rsid w:val="006D7032"/>
    <w:rsid w:val="006E0156"/>
    <w:rsid w:val="006E0225"/>
    <w:rsid w:val="006E09A3"/>
    <w:rsid w:val="006E1B18"/>
    <w:rsid w:val="006E28D4"/>
    <w:rsid w:val="006E3CCE"/>
    <w:rsid w:val="006E566E"/>
    <w:rsid w:val="006F0D76"/>
    <w:rsid w:val="006F1126"/>
    <w:rsid w:val="006F22FC"/>
    <w:rsid w:val="006F2978"/>
    <w:rsid w:val="006F4113"/>
    <w:rsid w:val="006F73CE"/>
    <w:rsid w:val="007054D9"/>
    <w:rsid w:val="00713D7D"/>
    <w:rsid w:val="00713DB1"/>
    <w:rsid w:val="00716752"/>
    <w:rsid w:val="007176C2"/>
    <w:rsid w:val="00717E1F"/>
    <w:rsid w:val="0072064A"/>
    <w:rsid w:val="00720C66"/>
    <w:rsid w:val="00721189"/>
    <w:rsid w:val="00721DD6"/>
    <w:rsid w:val="00723344"/>
    <w:rsid w:val="00723D48"/>
    <w:rsid w:val="0072487B"/>
    <w:rsid w:val="00732C6B"/>
    <w:rsid w:val="007338DA"/>
    <w:rsid w:val="00737412"/>
    <w:rsid w:val="00742105"/>
    <w:rsid w:val="00744B19"/>
    <w:rsid w:val="00745975"/>
    <w:rsid w:val="00751168"/>
    <w:rsid w:val="00751AD5"/>
    <w:rsid w:val="00752B72"/>
    <w:rsid w:val="0075772E"/>
    <w:rsid w:val="00760BF9"/>
    <w:rsid w:val="007628B9"/>
    <w:rsid w:val="007636B1"/>
    <w:rsid w:val="00770C51"/>
    <w:rsid w:val="007801EF"/>
    <w:rsid w:val="007811AF"/>
    <w:rsid w:val="00791977"/>
    <w:rsid w:val="00797783"/>
    <w:rsid w:val="007A2B3D"/>
    <w:rsid w:val="007A5440"/>
    <w:rsid w:val="007B2A12"/>
    <w:rsid w:val="007B2F03"/>
    <w:rsid w:val="007B3787"/>
    <w:rsid w:val="007B3B67"/>
    <w:rsid w:val="007B5831"/>
    <w:rsid w:val="007B6326"/>
    <w:rsid w:val="007C37A0"/>
    <w:rsid w:val="007C7171"/>
    <w:rsid w:val="007D0EF5"/>
    <w:rsid w:val="007D4923"/>
    <w:rsid w:val="007D67B7"/>
    <w:rsid w:val="007D7A8F"/>
    <w:rsid w:val="007E0BDB"/>
    <w:rsid w:val="007E1AC0"/>
    <w:rsid w:val="007E44CA"/>
    <w:rsid w:val="007E5CC4"/>
    <w:rsid w:val="007F0DEC"/>
    <w:rsid w:val="007F65C3"/>
    <w:rsid w:val="007F6F1D"/>
    <w:rsid w:val="00802AB6"/>
    <w:rsid w:val="008068B9"/>
    <w:rsid w:val="00810DB0"/>
    <w:rsid w:val="00811ABA"/>
    <w:rsid w:val="00812B71"/>
    <w:rsid w:val="0081784E"/>
    <w:rsid w:val="00824103"/>
    <w:rsid w:val="00824B14"/>
    <w:rsid w:val="008307A3"/>
    <w:rsid w:val="00832CF0"/>
    <w:rsid w:val="00837B96"/>
    <w:rsid w:val="00837D88"/>
    <w:rsid w:val="00841B6A"/>
    <w:rsid w:val="00842256"/>
    <w:rsid w:val="00847F06"/>
    <w:rsid w:val="0085490A"/>
    <w:rsid w:val="00856293"/>
    <w:rsid w:val="00856B3C"/>
    <w:rsid w:val="0086040E"/>
    <w:rsid w:val="00861F23"/>
    <w:rsid w:val="00870AFA"/>
    <w:rsid w:val="008773C2"/>
    <w:rsid w:val="008860DC"/>
    <w:rsid w:val="00887D7D"/>
    <w:rsid w:val="0089476A"/>
    <w:rsid w:val="0089478E"/>
    <w:rsid w:val="00896942"/>
    <w:rsid w:val="008A0E22"/>
    <w:rsid w:val="008A4E10"/>
    <w:rsid w:val="008A5BD9"/>
    <w:rsid w:val="008A7632"/>
    <w:rsid w:val="008B297F"/>
    <w:rsid w:val="008C12A0"/>
    <w:rsid w:val="008C17CF"/>
    <w:rsid w:val="008C2323"/>
    <w:rsid w:val="008C4CF3"/>
    <w:rsid w:val="008C71FE"/>
    <w:rsid w:val="008D2B93"/>
    <w:rsid w:val="008E19B6"/>
    <w:rsid w:val="008E2E29"/>
    <w:rsid w:val="008E7D62"/>
    <w:rsid w:val="008F28EC"/>
    <w:rsid w:val="008F4F06"/>
    <w:rsid w:val="00901AB9"/>
    <w:rsid w:val="00902782"/>
    <w:rsid w:val="009061C2"/>
    <w:rsid w:val="00906459"/>
    <w:rsid w:val="009073C6"/>
    <w:rsid w:val="00913FBC"/>
    <w:rsid w:val="00914F19"/>
    <w:rsid w:val="00921AC5"/>
    <w:rsid w:val="009252FB"/>
    <w:rsid w:val="00930398"/>
    <w:rsid w:val="00934EA8"/>
    <w:rsid w:val="00935295"/>
    <w:rsid w:val="009358B8"/>
    <w:rsid w:val="00944CAF"/>
    <w:rsid w:val="00947522"/>
    <w:rsid w:val="00952493"/>
    <w:rsid w:val="00953007"/>
    <w:rsid w:val="00953B2C"/>
    <w:rsid w:val="00954132"/>
    <w:rsid w:val="009541A4"/>
    <w:rsid w:val="0095623D"/>
    <w:rsid w:val="0096244E"/>
    <w:rsid w:val="00963796"/>
    <w:rsid w:val="00975F6D"/>
    <w:rsid w:val="0097773B"/>
    <w:rsid w:val="00982D59"/>
    <w:rsid w:val="00983641"/>
    <w:rsid w:val="009860EB"/>
    <w:rsid w:val="009864F1"/>
    <w:rsid w:val="00986F05"/>
    <w:rsid w:val="0099212D"/>
    <w:rsid w:val="00996032"/>
    <w:rsid w:val="00996747"/>
    <w:rsid w:val="009A0496"/>
    <w:rsid w:val="009A4A4B"/>
    <w:rsid w:val="009A55F0"/>
    <w:rsid w:val="009A75E1"/>
    <w:rsid w:val="009B1741"/>
    <w:rsid w:val="009B6E44"/>
    <w:rsid w:val="009C2A95"/>
    <w:rsid w:val="009C7472"/>
    <w:rsid w:val="009D5D3D"/>
    <w:rsid w:val="009E3D29"/>
    <w:rsid w:val="009E693E"/>
    <w:rsid w:val="009F5351"/>
    <w:rsid w:val="009F7091"/>
    <w:rsid w:val="009F7D6E"/>
    <w:rsid w:val="00A0188D"/>
    <w:rsid w:val="00A01F5A"/>
    <w:rsid w:val="00A02D17"/>
    <w:rsid w:val="00A04883"/>
    <w:rsid w:val="00A0667B"/>
    <w:rsid w:val="00A119EF"/>
    <w:rsid w:val="00A124B6"/>
    <w:rsid w:val="00A127A4"/>
    <w:rsid w:val="00A13384"/>
    <w:rsid w:val="00A13CA0"/>
    <w:rsid w:val="00A1441F"/>
    <w:rsid w:val="00A17D1F"/>
    <w:rsid w:val="00A17E12"/>
    <w:rsid w:val="00A2033F"/>
    <w:rsid w:val="00A21DB1"/>
    <w:rsid w:val="00A23C75"/>
    <w:rsid w:val="00A27400"/>
    <w:rsid w:val="00A2748D"/>
    <w:rsid w:val="00A328E7"/>
    <w:rsid w:val="00A33665"/>
    <w:rsid w:val="00A33A10"/>
    <w:rsid w:val="00A35092"/>
    <w:rsid w:val="00A5099D"/>
    <w:rsid w:val="00A51BEE"/>
    <w:rsid w:val="00A5234C"/>
    <w:rsid w:val="00A538B6"/>
    <w:rsid w:val="00A61B5B"/>
    <w:rsid w:val="00A64B82"/>
    <w:rsid w:val="00A64F2E"/>
    <w:rsid w:val="00A70128"/>
    <w:rsid w:val="00A7271E"/>
    <w:rsid w:val="00A72D51"/>
    <w:rsid w:val="00A75667"/>
    <w:rsid w:val="00A76311"/>
    <w:rsid w:val="00A806FB"/>
    <w:rsid w:val="00A903AD"/>
    <w:rsid w:val="00A912EB"/>
    <w:rsid w:val="00A93DE2"/>
    <w:rsid w:val="00A95C27"/>
    <w:rsid w:val="00A95EB8"/>
    <w:rsid w:val="00A97E8E"/>
    <w:rsid w:val="00AA1BC9"/>
    <w:rsid w:val="00AA1E29"/>
    <w:rsid w:val="00AA33D1"/>
    <w:rsid w:val="00AB44CC"/>
    <w:rsid w:val="00AB7E06"/>
    <w:rsid w:val="00AC0511"/>
    <w:rsid w:val="00AC1FE7"/>
    <w:rsid w:val="00AD3386"/>
    <w:rsid w:val="00AE1418"/>
    <w:rsid w:val="00AF32D6"/>
    <w:rsid w:val="00B02FFC"/>
    <w:rsid w:val="00B032B0"/>
    <w:rsid w:val="00B0724C"/>
    <w:rsid w:val="00B11C43"/>
    <w:rsid w:val="00B142C0"/>
    <w:rsid w:val="00B2056F"/>
    <w:rsid w:val="00B20F82"/>
    <w:rsid w:val="00B21614"/>
    <w:rsid w:val="00B23D74"/>
    <w:rsid w:val="00B24A11"/>
    <w:rsid w:val="00B31B81"/>
    <w:rsid w:val="00B32DA9"/>
    <w:rsid w:val="00B4576D"/>
    <w:rsid w:val="00B51ECB"/>
    <w:rsid w:val="00B63B2C"/>
    <w:rsid w:val="00B65AEE"/>
    <w:rsid w:val="00B66B90"/>
    <w:rsid w:val="00B76A7C"/>
    <w:rsid w:val="00B8076E"/>
    <w:rsid w:val="00B81084"/>
    <w:rsid w:val="00B82558"/>
    <w:rsid w:val="00B856D3"/>
    <w:rsid w:val="00B862BA"/>
    <w:rsid w:val="00B9389A"/>
    <w:rsid w:val="00B94AFC"/>
    <w:rsid w:val="00BA089C"/>
    <w:rsid w:val="00BA5532"/>
    <w:rsid w:val="00BB482A"/>
    <w:rsid w:val="00BD0669"/>
    <w:rsid w:val="00BD4547"/>
    <w:rsid w:val="00BD504A"/>
    <w:rsid w:val="00BD74F1"/>
    <w:rsid w:val="00BE283D"/>
    <w:rsid w:val="00BE5E7B"/>
    <w:rsid w:val="00BE7D23"/>
    <w:rsid w:val="00BF51F2"/>
    <w:rsid w:val="00C01326"/>
    <w:rsid w:val="00C0329D"/>
    <w:rsid w:val="00C0341B"/>
    <w:rsid w:val="00C03C0E"/>
    <w:rsid w:val="00C04B75"/>
    <w:rsid w:val="00C06785"/>
    <w:rsid w:val="00C16355"/>
    <w:rsid w:val="00C20C95"/>
    <w:rsid w:val="00C2176D"/>
    <w:rsid w:val="00C3252D"/>
    <w:rsid w:val="00C416DE"/>
    <w:rsid w:val="00C41A71"/>
    <w:rsid w:val="00C44C0B"/>
    <w:rsid w:val="00C44D9B"/>
    <w:rsid w:val="00C47E30"/>
    <w:rsid w:val="00C5352C"/>
    <w:rsid w:val="00C54605"/>
    <w:rsid w:val="00C626F1"/>
    <w:rsid w:val="00C634FA"/>
    <w:rsid w:val="00C64CF0"/>
    <w:rsid w:val="00C64D8A"/>
    <w:rsid w:val="00C66A09"/>
    <w:rsid w:val="00C740AC"/>
    <w:rsid w:val="00C81C6E"/>
    <w:rsid w:val="00C847E5"/>
    <w:rsid w:val="00C8793B"/>
    <w:rsid w:val="00C90CEE"/>
    <w:rsid w:val="00C9531D"/>
    <w:rsid w:val="00C96690"/>
    <w:rsid w:val="00C96694"/>
    <w:rsid w:val="00C97968"/>
    <w:rsid w:val="00C97D79"/>
    <w:rsid w:val="00CA1AC8"/>
    <w:rsid w:val="00CA777B"/>
    <w:rsid w:val="00CB25D8"/>
    <w:rsid w:val="00CB2AA1"/>
    <w:rsid w:val="00CB37A0"/>
    <w:rsid w:val="00CB4322"/>
    <w:rsid w:val="00CB7221"/>
    <w:rsid w:val="00CC29D0"/>
    <w:rsid w:val="00CC3AF9"/>
    <w:rsid w:val="00CD0A59"/>
    <w:rsid w:val="00CE2785"/>
    <w:rsid w:val="00CF0D34"/>
    <w:rsid w:val="00CF2ACE"/>
    <w:rsid w:val="00CF3137"/>
    <w:rsid w:val="00CF62E8"/>
    <w:rsid w:val="00CF797D"/>
    <w:rsid w:val="00D03605"/>
    <w:rsid w:val="00D03ACC"/>
    <w:rsid w:val="00D06B13"/>
    <w:rsid w:val="00D1322A"/>
    <w:rsid w:val="00D20013"/>
    <w:rsid w:val="00D221CB"/>
    <w:rsid w:val="00D22CFA"/>
    <w:rsid w:val="00D30DD3"/>
    <w:rsid w:val="00D344F3"/>
    <w:rsid w:val="00D3709A"/>
    <w:rsid w:val="00D37AC2"/>
    <w:rsid w:val="00D42BF6"/>
    <w:rsid w:val="00D44265"/>
    <w:rsid w:val="00D44F9C"/>
    <w:rsid w:val="00D460DD"/>
    <w:rsid w:val="00D47DBF"/>
    <w:rsid w:val="00D51162"/>
    <w:rsid w:val="00D52E38"/>
    <w:rsid w:val="00D53EF3"/>
    <w:rsid w:val="00D56CF6"/>
    <w:rsid w:val="00D61C93"/>
    <w:rsid w:val="00D63AC9"/>
    <w:rsid w:val="00D65929"/>
    <w:rsid w:val="00D6750E"/>
    <w:rsid w:val="00D713C5"/>
    <w:rsid w:val="00D74820"/>
    <w:rsid w:val="00D7673E"/>
    <w:rsid w:val="00D77240"/>
    <w:rsid w:val="00D815A5"/>
    <w:rsid w:val="00D82C08"/>
    <w:rsid w:val="00D869B8"/>
    <w:rsid w:val="00D86C8A"/>
    <w:rsid w:val="00D92A45"/>
    <w:rsid w:val="00D93343"/>
    <w:rsid w:val="00DA1C99"/>
    <w:rsid w:val="00DA2906"/>
    <w:rsid w:val="00DA5EBB"/>
    <w:rsid w:val="00DA6359"/>
    <w:rsid w:val="00DB0C19"/>
    <w:rsid w:val="00DB2785"/>
    <w:rsid w:val="00DB2B57"/>
    <w:rsid w:val="00DB4D4F"/>
    <w:rsid w:val="00DB55A1"/>
    <w:rsid w:val="00DB7B1E"/>
    <w:rsid w:val="00DC7383"/>
    <w:rsid w:val="00DD3B19"/>
    <w:rsid w:val="00DE0820"/>
    <w:rsid w:val="00DE19D3"/>
    <w:rsid w:val="00DE2264"/>
    <w:rsid w:val="00DE48F9"/>
    <w:rsid w:val="00DE7DB9"/>
    <w:rsid w:val="00DF31FE"/>
    <w:rsid w:val="00DF38B3"/>
    <w:rsid w:val="00DF3BB1"/>
    <w:rsid w:val="00DF460B"/>
    <w:rsid w:val="00DF5B77"/>
    <w:rsid w:val="00DF61B7"/>
    <w:rsid w:val="00DF6953"/>
    <w:rsid w:val="00DF706F"/>
    <w:rsid w:val="00DF713F"/>
    <w:rsid w:val="00E00BB2"/>
    <w:rsid w:val="00E02C01"/>
    <w:rsid w:val="00E06D98"/>
    <w:rsid w:val="00E07E40"/>
    <w:rsid w:val="00E121B6"/>
    <w:rsid w:val="00E16C3A"/>
    <w:rsid w:val="00E249EC"/>
    <w:rsid w:val="00E24D8E"/>
    <w:rsid w:val="00E26D4B"/>
    <w:rsid w:val="00E279B2"/>
    <w:rsid w:val="00E3492F"/>
    <w:rsid w:val="00E349EB"/>
    <w:rsid w:val="00E36958"/>
    <w:rsid w:val="00E37D30"/>
    <w:rsid w:val="00E47812"/>
    <w:rsid w:val="00E50B53"/>
    <w:rsid w:val="00E50D07"/>
    <w:rsid w:val="00E51D7A"/>
    <w:rsid w:val="00E52303"/>
    <w:rsid w:val="00E53175"/>
    <w:rsid w:val="00E531F3"/>
    <w:rsid w:val="00E54FAC"/>
    <w:rsid w:val="00E61470"/>
    <w:rsid w:val="00E63AEB"/>
    <w:rsid w:val="00E67B48"/>
    <w:rsid w:val="00E73186"/>
    <w:rsid w:val="00E76C30"/>
    <w:rsid w:val="00E8016D"/>
    <w:rsid w:val="00E84281"/>
    <w:rsid w:val="00E85EF5"/>
    <w:rsid w:val="00E878E4"/>
    <w:rsid w:val="00E90197"/>
    <w:rsid w:val="00E916EB"/>
    <w:rsid w:val="00E93088"/>
    <w:rsid w:val="00E93E13"/>
    <w:rsid w:val="00EA104C"/>
    <w:rsid w:val="00EA2884"/>
    <w:rsid w:val="00EA2D0F"/>
    <w:rsid w:val="00EA3B94"/>
    <w:rsid w:val="00EA6AA2"/>
    <w:rsid w:val="00EB2B80"/>
    <w:rsid w:val="00EB3559"/>
    <w:rsid w:val="00EB3FE2"/>
    <w:rsid w:val="00EB493F"/>
    <w:rsid w:val="00EB4FEF"/>
    <w:rsid w:val="00EB539F"/>
    <w:rsid w:val="00EB6331"/>
    <w:rsid w:val="00EB6DD7"/>
    <w:rsid w:val="00EC0903"/>
    <w:rsid w:val="00EC4BD6"/>
    <w:rsid w:val="00EC6555"/>
    <w:rsid w:val="00ED01D9"/>
    <w:rsid w:val="00ED2896"/>
    <w:rsid w:val="00ED58FA"/>
    <w:rsid w:val="00ED65DD"/>
    <w:rsid w:val="00EE42CA"/>
    <w:rsid w:val="00EE4F38"/>
    <w:rsid w:val="00EF0425"/>
    <w:rsid w:val="00EF2891"/>
    <w:rsid w:val="00EF5561"/>
    <w:rsid w:val="00F045D6"/>
    <w:rsid w:val="00F05E4C"/>
    <w:rsid w:val="00F05F43"/>
    <w:rsid w:val="00F12AD0"/>
    <w:rsid w:val="00F176AB"/>
    <w:rsid w:val="00F224BF"/>
    <w:rsid w:val="00F22F5D"/>
    <w:rsid w:val="00F231A1"/>
    <w:rsid w:val="00F23875"/>
    <w:rsid w:val="00F30C3D"/>
    <w:rsid w:val="00F32DFF"/>
    <w:rsid w:val="00F335FA"/>
    <w:rsid w:val="00F33C6B"/>
    <w:rsid w:val="00F37352"/>
    <w:rsid w:val="00F3739A"/>
    <w:rsid w:val="00F42FE5"/>
    <w:rsid w:val="00F43234"/>
    <w:rsid w:val="00F51A21"/>
    <w:rsid w:val="00F520EB"/>
    <w:rsid w:val="00F52225"/>
    <w:rsid w:val="00F55C22"/>
    <w:rsid w:val="00F564AC"/>
    <w:rsid w:val="00F57484"/>
    <w:rsid w:val="00F6280B"/>
    <w:rsid w:val="00F62DF6"/>
    <w:rsid w:val="00F63EAF"/>
    <w:rsid w:val="00F657FB"/>
    <w:rsid w:val="00F658BC"/>
    <w:rsid w:val="00F6777B"/>
    <w:rsid w:val="00F67A2B"/>
    <w:rsid w:val="00F77126"/>
    <w:rsid w:val="00F86531"/>
    <w:rsid w:val="00F865EE"/>
    <w:rsid w:val="00F8697E"/>
    <w:rsid w:val="00F91240"/>
    <w:rsid w:val="00F93E20"/>
    <w:rsid w:val="00F947A9"/>
    <w:rsid w:val="00FA3A0C"/>
    <w:rsid w:val="00FA5F9D"/>
    <w:rsid w:val="00FA7893"/>
    <w:rsid w:val="00FB17B5"/>
    <w:rsid w:val="00FB6E90"/>
    <w:rsid w:val="00FC04EB"/>
    <w:rsid w:val="00FC498B"/>
    <w:rsid w:val="00FC756B"/>
    <w:rsid w:val="00FC761A"/>
    <w:rsid w:val="00FD1CAC"/>
    <w:rsid w:val="00FD2096"/>
    <w:rsid w:val="00FD2F01"/>
    <w:rsid w:val="00FD3395"/>
    <w:rsid w:val="00FD5504"/>
    <w:rsid w:val="00FE037F"/>
    <w:rsid w:val="00FE594B"/>
    <w:rsid w:val="00FE62BF"/>
    <w:rsid w:val="00FE72F3"/>
    <w:rsid w:val="00FE7E4C"/>
    <w:rsid w:val="00FF2560"/>
    <w:rsid w:val="00FF39AC"/>
    <w:rsid w:val="00FF39C6"/>
    <w:rsid w:val="00FF4E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125272"/>
  <w15:docId w15:val="{168F95C4-671F-44E2-9138-15C84902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Char,Heading 2 Char Char1,Heading 2 Char Char1 Char Char,Heading 2 Char Char2,Heading 2 Char Char3 Char,Heading 2 Char1,Heading 2 Char1 Char,Heading 2 Char1 Char Char,Heading 2 Char1 Char Char Char,Heading 2 Char2,UNDERRUBRIK 1-2 Char,h2 Char"/>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1,1 Char,3,3 Char,31,31 Char,?? 3,?? 3 Char,Heading 3 Char Char Char Char,Heading 3 Char Char Char Char Char,Heading 3 Char1,Heading 3 Char1 Char Char,Heading 3 Char2 Char1 Char Char,Titre 3,Titre 3 Char,Titre 31,Titre 31 Char"/>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Heading 4 Char2 Char Char1"/>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 Char,Heading 6 Char Char Char,Heading 6 Char Char1,Heading 6 Char1,Heading 6 Char1 Char,Heading 6 Char2,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9,Heading 9.table,Titre 9,Topic,t,table"/>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 Char Char Char,Heading 1 Char Char1 Char Char,Heading 1 Char Char1 Char1,Heading 1 Char1 Char Char,Heading 1 Char1 Char Char Char2 Char Char,Heading 1 Char2 Char,Heading 1 Char2 Char Char1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eading 2 Char Char1 Char,Heading 2 Char Char1 Char Char Char,Heading 2 Char Char2 Char,Heading 2 Char Char3 Char Char,Heading 2 Char1 Char Char Char1,Heading 2 Char1 Char Char1,Heading 2 Char2 Char,UNDERRUBRIK 1-2 Char Char,h2 Char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1 Char Char,1 Char1,3 Char Char,3 Char1,31 Char Char,31 Char1,?? 3 Char Char,?? 3 Char1,Heading 3 Char Char Char Char Char1,Heading 3 Char1 Char Char Char,Titre 3 Char Char,Titre 3 Char1,Titre 31 Char Char,Titre 31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 Char Char Char Char Char1 Char,Heading 4 Char Char1 Char Char1 Char,Heading 4 Char1 Char Char,Heading 4 Char1 Char Char Char Char1 Char,Heading 4 Char1 Char1 Char Char1 Char,Heading 4 Char2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1 Char,Heading 5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9 Char,Heading 9.table Char,Titre 9 Char,Topic Char,t Char,table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 w:type="paragraph" w:styleId="Revision">
    <w:name w:val="Revision"/>
    <w:hidden/>
    <w:uiPriority w:val="99"/>
    <w:semiHidden/>
    <w:rsid w:val="00C41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public/do/PRAViewICR?ref_nbr=201608-3060-009"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3154-421B-46FD-A09B-DBF98E99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Gilgenbach</dc:creator>
  <cp:lastModifiedBy>Cathy Williams</cp:lastModifiedBy>
  <cp:revision>4</cp:revision>
  <cp:lastPrinted>2024-04-03T17:21:00Z</cp:lastPrinted>
  <dcterms:created xsi:type="dcterms:W3CDTF">2024-04-04T14:53:00Z</dcterms:created>
  <dcterms:modified xsi:type="dcterms:W3CDTF">2024-06-25T12:24:00Z</dcterms:modified>
</cp:coreProperties>
</file>