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6DA" w:rsidRPr="00CF34FA" w:rsidP="005366DA" w14:paraId="0C052D4C" w14:textId="77777777">
      <w:pPr>
        <w:tabs>
          <w:tab w:val="center" w:pos="4680"/>
        </w:tabs>
        <w:jc w:val="center"/>
        <w:rPr>
          <w:rFonts w:ascii="Times New Roman" w:eastAsia="Calibri" w:hAnsi="Times New Roman"/>
          <w:b/>
          <w:snapToGrid/>
          <w:szCs w:val="24"/>
        </w:rPr>
      </w:pPr>
      <w:r w:rsidRPr="00CF34FA">
        <w:rPr>
          <w:rFonts w:ascii="Times New Roman" w:eastAsia="Calibri" w:hAnsi="Times New Roman"/>
          <w:b/>
          <w:snapToGrid/>
          <w:szCs w:val="24"/>
        </w:rPr>
        <w:t>SUPPORTING STATEMENT</w:t>
      </w:r>
    </w:p>
    <w:p w:rsidR="00F924E3" w:rsidRPr="00F924E3" w:rsidP="00F924E3" w14:paraId="168BE7FF" w14:textId="77777777">
      <w:pPr>
        <w:widowControl/>
        <w:tabs>
          <w:tab w:val="center" w:pos="4680"/>
        </w:tabs>
        <w:jc w:val="center"/>
        <w:rPr>
          <w:rFonts w:ascii="Times New Roman" w:eastAsia="Calibri" w:hAnsi="Times New Roman"/>
          <w:snapToGrid/>
          <w:szCs w:val="24"/>
        </w:rPr>
      </w:pPr>
      <w:r w:rsidRPr="00F924E3">
        <w:rPr>
          <w:rFonts w:ascii="Times New Roman" w:eastAsia="Calibri" w:hAnsi="Times New Roman"/>
          <w:snapToGrid/>
          <w:szCs w:val="24"/>
        </w:rPr>
        <w:t>INTERAGENCY NOTICE OF CHANGE IN CONTROL</w:t>
      </w:r>
    </w:p>
    <w:p w:rsidR="005366DA" w:rsidRPr="00CF34FA" w:rsidP="00F924E3" w14:paraId="6C5CB035" w14:textId="104FEB5F">
      <w:pPr>
        <w:widowControl/>
        <w:tabs>
          <w:tab w:val="center" w:pos="4680"/>
        </w:tabs>
        <w:jc w:val="center"/>
        <w:rPr>
          <w:rFonts w:ascii="Times New Roman" w:eastAsia="Calibri" w:hAnsi="Times New Roman"/>
          <w:snapToGrid/>
          <w:szCs w:val="24"/>
        </w:rPr>
      </w:pPr>
      <w:r w:rsidRPr="00F924E3">
        <w:rPr>
          <w:rFonts w:ascii="Times New Roman" w:eastAsia="Calibri" w:hAnsi="Times New Roman"/>
          <w:snapToGrid/>
          <w:szCs w:val="24"/>
        </w:rPr>
        <w:t xml:space="preserve"> </w:t>
      </w:r>
      <w:r w:rsidRPr="00CF34FA">
        <w:rPr>
          <w:rFonts w:ascii="Times New Roman" w:eastAsia="Calibri" w:hAnsi="Times New Roman"/>
          <w:snapToGrid/>
          <w:szCs w:val="24"/>
        </w:rPr>
        <w:t>(OMB No. 3064</w:t>
      </w:r>
      <w:r w:rsidRPr="00CF34FA">
        <w:rPr>
          <w:rFonts w:ascii="Times New Roman" w:eastAsia="Calibri" w:hAnsi="Times New Roman"/>
          <w:snapToGrid/>
          <w:szCs w:val="24"/>
        </w:rPr>
        <w:noBreakHyphen/>
        <w:t>0</w:t>
      </w:r>
      <w:r>
        <w:rPr>
          <w:rFonts w:ascii="Times New Roman" w:eastAsia="Calibri" w:hAnsi="Times New Roman"/>
          <w:snapToGrid/>
          <w:szCs w:val="24"/>
        </w:rPr>
        <w:t>019</w:t>
      </w:r>
      <w:r w:rsidRPr="00CF34FA">
        <w:rPr>
          <w:rFonts w:ascii="Times New Roman" w:eastAsia="Calibri" w:hAnsi="Times New Roman"/>
          <w:snapToGrid/>
          <w:szCs w:val="24"/>
        </w:rPr>
        <w:t>)</w:t>
      </w:r>
    </w:p>
    <w:p w:rsidR="00994EDE" w:rsidRPr="00CF34FA" w:rsidP="005366DA" w14:paraId="3AE0E354" w14:textId="77777777">
      <w:pPr>
        <w:widowControl/>
        <w:tabs>
          <w:tab w:val="center" w:pos="4680"/>
          <w:tab w:val="left" w:pos="4896"/>
        </w:tabs>
        <w:rPr>
          <w:rFonts w:ascii="Times New Roman" w:hAnsi="Times New Roman"/>
        </w:rPr>
      </w:pPr>
    </w:p>
    <w:p w:rsidR="00994EDE" w:rsidRPr="00CF34FA" w14:paraId="607DF3F1" w14:textId="77777777">
      <w:pPr>
        <w:widowControl/>
        <w:tabs>
          <w:tab w:val="left" w:pos="432"/>
          <w:tab w:val="left" w:pos="1152"/>
          <w:tab w:val="left" w:pos="1872"/>
          <w:tab w:val="left" w:pos="2448"/>
          <w:tab w:val="left" w:pos="4896"/>
        </w:tabs>
        <w:rPr>
          <w:rFonts w:ascii="Times New Roman" w:hAnsi="Times New Roman"/>
        </w:rPr>
      </w:pPr>
    </w:p>
    <w:p w:rsidR="00994EDE" w:rsidRPr="00CF34FA"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00994EDE" w:rsidRPr="00CF34FA" w14:paraId="4E97DFF4" w14:textId="77777777">
      <w:pPr>
        <w:widowControl/>
        <w:tabs>
          <w:tab w:val="left" w:pos="432"/>
          <w:tab w:val="left" w:pos="1152"/>
          <w:tab w:val="left" w:pos="1872"/>
          <w:tab w:val="left" w:pos="2448"/>
          <w:tab w:val="left" w:pos="4896"/>
        </w:tabs>
        <w:rPr>
          <w:rFonts w:ascii="Times New Roman" w:hAnsi="Times New Roman"/>
        </w:rPr>
      </w:pPr>
    </w:p>
    <w:p w:rsidR="008E47C7" w:rsidRPr="008E47C7" w:rsidP="008E47C7" w14:paraId="57AB39DF" w14:textId="43F5C1F1">
      <w:pPr>
        <w:widowControl/>
        <w:tabs>
          <w:tab w:val="left" w:pos="432"/>
          <w:tab w:val="left" w:pos="1152"/>
          <w:tab w:val="left" w:pos="1872"/>
          <w:tab w:val="left" w:pos="2448"/>
          <w:tab w:val="left" w:pos="4896"/>
        </w:tabs>
        <w:rPr>
          <w:rFonts w:ascii="Times New Roman" w:hAnsi="Times New Roman"/>
        </w:rPr>
      </w:pPr>
      <w:r w:rsidRPr="00E34974">
        <w:rPr>
          <w:rFonts w:ascii="Times New Roman" w:hAnsi="Times New Roman"/>
        </w:rPr>
        <w:t xml:space="preserve">The FDIC is requesting OMB approval to extend, without change, the information collection </w:t>
      </w:r>
      <w:r w:rsidRPr="008E47C7">
        <w:rPr>
          <w:rFonts w:ascii="Times New Roman" w:hAnsi="Times New Roman"/>
        </w:rPr>
        <w:t>entitled “</w:t>
      </w:r>
      <w:r w:rsidRPr="00F924E3" w:rsidR="00F924E3">
        <w:rPr>
          <w:rFonts w:ascii="Times New Roman" w:hAnsi="Times New Roman"/>
        </w:rPr>
        <w:t>Interagency Notice of Change in Control</w:t>
      </w:r>
      <w:r w:rsidRPr="008E47C7">
        <w:rPr>
          <w:rFonts w:ascii="Times New Roman" w:hAnsi="Times New Roman"/>
        </w:rPr>
        <w:t>” (OMB Control</w:t>
      </w:r>
      <w:r w:rsidR="00F924E3">
        <w:rPr>
          <w:rFonts w:ascii="Times New Roman" w:hAnsi="Times New Roman"/>
        </w:rPr>
        <w:t xml:space="preserve"> No. 3064-0019</w:t>
      </w:r>
      <w:r w:rsidRPr="008E47C7">
        <w:rPr>
          <w:rFonts w:ascii="Times New Roman" w:hAnsi="Times New Roman"/>
        </w:rPr>
        <w:t xml:space="preserve">).  </w:t>
      </w:r>
      <w:r w:rsidR="00450218">
        <w:rPr>
          <w:rFonts w:ascii="Times New Roman" w:hAnsi="Times New Roman"/>
        </w:rPr>
        <w:t>The current clearance for this</w:t>
      </w:r>
      <w:r w:rsidRPr="003043C2" w:rsidR="003043C2">
        <w:rPr>
          <w:rFonts w:ascii="Times New Roman" w:hAnsi="Times New Roman"/>
        </w:rPr>
        <w:t xml:space="preserve"> collection expires on </w:t>
      </w:r>
      <w:r w:rsidR="003043C2">
        <w:rPr>
          <w:rFonts w:ascii="Times New Roman" w:hAnsi="Times New Roman"/>
        </w:rPr>
        <w:t>Ju</w:t>
      </w:r>
      <w:r w:rsidR="00B85A59">
        <w:rPr>
          <w:rFonts w:ascii="Times New Roman" w:hAnsi="Times New Roman"/>
        </w:rPr>
        <w:t>ly 31, 2024</w:t>
      </w:r>
      <w:r w:rsidRPr="003043C2" w:rsidR="003043C2">
        <w:rPr>
          <w:rFonts w:ascii="Times New Roman" w:hAnsi="Times New Roman"/>
        </w:rPr>
        <w:t>.</w:t>
      </w:r>
    </w:p>
    <w:p w:rsidR="00797DDC" w:rsidRPr="00CF34FA" w14:paraId="09A122FC" w14:textId="2D6C2ADC">
      <w:pPr>
        <w:widowControl/>
        <w:tabs>
          <w:tab w:val="left" w:pos="432"/>
          <w:tab w:val="left" w:pos="1152"/>
          <w:tab w:val="left" w:pos="1872"/>
          <w:tab w:val="left" w:pos="2448"/>
          <w:tab w:val="left" w:pos="4896"/>
        </w:tabs>
        <w:rPr>
          <w:rFonts w:ascii="Times New Roman" w:hAnsi="Times New Roman"/>
        </w:rPr>
      </w:pPr>
    </w:p>
    <w:p w:rsidR="00994EDE" w:rsidRPr="00CF34FA"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00994EDE" w:rsidRPr="00CF34FA" w14:paraId="5FFDAA14" w14:textId="77777777">
      <w:pPr>
        <w:widowControl/>
        <w:tabs>
          <w:tab w:val="left" w:pos="432"/>
          <w:tab w:val="left" w:pos="1152"/>
          <w:tab w:val="left" w:pos="1872"/>
          <w:tab w:val="left" w:pos="2448"/>
          <w:tab w:val="left" w:pos="4896"/>
        </w:tabs>
        <w:rPr>
          <w:rFonts w:ascii="Times New Roman" w:hAnsi="Times New Roman"/>
        </w:rPr>
      </w:pPr>
    </w:p>
    <w:p w:rsidR="00994EDE" w:rsidRPr="00CF34FA"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00994EDE" w:rsidRPr="00CF34FA" w14:paraId="4907DAB1" w14:textId="77777777">
      <w:pPr>
        <w:widowControl/>
        <w:tabs>
          <w:tab w:val="left" w:pos="432"/>
          <w:tab w:val="left" w:pos="1152"/>
          <w:tab w:val="left" w:pos="1872"/>
          <w:tab w:val="left" w:pos="2448"/>
          <w:tab w:val="left" w:pos="4896"/>
        </w:tabs>
        <w:rPr>
          <w:rFonts w:ascii="Times New Roman" w:hAnsi="Times New Roman"/>
        </w:rPr>
      </w:pPr>
    </w:p>
    <w:p w:rsidR="00994EDE" w:rsidP="00F924E3" w14:paraId="2781FFFB" w14:textId="27F808C0">
      <w:pPr>
        <w:tabs>
          <w:tab w:val="left" w:pos="480"/>
          <w:tab w:val="left" w:pos="1080"/>
          <w:tab w:val="left" w:pos="1680"/>
          <w:tab w:val="left" w:pos="2280"/>
          <w:tab w:val="left" w:pos="3000"/>
          <w:tab w:val="left" w:pos="3720"/>
          <w:tab w:val="left" w:pos="4440"/>
        </w:tabs>
        <w:suppressAutoHyphens/>
        <w:ind w:left="1080" w:hanging="1080"/>
        <w:rPr>
          <w:rFonts w:ascii="Times New Roman" w:hAnsi="Times New Roman"/>
        </w:rPr>
      </w:pPr>
      <w:r>
        <w:rPr>
          <w:rFonts w:ascii="Times New Roman" w:hAnsi="Times New Roman"/>
        </w:rPr>
        <w:tab/>
      </w:r>
      <w:r>
        <w:rPr>
          <w:rFonts w:ascii="Times New Roman" w:hAnsi="Times New Roman"/>
        </w:rPr>
        <w:tab/>
      </w:r>
      <w:r w:rsidRPr="00F924E3" w:rsidR="00F924E3">
        <w:rPr>
          <w:rFonts w:ascii="Times New Roman" w:hAnsi="Times New Roman"/>
        </w:rPr>
        <w:t>Section 7(j) of the Federal Deposit Insurance Act (Change in Bank Control Act of 1978, 12 U.S.C. 1817(j)) and section 303.4 of the FDIC Rules and Regulations (12 CFR 303.4) require that any person proposing to acquire control of an insured bank provide 60 days prior written notice of the proposed acquisition to the appropriate Federal banking agency.  Such written notice which pertains to the acquisition of control of an insured State nonmember bank is filed with the regional director of the FDIC region in which the bank is located.</w:t>
      </w:r>
    </w:p>
    <w:p w:rsidR="00CF34FA" w:rsidRPr="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rsidP="00366F1B" w14:paraId="78F28EB9" w14:textId="1617A608">
      <w:pPr>
        <w:widowControl/>
        <w:tabs>
          <w:tab w:val="left" w:pos="288"/>
          <w:tab w:val="left" w:pos="1008"/>
          <w:tab w:val="left" w:pos="1728"/>
          <w:tab w:val="left" w:pos="2448"/>
          <w:tab w:val="left" w:pos="3168"/>
          <w:tab w:val="left" w:pos="3888"/>
        </w:tabs>
        <w:ind w:left="1008"/>
        <w:rPr>
          <w:rFonts w:ascii="Times New Roman" w:hAnsi="Times New Roman"/>
        </w:rPr>
      </w:pPr>
      <w:r w:rsidRPr="00F924E3">
        <w:rPr>
          <w:rFonts w:ascii="Times New Roman" w:hAnsi="Times New Roman"/>
        </w:rPr>
        <w:t>The Federal Deposit Insurance Corporation reviews the information reported in the Notice to assess any anticompetitive and monopolistic effects of the proposed acquisition, to determine if the financial condition of any acquiring person is such as might jeopardize the financial stability of the bank or prejudice the interests of the depositors of the bank, and to determine whether the competence, experience, or integrity of any acquiring person, or of any of the proposed management personnel, indicates that it would not be in the interest of the depositors of the bank, or in the interest of the public, to permit such persons to control the bank.  The Federal Deposit Insurance Corporation must also make an independent determination of the accuracy and completeness of all of the information required to be filed in conjunction with a Notice.</w:t>
      </w:r>
    </w:p>
    <w:p w:rsidR="00994EDE" w:rsidRPr="00CF34FA"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00994EDE" w:rsidRPr="00CF34FA"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0CDAD476" w14:textId="6CCF3BD3">
      <w:pPr>
        <w:widowControl/>
        <w:ind w:left="1008"/>
        <w:rPr>
          <w:rFonts w:ascii="Times New Roman" w:hAnsi="Times New Roman"/>
        </w:rPr>
      </w:pPr>
      <w:r w:rsidRPr="00F924E3">
        <w:rPr>
          <w:rFonts w:ascii="Times New Roman" w:hAnsi="Times New Roman"/>
        </w:rPr>
        <w:t>No technology is involved in the preparation of the Notice.</w:t>
      </w:r>
    </w:p>
    <w:p w:rsidR="00994EDE" w:rsidRPr="00CF34FA"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00994EDE" w:rsidRPr="00CF34FA"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098947A" w14:textId="07441860">
      <w:pPr>
        <w:widowControl/>
        <w:tabs>
          <w:tab w:val="left" w:pos="288"/>
          <w:tab w:val="left" w:pos="1008"/>
          <w:tab w:val="left" w:pos="1728"/>
          <w:tab w:val="left" w:pos="2448"/>
          <w:tab w:val="left" w:pos="3168"/>
          <w:tab w:val="left" w:pos="3888"/>
        </w:tabs>
        <w:ind w:left="1008"/>
        <w:rPr>
          <w:rFonts w:ascii="Times New Roman" w:hAnsi="Times New Roman"/>
        </w:rPr>
      </w:pPr>
      <w:r w:rsidRPr="00F924E3">
        <w:rPr>
          <w:rFonts w:ascii="Times New Roman" w:hAnsi="Times New Roman"/>
        </w:rPr>
        <w:t>There is no duplication of reporting.  Each Notice is unique to the particular proposed acquisition.</w:t>
      </w:r>
    </w:p>
    <w:p w:rsidR="00994EDE" w:rsidRPr="00CF34FA"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00994EDE" w:rsidRPr="00CF34FA"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745787" w14:paraId="0641ADCD" w14:textId="597A47D7">
      <w:pPr>
        <w:widowControl/>
        <w:tabs>
          <w:tab w:val="left" w:pos="288"/>
          <w:tab w:val="left" w:pos="1008"/>
          <w:tab w:val="left" w:pos="1728"/>
          <w:tab w:val="left" w:pos="2448"/>
          <w:tab w:val="left" w:pos="3168"/>
          <w:tab w:val="left" w:pos="3888"/>
        </w:tabs>
        <w:ind w:left="1008"/>
        <w:rPr>
          <w:rFonts w:ascii="Times New Roman" w:hAnsi="Times New Roman"/>
        </w:rPr>
      </w:pPr>
      <w:r w:rsidRPr="001212D0">
        <w:rPr>
          <w:rFonts w:ascii="Times New Roman" w:hAnsi="Times New Roman"/>
        </w:rPr>
        <w:t xml:space="preserve">The collection requirement is the same for </w:t>
      </w:r>
      <w:r w:rsidR="00745787">
        <w:rPr>
          <w:rFonts w:ascii="Times New Roman" w:hAnsi="Times New Roman"/>
        </w:rPr>
        <w:t xml:space="preserve">all banks, regardless of size. </w:t>
      </w:r>
      <w:r w:rsidRPr="001212D0">
        <w:rPr>
          <w:rFonts w:ascii="Times New Roman" w:hAnsi="Times New Roman"/>
        </w:rPr>
        <w:t xml:space="preserve">The information collected is </w:t>
      </w:r>
      <w:r w:rsidRPr="00745787" w:rsidR="00745787">
        <w:rPr>
          <w:rFonts w:ascii="Times New Roman" w:hAnsi="Times New Roman"/>
        </w:rPr>
        <w:t>the minimum needed by the FDIC to evaluate the proposed acquisition</w:t>
      </w:r>
      <w:r w:rsidRPr="001212D0">
        <w:rPr>
          <w:rFonts w:ascii="Times New Roman" w:hAnsi="Times New Roman"/>
        </w:rPr>
        <w:t>, giving consideration to the statutory factors of 12 USC 1828(c).</w:t>
      </w:r>
      <w:r w:rsidRPr="00CF34FA">
        <w:rPr>
          <w:rFonts w:ascii="Times New Roman" w:hAnsi="Times New Roman"/>
        </w:rPr>
        <w:t xml:space="preserve">  </w:t>
      </w:r>
    </w:p>
    <w:p w:rsidR="00994EDE" w:rsidRPr="00CF34FA"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00994EDE" w:rsidRPr="00CF34FA"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FD161C9" w14:textId="492BCC8D">
      <w:pPr>
        <w:widowControl/>
        <w:tabs>
          <w:tab w:val="left" w:pos="288"/>
          <w:tab w:val="left" w:pos="1008"/>
          <w:tab w:val="left" w:pos="1728"/>
          <w:tab w:val="left" w:pos="2448"/>
          <w:tab w:val="left" w:pos="3168"/>
          <w:tab w:val="left" w:pos="3888"/>
        </w:tabs>
        <w:ind w:left="1008"/>
        <w:rPr>
          <w:rFonts w:ascii="Times New Roman" w:hAnsi="Times New Roman"/>
        </w:rPr>
      </w:pPr>
      <w:r w:rsidRPr="00745787">
        <w:rPr>
          <w:rFonts w:ascii="Times New Roman" w:hAnsi="Times New Roman"/>
        </w:rPr>
        <w:t>The information is collected only once in relation to each proposed change in ownership or control.</w:t>
      </w:r>
    </w:p>
    <w:p w:rsidR="00994EDE" w:rsidRPr="00CF34FA"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w:t>
      </w:r>
      <w:r w:rsidRPr="00CF34FA" w:rsidR="002701C6">
        <w:rPr>
          <w:rFonts w:ascii="Times New Roman" w:hAnsi="Times New Roman"/>
          <w:u w:val="single"/>
        </w:rPr>
        <w:t>)(</w:t>
      </w:r>
      <w:r w:rsidRPr="00CF34FA" w:rsidR="002701C6">
        <w:rPr>
          <w:rFonts w:ascii="Times New Roman" w:hAnsi="Times New Roman"/>
          <w:u w:val="single"/>
        </w:rPr>
        <w:t>2):</w:t>
      </w:r>
    </w:p>
    <w:p w:rsidR="00994EDE" w:rsidRPr="00CF34FA"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4905569" w14:textId="121ECA3F">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None</w:t>
      </w:r>
      <w:r w:rsidRPr="001212D0" w:rsidR="001212D0">
        <w:rPr>
          <w:rFonts w:ascii="Times New Roman" w:hAnsi="Times New Roman"/>
        </w:rPr>
        <w:t>.</w:t>
      </w:r>
      <w:r w:rsidR="00E34974">
        <w:rPr>
          <w:rFonts w:ascii="Times New Roman" w:hAnsi="Times New Roman"/>
        </w:rPr>
        <w:t xml:space="preserve">  </w:t>
      </w:r>
      <w:r w:rsidRPr="00E34974" w:rsidR="00E34974">
        <w:rPr>
          <w:rFonts w:ascii="Times New Roman" w:hAnsi="Times New Roman"/>
        </w:rPr>
        <w:t>The</w:t>
      </w:r>
      <w:r w:rsidRPr="00E34974" w:rsidR="00E34974">
        <w:rPr>
          <w:rFonts w:ascii="Times New Roman" w:hAnsi="Times New Roman"/>
          <w:bCs/>
          <w:iCs/>
        </w:rPr>
        <w:t xml:space="preserve"> information is collected in a manner consistent with 5 CFR 1320.5(d</w:t>
      </w:r>
      <w:r w:rsidRPr="00E34974" w:rsidR="00E34974">
        <w:rPr>
          <w:rFonts w:ascii="Times New Roman" w:hAnsi="Times New Roman"/>
          <w:bCs/>
          <w:iCs/>
        </w:rPr>
        <w:t>)(</w:t>
      </w:r>
      <w:r w:rsidRPr="00E34974" w:rsidR="00E34974">
        <w:rPr>
          <w:rFonts w:ascii="Times New Roman" w:hAnsi="Times New Roman"/>
          <w:bCs/>
          <w:iCs/>
        </w:rPr>
        <w:t>2).</w:t>
      </w:r>
    </w:p>
    <w:p w:rsidR="00994EDE" w:rsidRPr="00CF34FA"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00994EDE" w:rsidRPr="00CF34FA"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001C7588" w:rsidRPr="00CF34FA" w:rsidP="001C7588" w14:paraId="171146EA" w14:textId="1196BC07">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B85A59">
        <w:rPr>
          <w:rFonts w:ascii="Times New Roman" w:hAnsi="Times New Roman"/>
        </w:rPr>
        <w:t>May 1, 2024 (89</w:t>
      </w:r>
      <w:r w:rsidRPr="00CF34FA">
        <w:rPr>
          <w:rFonts w:ascii="Times New Roman" w:hAnsi="Times New Roman"/>
        </w:rPr>
        <w:t xml:space="preserve"> FR </w:t>
      </w:r>
      <w:r w:rsidR="00B85A59">
        <w:rPr>
          <w:rFonts w:ascii="Times New Roman" w:hAnsi="Times New Roman"/>
        </w:rPr>
        <w:t>35095</w:t>
      </w:r>
      <w:r w:rsidRPr="00CF34FA">
        <w:rPr>
          <w:rFonts w:ascii="Times New Roman" w:hAnsi="Times New Roman"/>
        </w:rPr>
        <w:t xml:space="preserve">).  No comments were received. </w:t>
      </w:r>
    </w:p>
    <w:p w:rsidR="00994EDE" w:rsidRPr="00CF34FA"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00994EDE" w:rsidRPr="00CF34FA"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00994EDE" w:rsidRPr="00CF34FA"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57B9ED5E" w14:textId="3283B903">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745787">
        <w:rPr>
          <w:rFonts w:ascii="Times New Roman" w:hAnsi="Times New Roman"/>
        </w:rPr>
        <w:t>Page ii of the Notice advises a person who files a notice with the FDIC to publish an announcement of the notice’s acceptance in a newspaper.  The newspaper publication and public disclosure is necessary to increase the amount of timely and useful information available to the public and to increase the FDIC’s sources of information in connection with its statutory review of acquisitions and changes in control, thereby enhancing the FDIC’s ability to carry out the purposes of the Change in Bank Control Act, namely, to prevent dishonest or unqualified persons from acquiring control of federally-insured banks.</w:t>
      </w:r>
    </w:p>
    <w:p w:rsidR="00994EDE" w:rsidRPr="00CF34FA"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00994EDE" w:rsidRPr="00CF34FA"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14:paraId="17EEA175" w14:textId="5ACFA94F">
      <w:pPr>
        <w:widowControl/>
        <w:tabs>
          <w:tab w:val="left" w:pos="288"/>
          <w:tab w:val="left" w:pos="1008"/>
          <w:tab w:val="left" w:pos="1728"/>
          <w:tab w:val="left" w:pos="2448"/>
          <w:tab w:val="left" w:pos="3168"/>
          <w:tab w:val="left" w:pos="3888"/>
        </w:tabs>
        <w:rPr>
          <w:rFonts w:ascii="Times New Roman" w:hAnsi="Times New Roman"/>
        </w:rPr>
      </w:pPr>
      <w:r>
        <w:rPr>
          <w:rFonts w:ascii="Times New Roman" w:hAnsi="Times New Roman"/>
        </w:rPr>
        <w:tab/>
      </w:r>
      <w:r>
        <w:rPr>
          <w:rFonts w:ascii="Times New Roman" w:hAnsi="Times New Roman"/>
        </w:rPr>
        <w:tab/>
      </w:r>
      <w:r w:rsidRPr="001212D0">
        <w:rPr>
          <w:rFonts w:ascii="Times New Roman" w:hAnsi="Times New Roman"/>
        </w:rPr>
        <w:t>No information of a sensitive nature is required</w:t>
      </w:r>
    </w:p>
    <w:p w:rsidR="00745787" w14:paraId="42E55E44" w14:textId="54016AAA">
      <w:pPr>
        <w:widowControl/>
        <w:rPr>
          <w:rFonts w:ascii="Times New Roman" w:hAnsi="Times New Roman"/>
        </w:rPr>
      </w:pPr>
      <w:r>
        <w:rPr>
          <w:rFonts w:ascii="Times New Roman" w:hAnsi="Times New Roman"/>
        </w:rPr>
        <w:br w:type="page"/>
      </w:r>
    </w:p>
    <w:p w:rsidR="001212D0" w:rsidRPr="00CF34FA" w14:paraId="5565DA9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4A784F" w:rsidR="001C7588">
        <w:rPr>
          <w:rFonts w:ascii="Times New Roman" w:hAnsi="Times New Roman"/>
          <w:u w:val="single"/>
        </w:rPr>
        <w:t xml:space="preserve">Estimate of </w:t>
      </w:r>
      <w:r w:rsidRPr="004A784F" w:rsidR="002701C6">
        <w:rPr>
          <w:rFonts w:ascii="Times New Roman" w:hAnsi="Times New Roman"/>
          <w:u w:val="single"/>
        </w:rPr>
        <w:t>hour b</w:t>
      </w:r>
      <w:r w:rsidRPr="004A784F">
        <w:rPr>
          <w:rFonts w:ascii="Times New Roman" w:hAnsi="Times New Roman"/>
          <w:u w:val="single"/>
        </w:rPr>
        <w:t>urden</w:t>
      </w:r>
      <w:r w:rsidRPr="004A784F" w:rsidR="002701C6">
        <w:rPr>
          <w:rFonts w:ascii="Times New Roman" w:hAnsi="Times New Roman"/>
          <w:u w:val="single"/>
        </w:rPr>
        <w:t xml:space="preserve"> including annualized hourly costs:</w:t>
      </w:r>
    </w:p>
    <w:p w:rsidR="00FC035F" w:rsidRPr="00CF34FA"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00994EDE" w:rsidRPr="00CF34FA"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tblPr>
      <w:tblGrid>
        <w:gridCol w:w="2621"/>
        <w:gridCol w:w="1477"/>
        <w:gridCol w:w="1027"/>
        <w:gridCol w:w="1260"/>
        <w:gridCol w:w="1230"/>
        <w:gridCol w:w="1035"/>
        <w:gridCol w:w="880"/>
      </w:tblGrid>
      <w:tr w14:paraId="731F4CE8" w14:textId="77777777" w:rsidTr="009350E1">
        <w:tblPrEx>
          <w:tblW w:w="9530" w:type="dxa"/>
          <w:tblLook w:val="04A0"/>
        </w:tblPrEx>
        <w:trPr>
          <w:trHeight w:val="432"/>
        </w:trPr>
        <w:tc>
          <w:tcPr>
            <w:tcW w:w="95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035F" w:rsidRPr="00CF34FA" w:rsidP="001212D0" w14:paraId="150EC81A" w14:textId="648EE99B">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Summary of Estimated Annual Burdens (OMB No. 3064-0</w:t>
            </w:r>
            <w:r w:rsidR="008E47C7">
              <w:rPr>
                <w:rFonts w:ascii="Times New Roman" w:hAnsi="Times New Roman"/>
                <w:b/>
                <w:bCs/>
                <w:snapToGrid/>
                <w:color w:val="000000"/>
                <w:sz w:val="20"/>
              </w:rPr>
              <w:t>0</w:t>
            </w:r>
            <w:r w:rsidR="00745787">
              <w:rPr>
                <w:rFonts w:ascii="Times New Roman" w:hAnsi="Times New Roman"/>
                <w:b/>
                <w:bCs/>
                <w:snapToGrid/>
                <w:color w:val="000000"/>
                <w:sz w:val="20"/>
              </w:rPr>
              <w:t>19</w:t>
            </w:r>
            <w:r w:rsidRPr="00CF34FA">
              <w:rPr>
                <w:rFonts w:ascii="Times New Roman" w:hAnsi="Times New Roman"/>
                <w:b/>
                <w:bCs/>
                <w:snapToGrid/>
                <w:color w:val="000000"/>
                <w:sz w:val="20"/>
              </w:rPr>
              <w:t>)</w:t>
            </w:r>
          </w:p>
        </w:tc>
      </w:tr>
      <w:tr w14:paraId="09BED8D0" w14:textId="77777777" w:rsidTr="009350E1">
        <w:tblPrEx>
          <w:tblW w:w="9530" w:type="dxa"/>
          <w:tblLook w:val="04A0"/>
        </w:tblPrEx>
        <w:trPr>
          <w:trHeight w:val="1056"/>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sz="4" w:space="0" w:color="auto"/>
              <w:right w:val="single" w:sz="4" w:space="0" w:color="auto"/>
            </w:tcBorders>
            <w:shd w:val="clear" w:color="auto" w:fill="auto"/>
            <w:vAlign w:val="center"/>
            <w:hideMark/>
          </w:tcPr>
          <w:p w:rsidR="00FC035F" w:rsidRPr="00CF34FA" w:rsidP="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sz="4" w:space="0" w:color="auto"/>
              <w:right w:val="single" w:sz="4" w:space="0" w:color="auto"/>
            </w:tcBorders>
            <w:vAlign w:val="center"/>
          </w:tcPr>
          <w:p w:rsidR="00FC035F" w:rsidRPr="00CF34FA" w:rsidP="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sz="4" w:space="0" w:color="auto"/>
              <w:right w:val="single" w:sz="4" w:space="0" w:color="auto"/>
            </w:tcBorders>
            <w:shd w:val="clear" w:color="auto" w:fill="auto"/>
            <w:vAlign w:val="center"/>
            <w:hideMark/>
          </w:tcPr>
          <w:p w:rsidR="00FC035F" w:rsidRPr="00CF34FA" w:rsidP="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sz="4" w:space="0" w:color="auto"/>
              <w:right w:val="single" w:sz="4" w:space="0" w:color="auto"/>
            </w:tcBorders>
            <w:shd w:val="clear" w:color="auto" w:fill="auto"/>
            <w:vAlign w:val="center"/>
            <w:hideMark/>
          </w:tcPr>
          <w:p w:rsidR="00FC035F" w:rsidRPr="00CF34FA" w:rsidP="00FC035F" w14:paraId="1375E6BF" w14:textId="51787BB3">
            <w:pPr>
              <w:widowControl/>
              <w:jc w:val="right"/>
              <w:rPr>
                <w:rFonts w:ascii="Times New Roman" w:hAnsi="Times New Roman"/>
                <w:snapToGrid/>
                <w:color w:val="000000"/>
                <w:sz w:val="18"/>
                <w:szCs w:val="18"/>
              </w:rPr>
            </w:pPr>
            <w:r>
              <w:rPr>
                <w:rFonts w:ascii="Times New Roman" w:hAnsi="Times New Roman"/>
                <w:snapToGrid/>
                <w:color w:val="000000"/>
                <w:sz w:val="18"/>
                <w:szCs w:val="18"/>
              </w:rPr>
              <w:t>Time</w:t>
            </w:r>
            <w:r w:rsidRPr="00CF34FA">
              <w:rPr>
                <w:rFonts w:ascii="Times New Roman" w:hAnsi="Times New Roman"/>
                <w:snapToGrid/>
                <w:color w:val="000000"/>
                <w:sz w:val="18"/>
                <w:szCs w:val="18"/>
              </w:rPr>
              <w:t xml:space="preserve"> per Response</w:t>
            </w:r>
            <w:r w:rsidR="00F24B25">
              <w:rPr>
                <w:rFonts w:ascii="Times New Roman" w:hAnsi="Times New Roman"/>
                <w:snapToGrid/>
                <w:color w:val="000000"/>
                <w:sz w:val="18"/>
                <w:szCs w:val="18"/>
              </w:rPr>
              <w:t xml:space="preserve"> (Hours</w:t>
            </w:r>
            <w:r>
              <w:rPr>
                <w:rFonts w:ascii="Times New Roman" w:hAnsi="Times New Roman"/>
                <w:snapToGrid/>
                <w:color w:val="000000"/>
                <w:sz w:val="18"/>
                <w:szCs w:val="18"/>
              </w:rPr>
              <w:t>)</w:t>
            </w:r>
            <w:r w:rsidRPr="00CF34FA">
              <w:rPr>
                <w:rFonts w:ascii="Times New Roman" w:hAnsi="Times New Roman"/>
                <w:snapToGrid/>
                <w:color w:val="00000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FC035F" w:rsidRPr="00CF34FA" w:rsidP="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14:paraId="08BA0660" w14:textId="77777777" w:rsidTr="00156560">
        <w:tblPrEx>
          <w:tblW w:w="9530" w:type="dxa"/>
          <w:tblLook w:val="04A0"/>
        </w:tblPrEx>
        <w:trPr>
          <w:trHeight w:val="1056"/>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156560" w:rsidRPr="00156560" w:rsidP="001355C9" w14:paraId="2AE560D3" w14:textId="77777777">
            <w:pPr>
              <w:widowControl/>
              <w:rPr>
                <w:rFonts w:ascii="Times New Roman" w:hAnsi="Times New Roman"/>
                <w:snapToGrid/>
                <w:color w:val="000000"/>
                <w:sz w:val="18"/>
                <w:szCs w:val="18"/>
              </w:rPr>
            </w:pPr>
            <w:r w:rsidRPr="00156560">
              <w:rPr>
                <w:rFonts w:ascii="Times New Roman" w:hAnsi="Times New Roman"/>
                <w:snapToGrid/>
                <w:color w:val="000000"/>
                <w:sz w:val="18"/>
                <w:szCs w:val="18"/>
              </w:rPr>
              <w:t>Form 6822/01 - Interagency Notice of Change in Control,</w:t>
            </w:r>
            <w:r w:rsidRPr="00156560">
              <w:rPr>
                <w:rFonts w:ascii="Times New Roman" w:hAnsi="Times New Roman"/>
                <w:snapToGrid/>
                <w:color w:val="000000"/>
                <w:sz w:val="18"/>
                <w:szCs w:val="18"/>
              </w:rPr>
              <w:br/>
              <w:t xml:space="preserve">12 CFR 303.85 </w:t>
            </w:r>
          </w:p>
        </w:tc>
        <w:tc>
          <w:tcPr>
            <w:tcW w:w="1477" w:type="dxa"/>
            <w:tcBorders>
              <w:top w:val="nil"/>
              <w:left w:val="nil"/>
              <w:bottom w:val="single" w:sz="4" w:space="0" w:color="auto"/>
              <w:right w:val="single" w:sz="4" w:space="0" w:color="auto"/>
            </w:tcBorders>
            <w:shd w:val="clear" w:color="auto" w:fill="auto"/>
            <w:vAlign w:val="center"/>
            <w:hideMark/>
          </w:tcPr>
          <w:p w:rsidR="00156560" w:rsidRPr="00156560" w:rsidP="001355C9" w14:paraId="3CC0557F" w14:textId="77777777">
            <w:pPr>
              <w:widowControl/>
              <w:jc w:val="center"/>
              <w:rPr>
                <w:rFonts w:ascii="Times New Roman" w:hAnsi="Times New Roman"/>
                <w:snapToGrid/>
                <w:color w:val="000000"/>
                <w:sz w:val="18"/>
                <w:szCs w:val="18"/>
              </w:rPr>
            </w:pPr>
            <w:r w:rsidRPr="00156560">
              <w:rPr>
                <w:rFonts w:ascii="Times New Roman" w:hAnsi="Times New Roman"/>
                <w:snapToGrid/>
                <w:color w:val="000000"/>
                <w:sz w:val="18"/>
                <w:szCs w:val="18"/>
              </w:rPr>
              <w:t>Reporting (Mandatory)</w:t>
            </w:r>
          </w:p>
        </w:tc>
        <w:tc>
          <w:tcPr>
            <w:tcW w:w="1027" w:type="dxa"/>
            <w:tcBorders>
              <w:top w:val="nil"/>
              <w:left w:val="nil"/>
              <w:bottom w:val="single" w:sz="4" w:space="0" w:color="auto"/>
              <w:right w:val="single" w:sz="4" w:space="0" w:color="auto"/>
            </w:tcBorders>
            <w:vAlign w:val="center"/>
          </w:tcPr>
          <w:p w:rsidR="00156560" w:rsidRPr="00156560" w:rsidP="001355C9" w14:paraId="399CB09E" w14:textId="77777777">
            <w:pPr>
              <w:widowControl/>
              <w:jc w:val="center"/>
              <w:rPr>
                <w:rFonts w:ascii="Times New Roman" w:hAnsi="Times New Roman"/>
                <w:snapToGrid/>
                <w:color w:val="000000"/>
                <w:sz w:val="18"/>
                <w:szCs w:val="18"/>
              </w:rPr>
            </w:pPr>
            <w:r w:rsidRPr="00156560">
              <w:rPr>
                <w:rFonts w:ascii="Times New Roman" w:hAnsi="Times New Roman"/>
                <w:snapToGrid/>
                <w:color w:val="000000"/>
                <w:sz w:val="18"/>
                <w:szCs w:val="18"/>
              </w:rPr>
              <w:t>On occasion</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156560" w:rsidRPr="00156560" w:rsidP="00156560" w14:paraId="4B30822D" w14:textId="77777777">
            <w:pPr>
              <w:widowControl/>
              <w:jc w:val="right"/>
              <w:rPr>
                <w:rFonts w:ascii="Times New Roman" w:hAnsi="Times New Roman"/>
                <w:snapToGrid/>
                <w:color w:val="000000"/>
                <w:sz w:val="18"/>
                <w:szCs w:val="18"/>
              </w:rPr>
            </w:pPr>
            <w:r w:rsidRPr="00156560">
              <w:rPr>
                <w:rFonts w:ascii="Times New Roman" w:hAnsi="Times New Roman"/>
                <w:snapToGrid/>
                <w:color w:val="000000"/>
                <w:sz w:val="18"/>
                <w:szCs w:val="18"/>
              </w:rPr>
              <w:t>34</w:t>
            </w:r>
          </w:p>
        </w:tc>
        <w:tc>
          <w:tcPr>
            <w:tcW w:w="1230" w:type="dxa"/>
            <w:tcBorders>
              <w:top w:val="nil"/>
              <w:left w:val="nil"/>
              <w:bottom w:val="single" w:sz="4" w:space="0" w:color="auto"/>
              <w:right w:val="single" w:sz="4" w:space="0" w:color="auto"/>
            </w:tcBorders>
            <w:shd w:val="clear" w:color="auto" w:fill="auto"/>
            <w:vAlign w:val="center"/>
            <w:hideMark/>
          </w:tcPr>
          <w:p w:rsidR="00156560" w:rsidRPr="00156560" w:rsidP="00156560" w14:paraId="1EFEDDF4" w14:textId="77777777">
            <w:pPr>
              <w:widowControl/>
              <w:jc w:val="right"/>
              <w:rPr>
                <w:rFonts w:ascii="Times New Roman" w:hAnsi="Times New Roman"/>
                <w:snapToGrid/>
                <w:color w:val="000000"/>
                <w:sz w:val="18"/>
                <w:szCs w:val="18"/>
              </w:rPr>
            </w:pPr>
            <w:r w:rsidRPr="00156560">
              <w:rPr>
                <w:rFonts w:ascii="Times New Roman" w:hAnsi="Times New Roman"/>
                <w:snapToGrid/>
                <w:color w:val="000000"/>
                <w:sz w:val="18"/>
                <w:szCs w:val="18"/>
              </w:rPr>
              <w:t>1</w:t>
            </w:r>
          </w:p>
        </w:tc>
        <w:tc>
          <w:tcPr>
            <w:tcW w:w="1035" w:type="dxa"/>
            <w:tcBorders>
              <w:top w:val="nil"/>
              <w:left w:val="nil"/>
              <w:bottom w:val="single" w:sz="4" w:space="0" w:color="auto"/>
              <w:right w:val="single" w:sz="4" w:space="0" w:color="auto"/>
            </w:tcBorders>
            <w:shd w:val="clear" w:color="auto" w:fill="auto"/>
            <w:vAlign w:val="center"/>
            <w:hideMark/>
          </w:tcPr>
          <w:p w:rsidR="00156560" w:rsidRPr="00156560" w:rsidP="00156560" w14:paraId="329598CE" w14:textId="77777777">
            <w:pPr>
              <w:widowControl/>
              <w:jc w:val="right"/>
              <w:rPr>
                <w:rFonts w:ascii="Times New Roman" w:hAnsi="Times New Roman"/>
                <w:snapToGrid/>
                <w:color w:val="000000"/>
                <w:sz w:val="18"/>
                <w:szCs w:val="18"/>
              </w:rPr>
            </w:pPr>
            <w:r w:rsidRPr="00156560">
              <w:rPr>
                <w:rFonts w:ascii="Times New Roman" w:hAnsi="Times New Roman"/>
                <w:snapToGrid/>
                <w:color w:val="000000"/>
                <w:sz w:val="18"/>
                <w:szCs w:val="18"/>
              </w:rPr>
              <w:t>30.5</w:t>
            </w:r>
          </w:p>
        </w:tc>
        <w:tc>
          <w:tcPr>
            <w:tcW w:w="880" w:type="dxa"/>
            <w:tcBorders>
              <w:top w:val="nil"/>
              <w:left w:val="nil"/>
              <w:bottom w:val="single" w:sz="4" w:space="0" w:color="auto"/>
              <w:right w:val="single" w:sz="4" w:space="0" w:color="auto"/>
            </w:tcBorders>
            <w:shd w:val="clear" w:color="auto" w:fill="auto"/>
            <w:vAlign w:val="center"/>
            <w:hideMark/>
          </w:tcPr>
          <w:p w:rsidR="00156560" w:rsidRPr="00156560" w:rsidP="00156560" w14:paraId="3013F566" w14:textId="77777777">
            <w:pPr>
              <w:widowControl/>
              <w:jc w:val="right"/>
              <w:rPr>
                <w:rFonts w:ascii="Times New Roman" w:hAnsi="Times New Roman"/>
                <w:snapToGrid/>
                <w:color w:val="000000"/>
                <w:sz w:val="18"/>
                <w:szCs w:val="18"/>
              </w:rPr>
            </w:pPr>
            <w:r w:rsidRPr="00156560">
              <w:rPr>
                <w:rFonts w:ascii="Times New Roman" w:hAnsi="Times New Roman"/>
                <w:snapToGrid/>
                <w:color w:val="000000"/>
                <w:sz w:val="18"/>
                <w:szCs w:val="18"/>
              </w:rPr>
              <w:t>1,037</w:t>
            </w:r>
          </w:p>
        </w:tc>
      </w:tr>
      <w:tr w14:paraId="3DDFE55D" w14:textId="77777777" w:rsidTr="009350E1">
        <w:tblPrEx>
          <w:tblW w:w="9530" w:type="dxa"/>
          <w:tblLook w:val="04A0"/>
        </w:tblPrEx>
        <w:trPr>
          <w:trHeight w:val="288"/>
        </w:trPr>
        <w:tc>
          <w:tcPr>
            <w:tcW w:w="2621" w:type="dxa"/>
            <w:tcBorders>
              <w:top w:val="nil"/>
              <w:left w:val="single" w:sz="4" w:space="0" w:color="auto"/>
              <w:bottom w:val="single" w:sz="4" w:space="0" w:color="auto"/>
              <w:right w:val="single" w:sz="4" w:space="0" w:color="auto"/>
            </w:tcBorders>
            <w:shd w:val="clear" w:color="auto" w:fill="auto"/>
            <w:vAlign w:val="center"/>
          </w:tcPr>
          <w:p w:rsidR="00B85A59" w:rsidRPr="001212D0" w:rsidP="00745787" w14:paraId="6BBABCEB" w14:textId="18F87EF1">
            <w:pPr>
              <w:widowControl/>
              <w:rPr>
                <w:rFonts w:ascii="Times New Roman" w:eastAsia="Source Sans Pro" w:hAnsi="Times New Roman"/>
                <w:snapToGrid/>
                <w:color w:val="000000"/>
                <w:sz w:val="18"/>
                <w:szCs w:val="18"/>
                <w:lang w:bidi="en-US"/>
              </w:rPr>
            </w:pPr>
            <w:r w:rsidRPr="00482FAA">
              <w:rPr>
                <w:rFonts w:ascii="Times New Roman" w:eastAsia="Source Sans Pro" w:hAnsi="Times New Roman"/>
                <w:snapToGrid/>
                <w:color w:val="000000"/>
                <w:sz w:val="18"/>
                <w:szCs w:val="18"/>
                <w:lang w:bidi="en-US"/>
              </w:rPr>
              <w:t>Notice of Change in Control Public Notice Requirement,</w:t>
            </w:r>
            <w:r w:rsidRPr="00482FAA">
              <w:rPr>
                <w:rFonts w:ascii="Times New Roman" w:eastAsia="Source Sans Pro" w:hAnsi="Times New Roman"/>
                <w:snapToGrid/>
                <w:color w:val="000000"/>
                <w:sz w:val="18"/>
                <w:szCs w:val="18"/>
                <w:lang w:bidi="en-US"/>
              </w:rPr>
              <w:br/>
              <w:t>12 CFR 303.87</w:t>
            </w:r>
          </w:p>
        </w:tc>
        <w:tc>
          <w:tcPr>
            <w:tcW w:w="1477" w:type="dxa"/>
            <w:tcBorders>
              <w:top w:val="nil"/>
              <w:left w:val="nil"/>
              <w:bottom w:val="single" w:sz="4" w:space="0" w:color="auto"/>
              <w:right w:val="single" w:sz="4" w:space="0" w:color="auto"/>
            </w:tcBorders>
            <w:shd w:val="clear" w:color="auto" w:fill="auto"/>
            <w:noWrap/>
            <w:vAlign w:val="center"/>
          </w:tcPr>
          <w:p w:rsidR="00B85A59" w:rsidRPr="00CF34FA" w:rsidP="00AA7C8E" w14:paraId="75EE7F00" w14:textId="62E08518">
            <w:pPr>
              <w:widowControl/>
              <w:jc w:val="center"/>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Disclosure (Mandatory)</w:t>
            </w:r>
          </w:p>
        </w:tc>
        <w:tc>
          <w:tcPr>
            <w:tcW w:w="1027" w:type="dxa"/>
            <w:tcBorders>
              <w:top w:val="single" w:sz="4" w:space="0" w:color="auto"/>
              <w:left w:val="nil"/>
              <w:bottom w:val="single" w:sz="4" w:space="0" w:color="auto"/>
              <w:right w:val="single" w:sz="4" w:space="0" w:color="auto"/>
            </w:tcBorders>
            <w:vAlign w:val="center"/>
          </w:tcPr>
          <w:p w:rsidR="00B85A59" w:rsidRPr="00CF34FA" w:rsidP="00FC035F" w14:paraId="598B181D" w14:textId="2F52863F">
            <w:pPr>
              <w:widowControl/>
              <w:jc w:val="center"/>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On Occasion</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5A59" w:rsidP="00745787" w14:paraId="4828E6C7" w14:textId="500248B9">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34</w:t>
            </w:r>
          </w:p>
        </w:tc>
        <w:tc>
          <w:tcPr>
            <w:tcW w:w="1230" w:type="dxa"/>
            <w:tcBorders>
              <w:top w:val="nil"/>
              <w:left w:val="nil"/>
              <w:bottom w:val="single" w:sz="4" w:space="0" w:color="auto"/>
              <w:right w:val="single" w:sz="4" w:space="0" w:color="auto"/>
            </w:tcBorders>
            <w:shd w:val="clear" w:color="auto" w:fill="auto"/>
            <w:noWrap/>
            <w:vAlign w:val="center"/>
          </w:tcPr>
          <w:p w:rsidR="00B85A59" w:rsidP="00AA7C8E" w14:paraId="642A3CC1" w14:textId="02ACD07B">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B85A59" w:rsidP="00AA7C8E" w14:paraId="4369977F" w14:textId="0CFFB462">
            <w:pPr>
              <w:widowControl/>
              <w:jc w:val="center"/>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1</w:t>
            </w:r>
          </w:p>
        </w:tc>
        <w:tc>
          <w:tcPr>
            <w:tcW w:w="880" w:type="dxa"/>
            <w:tcBorders>
              <w:top w:val="nil"/>
              <w:left w:val="nil"/>
              <w:bottom w:val="single" w:sz="4" w:space="0" w:color="auto"/>
              <w:right w:val="single" w:sz="4" w:space="0" w:color="auto"/>
            </w:tcBorders>
            <w:shd w:val="clear" w:color="auto" w:fill="auto"/>
            <w:noWrap/>
            <w:vAlign w:val="center"/>
          </w:tcPr>
          <w:p w:rsidR="00B85A59" w:rsidP="00156560" w14:paraId="44E5C5BE" w14:textId="413DEB66">
            <w:pPr>
              <w:widowControl/>
              <w:jc w:val="right"/>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34</w:t>
            </w:r>
          </w:p>
        </w:tc>
      </w:tr>
      <w:tr w14:paraId="48401E70" w14:textId="77777777" w:rsidTr="009350E1">
        <w:tblPrEx>
          <w:tblW w:w="9530" w:type="dxa"/>
          <w:tblLook w:val="04A0"/>
        </w:tblPrEx>
        <w:trPr>
          <w:trHeight w:val="288"/>
        </w:trPr>
        <w:tc>
          <w:tcPr>
            <w:tcW w:w="8650" w:type="dxa"/>
            <w:gridSpan w:val="6"/>
            <w:tcBorders>
              <w:top w:val="single" w:sz="4" w:space="0" w:color="auto"/>
              <w:left w:val="single" w:sz="4" w:space="0" w:color="auto"/>
              <w:bottom w:val="single" w:sz="4" w:space="0" w:color="auto"/>
            </w:tcBorders>
            <w:shd w:val="clear" w:color="auto" w:fill="auto"/>
            <w:vAlign w:val="center"/>
          </w:tcPr>
          <w:p w:rsidR="00FC035F" w:rsidRPr="00CF34FA" w:rsidP="00FC035F" w14:paraId="776FF778" w14:textId="77777777">
            <w:pPr>
              <w:widowControl/>
              <w:jc w:val="right"/>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Total Annual Burden Hours:</w:t>
            </w:r>
          </w:p>
        </w:tc>
        <w:tc>
          <w:tcPr>
            <w:tcW w:w="880" w:type="dxa"/>
            <w:tcBorders>
              <w:top w:val="nil"/>
              <w:left w:val="nil"/>
              <w:bottom w:val="single" w:sz="4" w:space="0" w:color="auto"/>
              <w:right w:val="single" w:sz="4" w:space="0" w:color="auto"/>
            </w:tcBorders>
            <w:shd w:val="clear" w:color="auto" w:fill="auto"/>
            <w:noWrap/>
            <w:vAlign w:val="center"/>
          </w:tcPr>
          <w:p w:rsidR="00FC035F" w:rsidRPr="00CF34FA" w:rsidP="00265850" w14:paraId="1D75B8D2" w14:textId="7A99CEC6">
            <w:pPr>
              <w:widowControl/>
              <w:jc w:val="right"/>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1,071</w:t>
            </w:r>
          </w:p>
        </w:tc>
      </w:tr>
      <w:tr w14:paraId="500676D7" w14:textId="77777777" w:rsidTr="009350E1">
        <w:tblPrEx>
          <w:tblW w:w="9530" w:type="dxa"/>
          <w:tblLook w:val="04A0"/>
        </w:tblPrEx>
        <w:trPr>
          <w:trHeight w:val="288"/>
        </w:trPr>
        <w:tc>
          <w:tcPr>
            <w:tcW w:w="9530" w:type="dxa"/>
            <w:gridSpan w:val="7"/>
            <w:tcBorders>
              <w:top w:val="nil"/>
              <w:left w:val="single" w:sz="4" w:space="0" w:color="auto"/>
              <w:bottom w:val="single" w:sz="4" w:space="0" w:color="auto"/>
              <w:right w:val="single" w:sz="4" w:space="0" w:color="auto"/>
            </w:tcBorders>
            <w:shd w:val="clear" w:color="auto" w:fill="auto"/>
            <w:vAlign w:val="center"/>
          </w:tcPr>
          <w:p w:rsidR="00FC035F" w:rsidRPr="00CF34FA" w:rsidP="00FC035F" w14:paraId="5EDC99D5" w14:textId="77777777">
            <w:pPr>
              <w:widowControl/>
              <w:rPr>
                <w:rFonts w:ascii="Times New Roman" w:eastAsia="Source Sans Pro" w:hAnsi="Times New Roman"/>
                <w:snapToGrid/>
                <w:color w:val="000000"/>
                <w:sz w:val="20"/>
                <w:lang w:bidi="en-US"/>
              </w:rPr>
            </w:pPr>
            <w:r w:rsidRPr="00CF34FA">
              <w:rPr>
                <w:rFonts w:ascii="Times New Roman" w:hAnsi="Times New Roman"/>
                <w:snapToGrid/>
                <w:color w:val="000000"/>
                <w:sz w:val="18"/>
                <w:szCs w:val="18"/>
              </w:rPr>
              <w:t>Source: FDIC.</w:t>
            </w:r>
          </w:p>
        </w:tc>
      </w:tr>
    </w:tbl>
    <w:p w:rsidR="00E9015C" w:rsidP="00E47A40" w14:paraId="2309F69D" w14:textId="10DD56D5">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00AA7C8E" w:rsidRPr="00377132" w:rsidP="00AA7C8E" w14:paraId="69B8F3C1" w14:textId="0E739BB2">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sidR="00A83007">
        <w:rPr>
          <w:rFonts w:ascii="Times New Roman" w:hAnsi="Times New Roman"/>
        </w:rPr>
        <w:t>1,071</w:t>
      </w:r>
      <w:r w:rsidRPr="00377132">
        <w:rPr>
          <w:rFonts w:ascii="Times New Roman" w:hAnsi="Times New Roman"/>
        </w:rPr>
        <w:t>hours</w:t>
      </w:r>
    </w:p>
    <w:p w:rsidR="00AA7C8E" w:rsidRPr="00377132" w:rsidP="00AA7C8E" w14:paraId="776C29A6" w14:textId="72543436">
      <w:pPr>
        <w:tabs>
          <w:tab w:val="left" w:pos="-1440"/>
        </w:tabs>
        <w:spacing w:line="360" w:lineRule="auto"/>
        <w:ind w:left="1440"/>
        <w:contextualSpacing/>
        <w:rPr>
          <w:rFonts w:ascii="Times New Roman" w:hAnsi="Times New Roman"/>
        </w:rPr>
      </w:pPr>
      <w:r w:rsidRPr="00377132">
        <w:rPr>
          <w:rFonts w:ascii="Times New Roman" w:hAnsi="Times New Roman"/>
        </w:rPr>
        <w:t xml:space="preserve">The </w:t>
      </w:r>
      <w:r w:rsidR="00745787">
        <w:rPr>
          <w:rFonts w:ascii="Times New Roman" w:hAnsi="Times New Roman"/>
        </w:rPr>
        <w:t>total estimated annual cost</w:t>
      </w:r>
      <w:r w:rsidRPr="00377132">
        <w:rPr>
          <w:rFonts w:ascii="Times New Roman" w:hAnsi="Times New Roman"/>
        </w:rPr>
        <w:t xml:space="preserve"> is:</w:t>
      </w:r>
    </w:p>
    <w:p w:rsidR="00AA7C8E" w:rsidP="00AA7C8E" w14:paraId="0B86ACC9" w14:textId="04F913D8">
      <w:pPr>
        <w:tabs>
          <w:tab w:val="left" w:pos="-1440"/>
        </w:tabs>
        <w:spacing w:line="360" w:lineRule="auto"/>
        <w:ind w:left="1440"/>
        <w:contextualSpacing/>
        <w:rPr>
          <w:rFonts w:ascii="Times New Roman" w:hAnsi="Times New Roman"/>
        </w:rPr>
      </w:pPr>
      <w:r>
        <w:rPr>
          <w:rFonts w:ascii="Times New Roman" w:hAnsi="Times New Roman"/>
        </w:rPr>
        <w:t>1,071</w:t>
      </w:r>
      <w:r w:rsidRPr="00377132">
        <w:rPr>
          <w:rFonts w:ascii="Times New Roman" w:hAnsi="Times New Roman"/>
        </w:rPr>
        <w:t xml:space="preserve"> hours x $</w:t>
      </w:r>
      <w:r w:rsidR="00745787">
        <w:rPr>
          <w:rFonts w:ascii="Times New Roman" w:hAnsi="Times New Roman"/>
        </w:rPr>
        <w:t>119.97</w:t>
      </w:r>
      <w:r w:rsidRPr="00377132">
        <w:rPr>
          <w:rFonts w:ascii="Times New Roman" w:hAnsi="Times New Roman"/>
        </w:rPr>
        <w:t xml:space="preserve"> = $</w:t>
      </w:r>
      <w:r>
        <w:rPr>
          <w:rFonts w:ascii="Times New Roman" w:hAnsi="Times New Roman"/>
        </w:rPr>
        <w:t>128,488</w:t>
      </w:r>
      <w:bookmarkStart w:id="0" w:name="_GoBack"/>
      <w:bookmarkEnd w:id="0"/>
    </w:p>
    <w:p w:rsidR="00AA7C8E" w:rsidP="00AA7C8E" w14:paraId="385A6B69" w14:textId="4552BD5F">
      <w:pPr>
        <w:tabs>
          <w:tab w:val="left" w:pos="-1440"/>
        </w:tabs>
        <w:spacing w:line="360" w:lineRule="auto"/>
        <w:ind w:left="1440"/>
        <w:contextualSpacing/>
        <w:rPr>
          <w:rFonts w:ascii="Times New Roman" w:hAnsi="Times New Roman"/>
        </w:rPr>
      </w:pPr>
    </w:p>
    <w:tbl>
      <w:tblPr>
        <w:tblStyle w:val="TableGrid"/>
        <w:tblW w:w="0" w:type="auto"/>
        <w:tblLook w:val="04A0"/>
      </w:tblPr>
      <w:tblGrid>
        <w:gridCol w:w="2875"/>
        <w:gridCol w:w="2160"/>
        <w:gridCol w:w="2160"/>
        <w:gridCol w:w="2155"/>
      </w:tblGrid>
      <w:tr w14:paraId="7F269D37" w14:textId="77777777" w:rsidTr="00B17CC4">
        <w:tblPrEx>
          <w:tblW w:w="0" w:type="auto"/>
          <w:tblLook w:val="04A0"/>
        </w:tblPrEx>
        <w:tc>
          <w:tcPr>
            <w:tcW w:w="2875" w:type="dxa"/>
            <w:vAlign w:val="center"/>
          </w:tcPr>
          <w:p w:rsidR="00745787" w:rsidRPr="00745787" w:rsidP="00745787" w14:paraId="2502929F" w14:textId="77777777">
            <w:pPr>
              <w:widowControl/>
              <w:rPr>
                <w:rFonts w:ascii="Source Sans Pro" w:hAnsi="Source Sans Pro"/>
                <w:sz w:val="20"/>
              </w:rPr>
            </w:pPr>
            <w:r w:rsidRPr="00745787">
              <w:rPr>
                <w:rFonts w:ascii="Source Sans Pro" w:hAnsi="Source Sans Pro"/>
                <w:sz w:val="20"/>
              </w:rPr>
              <w:t>Estimated Category of Personnel Responsible for Complying with the PRA Burden</w:t>
            </w:r>
          </w:p>
        </w:tc>
        <w:tc>
          <w:tcPr>
            <w:tcW w:w="2160" w:type="dxa"/>
            <w:vAlign w:val="center"/>
          </w:tcPr>
          <w:p w:rsidR="00745787" w:rsidRPr="00745787" w:rsidP="00745787" w14:paraId="6EBF9E6C" w14:textId="77777777">
            <w:pPr>
              <w:widowControl/>
              <w:rPr>
                <w:rFonts w:ascii="Source Sans Pro" w:hAnsi="Source Sans Pro"/>
                <w:sz w:val="20"/>
              </w:rPr>
            </w:pPr>
            <w:r w:rsidRPr="00745787">
              <w:rPr>
                <w:rFonts w:ascii="Source Sans Pro" w:hAnsi="Source Sans Pro"/>
                <w:sz w:val="20"/>
              </w:rPr>
              <w:t>Total Estimated Hourly Compensation</w:t>
            </w:r>
          </w:p>
        </w:tc>
        <w:tc>
          <w:tcPr>
            <w:tcW w:w="2160" w:type="dxa"/>
            <w:vAlign w:val="center"/>
          </w:tcPr>
          <w:p w:rsidR="00745787" w:rsidRPr="00745787" w:rsidP="00745787" w14:paraId="482D8C12" w14:textId="77777777">
            <w:pPr>
              <w:widowControl/>
              <w:rPr>
                <w:rFonts w:ascii="Source Sans Pro" w:hAnsi="Source Sans Pro"/>
                <w:sz w:val="20"/>
              </w:rPr>
            </w:pPr>
            <w:r w:rsidRPr="00745787">
              <w:rPr>
                <w:rFonts w:ascii="Source Sans Pro" w:hAnsi="Source Sans Pro"/>
                <w:sz w:val="20"/>
              </w:rPr>
              <w:t>Estimated Weights</w:t>
            </w:r>
          </w:p>
        </w:tc>
        <w:tc>
          <w:tcPr>
            <w:tcW w:w="2155" w:type="dxa"/>
            <w:vAlign w:val="center"/>
          </w:tcPr>
          <w:p w:rsidR="00745787" w:rsidRPr="00745787" w:rsidP="00745787" w14:paraId="16636BAE" w14:textId="77777777">
            <w:pPr>
              <w:widowControl/>
              <w:rPr>
                <w:rFonts w:ascii="Source Sans Pro" w:hAnsi="Source Sans Pro"/>
                <w:sz w:val="20"/>
              </w:rPr>
            </w:pPr>
            <w:r w:rsidRPr="00745787">
              <w:rPr>
                <w:rFonts w:ascii="Source Sans Pro" w:hAnsi="Source Sans Pro"/>
                <w:sz w:val="20"/>
              </w:rPr>
              <w:t>Weighted Hourly Compensation</w:t>
            </w:r>
          </w:p>
        </w:tc>
      </w:tr>
      <w:tr w14:paraId="519960B7" w14:textId="77777777" w:rsidTr="00B17CC4">
        <w:tblPrEx>
          <w:tblW w:w="0" w:type="auto"/>
          <w:tblLook w:val="04A0"/>
        </w:tblPrEx>
        <w:tc>
          <w:tcPr>
            <w:tcW w:w="2875" w:type="dxa"/>
            <w:vAlign w:val="center"/>
          </w:tcPr>
          <w:p w:rsidR="00745787" w:rsidRPr="00745787" w:rsidP="00745787" w14:paraId="076A513A" w14:textId="77777777">
            <w:pPr>
              <w:widowControl/>
              <w:rPr>
                <w:rFonts w:ascii="Source Sans Pro" w:hAnsi="Source Sans Pro"/>
                <w:sz w:val="20"/>
              </w:rPr>
            </w:pPr>
            <w:r w:rsidRPr="00745787">
              <w:rPr>
                <w:rFonts w:ascii="Source Sans Pro" w:hAnsi="Source Sans Pro"/>
                <w:sz w:val="20"/>
              </w:rPr>
              <w:t>Executives and Managers</w:t>
            </w:r>
            <w:r>
              <w:rPr>
                <w:rFonts w:ascii="Source Sans Pro" w:hAnsi="Source Sans Pro"/>
                <w:sz w:val="20"/>
                <w:vertAlign w:val="superscript"/>
              </w:rPr>
              <w:footnoteReference w:id="2"/>
            </w:r>
          </w:p>
        </w:tc>
        <w:tc>
          <w:tcPr>
            <w:tcW w:w="2160" w:type="dxa"/>
            <w:vAlign w:val="center"/>
          </w:tcPr>
          <w:p w:rsidR="00745787" w:rsidRPr="00745787" w:rsidP="00745787" w14:paraId="14BAD67F" w14:textId="77777777">
            <w:pPr>
              <w:widowControl/>
              <w:rPr>
                <w:rFonts w:ascii="Source Sans Pro" w:hAnsi="Source Sans Pro"/>
                <w:sz w:val="20"/>
              </w:rPr>
            </w:pPr>
            <w:r w:rsidRPr="00745787">
              <w:rPr>
                <w:rFonts w:ascii="Source Sans Pro" w:hAnsi="Source Sans Pro"/>
                <w:sz w:val="20"/>
              </w:rPr>
              <w:t>$123.30</w:t>
            </w:r>
          </w:p>
        </w:tc>
        <w:tc>
          <w:tcPr>
            <w:tcW w:w="2160" w:type="dxa"/>
            <w:vAlign w:val="center"/>
          </w:tcPr>
          <w:p w:rsidR="00745787" w:rsidRPr="00745787" w:rsidP="00745787" w14:paraId="5EC370FF" w14:textId="77777777">
            <w:pPr>
              <w:widowControl/>
              <w:rPr>
                <w:rFonts w:ascii="Source Sans Pro" w:hAnsi="Source Sans Pro"/>
                <w:sz w:val="20"/>
              </w:rPr>
            </w:pPr>
            <w:r w:rsidRPr="00745787">
              <w:rPr>
                <w:rFonts w:ascii="Source Sans Pro" w:hAnsi="Source Sans Pro"/>
                <w:sz w:val="20"/>
              </w:rPr>
              <w:t>40%</w:t>
            </w:r>
          </w:p>
        </w:tc>
        <w:tc>
          <w:tcPr>
            <w:tcW w:w="2155" w:type="dxa"/>
            <w:vAlign w:val="center"/>
          </w:tcPr>
          <w:p w:rsidR="00745787" w:rsidRPr="00745787" w:rsidP="00745787" w14:paraId="0AD2BC95" w14:textId="77777777">
            <w:pPr>
              <w:widowControl/>
              <w:rPr>
                <w:rFonts w:ascii="Source Sans Pro" w:hAnsi="Source Sans Pro"/>
                <w:sz w:val="20"/>
              </w:rPr>
            </w:pPr>
            <w:r w:rsidRPr="00745787">
              <w:rPr>
                <w:rFonts w:ascii="Source Sans Pro" w:hAnsi="Source Sans Pro"/>
                <w:sz w:val="20"/>
              </w:rPr>
              <w:t>$49.32</w:t>
            </w:r>
          </w:p>
        </w:tc>
      </w:tr>
      <w:tr w14:paraId="2DF5EC21" w14:textId="77777777" w:rsidTr="00B17CC4">
        <w:tblPrEx>
          <w:tblW w:w="0" w:type="auto"/>
          <w:tblLook w:val="04A0"/>
        </w:tblPrEx>
        <w:tc>
          <w:tcPr>
            <w:tcW w:w="2875" w:type="dxa"/>
            <w:vAlign w:val="center"/>
          </w:tcPr>
          <w:p w:rsidR="00745787" w:rsidRPr="00745787" w:rsidP="00745787" w14:paraId="04203C5A" w14:textId="77777777">
            <w:pPr>
              <w:widowControl/>
              <w:rPr>
                <w:rFonts w:ascii="Source Sans Pro" w:hAnsi="Source Sans Pro"/>
                <w:sz w:val="20"/>
              </w:rPr>
            </w:pPr>
            <w:r w:rsidRPr="00745787">
              <w:rPr>
                <w:rFonts w:ascii="Source Sans Pro" w:hAnsi="Source Sans Pro"/>
                <w:sz w:val="20"/>
              </w:rPr>
              <w:t>Lawyers</w:t>
            </w:r>
            <w:r>
              <w:rPr>
                <w:rFonts w:ascii="Source Sans Pro" w:hAnsi="Source Sans Pro"/>
                <w:sz w:val="20"/>
                <w:vertAlign w:val="superscript"/>
              </w:rPr>
              <w:footnoteReference w:id="3"/>
            </w:r>
          </w:p>
        </w:tc>
        <w:tc>
          <w:tcPr>
            <w:tcW w:w="2160" w:type="dxa"/>
            <w:vAlign w:val="center"/>
          </w:tcPr>
          <w:p w:rsidR="00745787" w:rsidRPr="00745787" w:rsidP="00745787" w14:paraId="63B80370" w14:textId="77777777">
            <w:pPr>
              <w:widowControl/>
              <w:rPr>
                <w:rFonts w:ascii="Source Sans Pro" w:hAnsi="Source Sans Pro"/>
                <w:sz w:val="20"/>
              </w:rPr>
            </w:pPr>
            <w:r w:rsidRPr="00745787">
              <w:rPr>
                <w:rFonts w:ascii="Source Sans Pro" w:hAnsi="Source Sans Pro"/>
                <w:sz w:val="20"/>
              </w:rPr>
              <w:t>$151.44</w:t>
            </w:r>
          </w:p>
        </w:tc>
        <w:tc>
          <w:tcPr>
            <w:tcW w:w="2160" w:type="dxa"/>
            <w:vAlign w:val="center"/>
          </w:tcPr>
          <w:p w:rsidR="00745787" w:rsidRPr="00745787" w:rsidP="00745787" w14:paraId="2568C91D" w14:textId="77777777">
            <w:pPr>
              <w:widowControl/>
              <w:rPr>
                <w:rFonts w:ascii="Source Sans Pro" w:hAnsi="Source Sans Pro"/>
                <w:sz w:val="20"/>
              </w:rPr>
            </w:pPr>
            <w:r w:rsidRPr="00745787">
              <w:rPr>
                <w:rFonts w:ascii="Source Sans Pro" w:hAnsi="Source Sans Pro"/>
                <w:sz w:val="20"/>
              </w:rPr>
              <w:t>40%</w:t>
            </w:r>
          </w:p>
        </w:tc>
        <w:tc>
          <w:tcPr>
            <w:tcW w:w="2155" w:type="dxa"/>
            <w:vAlign w:val="center"/>
          </w:tcPr>
          <w:p w:rsidR="00745787" w:rsidRPr="00745787" w:rsidP="00745787" w14:paraId="3FF826D1" w14:textId="77777777">
            <w:pPr>
              <w:widowControl/>
              <w:rPr>
                <w:rFonts w:ascii="Source Sans Pro" w:hAnsi="Source Sans Pro"/>
                <w:sz w:val="20"/>
              </w:rPr>
            </w:pPr>
            <w:r w:rsidRPr="00745787">
              <w:rPr>
                <w:rFonts w:ascii="Source Sans Pro" w:hAnsi="Source Sans Pro"/>
                <w:sz w:val="20"/>
              </w:rPr>
              <w:t>$60.58</w:t>
            </w:r>
          </w:p>
        </w:tc>
      </w:tr>
      <w:tr w14:paraId="1C048E7D" w14:textId="77777777" w:rsidTr="00B17CC4">
        <w:tblPrEx>
          <w:tblW w:w="0" w:type="auto"/>
          <w:tblLook w:val="04A0"/>
        </w:tblPrEx>
        <w:tc>
          <w:tcPr>
            <w:tcW w:w="2875" w:type="dxa"/>
            <w:vAlign w:val="center"/>
          </w:tcPr>
          <w:p w:rsidR="00745787" w:rsidRPr="00745787" w:rsidP="00745787" w14:paraId="4E707D69" w14:textId="77777777">
            <w:pPr>
              <w:widowControl/>
              <w:rPr>
                <w:rFonts w:ascii="Source Sans Pro" w:hAnsi="Source Sans Pro"/>
                <w:sz w:val="20"/>
              </w:rPr>
            </w:pPr>
            <w:r w:rsidRPr="00745787">
              <w:rPr>
                <w:rFonts w:ascii="Source Sans Pro" w:hAnsi="Source Sans Pro"/>
                <w:sz w:val="20"/>
              </w:rPr>
              <w:t>Compliance Officers</w:t>
            </w:r>
            <w:r>
              <w:rPr>
                <w:rFonts w:ascii="Source Sans Pro" w:hAnsi="Source Sans Pro"/>
                <w:sz w:val="20"/>
                <w:vertAlign w:val="superscript"/>
              </w:rPr>
              <w:footnoteReference w:id="4"/>
            </w:r>
          </w:p>
        </w:tc>
        <w:tc>
          <w:tcPr>
            <w:tcW w:w="2160" w:type="dxa"/>
            <w:vAlign w:val="center"/>
          </w:tcPr>
          <w:p w:rsidR="00745787" w:rsidRPr="00745787" w:rsidP="00745787" w14:paraId="4C8813AA" w14:textId="77777777">
            <w:pPr>
              <w:widowControl/>
              <w:rPr>
                <w:rFonts w:ascii="Source Sans Pro" w:hAnsi="Source Sans Pro"/>
                <w:sz w:val="20"/>
              </w:rPr>
            </w:pPr>
            <w:r w:rsidRPr="00745787">
              <w:rPr>
                <w:rFonts w:ascii="Source Sans Pro" w:hAnsi="Source Sans Pro"/>
                <w:sz w:val="20"/>
              </w:rPr>
              <w:t>$67.35</w:t>
            </w:r>
          </w:p>
        </w:tc>
        <w:tc>
          <w:tcPr>
            <w:tcW w:w="2160" w:type="dxa"/>
            <w:vAlign w:val="center"/>
          </w:tcPr>
          <w:p w:rsidR="00745787" w:rsidRPr="00745787" w:rsidP="00745787" w14:paraId="1B673787" w14:textId="77777777">
            <w:pPr>
              <w:widowControl/>
              <w:rPr>
                <w:rFonts w:ascii="Source Sans Pro" w:hAnsi="Source Sans Pro"/>
                <w:sz w:val="20"/>
              </w:rPr>
            </w:pPr>
            <w:r w:rsidRPr="00745787">
              <w:rPr>
                <w:rFonts w:ascii="Source Sans Pro" w:hAnsi="Source Sans Pro"/>
                <w:sz w:val="20"/>
              </w:rPr>
              <w:t>10%</w:t>
            </w:r>
          </w:p>
        </w:tc>
        <w:tc>
          <w:tcPr>
            <w:tcW w:w="2155" w:type="dxa"/>
            <w:vAlign w:val="center"/>
          </w:tcPr>
          <w:p w:rsidR="00745787" w:rsidRPr="00745787" w:rsidP="00745787" w14:paraId="61C9F68E" w14:textId="77777777">
            <w:pPr>
              <w:widowControl/>
              <w:rPr>
                <w:rFonts w:ascii="Source Sans Pro" w:hAnsi="Source Sans Pro"/>
                <w:sz w:val="20"/>
              </w:rPr>
            </w:pPr>
            <w:r w:rsidRPr="00745787">
              <w:rPr>
                <w:rFonts w:ascii="Source Sans Pro" w:hAnsi="Source Sans Pro"/>
                <w:sz w:val="20"/>
              </w:rPr>
              <w:t>$6.73</w:t>
            </w:r>
          </w:p>
        </w:tc>
      </w:tr>
      <w:tr w14:paraId="190A34C4" w14:textId="77777777" w:rsidTr="00B17CC4">
        <w:tblPrEx>
          <w:tblW w:w="0" w:type="auto"/>
          <w:tblLook w:val="04A0"/>
        </w:tblPrEx>
        <w:tc>
          <w:tcPr>
            <w:tcW w:w="2875" w:type="dxa"/>
            <w:vAlign w:val="center"/>
          </w:tcPr>
          <w:p w:rsidR="00745787" w:rsidRPr="00745787" w:rsidP="00745787" w14:paraId="75DB1046" w14:textId="77777777">
            <w:pPr>
              <w:widowControl/>
              <w:rPr>
                <w:rFonts w:ascii="Source Sans Pro" w:hAnsi="Source Sans Pro"/>
                <w:sz w:val="20"/>
              </w:rPr>
            </w:pPr>
            <w:r w:rsidRPr="00745787">
              <w:rPr>
                <w:rFonts w:ascii="Source Sans Pro" w:hAnsi="Source Sans Pro"/>
                <w:sz w:val="20"/>
              </w:rPr>
              <w:t>Clerical</w:t>
            </w:r>
            <w:r>
              <w:rPr>
                <w:rFonts w:ascii="Source Sans Pro" w:hAnsi="Source Sans Pro"/>
                <w:sz w:val="20"/>
                <w:vertAlign w:val="superscript"/>
              </w:rPr>
              <w:footnoteReference w:id="5"/>
            </w:r>
          </w:p>
        </w:tc>
        <w:tc>
          <w:tcPr>
            <w:tcW w:w="2160" w:type="dxa"/>
            <w:vAlign w:val="center"/>
          </w:tcPr>
          <w:p w:rsidR="00745787" w:rsidRPr="00745787" w:rsidP="00745787" w14:paraId="700C367A" w14:textId="77777777">
            <w:pPr>
              <w:widowControl/>
              <w:rPr>
                <w:rFonts w:ascii="Source Sans Pro" w:hAnsi="Source Sans Pro"/>
                <w:sz w:val="20"/>
              </w:rPr>
            </w:pPr>
            <w:r w:rsidRPr="00745787">
              <w:rPr>
                <w:rFonts w:ascii="Source Sans Pro" w:hAnsi="Source Sans Pro"/>
                <w:sz w:val="20"/>
              </w:rPr>
              <w:t>$33.44</w:t>
            </w:r>
          </w:p>
        </w:tc>
        <w:tc>
          <w:tcPr>
            <w:tcW w:w="2160" w:type="dxa"/>
            <w:vAlign w:val="center"/>
          </w:tcPr>
          <w:p w:rsidR="00745787" w:rsidRPr="00745787" w:rsidP="00745787" w14:paraId="1F92D9A3" w14:textId="77777777">
            <w:pPr>
              <w:widowControl/>
              <w:rPr>
                <w:rFonts w:ascii="Source Sans Pro" w:hAnsi="Source Sans Pro"/>
                <w:sz w:val="20"/>
              </w:rPr>
            </w:pPr>
            <w:r w:rsidRPr="00745787">
              <w:rPr>
                <w:rFonts w:ascii="Source Sans Pro" w:hAnsi="Source Sans Pro"/>
                <w:sz w:val="20"/>
              </w:rPr>
              <w:t>10%</w:t>
            </w:r>
          </w:p>
        </w:tc>
        <w:tc>
          <w:tcPr>
            <w:tcW w:w="2155" w:type="dxa"/>
            <w:vAlign w:val="center"/>
          </w:tcPr>
          <w:p w:rsidR="00745787" w:rsidRPr="00745787" w:rsidP="00745787" w14:paraId="5FB40AAB" w14:textId="77777777">
            <w:pPr>
              <w:widowControl/>
              <w:rPr>
                <w:rFonts w:ascii="Source Sans Pro" w:hAnsi="Source Sans Pro"/>
                <w:sz w:val="20"/>
              </w:rPr>
            </w:pPr>
            <w:r w:rsidRPr="00745787">
              <w:rPr>
                <w:rFonts w:ascii="Source Sans Pro" w:hAnsi="Source Sans Pro"/>
                <w:sz w:val="20"/>
              </w:rPr>
              <w:t>$3.34</w:t>
            </w:r>
          </w:p>
        </w:tc>
      </w:tr>
      <w:tr w14:paraId="0BAD01C8" w14:textId="77777777" w:rsidTr="00B17CC4">
        <w:tblPrEx>
          <w:tblW w:w="0" w:type="auto"/>
          <w:tblLook w:val="04A0"/>
        </w:tblPrEx>
        <w:tc>
          <w:tcPr>
            <w:tcW w:w="2875" w:type="dxa"/>
            <w:vAlign w:val="bottom"/>
          </w:tcPr>
          <w:p w:rsidR="00745787" w:rsidRPr="00745787" w:rsidP="00745787" w14:paraId="3796F33C" w14:textId="77777777">
            <w:pPr>
              <w:widowControl/>
              <w:rPr>
                <w:rFonts w:ascii="Source Sans Pro" w:hAnsi="Source Sans Pro"/>
                <w:sz w:val="20"/>
              </w:rPr>
            </w:pPr>
            <w:r w:rsidRPr="00745787">
              <w:rPr>
                <w:rFonts w:ascii="Source Sans Pro" w:hAnsi="Source Sans Pro"/>
                <w:b/>
                <w:bCs/>
                <w:sz w:val="20"/>
              </w:rPr>
              <w:t>Weighted Average</w:t>
            </w:r>
          </w:p>
        </w:tc>
        <w:tc>
          <w:tcPr>
            <w:tcW w:w="2160" w:type="dxa"/>
            <w:vAlign w:val="center"/>
          </w:tcPr>
          <w:p w:rsidR="00745787" w:rsidRPr="00745787" w:rsidP="00745787" w14:paraId="34FE08D5" w14:textId="77777777">
            <w:pPr>
              <w:widowControl/>
              <w:rPr>
                <w:rFonts w:ascii="Source Sans Pro" w:hAnsi="Source Sans Pro"/>
                <w:sz w:val="20"/>
              </w:rPr>
            </w:pPr>
          </w:p>
        </w:tc>
        <w:tc>
          <w:tcPr>
            <w:tcW w:w="2160" w:type="dxa"/>
            <w:vAlign w:val="center"/>
          </w:tcPr>
          <w:p w:rsidR="00745787" w:rsidRPr="00745787" w:rsidP="00745787" w14:paraId="10A5AA86" w14:textId="77777777">
            <w:pPr>
              <w:widowControl/>
              <w:rPr>
                <w:rFonts w:ascii="Source Sans Pro" w:hAnsi="Source Sans Pro"/>
                <w:sz w:val="20"/>
              </w:rPr>
            </w:pPr>
          </w:p>
        </w:tc>
        <w:tc>
          <w:tcPr>
            <w:tcW w:w="2155" w:type="dxa"/>
            <w:vAlign w:val="center"/>
          </w:tcPr>
          <w:p w:rsidR="00745787" w:rsidRPr="00745787" w:rsidP="00745787" w14:paraId="3E8B93AC" w14:textId="77777777">
            <w:pPr>
              <w:widowControl/>
              <w:rPr>
                <w:rFonts w:ascii="Source Sans Pro" w:hAnsi="Source Sans Pro"/>
                <w:sz w:val="20"/>
              </w:rPr>
            </w:pPr>
            <w:r w:rsidRPr="00745787">
              <w:rPr>
                <w:rFonts w:ascii="Source Sans Pro" w:hAnsi="Source Sans Pro"/>
                <w:sz w:val="20"/>
              </w:rPr>
              <w:t>$119.97</w:t>
            </w:r>
          </w:p>
        </w:tc>
      </w:tr>
    </w:tbl>
    <w:p w:rsidR="009E7132" w:rsidP="009E7132" w14:paraId="246A8FC9" w14:textId="4864E3AD">
      <w:pPr>
        <w:widowControl/>
        <w:rPr>
          <w:rFonts w:ascii="Source Sans Pro" w:hAnsi="Source Sans Pro"/>
          <w:snapToGrid/>
          <w:sz w:val="20"/>
        </w:rPr>
      </w:pPr>
      <w:r w:rsidRPr="00745787">
        <w:rPr>
          <w:rFonts w:ascii="Source Sans Pro" w:hAnsi="Source Sans Pro"/>
          <w:snapToGrid/>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p w:rsidR="00745787" w:rsidP="009E7132" w14:paraId="7F88E3E4" w14:textId="419B9E6F">
      <w:pPr>
        <w:widowControl/>
        <w:rPr>
          <w:rFonts w:ascii="Source Sans Pro" w:hAnsi="Source Sans Pro"/>
          <w:snapToGrid/>
          <w:sz w:val="20"/>
        </w:rPr>
      </w:pPr>
    </w:p>
    <w:p w:rsidR="00745787" w:rsidP="009E7132" w14:paraId="0A19F067" w14:textId="77777777">
      <w:pPr>
        <w:widowControl/>
        <w:rPr>
          <w:rFonts w:ascii="Source Sans Pro" w:hAnsi="Source Sans Pro"/>
          <w:snapToGrid/>
          <w:sz w:val="20"/>
        </w:rPr>
      </w:pPr>
    </w:p>
    <w:p w:rsidR="00994EDE" w:rsidRPr="00CF34FA"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00994EDE" w:rsidRPr="00CF34FA"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00994EDE" w:rsidRPr="00CF34FA"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745787" w14:paraId="378C417B" w14:textId="5A106579">
      <w:pPr>
        <w:widowControl/>
        <w:rPr>
          <w:rFonts w:ascii="Times New Roman" w:hAnsi="Times New Roman"/>
        </w:rPr>
      </w:pPr>
      <w:r>
        <w:rPr>
          <w:rFonts w:ascii="Times New Roman" w:hAnsi="Times New Roman"/>
        </w:rPr>
        <w:br w:type="page"/>
      </w:r>
    </w:p>
    <w:p w:rsidR="00994EDE" w:rsidRPr="00CF34FA" w14:paraId="4211B184"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00994EDE" w:rsidRPr="00CF34FA"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3043C2" w:rsidR="00586542">
        <w:rPr>
          <w:rFonts w:ascii="Times New Roman" w:hAnsi="Times New Roman"/>
          <w:u w:val="single"/>
        </w:rPr>
        <w:t>Analysis of change in b</w:t>
      </w:r>
      <w:r w:rsidRPr="003043C2">
        <w:rPr>
          <w:rFonts w:ascii="Times New Roman" w:hAnsi="Times New Roman"/>
          <w:u w:val="single"/>
        </w:rPr>
        <w:t>urden</w:t>
      </w:r>
      <w:r w:rsidRPr="003043C2" w:rsidR="00586542">
        <w:rPr>
          <w:rFonts w:ascii="Times New Roman" w:hAnsi="Times New Roman"/>
          <w:u w:val="single"/>
        </w:rPr>
        <w:t>:</w:t>
      </w:r>
    </w:p>
    <w:p w:rsidR="00994EDE" w:rsidRPr="00CF34FA"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F07A0C" w:rsidP="003043C2" w14:paraId="4D169C43" w14:textId="31474313">
      <w:pPr>
        <w:widowControl/>
        <w:tabs>
          <w:tab w:val="left" w:pos="288"/>
          <w:tab w:val="left" w:pos="1008"/>
          <w:tab w:val="left" w:pos="1440"/>
          <w:tab w:val="left" w:pos="1872"/>
          <w:tab w:val="left" w:pos="3168"/>
          <w:tab w:val="left" w:pos="3888"/>
          <w:tab w:val="left" w:pos="7344"/>
        </w:tabs>
        <w:ind w:left="1008"/>
        <w:rPr>
          <w:rFonts w:ascii="Times New Roman" w:hAnsi="Times New Roman"/>
          <w:iCs/>
          <w:lang w:bidi="en-US"/>
        </w:rPr>
      </w:pPr>
      <w:r w:rsidRPr="003043C2">
        <w:rPr>
          <w:rFonts w:ascii="Times New Roman" w:hAnsi="Times New Roman"/>
          <w:iCs/>
        </w:rPr>
        <w:t xml:space="preserve">There is no change in the method or substance of the collection.  </w:t>
      </w:r>
      <w:r w:rsidRPr="00A51FAC" w:rsidR="00A51FAC">
        <w:rPr>
          <w:rFonts w:ascii="Times New Roman" w:hAnsi="Times New Roman"/>
          <w:iCs/>
        </w:rPr>
        <w:t xml:space="preserve">The overall reduction in burden is the result </w:t>
      </w:r>
      <w:r>
        <w:rPr>
          <w:rFonts w:ascii="Times New Roman" w:hAnsi="Times New Roman"/>
          <w:iCs/>
          <w:lang w:bidi="en-US"/>
        </w:rPr>
        <w:t>of</w:t>
      </w:r>
      <w:r w:rsidRPr="003043C2">
        <w:rPr>
          <w:rFonts w:ascii="Times New Roman" w:hAnsi="Times New Roman"/>
          <w:iCs/>
          <w:lang w:bidi="en-US"/>
        </w:rPr>
        <w:t xml:space="preserve"> a </w:t>
      </w:r>
      <w:r w:rsidR="0071625B">
        <w:rPr>
          <w:rFonts w:ascii="Times New Roman" w:hAnsi="Times New Roman"/>
          <w:iCs/>
          <w:lang w:bidi="en-US"/>
        </w:rPr>
        <w:t xml:space="preserve">reduction in </w:t>
      </w:r>
      <w:r w:rsidR="00E34974">
        <w:rPr>
          <w:rFonts w:ascii="Times New Roman" w:hAnsi="Times New Roman"/>
          <w:iCs/>
          <w:lang w:bidi="en-US"/>
        </w:rPr>
        <w:t xml:space="preserve">the estimated number of </w:t>
      </w:r>
      <w:r w:rsidR="0071625B">
        <w:rPr>
          <w:rFonts w:ascii="Times New Roman" w:hAnsi="Times New Roman"/>
          <w:iCs/>
          <w:lang w:bidi="en-US"/>
        </w:rPr>
        <w:t xml:space="preserve">responses. </w:t>
      </w:r>
    </w:p>
    <w:p w:rsidR="003043C2" w:rsidRPr="00CF34FA" w:rsidP="003043C2" w14:paraId="50320C47"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00994EDE" w:rsidRPr="00CF34FA"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001C7588" w:rsidRPr="00CF34FA"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00994EDE" w:rsidRPr="00CF34FA"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00994EDE" w:rsidRPr="00CF34FA"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00994EDE" w:rsidRPr="00CF34FA" w14:paraId="26AFD99C" w14:textId="59494595">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745787">
        <w:rPr>
          <w:rFonts w:ascii="Times New Roman" w:hAnsi="Times New Roman"/>
          <w:szCs w:val="24"/>
        </w:rPr>
        <w:t>Not applicable.</w:t>
      </w:r>
    </w:p>
    <w:p w:rsidR="00994EDE" w:rsidRPr="00CF34FA"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00994EDE" w:rsidRPr="00CF34FA"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00994EDE" w:rsidRPr="00CF34FA"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00994EDE" w:rsidRPr="00CF34FA"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rsidRPr="00F133C1" w:rsidP="00F133C1" w14:paraId="4C54E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5EF441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70A9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1278" w14:paraId="2EEABF1E" w14:textId="77777777">
      <w:r>
        <w:separator/>
      </w:r>
    </w:p>
  </w:footnote>
  <w:footnote w:type="continuationSeparator" w:id="1">
    <w:p w:rsidR="00611278" w14:paraId="2635BD3C" w14:textId="77777777">
      <w:r>
        <w:continuationSeparator/>
      </w:r>
    </w:p>
  </w:footnote>
  <w:footnote w:id="2">
    <w:p w:rsidR="00745787" w:rsidRPr="002D7BD5" w:rsidP="00745787" w14:paraId="072A1666" w14:textId="7777777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Occupation (SOC Code): Management Occupations (110000).</w:t>
      </w:r>
    </w:p>
  </w:footnote>
  <w:footnote w:id="3">
    <w:p w:rsidR="00745787" w:rsidRPr="002D7BD5" w:rsidP="00745787" w14:paraId="74A9F821" w14:textId="7777777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w:t>
      </w:r>
      <w:r w:rsidRPr="002D7BD5">
        <w:rPr>
          <w:rFonts w:ascii="Source Sans Pro" w:hAnsi="Source Sans Pro" w:cs="Calibri"/>
          <w:sz w:val="18"/>
          <w:szCs w:val="18"/>
          <w:shd w:val="clear" w:color="auto" w:fill="FFFFFF"/>
        </w:rPr>
        <w:t>Occupation (SOC Code): Legal Occupations (230000).</w:t>
      </w:r>
    </w:p>
  </w:footnote>
  <w:footnote w:id="4">
    <w:p w:rsidR="00745787" w:rsidRPr="002D7BD5" w:rsidP="00745787" w14:paraId="37A10938" w14:textId="7777777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Occupation (SOC Code): Compliance Officers (131040). </w:t>
      </w:r>
    </w:p>
  </w:footnote>
  <w:footnote w:id="5">
    <w:p w:rsidR="00745787" w:rsidRPr="002D7BD5" w:rsidP="00745787" w14:paraId="37EB6D4E" w14:textId="77777777">
      <w:pPr>
        <w:pStyle w:val="FootnoteText"/>
        <w:rPr>
          <w:rFonts w:ascii="Source Sans Pro" w:hAnsi="Source Sans Pro"/>
          <w:sz w:val="18"/>
          <w:szCs w:val="18"/>
        </w:rPr>
      </w:pPr>
      <w:r w:rsidRPr="002D7BD5">
        <w:rPr>
          <w:rStyle w:val="FootnoteReference"/>
          <w:rFonts w:ascii="Source Sans Pro" w:hAnsi="Source Sans Pro"/>
          <w:sz w:val="18"/>
          <w:szCs w:val="18"/>
        </w:rPr>
        <w:footnoteRef/>
      </w:r>
      <w:r w:rsidRPr="002D7BD5">
        <w:rPr>
          <w:rFonts w:ascii="Source Sans Pro" w:hAnsi="Source Sans Pro"/>
          <w:sz w:val="18"/>
          <w:szCs w:val="18"/>
        </w:rPr>
        <w:t xml:space="preserve"> 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7699B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BD12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10B95E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abstractNum w:abstractNumId="1">
    <w:nsid w:val="601E2F6A"/>
    <w:multiLevelType w:val="singleLevel"/>
    <w:tmpl w:val="4C4A27CC"/>
    <w:lvl w:ilvl="0">
      <w:start w:val="2"/>
      <w:numFmt w:val="lowerLetter"/>
      <w:lvlText w:val="(%1)"/>
      <w:lvlJc w:val="left"/>
      <w:pPr>
        <w:tabs>
          <w:tab w:val="num" w:pos="1680"/>
        </w:tabs>
        <w:ind w:left="1680"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863D6"/>
    <w:rsid w:val="000F577B"/>
    <w:rsid w:val="001212D0"/>
    <w:rsid w:val="001355C9"/>
    <w:rsid w:val="00156560"/>
    <w:rsid w:val="001A1B02"/>
    <w:rsid w:val="001C7588"/>
    <w:rsid w:val="00260D86"/>
    <w:rsid w:val="00265850"/>
    <w:rsid w:val="002701C6"/>
    <w:rsid w:val="002D7BD5"/>
    <w:rsid w:val="003043C2"/>
    <w:rsid w:val="0034271A"/>
    <w:rsid w:val="00366F1B"/>
    <w:rsid w:val="00377132"/>
    <w:rsid w:val="004122AC"/>
    <w:rsid w:val="00450218"/>
    <w:rsid w:val="00482FAA"/>
    <w:rsid w:val="00483A02"/>
    <w:rsid w:val="004A784F"/>
    <w:rsid w:val="005029F1"/>
    <w:rsid w:val="00505FF6"/>
    <w:rsid w:val="00520F64"/>
    <w:rsid w:val="005366DA"/>
    <w:rsid w:val="00547707"/>
    <w:rsid w:val="00551535"/>
    <w:rsid w:val="00563A78"/>
    <w:rsid w:val="00586542"/>
    <w:rsid w:val="00611278"/>
    <w:rsid w:val="0063384E"/>
    <w:rsid w:val="006505EA"/>
    <w:rsid w:val="00664F7F"/>
    <w:rsid w:val="00680823"/>
    <w:rsid w:val="006F2449"/>
    <w:rsid w:val="0071625B"/>
    <w:rsid w:val="00726B4D"/>
    <w:rsid w:val="00745787"/>
    <w:rsid w:val="007757D7"/>
    <w:rsid w:val="00797DDC"/>
    <w:rsid w:val="007B72BD"/>
    <w:rsid w:val="007D7E3F"/>
    <w:rsid w:val="007E30B1"/>
    <w:rsid w:val="00810DBE"/>
    <w:rsid w:val="00823A18"/>
    <w:rsid w:val="0084189F"/>
    <w:rsid w:val="008426CB"/>
    <w:rsid w:val="00845C62"/>
    <w:rsid w:val="008566B8"/>
    <w:rsid w:val="008D0235"/>
    <w:rsid w:val="008E47C7"/>
    <w:rsid w:val="008E4EB0"/>
    <w:rsid w:val="00945A45"/>
    <w:rsid w:val="00994EDE"/>
    <w:rsid w:val="009D7CBB"/>
    <w:rsid w:val="009E7132"/>
    <w:rsid w:val="00A51FAC"/>
    <w:rsid w:val="00A83007"/>
    <w:rsid w:val="00A907C9"/>
    <w:rsid w:val="00AA7C8E"/>
    <w:rsid w:val="00AD1170"/>
    <w:rsid w:val="00AE551C"/>
    <w:rsid w:val="00B85A59"/>
    <w:rsid w:val="00BB1AA5"/>
    <w:rsid w:val="00C07C2D"/>
    <w:rsid w:val="00C36DBB"/>
    <w:rsid w:val="00C81EE6"/>
    <w:rsid w:val="00CE2D0F"/>
    <w:rsid w:val="00CF34FA"/>
    <w:rsid w:val="00D17E74"/>
    <w:rsid w:val="00D566F2"/>
    <w:rsid w:val="00DD0259"/>
    <w:rsid w:val="00DD39B4"/>
    <w:rsid w:val="00E13550"/>
    <w:rsid w:val="00E34974"/>
    <w:rsid w:val="00E47A40"/>
    <w:rsid w:val="00E9015C"/>
    <w:rsid w:val="00E90A8F"/>
    <w:rsid w:val="00F07A0C"/>
    <w:rsid w:val="00F133C1"/>
    <w:rsid w:val="00F24B25"/>
    <w:rsid w:val="00F36609"/>
    <w:rsid w:val="00F76371"/>
    <w:rsid w:val="00F83DE4"/>
    <w:rsid w:val="00F924E3"/>
    <w:rsid w:val="00FC0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3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7242-74E5-4A84-B723-606BA8D0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2024-07-02T16:38:00Z</dcterms:created>
  <dcterms:modified xsi:type="dcterms:W3CDTF">2024-07-02T18:07:00Z</dcterms:modified>
</cp:coreProperties>
</file>