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A9F" w:rsidP="00312102" w14:paraId="63B93AED" w14:textId="77777777">
      <w:pPr>
        <w:pStyle w:val="Hdng1Report-IPR"/>
        <w:rPr>
          <w:color w:val="auto"/>
        </w:rPr>
      </w:pPr>
      <w:bookmarkStart w:id="0" w:name="_Toc416426640"/>
      <w:bookmarkStart w:id="1" w:name="_Toc133208870"/>
      <w:bookmarkStart w:id="2" w:name="_Toc329426273"/>
      <w:bookmarkStart w:id="3" w:name="_Toc351666575"/>
      <w:bookmarkStart w:id="4" w:name="_Toc416426560"/>
      <w:r w:rsidRPr="00E40A9F">
        <w:rPr>
          <w:color w:val="auto"/>
        </w:rPr>
        <w:t>Supporting STatement</w:t>
      </w:r>
    </w:p>
    <w:p w:rsidR="00312102" w:rsidRPr="00E40A9F" w:rsidP="00312102" w14:paraId="32623B0D" w14:textId="17744CF6">
      <w:pPr>
        <w:pStyle w:val="Hdng1Report-IPR"/>
        <w:rPr>
          <w:color w:val="auto"/>
        </w:rPr>
      </w:pPr>
      <w:r w:rsidRPr="00E40A9F">
        <w:rPr>
          <w:color w:val="auto"/>
        </w:rPr>
        <w:t>PART A</w:t>
      </w:r>
      <w:bookmarkEnd w:id="0"/>
    </w:p>
    <w:p w:rsidR="00554106" w:rsidP="00312102" w14:paraId="3F230026" w14:textId="76686A3B">
      <w:pPr>
        <w:pStyle w:val="Hdng1Report-IPR"/>
        <w:rPr>
          <w:rFonts w:eastAsiaTheme="minorEastAsia"/>
          <w:sz w:val="24"/>
          <w:szCs w:val="24"/>
        </w:rPr>
      </w:pPr>
      <w:r w:rsidRPr="00E01257">
        <w:rPr>
          <w:rFonts w:eastAsiaTheme="minorEastAsia"/>
          <w:sz w:val="24"/>
          <w:szCs w:val="24"/>
        </w:rPr>
        <w:t xml:space="preserve">Systematics </w:t>
      </w:r>
      <w:r w:rsidRPr="00E01257">
        <w:rPr>
          <w:rFonts w:eastAsiaTheme="minorEastAsia"/>
          <w:sz w:val="24"/>
          <w:szCs w:val="24"/>
        </w:rPr>
        <w:t>Scientists</w:t>
      </w:r>
      <w:r w:rsidRPr="00E01257">
        <w:rPr>
          <w:rFonts w:eastAsiaTheme="minorEastAsia"/>
          <w:sz w:val="24"/>
          <w:szCs w:val="24"/>
        </w:rPr>
        <w:t xml:space="preserve"> Community Survey</w:t>
      </w:r>
    </w:p>
    <w:p w:rsidR="00BC6944" w:rsidRPr="00E40A9F" w:rsidP="00312102" w14:paraId="36CA1EC0" w14:textId="7C00A0BA">
      <w:pPr>
        <w:pStyle w:val="Hdng1Report-IPR"/>
        <w:rPr>
          <w:b w:val="0"/>
          <w:bCs w:val="0"/>
          <w:color w:val="auto"/>
        </w:rPr>
      </w:pPr>
      <w:r w:rsidRPr="00E40A9F">
        <w:rPr>
          <w:b w:val="0"/>
          <w:bCs w:val="0"/>
          <w:color w:val="auto"/>
        </w:rPr>
        <w:t xml:space="preserve">OMB Clearance number </w:t>
      </w:r>
      <w:r w:rsidRPr="00E40A9F" w:rsidR="008A02D7">
        <w:rPr>
          <w:b w:val="0"/>
          <w:bCs w:val="0"/>
          <w:color w:val="auto"/>
        </w:rPr>
        <w:t>3145-NEW</w:t>
      </w:r>
    </w:p>
    <w:p w:rsidR="005A65AA" w:rsidP="009A5C02" w14:paraId="0C8E7EF8" w14:textId="22ABA423">
      <w:pPr>
        <w:pStyle w:val="Hdng2-IPR"/>
      </w:pPr>
      <w:r w:rsidRPr="00740EBA">
        <w:t>A.1.</w:t>
      </w:r>
      <w:bookmarkEnd w:id="1"/>
      <w:bookmarkEnd w:id="2"/>
      <w:r w:rsidRPr="00740EBA">
        <w:t xml:space="preserve"> Circumstances that Make Data Collection Necessary</w:t>
      </w:r>
      <w:bookmarkEnd w:id="3"/>
      <w:bookmarkEnd w:id="4"/>
    </w:p>
    <w:p w:rsidR="00D23593" w:rsidRPr="005636E2" w:rsidP="00D23593" w14:paraId="5D44AA69" w14:textId="77777777">
      <w:pPr>
        <w:pStyle w:val="OMBRequirementCalibri"/>
        <w:rPr>
          <w:rFonts w:cstheme="minorHAnsi"/>
          <w:color w:val="000000" w:themeColor="text1"/>
          <w:sz w:val="22"/>
          <w:szCs w:val="22"/>
        </w:rPr>
      </w:pPr>
      <w:r w:rsidRPr="005636E2">
        <w:rPr>
          <w:rFonts w:cstheme="minorHAnsi"/>
          <w:color w:val="000000" w:themeColor="text1"/>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02DE" w:rsidRPr="001602DE" w:rsidP="007C6C62" w14:paraId="2EA5E690" w14:textId="24CDE9C8">
      <w:pPr>
        <w:pStyle w:val="Hdng2-IPR"/>
        <w:spacing w:line="480" w:lineRule="auto"/>
        <w:ind w:left="0" w:firstLine="0"/>
        <w:rPr>
          <w:rFonts w:eastAsia="Times New Roman" w:asciiTheme="minorHAnsi" w:hAnsiTheme="minorHAnsi" w:cstheme="minorHAnsi"/>
          <w:b w:val="0"/>
          <w:caps w:val="0"/>
          <w:color w:val="auto"/>
        </w:rPr>
      </w:pPr>
      <w:bookmarkStart w:id="5" w:name="_Toc133208871"/>
      <w:bookmarkStart w:id="6" w:name="_Toc329426274"/>
      <w:bookmarkStart w:id="7" w:name="_Toc351666576"/>
      <w:bookmarkStart w:id="8" w:name="_Toc416426561"/>
      <w:r w:rsidRPr="001602DE">
        <w:rPr>
          <w:rFonts w:eastAsia="Times New Roman" w:asciiTheme="minorHAnsi" w:hAnsiTheme="minorHAnsi" w:cstheme="minorHAnsi"/>
          <w:b w:val="0"/>
          <w:caps w:val="0"/>
          <w:color w:val="auto"/>
        </w:rPr>
        <w:t xml:space="preserve">The Systematics and Biodiversity Science Cluster (SBS) of the Division of Environmental Biology (DEB) at the National Science Foundation (NSF) supports research and methods development that advances understanding of the diversity, systematics, distribution and evolutionary history of extant and extinct organisms. SBS has a longstanding commitment to support research and taxonomic capacity building across the breadth of life on earth. </w:t>
      </w:r>
      <w:r w:rsidR="002E74E4">
        <w:rPr>
          <w:rFonts w:eastAsia="Times New Roman" w:asciiTheme="minorHAnsi" w:hAnsiTheme="minorHAnsi" w:cstheme="minorHAnsi"/>
          <w:b w:val="0"/>
          <w:caps w:val="0"/>
          <w:color w:val="auto"/>
        </w:rPr>
        <w:t xml:space="preserve">The impact of SBS science cuts across all biological </w:t>
      </w:r>
      <w:r w:rsidR="002E74E4">
        <w:rPr>
          <w:rFonts w:eastAsia="Times New Roman" w:asciiTheme="minorHAnsi" w:hAnsiTheme="minorHAnsi" w:cstheme="minorHAnsi"/>
          <w:b w:val="0"/>
          <w:caps w:val="0"/>
          <w:color w:val="auto"/>
        </w:rPr>
        <w:t>disciplines</w:t>
      </w:r>
      <w:r w:rsidR="00835E29">
        <w:rPr>
          <w:rFonts w:eastAsia="Times New Roman" w:asciiTheme="minorHAnsi" w:hAnsiTheme="minorHAnsi" w:cstheme="minorHAnsi"/>
          <w:b w:val="0"/>
          <w:caps w:val="0"/>
          <w:color w:val="auto"/>
        </w:rPr>
        <w:t>, and</w:t>
      </w:r>
      <w:r w:rsidR="00835E29">
        <w:rPr>
          <w:rFonts w:eastAsia="Times New Roman" w:asciiTheme="minorHAnsi" w:hAnsiTheme="minorHAnsi" w:cstheme="minorHAnsi"/>
          <w:b w:val="0"/>
          <w:caps w:val="0"/>
          <w:color w:val="auto"/>
        </w:rPr>
        <w:t xml:space="preserve"> is foundational to modeling/predicting/and adapting to modern challenges imposed by climate and other anthropogenic changes.</w:t>
      </w:r>
    </w:p>
    <w:p w:rsidR="00DA5FA2" w:rsidRPr="001602DE" w:rsidP="007C6C62" w14:paraId="26FDC416" w14:textId="028727C0">
      <w:pPr>
        <w:pStyle w:val="Hdng2-IPR"/>
        <w:spacing w:line="480" w:lineRule="auto"/>
        <w:ind w:left="0" w:firstLine="0"/>
        <w:rPr>
          <w:b w:val="0"/>
        </w:rPr>
      </w:pPr>
      <w:r w:rsidRPr="001602DE">
        <w:rPr>
          <w:rFonts w:eastAsia="Times New Roman" w:asciiTheme="minorHAnsi" w:hAnsiTheme="minorHAnsi" w:cstheme="minorHAnsi"/>
          <w:b w:val="0"/>
          <w:caps w:val="0"/>
          <w:color w:val="auto"/>
        </w:rPr>
        <w:t>SBS requests the Office of Management and Budget (OMB) approval to initiate a new survey that will capture the current state of systematic research in the U.S. across subdisciplines, taxonomic groups, and scientific training and ranks.</w:t>
      </w:r>
      <w:r w:rsidR="009436D2">
        <w:rPr>
          <w:rFonts w:eastAsia="Times New Roman" w:asciiTheme="minorHAnsi" w:hAnsiTheme="minorHAnsi" w:cstheme="minorHAnsi"/>
          <w:b w:val="0"/>
          <w:caps w:val="0"/>
          <w:color w:val="auto"/>
        </w:rPr>
        <w:t xml:space="preserve">  No such prior survey, or complete dataset, on the status of systematics science, and those who practice it in North America, exists.</w:t>
      </w:r>
      <w:r w:rsidR="00C2619E">
        <w:rPr>
          <w:rFonts w:eastAsia="Times New Roman" w:asciiTheme="minorHAnsi" w:hAnsiTheme="minorHAnsi" w:cstheme="minorHAnsi"/>
          <w:b w:val="0"/>
          <w:caps w:val="0"/>
          <w:color w:val="auto"/>
        </w:rPr>
        <w:t xml:space="preserve">  These data will be necessary for long term strategic planning by SBS to ensure that the U.S. has systematic capacity across the tree of life, capacity that will impact our ability to respond to </w:t>
      </w:r>
      <w:r w:rsidR="00C2619E">
        <w:rPr>
          <w:rFonts w:eastAsia="Times New Roman" w:asciiTheme="minorHAnsi" w:hAnsiTheme="minorHAnsi" w:cstheme="minorHAnsi"/>
          <w:b w:val="0"/>
          <w:caps w:val="0"/>
          <w:color w:val="auto"/>
        </w:rPr>
        <w:t>various</w:t>
      </w:r>
      <w:r w:rsidR="00AF4B26">
        <w:rPr>
          <w:rFonts w:eastAsia="Times New Roman" w:asciiTheme="minorHAnsi" w:hAnsiTheme="minorHAnsi" w:cstheme="minorHAnsi"/>
          <w:b w:val="0"/>
          <w:caps w:val="0"/>
          <w:color w:val="auto"/>
        </w:rPr>
        <w:t xml:space="preserve"> threats and initiatives such as impacts of climate change on ecosystems, addressing invasive biological species, and</w:t>
      </w:r>
      <w:r w:rsidR="00F251BD">
        <w:rPr>
          <w:rFonts w:eastAsia="Times New Roman" w:asciiTheme="minorHAnsi" w:hAnsiTheme="minorHAnsi" w:cstheme="minorHAnsi"/>
          <w:b w:val="0"/>
          <w:caps w:val="0"/>
          <w:color w:val="auto"/>
        </w:rPr>
        <w:t xml:space="preserve"> meeting the challenges of developing a bioeconomy.</w:t>
      </w:r>
    </w:p>
    <w:p w:rsidR="00BC2D88" w:rsidP="00BC2D88" w14:paraId="4239EA38" w14:textId="6D065528">
      <w:pPr>
        <w:pStyle w:val="Hdng2-IPR"/>
      </w:pPr>
      <w:r w:rsidRPr="00740EBA">
        <w:t>A.2.</w:t>
      </w:r>
      <w:r w:rsidRPr="00740EBA">
        <w:tab/>
        <w:t>Purpose and Use of the Information</w:t>
      </w:r>
      <w:bookmarkEnd w:id="5"/>
      <w:bookmarkEnd w:id="6"/>
      <w:bookmarkEnd w:id="7"/>
      <w:bookmarkEnd w:id="8"/>
    </w:p>
    <w:p w:rsidR="00CA403B" w:rsidRPr="005636E2" w:rsidP="00CA403B" w14:paraId="2E00951A" w14:textId="77777777">
      <w:pPr>
        <w:pStyle w:val="OMBRequirementCalibri"/>
        <w:rPr>
          <w:rFonts w:cstheme="minorHAnsi"/>
          <w:color w:val="000000" w:themeColor="text1"/>
        </w:rPr>
      </w:pPr>
      <w:r w:rsidRPr="005636E2">
        <w:rPr>
          <w:rFonts w:cstheme="minorHAnsi"/>
          <w:color w:val="000000" w:themeColor="text1"/>
        </w:rPr>
        <w:t>Indicate how, by whom, how frequently, and for what purpose the information is to be used. Except for a new collection, indicate the actual use the agency has made of the information received from the current collection.</w:t>
      </w:r>
    </w:p>
    <w:p w:rsidR="00DA5FA2" w:rsidRPr="001602DE" w:rsidP="007C6C62" w14:paraId="07222193" w14:textId="6F027EFF">
      <w:pPr>
        <w:pStyle w:val="Hdng2-IPR"/>
        <w:spacing w:line="480" w:lineRule="auto"/>
        <w:ind w:left="0" w:firstLine="0"/>
        <w:rPr>
          <w:b w:val="0"/>
        </w:rPr>
      </w:pPr>
      <w:bookmarkStart w:id="9" w:name="_Toc133208872"/>
      <w:bookmarkStart w:id="10" w:name="_Toc329426275"/>
      <w:bookmarkStart w:id="11" w:name="_Toc351666577"/>
      <w:bookmarkStart w:id="12" w:name="_Toc416426562"/>
      <w:r w:rsidRPr="001602DE">
        <w:rPr>
          <w:rFonts w:eastAsia="Times New Roman" w:asciiTheme="minorHAnsi" w:hAnsiTheme="minorHAnsi" w:cstheme="minorHAnsi"/>
          <w:b w:val="0"/>
          <w:caps w:val="0"/>
          <w:color w:val="auto"/>
        </w:rPr>
        <w:t>The purpose of this collection is to solicit feedback from U.S. scientists that conduct research in systematics. The survey is designed to take no more than 10 minutes and will provide information on taxonomic groups, new trainees, and professional roles of systematists.  This information will be used to help improve the reach, outreach, and future programmatic planning of the Systematics and Biodiversity Science cluster in DEB.</w:t>
      </w:r>
      <w:r w:rsidR="002E70D9">
        <w:rPr>
          <w:rFonts w:eastAsia="Times New Roman" w:asciiTheme="minorHAnsi" w:hAnsiTheme="minorHAnsi" w:cstheme="minorHAnsi"/>
          <w:b w:val="0"/>
          <w:caps w:val="0"/>
          <w:color w:val="auto"/>
        </w:rPr>
        <w:t xml:space="preserve"> Results may also be </w:t>
      </w:r>
      <w:r w:rsidR="00911207">
        <w:rPr>
          <w:rFonts w:eastAsia="Times New Roman" w:asciiTheme="minorHAnsi" w:hAnsiTheme="minorHAnsi" w:cstheme="minorHAnsi"/>
          <w:b w:val="0"/>
          <w:caps w:val="0"/>
          <w:color w:val="auto"/>
        </w:rPr>
        <w:t xml:space="preserve">compiled for the purposes of publication in a white paper or similar. </w:t>
      </w:r>
      <w:r w:rsidR="002E70D9">
        <w:rPr>
          <w:rFonts w:eastAsia="Times New Roman" w:asciiTheme="minorHAnsi" w:hAnsiTheme="minorHAnsi" w:cstheme="minorHAnsi"/>
          <w:b w:val="0"/>
          <w:caps w:val="0"/>
          <w:color w:val="auto"/>
        </w:rPr>
        <w:t>This survey represents a new data collection.</w:t>
      </w:r>
    </w:p>
    <w:p w:rsidR="006561A1" w:rsidP="006561A1" w14:paraId="23457458" w14:textId="705850D6">
      <w:pPr>
        <w:pStyle w:val="Hdng2-IPR"/>
      </w:pPr>
      <w:r w:rsidRPr="00740EBA">
        <w:t>A.3.</w:t>
      </w:r>
      <w:r w:rsidRPr="00740EBA">
        <w:tab/>
      </w:r>
      <w:bookmarkEnd w:id="9"/>
      <w:r w:rsidRPr="00740EBA">
        <w:t>Use of Information Technology and Burden Reduction</w:t>
      </w:r>
      <w:bookmarkEnd w:id="10"/>
      <w:bookmarkEnd w:id="11"/>
      <w:bookmarkEnd w:id="12"/>
      <w:r w:rsidRPr="00740EBA">
        <w:t xml:space="preserve"> </w:t>
      </w:r>
    </w:p>
    <w:p w:rsidR="007C675A" w:rsidRPr="005636E2" w:rsidP="007C675A" w14:paraId="055618B0" w14:textId="77777777">
      <w:pPr>
        <w:pStyle w:val="OMBRequirementCalibri"/>
        <w:rPr>
          <w:rFonts w:cstheme="minorHAnsi"/>
          <w:color w:val="000000" w:themeColor="text1"/>
        </w:rPr>
      </w:pPr>
      <w:r w:rsidRPr="005636E2">
        <w:rPr>
          <w:rFonts w:cstheme="minorHAnsi"/>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561A1" w:rsidRPr="00B03CBA" w:rsidP="007C6C62" w14:paraId="3A8D2245" w14:textId="13333DF4">
      <w:pPr>
        <w:pStyle w:val="OMBRequirementCalibri"/>
        <w:spacing w:line="480" w:lineRule="auto"/>
        <w:rPr>
          <w:rFonts w:cstheme="minorHAnsi"/>
          <w:b w:val="0"/>
          <w:bCs/>
        </w:rPr>
      </w:pPr>
      <w:r w:rsidRPr="00B03CBA">
        <w:rPr>
          <w:rFonts w:cstheme="minorHAnsi"/>
          <w:b w:val="0"/>
          <w:bCs/>
        </w:rPr>
        <w:t xml:space="preserve">The survey will be </w:t>
      </w:r>
      <w:r w:rsidR="007C675A">
        <w:rPr>
          <w:rFonts w:cstheme="minorHAnsi"/>
          <w:b w:val="0"/>
          <w:bCs/>
        </w:rPr>
        <w:t>administered online via a unique</w:t>
      </w:r>
      <w:r w:rsidR="00852403">
        <w:rPr>
          <w:rFonts w:cstheme="minorHAnsi"/>
          <w:b w:val="0"/>
          <w:bCs/>
        </w:rPr>
        <w:t xml:space="preserve"> survey in </w:t>
      </w:r>
      <w:r w:rsidR="004E75FA">
        <w:rPr>
          <w:rFonts w:cstheme="minorHAnsi"/>
          <w:b w:val="0"/>
          <w:bCs/>
        </w:rPr>
        <w:t>SurveyMonkey</w:t>
      </w:r>
      <w:r w:rsidRPr="00B03CBA">
        <w:rPr>
          <w:rFonts w:cstheme="minorHAnsi"/>
          <w:b w:val="0"/>
          <w:bCs/>
        </w:rPr>
        <w:t>, and</w:t>
      </w:r>
      <w:r w:rsidRPr="00B03CBA">
        <w:rPr>
          <w:rFonts w:cstheme="minorHAnsi"/>
          <w:b w:val="0"/>
          <w:bCs/>
        </w:rPr>
        <w:t xml:space="preserve"> </w:t>
      </w:r>
      <w:r w:rsidR="006E0644">
        <w:rPr>
          <w:rFonts w:cstheme="minorHAnsi"/>
          <w:b w:val="0"/>
          <w:bCs/>
        </w:rPr>
        <w:t>is designed to be completed in</w:t>
      </w:r>
      <w:r w:rsidRPr="00B03CBA">
        <w:rPr>
          <w:rFonts w:cstheme="minorHAnsi"/>
          <w:b w:val="0"/>
          <w:bCs/>
        </w:rPr>
        <w:t xml:space="preserve"> 1</w:t>
      </w:r>
      <w:r w:rsidR="007C675A">
        <w:rPr>
          <w:rFonts w:cstheme="minorHAnsi"/>
          <w:b w:val="0"/>
          <w:bCs/>
        </w:rPr>
        <w:t>0</w:t>
      </w:r>
      <w:r w:rsidRPr="00B03CBA">
        <w:rPr>
          <w:rFonts w:cstheme="minorHAnsi"/>
          <w:b w:val="0"/>
          <w:bCs/>
        </w:rPr>
        <w:t xml:space="preserve"> minutes.</w:t>
      </w:r>
      <w:r w:rsidR="008B534D">
        <w:rPr>
          <w:rFonts w:cstheme="minorHAnsi"/>
          <w:b w:val="0"/>
          <w:bCs/>
        </w:rPr>
        <w:t xml:space="preserve"> Potential respondents will be initially reached via email sent through their scientific societies.</w:t>
      </w:r>
      <w:r w:rsidR="00DF2158">
        <w:rPr>
          <w:rFonts w:cstheme="minorHAnsi"/>
          <w:b w:val="0"/>
          <w:bCs/>
        </w:rPr>
        <w:t xml:space="preserve">  SBS w</w:t>
      </w:r>
      <w:r w:rsidR="0007787E">
        <w:rPr>
          <w:rFonts w:cstheme="minorHAnsi"/>
          <w:b w:val="0"/>
          <w:bCs/>
        </w:rPr>
        <w:t>ill submit a link to the survey and</w:t>
      </w:r>
      <w:r w:rsidR="00564498">
        <w:rPr>
          <w:rFonts w:cstheme="minorHAnsi"/>
          <w:b w:val="0"/>
          <w:bCs/>
        </w:rPr>
        <w:t xml:space="preserve"> email message under cover to the executive officers of each scientific society in North America </w:t>
      </w:r>
      <w:r w:rsidR="0028030F">
        <w:rPr>
          <w:rFonts w:cstheme="minorHAnsi"/>
          <w:b w:val="0"/>
          <w:bCs/>
        </w:rPr>
        <w:t xml:space="preserve">of which some portion of members are </w:t>
      </w:r>
      <w:r w:rsidR="00FD2C64">
        <w:rPr>
          <w:rFonts w:cstheme="minorHAnsi"/>
          <w:b w:val="0"/>
          <w:bCs/>
        </w:rPr>
        <w:t>systematists</w:t>
      </w:r>
      <w:r w:rsidR="009147AE">
        <w:rPr>
          <w:rFonts w:cstheme="minorHAnsi"/>
          <w:b w:val="0"/>
          <w:bCs/>
        </w:rPr>
        <w:t xml:space="preserve"> (American Society for Microbiology, American Society of Virolog</w:t>
      </w:r>
      <w:r w:rsidR="003242F7">
        <w:rPr>
          <w:rFonts w:cstheme="minorHAnsi"/>
          <w:b w:val="0"/>
          <w:bCs/>
        </w:rPr>
        <w:t>y</w:t>
      </w:r>
      <w:r w:rsidR="009147AE">
        <w:rPr>
          <w:rFonts w:cstheme="minorHAnsi"/>
          <w:b w:val="0"/>
          <w:bCs/>
        </w:rPr>
        <w:t xml:space="preserve">, Mycological Society of America, Phycological Society of America, International Society of </w:t>
      </w:r>
      <w:r w:rsidR="009147AE">
        <w:rPr>
          <w:rFonts w:cstheme="minorHAnsi"/>
          <w:b w:val="0"/>
          <w:bCs/>
        </w:rPr>
        <w:t xml:space="preserve">Protistologists, </w:t>
      </w:r>
      <w:r w:rsidR="00D36B7A">
        <w:rPr>
          <w:rFonts w:cstheme="minorHAnsi"/>
          <w:b w:val="0"/>
          <w:bCs/>
        </w:rPr>
        <w:t xml:space="preserve">Botanical Society of America, The American Fern Society, American Society of Plant Taxonomists, California botanical Society, Southern Appalachian Botanical Society, Torrey Botanical Society, American Bryological and Lichenological Society, American Society of Parasitologists, Paleontological Society, Entomological Society of America, Society of Nematologists, American Ornithological Society, American Society of Ichthyologists and Herpetologists, American Society of Mammalogists, Society for Marine Mammalogy, </w:t>
      </w:r>
      <w:r w:rsidR="00434741">
        <w:rPr>
          <w:rFonts w:cstheme="minorHAnsi"/>
          <w:b w:val="0"/>
          <w:bCs/>
        </w:rPr>
        <w:t>Society of Systematic Biologists, American Society of Naturalists, Society for the Study of Evolution, Association of Southeastern Biologists, Society for the Preservation of Natural History Collections, Society of Herbarium Curators).</w:t>
      </w:r>
    </w:p>
    <w:p w:rsidR="00E52E67" w:rsidRPr="00AC149D" w:rsidP="00E52E67" w14:paraId="3567BD60" w14:textId="1972F296">
      <w:pPr>
        <w:pStyle w:val="Hdng2-IPR"/>
      </w:pPr>
      <w:bookmarkStart w:id="13" w:name="_Toc133208873"/>
      <w:bookmarkStart w:id="14" w:name="_Toc329426276"/>
      <w:bookmarkStart w:id="15" w:name="_Toc351666578"/>
      <w:bookmarkStart w:id="16" w:name="_Toc416426563"/>
      <w:r w:rsidRPr="00470E22">
        <w:t>A.4.</w:t>
      </w:r>
      <w:r w:rsidRPr="00470E22">
        <w:tab/>
        <w:t xml:space="preserve">Efforts to Identify </w:t>
      </w:r>
      <w:bookmarkEnd w:id="13"/>
      <w:r w:rsidRPr="00470E22">
        <w:t>Duplication and Use of Similar Information</w:t>
      </w:r>
      <w:bookmarkEnd w:id="14"/>
      <w:bookmarkEnd w:id="15"/>
      <w:bookmarkEnd w:id="16"/>
    </w:p>
    <w:p w:rsidR="00E52E67" w:rsidRPr="00740EBA" w:rsidP="00636FF4" w14:paraId="06C930F7" w14:textId="5012A928">
      <w:pPr>
        <w:pStyle w:val="OMBRequirementCalibri"/>
        <w:spacing w:line="480" w:lineRule="auto"/>
        <w:rPr>
          <w:rFonts w:cstheme="minorHAnsi"/>
        </w:rPr>
      </w:pPr>
      <w:r>
        <w:rPr>
          <w:rFonts w:cstheme="minorHAnsi"/>
          <w:b w:val="0"/>
          <w:bCs/>
        </w:rPr>
        <w:t>To our knowledge, there is no source for the type of information we are trying to collate (</w:t>
      </w:r>
      <w:r w:rsidR="009E5726">
        <w:rPr>
          <w:rFonts w:cstheme="minorHAnsi"/>
          <w:b w:val="0"/>
          <w:bCs/>
        </w:rPr>
        <w:t>e.g., how many</w:t>
      </w:r>
      <w:r w:rsidR="009801B3">
        <w:rPr>
          <w:rFonts w:cstheme="minorHAnsi"/>
          <w:b w:val="0"/>
          <w:bCs/>
        </w:rPr>
        <w:t xml:space="preserve"> scientists in the</w:t>
      </w:r>
      <w:r>
        <w:rPr>
          <w:rFonts w:cstheme="minorHAnsi"/>
          <w:b w:val="0"/>
          <w:bCs/>
        </w:rPr>
        <w:t xml:space="preserve"> U.S. </w:t>
      </w:r>
      <w:r w:rsidR="009801B3">
        <w:rPr>
          <w:rFonts w:cstheme="minorHAnsi"/>
          <w:b w:val="0"/>
          <w:bCs/>
        </w:rPr>
        <w:t>are trained in</w:t>
      </w:r>
      <w:r>
        <w:rPr>
          <w:rFonts w:cstheme="minorHAnsi"/>
          <w:b w:val="0"/>
          <w:bCs/>
        </w:rPr>
        <w:t xml:space="preserve"> systematics, what taxonomic groups do they work on, </w:t>
      </w:r>
      <w:r w:rsidR="009E5726">
        <w:rPr>
          <w:rFonts w:cstheme="minorHAnsi"/>
          <w:b w:val="0"/>
          <w:bCs/>
        </w:rPr>
        <w:t>what types of jobs do they hold). Therefore, the potential for duplication is nearly negligible.</w:t>
      </w:r>
    </w:p>
    <w:p w:rsidR="00E52E67" w:rsidRPr="008C18BF" w:rsidP="00E52E67" w14:paraId="6F683A16" w14:textId="68DF8D58">
      <w:pPr>
        <w:pStyle w:val="Hdng2-IPR"/>
      </w:pPr>
      <w:bookmarkStart w:id="17" w:name="_Toc133208874"/>
      <w:bookmarkStart w:id="18" w:name="_Toc329426277"/>
      <w:bookmarkStart w:id="19" w:name="_Toc351666579"/>
      <w:bookmarkStart w:id="20" w:name="_Toc416426564"/>
      <w:r w:rsidRPr="008C18BF">
        <w:t>A.5.</w:t>
      </w:r>
      <w:r w:rsidRPr="008C18BF">
        <w:tab/>
      </w:r>
      <w:bookmarkEnd w:id="17"/>
      <w:r w:rsidRPr="008C18BF">
        <w:t>Impacts on Small Businesses or Other Small Entities</w:t>
      </w:r>
      <w:bookmarkEnd w:id="18"/>
      <w:bookmarkEnd w:id="19"/>
      <w:bookmarkEnd w:id="20"/>
    </w:p>
    <w:p w:rsidR="00BB3585" w:rsidRPr="00BB3585" w:rsidP="00BB3585" w14:paraId="7BD94B62" w14:textId="0A1A0F9C">
      <w:pPr>
        <w:pStyle w:val="OMBRequirementCalibri"/>
        <w:rPr>
          <w:rFonts w:cstheme="minorHAnsi"/>
          <w:bCs/>
        </w:rPr>
      </w:pPr>
      <w:r w:rsidRPr="00BB3585">
        <w:rPr>
          <w:rFonts w:cstheme="minorHAnsi"/>
          <w:bCs/>
        </w:rPr>
        <w:t>If the collection of information impacts small businesses or other small entities, describe any methods used to minimize burden.</w:t>
      </w:r>
    </w:p>
    <w:p w:rsidR="00E52E67" w:rsidRPr="007A000B" w:rsidP="00E52E67" w14:paraId="0C894D57" w14:textId="31099D76">
      <w:pPr>
        <w:pStyle w:val="OMBRequirementCalibri"/>
        <w:rPr>
          <w:rFonts w:cstheme="minorHAnsi"/>
          <w:b w:val="0"/>
          <w:bCs/>
        </w:rPr>
      </w:pPr>
      <w:r w:rsidRPr="007A000B">
        <w:rPr>
          <w:rFonts w:cstheme="minorHAnsi"/>
          <w:b w:val="0"/>
          <w:bCs/>
        </w:rPr>
        <w:t xml:space="preserve">No small businesses </w:t>
      </w:r>
      <w:r w:rsidRPr="007A000B" w:rsidR="003E0258">
        <w:rPr>
          <w:rFonts w:cstheme="minorHAnsi"/>
          <w:b w:val="0"/>
          <w:bCs/>
        </w:rPr>
        <w:t>will be involved as respondents.</w:t>
      </w:r>
    </w:p>
    <w:p w:rsidR="00E52E67" w:rsidRPr="008C18BF" w:rsidP="00E52E67" w14:paraId="024C8D61" w14:textId="59CE4FA5">
      <w:pPr>
        <w:pStyle w:val="Hdng2-IPR"/>
      </w:pPr>
      <w:bookmarkStart w:id="21" w:name="_Toc133208876"/>
      <w:bookmarkStart w:id="22" w:name="_Toc329426278"/>
      <w:bookmarkStart w:id="23" w:name="_Toc351666580"/>
      <w:bookmarkStart w:id="24" w:name="_Toc416426565"/>
      <w:r w:rsidRPr="00740EBA">
        <w:t>A.6.</w:t>
      </w:r>
      <w:r w:rsidRPr="00740EBA">
        <w:tab/>
      </w:r>
      <w:bookmarkEnd w:id="21"/>
      <w:r w:rsidRPr="00740EBA">
        <w:t>Consequences of Collecting the Information Less Frequently</w:t>
      </w:r>
      <w:bookmarkEnd w:id="22"/>
      <w:bookmarkEnd w:id="23"/>
      <w:bookmarkEnd w:id="24"/>
    </w:p>
    <w:p w:rsidR="00E52E67" w:rsidP="00E52E67" w14:paraId="4DD88260" w14:textId="5B797B2F">
      <w:pPr>
        <w:pStyle w:val="OMBRequirementCalibri"/>
        <w:rPr>
          <w:rFonts w:cstheme="minorHAnsi"/>
        </w:rPr>
      </w:pPr>
      <w:r w:rsidRPr="00236788">
        <w:rPr>
          <w:rFonts w:cstheme="minorHAnsi"/>
        </w:rPr>
        <w:t>Describe the consequence to Federal program or policy activities if the collection is not conducted or is conducted less frequently, as well as any technical or legal obstacles to reducing burden.</w:t>
      </w:r>
    </w:p>
    <w:p w:rsidR="00286922" w:rsidRPr="00286922" w:rsidP="007C6C62" w14:paraId="61BEE0D5" w14:textId="63A25041">
      <w:pPr>
        <w:pStyle w:val="OMBRequirementCalibri"/>
        <w:spacing w:line="480" w:lineRule="auto"/>
        <w:rPr>
          <w:rFonts w:cstheme="minorHAnsi"/>
          <w:b w:val="0"/>
          <w:bCs/>
        </w:rPr>
      </w:pPr>
      <w:r w:rsidRPr="00286922">
        <w:rPr>
          <w:rFonts w:cstheme="minorHAnsi"/>
          <w:b w:val="0"/>
          <w:bCs/>
        </w:rPr>
        <w:t xml:space="preserve">If the data are not collected, </w:t>
      </w:r>
      <w:r>
        <w:rPr>
          <w:rFonts w:cstheme="minorHAnsi"/>
          <w:b w:val="0"/>
          <w:bCs/>
        </w:rPr>
        <w:t>SBS</w:t>
      </w:r>
      <w:r w:rsidRPr="00286922">
        <w:rPr>
          <w:rFonts w:cstheme="minorHAnsi"/>
          <w:b w:val="0"/>
          <w:bCs/>
        </w:rPr>
        <w:t xml:space="preserve"> will not have information that may help it to</w:t>
      </w:r>
      <w:r w:rsidR="00FA1398">
        <w:rPr>
          <w:rFonts w:cstheme="minorHAnsi"/>
          <w:b w:val="0"/>
          <w:bCs/>
        </w:rPr>
        <w:t xml:space="preserve"> make long term strategic decisions and tailor programs and funding to fill the gaps and meet the needs o</w:t>
      </w:r>
      <w:r w:rsidR="00D831D2">
        <w:rPr>
          <w:rFonts w:cstheme="minorHAnsi"/>
          <w:b w:val="0"/>
          <w:bCs/>
        </w:rPr>
        <w:t>f</w:t>
      </w:r>
      <w:r w:rsidR="00826CF3">
        <w:rPr>
          <w:rFonts w:cstheme="minorHAnsi"/>
          <w:b w:val="0"/>
          <w:bCs/>
        </w:rPr>
        <w:t>, for instance,</w:t>
      </w:r>
      <w:r w:rsidR="00D831D2">
        <w:rPr>
          <w:rFonts w:cstheme="minorHAnsi"/>
          <w:b w:val="0"/>
          <w:bCs/>
        </w:rPr>
        <w:t xml:space="preserve"> a developing bioeconomy and the challenges of climate change and other anthropogenic disturbance</w:t>
      </w:r>
      <w:r w:rsidRPr="00286922">
        <w:rPr>
          <w:rFonts w:cstheme="minorHAnsi"/>
          <w:b w:val="0"/>
          <w:bCs/>
        </w:rPr>
        <w:t xml:space="preserve">.  </w:t>
      </w:r>
    </w:p>
    <w:p w:rsidR="00286922" w:rsidRPr="00286922" w:rsidP="007C6C62" w14:paraId="143C4625" w14:textId="72C4230B">
      <w:pPr>
        <w:pStyle w:val="OMBRequirementCalibri"/>
        <w:spacing w:line="480" w:lineRule="auto"/>
        <w:rPr>
          <w:rFonts w:cstheme="minorHAnsi"/>
          <w:b w:val="0"/>
          <w:bCs/>
        </w:rPr>
      </w:pPr>
      <w:r w:rsidRPr="00286922">
        <w:rPr>
          <w:rFonts w:cstheme="minorHAnsi"/>
          <w:b w:val="0"/>
          <w:bCs/>
        </w:rPr>
        <w:t>The survey will only be administered once; thus, the question about conducting the survey less frequently is not applicable.</w:t>
      </w:r>
    </w:p>
    <w:p w:rsidR="00E52E67" w:rsidRPr="00740EBA" w:rsidP="00E52E67" w14:paraId="0BB896F9" w14:textId="4EBCE441">
      <w:pPr>
        <w:pStyle w:val="Hdng2-IPR"/>
      </w:pPr>
      <w:bookmarkStart w:id="25" w:name="_Toc133208877"/>
      <w:bookmarkStart w:id="26" w:name="_Toc329426279"/>
      <w:bookmarkStart w:id="27" w:name="_Toc351666581"/>
      <w:bookmarkStart w:id="28" w:name="_Toc416426566"/>
      <w:r w:rsidRPr="00740EBA">
        <w:t>A.7.</w:t>
      </w:r>
      <w:r w:rsidRPr="00740EBA">
        <w:tab/>
      </w:r>
      <w:bookmarkEnd w:id="25"/>
      <w:r w:rsidRPr="00740EBA">
        <w:t>Special Circumstances Relating to the Guideline of 5 CFR 1320.5</w:t>
      </w:r>
      <w:bookmarkEnd w:id="26"/>
      <w:bookmarkEnd w:id="27"/>
      <w:bookmarkEnd w:id="28"/>
    </w:p>
    <w:p w:rsidR="00E52E67" w:rsidRPr="00236788" w:rsidP="00E52E67" w14:paraId="43847F63" w14:textId="588734B3">
      <w:pPr>
        <w:pStyle w:val="OMBRequirementCalibri"/>
        <w:rPr>
          <w:rFonts w:cstheme="minorHAnsi"/>
        </w:rPr>
      </w:pPr>
      <w:r w:rsidRPr="00236788">
        <w:rPr>
          <w:rFonts w:cstheme="minorHAnsi"/>
        </w:rPr>
        <w:t>Explain any special circumstances that would cause an information collection to be conducted in a manner:</w:t>
      </w:r>
    </w:p>
    <w:p w:rsidR="002E02EF" w:rsidRPr="00574BEB" w:rsidP="00612B57" w14:paraId="5278E488" w14:textId="71AA90B7">
      <w:pPr>
        <w:pStyle w:val="Bullets12ptCalibri-IPR"/>
        <w:numPr>
          <w:ilvl w:val="0"/>
          <w:numId w:val="0"/>
        </w:numPr>
        <w:rPr>
          <w:bCs/>
        </w:rPr>
      </w:pPr>
      <w:r w:rsidRPr="00574BEB">
        <w:rPr>
          <w:bCs/>
        </w:rPr>
        <w:t>There are no special circumstances involved with this data collection.</w:t>
      </w:r>
    </w:p>
    <w:p w:rsidR="00260E24" w:rsidRPr="00740EBA" w:rsidP="00260E24" w14:paraId="586C8DFB" w14:textId="77777777">
      <w:pPr>
        <w:pStyle w:val="Hdng2-IPR"/>
      </w:pPr>
      <w:bookmarkStart w:id="29" w:name="_Toc133208878"/>
      <w:bookmarkStart w:id="30" w:name="_Toc329426280"/>
      <w:bookmarkStart w:id="31" w:name="_Toc351666582"/>
      <w:bookmarkStart w:id="32" w:name="_Toc416426567"/>
      <w:r w:rsidRPr="00740EBA">
        <w:t>A.8.</w:t>
      </w:r>
      <w:r w:rsidRPr="00740EBA">
        <w:tab/>
      </w:r>
      <w:bookmarkEnd w:id="29"/>
      <w:r w:rsidRPr="00740EBA">
        <w:t>Comments in Response to the Federal Register Notice and Efforts to Consult Outside Agency</w:t>
      </w:r>
      <w:bookmarkEnd w:id="30"/>
      <w:bookmarkEnd w:id="31"/>
      <w:bookmarkEnd w:id="32"/>
    </w:p>
    <w:p w:rsidR="005A5BBB" w:rsidRPr="00E6285E" w:rsidP="007C6C62" w14:paraId="3E9E60B8" w14:textId="3E1FB634">
      <w:pPr>
        <w:pStyle w:val="OMBRequirementCalibri"/>
        <w:spacing w:line="480" w:lineRule="auto"/>
        <w:rPr>
          <w:rFonts w:cstheme="minorHAnsi"/>
          <w:b w:val="0"/>
          <w:bCs/>
        </w:rPr>
      </w:pPr>
      <w:r w:rsidRPr="00E6285E">
        <w:rPr>
          <w:rFonts w:cstheme="minorHAnsi"/>
          <w:b w:val="0"/>
          <w:bCs/>
        </w:rPr>
        <w:t xml:space="preserve">The </w:t>
      </w:r>
      <w:r w:rsidRPr="00E6285E" w:rsidR="00E6285E">
        <w:rPr>
          <w:rFonts w:cstheme="minorHAnsi"/>
          <w:b w:val="0"/>
          <w:bCs/>
        </w:rPr>
        <w:t>60-day</w:t>
      </w:r>
      <w:r w:rsidRPr="00E6285E" w:rsidR="004C1D68">
        <w:rPr>
          <w:rFonts w:cstheme="minorHAnsi"/>
          <w:b w:val="0"/>
          <w:bCs/>
        </w:rPr>
        <w:t xml:space="preserve"> Federal Register Notice was published on </w:t>
      </w:r>
      <w:r w:rsidR="002E365B">
        <w:rPr>
          <w:rFonts w:cstheme="minorHAnsi"/>
          <w:b w:val="0"/>
          <w:bCs/>
        </w:rPr>
        <w:t xml:space="preserve">December </w:t>
      </w:r>
      <w:r w:rsidR="00C406A7">
        <w:rPr>
          <w:rFonts w:cstheme="minorHAnsi"/>
          <w:b w:val="0"/>
          <w:bCs/>
        </w:rPr>
        <w:t>5</w:t>
      </w:r>
      <w:r w:rsidR="00986F6A">
        <w:rPr>
          <w:rFonts w:cstheme="minorHAnsi"/>
          <w:b w:val="0"/>
          <w:bCs/>
        </w:rPr>
        <w:t>, 2023</w:t>
      </w:r>
      <w:r w:rsidRPr="00E6285E" w:rsidR="00612B57">
        <w:rPr>
          <w:rFonts w:cstheme="minorHAnsi"/>
          <w:b w:val="0"/>
          <w:bCs/>
        </w:rPr>
        <w:t>,</w:t>
      </w:r>
      <w:r w:rsidRPr="00E6285E" w:rsidR="004C1D68">
        <w:rPr>
          <w:rFonts w:cstheme="minorHAnsi"/>
          <w:b w:val="0"/>
          <w:bCs/>
        </w:rPr>
        <w:t xml:space="preserve"> at </w:t>
      </w:r>
      <w:r w:rsidRPr="00E6285E" w:rsidR="00611546">
        <w:rPr>
          <w:rFonts w:cstheme="minorHAnsi"/>
          <w:b w:val="0"/>
          <w:bCs/>
        </w:rPr>
        <w:t>8</w:t>
      </w:r>
      <w:r w:rsidR="00986F6A">
        <w:rPr>
          <w:rFonts w:cstheme="minorHAnsi"/>
          <w:b w:val="0"/>
          <w:bCs/>
        </w:rPr>
        <w:t>8</w:t>
      </w:r>
      <w:r w:rsidRPr="00E6285E" w:rsidR="00611546">
        <w:rPr>
          <w:rFonts w:cstheme="minorHAnsi"/>
          <w:b w:val="0"/>
          <w:bCs/>
        </w:rPr>
        <w:t xml:space="preserve"> FR </w:t>
      </w:r>
      <w:r w:rsidR="00B37B16">
        <w:rPr>
          <w:rFonts w:cstheme="minorHAnsi"/>
          <w:b w:val="0"/>
          <w:bCs/>
        </w:rPr>
        <w:t>84364</w:t>
      </w:r>
      <w:r w:rsidRPr="00E6285E" w:rsidR="00093278">
        <w:rPr>
          <w:rFonts w:cstheme="minorHAnsi"/>
          <w:b w:val="0"/>
          <w:bCs/>
        </w:rPr>
        <w:t xml:space="preserve">, and </w:t>
      </w:r>
      <w:r w:rsidR="00B37B16">
        <w:rPr>
          <w:rFonts w:cstheme="minorHAnsi"/>
          <w:b w:val="0"/>
          <w:bCs/>
        </w:rPr>
        <w:t>no</w:t>
      </w:r>
      <w:r w:rsidRPr="00E6285E" w:rsidR="00E6285E">
        <w:rPr>
          <w:rFonts w:cstheme="minorHAnsi"/>
          <w:b w:val="0"/>
          <w:bCs/>
        </w:rPr>
        <w:t xml:space="preserve"> comment</w:t>
      </w:r>
      <w:r w:rsidR="00B37B16">
        <w:rPr>
          <w:rFonts w:cstheme="minorHAnsi"/>
          <w:b w:val="0"/>
          <w:bCs/>
        </w:rPr>
        <w:t>s</w:t>
      </w:r>
      <w:r w:rsidRPr="00E6285E" w:rsidR="00E6285E">
        <w:rPr>
          <w:rFonts w:cstheme="minorHAnsi"/>
          <w:b w:val="0"/>
          <w:bCs/>
        </w:rPr>
        <w:t xml:space="preserve"> w</w:t>
      </w:r>
      <w:r w:rsidR="00B37B16">
        <w:rPr>
          <w:rFonts w:cstheme="minorHAnsi"/>
          <w:b w:val="0"/>
          <w:bCs/>
        </w:rPr>
        <w:t>ere</w:t>
      </w:r>
      <w:r w:rsidRPr="00E6285E" w:rsidR="00E6285E">
        <w:rPr>
          <w:rFonts w:cstheme="minorHAnsi"/>
          <w:b w:val="0"/>
          <w:bCs/>
        </w:rPr>
        <w:t xml:space="preserve"> received</w:t>
      </w:r>
      <w:r w:rsidR="00B37B16">
        <w:rPr>
          <w:rFonts w:cstheme="minorHAnsi"/>
          <w:b w:val="0"/>
          <w:bCs/>
        </w:rPr>
        <w:t>.</w:t>
      </w:r>
      <w:r w:rsidR="00DA5FA2">
        <w:rPr>
          <w:rFonts w:cstheme="minorHAnsi"/>
          <w:b w:val="0"/>
          <w:bCs/>
        </w:rPr>
        <w:t xml:space="preserve"> NSF is moving forward with the request for approval</w:t>
      </w:r>
      <w:r w:rsidRPr="00E6285E" w:rsidR="00093278">
        <w:rPr>
          <w:rFonts w:cstheme="minorHAnsi"/>
          <w:b w:val="0"/>
          <w:bCs/>
        </w:rPr>
        <w:t>.</w:t>
      </w:r>
    </w:p>
    <w:p w:rsidR="00260E24" w:rsidRPr="00AC64B5" w:rsidP="00260E24" w14:paraId="7616920B" w14:textId="24E8C6BF">
      <w:pPr>
        <w:pStyle w:val="Hdng2-IPR"/>
      </w:pPr>
      <w:bookmarkStart w:id="33" w:name="_Toc133208880"/>
      <w:bookmarkStart w:id="34" w:name="_Toc329426281"/>
      <w:bookmarkStart w:id="35" w:name="_Toc351666583"/>
      <w:bookmarkStart w:id="36" w:name="_Toc416426568"/>
      <w:r w:rsidRPr="00470E22">
        <w:t>A.9.</w:t>
      </w:r>
      <w:r w:rsidRPr="00470E22">
        <w:tab/>
      </w:r>
      <w:bookmarkEnd w:id="33"/>
      <w:r w:rsidRPr="00470E22">
        <w:t>Explanation of Any Payment or Gift to Respondents</w:t>
      </w:r>
      <w:bookmarkEnd w:id="34"/>
      <w:bookmarkEnd w:id="35"/>
      <w:bookmarkEnd w:id="36"/>
    </w:p>
    <w:p w:rsidR="00260E24" w:rsidP="00260E24" w14:paraId="5AED961F" w14:textId="5342F338">
      <w:pPr>
        <w:pStyle w:val="OMBRequirementCalibri"/>
        <w:rPr>
          <w:rFonts w:cstheme="minorHAnsi"/>
        </w:rPr>
      </w:pPr>
      <w:r w:rsidRPr="00236788">
        <w:rPr>
          <w:rFonts w:cstheme="minorHAnsi"/>
        </w:rPr>
        <w:t>Explain any decision to provide any payment or gift to respondents, other than remuneration of contractors or grantees.</w:t>
      </w:r>
    </w:p>
    <w:p w:rsidR="00C15CDF" w:rsidRPr="00612B57" w:rsidP="00260E24" w14:paraId="4A7991FF" w14:textId="12C75B55">
      <w:pPr>
        <w:pStyle w:val="OMBRequirementCalibri"/>
        <w:rPr>
          <w:rFonts w:cstheme="minorHAnsi"/>
          <w:b w:val="0"/>
          <w:bCs/>
        </w:rPr>
      </w:pPr>
      <w:r w:rsidRPr="00612B57">
        <w:rPr>
          <w:rFonts w:cstheme="minorHAnsi"/>
          <w:b w:val="0"/>
          <w:bCs/>
        </w:rPr>
        <w:t>No payment or gifts to respondents will be made.</w:t>
      </w:r>
    </w:p>
    <w:p w:rsidR="00260E24" w:rsidRPr="00740EBA" w:rsidP="00260E24" w14:paraId="42E179D6" w14:textId="1B35B37B">
      <w:pPr>
        <w:pStyle w:val="Hdng2-IPR"/>
      </w:pPr>
      <w:bookmarkStart w:id="37" w:name="_Toc133208881"/>
      <w:bookmarkStart w:id="38" w:name="_Toc329426282"/>
      <w:bookmarkStart w:id="39" w:name="_Toc351666584"/>
      <w:bookmarkStart w:id="40" w:name="_Toc416426569"/>
      <w:r w:rsidRPr="00740EBA">
        <w:t>A.10.</w:t>
      </w:r>
      <w:r w:rsidRPr="00740EBA">
        <w:tab/>
        <w:t>Assurance of Confidentiality</w:t>
      </w:r>
      <w:bookmarkEnd w:id="37"/>
      <w:r w:rsidRPr="00740EBA">
        <w:t xml:space="preserve"> Provided to Respondents</w:t>
      </w:r>
      <w:bookmarkEnd w:id="38"/>
      <w:bookmarkEnd w:id="39"/>
      <w:bookmarkEnd w:id="40"/>
    </w:p>
    <w:p w:rsidR="00260E24" w:rsidP="00260E24" w14:paraId="5F0BE7EC" w14:textId="52F664FF">
      <w:pPr>
        <w:pStyle w:val="OMBRequirementCalibri"/>
        <w:rPr>
          <w:rFonts w:cstheme="minorHAnsi"/>
        </w:rPr>
      </w:pPr>
      <w:r w:rsidRPr="00236788">
        <w:rPr>
          <w:rFonts w:cstheme="minorHAnsi"/>
        </w:rPr>
        <w:t>Describe any assurance of confidentiality provided to respondents and the basis for the assurance in statute, regulation, or agency policy.</w:t>
      </w:r>
    </w:p>
    <w:p w:rsidR="00260E24" w:rsidRPr="003B1004" w:rsidP="007C6C62" w14:paraId="6A156C25" w14:textId="58087F9F">
      <w:pPr>
        <w:pStyle w:val="OMBRequirementCalibri"/>
        <w:spacing w:line="480" w:lineRule="auto"/>
        <w:rPr>
          <w:rFonts w:cstheme="minorHAnsi"/>
        </w:rPr>
      </w:pPr>
      <w:r>
        <w:rPr>
          <w:rFonts w:cstheme="minorHAnsi"/>
          <w:b w:val="0"/>
          <w:bCs/>
        </w:rPr>
        <w:t xml:space="preserve">Participants in the interviews and survey will be informed that </w:t>
      </w:r>
      <w:r w:rsidRPr="00914FB9" w:rsidR="00914FB9">
        <w:rPr>
          <w:rFonts w:cstheme="minorHAnsi"/>
          <w:b w:val="0"/>
          <w:bCs/>
        </w:rPr>
        <w:t xml:space="preserve">all </w:t>
      </w:r>
      <w:r>
        <w:rPr>
          <w:rFonts w:cstheme="minorHAnsi"/>
          <w:b w:val="0"/>
          <w:bCs/>
        </w:rPr>
        <w:t>of</w:t>
      </w:r>
      <w:r>
        <w:rPr>
          <w:rFonts w:cstheme="minorHAnsi"/>
          <w:b w:val="0"/>
          <w:bCs/>
        </w:rPr>
        <w:t xml:space="preserve"> their </w:t>
      </w:r>
      <w:r w:rsidRPr="00914FB9" w:rsidR="00914FB9">
        <w:rPr>
          <w:rFonts w:cstheme="minorHAnsi"/>
          <w:b w:val="0"/>
          <w:bCs/>
        </w:rPr>
        <w:t>responses will be kept confidential, and none of the findings reported to NSF will be attributed to specific participants or awardee organizations.</w:t>
      </w:r>
      <w:r>
        <w:rPr>
          <w:rFonts w:cstheme="minorHAnsi"/>
          <w:b w:val="0"/>
          <w:bCs/>
        </w:rPr>
        <w:t xml:space="preserve"> </w:t>
      </w:r>
    </w:p>
    <w:p w:rsidR="005E2BF8" w:rsidRPr="00740EBA" w:rsidP="005E2BF8" w14:paraId="339238E1" w14:textId="77777777">
      <w:pPr>
        <w:pStyle w:val="Hdng2-IPR"/>
      </w:pPr>
      <w:bookmarkStart w:id="41" w:name="_Toc133208882"/>
      <w:bookmarkStart w:id="42" w:name="_Toc329426283"/>
      <w:bookmarkStart w:id="43" w:name="_Toc351666585"/>
      <w:bookmarkStart w:id="44" w:name="_Toc416426570"/>
      <w:r w:rsidRPr="00740EBA">
        <w:t>A.11.</w:t>
      </w:r>
      <w:r w:rsidRPr="00740EBA">
        <w:tab/>
      </w:r>
      <w:bookmarkEnd w:id="41"/>
      <w:r w:rsidRPr="00740EBA">
        <w:t>Justification for Sensitive Questions</w:t>
      </w:r>
      <w:bookmarkEnd w:id="42"/>
      <w:bookmarkEnd w:id="43"/>
      <w:bookmarkEnd w:id="44"/>
      <w:r w:rsidRPr="00740EBA">
        <w:t xml:space="preserve"> </w:t>
      </w:r>
    </w:p>
    <w:p w:rsidR="005E2BF8" w:rsidP="005E2BF8" w14:paraId="0B9CDA72" w14:textId="722A79E8">
      <w:pPr>
        <w:pStyle w:val="OMBRequirementCalibri"/>
        <w:rPr>
          <w:rFonts w:cstheme="minorHAnsi"/>
        </w:rPr>
      </w:pPr>
      <w:r w:rsidRPr="00236788">
        <w:rPr>
          <w:rFonts w:cstheme="minorHAns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70D1" w:rsidRPr="00721567" w:rsidP="005E2BF8" w14:paraId="6293B1FD" w14:textId="6537EAC0">
      <w:pPr>
        <w:pStyle w:val="OMBRequirementCalibri"/>
        <w:rPr>
          <w:rFonts w:cstheme="minorHAnsi"/>
          <w:b w:val="0"/>
          <w:bCs/>
        </w:rPr>
      </w:pPr>
      <w:r w:rsidRPr="00721567">
        <w:rPr>
          <w:rFonts w:cstheme="minorHAnsi"/>
          <w:b w:val="0"/>
          <w:bCs/>
        </w:rPr>
        <w:t xml:space="preserve">There are no questions of a sensitive nature </w:t>
      </w:r>
      <w:r w:rsidRPr="00721567" w:rsidR="008028B6">
        <w:rPr>
          <w:rFonts w:cstheme="minorHAnsi"/>
          <w:b w:val="0"/>
          <w:bCs/>
        </w:rPr>
        <w:t>in the survey or interview protocols.</w:t>
      </w:r>
    </w:p>
    <w:p w:rsidR="00E87C98" w:rsidRPr="00740EBA" w:rsidP="00E87C98" w14:paraId="13BC0886" w14:textId="77777777">
      <w:pPr>
        <w:pStyle w:val="Hdng2-IPR"/>
      </w:pPr>
      <w:bookmarkStart w:id="45" w:name="_Toc133208884"/>
      <w:bookmarkStart w:id="46" w:name="_Toc329426284"/>
      <w:bookmarkStart w:id="47" w:name="_Toc351666586"/>
      <w:bookmarkStart w:id="48" w:name="_Toc416426571"/>
      <w:r w:rsidRPr="00740EBA">
        <w:t>A.12.</w:t>
      </w:r>
      <w:r w:rsidRPr="00740EBA">
        <w:tab/>
        <w:t>Estimates of Hour Burden</w:t>
      </w:r>
      <w:bookmarkEnd w:id="45"/>
      <w:r w:rsidRPr="00740EBA">
        <w:t xml:space="preserve"> Including Annualized Hourly Costs</w:t>
      </w:r>
      <w:bookmarkEnd w:id="46"/>
      <w:bookmarkEnd w:id="47"/>
      <w:bookmarkEnd w:id="48"/>
      <w:r w:rsidRPr="00740EBA">
        <w:t xml:space="preserve"> </w:t>
      </w:r>
    </w:p>
    <w:p w:rsidR="002A58A0" w:rsidRPr="002A58A0" w:rsidP="002A58A0" w14:paraId="09EA8DDD" w14:textId="40DE7059">
      <w:pPr>
        <w:spacing w:after="240" w:line="480" w:lineRule="auto"/>
        <w:rPr>
          <w:rFonts w:ascii="Calibri" w:hAnsi="Calibri" w:eastAsiaTheme="minorEastAsia" w:cs="Calibri"/>
          <w:sz w:val="24"/>
          <w:szCs w:val="24"/>
        </w:rPr>
      </w:pPr>
      <w:bookmarkStart w:id="49" w:name="_Toc351666587"/>
      <w:bookmarkStart w:id="50" w:name="_Toc416426572"/>
      <w:r w:rsidRPr="002A58A0">
        <w:rPr>
          <w:rFonts w:ascii="Calibri" w:eastAsia="Times New Roman" w:hAnsi="Calibri" w:cs="Calibri"/>
          <w:sz w:val="24"/>
          <w:szCs w:val="24"/>
        </w:rPr>
        <w:t>The overall annualized cost to the respondents is estimated to be $6,730. The following table shows the estimated burden and costs to respondents, who are generally biologists at the postsecondary level. This estimated hourly rate is based on a report from the Bureau of Labor Statistics’ Occupational Employment and Wages, May 2021).</w:t>
      </w:r>
      <w:r>
        <w:rPr>
          <w:rFonts w:ascii="Calibri" w:hAnsi="Calibri" w:cs="Calibri"/>
          <w:sz w:val="24"/>
          <w:szCs w:val="24"/>
          <w:vertAlign w:val="superscript"/>
        </w:rPr>
        <w:footnoteReference w:id="2"/>
      </w:r>
      <w:r w:rsidRPr="002A58A0">
        <w:rPr>
          <w:rFonts w:ascii="Calibri" w:eastAsia="Times New Roman" w:hAnsi="Calibri" w:cs="Calibri"/>
          <w:sz w:val="24"/>
          <w:szCs w:val="24"/>
        </w:rPr>
        <w:t xml:space="preserve"> According to this report, the median hourly rate is $33.65. These costs were estimated by averaging professional salaries. </w:t>
      </w:r>
      <w:r w:rsidRPr="002A58A0">
        <w:rPr>
          <w:rFonts w:ascii="Calibri" w:hAnsi="Calibri" w:eastAsiaTheme="minorEastAsia" w:cs="Calibri"/>
          <w:sz w:val="24"/>
          <w:szCs w:val="24"/>
        </w:rPr>
        <w:t>Survey requests will be sent to members of all North American scientific societies to which systematists belong.  The total number of systematists employed in the U.S. is not known but estimated that ca. 800 will respond.</w:t>
      </w:r>
    </w:p>
    <w:p w:rsidR="002A58A0" w:rsidRPr="002A58A0" w:rsidP="002A58A0" w14:paraId="1C26CAD6" w14:textId="55358339">
      <w:pPr>
        <w:spacing w:after="0" w:line="480" w:lineRule="auto"/>
        <w:rPr>
          <w:rFonts w:ascii="Calibri" w:eastAsia="Times New Roman" w:hAnsi="Calibri" w:cs="Calibri"/>
          <w:sz w:val="24"/>
          <w:szCs w:val="24"/>
        </w:rPr>
      </w:pPr>
      <w:r w:rsidRPr="002A58A0">
        <w:rPr>
          <w:b/>
        </w:rPr>
        <w:t>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25"/>
        <w:gridCol w:w="1737"/>
        <w:gridCol w:w="2000"/>
        <w:gridCol w:w="1026"/>
        <w:gridCol w:w="1234"/>
        <w:gridCol w:w="1405"/>
      </w:tblGrid>
      <w:tr w14:paraId="07F6794A" w14:textId="77777777" w:rsidTr="0094618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1625" w:type="dxa"/>
            <w:tcMar>
              <w:top w:w="0" w:type="dxa"/>
              <w:left w:w="108" w:type="dxa"/>
              <w:bottom w:w="0" w:type="dxa"/>
              <w:right w:w="108" w:type="dxa"/>
            </w:tcMar>
            <w:vAlign w:val="center"/>
            <w:hideMark/>
          </w:tcPr>
          <w:p w:rsidR="002A58A0" w:rsidRPr="00E01257" w:rsidP="00946187" w14:paraId="17403502"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b/>
                <w:bCs/>
                <w:sz w:val="24"/>
                <w:szCs w:val="24"/>
              </w:rPr>
              <w:t>Collection Title</w:t>
            </w:r>
          </w:p>
        </w:tc>
        <w:tc>
          <w:tcPr>
            <w:tcW w:w="1340" w:type="dxa"/>
            <w:tcMar>
              <w:top w:w="0" w:type="dxa"/>
              <w:left w:w="108" w:type="dxa"/>
              <w:bottom w:w="0" w:type="dxa"/>
              <w:right w:w="108" w:type="dxa"/>
            </w:tcMar>
            <w:vAlign w:val="center"/>
            <w:hideMark/>
          </w:tcPr>
          <w:p w:rsidR="002A58A0" w:rsidRPr="00E01257" w:rsidP="00946187" w14:paraId="153E4939"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b/>
                <w:bCs/>
                <w:sz w:val="24"/>
                <w:szCs w:val="24"/>
              </w:rPr>
              <w:t xml:space="preserve">Total No. of Respondents </w:t>
            </w:r>
          </w:p>
        </w:tc>
        <w:tc>
          <w:tcPr>
            <w:tcW w:w="2000" w:type="dxa"/>
            <w:tcMar>
              <w:top w:w="0" w:type="dxa"/>
              <w:left w:w="108" w:type="dxa"/>
              <w:bottom w:w="0" w:type="dxa"/>
              <w:right w:w="108" w:type="dxa"/>
            </w:tcMar>
            <w:vAlign w:val="center"/>
            <w:hideMark/>
          </w:tcPr>
          <w:p w:rsidR="002A58A0" w:rsidRPr="00E01257" w:rsidP="00946187" w14:paraId="118BCBBA"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b/>
                <w:bCs/>
                <w:sz w:val="24"/>
                <w:szCs w:val="24"/>
              </w:rPr>
              <w:t>Burden Hours Per Respondent</w:t>
            </w:r>
          </w:p>
        </w:tc>
        <w:tc>
          <w:tcPr>
            <w:tcW w:w="1026" w:type="dxa"/>
          </w:tcPr>
          <w:p w:rsidR="002A58A0" w:rsidRPr="00E01257" w:rsidP="00946187" w14:paraId="3B136501" w14:textId="77777777">
            <w:pPr>
              <w:spacing w:before="100" w:beforeAutospacing="1" w:after="100" w:afterAutospacing="1" w:line="240" w:lineRule="auto"/>
              <w:rPr>
                <w:rFonts w:ascii="Arial" w:eastAsia="Times New Roman" w:hAnsi="Arial" w:cs="Arial"/>
                <w:b/>
                <w:bCs/>
                <w:sz w:val="24"/>
                <w:szCs w:val="24"/>
              </w:rPr>
            </w:pPr>
            <w:r w:rsidRPr="00E01257">
              <w:rPr>
                <w:rFonts w:ascii="Arial" w:eastAsia="Times New Roman" w:hAnsi="Arial" w:cs="Arial"/>
                <w:b/>
                <w:bCs/>
                <w:sz w:val="24"/>
                <w:szCs w:val="24"/>
              </w:rPr>
              <w:t>Total Hour Burden</w:t>
            </w:r>
          </w:p>
        </w:tc>
        <w:tc>
          <w:tcPr>
            <w:tcW w:w="1234" w:type="dxa"/>
            <w:tcMar>
              <w:top w:w="0" w:type="dxa"/>
              <w:left w:w="108" w:type="dxa"/>
              <w:bottom w:w="0" w:type="dxa"/>
              <w:right w:w="108" w:type="dxa"/>
            </w:tcMar>
            <w:vAlign w:val="center"/>
            <w:hideMark/>
          </w:tcPr>
          <w:p w:rsidR="002A58A0" w:rsidRPr="00E01257" w:rsidP="00946187" w14:paraId="7216A74F"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b/>
                <w:bCs/>
                <w:sz w:val="24"/>
                <w:szCs w:val="24"/>
              </w:rPr>
              <w:t>Average Hourly Rate</w:t>
            </w:r>
          </w:p>
        </w:tc>
        <w:tc>
          <w:tcPr>
            <w:tcW w:w="1405" w:type="dxa"/>
            <w:tcMar>
              <w:top w:w="0" w:type="dxa"/>
              <w:left w:w="108" w:type="dxa"/>
              <w:bottom w:w="0" w:type="dxa"/>
              <w:right w:w="108" w:type="dxa"/>
            </w:tcMar>
            <w:vAlign w:val="center"/>
            <w:hideMark/>
          </w:tcPr>
          <w:p w:rsidR="002A58A0" w:rsidRPr="00E01257" w:rsidP="00946187" w14:paraId="6A1D7AA2"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b/>
                <w:bCs/>
                <w:sz w:val="24"/>
                <w:szCs w:val="24"/>
              </w:rPr>
              <w:t>Estimated Cost</w:t>
            </w:r>
          </w:p>
        </w:tc>
      </w:tr>
      <w:tr w14:paraId="7BB6100C" w14:textId="77777777" w:rsidTr="00946187">
        <w:tblPrEx>
          <w:tblW w:w="0" w:type="auto"/>
          <w:jc w:val="center"/>
          <w:tblCellMar>
            <w:left w:w="0" w:type="dxa"/>
            <w:right w:w="0" w:type="dxa"/>
          </w:tblCellMar>
          <w:tblLook w:val="04A0"/>
        </w:tblPrEx>
        <w:trPr>
          <w:jc w:val="center"/>
        </w:trPr>
        <w:tc>
          <w:tcPr>
            <w:tcW w:w="1625" w:type="dxa"/>
            <w:tcMar>
              <w:top w:w="0" w:type="dxa"/>
              <w:left w:w="108" w:type="dxa"/>
              <w:bottom w:w="0" w:type="dxa"/>
              <w:right w:w="108" w:type="dxa"/>
            </w:tcMar>
          </w:tcPr>
          <w:p w:rsidR="002A58A0" w:rsidRPr="00E01257" w:rsidP="00946187" w14:paraId="1597B698"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sz w:val="24"/>
                <w:szCs w:val="24"/>
              </w:rPr>
              <w:t>Survey of Systematists</w:t>
            </w:r>
          </w:p>
        </w:tc>
        <w:tc>
          <w:tcPr>
            <w:tcW w:w="1340" w:type="dxa"/>
            <w:tcMar>
              <w:top w:w="0" w:type="dxa"/>
              <w:left w:w="108" w:type="dxa"/>
              <w:bottom w:w="0" w:type="dxa"/>
              <w:right w:w="108" w:type="dxa"/>
            </w:tcMar>
            <w:vAlign w:val="center"/>
          </w:tcPr>
          <w:p w:rsidR="002A58A0" w:rsidRPr="00E01257" w:rsidP="00946187" w14:paraId="7844AD39"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sz w:val="24"/>
                <w:szCs w:val="24"/>
              </w:rPr>
              <w:t>800</w:t>
            </w:r>
          </w:p>
        </w:tc>
        <w:tc>
          <w:tcPr>
            <w:tcW w:w="2000" w:type="dxa"/>
            <w:tcMar>
              <w:top w:w="0" w:type="dxa"/>
              <w:left w:w="108" w:type="dxa"/>
              <w:bottom w:w="0" w:type="dxa"/>
              <w:right w:w="108" w:type="dxa"/>
            </w:tcMar>
            <w:vAlign w:val="center"/>
          </w:tcPr>
          <w:p w:rsidR="002A58A0" w:rsidRPr="00E01257" w:rsidP="00946187" w14:paraId="7DB652E6"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sz w:val="24"/>
                <w:szCs w:val="24"/>
              </w:rPr>
              <w:t>.25</w:t>
            </w:r>
          </w:p>
        </w:tc>
        <w:tc>
          <w:tcPr>
            <w:tcW w:w="1026" w:type="dxa"/>
            <w:vAlign w:val="center"/>
          </w:tcPr>
          <w:p w:rsidR="002A58A0" w:rsidRPr="00E01257" w:rsidP="00946187" w14:paraId="569730AC" w14:textId="51B76E11">
            <w:pPr>
              <w:spacing w:before="100" w:beforeAutospacing="1" w:after="100" w:afterAutospacing="1" w:line="240" w:lineRule="auto"/>
              <w:jc w:val="center"/>
              <w:rPr>
                <w:rFonts w:ascii="Arial" w:eastAsia="Times New Roman" w:hAnsi="Arial" w:cs="Arial"/>
                <w:sz w:val="24"/>
                <w:szCs w:val="24"/>
              </w:rPr>
            </w:pPr>
            <w:r w:rsidRPr="00E01257">
              <w:rPr>
                <w:rFonts w:ascii="Arial" w:eastAsia="Times New Roman" w:hAnsi="Arial" w:cs="Arial"/>
                <w:sz w:val="24"/>
                <w:szCs w:val="24"/>
              </w:rPr>
              <w:t>2</w:t>
            </w:r>
            <w:r w:rsidR="00830ED8">
              <w:rPr>
                <w:rFonts w:ascii="Arial" w:eastAsia="Times New Roman" w:hAnsi="Arial" w:cs="Arial"/>
                <w:sz w:val="24"/>
                <w:szCs w:val="24"/>
              </w:rPr>
              <w:t>67</w:t>
            </w:r>
          </w:p>
        </w:tc>
        <w:tc>
          <w:tcPr>
            <w:tcW w:w="1234" w:type="dxa"/>
            <w:tcMar>
              <w:top w:w="0" w:type="dxa"/>
              <w:left w:w="108" w:type="dxa"/>
              <w:bottom w:w="0" w:type="dxa"/>
              <w:right w:w="108" w:type="dxa"/>
            </w:tcMar>
            <w:vAlign w:val="center"/>
          </w:tcPr>
          <w:p w:rsidR="002A58A0" w:rsidRPr="00E01257" w:rsidP="00946187" w14:paraId="01331EB7"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sz w:val="24"/>
                <w:szCs w:val="24"/>
              </w:rPr>
              <w:t>$33.65</w:t>
            </w:r>
          </w:p>
        </w:tc>
        <w:tc>
          <w:tcPr>
            <w:tcW w:w="1405" w:type="dxa"/>
            <w:tcMar>
              <w:top w:w="0" w:type="dxa"/>
              <w:left w:w="108" w:type="dxa"/>
              <w:bottom w:w="0" w:type="dxa"/>
              <w:right w:w="108" w:type="dxa"/>
            </w:tcMar>
            <w:vAlign w:val="center"/>
          </w:tcPr>
          <w:p w:rsidR="002A58A0" w:rsidRPr="00E01257" w:rsidP="00946187" w14:paraId="212DF8FF"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sz w:val="24"/>
                <w:szCs w:val="24"/>
              </w:rPr>
              <w:t>$6,730</w:t>
            </w:r>
          </w:p>
        </w:tc>
      </w:tr>
      <w:tr w14:paraId="588D49A5" w14:textId="77777777" w:rsidTr="00946187">
        <w:tblPrEx>
          <w:tblW w:w="0" w:type="auto"/>
          <w:jc w:val="center"/>
          <w:tblCellMar>
            <w:left w:w="0" w:type="dxa"/>
            <w:right w:w="0" w:type="dxa"/>
          </w:tblCellMar>
          <w:tblLook w:val="04A0"/>
        </w:tblPrEx>
        <w:trPr>
          <w:jc w:val="center"/>
        </w:trPr>
        <w:tc>
          <w:tcPr>
            <w:tcW w:w="1625" w:type="dxa"/>
            <w:tcMar>
              <w:top w:w="0" w:type="dxa"/>
              <w:left w:w="108" w:type="dxa"/>
              <w:bottom w:w="0" w:type="dxa"/>
              <w:right w:w="108" w:type="dxa"/>
            </w:tcMar>
          </w:tcPr>
          <w:p w:rsidR="002A58A0" w:rsidRPr="00E01257" w:rsidP="00946187" w14:paraId="129297A8" w14:textId="77777777">
            <w:pPr>
              <w:spacing w:before="100" w:beforeAutospacing="1" w:after="100" w:afterAutospacing="1" w:line="240" w:lineRule="auto"/>
              <w:rPr>
                <w:rFonts w:ascii="Arial" w:eastAsia="Times New Roman" w:hAnsi="Arial" w:cs="Arial"/>
                <w:sz w:val="24"/>
                <w:szCs w:val="24"/>
              </w:rPr>
            </w:pPr>
          </w:p>
        </w:tc>
        <w:tc>
          <w:tcPr>
            <w:tcW w:w="1340" w:type="dxa"/>
            <w:tcMar>
              <w:top w:w="0" w:type="dxa"/>
              <w:left w:w="108" w:type="dxa"/>
              <w:bottom w:w="0" w:type="dxa"/>
              <w:right w:w="108" w:type="dxa"/>
            </w:tcMar>
            <w:vAlign w:val="center"/>
          </w:tcPr>
          <w:p w:rsidR="002A58A0" w:rsidRPr="00E01257" w:rsidP="00946187" w14:paraId="1CD0CA7F" w14:textId="77777777">
            <w:pPr>
              <w:spacing w:before="100" w:beforeAutospacing="1" w:after="100" w:afterAutospacing="1" w:line="240" w:lineRule="auto"/>
              <w:rPr>
                <w:rFonts w:ascii="Arial" w:eastAsia="Times New Roman" w:hAnsi="Arial" w:cs="Arial"/>
                <w:sz w:val="24"/>
                <w:szCs w:val="24"/>
              </w:rPr>
            </w:pPr>
          </w:p>
        </w:tc>
        <w:tc>
          <w:tcPr>
            <w:tcW w:w="2000" w:type="dxa"/>
            <w:tcMar>
              <w:top w:w="0" w:type="dxa"/>
              <w:left w:w="108" w:type="dxa"/>
              <w:bottom w:w="0" w:type="dxa"/>
              <w:right w:w="108" w:type="dxa"/>
            </w:tcMar>
            <w:vAlign w:val="center"/>
          </w:tcPr>
          <w:p w:rsidR="002A58A0" w:rsidRPr="00E01257" w:rsidP="00946187" w14:paraId="10F52209" w14:textId="77777777">
            <w:pPr>
              <w:spacing w:before="100" w:beforeAutospacing="1" w:after="100" w:afterAutospacing="1" w:line="240" w:lineRule="auto"/>
              <w:rPr>
                <w:rFonts w:ascii="Arial" w:eastAsia="Times New Roman" w:hAnsi="Arial" w:cs="Arial"/>
                <w:sz w:val="24"/>
                <w:szCs w:val="24"/>
              </w:rPr>
            </w:pPr>
          </w:p>
        </w:tc>
        <w:tc>
          <w:tcPr>
            <w:tcW w:w="1026" w:type="dxa"/>
            <w:vAlign w:val="center"/>
          </w:tcPr>
          <w:p w:rsidR="002A58A0" w:rsidRPr="00E01257" w:rsidP="00946187" w14:paraId="27277A14" w14:textId="77777777">
            <w:pPr>
              <w:spacing w:before="100" w:beforeAutospacing="1" w:after="100" w:afterAutospacing="1" w:line="240" w:lineRule="auto"/>
              <w:jc w:val="center"/>
              <w:rPr>
                <w:rFonts w:ascii="Arial" w:eastAsia="Times New Roman" w:hAnsi="Arial" w:cs="Arial"/>
                <w:sz w:val="24"/>
                <w:szCs w:val="24"/>
              </w:rPr>
            </w:pPr>
          </w:p>
        </w:tc>
        <w:tc>
          <w:tcPr>
            <w:tcW w:w="1234" w:type="dxa"/>
            <w:tcMar>
              <w:top w:w="0" w:type="dxa"/>
              <w:left w:w="108" w:type="dxa"/>
              <w:bottom w:w="0" w:type="dxa"/>
              <w:right w:w="108" w:type="dxa"/>
            </w:tcMar>
            <w:vAlign w:val="center"/>
          </w:tcPr>
          <w:p w:rsidR="002A58A0" w:rsidRPr="00E01257" w:rsidP="00946187" w14:paraId="30831DB2" w14:textId="77777777">
            <w:pPr>
              <w:spacing w:before="100" w:beforeAutospacing="1" w:after="100" w:afterAutospacing="1" w:line="240" w:lineRule="auto"/>
              <w:rPr>
                <w:rFonts w:ascii="Arial" w:eastAsia="Times New Roman" w:hAnsi="Arial" w:cs="Arial"/>
                <w:sz w:val="24"/>
                <w:szCs w:val="24"/>
              </w:rPr>
            </w:pPr>
          </w:p>
        </w:tc>
        <w:tc>
          <w:tcPr>
            <w:tcW w:w="1405" w:type="dxa"/>
            <w:tcMar>
              <w:top w:w="0" w:type="dxa"/>
              <w:left w:w="108" w:type="dxa"/>
              <w:bottom w:w="0" w:type="dxa"/>
              <w:right w:w="108" w:type="dxa"/>
            </w:tcMar>
            <w:vAlign w:val="center"/>
          </w:tcPr>
          <w:p w:rsidR="002A58A0" w:rsidRPr="00E01257" w:rsidP="00946187" w14:paraId="3116F3A2" w14:textId="77777777">
            <w:pPr>
              <w:spacing w:before="100" w:beforeAutospacing="1" w:after="100" w:afterAutospacing="1" w:line="240" w:lineRule="auto"/>
              <w:rPr>
                <w:rFonts w:ascii="Arial" w:eastAsia="Times New Roman" w:hAnsi="Arial" w:cs="Arial"/>
                <w:sz w:val="24"/>
                <w:szCs w:val="24"/>
              </w:rPr>
            </w:pPr>
          </w:p>
        </w:tc>
      </w:tr>
      <w:tr w14:paraId="5E7B6FC2" w14:textId="77777777" w:rsidTr="00946187">
        <w:tblPrEx>
          <w:tblW w:w="0" w:type="auto"/>
          <w:jc w:val="center"/>
          <w:tblCellMar>
            <w:left w:w="0" w:type="dxa"/>
            <w:right w:w="0" w:type="dxa"/>
          </w:tblCellMar>
          <w:tblLook w:val="04A0"/>
        </w:tblPrEx>
        <w:trPr>
          <w:jc w:val="center"/>
        </w:trPr>
        <w:tc>
          <w:tcPr>
            <w:tcW w:w="1625" w:type="dxa"/>
            <w:tcMar>
              <w:top w:w="0" w:type="dxa"/>
              <w:left w:w="108" w:type="dxa"/>
              <w:bottom w:w="0" w:type="dxa"/>
              <w:right w:w="108" w:type="dxa"/>
            </w:tcMar>
            <w:hideMark/>
          </w:tcPr>
          <w:p w:rsidR="002A58A0" w:rsidRPr="00E01257" w:rsidP="00946187" w14:paraId="3F4F16D5"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b/>
                <w:bCs/>
                <w:sz w:val="24"/>
                <w:szCs w:val="24"/>
              </w:rPr>
              <w:t>Total</w:t>
            </w:r>
          </w:p>
        </w:tc>
        <w:tc>
          <w:tcPr>
            <w:tcW w:w="1340" w:type="dxa"/>
            <w:tcMar>
              <w:top w:w="0" w:type="dxa"/>
              <w:left w:w="108" w:type="dxa"/>
              <w:bottom w:w="0" w:type="dxa"/>
              <w:right w:w="108" w:type="dxa"/>
            </w:tcMar>
            <w:vAlign w:val="center"/>
            <w:hideMark/>
          </w:tcPr>
          <w:p w:rsidR="002A58A0" w:rsidRPr="00E01257" w:rsidP="00946187" w14:paraId="582BC5B0" w14:textId="77777777">
            <w:pPr>
              <w:spacing w:before="100" w:beforeAutospacing="1" w:after="100" w:afterAutospacing="1" w:line="240" w:lineRule="auto"/>
              <w:rPr>
                <w:rFonts w:ascii="Arial" w:eastAsia="Times New Roman" w:hAnsi="Arial" w:cs="Arial"/>
                <w:sz w:val="24"/>
                <w:szCs w:val="24"/>
              </w:rPr>
            </w:pPr>
            <w:r w:rsidRPr="00E01257">
              <w:rPr>
                <w:rFonts w:ascii="Arial" w:eastAsia="Times New Roman" w:hAnsi="Arial" w:cs="Arial"/>
                <w:sz w:val="24"/>
                <w:szCs w:val="24"/>
              </w:rPr>
              <w:t>800</w:t>
            </w:r>
          </w:p>
        </w:tc>
        <w:tc>
          <w:tcPr>
            <w:tcW w:w="2000" w:type="dxa"/>
            <w:tcMar>
              <w:top w:w="0" w:type="dxa"/>
              <w:left w:w="108" w:type="dxa"/>
              <w:bottom w:w="0" w:type="dxa"/>
              <w:right w:w="108" w:type="dxa"/>
            </w:tcMar>
            <w:vAlign w:val="center"/>
            <w:hideMark/>
          </w:tcPr>
          <w:p w:rsidR="002A58A0" w:rsidRPr="00E01257" w:rsidP="00946187" w14:paraId="224BE8C0" w14:textId="77777777">
            <w:pPr>
              <w:spacing w:after="0" w:line="240" w:lineRule="auto"/>
              <w:rPr>
                <w:rFonts w:ascii="Arial" w:eastAsia="Times New Roman" w:hAnsi="Arial" w:cs="Arial"/>
                <w:sz w:val="24"/>
                <w:szCs w:val="24"/>
              </w:rPr>
            </w:pPr>
          </w:p>
        </w:tc>
        <w:tc>
          <w:tcPr>
            <w:tcW w:w="1026" w:type="dxa"/>
          </w:tcPr>
          <w:p w:rsidR="002A58A0" w:rsidRPr="00E01257" w:rsidP="00946187" w14:paraId="552CD23C" w14:textId="7A168758">
            <w:pPr>
              <w:spacing w:after="0" w:line="240" w:lineRule="auto"/>
              <w:jc w:val="center"/>
              <w:rPr>
                <w:rFonts w:ascii="Arial" w:eastAsia="Times New Roman" w:hAnsi="Arial" w:cs="Arial"/>
                <w:sz w:val="24"/>
                <w:szCs w:val="24"/>
              </w:rPr>
            </w:pPr>
            <w:r w:rsidRPr="00E01257">
              <w:rPr>
                <w:rFonts w:ascii="Arial" w:eastAsia="Times New Roman" w:hAnsi="Arial" w:cs="Arial"/>
                <w:sz w:val="24"/>
                <w:szCs w:val="24"/>
              </w:rPr>
              <w:t>2</w:t>
            </w:r>
            <w:r w:rsidR="00830ED8">
              <w:rPr>
                <w:rFonts w:ascii="Arial" w:eastAsia="Times New Roman" w:hAnsi="Arial" w:cs="Arial"/>
                <w:sz w:val="24"/>
                <w:szCs w:val="24"/>
              </w:rPr>
              <w:t>67</w:t>
            </w:r>
          </w:p>
        </w:tc>
        <w:tc>
          <w:tcPr>
            <w:tcW w:w="1234" w:type="dxa"/>
            <w:tcMar>
              <w:top w:w="0" w:type="dxa"/>
              <w:left w:w="108" w:type="dxa"/>
              <w:bottom w:w="0" w:type="dxa"/>
              <w:right w:w="108" w:type="dxa"/>
            </w:tcMar>
            <w:vAlign w:val="center"/>
            <w:hideMark/>
          </w:tcPr>
          <w:p w:rsidR="002A58A0" w:rsidRPr="00E01257" w:rsidP="00946187" w14:paraId="338A2263" w14:textId="77777777">
            <w:pPr>
              <w:spacing w:after="0" w:line="240" w:lineRule="auto"/>
              <w:rPr>
                <w:rFonts w:ascii="Arial" w:eastAsia="Times New Roman" w:hAnsi="Arial" w:cs="Arial"/>
                <w:sz w:val="24"/>
                <w:szCs w:val="24"/>
              </w:rPr>
            </w:pPr>
          </w:p>
        </w:tc>
        <w:tc>
          <w:tcPr>
            <w:tcW w:w="1405" w:type="dxa"/>
            <w:tcMar>
              <w:top w:w="0" w:type="dxa"/>
              <w:left w:w="108" w:type="dxa"/>
              <w:bottom w:w="0" w:type="dxa"/>
              <w:right w:w="108" w:type="dxa"/>
            </w:tcMar>
            <w:vAlign w:val="center"/>
            <w:hideMark/>
          </w:tcPr>
          <w:p w:rsidR="002A58A0" w:rsidRPr="00E01257" w:rsidP="00946187" w14:paraId="5555FA98" w14:textId="77777777">
            <w:pPr>
              <w:spacing w:before="100" w:beforeAutospacing="1" w:after="100" w:afterAutospacing="1" w:line="240" w:lineRule="auto"/>
              <w:rPr>
                <w:rFonts w:ascii="Arial" w:eastAsia="Times New Roman" w:hAnsi="Arial" w:cs="Arial"/>
                <w:b/>
                <w:sz w:val="24"/>
                <w:szCs w:val="24"/>
              </w:rPr>
            </w:pPr>
            <w:r w:rsidRPr="00E01257">
              <w:rPr>
                <w:rFonts w:ascii="Arial" w:eastAsia="Times New Roman" w:hAnsi="Arial" w:cs="Arial"/>
                <w:b/>
                <w:sz w:val="24"/>
                <w:szCs w:val="24"/>
              </w:rPr>
              <w:t>$6,730</w:t>
            </w:r>
          </w:p>
        </w:tc>
      </w:tr>
    </w:tbl>
    <w:p w:rsidR="002A58A0" w:rsidP="002A58A0" w14:paraId="3ED42186" w14:textId="453FDA0A">
      <w:pPr>
        <w:pStyle w:val="ListParagraph"/>
      </w:pPr>
      <w:r>
        <w:t xml:space="preserve"> </w:t>
      </w:r>
    </w:p>
    <w:p w:rsidR="002A58A0" w:rsidP="002A58A0" w14:paraId="7F8E2986" w14:textId="77777777">
      <w:pPr>
        <w:pStyle w:val="ListParagraph"/>
      </w:pPr>
    </w:p>
    <w:p w:rsidR="00540ABF" w:rsidRPr="005B7AEA" w:rsidP="00540ABF" w14:paraId="767074CC" w14:textId="77777777">
      <w:pPr>
        <w:pStyle w:val="Hdng2-IPR"/>
        <w:rPr>
          <w:rFonts w:asciiTheme="minorHAnsi" w:hAnsiTheme="minorHAnsi" w:cstheme="minorHAnsi"/>
          <w:color w:val="000000" w:themeColor="text1"/>
        </w:rPr>
      </w:pPr>
      <w:r w:rsidRPr="005B7AEA">
        <w:rPr>
          <w:rFonts w:asciiTheme="minorHAnsi" w:hAnsiTheme="minorHAnsi" w:cstheme="minorHAnsi"/>
          <w:color w:val="000000" w:themeColor="text1"/>
        </w:rPr>
        <w:t>A.13.</w:t>
      </w:r>
      <w:r w:rsidRPr="005B7AEA">
        <w:rPr>
          <w:rFonts w:asciiTheme="minorHAnsi" w:hAnsiTheme="minorHAnsi" w:cstheme="minorHAnsi"/>
          <w:color w:val="000000" w:themeColor="text1"/>
        </w:rPr>
        <w:tab/>
        <w:t>Estimates of Other Total Annual Cost Burden to Respondents or Record Keepers</w:t>
      </w:r>
      <w:bookmarkEnd w:id="49"/>
      <w:bookmarkEnd w:id="50"/>
    </w:p>
    <w:p w:rsidR="00540ABF" w:rsidRPr="005B7AEA" w:rsidP="00540ABF" w14:paraId="533DAE25" w14:textId="77777777">
      <w:pPr>
        <w:pStyle w:val="OMBRequirementCalibri"/>
        <w:rPr>
          <w:rFonts w:cstheme="minorHAnsi"/>
          <w:color w:val="000000" w:themeColor="text1"/>
        </w:rPr>
      </w:pPr>
      <w:r w:rsidRPr="005B7AEA">
        <w:rPr>
          <w:rFonts w:cstheme="minorHAnsi"/>
          <w:color w:val="000000" w:themeColor="text1"/>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40ABF" w:rsidRPr="005B7AEA" w:rsidP="00540ABF" w14:paraId="004E9AFC" w14:textId="77777777">
      <w:pPr>
        <w:pStyle w:val="Body12ptCalibri-IPR"/>
        <w:rPr>
          <w:rFonts w:cstheme="minorHAnsi"/>
          <w:color w:val="000000" w:themeColor="text1"/>
        </w:rPr>
      </w:pPr>
      <w:r w:rsidRPr="005B7AEA">
        <w:rPr>
          <w:rFonts w:cstheme="minorHAnsi"/>
          <w:color w:val="000000" w:themeColor="text1"/>
          <w:lang w:bidi="he-IL"/>
        </w:rPr>
        <w:t xml:space="preserve">The collection of this information does not add any additional costs to respondents or record keepers other than the hour burden costs described in Sections A.12 and A.14.  </w:t>
      </w:r>
    </w:p>
    <w:p w:rsidR="00540ABF" w:rsidRPr="007711FE" w:rsidP="00181B91" w14:paraId="674FAB6D" w14:textId="77777777">
      <w:pPr>
        <w:pStyle w:val="OMBRequirementCalibri"/>
        <w:rPr>
          <w:rFonts w:cstheme="minorHAnsi"/>
          <w:b w:val="0"/>
          <w:bCs/>
        </w:rPr>
      </w:pPr>
    </w:p>
    <w:p w:rsidR="00181B91" w:rsidRPr="00740EBA" w:rsidP="00181B91" w14:paraId="7D69B511" w14:textId="2A0ACE87">
      <w:pPr>
        <w:pStyle w:val="Hdng2-IPR"/>
      </w:pPr>
      <w:bookmarkStart w:id="51" w:name="_Toc133208887"/>
      <w:bookmarkStart w:id="52" w:name="_Toc329426286"/>
      <w:bookmarkStart w:id="53" w:name="_Toc335320956"/>
      <w:bookmarkStart w:id="54" w:name="_Toc351666588"/>
      <w:bookmarkStart w:id="55" w:name="_Toc416426573"/>
      <w:r w:rsidRPr="00740EBA">
        <w:t>A.14.</w:t>
      </w:r>
      <w:r w:rsidRPr="00740EBA">
        <w:tab/>
        <w:t>Annualized Cost to Federal Government</w:t>
      </w:r>
      <w:bookmarkEnd w:id="51"/>
      <w:bookmarkEnd w:id="52"/>
      <w:bookmarkEnd w:id="53"/>
      <w:bookmarkEnd w:id="54"/>
      <w:bookmarkEnd w:id="55"/>
    </w:p>
    <w:p w:rsidR="00181B91" w:rsidP="00181B91" w14:paraId="5B543A1F" w14:textId="55E176AB">
      <w:pPr>
        <w:pStyle w:val="OMBRequirementCalibri"/>
        <w:rPr>
          <w:rFonts w:cstheme="minorHAnsi"/>
        </w:rPr>
      </w:pPr>
      <w:r w:rsidRPr="00236788">
        <w:rPr>
          <w:rFonts w:cstheme="minorHAnsi"/>
        </w:rPr>
        <w:t>Provide estimates of annualized cost to the Federal government. Also, provide a description of the method used to estimate cost and any other expense that would not have been incurred without this collection of information.</w:t>
      </w:r>
    </w:p>
    <w:p w:rsidR="000B089F" w:rsidRPr="00947E9E" w:rsidP="00181B91" w14:paraId="7E98DA48" w14:textId="51096519">
      <w:pPr>
        <w:pStyle w:val="OMBRequirementCalibri"/>
        <w:rPr>
          <w:rFonts w:cstheme="minorHAnsi"/>
          <w:b w:val="0"/>
          <w:bCs/>
        </w:rPr>
      </w:pPr>
      <w:r w:rsidRPr="00947E9E">
        <w:rPr>
          <w:rFonts w:cstheme="minorHAnsi"/>
          <w:b w:val="0"/>
          <w:bCs/>
        </w:rPr>
        <w:t>It is estimated that it will take 50 PO hours to construct the survey and analyze the results</w:t>
      </w:r>
      <w:r>
        <w:rPr>
          <w:rFonts w:cstheme="minorHAnsi"/>
          <w:b w:val="0"/>
          <w:bCs/>
        </w:rPr>
        <w:t>, for a salary cost of $2644. This estimate is based on the salary of the PO.</w:t>
      </w:r>
    </w:p>
    <w:p w:rsidR="00181B91" w:rsidRPr="00740EBA" w:rsidP="00181B91" w14:paraId="33DA5CE0" w14:textId="7A6B6C6D">
      <w:pPr>
        <w:pStyle w:val="Hdng2-IPR"/>
      </w:pPr>
      <w:bookmarkStart w:id="56" w:name="_Toc133208888"/>
      <w:bookmarkStart w:id="57" w:name="_Toc329426287"/>
      <w:bookmarkStart w:id="58" w:name="_Toc335320957"/>
      <w:bookmarkStart w:id="59" w:name="_Toc351666589"/>
      <w:bookmarkStart w:id="60" w:name="_Toc416426574"/>
      <w:r w:rsidRPr="00740EBA">
        <w:t>A.15.</w:t>
      </w:r>
      <w:r w:rsidRPr="00740EBA">
        <w:tab/>
      </w:r>
      <w:bookmarkEnd w:id="56"/>
      <w:r w:rsidRPr="00740EBA">
        <w:t>Explanation for Program Changes or Adjustments</w:t>
      </w:r>
      <w:bookmarkEnd w:id="57"/>
      <w:bookmarkEnd w:id="58"/>
      <w:bookmarkEnd w:id="59"/>
      <w:bookmarkEnd w:id="60"/>
    </w:p>
    <w:p w:rsidR="00181B91" w:rsidRPr="00236788" w:rsidP="00181B91" w14:paraId="5B29D62A" w14:textId="77777777">
      <w:pPr>
        <w:pStyle w:val="OMBRequirementCalibri"/>
        <w:rPr>
          <w:rFonts w:cstheme="minorHAnsi"/>
        </w:rPr>
      </w:pPr>
      <w:r w:rsidRPr="00236788">
        <w:rPr>
          <w:rFonts w:cstheme="minorHAnsi"/>
        </w:rPr>
        <w:t>Explain the reasons for any program changes or adjustments reported in Items 13 or 14 of the OMB Form 83-1.</w:t>
      </w:r>
    </w:p>
    <w:p w:rsidR="00181B91" w:rsidRPr="0062791E" w:rsidP="0062791E" w14:paraId="6F09EC76" w14:textId="3C6B0906">
      <w:pPr>
        <w:pStyle w:val="Body12ptCalibri-IPR"/>
        <w:ind w:firstLine="0"/>
        <w:rPr>
          <w:rFonts w:cstheme="minorHAnsi"/>
        </w:rPr>
      </w:pPr>
      <w:r w:rsidRPr="0062791E">
        <w:rPr>
          <w:rFonts w:cstheme="minorHAnsi"/>
        </w:rPr>
        <w:t xml:space="preserve">This is a new submission. There is no request for program changes or adjustments. </w:t>
      </w:r>
    </w:p>
    <w:p w:rsidR="00181B91" w:rsidRPr="00740EBA" w:rsidP="00181B91" w14:paraId="1102442F" w14:textId="2E2F3674">
      <w:pPr>
        <w:pStyle w:val="Hdng2-IPR"/>
      </w:pPr>
      <w:bookmarkStart w:id="61" w:name="_Toc133208890"/>
      <w:bookmarkStart w:id="62" w:name="_Toc329426288"/>
      <w:bookmarkStart w:id="63" w:name="_Toc335320958"/>
      <w:bookmarkStart w:id="64" w:name="_Toc351666590"/>
      <w:bookmarkStart w:id="65" w:name="_Toc416426575"/>
      <w:r w:rsidRPr="00740EBA">
        <w:t>A.16.</w:t>
      </w:r>
      <w:r w:rsidRPr="00740EBA">
        <w:tab/>
      </w:r>
      <w:bookmarkEnd w:id="61"/>
      <w:r w:rsidRPr="00740EBA">
        <w:t>Plans for Tabulation and Publication and Project Time Schedule</w:t>
      </w:r>
      <w:bookmarkEnd w:id="62"/>
      <w:bookmarkEnd w:id="63"/>
      <w:bookmarkEnd w:id="64"/>
      <w:bookmarkEnd w:id="65"/>
    </w:p>
    <w:p w:rsidR="00BC5608" w:rsidP="006C0A78" w14:paraId="2444BEE4" w14:textId="0B210D1D">
      <w:pPr>
        <w:pStyle w:val="OMBRequirementCalibri"/>
        <w:rPr>
          <w:rFonts w:cstheme="minorHAnsi"/>
        </w:rPr>
      </w:pPr>
      <w:r w:rsidRPr="00236788">
        <w:rPr>
          <w:rFonts w:cstheme="minorHAnsi"/>
        </w:rPr>
        <w:t>For collections of information whose results are planned to be published, outline plans for tabulation and publication.</w:t>
      </w:r>
      <w:bookmarkStart w:id="66" w:name="_Toc133208891"/>
      <w:bookmarkStart w:id="67" w:name="_Toc329426289"/>
      <w:bookmarkStart w:id="68" w:name="_Toc335320959"/>
      <w:bookmarkStart w:id="69" w:name="_Toc351666591"/>
    </w:p>
    <w:p w:rsidR="007C6C62" w:rsidP="00730593" w14:paraId="5C82C4F8" w14:textId="4501DB76">
      <w:pPr>
        <w:spacing w:after="0" w:line="480" w:lineRule="auto"/>
        <w:ind w:firstLine="720"/>
        <w:rPr>
          <w:rFonts w:cstheme="minorHAnsi"/>
          <w:color w:val="000000" w:themeColor="text1"/>
          <w:szCs w:val="24"/>
        </w:rPr>
      </w:pPr>
      <w:bookmarkStart w:id="70" w:name="_Toc416426576"/>
      <w:r w:rsidRPr="00C020F7">
        <w:rPr>
          <w:rFonts w:cstheme="minorHAnsi"/>
          <w:color w:val="000000" w:themeColor="text1"/>
          <w:sz w:val="24"/>
          <w:szCs w:val="24"/>
        </w:rPr>
        <w:t xml:space="preserve">Data from the </w:t>
      </w:r>
      <w:r w:rsidR="005D5DFD">
        <w:rPr>
          <w:rFonts w:cstheme="minorHAnsi"/>
          <w:color w:val="000000" w:themeColor="text1"/>
          <w:sz w:val="24"/>
          <w:szCs w:val="24"/>
        </w:rPr>
        <w:t>systematics</w:t>
      </w:r>
      <w:r w:rsidRPr="00C020F7">
        <w:rPr>
          <w:rFonts w:cstheme="minorHAnsi"/>
          <w:color w:val="000000" w:themeColor="text1"/>
          <w:sz w:val="24"/>
          <w:szCs w:val="24"/>
        </w:rPr>
        <w:t xml:space="preserve"> </w:t>
      </w:r>
      <w:r>
        <w:rPr>
          <w:rFonts w:cstheme="minorHAnsi"/>
          <w:color w:val="000000" w:themeColor="text1"/>
          <w:sz w:val="24"/>
          <w:szCs w:val="24"/>
        </w:rPr>
        <w:t>survey</w:t>
      </w:r>
      <w:r w:rsidRPr="00C020F7">
        <w:rPr>
          <w:rFonts w:cstheme="minorHAnsi"/>
          <w:color w:val="000000" w:themeColor="text1"/>
          <w:sz w:val="24"/>
          <w:szCs w:val="24"/>
        </w:rPr>
        <w:t xml:space="preserve"> </w:t>
      </w:r>
      <w:r>
        <w:rPr>
          <w:rFonts w:cstheme="minorHAnsi"/>
          <w:color w:val="000000" w:themeColor="text1"/>
          <w:sz w:val="24"/>
          <w:szCs w:val="24"/>
        </w:rPr>
        <w:t>are</w:t>
      </w:r>
      <w:r w:rsidRPr="00C020F7">
        <w:rPr>
          <w:rFonts w:cstheme="minorHAnsi"/>
          <w:color w:val="000000" w:themeColor="text1"/>
          <w:sz w:val="24"/>
          <w:szCs w:val="24"/>
        </w:rPr>
        <w:t xml:space="preserve"> expected to be collected over a one- to two-month period in </w:t>
      </w:r>
      <w:r w:rsidR="007A019D">
        <w:rPr>
          <w:rFonts w:cstheme="minorHAnsi"/>
          <w:color w:val="000000" w:themeColor="text1"/>
          <w:sz w:val="24"/>
          <w:szCs w:val="24"/>
        </w:rPr>
        <w:t>Summer 2024</w:t>
      </w:r>
      <w:r w:rsidRPr="00C020F7">
        <w:rPr>
          <w:rFonts w:cstheme="minorHAnsi"/>
          <w:color w:val="000000" w:themeColor="text1"/>
          <w:sz w:val="24"/>
          <w:szCs w:val="24"/>
        </w:rPr>
        <w:t xml:space="preserve">. After data collection closes, </w:t>
      </w:r>
      <w:r w:rsidR="007A019D">
        <w:rPr>
          <w:rFonts w:cstheme="minorHAnsi"/>
          <w:color w:val="000000" w:themeColor="text1"/>
          <w:sz w:val="24"/>
          <w:szCs w:val="24"/>
        </w:rPr>
        <w:t>SBS</w:t>
      </w:r>
      <w:r w:rsidRPr="00C020F7">
        <w:rPr>
          <w:rFonts w:cstheme="minorHAnsi"/>
          <w:color w:val="000000" w:themeColor="text1"/>
          <w:sz w:val="24"/>
          <w:szCs w:val="24"/>
        </w:rPr>
        <w:t xml:space="preserve"> will spend </w:t>
      </w:r>
      <w:r>
        <w:rPr>
          <w:rFonts w:cstheme="minorHAnsi"/>
          <w:color w:val="000000" w:themeColor="text1"/>
          <w:sz w:val="24"/>
          <w:szCs w:val="24"/>
        </w:rPr>
        <w:t xml:space="preserve">two months </w:t>
      </w:r>
      <w:r w:rsidRPr="00C020F7">
        <w:rPr>
          <w:rFonts w:cstheme="minorHAnsi"/>
          <w:color w:val="000000" w:themeColor="text1"/>
          <w:sz w:val="24"/>
          <w:szCs w:val="24"/>
        </w:rPr>
        <w:t>preparing, analyzing, and summarizing the data, including</w:t>
      </w:r>
      <w:r w:rsidR="00D6250D">
        <w:rPr>
          <w:rFonts w:cstheme="minorHAnsi"/>
          <w:color w:val="000000" w:themeColor="text1"/>
          <w:sz w:val="24"/>
          <w:szCs w:val="24"/>
        </w:rPr>
        <w:t xml:space="preserve"> </w:t>
      </w:r>
      <w:r w:rsidRPr="00C020F7">
        <w:rPr>
          <w:rFonts w:cstheme="minorHAnsi"/>
          <w:color w:val="000000" w:themeColor="text1"/>
          <w:sz w:val="24"/>
          <w:szCs w:val="24"/>
        </w:rPr>
        <w:t xml:space="preserve">running descriptive statistics </w:t>
      </w:r>
      <w:r w:rsidR="00D6250D">
        <w:rPr>
          <w:rFonts w:cstheme="minorHAnsi"/>
          <w:color w:val="000000" w:themeColor="text1"/>
          <w:sz w:val="24"/>
          <w:szCs w:val="24"/>
        </w:rPr>
        <w:t>on</w:t>
      </w:r>
      <w:r w:rsidRPr="00C020F7">
        <w:rPr>
          <w:rFonts w:cstheme="minorHAnsi"/>
          <w:color w:val="000000" w:themeColor="text1"/>
          <w:sz w:val="24"/>
          <w:szCs w:val="24"/>
        </w:rPr>
        <w:t xml:space="preserve"> survey item responses</w:t>
      </w:r>
      <w:r w:rsidR="00D6250D">
        <w:rPr>
          <w:rFonts w:cstheme="minorHAnsi"/>
          <w:color w:val="000000" w:themeColor="text1"/>
          <w:sz w:val="24"/>
          <w:szCs w:val="24"/>
        </w:rPr>
        <w:t xml:space="preserve">. </w:t>
      </w:r>
      <w:r w:rsidRPr="00C020F7">
        <w:rPr>
          <w:rFonts w:cstheme="minorHAnsi"/>
          <w:color w:val="000000" w:themeColor="text1"/>
          <w:szCs w:val="24"/>
        </w:rPr>
        <w:t xml:space="preserve">Survey data will be analyzed using SPSS and R statistical software packages. </w:t>
      </w:r>
      <w:r w:rsidR="005D5DFD">
        <w:rPr>
          <w:rFonts w:cstheme="minorHAnsi"/>
          <w:color w:val="000000" w:themeColor="text1"/>
          <w:szCs w:val="24"/>
        </w:rPr>
        <w:t>Depending on results</w:t>
      </w:r>
      <w:r w:rsidR="0081032F">
        <w:rPr>
          <w:rFonts w:cstheme="minorHAnsi"/>
          <w:color w:val="000000" w:themeColor="text1"/>
          <w:szCs w:val="24"/>
        </w:rPr>
        <w:t xml:space="preserve"> of analysis, SBS will prepare a compilation/report of results in winter 2024/2025</w:t>
      </w:r>
      <w:r w:rsidR="00BC32C5">
        <w:rPr>
          <w:rFonts w:cstheme="minorHAnsi"/>
          <w:color w:val="000000" w:themeColor="text1"/>
          <w:szCs w:val="24"/>
        </w:rPr>
        <w:t xml:space="preserve"> that may be appropriate as a white paper, with a submission date of</w:t>
      </w:r>
      <w:r w:rsidR="00400720">
        <w:rPr>
          <w:rFonts w:cstheme="minorHAnsi"/>
          <w:color w:val="000000" w:themeColor="text1"/>
          <w:szCs w:val="24"/>
        </w:rPr>
        <w:t xml:space="preserve"> Spring 2025.</w:t>
      </w:r>
    </w:p>
    <w:p w:rsidR="00181B91" w:rsidRPr="008C18BF" w:rsidP="00181B91" w14:paraId="5D566034" w14:textId="3121F0F2">
      <w:pPr>
        <w:pStyle w:val="Hdng2-IPR"/>
      </w:pPr>
      <w:r w:rsidRPr="00740EBA">
        <w:t>A.17.</w:t>
      </w:r>
      <w:r w:rsidRPr="00740EBA">
        <w:tab/>
      </w:r>
      <w:bookmarkEnd w:id="66"/>
      <w:r w:rsidRPr="00740EBA">
        <w:t>R</w:t>
      </w:r>
      <w:r w:rsidRPr="008C18BF">
        <w:rPr>
          <w:rFonts w:eastAsiaTheme="minorHAnsi"/>
        </w:rPr>
        <w:t>e</w:t>
      </w:r>
      <w:r w:rsidRPr="008C18BF">
        <w:t>ason(s) Display of OMB Expiration Date is Inappropriate</w:t>
      </w:r>
      <w:bookmarkEnd w:id="67"/>
      <w:bookmarkEnd w:id="68"/>
      <w:bookmarkEnd w:id="69"/>
      <w:bookmarkEnd w:id="70"/>
    </w:p>
    <w:p w:rsidR="00181B91" w:rsidP="00181B91" w14:paraId="55B590B8" w14:textId="48F49F89">
      <w:pPr>
        <w:pStyle w:val="OMBRequirementCalibri"/>
        <w:rPr>
          <w:rFonts w:cstheme="minorHAnsi"/>
        </w:rPr>
      </w:pPr>
      <w:r w:rsidRPr="00236788">
        <w:rPr>
          <w:rFonts w:cstheme="minorHAnsi"/>
        </w:rPr>
        <w:t>If seeking approval to not display the expiration date for OMB approval of the information collection, explain the reasons that display would be inappropriate.</w:t>
      </w:r>
    </w:p>
    <w:p w:rsidR="004D77C3" w:rsidRPr="004D77C3" w:rsidP="00400720" w14:paraId="6B9917DE" w14:textId="07272F36">
      <w:pPr>
        <w:pStyle w:val="OMBRequirementCalibri"/>
        <w:spacing w:line="480" w:lineRule="auto"/>
        <w:rPr>
          <w:rFonts w:cstheme="minorHAnsi"/>
          <w:b w:val="0"/>
          <w:bCs/>
        </w:rPr>
      </w:pPr>
      <w:r w:rsidRPr="004D77C3">
        <w:rPr>
          <w:rFonts w:cstheme="minorHAnsi"/>
          <w:b w:val="0"/>
          <w:bCs/>
        </w:rPr>
        <w:t>The National Science Foundation plans to display the expiration date of OMB approval on all forms/questionnaires associated with this information collection.</w:t>
      </w:r>
    </w:p>
    <w:p w:rsidR="00181B91" w:rsidRPr="00740EBA" w:rsidP="00181B91" w14:paraId="3EDF0134" w14:textId="40557181">
      <w:pPr>
        <w:pStyle w:val="Hdng2-IPR"/>
      </w:pPr>
      <w:bookmarkStart w:id="71" w:name="_Toc133208893"/>
      <w:bookmarkStart w:id="72" w:name="_Toc329426290"/>
      <w:bookmarkStart w:id="73" w:name="_Toc335320960"/>
      <w:bookmarkStart w:id="74" w:name="_Toc351666592"/>
      <w:bookmarkStart w:id="75" w:name="_Toc416426577"/>
      <w:r w:rsidRPr="00740EBA">
        <w:t>A.18.</w:t>
      </w:r>
      <w:r w:rsidRPr="00740EBA">
        <w:tab/>
        <w:t>Exceptions to Certification for Paperwork Reduction Act Submissions</w:t>
      </w:r>
      <w:bookmarkEnd w:id="71"/>
      <w:bookmarkEnd w:id="72"/>
      <w:bookmarkEnd w:id="73"/>
      <w:bookmarkEnd w:id="74"/>
      <w:bookmarkEnd w:id="75"/>
    </w:p>
    <w:p w:rsidR="00181B91" w:rsidRPr="00236788" w:rsidP="00181B91" w14:paraId="0C3E0BB3" w14:textId="77777777">
      <w:pPr>
        <w:pStyle w:val="OMBRequirementCalibri"/>
        <w:rPr>
          <w:rFonts w:cstheme="minorHAnsi"/>
        </w:rPr>
      </w:pPr>
      <w:r w:rsidRPr="00236788">
        <w:rPr>
          <w:rFonts w:cstheme="minorHAnsi"/>
        </w:rPr>
        <w:t>Explain each exception to the certification statement identified in Item 19 “Certification for Paperwork Reduction Act.”</w:t>
      </w:r>
    </w:p>
    <w:p w:rsidR="00E52E67" w:rsidRPr="00472FE3" w:rsidP="00030BF3" w14:paraId="78BF2561" w14:textId="2FD424A3">
      <w:pPr>
        <w:pStyle w:val="Body12ptCalibri-IPR"/>
        <w:ind w:firstLine="0"/>
        <w:rPr>
          <w:rFonts w:cstheme="minorHAnsi"/>
        </w:rPr>
      </w:pPr>
      <w:r w:rsidRPr="00472FE3">
        <w:rPr>
          <w:rStyle w:val="FootnoteReference"/>
          <w:rFonts w:cstheme="minorHAnsi"/>
        </w:rPr>
        <w:t>There are no exceptions to the certification statement</w:t>
      </w:r>
      <w:bookmarkStart w:id="76" w:name="here"/>
      <w:bookmarkEnd w:id="76"/>
      <w:r w:rsidRPr="00472FE3">
        <w:rPr>
          <w:rStyle w:val="FootnoteReference"/>
          <w:rFonts w:cstheme="minorHAnsi"/>
        </w:rPr>
        <w:t>.</w:t>
      </w:r>
    </w:p>
    <w:p w:rsidR="006561A1" w:rsidRPr="00316E6E" w:rsidP="006561A1" w14:paraId="7661D1F0" w14:textId="77777777">
      <w:pPr>
        <w:pStyle w:val="Body12ptCalibri-IPR"/>
        <w:ind w:firstLine="0"/>
        <w:rPr>
          <w:rFonts w:cstheme="minorHAnsi"/>
        </w:rPr>
      </w:pPr>
    </w:p>
    <w:p w:rsidR="00C21F61" w:rsidRPr="003B1004" w14:paraId="22C8E224" w14:textId="77777777">
      <w:pPr>
        <w:rPr>
          <w:rFonts w:cstheme="minorHAnsi"/>
        </w:rPr>
      </w:pPr>
    </w:p>
    <w:sectPr w:rsidSect="00BB7786">
      <w:headerReference w:type="default" r:id="rId9"/>
      <w:footerReference w:type="default" r:id="rId10"/>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5AA" w:rsidRPr="007678A1" w:rsidP="007678A1" w14:paraId="4B011489" w14:textId="17B358A6">
    <w:pPr>
      <w:pStyle w:val="Footer"/>
      <w:jc w:val="center"/>
      <w:rPr>
        <w:b/>
        <w:bCs/>
      </w:rPr>
    </w:pPr>
    <w:bookmarkStart w:id="77" w:name="TITUS1FooterPrimary"/>
    <w:bookmarkEnd w:id="77"/>
    <w:r>
      <w:rPr>
        <w:b/>
        <w:bCs/>
        <w:color w:val="000000"/>
        <w:sz w:val="17"/>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4522" w:rsidP="00EE364F" w14:paraId="6DE6519C" w14:textId="77777777">
      <w:pPr>
        <w:spacing w:after="0" w:line="240" w:lineRule="auto"/>
      </w:pPr>
      <w:r>
        <w:separator/>
      </w:r>
    </w:p>
  </w:footnote>
  <w:footnote w:type="continuationSeparator" w:id="1">
    <w:p w:rsidR="00844522" w:rsidP="00EE364F" w14:paraId="20AC77AC" w14:textId="77777777">
      <w:pPr>
        <w:spacing w:after="0" w:line="240" w:lineRule="auto"/>
      </w:pPr>
      <w:r>
        <w:continuationSeparator/>
      </w:r>
    </w:p>
  </w:footnote>
  <w:footnote w:id="2">
    <w:p w:rsidR="002A58A0" w:rsidP="002A58A0" w14:paraId="1C2342B6" w14:textId="77777777">
      <w:pPr>
        <w:pStyle w:val="FootnoteText"/>
      </w:pPr>
      <w:r>
        <w:rPr>
          <w:rStyle w:val="FootnoteReference"/>
        </w:rPr>
        <w:footnoteRef/>
      </w:r>
      <w:r>
        <w:t xml:space="preserve"> </w:t>
      </w:r>
      <w:hyperlink r:id="rId1" w:history="1">
        <w:r w:rsidRPr="000E3473">
          <w:rPr>
            <w:rStyle w:val="Hyperlink"/>
          </w:rPr>
          <w:t>https://www.bls.gov/oes/current/oes251021.htm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5AA" w:rsidRPr="007678A1" w:rsidP="007678A1" w14:paraId="43E4EFAF" w14:textId="300B06B2">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002AA"/>
    <w:multiLevelType w:val="hybridMultilevel"/>
    <w:tmpl w:val="E068A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09022F"/>
    <w:multiLevelType w:val="hybridMultilevel"/>
    <w:tmpl w:val="6C22C2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AE05C20"/>
    <w:multiLevelType w:val="hybridMultilevel"/>
    <w:tmpl w:val="096CC2B0"/>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3">
    <w:nsid w:val="6BA852C3"/>
    <w:multiLevelType w:val="hybridMultilevel"/>
    <w:tmpl w:val="085C0BC8"/>
    <w:lvl w:ilvl="0">
      <w:start w:val="1"/>
      <w:numFmt w:val="decimal"/>
      <w:pStyle w:val="Numbers12ptCalibri-IP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D42391D"/>
    <w:multiLevelType w:val="hybridMultilevel"/>
    <w:tmpl w:val="212E44EA"/>
    <w:lvl w:ilvl="0">
      <w:start w:val="1"/>
      <w:numFmt w:val="bullet"/>
      <w:pStyle w:val="Bullets12ptCalibri-IPR"/>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B16F59"/>
    <w:multiLevelType w:val="hybridMultilevel"/>
    <w:tmpl w:val="2550FAEE"/>
    <w:lvl w:ilvl="0">
      <w:start w:val="1"/>
      <w:numFmt w:val="lowerLetter"/>
      <w:lvlText w:val="%1."/>
      <w:lvlJc w:val="left"/>
      <w:pPr>
        <w:ind w:left="720" w:hanging="360"/>
      </w:pPr>
      <w:rPr>
        <w:rFonts w:asciiTheme="minorHAnsi" w:hAnsiTheme="minorHAnsi" w:cstheme="minorHAnsi" w:hint="default"/>
        <w:b/>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5723072">
    <w:abstractNumId w:val="3"/>
  </w:num>
  <w:num w:numId="2" w16cid:durableId="589894849">
    <w:abstractNumId w:val="4"/>
  </w:num>
  <w:num w:numId="3" w16cid:durableId="1829782961">
    <w:abstractNumId w:val="5"/>
  </w:num>
  <w:num w:numId="4" w16cid:durableId="935675146">
    <w:abstractNumId w:val="0"/>
  </w:num>
  <w:num w:numId="5" w16cid:durableId="1412696290">
    <w:abstractNumId w:val="2"/>
  </w:num>
  <w:num w:numId="6" w16cid:durableId="120883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61"/>
    <w:rsid w:val="00000C1A"/>
    <w:rsid w:val="00000F30"/>
    <w:rsid w:val="00001107"/>
    <w:rsid w:val="00015785"/>
    <w:rsid w:val="000160E6"/>
    <w:rsid w:val="00016258"/>
    <w:rsid w:val="000166E4"/>
    <w:rsid w:val="000276F4"/>
    <w:rsid w:val="00030BF3"/>
    <w:rsid w:val="00040027"/>
    <w:rsid w:val="00047328"/>
    <w:rsid w:val="000569ED"/>
    <w:rsid w:val="00060541"/>
    <w:rsid w:val="00067148"/>
    <w:rsid w:val="00067638"/>
    <w:rsid w:val="00071141"/>
    <w:rsid w:val="0007787E"/>
    <w:rsid w:val="00084633"/>
    <w:rsid w:val="000850A5"/>
    <w:rsid w:val="0008527D"/>
    <w:rsid w:val="00093278"/>
    <w:rsid w:val="000A3668"/>
    <w:rsid w:val="000A4524"/>
    <w:rsid w:val="000B089F"/>
    <w:rsid w:val="000B40DE"/>
    <w:rsid w:val="000B5D3E"/>
    <w:rsid w:val="000C206A"/>
    <w:rsid w:val="000C7F50"/>
    <w:rsid w:val="000D0E76"/>
    <w:rsid w:val="000D0F95"/>
    <w:rsid w:val="000E3473"/>
    <w:rsid w:val="000F60B9"/>
    <w:rsid w:val="00104471"/>
    <w:rsid w:val="001063E6"/>
    <w:rsid w:val="00107B3F"/>
    <w:rsid w:val="00120E47"/>
    <w:rsid w:val="00123402"/>
    <w:rsid w:val="00134C89"/>
    <w:rsid w:val="00136653"/>
    <w:rsid w:val="001372EB"/>
    <w:rsid w:val="0014145D"/>
    <w:rsid w:val="00142339"/>
    <w:rsid w:val="001602DE"/>
    <w:rsid w:val="00166710"/>
    <w:rsid w:val="00170358"/>
    <w:rsid w:val="001719F2"/>
    <w:rsid w:val="00180B82"/>
    <w:rsid w:val="00181B91"/>
    <w:rsid w:val="0018553B"/>
    <w:rsid w:val="00186BBA"/>
    <w:rsid w:val="001909B2"/>
    <w:rsid w:val="00191ADB"/>
    <w:rsid w:val="00195315"/>
    <w:rsid w:val="00195A9C"/>
    <w:rsid w:val="001960AC"/>
    <w:rsid w:val="001B7544"/>
    <w:rsid w:val="001C1F07"/>
    <w:rsid w:val="001C4114"/>
    <w:rsid w:val="001D199B"/>
    <w:rsid w:val="001D1BE0"/>
    <w:rsid w:val="001D5B2E"/>
    <w:rsid w:val="001D6B90"/>
    <w:rsid w:val="001E6113"/>
    <w:rsid w:val="001F59FD"/>
    <w:rsid w:val="00200B0C"/>
    <w:rsid w:val="002053F0"/>
    <w:rsid w:val="00206B51"/>
    <w:rsid w:val="00210989"/>
    <w:rsid w:val="002149BD"/>
    <w:rsid w:val="00223377"/>
    <w:rsid w:val="00230895"/>
    <w:rsid w:val="002314E1"/>
    <w:rsid w:val="00235F3F"/>
    <w:rsid w:val="00236788"/>
    <w:rsid w:val="00240129"/>
    <w:rsid w:val="002405C2"/>
    <w:rsid w:val="0024143E"/>
    <w:rsid w:val="00241BD8"/>
    <w:rsid w:val="002426D4"/>
    <w:rsid w:val="00251581"/>
    <w:rsid w:val="002515DA"/>
    <w:rsid w:val="0025216E"/>
    <w:rsid w:val="00253C64"/>
    <w:rsid w:val="00253E91"/>
    <w:rsid w:val="00260E24"/>
    <w:rsid w:val="00261C00"/>
    <w:rsid w:val="0026749A"/>
    <w:rsid w:val="00271FB4"/>
    <w:rsid w:val="00276CC7"/>
    <w:rsid w:val="002770D1"/>
    <w:rsid w:val="0028030F"/>
    <w:rsid w:val="002819CE"/>
    <w:rsid w:val="002819F7"/>
    <w:rsid w:val="0028628A"/>
    <w:rsid w:val="00286922"/>
    <w:rsid w:val="002A58A0"/>
    <w:rsid w:val="002B0D87"/>
    <w:rsid w:val="002B1DB5"/>
    <w:rsid w:val="002B30D8"/>
    <w:rsid w:val="002C35E2"/>
    <w:rsid w:val="002D16AB"/>
    <w:rsid w:val="002D16AC"/>
    <w:rsid w:val="002D2C68"/>
    <w:rsid w:val="002E02EF"/>
    <w:rsid w:val="002E365B"/>
    <w:rsid w:val="002E3924"/>
    <w:rsid w:val="002E5859"/>
    <w:rsid w:val="002E70D9"/>
    <w:rsid w:val="002E74E4"/>
    <w:rsid w:val="002F1FF8"/>
    <w:rsid w:val="002F58F5"/>
    <w:rsid w:val="002F7CA0"/>
    <w:rsid w:val="00312102"/>
    <w:rsid w:val="00315DF5"/>
    <w:rsid w:val="00315F9E"/>
    <w:rsid w:val="003160F2"/>
    <w:rsid w:val="00316E6E"/>
    <w:rsid w:val="00321AC5"/>
    <w:rsid w:val="0032206C"/>
    <w:rsid w:val="00323B95"/>
    <w:rsid w:val="003242F7"/>
    <w:rsid w:val="00324BB9"/>
    <w:rsid w:val="00334916"/>
    <w:rsid w:val="00334B2C"/>
    <w:rsid w:val="00340524"/>
    <w:rsid w:val="00352CA4"/>
    <w:rsid w:val="003568C1"/>
    <w:rsid w:val="00367758"/>
    <w:rsid w:val="00375F0C"/>
    <w:rsid w:val="0038663C"/>
    <w:rsid w:val="003932B8"/>
    <w:rsid w:val="003B1004"/>
    <w:rsid w:val="003B3E07"/>
    <w:rsid w:val="003C29F2"/>
    <w:rsid w:val="003E0258"/>
    <w:rsid w:val="003E0799"/>
    <w:rsid w:val="003F2153"/>
    <w:rsid w:val="00400720"/>
    <w:rsid w:val="004077E1"/>
    <w:rsid w:val="004128A0"/>
    <w:rsid w:val="00412B2B"/>
    <w:rsid w:val="00430280"/>
    <w:rsid w:val="00434741"/>
    <w:rsid w:val="0044392D"/>
    <w:rsid w:val="00443D74"/>
    <w:rsid w:val="004456CE"/>
    <w:rsid w:val="00463010"/>
    <w:rsid w:val="00466A3D"/>
    <w:rsid w:val="00470E22"/>
    <w:rsid w:val="00472FE3"/>
    <w:rsid w:val="00475511"/>
    <w:rsid w:val="00484035"/>
    <w:rsid w:val="00486118"/>
    <w:rsid w:val="004919EE"/>
    <w:rsid w:val="004943A5"/>
    <w:rsid w:val="004C1D68"/>
    <w:rsid w:val="004D1696"/>
    <w:rsid w:val="004D730B"/>
    <w:rsid w:val="004D77C3"/>
    <w:rsid w:val="004E5AC9"/>
    <w:rsid w:val="004E75FA"/>
    <w:rsid w:val="004F3F7C"/>
    <w:rsid w:val="004F5A15"/>
    <w:rsid w:val="004F6138"/>
    <w:rsid w:val="00510CFB"/>
    <w:rsid w:val="0051268B"/>
    <w:rsid w:val="00520CA1"/>
    <w:rsid w:val="00523CDE"/>
    <w:rsid w:val="00531AB4"/>
    <w:rsid w:val="00540ABF"/>
    <w:rsid w:val="00543DC5"/>
    <w:rsid w:val="00551D49"/>
    <w:rsid w:val="00554106"/>
    <w:rsid w:val="0056075B"/>
    <w:rsid w:val="005636E2"/>
    <w:rsid w:val="00564498"/>
    <w:rsid w:val="00564F07"/>
    <w:rsid w:val="00570327"/>
    <w:rsid w:val="00574235"/>
    <w:rsid w:val="00574BEB"/>
    <w:rsid w:val="0057508A"/>
    <w:rsid w:val="00581FB3"/>
    <w:rsid w:val="005A3E10"/>
    <w:rsid w:val="005A4B12"/>
    <w:rsid w:val="005A5BBB"/>
    <w:rsid w:val="005A63C8"/>
    <w:rsid w:val="005A65AA"/>
    <w:rsid w:val="005B7AEA"/>
    <w:rsid w:val="005C48FB"/>
    <w:rsid w:val="005C6405"/>
    <w:rsid w:val="005C781D"/>
    <w:rsid w:val="005D2853"/>
    <w:rsid w:val="005D5DFD"/>
    <w:rsid w:val="005D6C8F"/>
    <w:rsid w:val="005D7C11"/>
    <w:rsid w:val="005E2BF8"/>
    <w:rsid w:val="005E654E"/>
    <w:rsid w:val="005F08FD"/>
    <w:rsid w:val="00603B51"/>
    <w:rsid w:val="00610AED"/>
    <w:rsid w:val="00611546"/>
    <w:rsid w:val="00612B57"/>
    <w:rsid w:val="006157EC"/>
    <w:rsid w:val="00616EBC"/>
    <w:rsid w:val="00626093"/>
    <w:rsid w:val="00626291"/>
    <w:rsid w:val="0062791E"/>
    <w:rsid w:val="00635803"/>
    <w:rsid w:val="00636FF4"/>
    <w:rsid w:val="00643D2C"/>
    <w:rsid w:val="00644392"/>
    <w:rsid w:val="00644E85"/>
    <w:rsid w:val="00647434"/>
    <w:rsid w:val="0065535C"/>
    <w:rsid w:val="006561A1"/>
    <w:rsid w:val="0065694A"/>
    <w:rsid w:val="00660188"/>
    <w:rsid w:val="00663EF1"/>
    <w:rsid w:val="006745CB"/>
    <w:rsid w:val="00687017"/>
    <w:rsid w:val="00687EF9"/>
    <w:rsid w:val="006A6820"/>
    <w:rsid w:val="006A72C1"/>
    <w:rsid w:val="006B65FF"/>
    <w:rsid w:val="006C0A78"/>
    <w:rsid w:val="006C5C29"/>
    <w:rsid w:val="006C6D36"/>
    <w:rsid w:val="006D1507"/>
    <w:rsid w:val="006D37FD"/>
    <w:rsid w:val="006E0644"/>
    <w:rsid w:val="006E48AE"/>
    <w:rsid w:val="006E6175"/>
    <w:rsid w:val="007007C4"/>
    <w:rsid w:val="00701313"/>
    <w:rsid w:val="00706562"/>
    <w:rsid w:val="00707265"/>
    <w:rsid w:val="0071101C"/>
    <w:rsid w:val="00721567"/>
    <w:rsid w:val="007272B1"/>
    <w:rsid w:val="00730593"/>
    <w:rsid w:val="00732FFD"/>
    <w:rsid w:val="00735BE7"/>
    <w:rsid w:val="00736672"/>
    <w:rsid w:val="00740EBA"/>
    <w:rsid w:val="00740F3C"/>
    <w:rsid w:val="0074524B"/>
    <w:rsid w:val="0074739B"/>
    <w:rsid w:val="00753855"/>
    <w:rsid w:val="007604F0"/>
    <w:rsid w:val="00761E92"/>
    <w:rsid w:val="007678A1"/>
    <w:rsid w:val="007711FE"/>
    <w:rsid w:val="00771444"/>
    <w:rsid w:val="00771B4A"/>
    <w:rsid w:val="00773C63"/>
    <w:rsid w:val="00780F19"/>
    <w:rsid w:val="00781FA2"/>
    <w:rsid w:val="00783BDE"/>
    <w:rsid w:val="0079237D"/>
    <w:rsid w:val="00793DF2"/>
    <w:rsid w:val="007A000B"/>
    <w:rsid w:val="007A019D"/>
    <w:rsid w:val="007A6C40"/>
    <w:rsid w:val="007B7397"/>
    <w:rsid w:val="007C434F"/>
    <w:rsid w:val="007C4FB5"/>
    <w:rsid w:val="007C675A"/>
    <w:rsid w:val="007C6C62"/>
    <w:rsid w:val="007C7A65"/>
    <w:rsid w:val="007D18E1"/>
    <w:rsid w:val="007E42FD"/>
    <w:rsid w:val="007F1A1C"/>
    <w:rsid w:val="007F442A"/>
    <w:rsid w:val="008028B6"/>
    <w:rsid w:val="00805029"/>
    <w:rsid w:val="0081032F"/>
    <w:rsid w:val="00826CF3"/>
    <w:rsid w:val="00827D3B"/>
    <w:rsid w:val="00830ED8"/>
    <w:rsid w:val="00835E29"/>
    <w:rsid w:val="008366BE"/>
    <w:rsid w:val="008372DF"/>
    <w:rsid w:val="00844522"/>
    <w:rsid w:val="00852403"/>
    <w:rsid w:val="00872A38"/>
    <w:rsid w:val="00876041"/>
    <w:rsid w:val="00880D4B"/>
    <w:rsid w:val="0088328C"/>
    <w:rsid w:val="008832EB"/>
    <w:rsid w:val="00896009"/>
    <w:rsid w:val="008A02D7"/>
    <w:rsid w:val="008A2315"/>
    <w:rsid w:val="008A4D32"/>
    <w:rsid w:val="008A5C99"/>
    <w:rsid w:val="008A6656"/>
    <w:rsid w:val="008B4460"/>
    <w:rsid w:val="008B534D"/>
    <w:rsid w:val="008B56F6"/>
    <w:rsid w:val="008B5FB3"/>
    <w:rsid w:val="008C03D8"/>
    <w:rsid w:val="008C18BF"/>
    <w:rsid w:val="008C18E6"/>
    <w:rsid w:val="008C2097"/>
    <w:rsid w:val="008C2457"/>
    <w:rsid w:val="008C6A6E"/>
    <w:rsid w:val="008C6EEC"/>
    <w:rsid w:val="008D2E8E"/>
    <w:rsid w:val="008D3F20"/>
    <w:rsid w:val="008E0665"/>
    <w:rsid w:val="008E5C20"/>
    <w:rsid w:val="008E7C2F"/>
    <w:rsid w:val="008F3F19"/>
    <w:rsid w:val="008F5C8C"/>
    <w:rsid w:val="00902A55"/>
    <w:rsid w:val="00911207"/>
    <w:rsid w:val="009147AE"/>
    <w:rsid w:val="00914FB9"/>
    <w:rsid w:val="00916E79"/>
    <w:rsid w:val="0091771E"/>
    <w:rsid w:val="00922795"/>
    <w:rsid w:val="00922991"/>
    <w:rsid w:val="009312FE"/>
    <w:rsid w:val="00934FA7"/>
    <w:rsid w:val="009366DE"/>
    <w:rsid w:val="00937DE2"/>
    <w:rsid w:val="00941D7B"/>
    <w:rsid w:val="009436D2"/>
    <w:rsid w:val="00946187"/>
    <w:rsid w:val="00947E9E"/>
    <w:rsid w:val="009503ED"/>
    <w:rsid w:val="009520EC"/>
    <w:rsid w:val="0095748A"/>
    <w:rsid w:val="009574E9"/>
    <w:rsid w:val="009635C3"/>
    <w:rsid w:val="00963C75"/>
    <w:rsid w:val="009776F8"/>
    <w:rsid w:val="009801B3"/>
    <w:rsid w:val="009807F5"/>
    <w:rsid w:val="00981D6F"/>
    <w:rsid w:val="0098426D"/>
    <w:rsid w:val="00984A08"/>
    <w:rsid w:val="00984A2A"/>
    <w:rsid w:val="00986F6A"/>
    <w:rsid w:val="00990AE5"/>
    <w:rsid w:val="00993D00"/>
    <w:rsid w:val="009A1439"/>
    <w:rsid w:val="009A5C02"/>
    <w:rsid w:val="009A5D1F"/>
    <w:rsid w:val="009B397A"/>
    <w:rsid w:val="009C2114"/>
    <w:rsid w:val="009D1C7C"/>
    <w:rsid w:val="009D4730"/>
    <w:rsid w:val="009E3E1D"/>
    <w:rsid w:val="009E5726"/>
    <w:rsid w:val="009E5A55"/>
    <w:rsid w:val="009E7A81"/>
    <w:rsid w:val="00A06109"/>
    <w:rsid w:val="00A1583B"/>
    <w:rsid w:val="00A210D8"/>
    <w:rsid w:val="00A34F63"/>
    <w:rsid w:val="00A41181"/>
    <w:rsid w:val="00A63794"/>
    <w:rsid w:val="00A63D7F"/>
    <w:rsid w:val="00A65521"/>
    <w:rsid w:val="00A8530F"/>
    <w:rsid w:val="00A960F2"/>
    <w:rsid w:val="00AA0FD8"/>
    <w:rsid w:val="00AA4175"/>
    <w:rsid w:val="00AA4766"/>
    <w:rsid w:val="00AA7951"/>
    <w:rsid w:val="00AB24ED"/>
    <w:rsid w:val="00AC149D"/>
    <w:rsid w:val="00AC64B5"/>
    <w:rsid w:val="00AD3311"/>
    <w:rsid w:val="00AD627A"/>
    <w:rsid w:val="00AD6F07"/>
    <w:rsid w:val="00AF016C"/>
    <w:rsid w:val="00AF1D3A"/>
    <w:rsid w:val="00AF2918"/>
    <w:rsid w:val="00AF4B26"/>
    <w:rsid w:val="00B01C3C"/>
    <w:rsid w:val="00B03CBA"/>
    <w:rsid w:val="00B0764E"/>
    <w:rsid w:val="00B163EC"/>
    <w:rsid w:val="00B24808"/>
    <w:rsid w:val="00B26362"/>
    <w:rsid w:val="00B37B16"/>
    <w:rsid w:val="00B40FAD"/>
    <w:rsid w:val="00B478BE"/>
    <w:rsid w:val="00B506DC"/>
    <w:rsid w:val="00B52CD3"/>
    <w:rsid w:val="00B60BB1"/>
    <w:rsid w:val="00B662CA"/>
    <w:rsid w:val="00B81ECA"/>
    <w:rsid w:val="00B86D96"/>
    <w:rsid w:val="00B878E3"/>
    <w:rsid w:val="00B95E94"/>
    <w:rsid w:val="00BA25BF"/>
    <w:rsid w:val="00BA7A0B"/>
    <w:rsid w:val="00BB3585"/>
    <w:rsid w:val="00BB6B0A"/>
    <w:rsid w:val="00BB7786"/>
    <w:rsid w:val="00BC21CD"/>
    <w:rsid w:val="00BC2D88"/>
    <w:rsid w:val="00BC32C5"/>
    <w:rsid w:val="00BC5608"/>
    <w:rsid w:val="00BC6944"/>
    <w:rsid w:val="00BD4C3F"/>
    <w:rsid w:val="00BE01DA"/>
    <w:rsid w:val="00BE1735"/>
    <w:rsid w:val="00BE6551"/>
    <w:rsid w:val="00BE6A37"/>
    <w:rsid w:val="00BF0AAD"/>
    <w:rsid w:val="00C020F7"/>
    <w:rsid w:val="00C1096F"/>
    <w:rsid w:val="00C15CDF"/>
    <w:rsid w:val="00C15E9B"/>
    <w:rsid w:val="00C164B2"/>
    <w:rsid w:val="00C21F61"/>
    <w:rsid w:val="00C2619E"/>
    <w:rsid w:val="00C31D81"/>
    <w:rsid w:val="00C378BC"/>
    <w:rsid w:val="00C406A7"/>
    <w:rsid w:val="00C41172"/>
    <w:rsid w:val="00C44A68"/>
    <w:rsid w:val="00C453CA"/>
    <w:rsid w:val="00C50CB4"/>
    <w:rsid w:val="00C52F68"/>
    <w:rsid w:val="00C5594F"/>
    <w:rsid w:val="00C60605"/>
    <w:rsid w:val="00C6482C"/>
    <w:rsid w:val="00C65064"/>
    <w:rsid w:val="00C716D9"/>
    <w:rsid w:val="00C72B9F"/>
    <w:rsid w:val="00C732B2"/>
    <w:rsid w:val="00C75B50"/>
    <w:rsid w:val="00C801C6"/>
    <w:rsid w:val="00C8642C"/>
    <w:rsid w:val="00C8671B"/>
    <w:rsid w:val="00CA403B"/>
    <w:rsid w:val="00CB19DE"/>
    <w:rsid w:val="00CB3D12"/>
    <w:rsid w:val="00CB6066"/>
    <w:rsid w:val="00CD090E"/>
    <w:rsid w:val="00CD5AFF"/>
    <w:rsid w:val="00CD6C45"/>
    <w:rsid w:val="00CD7C4D"/>
    <w:rsid w:val="00CE712E"/>
    <w:rsid w:val="00CE7B0A"/>
    <w:rsid w:val="00CF2D80"/>
    <w:rsid w:val="00CF5615"/>
    <w:rsid w:val="00D10263"/>
    <w:rsid w:val="00D212F1"/>
    <w:rsid w:val="00D2357B"/>
    <w:rsid w:val="00D23593"/>
    <w:rsid w:val="00D26D9D"/>
    <w:rsid w:val="00D33C14"/>
    <w:rsid w:val="00D35D50"/>
    <w:rsid w:val="00D36B7A"/>
    <w:rsid w:val="00D445D0"/>
    <w:rsid w:val="00D507BA"/>
    <w:rsid w:val="00D52621"/>
    <w:rsid w:val="00D56CB0"/>
    <w:rsid w:val="00D57636"/>
    <w:rsid w:val="00D577BE"/>
    <w:rsid w:val="00D57A52"/>
    <w:rsid w:val="00D6250D"/>
    <w:rsid w:val="00D714CE"/>
    <w:rsid w:val="00D72F45"/>
    <w:rsid w:val="00D73394"/>
    <w:rsid w:val="00D821F1"/>
    <w:rsid w:val="00D831D2"/>
    <w:rsid w:val="00D867DD"/>
    <w:rsid w:val="00D87E80"/>
    <w:rsid w:val="00DA025E"/>
    <w:rsid w:val="00DA4075"/>
    <w:rsid w:val="00DA5FA2"/>
    <w:rsid w:val="00DA7067"/>
    <w:rsid w:val="00DD190E"/>
    <w:rsid w:val="00DD45F6"/>
    <w:rsid w:val="00DF2158"/>
    <w:rsid w:val="00DF2CB4"/>
    <w:rsid w:val="00DF69AB"/>
    <w:rsid w:val="00E01257"/>
    <w:rsid w:val="00E03E61"/>
    <w:rsid w:val="00E03FA4"/>
    <w:rsid w:val="00E07C58"/>
    <w:rsid w:val="00E222E1"/>
    <w:rsid w:val="00E23A1B"/>
    <w:rsid w:val="00E24436"/>
    <w:rsid w:val="00E40453"/>
    <w:rsid w:val="00E40A9F"/>
    <w:rsid w:val="00E52E67"/>
    <w:rsid w:val="00E6285E"/>
    <w:rsid w:val="00E8072B"/>
    <w:rsid w:val="00E83C59"/>
    <w:rsid w:val="00E87C98"/>
    <w:rsid w:val="00E90A91"/>
    <w:rsid w:val="00E923F0"/>
    <w:rsid w:val="00E9381A"/>
    <w:rsid w:val="00E946ED"/>
    <w:rsid w:val="00E97393"/>
    <w:rsid w:val="00EA0B2F"/>
    <w:rsid w:val="00EA1D88"/>
    <w:rsid w:val="00EA57BF"/>
    <w:rsid w:val="00EA7586"/>
    <w:rsid w:val="00EB0077"/>
    <w:rsid w:val="00EB1FEE"/>
    <w:rsid w:val="00EB59C0"/>
    <w:rsid w:val="00EC2963"/>
    <w:rsid w:val="00ED272A"/>
    <w:rsid w:val="00ED301F"/>
    <w:rsid w:val="00ED4796"/>
    <w:rsid w:val="00EE364F"/>
    <w:rsid w:val="00EF21D4"/>
    <w:rsid w:val="00F00C8D"/>
    <w:rsid w:val="00F0496E"/>
    <w:rsid w:val="00F06B60"/>
    <w:rsid w:val="00F1029B"/>
    <w:rsid w:val="00F11A6F"/>
    <w:rsid w:val="00F142EE"/>
    <w:rsid w:val="00F225F3"/>
    <w:rsid w:val="00F22794"/>
    <w:rsid w:val="00F251BD"/>
    <w:rsid w:val="00F47924"/>
    <w:rsid w:val="00F53DF5"/>
    <w:rsid w:val="00F7312F"/>
    <w:rsid w:val="00F75F7C"/>
    <w:rsid w:val="00F83EC2"/>
    <w:rsid w:val="00F92AA7"/>
    <w:rsid w:val="00F97681"/>
    <w:rsid w:val="00FA071E"/>
    <w:rsid w:val="00FA1398"/>
    <w:rsid w:val="00FA543E"/>
    <w:rsid w:val="00FB5078"/>
    <w:rsid w:val="00FB71C8"/>
    <w:rsid w:val="00FD0350"/>
    <w:rsid w:val="00FD1117"/>
    <w:rsid w:val="00FD2C64"/>
    <w:rsid w:val="00FD36A0"/>
    <w:rsid w:val="00FE0FB4"/>
    <w:rsid w:val="00FE168B"/>
    <w:rsid w:val="00FE3B16"/>
    <w:rsid w:val="00FF5740"/>
    <w:rsid w:val="00FF5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0C49D"/>
  <w15:chartTrackingRefBased/>
  <w15:docId w15:val="{6D2AC69D-0D28-40C6-82D1-E43F3CF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RequirementCalibri">
    <w:name w:val="OMB RequirementCalibri"/>
    <w:qFormat/>
    <w:rsid w:val="00EE364F"/>
    <w:pPr>
      <w:spacing w:after="240" w:line="240" w:lineRule="auto"/>
    </w:pPr>
    <w:rPr>
      <w:rFonts w:eastAsia="Times New Roman" w:cs="Calibri"/>
      <w:b/>
      <w:sz w:val="24"/>
      <w:szCs w:val="24"/>
    </w:rPr>
  </w:style>
  <w:style w:type="paragraph" w:customStyle="1" w:styleId="Hdng2-IPR">
    <w:name w:val="Hdng2-IPR"/>
    <w:link w:val="Hdng2-IPRChar"/>
    <w:qFormat/>
    <w:rsid w:val="00EE364F"/>
    <w:pPr>
      <w:keepNext/>
      <w:spacing w:after="240" w:line="240" w:lineRule="auto"/>
      <w:ind w:left="720" w:hanging="720"/>
      <w:outlineLvl w:val="1"/>
    </w:pPr>
    <w:rPr>
      <w:rFonts w:ascii="Arial Bold" w:eastAsia="Calibri" w:hAnsi="Arial Bold" w:cs="Arial"/>
      <w:b/>
      <w:caps/>
      <w:color w:val="44546A" w:themeColor="text2"/>
      <w:sz w:val="24"/>
      <w:szCs w:val="24"/>
    </w:rPr>
  </w:style>
  <w:style w:type="character" w:customStyle="1" w:styleId="Hdng2-IPRChar">
    <w:name w:val="Hdng2-IPR Char"/>
    <w:basedOn w:val="DefaultParagraphFont"/>
    <w:link w:val="Hdng2-IPR"/>
    <w:rsid w:val="00EE364F"/>
    <w:rPr>
      <w:rFonts w:ascii="Arial Bold" w:eastAsia="Calibri" w:hAnsi="Arial Bold" w:cs="Arial"/>
      <w:b/>
      <w:caps/>
      <w:color w:val="44546A" w:themeColor="text2"/>
      <w:sz w:val="24"/>
      <w:szCs w:val="24"/>
    </w:rPr>
  </w:style>
  <w:style w:type="character" w:styleId="FootnoteReference">
    <w:name w:val="footnote reference"/>
    <w:uiPriority w:val="99"/>
    <w:rsid w:val="00EE364F"/>
  </w:style>
  <w:style w:type="paragraph" w:styleId="FootnoteText">
    <w:name w:val="footnote text"/>
    <w:aliases w:val="F1"/>
    <w:basedOn w:val="Normal"/>
    <w:link w:val="FootnoteTextChar"/>
    <w:uiPriority w:val="99"/>
    <w:rsid w:val="00EE364F"/>
    <w:pPr>
      <w:spacing w:after="0" w:line="276" w:lineRule="auto"/>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uiPriority w:val="99"/>
    <w:rsid w:val="00EE364F"/>
    <w:rPr>
      <w:rFonts w:ascii="Times New Roman" w:eastAsia="Times New Roman" w:hAnsi="Times New Roman" w:cs="Times New Roman"/>
      <w:sz w:val="16"/>
    </w:rPr>
  </w:style>
  <w:style w:type="character" w:styleId="Hyperlink">
    <w:name w:val="Hyperlink"/>
    <w:uiPriority w:val="99"/>
    <w:rsid w:val="00EE364F"/>
    <w:rPr>
      <w:color w:val="0000FF"/>
      <w:u w:val="single"/>
    </w:rPr>
  </w:style>
  <w:style w:type="paragraph" w:customStyle="1" w:styleId="Body12ptCalibri-IPR">
    <w:name w:val="Body12ptCalibri-IPR"/>
    <w:link w:val="Body12ptCalibri-IPRChar"/>
    <w:qFormat/>
    <w:rsid w:val="00EE364F"/>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EE364F"/>
    <w:rPr>
      <w:rFonts w:eastAsia="Calibri" w:cs="Times New Roman"/>
      <w:sz w:val="24"/>
    </w:rPr>
  </w:style>
  <w:style w:type="paragraph" w:customStyle="1" w:styleId="FtnteBodyText-IPR">
    <w:name w:val="FtnteBodyText-IPR"/>
    <w:link w:val="FtnteBodyText-IPRChar"/>
    <w:qFormat/>
    <w:rsid w:val="00EE364F"/>
    <w:pPr>
      <w:spacing w:after="0" w:line="240" w:lineRule="auto"/>
    </w:pPr>
    <w:rPr>
      <w:rFonts w:ascii="Times New Roman" w:eastAsia="Calibri" w:hAnsi="Times New Roman" w:cs="Times New Roman"/>
      <w:sz w:val="16"/>
      <w:szCs w:val="16"/>
    </w:rPr>
  </w:style>
  <w:style w:type="character" w:customStyle="1" w:styleId="FtnteBodyText-IPRChar">
    <w:name w:val="FtnteBodyText-IPR Char"/>
    <w:basedOn w:val="DefaultParagraphFont"/>
    <w:link w:val="FtnteBodyText-IPR"/>
    <w:rsid w:val="00EE364F"/>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EE364F"/>
    <w:rPr>
      <w:sz w:val="16"/>
      <w:szCs w:val="16"/>
    </w:rPr>
  </w:style>
  <w:style w:type="paragraph" w:styleId="CommentText">
    <w:name w:val="annotation text"/>
    <w:basedOn w:val="Normal"/>
    <w:link w:val="CommentTextChar"/>
    <w:uiPriority w:val="99"/>
    <w:unhideWhenUsed/>
    <w:rsid w:val="00EE364F"/>
    <w:pPr>
      <w:spacing w:line="240" w:lineRule="auto"/>
    </w:pPr>
    <w:rPr>
      <w:sz w:val="20"/>
      <w:szCs w:val="20"/>
    </w:rPr>
  </w:style>
  <w:style w:type="character" w:customStyle="1" w:styleId="CommentTextChar">
    <w:name w:val="Comment Text Char"/>
    <w:basedOn w:val="DefaultParagraphFont"/>
    <w:link w:val="CommentText"/>
    <w:uiPriority w:val="99"/>
    <w:rsid w:val="00EE364F"/>
    <w:rPr>
      <w:sz w:val="20"/>
      <w:szCs w:val="20"/>
    </w:rPr>
  </w:style>
  <w:style w:type="paragraph" w:styleId="CommentSubject">
    <w:name w:val="annotation subject"/>
    <w:basedOn w:val="CommentText"/>
    <w:next w:val="CommentText"/>
    <w:link w:val="CommentSubjectChar"/>
    <w:uiPriority w:val="99"/>
    <w:semiHidden/>
    <w:unhideWhenUsed/>
    <w:rsid w:val="00EE364F"/>
    <w:rPr>
      <w:b/>
      <w:bCs/>
    </w:rPr>
  </w:style>
  <w:style w:type="character" w:customStyle="1" w:styleId="CommentSubjectChar">
    <w:name w:val="Comment Subject Char"/>
    <w:basedOn w:val="CommentTextChar"/>
    <w:link w:val="CommentSubject"/>
    <w:uiPriority w:val="99"/>
    <w:semiHidden/>
    <w:rsid w:val="00EE364F"/>
    <w:rPr>
      <w:b/>
      <w:bCs/>
      <w:sz w:val="20"/>
      <w:szCs w:val="20"/>
    </w:rPr>
  </w:style>
  <w:style w:type="paragraph" w:styleId="BalloonText">
    <w:name w:val="Balloon Text"/>
    <w:basedOn w:val="Normal"/>
    <w:link w:val="BalloonTextChar"/>
    <w:uiPriority w:val="99"/>
    <w:semiHidden/>
    <w:unhideWhenUsed/>
    <w:rsid w:val="00EE3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64F"/>
    <w:rPr>
      <w:rFonts w:ascii="Segoe UI" w:hAnsi="Segoe UI" w:cs="Segoe UI"/>
      <w:sz w:val="18"/>
      <w:szCs w:val="18"/>
    </w:rPr>
  </w:style>
  <w:style w:type="character" w:styleId="UnresolvedMention">
    <w:name w:val="Unresolved Mention"/>
    <w:basedOn w:val="DefaultParagraphFont"/>
    <w:uiPriority w:val="99"/>
    <w:semiHidden/>
    <w:unhideWhenUsed/>
    <w:rsid w:val="00AA4766"/>
    <w:rPr>
      <w:color w:val="605E5C"/>
      <w:shd w:val="clear" w:color="auto" w:fill="E1DFDD"/>
    </w:rPr>
  </w:style>
  <w:style w:type="paragraph" w:customStyle="1" w:styleId="Numbers12ptCalibri-IPR">
    <w:name w:val="Numbers12ptCalibri-IPR"/>
    <w:link w:val="Numbers12ptCalibri-IPRChar"/>
    <w:qFormat/>
    <w:rsid w:val="00BC2D88"/>
    <w:pPr>
      <w:numPr>
        <w:numId w:val="1"/>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BC2D88"/>
    <w:rPr>
      <w:rFonts w:ascii="Calibri" w:hAnsi="Calibri"/>
      <w:sz w:val="24"/>
    </w:rPr>
  </w:style>
  <w:style w:type="paragraph" w:customStyle="1" w:styleId="Bullets12ptCalibri-IPR">
    <w:name w:val="Bullets12ptCalibri-IPR"/>
    <w:link w:val="Bullets12ptCalibri-IPRChar"/>
    <w:qFormat/>
    <w:rsid w:val="00E52E67"/>
    <w:pPr>
      <w:numPr>
        <w:numId w:val="2"/>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E52E67"/>
    <w:rPr>
      <w:rFonts w:ascii="Calibri" w:hAnsi="Calibri"/>
      <w:sz w:val="24"/>
      <w:szCs w:val="24"/>
    </w:rPr>
  </w:style>
  <w:style w:type="paragraph" w:customStyle="1" w:styleId="TableTitle">
    <w:name w:val="Table Title"/>
    <w:next w:val="Normal"/>
    <w:qFormat/>
    <w:rsid w:val="00181B91"/>
    <w:pPr>
      <w:keepNext/>
      <w:keepLines/>
      <w:spacing w:after="0" w:line="240" w:lineRule="auto"/>
      <w:jc w:val="center"/>
    </w:pPr>
    <w:rPr>
      <w:rFonts w:ascii="Calibri" w:eastAsia="Times New Roman" w:hAnsi="Calibri" w:cs="Calibri"/>
      <w:b/>
      <w:bCs/>
      <w:sz w:val="24"/>
      <w:szCs w:val="24"/>
    </w:rPr>
  </w:style>
  <w:style w:type="paragraph" w:customStyle="1" w:styleId="TableText-IPR">
    <w:name w:val="TableText-IPR"/>
    <w:link w:val="TableText-IPRChar"/>
    <w:qFormat/>
    <w:rsid w:val="00181B91"/>
    <w:pPr>
      <w:spacing w:after="0" w:line="240" w:lineRule="auto"/>
    </w:pPr>
    <w:rPr>
      <w:rFonts w:ascii="Calibri" w:hAnsi="Calibri" w:eastAsiaTheme="minorEastAsia" w:cs="Times New Roman"/>
      <w:sz w:val="20"/>
      <w:szCs w:val="20"/>
    </w:rPr>
  </w:style>
  <w:style w:type="character" w:customStyle="1" w:styleId="TableText-IPRChar">
    <w:name w:val="TableText-IPR Char"/>
    <w:basedOn w:val="DefaultParagraphFont"/>
    <w:link w:val="TableText-IPR"/>
    <w:rsid w:val="00181B91"/>
    <w:rPr>
      <w:rFonts w:ascii="Calibri" w:hAnsi="Calibri" w:eastAsiaTheme="minorEastAsia" w:cs="Times New Roman"/>
      <w:sz w:val="20"/>
      <w:szCs w:val="20"/>
    </w:rPr>
  </w:style>
  <w:style w:type="character" w:styleId="FollowedHyperlink">
    <w:name w:val="FollowedHyperlink"/>
    <w:basedOn w:val="DefaultParagraphFont"/>
    <w:uiPriority w:val="99"/>
    <w:semiHidden/>
    <w:unhideWhenUsed/>
    <w:rsid w:val="002E5859"/>
    <w:rPr>
      <w:color w:val="954F72" w:themeColor="followedHyperlink"/>
      <w:u w:val="single"/>
    </w:rPr>
  </w:style>
  <w:style w:type="paragraph" w:customStyle="1" w:styleId="MarkforTableHeading">
    <w:name w:val="Mark for Table Heading"/>
    <w:basedOn w:val="Normal"/>
    <w:next w:val="Normal"/>
    <w:qFormat/>
    <w:rsid w:val="00A63D7F"/>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A63D7F"/>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A63D7F"/>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A63D7F"/>
    <w:pPr>
      <w:spacing w:after="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A63D7F"/>
    <w:pPr>
      <w:spacing w:after="240" w:line="240" w:lineRule="auto"/>
      <w:ind w:firstLine="432"/>
      <w:jc w:val="both"/>
    </w:pPr>
    <w:rPr>
      <w:rFonts w:ascii="Lucida Sans" w:eastAsia="Times New Roman" w:hAnsi="Lucida Sans" w:cs="Times New Roman"/>
      <w:sz w:val="20"/>
      <w:szCs w:val="24"/>
    </w:rPr>
    <w:tblPr>
      <w:tblInd w:w="0"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uiPriority w:val="99"/>
    <w:semiHidden/>
    <w:unhideWhenUsed/>
    <w:rsid w:val="006443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4392"/>
    <w:rPr>
      <w:sz w:val="20"/>
      <w:szCs w:val="20"/>
    </w:rPr>
  </w:style>
  <w:style w:type="character" w:styleId="EndnoteReference">
    <w:name w:val="endnote reference"/>
    <w:basedOn w:val="DefaultParagraphFont"/>
    <w:uiPriority w:val="99"/>
    <w:semiHidden/>
    <w:unhideWhenUsed/>
    <w:rsid w:val="00644392"/>
    <w:rPr>
      <w:vertAlign w:val="superscript"/>
    </w:rPr>
  </w:style>
  <w:style w:type="paragraph" w:customStyle="1" w:styleId="Hdng1Report-IPR">
    <w:name w:val="Hdng1Report-IPR"/>
    <w:link w:val="Hdng1Report-IPRChar"/>
    <w:qFormat/>
    <w:rsid w:val="00312102"/>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312102"/>
    <w:rPr>
      <w:rFonts w:ascii="Arial" w:eastAsia="Calibri" w:hAnsi="Arial" w:cs="Arial"/>
      <w:b/>
      <w:bCs/>
      <w:caps/>
      <w:color w:val="B80000"/>
      <w:sz w:val="28"/>
      <w:szCs w:val="28"/>
    </w:rPr>
  </w:style>
  <w:style w:type="paragraph" w:styleId="Header">
    <w:name w:val="header"/>
    <w:basedOn w:val="Normal"/>
    <w:link w:val="HeaderChar"/>
    <w:uiPriority w:val="99"/>
    <w:unhideWhenUsed/>
    <w:rsid w:val="005A6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5AA"/>
  </w:style>
  <w:style w:type="paragraph" w:styleId="Footer">
    <w:name w:val="footer"/>
    <w:basedOn w:val="Normal"/>
    <w:link w:val="FooterChar"/>
    <w:uiPriority w:val="99"/>
    <w:unhideWhenUsed/>
    <w:rsid w:val="005A6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AA"/>
  </w:style>
  <w:style w:type="paragraph" w:styleId="Revision">
    <w:name w:val="Revision"/>
    <w:hidden/>
    <w:uiPriority w:val="99"/>
    <w:semiHidden/>
    <w:rsid w:val="00E9381A"/>
    <w:pPr>
      <w:spacing w:after="0" w:line="240" w:lineRule="auto"/>
    </w:pPr>
  </w:style>
  <w:style w:type="paragraph" w:styleId="ListParagraph">
    <w:name w:val="List Paragraph"/>
    <w:basedOn w:val="Normal"/>
    <w:uiPriority w:val="34"/>
    <w:qFormat/>
    <w:rsid w:val="007C6C62"/>
    <w:pPr>
      <w:ind w:left="720"/>
      <w:contextualSpacing/>
    </w:pPr>
  </w:style>
  <w:style w:type="table" w:styleId="TableGrid">
    <w:name w:val="Table Grid"/>
    <w:basedOn w:val="TableNormal"/>
    <w:rsid w:val="002A5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51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45D2E242FD048BF7AAECC0F170159" ma:contentTypeVersion="1" ma:contentTypeDescription="Create a new document." ma:contentTypeScope="" ma:versionID="35a73fe4cd2ece95cc11abb3e40c6284">
  <xsd:schema xmlns:xsd="http://www.w3.org/2001/XMLSchema" xmlns:xs="http://www.w3.org/2001/XMLSchema" xmlns:p="http://schemas.microsoft.com/office/2006/metadata/properties" xmlns:ns2="b38dd2dc-60e0-4bba-9aaa-41a22ff26941" targetNamespace="http://schemas.microsoft.com/office/2006/metadata/properties" ma:root="true" ma:fieldsID="9685c7fad591cd5462308dbab4e40224" ns2:_="">
    <xsd:import namespace="b38dd2dc-60e0-4bba-9aaa-41a22ff2694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dd2dc-60e0-4bba-9aaa-41a22ff269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4AA96-1F49-47FC-9F75-AE06DB79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dd2dc-60e0-4bba-9aaa-41a22ff26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49AF4-CDDB-4202-91AA-C21232D989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5EFEDD-E042-4AF8-9829-963CE9BDC571}">
  <ds:schemaRefs>
    <ds:schemaRef ds:uri="http://schemas.microsoft.com/sharepoint/v3/contenttype/forms"/>
  </ds:schemaRefs>
</ds:datastoreItem>
</file>

<file path=customXml/itemProps4.xml><?xml version="1.0" encoding="utf-8"?>
<ds:datastoreItem xmlns:ds="http://schemas.openxmlformats.org/officeDocument/2006/customXml" ds:itemID="{A120FD82-ED63-4DAD-B57E-68882D62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Bowman</dc:creator>
  <cp:lastModifiedBy>Plimpton, Suzanne H.</cp:lastModifiedBy>
  <cp:revision>3</cp:revision>
  <cp:lastPrinted>2024-06-06T21:17:00Z</cp:lastPrinted>
  <dcterms:created xsi:type="dcterms:W3CDTF">2024-05-29T20:21:00Z</dcterms:created>
  <dcterms:modified xsi:type="dcterms:W3CDTF">2024-06-07T21:44:00Z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0x01010017E45D2E242FD048BF7AAECC0F170159</vt:lpwstr>
  </property>
  <property fmtid="{D5CDD505-2E9C-101B-9397-08002B2CF9AE}" pid="4" name="TitusGUID">
    <vt:lpwstr>dbd0e626-f948-45ed-9827-c6f0d1e04bc6</vt:lpwstr>
  </property>
</Properties>
</file>