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672C" w:rsidRPr="006B15CC" w:rsidP="00E66954" w14:paraId="08DD0746" w14:textId="76A14614">
      <w:pPr>
        <w:jc w:val="center"/>
      </w:pPr>
      <w:r w:rsidRPr="006B15CC">
        <w:rPr>
          <w:b/>
          <w:bCs/>
        </w:rPr>
        <w:t xml:space="preserve">SUPPORTING STATEMENT </w:t>
      </w:r>
      <w:r w:rsidRPr="006B15CC">
        <w:rPr>
          <w:b/>
          <w:bCs/>
        </w:rPr>
        <w:br/>
        <w:t>for the Paperwork Reduction Act Information Collection Submission for</w:t>
      </w:r>
    </w:p>
    <w:p w:rsidR="00E66954" w:rsidRPr="00E66954" w:rsidP="00E66954" w14:paraId="46DE7EF3" w14:textId="77777777">
      <w:pPr>
        <w:jc w:val="center"/>
        <w:rPr>
          <w:b/>
        </w:rPr>
      </w:pPr>
      <w:r w:rsidRPr="00E66954">
        <w:rPr>
          <w:b/>
          <w:bCs/>
        </w:rPr>
        <w:t xml:space="preserve">Rule 17g-10 - “Certification of providers of third-party due diligence services in connection with asset-backed securities” and Form </w:t>
      </w:r>
      <w:r w:rsidRPr="00E66954">
        <w:rPr>
          <w:b/>
        </w:rPr>
        <w:t>ABS Due Diligence-15E</w:t>
      </w:r>
    </w:p>
    <w:p w:rsidR="00C625B3" w:rsidRPr="006B15CC" w:rsidP="00CD7B23" w14:paraId="435163D9" w14:textId="77777777"/>
    <w:p w:rsidR="009E493C" w:rsidRPr="002243FB" w:rsidP="00CD7B23" w14:paraId="2470420B" w14:textId="77777777">
      <w:pPr>
        <w:rPr>
          <w:b/>
        </w:rPr>
      </w:pPr>
      <w:r w:rsidRPr="002243FB">
        <w:rPr>
          <w:b/>
        </w:rPr>
        <w:t>A.</w:t>
      </w:r>
      <w:r w:rsidRPr="002243FB">
        <w:rPr>
          <w:b/>
        </w:rPr>
        <w:tab/>
      </w:r>
      <w:r w:rsidRPr="002243FB">
        <w:rPr>
          <w:b/>
        </w:rPr>
        <w:t>JUSTIFICATION</w:t>
      </w:r>
    </w:p>
    <w:p w:rsidR="009E493C" w:rsidRPr="006B15CC" w:rsidP="00CD7B23" w14:paraId="01A25B0B" w14:textId="77777777"/>
    <w:p w:rsidR="009E493C" w:rsidRPr="002243FB" w:rsidP="00CD7B23" w14:paraId="4C8B6D91" w14:textId="77777777">
      <w:pPr>
        <w:rPr>
          <w:b/>
        </w:rPr>
      </w:pPr>
      <w:r w:rsidRPr="002243FB">
        <w:rPr>
          <w:b/>
        </w:rPr>
        <w:t>1.</w:t>
      </w:r>
      <w:r w:rsidRPr="002243FB">
        <w:rPr>
          <w:b/>
        </w:rPr>
        <w:tab/>
      </w:r>
      <w:r w:rsidRPr="002243FB">
        <w:rPr>
          <w:b/>
        </w:rPr>
        <w:t>Necessity of Information Collection</w:t>
      </w:r>
    </w:p>
    <w:p w:rsidR="008B7A65" w:rsidRPr="006B15CC" w:rsidP="00CD7B23" w14:paraId="1BF732D7" w14:textId="77777777"/>
    <w:p w:rsidR="005906AC" w:rsidP="00E21640" w14:paraId="573DE8EC" w14:textId="4927FCAF">
      <w:pPr>
        <w:ind w:firstLine="720"/>
      </w:pPr>
      <w:bookmarkStart w:id="0" w:name="OLE_LINK1"/>
      <w:bookmarkStart w:id="1" w:name="OLE_LINK2"/>
      <w:r>
        <w:t>Section 15E</w:t>
      </w:r>
      <w:r w:rsidR="002F00EF">
        <w:t xml:space="preserve"> of the Securities Exchange Act of 1934 (“Exchange Act</w:t>
      </w:r>
      <w:r w:rsidR="003912EF">
        <w:t>”</w:t>
      </w:r>
      <w:r w:rsidR="002F00EF">
        <w:t>)</w:t>
      </w:r>
      <w:r>
        <w:t>,</w:t>
      </w:r>
      <w:r>
        <w:rPr>
          <w:rStyle w:val="FootnoteReference"/>
        </w:rPr>
        <w:footnoteReference w:id="3"/>
      </w:r>
      <w:r>
        <w:t xml:space="preserve"> added to the Exchange Act by the Credit Rating Agency Reform Act of 2006</w:t>
      </w:r>
      <w:r w:rsidR="00C51AD3">
        <w:t xml:space="preserve"> (“Rating Agency Act”)</w:t>
      </w:r>
      <w:r>
        <w:rPr>
          <w:rStyle w:val="FootnoteReference"/>
        </w:rPr>
        <w:footnoteReference w:id="4"/>
      </w:r>
      <w:r>
        <w:t xml:space="preserve"> and amended by </w:t>
      </w:r>
      <w:r w:rsidR="0085379A">
        <w:t>t</w:t>
      </w:r>
      <w:r w:rsidRPr="0085379A" w:rsidR="0085379A">
        <w:t xml:space="preserve">he Dodd-Frank Wall Street Reform and Consumer Protection Act enacted </w:t>
      </w:r>
      <w:r w:rsidR="00352817">
        <w:t xml:space="preserve">in </w:t>
      </w:r>
      <w:r w:rsidRPr="0085379A" w:rsidR="0085379A">
        <w:t>2010</w:t>
      </w:r>
      <w:r w:rsidR="00352817">
        <w:t>,</w:t>
      </w:r>
      <w:r>
        <w:rPr>
          <w:rStyle w:val="FootnoteReference"/>
        </w:rPr>
        <w:footnoteReference w:id="5"/>
      </w:r>
      <w:r w:rsidR="00FC78DD">
        <w:t xml:space="preserve"> sets forth the regulatory framework </w:t>
      </w:r>
      <w:r w:rsidR="00731C6A">
        <w:t xml:space="preserve">applicable to </w:t>
      </w:r>
      <w:r w:rsidR="00EF0FBA">
        <w:t xml:space="preserve">credit rating agencies that register </w:t>
      </w:r>
      <w:r w:rsidR="000B4B17">
        <w:t>with the Securities and Exchange Commission (“Commission” or “SEC”</w:t>
      </w:r>
      <w:r w:rsidR="000E68BA">
        <w:t xml:space="preserve">) </w:t>
      </w:r>
      <w:r w:rsidR="00EF0FBA">
        <w:t xml:space="preserve">as </w:t>
      </w:r>
      <w:r w:rsidR="00FC78DD">
        <w:t>nationally recognized statistical rating organizations</w:t>
      </w:r>
      <w:r w:rsidR="00856CD1">
        <w:t xml:space="preserve"> or </w:t>
      </w:r>
      <w:r w:rsidR="00B63A49">
        <w:t>NRSRO</w:t>
      </w:r>
      <w:r w:rsidR="007F017D">
        <w:t>s</w:t>
      </w:r>
      <w:r w:rsidR="004814E8">
        <w:t xml:space="preserve">. </w:t>
      </w:r>
      <w:r w:rsidR="008E0A36">
        <w:t xml:space="preserve"> </w:t>
      </w:r>
      <w:r w:rsidR="00CA591B">
        <w:t>S</w:t>
      </w:r>
      <w:r w:rsidR="00CA4985">
        <w:t>ection</w:t>
      </w:r>
      <w:r w:rsidR="00CA591B">
        <w:t xml:space="preserve"> 15E</w:t>
      </w:r>
      <w:r w:rsidR="00FC2BFB">
        <w:t>(s)</w:t>
      </w:r>
      <w:r w:rsidR="00CA591B">
        <w:t xml:space="preserve"> </w:t>
      </w:r>
      <w:r w:rsidR="005A29DD">
        <w:t>contains</w:t>
      </w:r>
      <w:r w:rsidR="00C3217E">
        <w:t xml:space="preserve"> </w:t>
      </w:r>
      <w:r w:rsidR="00FC2BFB">
        <w:t>certain requirement</w:t>
      </w:r>
      <w:r w:rsidR="00822F0B">
        <w:t>s</w:t>
      </w:r>
      <w:r w:rsidR="00FC2BFB">
        <w:t xml:space="preserve"> with respect to </w:t>
      </w:r>
      <w:r w:rsidR="00EA2050">
        <w:t>due diligence services</w:t>
      </w:r>
      <w:r w:rsidR="00BD213B">
        <w:t>.</w:t>
      </w:r>
      <w:r>
        <w:rPr>
          <w:rStyle w:val="FootnoteReference"/>
        </w:rPr>
        <w:footnoteReference w:id="6"/>
      </w:r>
      <w:r w:rsidR="00BD213B">
        <w:t xml:space="preserve">  </w:t>
      </w:r>
    </w:p>
    <w:p w:rsidR="005906AC" w:rsidP="00E21640" w14:paraId="66F8D1DA" w14:textId="77777777">
      <w:pPr>
        <w:ind w:firstLine="720"/>
      </w:pPr>
    </w:p>
    <w:p w:rsidR="00E66954" w:rsidRPr="00E66954" w:rsidP="00E66954" w14:paraId="5DF627B0" w14:textId="49F71093">
      <w:r>
        <w:tab/>
      </w:r>
      <w:r w:rsidRPr="00E66954">
        <w:t>Section 15E(s)(4)(B)</w:t>
      </w:r>
      <w:r w:rsidR="000D476F">
        <w:t xml:space="preserve"> </w:t>
      </w:r>
      <w:r w:rsidRPr="00E66954" w:rsidR="000D476F">
        <w:t>of the Exchange Act</w:t>
      </w:r>
      <w:r w:rsidRPr="00E66954">
        <w:t xml:space="preserve"> requires that in any case in which third-party due diligence services </w:t>
      </w:r>
      <w:r w:rsidR="002E3260">
        <w:t>with respect to an asset-backed security (“Exchange Act-ABS”)</w:t>
      </w:r>
      <w:r>
        <w:rPr>
          <w:vertAlign w:val="superscript"/>
        </w:rPr>
        <w:footnoteReference w:id="7"/>
      </w:r>
      <w:r w:rsidRPr="00E66954" w:rsidR="002E3260">
        <w:t xml:space="preserve"> </w:t>
      </w:r>
      <w:r w:rsidRPr="00E66954">
        <w:t xml:space="preserve">are employed by an NRSRO, an issuer, or an </w:t>
      </w:r>
      <w:r w:rsidRPr="00E66954" w:rsidR="00997F11">
        <w:t>underwriter</w:t>
      </w:r>
      <w:r w:rsidR="00997F11">
        <w:t>,</w:t>
      </w:r>
      <w:r w:rsidRPr="00E66954" w:rsidR="00997F11">
        <w:t xml:space="preserve"> the</w:t>
      </w:r>
      <w:r w:rsidRPr="00E66954">
        <w:t xml:space="preserve"> person providing the due diligence services shall provide to any NRSRO that produces a rating to which such services relate, </w:t>
      </w:r>
      <w:r w:rsidR="00A871F2">
        <w:t xml:space="preserve">a </w:t>
      </w:r>
      <w:r w:rsidRPr="00E66954">
        <w:t>written certification in a format as provided in Exchange Act Section 15E(s)(4)(C).</w:t>
      </w:r>
      <w:r>
        <w:rPr>
          <w:vertAlign w:val="superscript"/>
        </w:rPr>
        <w:footnoteReference w:id="8"/>
      </w:r>
      <w:r w:rsidR="008E301D">
        <w:t xml:space="preserve">  </w:t>
      </w:r>
      <w:r w:rsidRPr="00E66954">
        <w:t>Section 15E(s)(4)(C) provides that the Commission shall establish the appropriate format and content for such written certification to ensure that providers of due diligence services have conducted a thorough review of data, documentation, and other relevant information necessary for an NRSRO to provide an accurate rating.</w:t>
      </w:r>
      <w:r>
        <w:rPr>
          <w:vertAlign w:val="superscript"/>
        </w:rPr>
        <w:footnoteReference w:id="9"/>
      </w:r>
    </w:p>
    <w:p w:rsidR="00E66954" w:rsidP="0037301A" w14:paraId="3A8539E1" w14:textId="77777777"/>
    <w:p w:rsidR="000C4B32" w:rsidP="00E66954" w14:paraId="22E26C6B" w14:textId="0C23D76D">
      <w:r>
        <w:tab/>
      </w:r>
      <w:r w:rsidRPr="00E66954" w:rsidR="0035052A">
        <w:t>Rule 17g-10 and Form ABS Due Diligence-15E implement Sections 15E(s)(4)(B) and (C)</w:t>
      </w:r>
      <w:r w:rsidR="004179E4">
        <w:t xml:space="preserve"> of the Exchange Act</w:t>
      </w:r>
      <w:r w:rsidRPr="00E66954" w:rsidR="0035052A">
        <w:t>.</w:t>
      </w:r>
      <w:r w:rsidR="00193C9A">
        <w:t xml:space="preserve">  </w:t>
      </w:r>
      <w:r w:rsidRPr="00E66954">
        <w:t xml:space="preserve">Paragraph (a) of Rule 17g-10 </w:t>
      </w:r>
      <w:r w:rsidR="00DB152A">
        <w:t xml:space="preserve">requires </w:t>
      </w:r>
      <w:r w:rsidR="00D77987">
        <w:t>the</w:t>
      </w:r>
      <w:r w:rsidR="0026575F">
        <w:t xml:space="preserve"> </w:t>
      </w:r>
      <w:r w:rsidR="00D77987">
        <w:t>written certification</w:t>
      </w:r>
      <w:r w:rsidR="00DE36A9">
        <w:t>s</w:t>
      </w:r>
      <w:r w:rsidR="00F73A42">
        <w:t xml:space="preserve"> from </w:t>
      </w:r>
      <w:r w:rsidR="00F73A42">
        <w:t>providers of third-party</w:t>
      </w:r>
      <w:r w:rsidR="001375CD">
        <w:t xml:space="preserve"> due diligence services</w:t>
      </w:r>
      <w:r w:rsidR="00014075">
        <w:t xml:space="preserve"> </w:t>
      </w:r>
      <w:r w:rsidR="00077DB2">
        <w:t xml:space="preserve">to </w:t>
      </w:r>
      <w:r w:rsidR="00014075">
        <w:t>be</w:t>
      </w:r>
      <w:r w:rsidRPr="00E66954">
        <w:t xml:space="preserve"> </w:t>
      </w:r>
      <w:r w:rsidR="002520C2">
        <w:t xml:space="preserve">made </w:t>
      </w:r>
      <w:r w:rsidRPr="00E66954">
        <w:t>on Form ABS Due Diligence-15E.</w:t>
      </w:r>
      <w:r>
        <w:rPr>
          <w:vertAlign w:val="superscript"/>
        </w:rPr>
        <w:footnoteReference w:id="10"/>
      </w:r>
      <w:r w:rsidRPr="00E66954">
        <w:t xml:space="preserve">  Paragraph (b) requires </w:t>
      </w:r>
      <w:r w:rsidR="0026575F">
        <w:t>such</w:t>
      </w:r>
      <w:r w:rsidRPr="00E66954" w:rsidR="0026575F">
        <w:t xml:space="preserve"> </w:t>
      </w:r>
      <w:r w:rsidRPr="00E66954">
        <w:t>written certification</w:t>
      </w:r>
      <w:r w:rsidR="0026575F">
        <w:t>s</w:t>
      </w:r>
      <w:r w:rsidRPr="00E66954">
        <w:t xml:space="preserve"> to be signed by an individual who is duly authorized by the </w:t>
      </w:r>
      <w:r w:rsidR="002A6EA7">
        <w:t xml:space="preserve">provider of </w:t>
      </w:r>
      <w:r w:rsidR="00BA3BC0">
        <w:t xml:space="preserve">third-party </w:t>
      </w:r>
      <w:r w:rsidRPr="00E66954">
        <w:t>due diligence services to make such a certification.</w:t>
      </w:r>
      <w:r>
        <w:rPr>
          <w:vertAlign w:val="superscript"/>
        </w:rPr>
        <w:footnoteReference w:id="11"/>
      </w:r>
      <w:r w:rsidRPr="00E66954">
        <w:t xml:space="preserve"> </w:t>
      </w:r>
      <w:r w:rsidR="0008761D">
        <w:t xml:space="preserve"> </w:t>
      </w:r>
      <w:r w:rsidR="006A2C94">
        <w:t xml:space="preserve">Pursuant to </w:t>
      </w:r>
      <w:r w:rsidR="007250EC">
        <w:t>p</w:t>
      </w:r>
      <w:r w:rsidR="0087550D">
        <w:t>aragraph (c)</w:t>
      </w:r>
      <w:r w:rsidR="006A2C94">
        <w:t>,</w:t>
      </w:r>
      <w:r w:rsidR="0038217F">
        <w:t xml:space="preserve"> </w:t>
      </w:r>
      <w:r w:rsidR="00E51CF0">
        <w:t xml:space="preserve">a </w:t>
      </w:r>
      <w:r w:rsidR="00014075">
        <w:t>provider of</w:t>
      </w:r>
      <w:r w:rsidR="00BC3B75">
        <w:t xml:space="preserve"> third-party</w:t>
      </w:r>
      <w:r w:rsidR="0038217F">
        <w:t xml:space="preserve"> due diligence services </w:t>
      </w:r>
      <w:r w:rsidR="00E43F1C">
        <w:t>is</w:t>
      </w:r>
      <w:r w:rsidR="0038217F">
        <w:t xml:space="preserve"> deemed to have satisfied its </w:t>
      </w:r>
      <w:r w:rsidR="003670B6">
        <w:t xml:space="preserve">obligations </w:t>
      </w:r>
      <w:r w:rsidR="0038217F">
        <w:t>und</w:t>
      </w:r>
      <w:r w:rsidR="00B433B3">
        <w:t xml:space="preserve">er Section 15E(s)(4)(B) </w:t>
      </w:r>
      <w:r w:rsidR="00B92C5E">
        <w:t xml:space="preserve">if </w:t>
      </w:r>
      <w:r w:rsidR="00194B34">
        <w:t>it</w:t>
      </w:r>
      <w:r w:rsidR="00B92C5E">
        <w:t xml:space="preserve"> promptly delivers an executed Form ABS Due Diligence-15E after completion of the due </w:t>
      </w:r>
      <w:r w:rsidR="00C50399">
        <w:t>diligence</w:t>
      </w:r>
      <w:r w:rsidR="00B92C5E">
        <w:t xml:space="preserve"> services </w:t>
      </w:r>
      <w:r w:rsidR="001E05BB">
        <w:t xml:space="preserve">(i) </w:t>
      </w:r>
      <w:r w:rsidR="00582B49">
        <w:t xml:space="preserve">to </w:t>
      </w:r>
      <w:r w:rsidR="008F76AA">
        <w:t>a</w:t>
      </w:r>
      <w:r w:rsidR="00B92C5E">
        <w:t>n NRSRO that provide</w:t>
      </w:r>
      <w:r w:rsidR="008F76AA">
        <w:t>d</w:t>
      </w:r>
      <w:r w:rsidR="00031D16">
        <w:t xml:space="preserve"> </w:t>
      </w:r>
      <w:r w:rsidR="00B92C5E">
        <w:t xml:space="preserve">a written request for the </w:t>
      </w:r>
      <w:r w:rsidR="009F7001">
        <w:t>f</w:t>
      </w:r>
      <w:r w:rsidR="00C50399">
        <w:t>orm</w:t>
      </w:r>
      <w:r w:rsidR="00E825CA">
        <w:t xml:space="preserve"> </w:t>
      </w:r>
      <w:r w:rsidR="008F76AA">
        <w:t xml:space="preserve">stating that </w:t>
      </w:r>
      <w:r w:rsidR="000E63B2">
        <w:t xml:space="preserve">the services relate to a credit rating the NRSRO is producing or </w:t>
      </w:r>
      <w:r w:rsidR="001E05BB">
        <w:t xml:space="preserve">(ii) </w:t>
      </w:r>
      <w:r w:rsidR="004159B9">
        <w:t>to</w:t>
      </w:r>
      <w:r w:rsidR="000E63B2">
        <w:t xml:space="preserve"> the issuer or underwriter of the </w:t>
      </w:r>
      <w:r w:rsidR="008F1D30">
        <w:t>Exchange Act-ABS</w:t>
      </w:r>
      <w:r w:rsidR="000E63B2">
        <w:t xml:space="preserve"> </w:t>
      </w:r>
      <w:r w:rsidR="006423CD">
        <w:t>to</w:t>
      </w:r>
      <w:r w:rsidR="000E63B2">
        <w:t xml:space="preserve"> which the due diligence services relate that maintain</w:t>
      </w:r>
      <w:r w:rsidR="007B6783">
        <w:t>s</w:t>
      </w:r>
      <w:r w:rsidR="000E63B2">
        <w:t xml:space="preserve"> </w:t>
      </w:r>
      <w:r w:rsidR="00463D25">
        <w:t>an</w:t>
      </w:r>
      <w:r w:rsidR="000E63B2">
        <w:t xml:space="preserve"> internet website </w:t>
      </w:r>
      <w:r w:rsidR="0090017D">
        <w:t>with respect to the security pursuant to Rule 17g-5(</w:t>
      </w:r>
      <w:r w:rsidR="008B78B3">
        <w:t>a</w:t>
      </w:r>
      <w:r w:rsidR="0090017D">
        <w:t>)(3)</w:t>
      </w:r>
      <w:r w:rsidR="00121C7F">
        <w:t>.</w:t>
      </w:r>
    </w:p>
    <w:p w:rsidR="00E66954" w:rsidP="00E66954" w14:paraId="185CD51F" w14:textId="77777777"/>
    <w:p w:rsidR="00E66954" w:rsidRPr="003B42CD" w:rsidP="003B42CD" w14:paraId="73077BDF" w14:textId="343D8619">
      <w:pPr>
        <w:overflowPunct w:val="0"/>
        <w:autoSpaceDE w:val="0"/>
        <w:autoSpaceDN w:val="0"/>
        <w:adjustRightInd w:val="0"/>
        <w:ind w:firstLine="720"/>
        <w:textAlignment w:val="baseline"/>
      </w:pPr>
      <w:r w:rsidRPr="00E66954">
        <w:t xml:space="preserve">Form ABS Due Diligence-15E contains five line items identifying information </w:t>
      </w:r>
      <w:r w:rsidR="000E090B">
        <w:t xml:space="preserve">that </w:t>
      </w:r>
      <w:r w:rsidRPr="00E66954">
        <w:t>provider</w:t>
      </w:r>
      <w:r w:rsidR="007D5140">
        <w:t>s</w:t>
      </w:r>
      <w:r w:rsidRPr="00E66954">
        <w:t xml:space="preserve"> of third-party due diligence services must </w:t>
      </w:r>
      <w:r w:rsidR="006769A7">
        <w:t>include</w:t>
      </w:r>
      <w:r w:rsidR="00872940">
        <w:t xml:space="preserve">, </w:t>
      </w:r>
      <w:r w:rsidR="00667F30">
        <w:t xml:space="preserve">such as </w:t>
      </w:r>
      <w:r w:rsidR="00872940">
        <w:t xml:space="preserve">the scope and manner of the due diligence performed, </w:t>
      </w:r>
      <w:r w:rsidR="0008134F">
        <w:t>as well as a description of findings and conclusions resulting from the due diligence review</w:t>
      </w:r>
      <w:r w:rsidRPr="00E66954">
        <w:t>.</w:t>
      </w:r>
      <w:r>
        <w:rPr>
          <w:vertAlign w:val="superscript"/>
        </w:rPr>
        <w:footnoteReference w:id="12"/>
      </w:r>
      <w:r w:rsidRPr="00E66954">
        <w:t xml:space="preserve">  The form also contains a signature line with a corresponding representation</w:t>
      </w:r>
      <w:r w:rsidR="002D4C86">
        <w:t xml:space="preserve"> and </w:t>
      </w:r>
      <w:r w:rsidRPr="00E66954">
        <w:t>elicits the identity and address of the provider of third-party due diligence services</w:t>
      </w:r>
      <w:r w:rsidR="005F5F13">
        <w:t xml:space="preserve"> </w:t>
      </w:r>
      <w:r w:rsidR="000E090B">
        <w:t xml:space="preserve">and </w:t>
      </w:r>
      <w:r w:rsidRPr="00E66954">
        <w:t xml:space="preserve">the issuer, underwriter, or NRSRO that paid </w:t>
      </w:r>
      <w:r w:rsidR="00D47029">
        <w:t>for</w:t>
      </w:r>
      <w:r w:rsidRPr="00E66954">
        <w:t xml:space="preserve"> </w:t>
      </w:r>
      <w:r w:rsidR="00922E21">
        <w:t>such</w:t>
      </w:r>
      <w:r w:rsidRPr="00E66954" w:rsidR="00922E21">
        <w:t xml:space="preserve"> </w:t>
      </w:r>
      <w:r w:rsidRPr="00E66954">
        <w:t>services.</w:t>
      </w:r>
      <w:r>
        <w:rPr>
          <w:vertAlign w:val="superscript"/>
        </w:rPr>
        <w:footnoteReference w:id="13"/>
      </w:r>
      <w:r w:rsidRPr="00E66954">
        <w:t xml:space="preserve">  </w:t>
      </w:r>
      <w:r w:rsidRPr="00E66954" w:rsidR="0047075A">
        <w:rPr>
          <w:iCs/>
          <w:vertAlign w:val="superscript"/>
        </w:rPr>
        <w:t xml:space="preserve"> </w:t>
      </w:r>
    </w:p>
    <w:p w:rsidR="00E66954" w:rsidRPr="00E66954" w:rsidP="00E66954" w14:paraId="01280863" w14:textId="77777777">
      <w:pPr>
        <w:overflowPunct w:val="0"/>
        <w:autoSpaceDE w:val="0"/>
        <w:autoSpaceDN w:val="0"/>
        <w:adjustRightInd w:val="0"/>
        <w:ind w:firstLine="720"/>
        <w:textAlignment w:val="baseline"/>
        <w:rPr>
          <w:iCs/>
        </w:rPr>
      </w:pPr>
    </w:p>
    <w:p w:rsidR="00E66954" w:rsidRPr="00E66954" w:rsidP="00E66954" w14:paraId="77D66081" w14:textId="51B2F584">
      <w:pPr>
        <w:overflowPunct w:val="0"/>
        <w:autoSpaceDE w:val="0"/>
        <w:autoSpaceDN w:val="0"/>
        <w:adjustRightInd w:val="0"/>
        <w:ind w:firstLine="720"/>
        <w:textAlignment w:val="baseline"/>
        <w:rPr>
          <w:iCs/>
        </w:rPr>
      </w:pPr>
      <w:r w:rsidRPr="00E66954">
        <w:rPr>
          <w:iCs/>
        </w:rPr>
        <w:t>Rule 17g-10 and Form ABS Due Diligence-15E contain “collection of information” requirements within the meaning of the Paperwork Reduction Act of 1995</w:t>
      </w:r>
      <w:r w:rsidR="00E60169">
        <w:rPr>
          <w:iCs/>
        </w:rPr>
        <w:t xml:space="preserve"> (“PRA”)</w:t>
      </w:r>
      <w:r w:rsidRPr="00E66954">
        <w:rPr>
          <w:iCs/>
        </w:rPr>
        <w:t>.</w:t>
      </w:r>
      <w:r>
        <w:rPr>
          <w:iCs/>
          <w:vertAlign w:val="superscript"/>
        </w:rPr>
        <w:footnoteReference w:id="14"/>
      </w:r>
      <w:r w:rsidRPr="00E66954">
        <w:rPr>
          <w:iCs/>
        </w:rPr>
        <w:t xml:space="preserve">  </w:t>
      </w:r>
      <w:r w:rsidRPr="00E66954" w:rsidR="00542C8C">
        <w:rPr>
          <w:iCs/>
        </w:rPr>
        <w:t>The collection of information under Rule 17g-10 and Form ABS Due Diligence</w:t>
      </w:r>
      <w:r w:rsidR="00542C8C">
        <w:rPr>
          <w:iCs/>
        </w:rPr>
        <w:t>-15E</w:t>
      </w:r>
      <w:r w:rsidRPr="00E66954" w:rsidR="00542C8C">
        <w:rPr>
          <w:iCs/>
        </w:rPr>
        <w:t xml:space="preserve"> is necessary </w:t>
      </w:r>
      <w:r w:rsidR="000B0226">
        <w:rPr>
          <w:iCs/>
        </w:rPr>
        <w:t>to</w:t>
      </w:r>
      <w:r w:rsidR="00542C8C">
        <w:rPr>
          <w:iCs/>
        </w:rPr>
        <w:t xml:space="preserve"> increase the information available about third-party due diligence reports prepared with respect to Exchange Act-ABS.</w:t>
      </w:r>
      <w:r w:rsidR="00AE4D12">
        <w:rPr>
          <w:iCs/>
        </w:rPr>
        <w:t xml:space="preserve">  </w:t>
      </w:r>
      <w:r w:rsidRPr="00E66954">
        <w:rPr>
          <w:iCs/>
        </w:rPr>
        <w:t xml:space="preserve">The collection of information has been approved and extended by the Office of Management and Budget (“OMB”) under control number 3235-0694 (expiring August 31, 2024).  </w:t>
      </w:r>
    </w:p>
    <w:p w:rsidR="00E66954" w:rsidRPr="00E66954" w:rsidP="00E66954" w14:paraId="76412AF3" w14:textId="77777777">
      <w:pPr>
        <w:overflowPunct w:val="0"/>
        <w:autoSpaceDE w:val="0"/>
        <w:autoSpaceDN w:val="0"/>
        <w:adjustRightInd w:val="0"/>
        <w:ind w:firstLine="720"/>
        <w:textAlignment w:val="baseline"/>
        <w:rPr>
          <w:iCs/>
        </w:rPr>
      </w:pPr>
    </w:p>
    <w:p w:rsidR="00D74A43" w:rsidRPr="009D0107" w:rsidP="00CD7B23" w14:paraId="70B24509" w14:textId="77777777">
      <w:pPr>
        <w:rPr>
          <w:b/>
        </w:rPr>
      </w:pPr>
      <w:r w:rsidRPr="002243FB">
        <w:rPr>
          <w:b/>
        </w:rPr>
        <w:t>2.</w:t>
      </w:r>
      <w:r w:rsidRPr="002243FB">
        <w:rPr>
          <w:b/>
        </w:rPr>
        <w:tab/>
        <w:t xml:space="preserve">Purpose </w:t>
      </w:r>
      <w:r w:rsidRPr="002243FB" w:rsidR="00C625B3">
        <w:rPr>
          <w:b/>
        </w:rPr>
        <w:t xml:space="preserve">and Use of the </w:t>
      </w:r>
      <w:r w:rsidRPr="002243FB">
        <w:rPr>
          <w:b/>
        </w:rPr>
        <w:t xml:space="preserve">Information Collection </w:t>
      </w:r>
    </w:p>
    <w:p w:rsidR="00496C3E" w:rsidP="00CD7B23" w14:paraId="020F6A67" w14:textId="77777777"/>
    <w:p w:rsidR="00780950" w:rsidP="005D655F" w14:paraId="12CE4401" w14:textId="1C37E7A4">
      <w:pPr>
        <w:ind w:firstLine="720"/>
        <w:rPr>
          <w:iCs/>
        </w:rPr>
      </w:pPr>
      <w:r w:rsidRPr="005D655F">
        <w:t xml:space="preserve">The written certification </w:t>
      </w:r>
      <w:r w:rsidR="00856A51">
        <w:t xml:space="preserve">on </w:t>
      </w:r>
      <w:r w:rsidRPr="005D655F" w:rsidR="00856A51">
        <w:t>Form ABS Due Diligence-15E</w:t>
      </w:r>
      <w:r w:rsidR="00856A51">
        <w:t xml:space="preserve"> </w:t>
      </w:r>
      <w:r w:rsidR="00E13FE0">
        <w:t>required by</w:t>
      </w:r>
      <w:r w:rsidRPr="005D655F" w:rsidR="00516C63">
        <w:t xml:space="preserve"> Rule 17g-10</w:t>
      </w:r>
      <w:r w:rsidR="00883429">
        <w:t xml:space="preserve"> </w:t>
      </w:r>
      <w:r w:rsidRPr="005D655F">
        <w:t>allows NRSROs</w:t>
      </w:r>
      <w:r w:rsidR="000663C5">
        <w:t xml:space="preserve"> receiving the certification</w:t>
      </w:r>
      <w:r w:rsidRPr="005D655F">
        <w:t xml:space="preserve"> to evaluate the adequacy and level of review of assets underlying </w:t>
      </w:r>
      <w:r w:rsidR="0066294C">
        <w:t>the</w:t>
      </w:r>
      <w:r w:rsidRPr="005D655F">
        <w:t xml:space="preserve"> Exchange Act-ABS.</w:t>
      </w:r>
      <w:r>
        <w:rPr>
          <w:vertAlign w:val="superscript"/>
        </w:rPr>
        <w:footnoteReference w:id="15"/>
      </w:r>
      <w:r w:rsidRPr="005D655F">
        <w:rPr>
          <w:iCs/>
        </w:rPr>
        <w:t xml:space="preserve">  To this end, each </w:t>
      </w:r>
      <w:r w:rsidRPr="005D655F" w:rsidR="008F4D98">
        <w:t>Form ABS Due Diligence-15E</w:t>
      </w:r>
      <w:r w:rsidRPr="005D655F" w:rsidR="008F4D98">
        <w:rPr>
          <w:iCs/>
        </w:rPr>
        <w:t xml:space="preserve"> </w:t>
      </w:r>
      <w:r w:rsidRPr="005D655F">
        <w:rPr>
          <w:iCs/>
        </w:rPr>
        <w:t>is required to include details about the due diligence</w:t>
      </w:r>
      <w:r w:rsidR="007E6CA7">
        <w:rPr>
          <w:iCs/>
        </w:rPr>
        <w:t xml:space="preserve"> services</w:t>
      </w:r>
      <w:r w:rsidRPr="005D655F">
        <w:rPr>
          <w:iCs/>
        </w:rPr>
        <w:t>, including a description of the scope and manner of the due diligence service</w:t>
      </w:r>
      <w:r w:rsidR="005F0BA5">
        <w:rPr>
          <w:iCs/>
        </w:rPr>
        <w:t>s</w:t>
      </w:r>
      <w:r w:rsidRPr="005D655F">
        <w:rPr>
          <w:iCs/>
        </w:rPr>
        <w:t xml:space="preserve"> and a summary of the findings and conclusions.  The form must be signed by an individual who is duly authorized by the provider of the due diligence services to make such a certification, which promotes confidence in the accuracy of the content of the form.</w:t>
      </w:r>
      <w:r w:rsidR="00DF09E5">
        <w:rPr>
          <w:iCs/>
        </w:rPr>
        <w:t xml:space="preserve">  </w:t>
      </w:r>
    </w:p>
    <w:p w:rsidR="00ED7FB4" w:rsidP="005D655F" w14:paraId="33B1139C" w14:textId="77777777">
      <w:pPr>
        <w:ind w:firstLine="720"/>
        <w:rPr>
          <w:iCs/>
        </w:rPr>
      </w:pPr>
    </w:p>
    <w:p w:rsidR="005D655F" w:rsidRPr="005D655F" w:rsidP="008D3FFE" w14:paraId="7DA4684C" w14:textId="7197A1A6">
      <w:pPr>
        <w:ind w:firstLine="720"/>
      </w:pPr>
      <w:r>
        <w:rPr>
          <w:iCs/>
        </w:rPr>
        <w:t>Also,</w:t>
      </w:r>
      <w:r w:rsidR="00054699">
        <w:rPr>
          <w:iCs/>
        </w:rPr>
        <w:t xml:space="preserve"> </w:t>
      </w:r>
      <w:r w:rsidR="00AF77A1">
        <w:rPr>
          <w:iCs/>
        </w:rPr>
        <w:t xml:space="preserve">given that </w:t>
      </w:r>
      <w:r w:rsidR="009C4B30">
        <w:rPr>
          <w:iCs/>
        </w:rPr>
        <w:t>NRSRO</w:t>
      </w:r>
      <w:r w:rsidR="00FA7F5F">
        <w:rPr>
          <w:iCs/>
        </w:rPr>
        <w:t>s</w:t>
      </w:r>
      <w:r w:rsidR="009C4B30">
        <w:rPr>
          <w:iCs/>
        </w:rPr>
        <w:t xml:space="preserve"> </w:t>
      </w:r>
      <w:r w:rsidR="00EF1BFE">
        <w:rPr>
          <w:iCs/>
        </w:rPr>
        <w:t xml:space="preserve">are required </w:t>
      </w:r>
      <w:r w:rsidR="009C4B30">
        <w:rPr>
          <w:iCs/>
        </w:rPr>
        <w:t xml:space="preserve">to publish </w:t>
      </w:r>
      <w:r w:rsidR="00C05261">
        <w:rPr>
          <w:iCs/>
        </w:rPr>
        <w:t xml:space="preserve">the </w:t>
      </w:r>
      <w:r w:rsidR="006429D0">
        <w:rPr>
          <w:iCs/>
        </w:rPr>
        <w:t>Form ABS Due Diligence-15E</w:t>
      </w:r>
      <w:r w:rsidR="009C2D0B">
        <w:rPr>
          <w:iCs/>
        </w:rPr>
        <w:t xml:space="preserve"> </w:t>
      </w:r>
      <w:r w:rsidR="00AC42CF">
        <w:rPr>
          <w:iCs/>
        </w:rPr>
        <w:t xml:space="preserve">when taking a rating action with respect to </w:t>
      </w:r>
      <w:r w:rsidR="00374051">
        <w:rPr>
          <w:iCs/>
        </w:rPr>
        <w:t>an</w:t>
      </w:r>
      <w:r w:rsidR="003B1DDE">
        <w:rPr>
          <w:iCs/>
        </w:rPr>
        <w:t xml:space="preserve"> Exchange Act-ABS </w:t>
      </w:r>
      <w:r w:rsidR="002508F6">
        <w:rPr>
          <w:iCs/>
        </w:rPr>
        <w:t>to which the due diligence services relate</w:t>
      </w:r>
      <w:r w:rsidR="00EF1BFE">
        <w:rPr>
          <w:iCs/>
        </w:rPr>
        <w:t xml:space="preserve"> </w:t>
      </w:r>
      <w:r w:rsidR="006450D0">
        <w:rPr>
          <w:iCs/>
        </w:rPr>
        <w:t>pursuant to</w:t>
      </w:r>
      <w:r w:rsidR="00EF1BFE">
        <w:rPr>
          <w:iCs/>
        </w:rPr>
        <w:t xml:space="preserve"> Rule 17g-7</w:t>
      </w:r>
      <w:r w:rsidR="00AF77A1">
        <w:rPr>
          <w:iCs/>
        </w:rPr>
        <w:t>,</w:t>
      </w:r>
      <w:r>
        <w:rPr>
          <w:rStyle w:val="FootnoteReference"/>
        </w:rPr>
        <w:footnoteReference w:id="16"/>
      </w:r>
      <w:r w:rsidR="00054699">
        <w:rPr>
          <w:iCs/>
        </w:rPr>
        <w:t xml:space="preserve"> </w:t>
      </w:r>
      <w:r w:rsidR="00403CAE">
        <w:rPr>
          <w:iCs/>
        </w:rPr>
        <w:t>u</w:t>
      </w:r>
      <w:r w:rsidR="00C032AD">
        <w:rPr>
          <w:iCs/>
        </w:rPr>
        <w:t>sers of credit ratings, investors, and market participants</w:t>
      </w:r>
      <w:r w:rsidR="0027168C">
        <w:rPr>
          <w:iCs/>
        </w:rPr>
        <w:t xml:space="preserve"> </w:t>
      </w:r>
      <w:r w:rsidR="00E953B7">
        <w:rPr>
          <w:iCs/>
        </w:rPr>
        <w:t xml:space="preserve">can </w:t>
      </w:r>
      <w:r w:rsidR="00AB0F13">
        <w:rPr>
          <w:iCs/>
        </w:rPr>
        <w:t xml:space="preserve">obtain </w:t>
      </w:r>
      <w:r w:rsidR="00564C75">
        <w:rPr>
          <w:iCs/>
        </w:rPr>
        <w:t xml:space="preserve">information </w:t>
      </w:r>
      <w:r w:rsidR="005E6840">
        <w:rPr>
          <w:iCs/>
        </w:rPr>
        <w:t>concerning</w:t>
      </w:r>
      <w:r w:rsidR="00F36C1B">
        <w:rPr>
          <w:iCs/>
        </w:rPr>
        <w:t xml:space="preserve"> </w:t>
      </w:r>
      <w:r w:rsidR="00EB4E34">
        <w:rPr>
          <w:iCs/>
        </w:rPr>
        <w:t xml:space="preserve">the </w:t>
      </w:r>
      <w:r w:rsidR="00F36C1B">
        <w:rPr>
          <w:iCs/>
        </w:rPr>
        <w:t>due diligence services performed</w:t>
      </w:r>
      <w:r w:rsidR="00EA7208">
        <w:rPr>
          <w:iCs/>
        </w:rPr>
        <w:t xml:space="preserve"> </w:t>
      </w:r>
      <w:r w:rsidR="00BF741B">
        <w:rPr>
          <w:iCs/>
        </w:rPr>
        <w:t xml:space="preserve">with respect to </w:t>
      </w:r>
      <w:r w:rsidR="00981302">
        <w:rPr>
          <w:iCs/>
        </w:rPr>
        <w:t>the</w:t>
      </w:r>
      <w:r w:rsidR="00BF741B">
        <w:rPr>
          <w:iCs/>
        </w:rPr>
        <w:t xml:space="preserve"> Exchange Act-ABS </w:t>
      </w:r>
      <w:r w:rsidR="00EA7208">
        <w:rPr>
          <w:iCs/>
        </w:rPr>
        <w:t>and gain</w:t>
      </w:r>
      <w:r w:rsidR="008D3FFE">
        <w:rPr>
          <w:iCs/>
        </w:rPr>
        <w:t xml:space="preserve"> insight </w:t>
      </w:r>
      <w:r w:rsidRPr="008D3FFE" w:rsidR="008D3FFE">
        <w:rPr>
          <w:iCs/>
        </w:rPr>
        <w:t xml:space="preserve">into the quality of the asset pool </w:t>
      </w:r>
      <w:r w:rsidR="00890858">
        <w:rPr>
          <w:iCs/>
        </w:rPr>
        <w:t>underlying</w:t>
      </w:r>
      <w:r w:rsidR="00AF7003">
        <w:rPr>
          <w:iCs/>
        </w:rPr>
        <w:t xml:space="preserve"> the Exchange Act-ABS</w:t>
      </w:r>
      <w:r w:rsidR="00FC3E1E">
        <w:rPr>
          <w:iCs/>
        </w:rPr>
        <w:t>.</w:t>
      </w:r>
      <w:r>
        <w:rPr>
          <w:rStyle w:val="FootnoteReference"/>
          <w:iCs/>
        </w:rPr>
        <w:footnoteReference w:id="17"/>
      </w:r>
      <w:r w:rsidR="002058BF">
        <w:rPr>
          <w:iCs/>
        </w:rPr>
        <w:t xml:space="preserve">  Th</w:t>
      </w:r>
      <w:r w:rsidR="00DE463F">
        <w:rPr>
          <w:iCs/>
        </w:rPr>
        <w:t>is</w:t>
      </w:r>
      <w:r w:rsidR="002058BF">
        <w:rPr>
          <w:iCs/>
        </w:rPr>
        <w:t xml:space="preserve"> information may promote informed investment decisions, potentially improving individual portfolio efficiency as well as market efficiency, and may benefit capital formation by encouraging more participation in the Exchange Act-ABS market</w:t>
      </w:r>
      <w:r w:rsidRPr="00E66954" w:rsidR="002058BF">
        <w:rPr>
          <w:iCs/>
        </w:rPr>
        <w:t>.</w:t>
      </w:r>
      <w:r>
        <w:rPr>
          <w:rStyle w:val="FootnoteReference"/>
          <w:iCs/>
        </w:rPr>
        <w:footnoteReference w:id="18"/>
      </w:r>
      <w:r w:rsidRPr="00E66954" w:rsidR="002058BF">
        <w:rPr>
          <w:iCs/>
        </w:rPr>
        <w:t xml:space="preserve">    </w:t>
      </w:r>
      <w:r w:rsidR="00C032AD">
        <w:rPr>
          <w:iCs/>
        </w:rPr>
        <w:t xml:space="preserve"> </w:t>
      </w:r>
    </w:p>
    <w:p w:rsidR="00D74A43" w:rsidRPr="006B15CC" w:rsidP="00CD7B23" w14:paraId="69CB2BD0" w14:textId="77777777"/>
    <w:p w:rsidR="00D74A43" w:rsidRPr="002243FB" w:rsidP="00CD7B23" w14:paraId="325CCB4A" w14:textId="77777777">
      <w:pPr>
        <w:rPr>
          <w:b/>
        </w:rPr>
      </w:pPr>
      <w:r w:rsidRPr="002243FB">
        <w:rPr>
          <w:b/>
        </w:rPr>
        <w:t>3.</w:t>
      </w:r>
      <w:r w:rsidRPr="002243FB">
        <w:rPr>
          <w:b/>
        </w:rPr>
        <w:tab/>
      </w:r>
      <w:r w:rsidRPr="002243FB" w:rsidR="00C625B3">
        <w:rPr>
          <w:b/>
        </w:rPr>
        <w:t>Consideration Given to Information Technology</w:t>
      </w:r>
    </w:p>
    <w:p w:rsidR="00C625B3" w:rsidRPr="006B15CC" w:rsidP="00CD7B23" w14:paraId="2CEFB1F9" w14:textId="77777777"/>
    <w:p w:rsidR="005D655F" w:rsidRPr="005D655F" w:rsidP="005D655F" w14:paraId="040A5180" w14:textId="0547F19D">
      <w:r w:rsidRPr="006B15CC">
        <w:tab/>
      </w:r>
      <w:r w:rsidRPr="005D655F">
        <w:t xml:space="preserve">The </w:t>
      </w:r>
      <w:r w:rsidR="00016998">
        <w:t xml:space="preserve">written certification on </w:t>
      </w:r>
      <w:r w:rsidR="00016998">
        <w:rPr>
          <w:iCs/>
        </w:rPr>
        <w:t>Form ABS Due Diligence-15E</w:t>
      </w:r>
      <w:r w:rsidRPr="005D655F" w:rsidR="00016998">
        <w:t xml:space="preserve"> </w:t>
      </w:r>
      <w:r w:rsidR="00081A97">
        <w:t xml:space="preserve">required by Rule 17g-10 </w:t>
      </w:r>
      <w:r w:rsidRPr="005D655F">
        <w:t xml:space="preserve">may be prepared by using information from the third-party due diligence report prepared by the provider of the due diligence services.  This process may be automated electronically.  In addition, the provider </w:t>
      </w:r>
      <w:r w:rsidR="003B1410">
        <w:t xml:space="preserve">of third-party due diligence services </w:t>
      </w:r>
      <w:r w:rsidRPr="005D655F">
        <w:t xml:space="preserve">may satisfy its obligation to deliver the </w:t>
      </w:r>
      <w:r w:rsidR="003B1410">
        <w:rPr>
          <w:iCs/>
        </w:rPr>
        <w:t>Form ABS Due Diligence-15E</w:t>
      </w:r>
      <w:r w:rsidRPr="005D655F" w:rsidR="003B1410">
        <w:t xml:space="preserve"> </w:t>
      </w:r>
      <w:r w:rsidRPr="005D655F">
        <w:t xml:space="preserve">to NRSROs rating the Exchange Act-ABS to which the provider’s due diligence services relate by providing the certification to the issuer or underwriter of the </w:t>
      </w:r>
      <w:r w:rsidRPr="005D655F" w:rsidR="003B5656">
        <w:t xml:space="preserve">Exchange Act-ABS </w:t>
      </w:r>
      <w:r w:rsidRPr="005D655F">
        <w:t xml:space="preserve">that maintains a website under Rule 17g-5(a)(3) with respect to </w:t>
      </w:r>
      <w:r w:rsidR="003B5656">
        <w:t>the</w:t>
      </w:r>
      <w:r w:rsidRPr="005D655F">
        <w:t xml:space="preserve"> security  (“Rule 17g-5 website”).</w:t>
      </w:r>
      <w:r>
        <w:rPr>
          <w:vertAlign w:val="superscript"/>
        </w:rPr>
        <w:footnoteReference w:id="19"/>
      </w:r>
      <w:r w:rsidRPr="005D655F">
        <w:t xml:space="preserve">  NRSROs rating the </w:t>
      </w:r>
      <w:r w:rsidRPr="005D655F" w:rsidR="003B5656">
        <w:t>Exchange Act-ABS</w:t>
      </w:r>
      <w:r w:rsidRPr="005D655F">
        <w:t xml:space="preserve">, subject to specified conditions, may be able to access the </w:t>
      </w:r>
      <w:r w:rsidR="008E0A55">
        <w:rPr>
          <w:iCs/>
        </w:rPr>
        <w:t>Form ABS Due Diligence-15E</w:t>
      </w:r>
      <w:r w:rsidRPr="005D655F" w:rsidR="008E0A55">
        <w:t xml:space="preserve"> </w:t>
      </w:r>
      <w:r w:rsidRPr="005D655F">
        <w:t>on the issuer’s or underwriter’s website, relieving the third-party due diligence provider from having to identify and deliver the certification to each NRSRO rating the Exchange Act-ABS.</w:t>
      </w:r>
      <w:r w:rsidRPr="005D655F">
        <w:t xml:space="preserve"> </w:t>
      </w:r>
    </w:p>
    <w:p w:rsidR="00D74A43" w:rsidRPr="006B15CC" w:rsidP="00CD7B23" w14:paraId="370882D9" w14:textId="77777777"/>
    <w:p w:rsidR="00D74A43" w:rsidRPr="002243FB" w:rsidP="00CD7B23" w14:paraId="5C90984C" w14:textId="77777777">
      <w:pPr>
        <w:rPr>
          <w:b/>
        </w:rPr>
      </w:pPr>
      <w:r w:rsidRPr="002243FB">
        <w:rPr>
          <w:b/>
        </w:rPr>
        <w:t>4.</w:t>
      </w:r>
      <w:r w:rsidRPr="002243FB">
        <w:rPr>
          <w:b/>
        </w:rPr>
        <w:tab/>
      </w:r>
      <w:r w:rsidRPr="002243FB" w:rsidR="00C625B3">
        <w:rPr>
          <w:b/>
        </w:rPr>
        <w:t>Duplication</w:t>
      </w:r>
    </w:p>
    <w:p w:rsidR="00D74A43" w:rsidRPr="006B15CC" w:rsidP="00CD7B23" w14:paraId="322F87CF" w14:textId="77777777"/>
    <w:p w:rsidR="005D655F" w:rsidRPr="008F6587" w:rsidP="005D655F" w14:paraId="104597FF" w14:textId="77777777">
      <w:pPr>
        <w:tabs>
          <w:tab w:val="left" w:pos="-720"/>
        </w:tabs>
        <w:suppressAutoHyphens/>
        <w:overflowPunct w:val="0"/>
        <w:autoSpaceDE w:val="0"/>
        <w:autoSpaceDN w:val="0"/>
        <w:adjustRightInd w:val="0"/>
        <w:textAlignment w:val="baseline"/>
      </w:pPr>
      <w:r w:rsidRPr="006B15CC">
        <w:tab/>
      </w:r>
      <w:r w:rsidRPr="00D10EA0">
        <w:t>Commission</w:t>
      </w:r>
      <w:r>
        <w:t xml:space="preserve"> staff</w:t>
      </w:r>
      <w:r w:rsidRPr="00D10EA0">
        <w:t xml:space="preserve"> has not identified any duplication with respect to the information required by Rule 17g-1</w:t>
      </w:r>
      <w:r>
        <w:t>0</w:t>
      </w:r>
      <w:r w:rsidRPr="00D10EA0">
        <w:t xml:space="preserve"> and Form ABS Due Diligence-15E</w:t>
      </w:r>
      <w:r w:rsidRPr="008F6587">
        <w:rPr>
          <w:spacing w:val="-3"/>
        </w:rPr>
        <w:t>.</w:t>
      </w:r>
    </w:p>
    <w:p w:rsidR="00D74A43" w:rsidRPr="006B15CC" w:rsidP="00CD7B23" w14:paraId="2FFE0261" w14:textId="58E4C6D6"/>
    <w:p w:rsidR="00D74A43" w:rsidRPr="002243FB" w:rsidP="00CD7B23" w14:paraId="3EAE2086" w14:textId="77777777">
      <w:pPr>
        <w:rPr>
          <w:b/>
        </w:rPr>
      </w:pPr>
      <w:r w:rsidRPr="002243FB">
        <w:rPr>
          <w:b/>
        </w:rPr>
        <w:t>5.</w:t>
      </w:r>
      <w:r w:rsidRPr="002243FB">
        <w:rPr>
          <w:b/>
        </w:rPr>
        <w:tab/>
        <w:t>Effect on Small Entities</w:t>
      </w:r>
    </w:p>
    <w:p w:rsidR="00D74A43" w:rsidRPr="006B15CC" w:rsidP="00CD7B23" w14:paraId="392293FD" w14:textId="77777777"/>
    <w:p w:rsidR="0036436B" w:rsidP="00B66DE8" w14:paraId="14727594" w14:textId="7A171FD3">
      <w:pPr>
        <w:ind w:firstLine="720"/>
      </w:pPr>
      <w:r w:rsidRPr="008F6587">
        <w:t xml:space="preserve">Commission </w:t>
      </w:r>
      <w:r>
        <w:t xml:space="preserve">staff </w:t>
      </w:r>
      <w:r w:rsidR="00055696">
        <w:t xml:space="preserve">estimates that </w:t>
      </w:r>
      <w:r>
        <w:t xml:space="preserve">approximately </w:t>
      </w:r>
      <w:r w:rsidR="00F95E71">
        <w:t>30</w:t>
      </w:r>
      <w:r w:rsidRPr="008F6587">
        <w:t xml:space="preserve"> providers of third-party due diligence services</w:t>
      </w:r>
      <w:r w:rsidRPr="00BC7E4A" w:rsidR="00BC7E4A">
        <w:rPr>
          <w:rStyle w:val="FootnoteReference"/>
        </w:rPr>
        <w:t xml:space="preserve"> </w:t>
      </w:r>
      <w:r>
        <w:rPr>
          <w:rStyle w:val="FootnoteReference"/>
        </w:rPr>
        <w:footnoteReference w:id="20"/>
      </w:r>
      <w:r w:rsidR="00BC7E4A">
        <w:t xml:space="preserve"> </w:t>
      </w:r>
      <w:r w:rsidR="00617368">
        <w:t>are subject to</w:t>
      </w:r>
      <w:r w:rsidR="00D74999">
        <w:t xml:space="preserve"> the requirements under</w:t>
      </w:r>
      <w:r w:rsidR="00617368">
        <w:t xml:space="preserve"> </w:t>
      </w:r>
      <w:r w:rsidR="00D74999">
        <w:t>Rule 17g-10 and Form ABS Due Diligence-15E</w:t>
      </w:r>
      <w:r w:rsidR="00AD0556">
        <w:t xml:space="preserve">.  </w:t>
      </w:r>
      <w:r w:rsidR="00AD0556">
        <w:t xml:space="preserve">The providers </w:t>
      </w:r>
      <w:r w:rsidR="00AA1C0F">
        <w:t xml:space="preserve">are believed </w:t>
      </w:r>
      <w:r w:rsidR="002C3B2A">
        <w:t xml:space="preserve">to </w:t>
      </w:r>
      <w:r w:rsidR="006B603E">
        <w:t>be small entities</w:t>
      </w:r>
      <w:r w:rsidR="006803EE">
        <w:t xml:space="preserve"> for purposes of the </w:t>
      </w:r>
      <w:r w:rsidR="00080968">
        <w:t>PRA</w:t>
      </w:r>
      <w:r w:rsidR="00E60169">
        <w:t xml:space="preserve"> and the collection of information analysis</w:t>
      </w:r>
      <w:r w:rsidRPr="008F6587">
        <w:t>.</w:t>
      </w:r>
      <w:r>
        <w:rPr>
          <w:rStyle w:val="FootnoteReference"/>
        </w:rPr>
        <w:footnoteReference w:id="21"/>
      </w:r>
      <w:r w:rsidR="008B388D">
        <w:t xml:space="preserve">  </w:t>
      </w:r>
    </w:p>
    <w:p w:rsidR="0036436B" w:rsidP="00B66DE8" w14:paraId="4279452C" w14:textId="77777777">
      <w:pPr>
        <w:ind w:firstLine="720"/>
      </w:pPr>
    </w:p>
    <w:p w:rsidR="005D655F" w:rsidP="00A240D1" w14:paraId="481EF346" w14:textId="24E1A9F3">
      <w:pPr>
        <w:ind w:firstLine="720"/>
      </w:pPr>
      <w:r>
        <w:t xml:space="preserve">Rule 17g-10 </w:t>
      </w:r>
      <w:r w:rsidR="0000286C">
        <w:t>provide</w:t>
      </w:r>
      <w:r w:rsidR="003A0D3C">
        <w:t>s</w:t>
      </w:r>
      <w:r w:rsidR="00DB475D">
        <w:t xml:space="preserve"> a mechanism for delivering </w:t>
      </w:r>
      <w:r w:rsidR="00002D74">
        <w:t>the</w:t>
      </w:r>
      <w:r w:rsidR="009E1CAE">
        <w:t xml:space="preserve"> </w:t>
      </w:r>
      <w:r w:rsidR="00F61DBC">
        <w:t xml:space="preserve">required </w:t>
      </w:r>
      <w:r w:rsidR="00EC4A0C">
        <w:t xml:space="preserve">written </w:t>
      </w:r>
      <w:r w:rsidR="00002D74">
        <w:t xml:space="preserve">certification </w:t>
      </w:r>
      <w:r w:rsidR="00EC4A0C">
        <w:t>on Form ABS Due Diligence-15E</w:t>
      </w:r>
      <w:r w:rsidR="000463FD">
        <w:t>, which</w:t>
      </w:r>
      <w:r w:rsidR="00BE72B1">
        <w:t xml:space="preserve"> may </w:t>
      </w:r>
      <w:r w:rsidR="00E94E9F">
        <w:t xml:space="preserve">offer </w:t>
      </w:r>
      <w:r w:rsidR="0000286C">
        <w:t>relief to</w:t>
      </w:r>
      <w:r w:rsidR="00CA20B6">
        <w:t xml:space="preserve"> small entities that provide </w:t>
      </w:r>
      <w:r w:rsidR="00310F49">
        <w:t xml:space="preserve">third-party </w:t>
      </w:r>
      <w:r w:rsidR="0000286C">
        <w:t>due diligence service</w:t>
      </w:r>
      <w:r w:rsidR="00CA20B6">
        <w:t>s</w:t>
      </w:r>
      <w:r w:rsidR="00BB5D9E">
        <w:t xml:space="preserve">.  Specifically, </w:t>
      </w:r>
      <w:r w:rsidR="00DE77CF">
        <w:t xml:space="preserve">under </w:t>
      </w:r>
      <w:r>
        <w:t>Rule 17g-10</w:t>
      </w:r>
      <w:r w:rsidR="00DE77CF">
        <w:t>,</w:t>
      </w:r>
      <w:r>
        <w:t xml:space="preserve"> </w:t>
      </w:r>
      <w:r w:rsidR="00262331">
        <w:t xml:space="preserve">a </w:t>
      </w:r>
      <w:r>
        <w:t>provider</w:t>
      </w:r>
      <w:r w:rsidR="00323AE6">
        <w:t xml:space="preserve"> of third-party due diligence services</w:t>
      </w:r>
      <w:r>
        <w:t xml:space="preserve"> </w:t>
      </w:r>
      <w:r w:rsidR="00DE77CF">
        <w:t>may</w:t>
      </w:r>
      <w:r>
        <w:t xml:space="preserve"> </w:t>
      </w:r>
      <w:r w:rsidR="00571776">
        <w:t>deliver</w:t>
      </w:r>
      <w:r>
        <w:t xml:space="preserve"> the</w:t>
      </w:r>
      <w:r w:rsidR="000908E5">
        <w:t xml:space="preserve"> </w:t>
      </w:r>
      <w:r>
        <w:t>certification to NRSROs rating an Exchange Act-ABS to which the</w:t>
      </w:r>
      <w:r w:rsidR="00262331">
        <w:t xml:space="preserve"> </w:t>
      </w:r>
      <w:r>
        <w:t xml:space="preserve">due diligence service relates by providing the certification to the issuer or underwriter of the </w:t>
      </w:r>
      <w:r>
        <w:t xml:space="preserve">Exchange Act-ABS </w:t>
      </w:r>
      <w:r>
        <w:t>that maintains a Rule 17g-5 website</w:t>
      </w:r>
      <w:r w:rsidR="006B08A4">
        <w:t xml:space="preserve"> with respect</w:t>
      </w:r>
      <w:r w:rsidRPr="005D655F" w:rsidR="000C3A5B">
        <w:t xml:space="preserve"> to the </w:t>
      </w:r>
      <w:r w:rsidR="006B08A4">
        <w:t>security</w:t>
      </w:r>
      <w:r w:rsidR="0022131C">
        <w:t>,</w:t>
      </w:r>
      <w:r>
        <w:rPr>
          <w:rStyle w:val="FootnoteReference"/>
        </w:rPr>
        <w:footnoteReference w:id="22"/>
      </w:r>
      <w:r>
        <w:t xml:space="preserve"> </w:t>
      </w:r>
      <w:r w:rsidR="00AA2D56">
        <w:t xml:space="preserve">thus </w:t>
      </w:r>
      <w:r w:rsidR="0022131C">
        <w:t xml:space="preserve">relieving the </w:t>
      </w:r>
      <w:r w:rsidRPr="005D655F" w:rsidR="000C3A5B">
        <w:t>due diligence</w:t>
      </w:r>
      <w:r w:rsidR="00CB07C5">
        <w:t xml:space="preserve"> </w:t>
      </w:r>
      <w:r w:rsidR="005A231C">
        <w:t>service</w:t>
      </w:r>
      <w:r w:rsidR="0022131C">
        <w:t xml:space="preserve"> provider from having to</w:t>
      </w:r>
      <w:r w:rsidRPr="005D655F" w:rsidR="000C3A5B">
        <w:t xml:space="preserve"> identify and deliver the certification to each</w:t>
      </w:r>
      <w:r w:rsidR="0008337F">
        <w:t xml:space="preserve"> NRSRO.</w:t>
      </w:r>
      <w:r>
        <w:t xml:space="preserve">  </w:t>
      </w:r>
    </w:p>
    <w:p w:rsidR="00D74A43" w:rsidRPr="006B15CC" w:rsidP="00CD7B23" w14:paraId="157DD652" w14:textId="57DF956E"/>
    <w:p w:rsidR="00D74A43" w:rsidRPr="002243FB" w:rsidP="00CD7B23" w14:paraId="1793CB27" w14:textId="77777777">
      <w:pPr>
        <w:rPr>
          <w:b/>
        </w:rPr>
      </w:pPr>
      <w:r w:rsidRPr="002243FB">
        <w:rPr>
          <w:b/>
        </w:rPr>
        <w:t>6.</w:t>
      </w:r>
      <w:r w:rsidRPr="002243FB">
        <w:rPr>
          <w:b/>
        </w:rPr>
        <w:tab/>
        <w:t xml:space="preserve">Consequences of </w:t>
      </w:r>
      <w:r w:rsidRPr="002243FB" w:rsidR="00C625B3">
        <w:rPr>
          <w:b/>
        </w:rPr>
        <w:t>Not Conducting</w:t>
      </w:r>
      <w:r w:rsidRPr="002243FB">
        <w:rPr>
          <w:b/>
        </w:rPr>
        <w:t xml:space="preserve"> Collection</w:t>
      </w:r>
    </w:p>
    <w:p w:rsidR="00D74A43" w:rsidRPr="006B15CC" w:rsidP="00CD7B23" w14:paraId="1BE555F6" w14:textId="77777777"/>
    <w:p w:rsidR="00221283" w:rsidRPr="005D655F" w:rsidP="00221283" w14:paraId="702625C2" w14:textId="2BEC0C40">
      <w:pPr>
        <w:ind w:firstLine="720"/>
      </w:pPr>
      <w:r>
        <w:t>If</w:t>
      </w:r>
      <w:r w:rsidR="00D51F42">
        <w:t xml:space="preserve"> providers </w:t>
      </w:r>
      <w:r w:rsidR="00F02E0F">
        <w:t xml:space="preserve">of third-party due diligence services </w:t>
      </w:r>
      <w:r w:rsidR="00D51F42">
        <w:t>were not require</w:t>
      </w:r>
      <w:r w:rsidR="00CD3D67">
        <w:t>d</w:t>
      </w:r>
      <w:r w:rsidR="00D51F42">
        <w:t xml:space="preserve"> </w:t>
      </w:r>
      <w:r w:rsidR="00020EA7">
        <w:t xml:space="preserve">to provide the written certification </w:t>
      </w:r>
      <w:r w:rsidR="00422938">
        <w:t xml:space="preserve">on Form </w:t>
      </w:r>
      <w:r w:rsidRPr="008F6587" w:rsidR="005D655F">
        <w:t>ABS Due Diligence-15E</w:t>
      </w:r>
      <w:r w:rsidR="00D10914">
        <w:t xml:space="preserve"> </w:t>
      </w:r>
      <w:r w:rsidR="009C6C95">
        <w:t xml:space="preserve">and </w:t>
      </w:r>
      <w:r w:rsidR="00280D2B">
        <w:t>thereby conduct</w:t>
      </w:r>
      <w:r w:rsidR="009C6C95">
        <w:t xml:space="preserve"> the collection of information </w:t>
      </w:r>
      <w:r w:rsidR="006823D9">
        <w:t>under</w:t>
      </w:r>
      <w:r w:rsidR="00891CED">
        <w:t xml:space="preserve"> Rule 17g-10</w:t>
      </w:r>
      <w:r w:rsidR="00EA519F">
        <w:t>,</w:t>
      </w:r>
      <w:r w:rsidR="003E4421">
        <w:t xml:space="preserve"> </w:t>
      </w:r>
      <w:r w:rsidR="00DF42E1">
        <w:t>NRSROs</w:t>
      </w:r>
      <w:r w:rsidR="00672AD0">
        <w:t xml:space="preserve"> </w:t>
      </w:r>
      <w:r w:rsidR="003F231D">
        <w:t>may</w:t>
      </w:r>
      <w:r w:rsidR="008069C3">
        <w:t xml:space="preserve"> not be</w:t>
      </w:r>
      <w:r w:rsidR="00884D9F">
        <w:t xml:space="preserve"> able </w:t>
      </w:r>
      <w:r w:rsidR="00EF2EA9">
        <w:t>to</w:t>
      </w:r>
      <w:r w:rsidR="00981FC5">
        <w:t xml:space="preserve"> </w:t>
      </w:r>
      <w:r w:rsidR="0066504C">
        <w:t xml:space="preserve">perform </w:t>
      </w:r>
      <w:r w:rsidR="00196FB5">
        <w:t>an adequate asse</w:t>
      </w:r>
      <w:r w:rsidR="0022254D">
        <w:t>ss</w:t>
      </w:r>
      <w:r w:rsidR="00196FB5">
        <w:t xml:space="preserve">ment of the </w:t>
      </w:r>
      <w:r w:rsidR="00884D9F">
        <w:t>Exchange Act-ABS</w:t>
      </w:r>
      <w:r w:rsidR="00721CB6">
        <w:t xml:space="preserve"> </w:t>
      </w:r>
      <w:r w:rsidR="0022254D">
        <w:t>to</w:t>
      </w:r>
      <w:r w:rsidR="00721CB6">
        <w:t xml:space="preserve"> rate the security</w:t>
      </w:r>
      <w:r w:rsidR="008D5A45">
        <w:t xml:space="preserve">, frustrating the objectives of </w:t>
      </w:r>
      <w:r w:rsidR="00F06352">
        <w:t>Section 15E(s)</w:t>
      </w:r>
      <w:r w:rsidR="00554593">
        <w:t xml:space="preserve"> of the Exchange Act</w:t>
      </w:r>
      <w:r w:rsidR="00884D9F">
        <w:t>.</w:t>
      </w:r>
      <w:r w:rsidR="00853DAC">
        <w:t xml:space="preserve">  In this regard, </w:t>
      </w:r>
      <w:r w:rsidR="00A060F9">
        <w:t>Section 15E(s)</w:t>
      </w:r>
      <w:r w:rsidR="00A44AEF">
        <w:t>(4)</w:t>
      </w:r>
      <w:r w:rsidR="00A060F9">
        <w:t>(B) provides</w:t>
      </w:r>
      <w:r w:rsidR="00EF51E8">
        <w:t xml:space="preserve"> that the Commission shall establish the appropriate format and content for the </w:t>
      </w:r>
      <w:r w:rsidR="00380BF7">
        <w:t>written</w:t>
      </w:r>
      <w:r w:rsidR="00EF51E8">
        <w:t xml:space="preserve"> certification to “ensure that providers of due diligence services have conducted a th</w:t>
      </w:r>
      <w:r w:rsidR="00B25769">
        <w:t>orough review of the data, documentation, and other relevant information necessary for a</w:t>
      </w:r>
      <w:r w:rsidR="0006402D">
        <w:t>[</w:t>
      </w:r>
      <w:r w:rsidR="00B25769">
        <w:t>n</w:t>
      </w:r>
      <w:r w:rsidR="0006402D">
        <w:t>]</w:t>
      </w:r>
      <w:r w:rsidR="00B25769">
        <w:t xml:space="preserve"> [NRSRO]</w:t>
      </w:r>
      <w:r w:rsidR="0006402D">
        <w:t xml:space="preserve"> to provide an accurate rating.”</w:t>
      </w:r>
      <w:r>
        <w:rPr>
          <w:rStyle w:val="FootnoteReference"/>
        </w:rPr>
        <w:footnoteReference w:id="23"/>
      </w:r>
      <w:r w:rsidR="00884D9F">
        <w:t xml:space="preserve">  </w:t>
      </w:r>
      <w:r w:rsidR="0022254D">
        <w:t>W</w:t>
      </w:r>
      <w:r w:rsidR="00D86371">
        <w:t xml:space="preserve">ithout the </w:t>
      </w:r>
      <w:r w:rsidR="00A92B33">
        <w:t>information in the certification</w:t>
      </w:r>
      <w:r w:rsidR="00B67C56">
        <w:t xml:space="preserve">, </w:t>
      </w:r>
      <w:r w:rsidR="009123B0">
        <w:t>NRSROs</w:t>
      </w:r>
      <w:r w:rsidR="00223B53">
        <w:t xml:space="preserve"> and other market participants</w:t>
      </w:r>
      <w:r w:rsidR="00982EC8">
        <w:t xml:space="preserve"> would not be able to </w:t>
      </w:r>
      <w:r w:rsidR="00E67AF5">
        <w:t>evaluate</w:t>
      </w:r>
      <w:r w:rsidR="0085694A">
        <w:t xml:space="preserve"> the </w:t>
      </w:r>
      <w:r w:rsidRPr="008F6587" w:rsidR="0085694A">
        <w:t>adequacy and level of</w:t>
      </w:r>
      <w:r w:rsidR="0085694A">
        <w:t xml:space="preserve"> </w:t>
      </w:r>
      <w:r w:rsidRPr="008F6587" w:rsidR="0085694A">
        <w:t xml:space="preserve">due diligence </w:t>
      </w:r>
      <w:r w:rsidR="0085694A">
        <w:t>performed</w:t>
      </w:r>
      <w:r w:rsidR="00982EC8">
        <w:t xml:space="preserve"> </w:t>
      </w:r>
      <w:r w:rsidR="005C315E">
        <w:t>by</w:t>
      </w:r>
      <w:r w:rsidR="001C1FD6">
        <w:t xml:space="preserve"> </w:t>
      </w:r>
      <w:r w:rsidR="004A5670">
        <w:t xml:space="preserve">third-party </w:t>
      </w:r>
      <w:r w:rsidR="00BE220F">
        <w:t>provider</w:t>
      </w:r>
      <w:r w:rsidR="001C1FD6">
        <w:t xml:space="preserve">s </w:t>
      </w:r>
      <w:r w:rsidR="004A5670">
        <w:t>nor</w:t>
      </w:r>
      <w:r w:rsidR="0089414B">
        <w:t xml:space="preserve"> </w:t>
      </w:r>
      <w:r w:rsidR="00F5556F">
        <w:t>determine the</w:t>
      </w:r>
      <w:r w:rsidR="0072507C">
        <w:t xml:space="preserve"> degree </w:t>
      </w:r>
      <w:r w:rsidR="00F5556F">
        <w:t xml:space="preserve">of reliance to place </w:t>
      </w:r>
      <w:r w:rsidR="00B534B9">
        <w:t xml:space="preserve">upon </w:t>
      </w:r>
      <w:r w:rsidR="00A54B63">
        <w:t>the</w:t>
      </w:r>
      <w:r w:rsidR="005C315E">
        <w:t>ir</w:t>
      </w:r>
      <w:r w:rsidR="00656CDB">
        <w:t xml:space="preserve"> assessments of</w:t>
      </w:r>
      <w:r w:rsidR="00A54B63">
        <w:t xml:space="preserve"> due diligence.</w:t>
      </w:r>
      <w:r>
        <w:rPr>
          <w:rStyle w:val="FootnoteReference"/>
        </w:rPr>
        <w:footnoteReference w:id="24"/>
      </w:r>
      <w:r w:rsidR="00197C05">
        <w:rPr>
          <w:iCs/>
        </w:rPr>
        <w:t xml:space="preserve">  </w:t>
      </w:r>
      <w:r w:rsidR="000D5C44">
        <w:rPr>
          <w:iCs/>
        </w:rPr>
        <w:t>Additionally</w:t>
      </w:r>
      <w:r w:rsidR="00C60397">
        <w:rPr>
          <w:iCs/>
        </w:rPr>
        <w:t>, t</w:t>
      </w:r>
      <w:r w:rsidR="00302522">
        <w:t xml:space="preserve">he collection of information </w:t>
      </w:r>
      <w:r w:rsidR="001D38D0">
        <w:t xml:space="preserve">may </w:t>
      </w:r>
      <w:r w:rsidR="00302522">
        <w:t>incentiv</w:t>
      </w:r>
      <w:r w:rsidR="001D38D0">
        <w:t>ize</w:t>
      </w:r>
      <w:r w:rsidR="00302522">
        <w:t xml:space="preserve"> providers </w:t>
      </w:r>
      <w:r w:rsidR="000D5C44">
        <w:t xml:space="preserve">of third-party due diligence services </w:t>
      </w:r>
      <w:r w:rsidR="00302522">
        <w:t xml:space="preserve">to perform reviews in a competent manner </w:t>
      </w:r>
      <w:r w:rsidR="00A108EE">
        <w:t>because</w:t>
      </w:r>
      <w:r w:rsidR="0043361F">
        <w:t xml:space="preserve"> they must certify </w:t>
      </w:r>
      <w:r w:rsidR="009150F6">
        <w:t xml:space="preserve">that their work </w:t>
      </w:r>
      <w:r w:rsidR="002224F0">
        <w:t xml:space="preserve">included a </w:t>
      </w:r>
      <w:r w:rsidR="009150F6">
        <w:t>thorough</w:t>
      </w:r>
      <w:r w:rsidR="002224F0">
        <w:t xml:space="preserve"> review</w:t>
      </w:r>
      <w:r w:rsidR="00561A43">
        <w:t xml:space="preserve"> of the relevant </w:t>
      </w:r>
      <w:r w:rsidR="00E25A42">
        <w:t>information</w:t>
      </w:r>
      <w:r w:rsidR="003E4421">
        <w:t>.</w:t>
      </w:r>
      <w:r>
        <w:rPr>
          <w:rStyle w:val="FootnoteReference"/>
        </w:rPr>
        <w:footnoteReference w:id="25"/>
      </w:r>
      <w:r>
        <w:rPr>
          <w:iCs/>
        </w:rPr>
        <w:t xml:space="preserve"> </w:t>
      </w:r>
    </w:p>
    <w:p w:rsidR="005D655F" w:rsidRPr="006B15CC" w:rsidP="005D655F" w14:paraId="373129B6" w14:textId="77777777"/>
    <w:p w:rsidR="00D74A43" w:rsidRPr="002243FB" w:rsidP="00CD7B23" w14:paraId="2F8DAB33" w14:textId="77777777">
      <w:pPr>
        <w:rPr>
          <w:b/>
        </w:rPr>
      </w:pPr>
      <w:r w:rsidRPr="002243FB">
        <w:rPr>
          <w:b/>
        </w:rPr>
        <w:t>7.</w:t>
      </w:r>
      <w:r w:rsidRPr="002243FB">
        <w:rPr>
          <w:b/>
        </w:rPr>
        <w:tab/>
        <w:t xml:space="preserve">Inconsistencies </w:t>
      </w:r>
      <w:r w:rsidRPr="002243FB" w:rsidR="0043639E">
        <w:rPr>
          <w:b/>
        </w:rPr>
        <w:t>w</w:t>
      </w:r>
      <w:r w:rsidRPr="002243FB">
        <w:rPr>
          <w:b/>
        </w:rPr>
        <w:t xml:space="preserve">ith Guidelines </w:t>
      </w:r>
      <w:r w:rsidRPr="002243FB" w:rsidR="00CD22EB">
        <w:rPr>
          <w:b/>
        </w:rPr>
        <w:t>i</w:t>
      </w:r>
      <w:r w:rsidRPr="002243FB">
        <w:rPr>
          <w:b/>
        </w:rPr>
        <w:t>n 5 CFR 1320.</w:t>
      </w:r>
      <w:r w:rsidR="00083797">
        <w:rPr>
          <w:b/>
        </w:rPr>
        <w:t>5</w:t>
      </w:r>
      <w:r w:rsidRPr="002243FB">
        <w:rPr>
          <w:b/>
        </w:rPr>
        <w:t>(d)</w:t>
      </w:r>
      <w:r w:rsidR="00083797">
        <w:rPr>
          <w:b/>
        </w:rPr>
        <w:t>(2)</w:t>
      </w:r>
    </w:p>
    <w:p w:rsidR="00D74A43" w:rsidRPr="006B15CC" w:rsidP="00CD7B23" w14:paraId="68ED9280" w14:textId="77777777"/>
    <w:p w:rsidR="006D21A8" w:rsidP="00CD7B23" w14:paraId="7D1A2392" w14:textId="7DC2349D">
      <w:r w:rsidRPr="006B15CC">
        <w:tab/>
      </w:r>
      <w:r w:rsidR="005F5418">
        <w:t xml:space="preserve">There are no special circumstances. This collection is consistent </w:t>
      </w:r>
      <w:r w:rsidRPr="006B15CC" w:rsidR="00C625B3">
        <w:t>with</w:t>
      </w:r>
      <w:r w:rsidR="005F5418">
        <w:t xml:space="preserve"> the guidelines in</w:t>
      </w:r>
      <w:r w:rsidRPr="006B15CC" w:rsidR="00C625B3">
        <w:t xml:space="preserve"> </w:t>
      </w:r>
      <w:r w:rsidRPr="006B15CC">
        <w:t>5 CFR 1320.</w:t>
      </w:r>
      <w:r w:rsidR="005F5418">
        <w:t>5</w:t>
      </w:r>
      <w:r w:rsidRPr="006B15CC" w:rsidR="00C625B3">
        <w:t>(</w:t>
      </w:r>
      <w:r w:rsidRPr="006B15CC">
        <w:t>d)</w:t>
      </w:r>
      <w:r w:rsidR="005F5418">
        <w:t>(2)</w:t>
      </w:r>
      <w:r w:rsidRPr="006B15CC">
        <w:t>.</w:t>
      </w:r>
    </w:p>
    <w:p w:rsidR="0015036A" w14:paraId="75863C7D" w14:textId="77777777"/>
    <w:p w:rsidR="00D74A43" w:rsidRPr="002243FB" w:rsidP="00CD7B23" w14:paraId="44035109" w14:textId="77777777">
      <w:pPr>
        <w:rPr>
          <w:b/>
        </w:rPr>
      </w:pPr>
      <w:r w:rsidRPr="002243FB">
        <w:rPr>
          <w:b/>
        </w:rPr>
        <w:t>8.</w:t>
      </w:r>
      <w:r w:rsidRPr="002243FB">
        <w:rPr>
          <w:b/>
        </w:rPr>
        <w:tab/>
        <w:t>Consultations Outside the Agency</w:t>
      </w:r>
    </w:p>
    <w:p w:rsidR="006B7D92" w:rsidP="001609F6" w14:paraId="479C250B" w14:textId="1860342C"/>
    <w:p w:rsidR="007923DB" w14:paraId="3F6F70F0" w14:textId="01533A5F">
      <w:pPr>
        <w:ind w:firstLine="720"/>
        <w:rPr>
          <w:position w:val="-1"/>
        </w:rPr>
      </w:pPr>
      <w:r w:rsidRPr="00265540">
        <w:t xml:space="preserve">The required notice with a 60-day comment period soliciting comments on this collection of information was published in the Federal Register </w:t>
      </w:r>
      <w:r>
        <w:t xml:space="preserve">on </w:t>
      </w:r>
      <w:r w:rsidR="00783252">
        <w:t>March 15, 2024</w:t>
      </w:r>
      <w:r>
        <w:t>.</w:t>
      </w:r>
      <w:r>
        <w:rPr>
          <w:rStyle w:val="FootnoteReference"/>
        </w:rPr>
        <w:footnoteReference w:id="26"/>
      </w:r>
      <w:r>
        <w:t xml:space="preserve">  </w:t>
      </w:r>
      <w:r>
        <w:rPr>
          <w:position w:val="-1"/>
        </w:rPr>
        <w:t xml:space="preserve">The Commission did not receive comments on its estimates of the </w:t>
      </w:r>
      <w:r w:rsidRPr="00FA5C05">
        <w:rPr>
          <w:position w:val="-1"/>
        </w:rPr>
        <w:t xml:space="preserve">paperwork burdens </w:t>
      </w:r>
      <w:r>
        <w:rPr>
          <w:position w:val="-1"/>
        </w:rPr>
        <w:t xml:space="preserve">associated with </w:t>
      </w:r>
      <w:r w:rsidRPr="00BB5C4A">
        <w:rPr>
          <w:position w:val="-1"/>
        </w:rPr>
        <w:t>Rule 17g-10 and Form ABS Due Diligence-15E</w:t>
      </w:r>
      <w:r>
        <w:rPr>
          <w:position w:val="-1"/>
        </w:rPr>
        <w:t xml:space="preserve">.  </w:t>
      </w:r>
    </w:p>
    <w:p w:rsidR="007923DB" w:rsidP="00193D8E" w14:paraId="69D64DA1" w14:textId="77777777">
      <w:pPr>
        <w:ind w:firstLine="720"/>
        <w:rPr>
          <w:b/>
        </w:rPr>
      </w:pPr>
    </w:p>
    <w:p w:rsidR="00D74A43" w:rsidRPr="002243FB" w:rsidP="007923DB" w14:paraId="39F2BB3A" w14:textId="3DBBCC85">
      <w:pPr>
        <w:rPr>
          <w:b/>
        </w:rPr>
      </w:pPr>
      <w:r w:rsidRPr="002243FB">
        <w:rPr>
          <w:b/>
        </w:rPr>
        <w:t>9.</w:t>
      </w:r>
      <w:r w:rsidRPr="002243FB">
        <w:rPr>
          <w:b/>
        </w:rPr>
        <w:tab/>
        <w:t xml:space="preserve">Payment or Gift </w:t>
      </w:r>
    </w:p>
    <w:p w:rsidR="00D74A43" w:rsidRPr="006B15CC" w:rsidP="00CD7B23" w14:paraId="30056D8C" w14:textId="77777777"/>
    <w:p w:rsidR="00D74A43" w:rsidP="00CD7B23" w14:paraId="039709DC" w14:textId="72ECBAE5">
      <w:r w:rsidRPr="006B15CC">
        <w:tab/>
      </w:r>
      <w:r w:rsidRPr="006B15CC" w:rsidR="00C625B3">
        <w:t xml:space="preserve">The Commission did not provide any payment or gift to respondents in connection with </w:t>
      </w:r>
      <w:r w:rsidRPr="00B71571" w:rsidR="005D655F">
        <w:t>Rule 17g-10 and Form ABS Due Diligence-15E</w:t>
      </w:r>
      <w:r w:rsidRPr="008F6587" w:rsidR="005D655F">
        <w:t>.</w:t>
      </w:r>
    </w:p>
    <w:p w:rsidR="005D655F" w:rsidRPr="006B15CC" w:rsidP="00CD7B23" w14:paraId="718B8751" w14:textId="77777777"/>
    <w:p w:rsidR="00D74A43" w:rsidRPr="002243FB" w:rsidP="00CD7B23" w14:paraId="5461F3B2" w14:textId="77777777">
      <w:pPr>
        <w:rPr>
          <w:b/>
        </w:rPr>
      </w:pPr>
      <w:r w:rsidRPr="002243FB">
        <w:rPr>
          <w:b/>
        </w:rPr>
        <w:t>10.</w:t>
      </w:r>
      <w:r w:rsidRPr="002243FB">
        <w:rPr>
          <w:b/>
        </w:rPr>
        <w:tab/>
        <w:t>Confidentiality</w:t>
      </w:r>
    </w:p>
    <w:p w:rsidR="00D74A43" w:rsidRPr="006B15CC" w:rsidP="00CD7B23" w14:paraId="4CCEC509" w14:textId="77777777"/>
    <w:p w:rsidR="001529F1" w:rsidRPr="005D655F" w:rsidP="005D655F" w14:paraId="1767058D" w14:textId="3A7FF2C6">
      <w:r w:rsidRPr="006B15CC">
        <w:tab/>
      </w:r>
      <w:r w:rsidRPr="005D655F" w:rsidR="005D655F">
        <w:t xml:space="preserve">The information collection under Rule 17g-10 and Form ABS Due Diligence-15E is not confidential.  Also, the information collection does not collect any Personally Identifiable Information (PII).  The Systems of Record Notice may be reviewed at </w:t>
      </w:r>
      <w:hyperlink r:id="rId9" w:history="1">
        <w:r w:rsidR="00E161EF">
          <w:rPr>
            <w:rStyle w:val="Hyperlink"/>
          </w:rPr>
          <w:t>https://www.sec.gov/oit/system-records-notices</w:t>
        </w:r>
      </w:hyperlink>
      <w:r w:rsidRPr="005D655F" w:rsidR="005D655F">
        <w:t xml:space="preserve">.  The Privacy Impact Assessment document for </w:t>
      </w:r>
      <w:r w:rsidRPr="00751110" w:rsidR="00751110">
        <w:t xml:space="preserve">Electronic Data Gathering Analysis and Retrieval </w:t>
      </w:r>
      <w:r w:rsidRPr="005D655F" w:rsidR="005D655F">
        <w:t xml:space="preserve">may be reviewed at </w:t>
      </w:r>
      <w:hyperlink r:id="rId10" w:history="1">
        <w:r w:rsidR="00751110">
          <w:rPr>
            <w:rStyle w:val="Hyperlink"/>
          </w:rPr>
          <w:t>https://www.sec.gov/about/privacy/pia/pia-edgar.pdf</w:t>
        </w:r>
      </w:hyperlink>
      <w:r w:rsidRPr="005D655F" w:rsidR="005D655F">
        <w:t>.</w:t>
      </w:r>
    </w:p>
    <w:p w:rsidR="000950AE" w:rsidP="00CD7B23" w14:paraId="2474F5F8" w14:textId="77777777">
      <w:pPr>
        <w:rPr>
          <w:b/>
        </w:rPr>
      </w:pPr>
    </w:p>
    <w:p w:rsidR="00D74A43" w:rsidRPr="002243FB" w:rsidP="00CD7B23" w14:paraId="5F67A035" w14:textId="5DD3E13E">
      <w:pPr>
        <w:rPr>
          <w:b/>
        </w:rPr>
      </w:pPr>
      <w:r w:rsidRPr="002243FB">
        <w:rPr>
          <w:b/>
        </w:rPr>
        <w:t>11.</w:t>
      </w:r>
      <w:r w:rsidRPr="002243FB">
        <w:rPr>
          <w:b/>
        </w:rPr>
        <w:tab/>
        <w:t>Sensitive Questions</w:t>
      </w:r>
    </w:p>
    <w:p w:rsidR="00D74A43" w:rsidRPr="006B15CC" w:rsidP="00CD7B23" w14:paraId="2579EB65" w14:textId="77777777"/>
    <w:p w:rsidR="00D74A43" w:rsidRPr="006B15CC" w:rsidP="00CD7B23" w14:paraId="514848DF" w14:textId="65683D7C">
      <w:r w:rsidRPr="006B15CC">
        <w:tab/>
      </w:r>
      <w:r w:rsidR="005F5418">
        <w:t xml:space="preserve">Not applicable. </w:t>
      </w:r>
    </w:p>
    <w:p w:rsidR="00D74A43" w:rsidRPr="006B15CC" w:rsidP="00CD7B23" w14:paraId="5D208247" w14:textId="77777777"/>
    <w:p w:rsidR="00D74A43" w:rsidRPr="002243FB" w:rsidP="00CD7B23" w14:paraId="4332D3E1" w14:textId="77777777">
      <w:pPr>
        <w:rPr>
          <w:b/>
        </w:rPr>
      </w:pPr>
      <w:r w:rsidRPr="002243FB">
        <w:rPr>
          <w:b/>
        </w:rPr>
        <w:t>12.</w:t>
      </w:r>
      <w:r w:rsidRPr="002243FB">
        <w:rPr>
          <w:b/>
        </w:rPr>
        <w:tab/>
      </w:r>
      <w:r w:rsidRPr="002243FB" w:rsidR="00EB10F8">
        <w:rPr>
          <w:b/>
        </w:rPr>
        <w:t>Burden of Information Collection</w:t>
      </w:r>
    </w:p>
    <w:p w:rsidR="00D74A43" w:rsidRPr="006B15CC" w:rsidP="00CD7B23" w14:paraId="0FF742C5" w14:textId="77777777"/>
    <w:p w:rsidR="005D655F" w:rsidP="005D655F" w14:paraId="07EF1363" w14:textId="5A0EC9FB">
      <w:pPr>
        <w:overflowPunct w:val="0"/>
        <w:autoSpaceDE w:val="0"/>
        <w:autoSpaceDN w:val="0"/>
        <w:adjustRightInd w:val="0"/>
        <w:ind w:firstLine="720"/>
        <w:textAlignment w:val="baseline"/>
      </w:pPr>
      <w:r w:rsidRPr="006B7C34">
        <w:rPr>
          <w:iCs/>
        </w:rPr>
        <w:t>For purposes of the Paperwork Reduction Act, Commission staff derive</w:t>
      </w:r>
      <w:r>
        <w:rPr>
          <w:iCs/>
        </w:rPr>
        <w:t>s</w:t>
      </w:r>
      <w:r w:rsidRPr="006B7C34">
        <w:rPr>
          <w:iCs/>
        </w:rPr>
        <w:t xml:space="preserve"> the hour burden estimates discussed below by estimating the average number of hours it would take a</w:t>
      </w:r>
      <w:r>
        <w:rPr>
          <w:iCs/>
        </w:rPr>
        <w:t xml:space="preserve"> provider of third-party due diligence services</w:t>
      </w:r>
      <w:r w:rsidRPr="006B7C34">
        <w:rPr>
          <w:iCs/>
        </w:rPr>
        <w:t xml:space="preserve"> </w:t>
      </w:r>
      <w:r>
        <w:rPr>
          <w:iCs/>
        </w:rPr>
        <w:t>to</w:t>
      </w:r>
      <w:r w:rsidRPr="006B7C34">
        <w:rPr>
          <w:iCs/>
        </w:rPr>
        <w:t xml:space="preserve"> prepare </w:t>
      </w:r>
      <w:r>
        <w:rPr>
          <w:iCs/>
        </w:rPr>
        <w:t>the written certification that Rule 17g-10 requires to be provided to NRSROs on Form ABS Due Diligence-15E</w:t>
      </w:r>
      <w:r w:rsidR="009530DD">
        <w:rPr>
          <w:iCs/>
        </w:rPr>
        <w:t>.  Commission staff also estimates</w:t>
      </w:r>
      <w:r>
        <w:rPr>
          <w:iCs/>
        </w:rPr>
        <w:t xml:space="preserve"> t</w:t>
      </w:r>
      <w:r w:rsidRPr="001F183D">
        <w:t>he number of issuances per year of</w:t>
      </w:r>
      <w:r>
        <w:t xml:space="preserve"> Exchange Act-ABS</w:t>
      </w:r>
      <w:r w:rsidRPr="001F183D">
        <w:t xml:space="preserve"> because </w:t>
      </w:r>
      <w:r>
        <w:t>the requirement under Rule 17g-10</w:t>
      </w:r>
      <w:r w:rsidRPr="001F183D">
        <w:t xml:space="preserve"> </w:t>
      </w:r>
      <w:r>
        <w:t xml:space="preserve">is </w:t>
      </w:r>
      <w:r w:rsidRPr="001F183D">
        <w:t>triggered when an issuer, underwriter, or NRSRO hires a provider of third-party due diligence services</w:t>
      </w:r>
      <w:r>
        <w:t xml:space="preserve"> with respect to an offering of Exchange Act-ABS</w:t>
      </w:r>
      <w:r w:rsidRPr="001F183D">
        <w:t xml:space="preserve">.  </w:t>
      </w:r>
    </w:p>
    <w:p w:rsidR="00FB139C" w:rsidP="004824EC" w14:paraId="47E5DBEF" w14:textId="77777777">
      <w:pPr>
        <w:ind w:firstLine="720"/>
      </w:pPr>
    </w:p>
    <w:p w:rsidR="00150514" w:rsidRPr="002C569F" w:rsidP="003D1D69" w14:paraId="04CA7C2B" w14:textId="751F6FF1">
      <w:pPr>
        <w:overflowPunct w:val="0"/>
        <w:autoSpaceDE w:val="0"/>
        <w:autoSpaceDN w:val="0"/>
        <w:adjustRightInd w:val="0"/>
        <w:ind w:firstLine="720"/>
        <w:textAlignment w:val="baseline"/>
        <w:rPr>
          <w:spacing w:val="-3"/>
        </w:rPr>
      </w:pPr>
      <w:r w:rsidRPr="005D655F">
        <w:t xml:space="preserve">As of the time of the renewal of the information collection, </w:t>
      </w:r>
      <w:r w:rsidRPr="001F183D" w:rsidR="002452CF">
        <w:t xml:space="preserve">Commission </w:t>
      </w:r>
      <w:r w:rsidR="002452CF">
        <w:t xml:space="preserve">staff </w:t>
      </w:r>
      <w:r w:rsidRPr="001F183D" w:rsidR="002452CF">
        <w:t>estimate</w:t>
      </w:r>
      <w:r w:rsidR="00FC132B">
        <w:t>s</w:t>
      </w:r>
      <w:r w:rsidRPr="001F183D" w:rsidR="002452CF">
        <w:t xml:space="preserve"> that a provider of third-party due diligence services w</w:t>
      </w:r>
      <w:r w:rsidR="00D9774B">
        <w:t>ould</w:t>
      </w:r>
      <w:r w:rsidRPr="001F183D" w:rsidR="002452CF">
        <w:t xml:space="preserve"> spend approximately </w:t>
      </w:r>
      <w:r w:rsidR="002452CF">
        <w:t>20</w:t>
      </w:r>
      <w:r w:rsidRPr="001F183D" w:rsidR="002452CF">
        <w:t xml:space="preserve"> minutes </w:t>
      </w:r>
      <w:r w:rsidRPr="001F183D" w:rsidR="00C478F3">
        <w:t xml:space="preserve">to complete and transmit Form ABS Due Diligence-15E </w:t>
      </w:r>
      <w:r w:rsidR="008122C8">
        <w:t xml:space="preserve">and </w:t>
      </w:r>
      <w:r w:rsidR="002C56AC">
        <w:t xml:space="preserve">that </w:t>
      </w:r>
      <w:r w:rsidRPr="005D655F">
        <w:t xml:space="preserve">the average number of Exchange </w:t>
      </w:r>
      <w:r w:rsidRPr="005D655F">
        <w:t xml:space="preserve">Act-ABS offerings </w:t>
      </w:r>
      <w:r w:rsidR="002C56AC">
        <w:t xml:space="preserve">per year </w:t>
      </w:r>
      <w:r w:rsidR="00562D99">
        <w:t>is approximately</w:t>
      </w:r>
      <w:r w:rsidR="0092575C">
        <w:t xml:space="preserve"> </w:t>
      </w:r>
      <w:r w:rsidR="008D7BE7">
        <w:t>1,</w:t>
      </w:r>
      <w:r w:rsidR="000E38CD">
        <w:t>410</w:t>
      </w:r>
      <w:r w:rsidR="00EC3072">
        <w:t>,</w:t>
      </w:r>
      <w:r>
        <w:rPr>
          <w:rStyle w:val="FootnoteReference"/>
        </w:rPr>
        <w:footnoteReference w:id="27"/>
      </w:r>
      <w:r w:rsidRPr="005D655F">
        <w:t xml:space="preserve"> </w:t>
      </w:r>
      <w:r w:rsidR="00EC3072">
        <w:t>resulting in</w:t>
      </w:r>
      <w:r w:rsidR="00FE1C82">
        <w:t xml:space="preserve"> </w:t>
      </w:r>
      <w:r w:rsidR="00C917F3">
        <w:t>a</w:t>
      </w:r>
      <w:r w:rsidR="00C745DA">
        <w:t xml:space="preserve"> </w:t>
      </w:r>
      <w:r w:rsidR="00C927FE">
        <w:t xml:space="preserve">total </w:t>
      </w:r>
      <w:r w:rsidR="0067030B">
        <w:t>annual</w:t>
      </w:r>
      <w:r w:rsidR="002360AA">
        <w:t xml:space="preserve"> </w:t>
      </w:r>
      <w:r w:rsidR="00FA02E0">
        <w:t xml:space="preserve">aggregate </w:t>
      </w:r>
      <w:r w:rsidRPr="005D655F">
        <w:t xml:space="preserve">hour burden </w:t>
      </w:r>
      <w:r w:rsidR="00133C2D">
        <w:t xml:space="preserve">of </w:t>
      </w:r>
      <w:r w:rsidR="000E38CD">
        <w:t>470</w:t>
      </w:r>
      <w:r w:rsidRPr="005D655F">
        <w:t xml:space="preserve"> hours.</w:t>
      </w:r>
      <w:r>
        <w:rPr>
          <w:vertAlign w:val="superscript"/>
        </w:rPr>
        <w:footnoteReference w:id="28"/>
      </w:r>
      <w:r w:rsidRPr="005D655F">
        <w:t xml:space="preserve">  </w:t>
      </w:r>
      <w:r w:rsidR="002F7E8D">
        <w:t xml:space="preserve">Assuming an average cost </w:t>
      </w:r>
      <w:r w:rsidR="00580289">
        <w:t xml:space="preserve">per hour of </w:t>
      </w:r>
      <w:r w:rsidR="00993AC0">
        <w:t>$</w:t>
      </w:r>
      <w:r w:rsidR="00D14734">
        <w:t>372</w:t>
      </w:r>
      <w:r w:rsidR="00E240C9">
        <w:t xml:space="preserve"> for a compliance manager,</w:t>
      </w:r>
      <w:r>
        <w:rPr>
          <w:rStyle w:val="FootnoteReference"/>
        </w:rPr>
        <w:footnoteReference w:id="29"/>
      </w:r>
      <w:r w:rsidR="00E240C9">
        <w:t xml:space="preserve"> </w:t>
      </w:r>
      <w:r w:rsidR="005972BA">
        <w:t xml:space="preserve">the total internal cost of compliance is </w:t>
      </w:r>
      <w:r w:rsidR="00CC7168">
        <w:t xml:space="preserve">estimated at </w:t>
      </w:r>
      <w:r w:rsidR="00702472">
        <w:rPr>
          <w:spacing w:val="-3"/>
        </w:rPr>
        <w:t>$</w:t>
      </w:r>
      <w:r w:rsidR="00702472">
        <w:t>175,000</w:t>
      </w:r>
      <w:r w:rsidR="00B75F16">
        <w:t>.</w:t>
      </w:r>
      <w:r>
        <w:rPr>
          <w:rStyle w:val="FootnoteReference"/>
        </w:rPr>
        <w:footnoteReference w:id="30"/>
      </w:r>
      <w:r w:rsidR="0055290B">
        <w:t xml:space="preserve">  </w:t>
      </w:r>
    </w:p>
    <w:p w:rsidR="00150514" w:rsidP="00DF4570" w14:paraId="15FFAE1C" w14:textId="77777777">
      <w:pPr>
        <w:ind w:firstLine="720"/>
      </w:pPr>
    </w:p>
    <w:tbl>
      <w:tblPr>
        <w:tblW w:w="11461" w:type="dxa"/>
        <w:tblInd w:w="-9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005"/>
        <w:gridCol w:w="1305"/>
        <w:gridCol w:w="1200"/>
        <w:gridCol w:w="990"/>
        <w:gridCol w:w="1215"/>
        <w:gridCol w:w="1248"/>
        <w:gridCol w:w="1020"/>
        <w:gridCol w:w="1215"/>
        <w:gridCol w:w="1243"/>
        <w:gridCol w:w="1020"/>
      </w:tblGrid>
      <w:tr w14:paraId="5526DDF7" w14:textId="77777777" w:rsidTr="008738A4">
        <w:tblPrEx>
          <w:tblW w:w="11461" w:type="dxa"/>
          <w:tblInd w:w="-90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trHeight w:val="372"/>
        </w:trPr>
        <w:tc>
          <w:tcPr>
            <w:tcW w:w="1005" w:type="dxa"/>
            <w:shd w:val="clear" w:color="auto" w:fill="auto"/>
            <w:noWrap/>
            <w:vAlign w:val="bottom"/>
            <w:hideMark/>
          </w:tcPr>
          <w:p w:rsidR="008D7BE7" w:rsidRPr="00DF1F8C" w14:paraId="48B3CBB9" w14:textId="77777777">
            <w:pPr>
              <w:jc w:val="center"/>
              <w:rPr>
                <w:rFonts w:asciiTheme="minorHAnsi" w:eastAsiaTheme="minorEastAsia" w:hAnsiTheme="minorHAnsi" w:cstheme="minorBidi"/>
                <w:b/>
                <w:color w:val="000000"/>
                <w:sz w:val="18"/>
                <w:szCs w:val="18"/>
              </w:rPr>
            </w:pPr>
            <w:r w:rsidRPr="184A5593">
              <w:rPr>
                <w:rFonts w:asciiTheme="minorHAnsi" w:eastAsiaTheme="minorEastAsia" w:hAnsiTheme="minorHAnsi" w:cstheme="minorBidi"/>
                <w:b/>
                <w:color w:val="000000" w:themeColor="text1"/>
                <w:sz w:val="18"/>
                <w:szCs w:val="18"/>
              </w:rPr>
              <w:t>IC Title</w:t>
            </w:r>
          </w:p>
        </w:tc>
        <w:tc>
          <w:tcPr>
            <w:tcW w:w="3495" w:type="dxa"/>
            <w:gridSpan w:val="3"/>
            <w:shd w:val="clear" w:color="auto" w:fill="auto"/>
            <w:noWrap/>
            <w:vAlign w:val="bottom"/>
            <w:hideMark/>
          </w:tcPr>
          <w:p w:rsidR="008D7BE7" w:rsidRPr="00DF1F8C" w14:paraId="349B5066" w14:textId="77777777">
            <w:pPr>
              <w:jc w:val="center"/>
              <w:rPr>
                <w:rFonts w:asciiTheme="minorHAnsi" w:eastAsiaTheme="minorEastAsia" w:hAnsiTheme="minorHAnsi" w:cstheme="minorBidi"/>
                <w:b/>
                <w:color w:val="000000"/>
                <w:sz w:val="18"/>
                <w:szCs w:val="18"/>
              </w:rPr>
            </w:pPr>
            <w:r w:rsidRPr="184A5593">
              <w:rPr>
                <w:rFonts w:asciiTheme="minorHAnsi" w:eastAsiaTheme="minorEastAsia" w:hAnsiTheme="minorHAnsi" w:cstheme="minorBidi"/>
                <w:b/>
                <w:color w:val="000000" w:themeColor="text1"/>
                <w:sz w:val="18"/>
                <w:szCs w:val="18"/>
              </w:rPr>
              <w:t>Annual No. of Responses</w:t>
            </w:r>
          </w:p>
        </w:tc>
        <w:tc>
          <w:tcPr>
            <w:tcW w:w="3483" w:type="dxa"/>
            <w:gridSpan w:val="3"/>
            <w:shd w:val="clear" w:color="auto" w:fill="auto"/>
            <w:noWrap/>
            <w:vAlign w:val="bottom"/>
            <w:hideMark/>
          </w:tcPr>
          <w:p w:rsidR="008D7BE7" w:rsidRPr="00DF1F8C" w14:paraId="45682AE0" w14:textId="77777777">
            <w:pPr>
              <w:jc w:val="center"/>
              <w:rPr>
                <w:rFonts w:asciiTheme="minorHAnsi" w:eastAsiaTheme="minorEastAsia" w:hAnsiTheme="minorHAnsi" w:cstheme="minorBidi"/>
                <w:b/>
                <w:color w:val="000000"/>
                <w:sz w:val="18"/>
                <w:szCs w:val="18"/>
              </w:rPr>
            </w:pPr>
            <w:r w:rsidRPr="184A5593">
              <w:rPr>
                <w:rFonts w:asciiTheme="minorHAnsi" w:eastAsiaTheme="minorEastAsia" w:hAnsiTheme="minorHAnsi" w:cstheme="minorBidi"/>
                <w:b/>
                <w:color w:val="000000" w:themeColor="text1"/>
                <w:sz w:val="18"/>
                <w:szCs w:val="18"/>
              </w:rPr>
              <w:t>Annual Time Burden (Hrs.)</w:t>
            </w:r>
          </w:p>
        </w:tc>
        <w:tc>
          <w:tcPr>
            <w:tcW w:w="3478" w:type="dxa"/>
            <w:gridSpan w:val="3"/>
            <w:shd w:val="clear" w:color="auto" w:fill="auto"/>
            <w:noWrap/>
            <w:vAlign w:val="bottom"/>
            <w:hideMark/>
          </w:tcPr>
          <w:p w:rsidR="008D7BE7" w:rsidRPr="00DF1F8C" w14:paraId="4841BAB3" w14:textId="77777777">
            <w:pPr>
              <w:jc w:val="center"/>
              <w:rPr>
                <w:rFonts w:asciiTheme="minorHAnsi" w:eastAsiaTheme="minorEastAsia" w:hAnsiTheme="minorHAnsi" w:cstheme="minorBidi"/>
                <w:b/>
                <w:color w:val="000000"/>
                <w:sz w:val="18"/>
                <w:szCs w:val="18"/>
              </w:rPr>
            </w:pPr>
            <w:r w:rsidRPr="184A5593">
              <w:rPr>
                <w:rFonts w:asciiTheme="minorHAnsi" w:eastAsiaTheme="minorEastAsia" w:hAnsiTheme="minorHAnsi" w:cstheme="minorBidi"/>
                <w:b/>
                <w:color w:val="000000" w:themeColor="text1"/>
                <w:sz w:val="18"/>
                <w:szCs w:val="18"/>
              </w:rPr>
              <w:t>Burden Cost Burden ($)</w:t>
            </w:r>
          </w:p>
        </w:tc>
      </w:tr>
      <w:tr w14:paraId="533B3E51" w14:textId="77777777" w:rsidTr="008738A4">
        <w:tblPrEx>
          <w:tblW w:w="11461" w:type="dxa"/>
          <w:tblInd w:w="-905" w:type="dxa"/>
          <w:tblLook w:val="04A0"/>
        </w:tblPrEx>
        <w:trPr>
          <w:cantSplit/>
          <w:trHeight w:val="1465"/>
        </w:trPr>
        <w:tc>
          <w:tcPr>
            <w:tcW w:w="1005" w:type="dxa"/>
            <w:shd w:val="clear" w:color="auto" w:fill="auto"/>
            <w:textDirection w:val="btLr"/>
            <w:vAlign w:val="center"/>
            <w:hideMark/>
          </w:tcPr>
          <w:p w:rsidR="008D7BE7" w:rsidRPr="00DF1F8C" w14:paraId="38C5FA2C" w14:textId="77777777">
            <w:pPr>
              <w:ind w:left="113" w:right="113"/>
              <w:jc w:val="center"/>
              <w:rPr>
                <w:rFonts w:asciiTheme="minorHAnsi" w:eastAsiaTheme="minorEastAsia" w:hAnsiTheme="minorHAnsi" w:cstheme="minorBidi"/>
                <w:color w:val="000000"/>
                <w:sz w:val="18"/>
                <w:szCs w:val="18"/>
              </w:rPr>
            </w:pPr>
          </w:p>
        </w:tc>
        <w:tc>
          <w:tcPr>
            <w:tcW w:w="1305" w:type="dxa"/>
            <w:shd w:val="clear" w:color="auto" w:fill="auto"/>
            <w:textDirection w:val="btLr"/>
            <w:vAlign w:val="center"/>
            <w:hideMark/>
          </w:tcPr>
          <w:p w:rsidR="008D7BE7" w:rsidRPr="00DF1F8C" w:rsidP="165B7A9A" w14:paraId="1E1B4806" w14:textId="77777777">
            <w:pPr>
              <w:ind w:left="113" w:right="113"/>
              <w:rPr>
                <w:rFonts w:asciiTheme="minorHAnsi" w:eastAsiaTheme="minorEastAsia" w:hAnsiTheme="minorHAnsi" w:cstheme="minorBidi"/>
                <w:i/>
                <w:color w:val="000000"/>
                <w:sz w:val="18"/>
                <w:szCs w:val="18"/>
              </w:rPr>
            </w:pPr>
            <w:r w:rsidRPr="184A5593">
              <w:rPr>
                <w:rFonts w:asciiTheme="minorHAnsi" w:eastAsiaTheme="minorEastAsia" w:hAnsiTheme="minorHAnsi" w:cstheme="minorBidi"/>
                <w:i/>
                <w:color w:val="000000" w:themeColor="text1"/>
                <w:sz w:val="18"/>
                <w:szCs w:val="18"/>
              </w:rPr>
              <w:t>Previously approved</w:t>
            </w:r>
          </w:p>
        </w:tc>
        <w:tc>
          <w:tcPr>
            <w:tcW w:w="1200" w:type="dxa"/>
            <w:shd w:val="clear" w:color="auto" w:fill="auto"/>
            <w:textDirection w:val="btLr"/>
            <w:vAlign w:val="center"/>
            <w:hideMark/>
          </w:tcPr>
          <w:p w:rsidR="008D7BE7" w:rsidRPr="00DF1F8C" w:rsidP="165B7A9A" w14:paraId="17A6C016" w14:textId="77777777">
            <w:pPr>
              <w:ind w:left="113" w:right="113"/>
              <w:rPr>
                <w:rFonts w:asciiTheme="minorHAnsi" w:eastAsiaTheme="minorEastAsia" w:hAnsiTheme="minorHAnsi" w:cstheme="minorBidi"/>
                <w:i/>
                <w:color w:val="000000"/>
                <w:sz w:val="18"/>
                <w:szCs w:val="18"/>
              </w:rPr>
            </w:pPr>
            <w:r w:rsidRPr="184A5593">
              <w:rPr>
                <w:rFonts w:asciiTheme="minorHAnsi" w:eastAsiaTheme="minorEastAsia" w:hAnsiTheme="minorHAnsi" w:cstheme="minorBidi"/>
                <w:i/>
                <w:color w:val="000000" w:themeColor="text1"/>
                <w:sz w:val="18"/>
                <w:szCs w:val="18"/>
              </w:rPr>
              <w:t>Requested</w:t>
            </w:r>
          </w:p>
        </w:tc>
        <w:tc>
          <w:tcPr>
            <w:tcW w:w="990" w:type="dxa"/>
            <w:shd w:val="clear" w:color="auto" w:fill="auto"/>
            <w:textDirection w:val="btLr"/>
            <w:vAlign w:val="center"/>
            <w:hideMark/>
          </w:tcPr>
          <w:p w:rsidR="008D7BE7" w:rsidRPr="00DF1F8C" w:rsidP="165B7A9A" w14:paraId="7323BE6B" w14:textId="77777777">
            <w:pPr>
              <w:ind w:left="113" w:right="113"/>
              <w:rPr>
                <w:rFonts w:asciiTheme="minorHAnsi" w:eastAsiaTheme="minorEastAsia" w:hAnsiTheme="minorHAnsi" w:cstheme="minorBidi"/>
                <w:i/>
                <w:color w:val="000000"/>
                <w:sz w:val="18"/>
                <w:szCs w:val="18"/>
              </w:rPr>
            </w:pPr>
            <w:r w:rsidRPr="184A5593">
              <w:rPr>
                <w:rFonts w:asciiTheme="minorHAnsi" w:eastAsiaTheme="minorEastAsia" w:hAnsiTheme="minorHAnsi" w:cstheme="minorBidi"/>
                <w:i/>
                <w:color w:val="000000" w:themeColor="text1"/>
                <w:sz w:val="18"/>
                <w:szCs w:val="18"/>
              </w:rPr>
              <w:t>Change</w:t>
            </w:r>
          </w:p>
        </w:tc>
        <w:tc>
          <w:tcPr>
            <w:tcW w:w="1215" w:type="dxa"/>
            <w:shd w:val="clear" w:color="auto" w:fill="auto"/>
            <w:textDirection w:val="btLr"/>
            <w:vAlign w:val="center"/>
            <w:hideMark/>
          </w:tcPr>
          <w:p w:rsidR="008D7BE7" w:rsidRPr="00DF1F8C" w:rsidP="165B7A9A" w14:paraId="3D4CF214" w14:textId="77777777">
            <w:pPr>
              <w:ind w:left="113" w:right="113"/>
              <w:rPr>
                <w:rFonts w:asciiTheme="minorHAnsi" w:eastAsiaTheme="minorEastAsia" w:hAnsiTheme="minorHAnsi" w:cstheme="minorBidi"/>
                <w:i/>
                <w:color w:val="000000"/>
                <w:sz w:val="18"/>
                <w:szCs w:val="18"/>
              </w:rPr>
            </w:pPr>
            <w:r w:rsidRPr="184A5593">
              <w:rPr>
                <w:rFonts w:asciiTheme="minorHAnsi" w:eastAsiaTheme="minorEastAsia" w:hAnsiTheme="minorHAnsi" w:cstheme="minorBidi"/>
                <w:i/>
                <w:color w:val="000000" w:themeColor="text1"/>
                <w:sz w:val="18"/>
                <w:szCs w:val="18"/>
              </w:rPr>
              <w:t>Previously approved</w:t>
            </w:r>
          </w:p>
        </w:tc>
        <w:tc>
          <w:tcPr>
            <w:tcW w:w="1248" w:type="dxa"/>
            <w:shd w:val="clear" w:color="auto" w:fill="auto"/>
            <w:textDirection w:val="btLr"/>
            <w:vAlign w:val="center"/>
            <w:hideMark/>
          </w:tcPr>
          <w:p w:rsidR="008D7BE7" w:rsidRPr="00DF1F8C" w:rsidP="165B7A9A" w14:paraId="4BEFAF9F" w14:textId="77777777">
            <w:pPr>
              <w:ind w:left="113" w:right="113"/>
              <w:rPr>
                <w:rFonts w:asciiTheme="minorHAnsi" w:eastAsiaTheme="minorEastAsia" w:hAnsiTheme="minorHAnsi" w:cstheme="minorBidi"/>
                <w:i/>
                <w:color w:val="000000"/>
                <w:sz w:val="18"/>
                <w:szCs w:val="18"/>
              </w:rPr>
            </w:pPr>
            <w:r w:rsidRPr="184A5593">
              <w:rPr>
                <w:rFonts w:asciiTheme="minorHAnsi" w:eastAsiaTheme="minorEastAsia" w:hAnsiTheme="minorHAnsi" w:cstheme="minorBidi"/>
                <w:i/>
                <w:color w:val="000000" w:themeColor="text1"/>
                <w:sz w:val="18"/>
                <w:szCs w:val="18"/>
              </w:rPr>
              <w:t>Requested</w:t>
            </w:r>
          </w:p>
        </w:tc>
        <w:tc>
          <w:tcPr>
            <w:tcW w:w="1020" w:type="dxa"/>
            <w:shd w:val="clear" w:color="auto" w:fill="auto"/>
            <w:textDirection w:val="btLr"/>
            <w:vAlign w:val="center"/>
            <w:hideMark/>
          </w:tcPr>
          <w:p w:rsidR="008D7BE7" w:rsidRPr="00DF1F8C" w:rsidP="165B7A9A" w14:paraId="4531561B" w14:textId="77777777">
            <w:pPr>
              <w:ind w:left="113" w:right="113"/>
              <w:rPr>
                <w:rFonts w:asciiTheme="minorHAnsi" w:eastAsiaTheme="minorEastAsia" w:hAnsiTheme="minorHAnsi" w:cstheme="minorBidi"/>
                <w:i/>
                <w:color w:val="000000"/>
                <w:sz w:val="18"/>
                <w:szCs w:val="18"/>
              </w:rPr>
            </w:pPr>
            <w:r w:rsidRPr="184A5593">
              <w:rPr>
                <w:rFonts w:asciiTheme="minorHAnsi" w:eastAsiaTheme="minorEastAsia" w:hAnsiTheme="minorHAnsi" w:cstheme="minorBidi"/>
                <w:i/>
                <w:color w:val="000000" w:themeColor="text1"/>
                <w:sz w:val="18"/>
                <w:szCs w:val="18"/>
              </w:rPr>
              <w:t>Change</w:t>
            </w:r>
          </w:p>
        </w:tc>
        <w:tc>
          <w:tcPr>
            <w:tcW w:w="1215" w:type="dxa"/>
            <w:shd w:val="clear" w:color="auto" w:fill="auto"/>
            <w:textDirection w:val="btLr"/>
            <w:vAlign w:val="center"/>
            <w:hideMark/>
          </w:tcPr>
          <w:p w:rsidR="008D7BE7" w:rsidRPr="00DF1F8C" w:rsidP="165B7A9A" w14:paraId="10C12081" w14:textId="77777777">
            <w:pPr>
              <w:ind w:left="113" w:right="113"/>
              <w:rPr>
                <w:rFonts w:asciiTheme="minorHAnsi" w:eastAsiaTheme="minorEastAsia" w:hAnsiTheme="minorHAnsi" w:cstheme="minorBidi"/>
                <w:i/>
                <w:color w:val="000000"/>
                <w:sz w:val="18"/>
                <w:szCs w:val="18"/>
              </w:rPr>
            </w:pPr>
            <w:r w:rsidRPr="184A5593">
              <w:rPr>
                <w:rFonts w:asciiTheme="minorHAnsi" w:eastAsiaTheme="minorEastAsia" w:hAnsiTheme="minorHAnsi" w:cstheme="minorBidi"/>
                <w:i/>
                <w:color w:val="000000" w:themeColor="text1"/>
                <w:sz w:val="18"/>
                <w:szCs w:val="18"/>
              </w:rPr>
              <w:t>Previously approved</w:t>
            </w:r>
          </w:p>
        </w:tc>
        <w:tc>
          <w:tcPr>
            <w:tcW w:w="1243" w:type="dxa"/>
            <w:shd w:val="clear" w:color="auto" w:fill="auto"/>
            <w:textDirection w:val="btLr"/>
            <w:vAlign w:val="center"/>
            <w:hideMark/>
          </w:tcPr>
          <w:p w:rsidR="008D7BE7" w:rsidRPr="00DF1F8C" w:rsidP="165B7A9A" w14:paraId="5C08AE68" w14:textId="77777777">
            <w:pPr>
              <w:ind w:left="113" w:right="113"/>
              <w:rPr>
                <w:rFonts w:asciiTheme="minorHAnsi" w:eastAsiaTheme="minorEastAsia" w:hAnsiTheme="minorHAnsi" w:cstheme="minorBidi"/>
                <w:i/>
                <w:color w:val="000000"/>
                <w:sz w:val="18"/>
                <w:szCs w:val="18"/>
              </w:rPr>
            </w:pPr>
            <w:r w:rsidRPr="184A5593">
              <w:rPr>
                <w:rFonts w:asciiTheme="minorHAnsi" w:eastAsiaTheme="minorEastAsia" w:hAnsiTheme="minorHAnsi" w:cstheme="minorBidi"/>
                <w:i/>
                <w:color w:val="000000" w:themeColor="text1"/>
                <w:sz w:val="18"/>
                <w:szCs w:val="18"/>
              </w:rPr>
              <w:t>Requested</w:t>
            </w:r>
          </w:p>
        </w:tc>
        <w:tc>
          <w:tcPr>
            <w:tcW w:w="1020" w:type="dxa"/>
            <w:shd w:val="clear" w:color="auto" w:fill="auto"/>
            <w:textDirection w:val="btLr"/>
            <w:vAlign w:val="center"/>
            <w:hideMark/>
          </w:tcPr>
          <w:p w:rsidR="008D7BE7" w:rsidRPr="00DF1F8C" w:rsidP="165B7A9A" w14:paraId="5417B8CD" w14:textId="77777777">
            <w:pPr>
              <w:ind w:left="113" w:right="113"/>
              <w:rPr>
                <w:rFonts w:asciiTheme="minorHAnsi" w:eastAsiaTheme="minorEastAsia" w:hAnsiTheme="minorHAnsi" w:cstheme="minorBidi"/>
                <w:i/>
                <w:color w:val="000000"/>
                <w:sz w:val="18"/>
                <w:szCs w:val="18"/>
              </w:rPr>
            </w:pPr>
            <w:r w:rsidRPr="184A5593">
              <w:rPr>
                <w:rFonts w:asciiTheme="minorHAnsi" w:eastAsiaTheme="minorEastAsia" w:hAnsiTheme="minorHAnsi" w:cstheme="minorBidi"/>
                <w:i/>
                <w:color w:val="000000" w:themeColor="text1"/>
                <w:sz w:val="18"/>
                <w:szCs w:val="18"/>
              </w:rPr>
              <w:t>Change</w:t>
            </w:r>
          </w:p>
        </w:tc>
      </w:tr>
      <w:tr w14:paraId="7AD451D2" w14:textId="77777777" w:rsidTr="008738A4">
        <w:tblPrEx>
          <w:tblW w:w="11461" w:type="dxa"/>
          <w:tblInd w:w="-905" w:type="dxa"/>
          <w:tblLook w:val="04A0"/>
        </w:tblPrEx>
        <w:trPr>
          <w:cantSplit/>
          <w:trHeight w:val="1465"/>
        </w:trPr>
        <w:tc>
          <w:tcPr>
            <w:tcW w:w="1005" w:type="dxa"/>
            <w:shd w:val="clear" w:color="auto" w:fill="auto"/>
            <w:noWrap/>
            <w:vAlign w:val="bottom"/>
            <w:hideMark/>
          </w:tcPr>
          <w:p w:rsidR="008D7BE7" w:rsidRPr="00DF1F8C" w14:paraId="3664E39D" w14:textId="77777777">
            <w:pPr>
              <w:jc w:val="center"/>
              <w:rPr>
                <w:rFonts w:asciiTheme="minorHAnsi" w:eastAsiaTheme="minorEastAsia" w:hAnsiTheme="minorHAnsi" w:cstheme="minorBidi"/>
                <w:b/>
                <w:color w:val="000000"/>
                <w:sz w:val="18"/>
                <w:szCs w:val="18"/>
              </w:rPr>
            </w:pPr>
            <w:r w:rsidRPr="184A5593">
              <w:rPr>
                <w:rFonts w:asciiTheme="minorHAnsi" w:eastAsiaTheme="minorEastAsia" w:hAnsiTheme="minorHAnsi" w:cstheme="minorBidi"/>
                <w:b/>
                <w:color w:val="000000" w:themeColor="text1"/>
                <w:sz w:val="18"/>
                <w:szCs w:val="18"/>
              </w:rPr>
              <w:t>Form ABS Due Diligence disclosure burden</w:t>
            </w:r>
          </w:p>
        </w:tc>
        <w:tc>
          <w:tcPr>
            <w:tcW w:w="1305" w:type="dxa"/>
            <w:shd w:val="clear" w:color="auto" w:fill="auto"/>
            <w:noWrap/>
            <w:vAlign w:val="bottom"/>
            <w:hideMark/>
          </w:tcPr>
          <w:p w:rsidR="008D7BE7" w:rsidRPr="00DF1F8C" w14:paraId="577CDCF8" w14:textId="77777777">
            <w:pPr>
              <w:jc w:val="right"/>
              <w:rPr>
                <w:rFonts w:asciiTheme="minorHAnsi" w:eastAsiaTheme="minorEastAsia" w:hAnsiTheme="minorHAnsi" w:cstheme="minorBidi"/>
                <w:color w:val="000000"/>
                <w:sz w:val="18"/>
                <w:szCs w:val="18"/>
              </w:rPr>
            </w:pPr>
            <w:r w:rsidRPr="184A5593">
              <w:rPr>
                <w:rFonts w:asciiTheme="minorHAnsi" w:eastAsiaTheme="minorEastAsia" w:hAnsiTheme="minorHAnsi" w:cstheme="minorBidi"/>
                <w:color w:val="000000" w:themeColor="text1"/>
                <w:sz w:val="18"/>
                <w:szCs w:val="18"/>
              </w:rPr>
              <w:t>990</w:t>
            </w:r>
          </w:p>
        </w:tc>
        <w:tc>
          <w:tcPr>
            <w:tcW w:w="1200" w:type="dxa"/>
            <w:shd w:val="clear" w:color="auto" w:fill="auto"/>
            <w:noWrap/>
            <w:vAlign w:val="bottom"/>
            <w:hideMark/>
          </w:tcPr>
          <w:p w:rsidR="008D7BE7" w:rsidRPr="00DF1F8C" w14:paraId="6C35F540" w14:textId="27D574BF">
            <w:pPr>
              <w:jc w:val="right"/>
              <w:rPr>
                <w:rFonts w:asciiTheme="minorHAnsi" w:eastAsiaTheme="minorEastAsia" w:hAnsiTheme="minorHAnsi" w:cstheme="minorBidi"/>
                <w:color w:val="000000"/>
                <w:sz w:val="18"/>
                <w:szCs w:val="18"/>
              </w:rPr>
            </w:pPr>
            <w:r w:rsidRPr="0B66110F">
              <w:rPr>
                <w:rFonts w:asciiTheme="minorHAnsi" w:eastAsiaTheme="minorEastAsia" w:hAnsiTheme="minorHAnsi" w:cstheme="minorBidi"/>
                <w:color w:val="000000" w:themeColor="text1"/>
                <w:sz w:val="18"/>
                <w:szCs w:val="18"/>
              </w:rPr>
              <w:t>1</w:t>
            </w:r>
            <w:r w:rsidRPr="0B66110F" w:rsidR="00D9206B">
              <w:rPr>
                <w:rFonts w:asciiTheme="minorHAnsi" w:eastAsiaTheme="minorEastAsia" w:hAnsiTheme="minorHAnsi" w:cstheme="minorBidi"/>
                <w:color w:val="000000" w:themeColor="text1"/>
                <w:sz w:val="18"/>
                <w:szCs w:val="18"/>
              </w:rPr>
              <w:t>,</w:t>
            </w:r>
            <w:r w:rsidRPr="0B66110F" w:rsidR="000E38CD">
              <w:rPr>
                <w:rFonts w:asciiTheme="minorHAnsi" w:eastAsiaTheme="minorEastAsia" w:hAnsiTheme="minorHAnsi" w:cstheme="minorBidi"/>
                <w:color w:val="000000" w:themeColor="text1"/>
                <w:sz w:val="18"/>
                <w:szCs w:val="18"/>
              </w:rPr>
              <w:t>410</w:t>
            </w:r>
          </w:p>
        </w:tc>
        <w:tc>
          <w:tcPr>
            <w:tcW w:w="990" w:type="dxa"/>
            <w:shd w:val="clear" w:color="auto" w:fill="auto"/>
            <w:noWrap/>
            <w:vAlign w:val="bottom"/>
            <w:hideMark/>
          </w:tcPr>
          <w:p w:rsidR="008D7BE7" w:rsidRPr="00DF1F8C" w14:paraId="6D0E8C50" w14:textId="42EC9A14">
            <w:pPr>
              <w:jc w:val="right"/>
              <w:rPr>
                <w:rFonts w:asciiTheme="minorHAnsi" w:eastAsiaTheme="minorEastAsia" w:hAnsiTheme="minorHAnsi" w:cstheme="minorBidi"/>
                <w:color w:val="000000"/>
                <w:sz w:val="18"/>
                <w:szCs w:val="18"/>
              </w:rPr>
            </w:pPr>
            <w:r w:rsidRPr="184A5593">
              <w:rPr>
                <w:rFonts w:asciiTheme="minorHAnsi" w:eastAsiaTheme="minorEastAsia" w:hAnsiTheme="minorHAnsi" w:cstheme="minorBidi"/>
                <w:color w:val="000000" w:themeColor="text1"/>
                <w:sz w:val="18"/>
                <w:szCs w:val="18"/>
              </w:rPr>
              <w:t>+</w:t>
            </w:r>
            <w:r w:rsidRPr="184A5593" w:rsidR="000E38CD">
              <w:rPr>
                <w:rFonts w:asciiTheme="minorHAnsi" w:eastAsiaTheme="minorEastAsia" w:hAnsiTheme="minorHAnsi" w:cstheme="minorBidi"/>
                <w:color w:val="000000" w:themeColor="text1"/>
                <w:sz w:val="18"/>
                <w:szCs w:val="18"/>
              </w:rPr>
              <w:t>420</w:t>
            </w:r>
          </w:p>
        </w:tc>
        <w:tc>
          <w:tcPr>
            <w:tcW w:w="1215" w:type="dxa"/>
            <w:shd w:val="clear" w:color="auto" w:fill="auto"/>
            <w:noWrap/>
            <w:vAlign w:val="bottom"/>
            <w:hideMark/>
          </w:tcPr>
          <w:p w:rsidR="008D7BE7" w:rsidRPr="00DF1F8C" w14:paraId="6229C0D6" w14:textId="77777777">
            <w:pPr>
              <w:jc w:val="right"/>
              <w:rPr>
                <w:rFonts w:asciiTheme="minorHAnsi" w:eastAsiaTheme="minorEastAsia" w:hAnsiTheme="minorHAnsi" w:cstheme="minorBidi"/>
                <w:color w:val="000000"/>
                <w:sz w:val="18"/>
                <w:szCs w:val="18"/>
              </w:rPr>
            </w:pPr>
            <w:r w:rsidRPr="184A5593">
              <w:rPr>
                <w:rFonts w:asciiTheme="minorHAnsi" w:eastAsiaTheme="minorEastAsia" w:hAnsiTheme="minorHAnsi" w:cstheme="minorBidi"/>
                <w:color w:val="000000" w:themeColor="text1"/>
                <w:sz w:val="18"/>
                <w:szCs w:val="18"/>
              </w:rPr>
              <w:t>330</w:t>
            </w:r>
          </w:p>
        </w:tc>
        <w:tc>
          <w:tcPr>
            <w:tcW w:w="1248" w:type="dxa"/>
            <w:shd w:val="clear" w:color="auto" w:fill="auto"/>
            <w:noWrap/>
            <w:vAlign w:val="bottom"/>
            <w:hideMark/>
          </w:tcPr>
          <w:p w:rsidR="008D7BE7" w:rsidRPr="00DF1F8C" w14:paraId="76D7C19B" w14:textId="09DFD12D">
            <w:pPr>
              <w:jc w:val="right"/>
              <w:rPr>
                <w:rFonts w:asciiTheme="minorHAnsi" w:eastAsiaTheme="minorEastAsia" w:hAnsiTheme="minorHAnsi" w:cstheme="minorBidi"/>
                <w:color w:val="000000"/>
                <w:sz w:val="18"/>
                <w:szCs w:val="18"/>
              </w:rPr>
            </w:pPr>
            <w:r w:rsidRPr="184A5593">
              <w:rPr>
                <w:rFonts w:asciiTheme="minorHAnsi" w:eastAsiaTheme="minorEastAsia" w:hAnsiTheme="minorHAnsi" w:cstheme="minorBidi"/>
                <w:color w:val="000000" w:themeColor="text1"/>
                <w:sz w:val="18"/>
                <w:szCs w:val="18"/>
              </w:rPr>
              <w:t>470</w:t>
            </w:r>
          </w:p>
        </w:tc>
        <w:tc>
          <w:tcPr>
            <w:tcW w:w="1020" w:type="dxa"/>
            <w:shd w:val="clear" w:color="auto" w:fill="auto"/>
            <w:noWrap/>
            <w:vAlign w:val="bottom"/>
            <w:hideMark/>
          </w:tcPr>
          <w:p w:rsidR="008D7BE7" w:rsidRPr="00DF1F8C" w14:paraId="4E2B5EC7" w14:textId="6A687201">
            <w:pPr>
              <w:jc w:val="right"/>
              <w:rPr>
                <w:rFonts w:asciiTheme="minorHAnsi" w:eastAsiaTheme="minorEastAsia" w:hAnsiTheme="minorHAnsi" w:cstheme="minorBidi"/>
                <w:color w:val="000000"/>
                <w:sz w:val="18"/>
                <w:szCs w:val="18"/>
              </w:rPr>
            </w:pPr>
            <w:r>
              <w:br/>
            </w:r>
            <w:r w:rsidRPr="184A5593" w:rsidR="006D21A8">
              <w:rPr>
                <w:rFonts w:asciiTheme="minorHAnsi" w:eastAsiaTheme="minorEastAsia" w:hAnsiTheme="minorHAnsi" w:cstheme="minorBidi"/>
                <w:color w:val="000000" w:themeColor="text1"/>
                <w:sz w:val="18"/>
                <w:szCs w:val="18"/>
              </w:rPr>
              <w:t>+</w:t>
            </w:r>
            <w:r w:rsidRPr="184A5593" w:rsidR="000E38CD">
              <w:rPr>
                <w:rFonts w:asciiTheme="minorHAnsi" w:eastAsiaTheme="minorEastAsia" w:hAnsiTheme="minorHAnsi" w:cstheme="minorBidi"/>
                <w:color w:val="000000" w:themeColor="text1"/>
                <w:sz w:val="18"/>
                <w:szCs w:val="18"/>
              </w:rPr>
              <w:t>140</w:t>
            </w:r>
          </w:p>
        </w:tc>
        <w:tc>
          <w:tcPr>
            <w:tcW w:w="1215" w:type="dxa"/>
            <w:shd w:val="clear" w:color="auto" w:fill="auto"/>
            <w:noWrap/>
            <w:vAlign w:val="bottom"/>
            <w:hideMark/>
          </w:tcPr>
          <w:p w:rsidR="008D7BE7" w:rsidRPr="00DF1F8C" w14:paraId="70DFE1B7" w14:textId="77777777">
            <w:pPr>
              <w:jc w:val="right"/>
              <w:rPr>
                <w:rFonts w:asciiTheme="minorHAnsi" w:eastAsiaTheme="minorEastAsia" w:hAnsiTheme="minorHAnsi" w:cstheme="minorBidi"/>
                <w:color w:val="000000"/>
                <w:sz w:val="18"/>
                <w:szCs w:val="18"/>
              </w:rPr>
            </w:pPr>
            <w:r w:rsidRPr="0B66110F">
              <w:rPr>
                <w:rFonts w:asciiTheme="minorHAnsi" w:eastAsiaTheme="minorEastAsia" w:hAnsiTheme="minorHAnsi" w:cstheme="minorBidi"/>
                <w:color w:val="000000" w:themeColor="text1"/>
                <w:sz w:val="18"/>
                <w:szCs w:val="18"/>
              </w:rPr>
              <w:t>93,000</w:t>
            </w:r>
          </w:p>
        </w:tc>
        <w:tc>
          <w:tcPr>
            <w:tcW w:w="1243" w:type="dxa"/>
            <w:shd w:val="clear" w:color="auto" w:fill="auto"/>
            <w:noWrap/>
            <w:vAlign w:val="bottom"/>
            <w:hideMark/>
          </w:tcPr>
          <w:p w:rsidR="008D7BE7" w:rsidRPr="00DF1F8C" w14:paraId="57E3191F" w14:textId="43EA7538">
            <w:pPr>
              <w:jc w:val="right"/>
              <w:rPr>
                <w:rFonts w:asciiTheme="minorHAnsi" w:eastAsiaTheme="minorEastAsia" w:hAnsiTheme="minorHAnsi" w:cstheme="minorBidi"/>
                <w:color w:val="000000"/>
                <w:sz w:val="18"/>
                <w:szCs w:val="18"/>
              </w:rPr>
            </w:pPr>
            <w:r w:rsidRPr="0B66110F">
              <w:rPr>
                <w:rFonts w:asciiTheme="minorHAnsi" w:eastAsiaTheme="minorEastAsia" w:hAnsiTheme="minorHAnsi" w:cstheme="minorBidi"/>
                <w:color w:val="000000" w:themeColor="text1"/>
                <w:sz w:val="18"/>
                <w:szCs w:val="18"/>
              </w:rPr>
              <w:t>1</w:t>
            </w:r>
            <w:r w:rsidRPr="0B66110F" w:rsidR="001966A4">
              <w:rPr>
                <w:rFonts w:asciiTheme="minorHAnsi" w:eastAsiaTheme="minorEastAsia" w:hAnsiTheme="minorHAnsi" w:cstheme="minorBidi"/>
                <w:color w:val="000000" w:themeColor="text1"/>
                <w:sz w:val="18"/>
                <w:szCs w:val="18"/>
              </w:rPr>
              <w:t>75</w:t>
            </w:r>
            <w:r w:rsidRPr="0B66110F">
              <w:rPr>
                <w:rFonts w:asciiTheme="minorHAnsi" w:eastAsiaTheme="minorEastAsia" w:hAnsiTheme="minorHAnsi" w:cstheme="minorBidi"/>
                <w:color w:val="000000" w:themeColor="text1"/>
                <w:sz w:val="18"/>
                <w:szCs w:val="18"/>
              </w:rPr>
              <w:t>,000</w:t>
            </w:r>
          </w:p>
        </w:tc>
        <w:tc>
          <w:tcPr>
            <w:tcW w:w="1020" w:type="dxa"/>
            <w:shd w:val="clear" w:color="auto" w:fill="auto"/>
            <w:noWrap/>
            <w:vAlign w:val="bottom"/>
            <w:hideMark/>
          </w:tcPr>
          <w:p w:rsidR="008D7BE7" w:rsidRPr="00DF1F8C" w14:paraId="3E47ACFA" w14:textId="149FAB8E">
            <w:pPr>
              <w:jc w:val="right"/>
              <w:rPr>
                <w:rFonts w:asciiTheme="minorHAnsi" w:eastAsiaTheme="minorEastAsia" w:hAnsiTheme="minorHAnsi" w:cstheme="minorBidi"/>
                <w:color w:val="000000"/>
                <w:sz w:val="18"/>
                <w:szCs w:val="18"/>
              </w:rPr>
            </w:pPr>
            <w:r w:rsidRPr="0B66110F">
              <w:rPr>
                <w:rFonts w:asciiTheme="minorHAnsi" w:eastAsiaTheme="minorEastAsia" w:hAnsiTheme="minorHAnsi" w:cstheme="minorBidi"/>
                <w:color w:val="000000" w:themeColor="text1"/>
                <w:sz w:val="18"/>
                <w:szCs w:val="18"/>
              </w:rPr>
              <w:t>+</w:t>
            </w:r>
            <w:r w:rsidRPr="0B66110F" w:rsidR="001966A4">
              <w:rPr>
                <w:rFonts w:asciiTheme="minorHAnsi" w:eastAsiaTheme="minorEastAsia" w:hAnsiTheme="minorHAnsi" w:cstheme="minorBidi"/>
                <w:color w:val="000000" w:themeColor="text1"/>
                <w:sz w:val="18"/>
                <w:szCs w:val="18"/>
              </w:rPr>
              <w:t>82</w:t>
            </w:r>
            <w:r w:rsidRPr="0B66110F">
              <w:rPr>
                <w:rFonts w:asciiTheme="minorHAnsi" w:eastAsiaTheme="minorEastAsia" w:hAnsiTheme="minorHAnsi" w:cstheme="minorBidi"/>
                <w:color w:val="000000" w:themeColor="text1"/>
                <w:sz w:val="18"/>
                <w:szCs w:val="18"/>
              </w:rPr>
              <w:t>,000</w:t>
            </w:r>
          </w:p>
        </w:tc>
      </w:tr>
      <w:tr w14:paraId="2D5D10B1" w14:textId="77777777" w:rsidTr="008738A4">
        <w:tblPrEx>
          <w:tblW w:w="11461" w:type="dxa"/>
          <w:tblInd w:w="-905" w:type="dxa"/>
          <w:tblLook w:val="04A0"/>
        </w:tblPrEx>
        <w:trPr>
          <w:trHeight w:val="372"/>
        </w:trPr>
        <w:tc>
          <w:tcPr>
            <w:tcW w:w="1005" w:type="dxa"/>
            <w:shd w:val="clear" w:color="auto" w:fill="auto"/>
            <w:vAlign w:val="bottom"/>
          </w:tcPr>
          <w:p w:rsidR="68192E42" w:rsidRPr="79C871ED" w:rsidP="099249B6" w14:paraId="05C36711" w14:textId="4647A8B6">
            <w:pPr>
              <w:jc w:val="center"/>
              <w:rPr>
                <w:rFonts w:ascii="Calibri" w:eastAsia="Calibri" w:hAnsi="Calibri" w:cs="Calibri"/>
                <w:b/>
                <w:bCs/>
                <w:color w:val="000000" w:themeColor="text1"/>
                <w:sz w:val="18"/>
                <w:szCs w:val="18"/>
              </w:rPr>
            </w:pPr>
            <w:r w:rsidRPr="79C871ED">
              <w:rPr>
                <w:rFonts w:ascii="Calibri" w:eastAsia="Calibri" w:hAnsi="Calibri" w:cs="Calibri"/>
                <w:b/>
                <w:bCs/>
                <w:color w:val="000000" w:themeColor="text1"/>
                <w:sz w:val="18"/>
                <w:szCs w:val="18"/>
              </w:rPr>
              <w:t>Total for all ICs</w:t>
            </w:r>
          </w:p>
        </w:tc>
        <w:tc>
          <w:tcPr>
            <w:tcW w:w="1305" w:type="dxa"/>
            <w:shd w:val="clear" w:color="auto" w:fill="auto"/>
            <w:noWrap/>
            <w:vAlign w:val="bottom"/>
          </w:tcPr>
          <w:p w:rsidR="008D7BE7" w:rsidRPr="00DF1F8C" w14:paraId="09AD736E" w14:textId="77777777">
            <w:pPr>
              <w:jc w:val="right"/>
              <w:rPr>
                <w:rFonts w:asciiTheme="minorHAnsi" w:eastAsiaTheme="minorEastAsia" w:hAnsiTheme="minorHAnsi" w:cstheme="minorBidi"/>
                <w:color w:val="000000"/>
                <w:sz w:val="18"/>
                <w:szCs w:val="18"/>
              </w:rPr>
            </w:pPr>
            <w:r w:rsidRPr="184A5593">
              <w:rPr>
                <w:rFonts w:asciiTheme="minorHAnsi" w:eastAsiaTheme="minorEastAsia" w:hAnsiTheme="minorHAnsi" w:cstheme="minorBidi"/>
                <w:color w:val="000000" w:themeColor="text1"/>
                <w:sz w:val="18"/>
                <w:szCs w:val="18"/>
              </w:rPr>
              <w:t>990</w:t>
            </w:r>
          </w:p>
        </w:tc>
        <w:tc>
          <w:tcPr>
            <w:tcW w:w="1200" w:type="dxa"/>
            <w:shd w:val="clear" w:color="auto" w:fill="auto"/>
            <w:noWrap/>
            <w:vAlign w:val="bottom"/>
          </w:tcPr>
          <w:p w:rsidR="008D7BE7" w:rsidRPr="00DF1F8C" w14:paraId="5E31FC6E" w14:textId="4C8521A1">
            <w:pPr>
              <w:jc w:val="right"/>
              <w:rPr>
                <w:rFonts w:asciiTheme="minorHAnsi" w:eastAsiaTheme="minorEastAsia" w:hAnsiTheme="minorHAnsi" w:cstheme="minorBidi"/>
                <w:color w:val="000000"/>
                <w:sz w:val="18"/>
                <w:szCs w:val="18"/>
              </w:rPr>
            </w:pPr>
            <w:r w:rsidRPr="0B66110F">
              <w:rPr>
                <w:rFonts w:asciiTheme="minorHAnsi" w:eastAsiaTheme="minorEastAsia" w:hAnsiTheme="minorHAnsi" w:cstheme="minorBidi"/>
                <w:color w:val="000000" w:themeColor="text1"/>
                <w:sz w:val="18"/>
                <w:szCs w:val="18"/>
              </w:rPr>
              <w:t>1</w:t>
            </w:r>
            <w:r w:rsidRPr="0B66110F" w:rsidR="00D9206B">
              <w:rPr>
                <w:rFonts w:asciiTheme="minorHAnsi" w:eastAsiaTheme="minorEastAsia" w:hAnsiTheme="minorHAnsi" w:cstheme="minorBidi"/>
                <w:color w:val="000000" w:themeColor="text1"/>
                <w:sz w:val="18"/>
                <w:szCs w:val="18"/>
              </w:rPr>
              <w:t>,</w:t>
            </w:r>
            <w:r w:rsidRPr="0B66110F" w:rsidR="000E38CD">
              <w:rPr>
                <w:rFonts w:asciiTheme="minorHAnsi" w:eastAsiaTheme="minorEastAsia" w:hAnsiTheme="minorHAnsi" w:cstheme="minorBidi"/>
                <w:color w:val="000000" w:themeColor="text1"/>
                <w:sz w:val="18"/>
                <w:szCs w:val="18"/>
              </w:rPr>
              <w:t>410</w:t>
            </w:r>
          </w:p>
        </w:tc>
        <w:tc>
          <w:tcPr>
            <w:tcW w:w="990" w:type="dxa"/>
            <w:shd w:val="clear" w:color="auto" w:fill="auto"/>
            <w:noWrap/>
            <w:vAlign w:val="bottom"/>
          </w:tcPr>
          <w:p w:rsidR="008D7BE7" w:rsidRPr="00DF1F8C" w14:paraId="3EADEE04" w14:textId="2A67FC6D">
            <w:pPr>
              <w:jc w:val="right"/>
              <w:rPr>
                <w:rFonts w:asciiTheme="minorHAnsi" w:eastAsiaTheme="minorEastAsia" w:hAnsiTheme="minorHAnsi" w:cstheme="minorBidi"/>
                <w:color w:val="000000"/>
                <w:sz w:val="18"/>
                <w:szCs w:val="18"/>
              </w:rPr>
            </w:pPr>
            <w:r w:rsidRPr="184A5593">
              <w:rPr>
                <w:rFonts w:asciiTheme="minorHAnsi" w:eastAsiaTheme="minorEastAsia" w:hAnsiTheme="minorHAnsi" w:cstheme="minorBidi"/>
                <w:color w:val="000000" w:themeColor="text1"/>
                <w:sz w:val="18"/>
                <w:szCs w:val="18"/>
              </w:rPr>
              <w:t>+</w:t>
            </w:r>
            <w:r w:rsidRPr="184A5593" w:rsidR="000E38CD">
              <w:rPr>
                <w:rFonts w:asciiTheme="minorHAnsi" w:eastAsiaTheme="minorEastAsia" w:hAnsiTheme="minorHAnsi" w:cstheme="minorBidi"/>
                <w:color w:val="000000" w:themeColor="text1"/>
                <w:sz w:val="18"/>
                <w:szCs w:val="18"/>
              </w:rPr>
              <w:t>420</w:t>
            </w:r>
          </w:p>
        </w:tc>
        <w:tc>
          <w:tcPr>
            <w:tcW w:w="1215" w:type="dxa"/>
            <w:shd w:val="clear" w:color="auto" w:fill="auto"/>
            <w:noWrap/>
            <w:vAlign w:val="bottom"/>
          </w:tcPr>
          <w:p w:rsidR="008D7BE7" w:rsidRPr="00DF1F8C" w14:paraId="3190D211" w14:textId="77777777">
            <w:pPr>
              <w:jc w:val="right"/>
              <w:rPr>
                <w:rFonts w:asciiTheme="minorHAnsi" w:eastAsiaTheme="minorEastAsia" w:hAnsiTheme="minorHAnsi" w:cstheme="minorBidi"/>
                <w:color w:val="000000"/>
                <w:sz w:val="18"/>
                <w:szCs w:val="18"/>
              </w:rPr>
            </w:pPr>
            <w:r w:rsidRPr="184A5593">
              <w:rPr>
                <w:rFonts w:asciiTheme="minorHAnsi" w:eastAsiaTheme="minorEastAsia" w:hAnsiTheme="minorHAnsi" w:cstheme="minorBidi"/>
                <w:color w:val="000000" w:themeColor="text1"/>
                <w:sz w:val="18"/>
                <w:szCs w:val="18"/>
              </w:rPr>
              <w:t>330</w:t>
            </w:r>
          </w:p>
        </w:tc>
        <w:tc>
          <w:tcPr>
            <w:tcW w:w="1248" w:type="dxa"/>
            <w:shd w:val="clear" w:color="auto" w:fill="auto"/>
            <w:noWrap/>
            <w:vAlign w:val="bottom"/>
          </w:tcPr>
          <w:p w:rsidR="008D7BE7" w:rsidRPr="00DF1F8C" w14:paraId="1BD79C03" w14:textId="724B9A64">
            <w:pPr>
              <w:jc w:val="right"/>
              <w:rPr>
                <w:rFonts w:asciiTheme="minorHAnsi" w:eastAsiaTheme="minorEastAsia" w:hAnsiTheme="minorHAnsi" w:cstheme="minorBidi"/>
                <w:color w:val="000000"/>
                <w:sz w:val="18"/>
                <w:szCs w:val="18"/>
              </w:rPr>
            </w:pPr>
            <w:r w:rsidRPr="184A5593">
              <w:rPr>
                <w:rFonts w:asciiTheme="minorHAnsi" w:eastAsiaTheme="minorEastAsia" w:hAnsiTheme="minorHAnsi" w:cstheme="minorBidi"/>
                <w:color w:val="000000" w:themeColor="text1"/>
                <w:sz w:val="18"/>
                <w:szCs w:val="18"/>
              </w:rPr>
              <w:t>470</w:t>
            </w:r>
          </w:p>
        </w:tc>
        <w:tc>
          <w:tcPr>
            <w:tcW w:w="1020" w:type="dxa"/>
            <w:shd w:val="clear" w:color="auto" w:fill="auto"/>
            <w:noWrap/>
            <w:vAlign w:val="bottom"/>
          </w:tcPr>
          <w:p w:rsidR="008D7BE7" w:rsidRPr="00DF1F8C" w14:paraId="3988DDA8" w14:textId="596EE264">
            <w:pPr>
              <w:jc w:val="right"/>
              <w:rPr>
                <w:rFonts w:asciiTheme="minorHAnsi" w:eastAsiaTheme="minorEastAsia" w:hAnsiTheme="minorHAnsi" w:cstheme="minorBidi"/>
                <w:color w:val="000000"/>
                <w:sz w:val="18"/>
                <w:szCs w:val="18"/>
              </w:rPr>
            </w:pPr>
            <w:r w:rsidRPr="184A5593">
              <w:rPr>
                <w:rFonts w:asciiTheme="minorHAnsi" w:eastAsiaTheme="minorEastAsia" w:hAnsiTheme="minorHAnsi" w:cstheme="minorBidi"/>
                <w:color w:val="000000" w:themeColor="text1"/>
                <w:sz w:val="18"/>
                <w:szCs w:val="18"/>
              </w:rPr>
              <w:t>+</w:t>
            </w:r>
            <w:r w:rsidRPr="184A5593" w:rsidR="000E38CD">
              <w:rPr>
                <w:rFonts w:asciiTheme="minorHAnsi" w:eastAsiaTheme="minorEastAsia" w:hAnsiTheme="minorHAnsi" w:cstheme="minorBidi"/>
                <w:color w:val="000000" w:themeColor="text1"/>
                <w:sz w:val="18"/>
                <w:szCs w:val="18"/>
              </w:rPr>
              <w:t>140</w:t>
            </w:r>
          </w:p>
        </w:tc>
        <w:tc>
          <w:tcPr>
            <w:tcW w:w="1215" w:type="dxa"/>
            <w:shd w:val="clear" w:color="auto" w:fill="auto"/>
            <w:noWrap/>
            <w:vAlign w:val="bottom"/>
          </w:tcPr>
          <w:p w:rsidR="008D7BE7" w:rsidRPr="00DF1F8C" w14:paraId="52AC4335" w14:textId="77777777">
            <w:pPr>
              <w:jc w:val="right"/>
              <w:rPr>
                <w:rFonts w:asciiTheme="minorHAnsi" w:eastAsiaTheme="minorEastAsia" w:hAnsiTheme="minorHAnsi" w:cstheme="minorBidi"/>
                <w:color w:val="000000"/>
                <w:sz w:val="18"/>
                <w:szCs w:val="18"/>
              </w:rPr>
            </w:pPr>
            <w:r w:rsidRPr="0B66110F">
              <w:rPr>
                <w:rFonts w:asciiTheme="minorHAnsi" w:eastAsiaTheme="minorEastAsia" w:hAnsiTheme="minorHAnsi" w:cstheme="minorBidi"/>
                <w:color w:val="000000" w:themeColor="text1"/>
                <w:sz w:val="18"/>
                <w:szCs w:val="18"/>
              </w:rPr>
              <w:t>93,000</w:t>
            </w:r>
          </w:p>
        </w:tc>
        <w:tc>
          <w:tcPr>
            <w:tcW w:w="1243" w:type="dxa"/>
            <w:shd w:val="clear" w:color="auto" w:fill="auto"/>
            <w:noWrap/>
            <w:vAlign w:val="bottom"/>
          </w:tcPr>
          <w:p w:rsidR="008D7BE7" w:rsidRPr="00DF1F8C" w14:paraId="359B258A" w14:textId="0DEFFE1B">
            <w:pPr>
              <w:jc w:val="right"/>
              <w:rPr>
                <w:rFonts w:asciiTheme="minorHAnsi" w:eastAsiaTheme="minorEastAsia" w:hAnsiTheme="minorHAnsi" w:cstheme="minorBidi"/>
                <w:color w:val="000000"/>
                <w:sz w:val="18"/>
                <w:szCs w:val="18"/>
              </w:rPr>
            </w:pPr>
            <w:r w:rsidRPr="0B66110F">
              <w:rPr>
                <w:rFonts w:asciiTheme="minorHAnsi" w:eastAsiaTheme="minorEastAsia" w:hAnsiTheme="minorHAnsi" w:cstheme="minorBidi"/>
                <w:color w:val="000000" w:themeColor="text1"/>
                <w:sz w:val="18"/>
                <w:szCs w:val="18"/>
              </w:rPr>
              <w:t>1</w:t>
            </w:r>
            <w:r w:rsidRPr="0B66110F" w:rsidR="001966A4">
              <w:rPr>
                <w:rFonts w:asciiTheme="minorHAnsi" w:eastAsiaTheme="minorEastAsia" w:hAnsiTheme="minorHAnsi" w:cstheme="minorBidi"/>
                <w:color w:val="000000" w:themeColor="text1"/>
                <w:sz w:val="18"/>
                <w:szCs w:val="18"/>
              </w:rPr>
              <w:t>75</w:t>
            </w:r>
            <w:r w:rsidRPr="0B66110F">
              <w:rPr>
                <w:rFonts w:asciiTheme="minorHAnsi" w:eastAsiaTheme="minorEastAsia" w:hAnsiTheme="minorHAnsi" w:cstheme="minorBidi"/>
                <w:color w:val="000000" w:themeColor="text1"/>
                <w:sz w:val="18"/>
                <w:szCs w:val="18"/>
              </w:rPr>
              <w:t>,000</w:t>
            </w:r>
          </w:p>
        </w:tc>
        <w:tc>
          <w:tcPr>
            <w:tcW w:w="1020" w:type="dxa"/>
            <w:shd w:val="clear" w:color="auto" w:fill="auto"/>
            <w:noWrap/>
            <w:vAlign w:val="bottom"/>
          </w:tcPr>
          <w:p w:rsidR="008D7BE7" w:rsidRPr="00DF1F8C" w14:paraId="1BFBFE72" w14:textId="4AF41B3D">
            <w:pPr>
              <w:jc w:val="right"/>
              <w:rPr>
                <w:rFonts w:asciiTheme="minorHAnsi" w:eastAsiaTheme="minorEastAsia" w:hAnsiTheme="minorHAnsi" w:cstheme="minorBidi"/>
                <w:color w:val="000000"/>
                <w:sz w:val="18"/>
                <w:szCs w:val="18"/>
              </w:rPr>
            </w:pPr>
            <w:r w:rsidRPr="0B66110F">
              <w:rPr>
                <w:rFonts w:asciiTheme="minorHAnsi" w:eastAsiaTheme="minorEastAsia" w:hAnsiTheme="minorHAnsi" w:cstheme="minorBidi"/>
                <w:color w:val="000000" w:themeColor="text1"/>
                <w:sz w:val="18"/>
                <w:szCs w:val="18"/>
              </w:rPr>
              <w:t>+</w:t>
            </w:r>
            <w:r w:rsidRPr="0B66110F" w:rsidR="001966A4">
              <w:rPr>
                <w:rFonts w:asciiTheme="minorHAnsi" w:eastAsiaTheme="minorEastAsia" w:hAnsiTheme="minorHAnsi" w:cstheme="minorBidi"/>
                <w:color w:val="000000" w:themeColor="text1"/>
                <w:sz w:val="18"/>
                <w:szCs w:val="18"/>
              </w:rPr>
              <w:t>82</w:t>
            </w:r>
            <w:r w:rsidRPr="0B66110F">
              <w:rPr>
                <w:rFonts w:asciiTheme="minorHAnsi" w:eastAsiaTheme="minorEastAsia" w:hAnsiTheme="minorHAnsi" w:cstheme="minorBidi"/>
                <w:color w:val="000000" w:themeColor="text1"/>
                <w:sz w:val="18"/>
                <w:szCs w:val="18"/>
              </w:rPr>
              <w:t>,000</w:t>
            </w:r>
          </w:p>
        </w:tc>
      </w:tr>
    </w:tbl>
    <w:p w:rsidR="00CC537E" w:rsidRPr="006B15CC" w:rsidP="00DF4570" w14:paraId="507BA236" w14:textId="77777777">
      <w:pPr>
        <w:ind w:firstLine="720"/>
        <w:rPr>
          <w:rFonts w:eastAsia="Calibri"/>
        </w:rPr>
      </w:pPr>
    </w:p>
    <w:p w:rsidR="004A0B56" w:rsidRPr="006B15CC" w:rsidP="003C71F0" w14:paraId="320AE190" w14:textId="77777777"/>
    <w:p w:rsidR="00D74A43" w:rsidRPr="002243FB" w:rsidP="004A0B56" w14:paraId="667C1306" w14:textId="77777777">
      <w:pPr>
        <w:rPr>
          <w:b/>
        </w:rPr>
      </w:pPr>
      <w:r w:rsidRPr="002243FB">
        <w:rPr>
          <w:b/>
        </w:rPr>
        <w:t>13.</w:t>
      </w:r>
      <w:r w:rsidRPr="002243FB">
        <w:rPr>
          <w:b/>
        </w:rPr>
        <w:tab/>
      </w:r>
      <w:r w:rsidRPr="002243FB" w:rsidR="000828E2">
        <w:rPr>
          <w:b/>
        </w:rPr>
        <w:t>Costs to Respondents</w:t>
      </w:r>
      <w:r w:rsidRPr="002243FB">
        <w:rPr>
          <w:b/>
        </w:rPr>
        <w:t xml:space="preserve"> </w:t>
      </w:r>
    </w:p>
    <w:p w:rsidR="00D74A43" w:rsidP="00CD7B23" w14:paraId="40F2B27C" w14:textId="77777777"/>
    <w:p w:rsidR="006A4A8F" w:rsidP="006A4A8F" w14:paraId="6902A987" w14:textId="77777777">
      <w:r>
        <w:tab/>
        <w:t xml:space="preserve">Other than the costs associated with the burden of information collection discussed in </w:t>
      </w:r>
    </w:p>
    <w:p w:rsidR="006A4A8F" w:rsidRPr="006B15CC" w:rsidP="006A4A8F" w14:paraId="6BD6E729" w14:textId="1FCA37C8">
      <w:r>
        <w:t xml:space="preserve">Item 12 above, </w:t>
      </w:r>
      <w:r w:rsidRPr="00EA7447" w:rsidR="00EA7447">
        <w:t xml:space="preserve">Rule 17g-10 and Form ABS Due Diligence-15E </w:t>
      </w:r>
      <w:r>
        <w:t xml:space="preserve">do not impose any additional costs on </w:t>
      </w:r>
      <w:r w:rsidRPr="00446C3B" w:rsidR="00446C3B">
        <w:t>provider</w:t>
      </w:r>
      <w:r w:rsidR="00446C3B">
        <w:t>s</w:t>
      </w:r>
      <w:r w:rsidRPr="00446C3B" w:rsidR="00446C3B">
        <w:t xml:space="preserve"> of third-party due diligence services</w:t>
      </w:r>
      <w:r>
        <w:t>.</w:t>
      </w:r>
    </w:p>
    <w:p w:rsidR="003F0EF7" w:rsidRPr="006B15CC" w:rsidP="00CD7B23" w14:paraId="6EA226B7" w14:textId="77777777">
      <w:pPr>
        <w:rPr>
          <w:iCs/>
        </w:rPr>
      </w:pPr>
      <w:r w:rsidRPr="006B15CC">
        <w:rPr>
          <w:rFonts w:eastAsia="Calibri"/>
        </w:rPr>
        <w:tab/>
      </w:r>
    </w:p>
    <w:p w:rsidR="00D74A43" w:rsidRPr="002243FB" w:rsidP="00CD7B23" w14:paraId="5DB42FE4" w14:textId="77777777">
      <w:pPr>
        <w:rPr>
          <w:b/>
        </w:rPr>
      </w:pPr>
      <w:r w:rsidRPr="002243FB">
        <w:rPr>
          <w:b/>
        </w:rPr>
        <w:t>14.</w:t>
      </w:r>
      <w:r w:rsidRPr="002243FB">
        <w:rPr>
          <w:b/>
        </w:rPr>
        <w:tab/>
        <w:t>Cost to Federal Government</w:t>
      </w:r>
    </w:p>
    <w:p w:rsidR="00D74A43" w:rsidRPr="006B15CC" w:rsidP="00CD7B23" w14:paraId="649E2FF1" w14:textId="77777777"/>
    <w:p w:rsidR="00D74A43" w:rsidRPr="002243FB" w:rsidP="00881180" w14:paraId="0247CBA4" w14:textId="023EFEB6">
      <w:pPr>
        <w:tabs>
          <w:tab w:val="left" w:pos="-720"/>
        </w:tabs>
        <w:suppressAutoHyphens/>
        <w:overflowPunct w:val="0"/>
        <w:autoSpaceDE w:val="0"/>
        <w:autoSpaceDN w:val="0"/>
        <w:adjustRightInd w:val="0"/>
        <w:ind w:right="-576"/>
        <w:textAlignment w:val="baseline"/>
        <w:rPr>
          <w:b/>
        </w:rPr>
      </w:pPr>
      <w:r w:rsidRPr="006B15CC">
        <w:rPr>
          <w:spacing w:val="-3"/>
        </w:rPr>
        <w:tab/>
      </w:r>
      <w:r w:rsidRPr="00671285" w:rsidR="002C569F">
        <w:rPr>
          <w:spacing w:val="-3"/>
        </w:rPr>
        <w:t xml:space="preserve">Rule 17g-10 and Form ABS Due Diligence-15E </w:t>
      </w:r>
      <w:r w:rsidRPr="00D57027" w:rsidR="002C569F">
        <w:rPr>
          <w:spacing w:val="-3"/>
        </w:rPr>
        <w:t xml:space="preserve">do not result in any costs to the federal government beyond normal full-time employee labor costs. </w:t>
      </w:r>
      <w:r w:rsidR="00B04C08">
        <w:rPr>
          <w:spacing w:val="-3"/>
        </w:rPr>
        <w:br w:type="page"/>
      </w:r>
      <w:r w:rsidRPr="002243FB">
        <w:rPr>
          <w:b/>
        </w:rPr>
        <w:t>15.</w:t>
      </w:r>
      <w:r w:rsidRPr="002243FB">
        <w:rPr>
          <w:b/>
        </w:rPr>
        <w:tab/>
        <w:t>Changes in Burden</w:t>
      </w:r>
    </w:p>
    <w:p w:rsidR="00D74A43" w:rsidRPr="006B15CC" w:rsidP="00CD7B23" w14:paraId="175C01DC" w14:textId="77777777">
      <w:r w:rsidRPr="006B15CC">
        <w:tab/>
      </w:r>
    </w:p>
    <w:p w:rsidR="00FD1B30" w:rsidRPr="006B15CC" w:rsidP="00CD7B23" w14:paraId="3FC02001" w14:textId="26E9EF90">
      <w:r w:rsidRPr="006B15CC">
        <w:tab/>
      </w:r>
      <w:r w:rsidR="002C569F">
        <w:t xml:space="preserve">The cost and hour burden for </w:t>
      </w:r>
      <w:r w:rsidRPr="00C561C7" w:rsidR="002C569F">
        <w:t>Rule 17g-10 and Form ABS Due Diligence-15E</w:t>
      </w:r>
      <w:r w:rsidR="002C569F">
        <w:t xml:space="preserve"> </w:t>
      </w:r>
      <w:r w:rsidR="008B7169">
        <w:t>has increased</w:t>
      </w:r>
      <w:r w:rsidR="00F5652A">
        <w:t xml:space="preserve"> to account for inflation and </w:t>
      </w:r>
      <w:r w:rsidR="002C569F">
        <w:t xml:space="preserve">the </w:t>
      </w:r>
      <w:r w:rsidR="00717507">
        <w:t xml:space="preserve">estimated </w:t>
      </w:r>
      <w:r w:rsidR="002C569F">
        <w:t xml:space="preserve">number of Exchange Act-ABS </w:t>
      </w:r>
      <w:r w:rsidR="008C2C7B">
        <w:t>offerings per year.</w:t>
      </w:r>
    </w:p>
    <w:p w:rsidR="00FD1B30" w:rsidRPr="006B15CC" w:rsidP="00CD7B23" w14:paraId="489890FE" w14:textId="77777777">
      <w:r w:rsidRPr="006B15CC">
        <w:tab/>
      </w:r>
      <w:r w:rsidRPr="006B15CC" w:rsidR="00C9482E">
        <w:t xml:space="preserve"> </w:t>
      </w:r>
    </w:p>
    <w:p w:rsidR="00D74A43" w:rsidRPr="002243FB" w:rsidP="00CD7B23" w14:paraId="1FFF36D1" w14:textId="77777777">
      <w:pPr>
        <w:rPr>
          <w:b/>
        </w:rPr>
      </w:pPr>
      <w:r w:rsidRPr="002243FB">
        <w:rPr>
          <w:b/>
        </w:rPr>
        <w:t>16.</w:t>
      </w:r>
      <w:r w:rsidRPr="002243FB">
        <w:rPr>
          <w:b/>
        </w:rPr>
        <w:tab/>
        <w:t>Information Collection Planned for Statistical Purposes</w:t>
      </w:r>
    </w:p>
    <w:p w:rsidR="00D74A43" w:rsidRPr="006B15CC" w:rsidP="00CD7B23" w14:paraId="1CE6C1E6" w14:textId="77777777"/>
    <w:p w:rsidR="00D74A43" w:rsidRPr="006B15CC" w:rsidP="00CD7B23" w14:paraId="5BA96374" w14:textId="77777777">
      <w:r w:rsidRPr="006B15CC">
        <w:tab/>
      </w:r>
      <w:r w:rsidR="005F5418">
        <w:t xml:space="preserve"> Not applicable.  The information collection is not used for statistical purposes. </w:t>
      </w:r>
    </w:p>
    <w:p w:rsidR="00D74A43" w:rsidRPr="006B15CC" w:rsidP="00CD7B23" w14:paraId="0C593D40" w14:textId="77777777"/>
    <w:p w:rsidR="00D74A43" w:rsidRPr="002243FB" w:rsidP="00CD7B23" w14:paraId="568F6723" w14:textId="77777777">
      <w:pPr>
        <w:rPr>
          <w:b/>
        </w:rPr>
      </w:pPr>
      <w:r w:rsidRPr="002243FB">
        <w:rPr>
          <w:b/>
        </w:rPr>
        <w:t>17.</w:t>
      </w:r>
      <w:r w:rsidRPr="002243FB">
        <w:rPr>
          <w:b/>
        </w:rPr>
        <w:tab/>
      </w:r>
      <w:r w:rsidR="00CC6529">
        <w:rPr>
          <w:b/>
        </w:rPr>
        <w:t>Approval to Omit OMB Expiration</w:t>
      </w:r>
      <w:r w:rsidRPr="002243FB" w:rsidR="000828E2">
        <w:rPr>
          <w:b/>
        </w:rPr>
        <w:t xml:space="preserve"> Date</w:t>
      </w:r>
    </w:p>
    <w:p w:rsidR="000828E2" w:rsidRPr="006B15CC" w:rsidP="00CD7B23" w14:paraId="56748DF8" w14:textId="77777777"/>
    <w:p w:rsidR="008E6FAD" w:rsidP="008E6FAD" w14:paraId="50773E48" w14:textId="0B2A6247">
      <w:pPr>
        <w:spacing w:before="29"/>
        <w:ind w:right="-20" w:firstLine="720"/>
      </w:pPr>
      <w:r w:rsidRPr="007C0315">
        <w:t>Commission</w:t>
      </w:r>
      <w:r w:rsidR="002D0DB5">
        <w:t xml:space="preserve"> staff</w:t>
      </w:r>
      <w:r w:rsidRPr="007C0315">
        <w:t xml:space="preserve"> is not seeking approval to omit the expiration date.</w:t>
      </w:r>
    </w:p>
    <w:p w:rsidR="00D74A43" w:rsidRPr="006B15CC" w:rsidP="00CD7B23" w14:paraId="099D2C2C" w14:textId="77777777"/>
    <w:p w:rsidR="00D74A43" w:rsidRPr="002243FB" w:rsidP="00CD7B23" w14:paraId="6DB4498E" w14:textId="77777777">
      <w:pPr>
        <w:rPr>
          <w:b/>
        </w:rPr>
      </w:pPr>
      <w:r w:rsidRPr="002243FB">
        <w:rPr>
          <w:b/>
        </w:rPr>
        <w:t>18.</w:t>
      </w:r>
      <w:r w:rsidRPr="002243FB">
        <w:rPr>
          <w:b/>
        </w:rPr>
        <w:tab/>
        <w:t>Exceptions to Certification</w:t>
      </w:r>
      <w:r w:rsidRPr="002243FB" w:rsidR="000828E2">
        <w:rPr>
          <w:b/>
        </w:rPr>
        <w:t>s for Paperwork Reduction Act Submissions</w:t>
      </w:r>
    </w:p>
    <w:p w:rsidR="00D74A43" w:rsidRPr="006B15CC" w:rsidP="00CD7B23" w14:paraId="3876C7EB" w14:textId="77777777"/>
    <w:p w:rsidR="00D74A43" w:rsidP="00CD7B23" w14:paraId="3FE05B9C" w14:textId="77777777">
      <w:r w:rsidRPr="006B15CC">
        <w:tab/>
      </w:r>
      <w:r w:rsidR="000501B2">
        <w:t xml:space="preserve">This collection complies with the requirements in 5 CFR 1320.9. </w:t>
      </w:r>
    </w:p>
    <w:p w:rsidR="00990D41" w:rsidRPr="006B15CC" w:rsidP="00CD7B23" w14:paraId="1D275653" w14:textId="77777777"/>
    <w:p w:rsidR="00D74A43" w:rsidRPr="002243FB" w:rsidP="00CD7B23" w14:paraId="09278227" w14:textId="77777777">
      <w:pPr>
        <w:rPr>
          <w:b/>
        </w:rPr>
      </w:pPr>
      <w:r w:rsidRPr="002243FB">
        <w:rPr>
          <w:b/>
        </w:rPr>
        <w:t>B.</w:t>
      </w:r>
      <w:r w:rsidRPr="002243FB">
        <w:rPr>
          <w:b/>
        </w:rPr>
        <w:tab/>
        <w:t>Collection</w:t>
      </w:r>
      <w:r w:rsidRPr="002243FB" w:rsidR="000828E2">
        <w:rPr>
          <w:b/>
        </w:rPr>
        <w:t>s</w:t>
      </w:r>
      <w:r w:rsidRPr="002243FB">
        <w:rPr>
          <w:b/>
        </w:rPr>
        <w:t xml:space="preserve"> of Information Employing Statistical Methods</w:t>
      </w:r>
    </w:p>
    <w:p w:rsidR="00D74A43" w:rsidRPr="006B15CC" w:rsidP="00CD7B23" w14:paraId="4BB8B708" w14:textId="77777777"/>
    <w:p w:rsidR="00172439" w:rsidRPr="006B15CC" w:rsidP="00CD7B23" w14:paraId="085295D6" w14:textId="7408F7EF">
      <w:pPr>
        <w:rPr>
          <w:iCs/>
          <w:color w:val="000000" w:themeColor="text1"/>
        </w:rPr>
      </w:pPr>
      <w:r w:rsidRPr="006B15CC">
        <w:tab/>
        <w:t xml:space="preserve">The collection of information does not employ statistical methods or </w:t>
      </w:r>
      <w:r w:rsidRPr="006B15CC" w:rsidR="000828E2">
        <w:t>analyze the information for the Commission.</w:t>
      </w:r>
      <w:bookmarkEnd w:id="0"/>
      <w:bookmarkEnd w:id="1"/>
      <w:r w:rsidRPr="006B15CC">
        <w:rPr>
          <w:iCs/>
          <w:color w:val="000000" w:themeColor="text1"/>
        </w:rPr>
        <w:t xml:space="preserve"> </w:t>
      </w:r>
    </w:p>
    <w:sectPr w:rsidSect="00075C7E">
      <w:footerReference w:type="even" r:id="rId11"/>
      <w:footerReference w:type="defaul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A4" w14:paraId="4D60214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F09A4" w14:paraId="7BEA606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09A4" w14:paraId="4E240EC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4D57">
      <w:rPr>
        <w:rStyle w:val="PageNumber"/>
        <w:noProof/>
      </w:rPr>
      <w:t>2</w:t>
    </w:r>
    <w:r>
      <w:rPr>
        <w:rStyle w:val="PageNumber"/>
      </w:rPr>
      <w:fldChar w:fldCharType="end"/>
    </w:r>
  </w:p>
  <w:p w:rsidR="00BF09A4" w14:paraId="5858EE8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12620" w:rsidP="00A13B41" w14:paraId="48B8F45D" w14:textId="77777777">
      <w:r>
        <w:separator/>
      </w:r>
    </w:p>
  </w:footnote>
  <w:footnote w:type="continuationSeparator" w:id="1">
    <w:p w:rsidR="00E12620" w:rsidP="00A13B41" w14:paraId="2225015D" w14:textId="77777777">
      <w:r>
        <w:continuationSeparator/>
      </w:r>
    </w:p>
  </w:footnote>
  <w:footnote w:type="continuationNotice" w:id="2">
    <w:p w:rsidR="00E12620" w14:paraId="4AF13748" w14:textId="77777777"/>
  </w:footnote>
  <w:footnote w:id="3">
    <w:p w:rsidR="00A16B6D" w:rsidP="00A16B6D" w14:paraId="7752D861" w14:textId="529E1F4C">
      <w:pPr>
        <w:pStyle w:val="FootnoteText"/>
      </w:pPr>
      <w:r>
        <w:rPr>
          <w:rStyle w:val="FootnoteReference"/>
        </w:rPr>
        <w:footnoteRef/>
      </w:r>
      <w:r>
        <w:t xml:space="preserve"> </w:t>
      </w:r>
      <w:r w:rsidR="005D655F">
        <w:tab/>
      </w:r>
      <w:r w:rsidRPr="00DF00B5">
        <w:t>15 U.S.C. 78o-7.</w:t>
      </w:r>
    </w:p>
  </w:footnote>
  <w:footnote w:id="4">
    <w:p w:rsidR="00C42354" w14:paraId="2244D5BC" w14:textId="17238F49">
      <w:pPr>
        <w:pStyle w:val="FootnoteText"/>
      </w:pPr>
      <w:r>
        <w:rPr>
          <w:rStyle w:val="FootnoteReference"/>
        </w:rPr>
        <w:footnoteRef/>
      </w:r>
      <w:r>
        <w:t xml:space="preserve"> </w:t>
      </w:r>
      <w:r w:rsidR="005D655F">
        <w:tab/>
      </w:r>
      <w:r w:rsidRPr="003303D6">
        <w:t>Pub. L. No. 109-291 (2006).</w:t>
      </w:r>
    </w:p>
  </w:footnote>
  <w:footnote w:id="5">
    <w:p w:rsidR="00C42354" w14:paraId="3CDEB5BA" w14:textId="4A3CB3D8">
      <w:pPr>
        <w:pStyle w:val="FootnoteText"/>
      </w:pPr>
      <w:r>
        <w:rPr>
          <w:rStyle w:val="FootnoteReference"/>
        </w:rPr>
        <w:footnoteRef/>
      </w:r>
      <w:r>
        <w:t xml:space="preserve"> </w:t>
      </w:r>
      <w:r w:rsidR="005D655F">
        <w:tab/>
      </w:r>
      <w:r w:rsidRPr="00DF00B5">
        <w:t>Pub. L. No. 111-203, 124 Stat. 1376, H.R. 4173 (2010).</w:t>
      </w:r>
    </w:p>
  </w:footnote>
  <w:footnote w:id="6">
    <w:p w:rsidR="00414FFB" w14:paraId="4470E6DE" w14:textId="3202182F">
      <w:pPr>
        <w:pStyle w:val="FootnoteText"/>
      </w:pPr>
      <w:r>
        <w:rPr>
          <w:rStyle w:val="FootnoteReference"/>
        </w:rPr>
        <w:footnoteRef/>
      </w:r>
      <w:r>
        <w:t xml:space="preserve"> </w:t>
      </w:r>
      <w:r>
        <w:tab/>
      </w:r>
      <w:r w:rsidRPr="00501210" w:rsidR="00EB2AF0">
        <w:rPr>
          <w:u w:val="single"/>
        </w:rPr>
        <w:t>See</w:t>
      </w:r>
      <w:r w:rsidRPr="00501210" w:rsidR="00EB2AF0">
        <w:t xml:space="preserve"> 15 U.S.C. 78o-7</w:t>
      </w:r>
      <w:r w:rsidRPr="0059569A" w:rsidR="00EB2AF0">
        <w:t>(s)(4)</w:t>
      </w:r>
      <w:r w:rsidR="00EB2AF0">
        <w:t>.</w:t>
      </w:r>
    </w:p>
  </w:footnote>
  <w:footnote w:id="7">
    <w:p w:rsidR="002E3260" w:rsidP="002E3260" w14:paraId="4D0415A5" w14:textId="77777777">
      <w:pPr>
        <w:pStyle w:val="FootnoteText"/>
        <w:tabs>
          <w:tab w:val="left" w:pos="810"/>
        </w:tabs>
        <w:ind w:left="720" w:hanging="720"/>
      </w:pPr>
      <w:r>
        <w:rPr>
          <w:rStyle w:val="FootnoteReference"/>
        </w:rPr>
        <w:footnoteRef/>
      </w:r>
      <w:r>
        <w:t xml:space="preserve"> </w:t>
      </w:r>
      <w:r>
        <w:tab/>
        <w:t>T</w:t>
      </w:r>
      <w:r w:rsidRPr="00591075">
        <w:t xml:space="preserve">he term </w:t>
      </w:r>
      <w:r>
        <w:t>“</w:t>
      </w:r>
      <w:r w:rsidRPr="00591075">
        <w:t>asset-backed security</w:t>
      </w:r>
      <w:r>
        <w:t>,” as</w:t>
      </w:r>
      <w:r w:rsidRPr="00102D4A">
        <w:t xml:space="preserve"> defined in Section 3(a)(79) of the Exchange Act</w:t>
      </w:r>
      <w:r>
        <w:t>, (A) means a fixed-income or other security collateralized by any type of self-liquidating financial asset (including a loan, a lease, a mortgage, or a secured or unsecured receivable) that allows the holder of the security to receive payments that depend primarily on cash flow from the asset, including  (i) a collateralized mortgage obligation; (ii) a collateralized debt obligation; (iii) a collateralized bond obligation; (iv) a collateralized debt obligation of asset-backed securities; (v) a collateralized debt obligation of collateralized debt obligations; and (vi) a security that the Commission, by rule, determines to be an asset-backed security for purposes of this section; and (B) does not include a security issued by a finance subsidiary held by the parent company or a company controlled by the parent company, if none of the securities issued by the finance subsidiary are held by an entity that is not controlled by the parent company.</w:t>
      </w:r>
    </w:p>
  </w:footnote>
  <w:footnote w:id="8">
    <w:p w:rsidR="00445DA0" w:rsidP="00445DA0" w14:paraId="7AB4899A" w14:textId="61E540C1">
      <w:pPr>
        <w:pStyle w:val="FootnoteText"/>
      </w:pPr>
      <w:r>
        <w:rPr>
          <w:rStyle w:val="FootnoteReference"/>
        </w:rPr>
        <w:footnoteRef/>
      </w:r>
      <w:r>
        <w:t xml:space="preserve"> </w:t>
      </w:r>
      <w:r>
        <w:tab/>
      </w:r>
      <w:r w:rsidRPr="00501210">
        <w:rPr>
          <w:u w:val="single"/>
        </w:rPr>
        <w:t>See</w:t>
      </w:r>
      <w:r w:rsidRPr="00501210">
        <w:t xml:space="preserve"> 15 U.S.C. 78o-7</w:t>
      </w:r>
      <w:r w:rsidRPr="0059569A">
        <w:t>(s)(4)(B)</w:t>
      </w:r>
      <w:r>
        <w:t>.</w:t>
      </w:r>
    </w:p>
  </w:footnote>
  <w:footnote w:id="9">
    <w:p w:rsidR="00445DA0" w:rsidP="00445DA0" w14:paraId="5D4D7DCE" w14:textId="5703D0FD">
      <w:pPr>
        <w:pStyle w:val="FootnoteText"/>
      </w:pPr>
      <w:r>
        <w:rPr>
          <w:rStyle w:val="FootnoteReference"/>
        </w:rPr>
        <w:footnoteRef/>
      </w:r>
      <w:r>
        <w:t xml:space="preserve"> </w:t>
      </w:r>
      <w:r>
        <w:tab/>
      </w:r>
      <w:r w:rsidRPr="00501210">
        <w:rPr>
          <w:u w:val="single"/>
        </w:rPr>
        <w:t>See</w:t>
      </w:r>
      <w:r w:rsidRPr="00501210">
        <w:t xml:space="preserve"> 15 U.S.C. 78o-7</w:t>
      </w:r>
      <w:r w:rsidRPr="0059569A">
        <w:t>(s)(4)(C)</w:t>
      </w:r>
      <w:r w:rsidRPr="00501210">
        <w:t>.</w:t>
      </w:r>
    </w:p>
  </w:footnote>
  <w:footnote w:id="10">
    <w:p w:rsidR="00E66954" w:rsidP="00E66954" w14:paraId="4AED2655" w14:textId="7D4504A4">
      <w:pPr>
        <w:pStyle w:val="FootnoteText"/>
      </w:pPr>
      <w:r>
        <w:rPr>
          <w:rStyle w:val="FootnoteReference"/>
        </w:rPr>
        <w:footnoteRef/>
      </w:r>
      <w:r>
        <w:t xml:space="preserve"> </w:t>
      </w:r>
      <w:r w:rsidR="005D655F">
        <w:tab/>
      </w:r>
      <w:r w:rsidRPr="006521C3">
        <w:rPr>
          <w:u w:val="single"/>
        </w:rPr>
        <w:t>See</w:t>
      </w:r>
      <w:r w:rsidRPr="006521C3">
        <w:t xml:space="preserve"> 17 CFR 240.17g-10(a).</w:t>
      </w:r>
    </w:p>
  </w:footnote>
  <w:footnote w:id="11">
    <w:p w:rsidR="00E66954" w:rsidP="00E66954" w14:paraId="016EEA3D" w14:textId="579F5893">
      <w:pPr>
        <w:pStyle w:val="FootnoteText"/>
      </w:pPr>
      <w:r>
        <w:rPr>
          <w:rStyle w:val="FootnoteReference"/>
        </w:rPr>
        <w:footnoteRef/>
      </w:r>
      <w:r>
        <w:t xml:space="preserve"> </w:t>
      </w:r>
      <w:r w:rsidR="005D655F">
        <w:tab/>
      </w:r>
      <w:r w:rsidRPr="00B262D1">
        <w:rPr>
          <w:u w:val="single"/>
        </w:rPr>
        <w:t>See</w:t>
      </w:r>
      <w:r w:rsidRPr="00B262D1">
        <w:t xml:space="preserve"> 17 CFR 240.17g-10(b).</w:t>
      </w:r>
    </w:p>
  </w:footnote>
  <w:footnote w:id="12">
    <w:p w:rsidR="00E66954" w:rsidRPr="00501210" w:rsidP="00E66954" w14:paraId="1A7C9925" w14:textId="3051DADA">
      <w:pPr>
        <w:pStyle w:val="FootnoteText"/>
        <w:ind w:left="720" w:hanging="720"/>
      </w:pPr>
      <w:r w:rsidRPr="00501210">
        <w:rPr>
          <w:rStyle w:val="FootnoteReference"/>
        </w:rPr>
        <w:footnoteRef/>
      </w:r>
      <w:r w:rsidRPr="00501210">
        <w:t xml:space="preserve"> </w:t>
      </w:r>
      <w:r w:rsidR="005D655F">
        <w:tab/>
      </w:r>
      <w:r w:rsidRPr="00501210">
        <w:rPr>
          <w:color w:val="000000"/>
          <w:u w:val="single"/>
        </w:rPr>
        <w:t>See</w:t>
      </w:r>
      <w:r w:rsidRPr="00501210">
        <w:rPr>
          <w:color w:val="000000"/>
        </w:rPr>
        <w:t xml:space="preserve"> </w:t>
      </w:r>
      <w:r>
        <w:rPr>
          <w:color w:val="000000"/>
        </w:rPr>
        <w:t>17 CFR 249b.500 (</w:t>
      </w:r>
      <w:r w:rsidRPr="00501210">
        <w:t>Form ABS Due Diligence-15E</w:t>
      </w:r>
      <w:r>
        <w:t>)</w:t>
      </w:r>
      <w:r w:rsidRPr="00501210">
        <w:t>.</w:t>
      </w:r>
    </w:p>
  </w:footnote>
  <w:footnote w:id="13">
    <w:p w:rsidR="00E66954" w:rsidRPr="00501210" w:rsidP="00E66954" w14:paraId="6F612866" w14:textId="3E2C334B">
      <w:pPr>
        <w:pStyle w:val="FootnoteText"/>
        <w:ind w:left="720" w:hanging="720"/>
      </w:pPr>
      <w:r w:rsidRPr="00501210">
        <w:rPr>
          <w:rStyle w:val="FootnoteReference"/>
        </w:rPr>
        <w:footnoteRef/>
      </w:r>
      <w:r w:rsidRPr="00501210">
        <w:t xml:space="preserve"> </w:t>
      </w:r>
      <w:r w:rsidR="005D655F">
        <w:tab/>
      </w:r>
      <w:r w:rsidRPr="00501210">
        <w:rPr>
          <w:u w:val="single"/>
        </w:rPr>
        <w:t>See</w:t>
      </w:r>
      <w:r>
        <w:t xml:space="preserve"> </w:t>
      </w:r>
      <w:r>
        <w:rPr>
          <w:color w:val="000000"/>
        </w:rPr>
        <w:t xml:space="preserve">17 CFR 249b.500, </w:t>
      </w:r>
      <w:r>
        <w:t>Item 2</w:t>
      </w:r>
      <w:r w:rsidRPr="00501210">
        <w:t>.</w:t>
      </w:r>
    </w:p>
  </w:footnote>
  <w:footnote w:id="14">
    <w:p w:rsidR="00E66954" w:rsidP="00E66954" w14:paraId="7944B558" w14:textId="427FD515">
      <w:pPr>
        <w:pStyle w:val="FootnoteText"/>
      </w:pPr>
      <w:r>
        <w:rPr>
          <w:rStyle w:val="FootnoteReference"/>
        </w:rPr>
        <w:footnoteRef/>
      </w:r>
      <w:r>
        <w:t xml:space="preserve"> </w:t>
      </w:r>
      <w:r w:rsidR="005D655F">
        <w:tab/>
      </w:r>
      <w:r>
        <w:t xml:space="preserve">44 U.S.C. 3501, </w:t>
      </w:r>
      <w:r w:rsidRPr="0037301A">
        <w:rPr>
          <w:u w:val="single"/>
        </w:rPr>
        <w:t>et</w:t>
      </w:r>
      <w:r w:rsidRPr="00A97AC6">
        <w:t xml:space="preserve"> </w:t>
      </w:r>
      <w:r w:rsidRPr="0037301A">
        <w:rPr>
          <w:u w:val="single"/>
        </w:rPr>
        <w:t>seq</w:t>
      </w:r>
      <w:r w:rsidRPr="0037301A">
        <w:rPr>
          <w:i/>
          <w:iCs/>
        </w:rPr>
        <w:t>.</w:t>
      </w:r>
    </w:p>
  </w:footnote>
  <w:footnote w:id="15">
    <w:p w:rsidR="00FC69A2" w:rsidRPr="00501210" w:rsidP="00FC69A2" w14:paraId="5D3133A2" w14:textId="33977CB0">
      <w:pPr>
        <w:pStyle w:val="FootnoteText"/>
        <w:ind w:left="720" w:hanging="720"/>
      </w:pPr>
      <w:r w:rsidRPr="00501210">
        <w:rPr>
          <w:rStyle w:val="FootnoteReference"/>
        </w:rPr>
        <w:footnoteRef/>
      </w:r>
      <w:r w:rsidRPr="00501210">
        <w:t xml:space="preserve"> </w:t>
      </w:r>
      <w:r>
        <w:tab/>
      </w:r>
      <w:r w:rsidRPr="00AA520F">
        <w:rPr>
          <w:u w:val="single"/>
        </w:rPr>
        <w:t>See</w:t>
      </w:r>
      <w:r w:rsidRPr="00501210">
        <w:t xml:space="preserve"> </w:t>
      </w:r>
      <w:r w:rsidRPr="007445A9">
        <w:rPr>
          <w:color w:val="000000"/>
          <w:u w:val="single"/>
        </w:rPr>
        <w:t>Nationally Recognized Statistical Rating Organizations</w:t>
      </w:r>
      <w:r w:rsidRPr="007445A9">
        <w:rPr>
          <w:color w:val="000000"/>
        </w:rPr>
        <w:t xml:space="preserve">, 79 FR </w:t>
      </w:r>
      <w:r>
        <w:rPr>
          <w:color w:val="000000"/>
        </w:rPr>
        <w:t>55078, 55194 (Sept. 15, 2014).</w:t>
      </w:r>
      <w:r>
        <w:t xml:space="preserve"> </w:t>
      </w:r>
    </w:p>
  </w:footnote>
  <w:footnote w:id="16">
    <w:p w:rsidR="009D1C1E" w:rsidP="00193D8E" w14:paraId="62918653" w14:textId="752FDA2A">
      <w:pPr>
        <w:pStyle w:val="FootnoteText"/>
        <w:ind w:left="720" w:hanging="720"/>
      </w:pPr>
      <w:r>
        <w:rPr>
          <w:rStyle w:val="FootnoteReference"/>
        </w:rPr>
        <w:footnoteRef/>
      </w:r>
      <w:r>
        <w:t xml:space="preserve"> </w:t>
      </w:r>
      <w:r>
        <w:tab/>
      </w:r>
      <w:r w:rsidRPr="00193D8E">
        <w:rPr>
          <w:u w:val="single"/>
        </w:rPr>
        <w:t>See</w:t>
      </w:r>
      <w:r>
        <w:t xml:space="preserve"> 17 CFR 17g-7(</w:t>
      </w:r>
      <w:r w:rsidR="00BF0205">
        <w:t>a</w:t>
      </w:r>
      <w:r>
        <w:t xml:space="preserve">)(2) (implementing </w:t>
      </w:r>
      <w:r w:rsidRPr="00E66954">
        <w:t>Section 15E(s)(4)(</w:t>
      </w:r>
      <w:r>
        <w:t>D)</w:t>
      </w:r>
      <w:r w:rsidR="0013468F">
        <w:t xml:space="preserve"> of the Exchange Act</w:t>
      </w:r>
      <w:r>
        <w:t xml:space="preserve">, which requires the Commission to adopt rules requiring NRSROs to disclose the written certification required by </w:t>
      </w:r>
      <w:r w:rsidRPr="00E66954">
        <w:t>Section 15E(s)(4)(B)</w:t>
      </w:r>
      <w:r>
        <w:t xml:space="preserve"> at the time the NRSRO produces a rating).</w:t>
      </w:r>
    </w:p>
  </w:footnote>
  <w:footnote w:id="17">
    <w:p w:rsidR="004D3C0B" w14:paraId="518FF0A6" w14:textId="3F5D1A68">
      <w:pPr>
        <w:pStyle w:val="FootnoteText"/>
      </w:pPr>
      <w:r>
        <w:rPr>
          <w:rStyle w:val="FootnoteReference"/>
        </w:rPr>
        <w:footnoteRef/>
      </w:r>
      <w:r>
        <w:t xml:space="preserve"> </w:t>
      </w:r>
      <w:r>
        <w:tab/>
      </w:r>
      <w:r w:rsidRPr="00193D8E" w:rsidR="00762FFC">
        <w:rPr>
          <w:u w:val="single"/>
        </w:rPr>
        <w:t>See</w:t>
      </w:r>
      <w:r w:rsidR="00762FFC">
        <w:t xml:space="preserve"> </w:t>
      </w:r>
      <w:r w:rsidRPr="007445A9" w:rsidR="00762FFC">
        <w:rPr>
          <w:color w:val="000000"/>
        </w:rPr>
        <w:t xml:space="preserve">79 FR </w:t>
      </w:r>
      <w:r w:rsidR="00762FFC">
        <w:rPr>
          <w:color w:val="000000"/>
        </w:rPr>
        <w:t>at 55</w:t>
      </w:r>
      <w:r w:rsidR="00B5701F">
        <w:rPr>
          <w:color w:val="000000"/>
        </w:rPr>
        <w:t>200</w:t>
      </w:r>
      <w:r w:rsidR="00762FFC">
        <w:rPr>
          <w:color w:val="000000"/>
        </w:rPr>
        <w:t>.</w:t>
      </w:r>
    </w:p>
  </w:footnote>
  <w:footnote w:id="18">
    <w:p w:rsidR="0092672D" w14:paraId="5F9FE369" w14:textId="7B9285B9">
      <w:pPr>
        <w:pStyle w:val="FootnoteText"/>
      </w:pPr>
      <w:r>
        <w:rPr>
          <w:rStyle w:val="FootnoteReference"/>
        </w:rPr>
        <w:footnoteRef/>
      </w:r>
      <w:r>
        <w:t xml:space="preserve"> </w:t>
      </w:r>
      <w:r>
        <w:tab/>
      </w:r>
      <w:r w:rsidRPr="00193D8E">
        <w:rPr>
          <w:u w:val="single"/>
        </w:rPr>
        <w:t>See</w:t>
      </w:r>
      <w:r>
        <w:t xml:space="preserve"> </w:t>
      </w:r>
      <w:r w:rsidRPr="00193D8E">
        <w:rPr>
          <w:u w:val="single"/>
        </w:rPr>
        <w:t>id.</w:t>
      </w:r>
    </w:p>
  </w:footnote>
  <w:footnote w:id="19">
    <w:p w:rsidR="005D655F" w:rsidP="005D655F" w14:paraId="67AF5A09" w14:textId="5A426031">
      <w:pPr>
        <w:pStyle w:val="FootnoteText"/>
        <w:ind w:left="720" w:hanging="720"/>
      </w:pPr>
      <w:r>
        <w:rPr>
          <w:rStyle w:val="FootnoteReference"/>
        </w:rPr>
        <w:footnoteRef/>
      </w:r>
      <w:r>
        <w:t xml:space="preserve"> </w:t>
      </w:r>
      <w:r>
        <w:tab/>
      </w:r>
      <w:r w:rsidRPr="009572E9" w:rsidR="001F1A2E">
        <w:rPr>
          <w:u w:val="single"/>
        </w:rPr>
        <w:t>See</w:t>
      </w:r>
      <w:r w:rsidR="001F1A2E">
        <w:t xml:space="preserve"> 17 CFR 240.17g-10(c).  </w:t>
      </w:r>
      <w:r w:rsidRPr="009572E9">
        <w:rPr>
          <w:u w:val="single"/>
        </w:rPr>
        <w:t>See</w:t>
      </w:r>
      <w:r w:rsidRPr="00193D8E" w:rsidR="001F1A2E">
        <w:t xml:space="preserve"> </w:t>
      </w:r>
      <w:r w:rsidR="001F1A2E">
        <w:rPr>
          <w:u w:val="single"/>
        </w:rPr>
        <w:t>also</w:t>
      </w:r>
      <w:r>
        <w:t xml:space="preserve"> 79 FR at 55189 (characterizing this method of delivery as a safe harbor for providers of third-party due diligence services).  </w:t>
      </w:r>
    </w:p>
  </w:footnote>
  <w:footnote w:id="20">
    <w:p w:rsidR="00BC7E4A" w:rsidRPr="003D124A" w:rsidP="00BC7E4A" w14:paraId="2E06B78C" w14:textId="583222FD">
      <w:pPr>
        <w:pStyle w:val="FootnoteText"/>
        <w:ind w:left="720" w:hanging="720"/>
      </w:pPr>
      <w:r>
        <w:rPr>
          <w:rStyle w:val="FootnoteReference"/>
        </w:rPr>
        <w:footnoteRef/>
      </w:r>
      <w:r>
        <w:t xml:space="preserve"> </w:t>
      </w:r>
      <w:r>
        <w:tab/>
        <w:t xml:space="preserve">When Rule 17g-10 was adopted in 2014, the number of third-party service providers was estimated at 15.  Staff understands that the number has increased.  Fitch Ratings recently reported that it designated 24 firms as “acceptable” third-party due diligence services providers for the review of residential mortgage-backed securities.  </w:t>
      </w:r>
      <w:r w:rsidRPr="00246792">
        <w:rPr>
          <w:u w:val="single"/>
        </w:rPr>
        <w:t>See</w:t>
      </w:r>
      <w:r>
        <w:t xml:space="preserve"> Fitch Ratings, </w:t>
      </w:r>
      <w:r w:rsidRPr="0052239B">
        <w:t xml:space="preserve">Growth Continues for US RMBS Third Party Review Firms </w:t>
      </w:r>
      <w:r w:rsidRPr="003D124A">
        <w:t>Growth</w:t>
      </w:r>
      <w:r>
        <w:t xml:space="preserve"> (Jan. 27, 2023),  </w:t>
      </w:r>
      <w:hyperlink r:id="rId1" w:history="1">
        <w:r w:rsidRPr="00FA1488">
          <w:rPr>
            <w:rStyle w:val="Hyperlink"/>
          </w:rPr>
          <w:t>https://www.fitchratings.com/research/structured-finance/growth-continues-for-us-rmbs-third-party-review-firms-27-01-2023</w:t>
        </w:r>
      </w:hyperlink>
      <w:r>
        <w:t xml:space="preserve">.  S&amp;P Global Ratings also issued </w:t>
      </w:r>
      <w:r w:rsidR="00B46E1A">
        <w:t>on September 13, 2023</w:t>
      </w:r>
      <w:r w:rsidR="000F2F54">
        <w:t>,</w:t>
      </w:r>
      <w:r w:rsidR="00B46E1A">
        <w:t xml:space="preserve"> </w:t>
      </w:r>
      <w:r>
        <w:t>a list of reviewed third-party due diligence service providers</w:t>
      </w:r>
      <w:r w:rsidR="00732F91">
        <w:t xml:space="preserve"> </w:t>
      </w:r>
      <w:r w:rsidR="009B62D8">
        <w:t>listing</w:t>
      </w:r>
      <w:r>
        <w:t xml:space="preserve"> 32 providers.  </w:t>
      </w:r>
      <w:r w:rsidRPr="009572E9">
        <w:rPr>
          <w:u w:val="single"/>
        </w:rPr>
        <w:t>See</w:t>
      </w:r>
      <w:r>
        <w:t xml:space="preserve"> Sutherland, </w:t>
      </w:r>
      <w:r w:rsidRPr="00D147D8">
        <w:t>S&amp;P Global Ratings Publishes List Of Third-Party Due Diligence Firms Reviewed For U.S. RMBS</w:t>
      </w:r>
      <w:r>
        <w:t xml:space="preserve"> (Sept. 21, 2023</w:t>
      </w:r>
      <w:r w:rsidRPr="00DF1F8C">
        <w:t xml:space="preserve">), </w:t>
      </w:r>
      <w:hyperlink r:id="rId2" w:history="1">
        <w:r w:rsidRPr="008D7BE7">
          <w:rPr>
            <w:rStyle w:val="Hyperlink"/>
          </w:rPr>
          <w:t>https://www.sutherlandglobal.com/about-us/latest-news/2023/09/20/16/04/sp-global-ratings-publishes-list-of-third-party-due-diligence-firms</w:t>
        </w:r>
      </w:hyperlink>
      <w:r>
        <w:t xml:space="preserve">.  </w:t>
      </w:r>
      <w:r w:rsidRPr="00311E8A">
        <w:t xml:space="preserve">DBRS, Inc. (DBRS Morningstar) issued </w:t>
      </w:r>
      <w:r w:rsidRPr="00311E8A" w:rsidR="00FB0CB8">
        <w:t>on January 20, 2023</w:t>
      </w:r>
      <w:r w:rsidR="00FB0CB8">
        <w:t xml:space="preserve">, </w:t>
      </w:r>
      <w:r w:rsidRPr="00311E8A">
        <w:t>a list of reviewed third-party due diligence service providers</w:t>
      </w:r>
      <w:r w:rsidR="00FB0CB8">
        <w:t xml:space="preserve"> </w:t>
      </w:r>
      <w:r w:rsidR="009B62D8">
        <w:t>listing</w:t>
      </w:r>
      <w:r w:rsidRPr="00311E8A">
        <w:t xml:space="preserve"> 43 providers.  </w:t>
      </w:r>
      <w:r w:rsidRPr="00311E8A">
        <w:rPr>
          <w:u w:val="single"/>
        </w:rPr>
        <w:t>See</w:t>
      </w:r>
      <w:r w:rsidRPr="00311E8A">
        <w:t xml:space="preserve"> DBRS Morningstar, DBRS Morningstar Acceptable Third-Party Due-Diligence Firms (Jan. 30, 2023), </w:t>
      </w:r>
      <w:hyperlink r:id="rId3" w:history="1">
        <w:r w:rsidRPr="00311E8A">
          <w:rPr>
            <w:rStyle w:val="Hyperlink"/>
          </w:rPr>
          <w:t>https://dbrs.morningstar.com/research/408661/dbrs-morningstar-acceptable-third-party-due-diligence-firms</w:t>
        </w:r>
      </w:hyperlink>
      <w:r w:rsidRPr="00311E8A">
        <w:t>.</w:t>
      </w:r>
      <w:r>
        <w:t xml:space="preserve"> </w:t>
      </w:r>
      <w:r w:rsidR="00852950">
        <w:t xml:space="preserve"> </w:t>
      </w:r>
      <w:r>
        <w:t>Staff is using the reported numbers to estimate the number of current third-party due diligence service providers.</w:t>
      </w:r>
    </w:p>
  </w:footnote>
  <w:footnote w:id="21">
    <w:p w:rsidR="006B603E" w:rsidP="00193D8E" w14:paraId="26D64844" w14:textId="30AA4B61">
      <w:pPr>
        <w:pStyle w:val="FootnoteText"/>
        <w:ind w:left="720" w:hanging="720"/>
      </w:pPr>
      <w:r>
        <w:rPr>
          <w:rStyle w:val="FootnoteReference"/>
        </w:rPr>
        <w:footnoteRef/>
      </w:r>
      <w:r>
        <w:t xml:space="preserve"> </w:t>
      </w:r>
      <w:r>
        <w:tab/>
      </w:r>
      <w:r w:rsidRPr="0080338C" w:rsidR="00A678DE">
        <w:rPr>
          <w:u w:val="single"/>
        </w:rPr>
        <w:t>See</w:t>
      </w:r>
      <w:r w:rsidR="00A678DE">
        <w:t xml:space="preserve"> 17 CFR 240.0-10 [Small entities under the Securities Exchange Act for purposes of the Regulatory Flexibility Act] (defining “small business or small organization” as a person that, on the last day of its most recent fiscal year, had total assets of $5 million or less).</w:t>
      </w:r>
    </w:p>
  </w:footnote>
  <w:footnote w:id="22">
    <w:p w:rsidR="005D655F" w:rsidRPr="005344E8" w:rsidP="005D655F" w14:paraId="6667AB14" w14:textId="77777777">
      <w:pPr>
        <w:pStyle w:val="FootnoteText"/>
      </w:pPr>
      <w:r>
        <w:rPr>
          <w:rStyle w:val="FootnoteReference"/>
        </w:rPr>
        <w:footnoteRef/>
      </w:r>
      <w:r>
        <w:t xml:space="preserve"> </w:t>
      </w:r>
      <w:r>
        <w:tab/>
      </w:r>
      <w:r>
        <w:rPr>
          <w:u w:val="single"/>
        </w:rPr>
        <w:t>See</w:t>
      </w:r>
      <w:r>
        <w:t xml:space="preserve"> </w:t>
      </w:r>
      <w:r w:rsidRPr="00FD295E">
        <w:t>17 CFR 240.</w:t>
      </w:r>
      <w:r w:rsidRPr="00501210">
        <w:t>17g-10</w:t>
      </w:r>
      <w:r>
        <w:t>(c).</w:t>
      </w:r>
    </w:p>
  </w:footnote>
  <w:footnote w:id="23">
    <w:p w:rsidR="007D0E7E" w14:paraId="60F93BA8" w14:textId="0075D728">
      <w:pPr>
        <w:pStyle w:val="FootnoteText"/>
      </w:pPr>
      <w:r>
        <w:rPr>
          <w:rStyle w:val="FootnoteReference"/>
        </w:rPr>
        <w:footnoteRef/>
      </w:r>
      <w:r>
        <w:t xml:space="preserve"> </w:t>
      </w:r>
      <w:r>
        <w:tab/>
      </w:r>
      <w:r w:rsidRPr="00501210">
        <w:rPr>
          <w:u w:val="single"/>
        </w:rPr>
        <w:t>See</w:t>
      </w:r>
      <w:r w:rsidRPr="00501210">
        <w:t xml:space="preserve"> 15 U.S.C. 78o-7</w:t>
      </w:r>
      <w:r w:rsidRPr="0059569A">
        <w:t>(s)(4)(</w:t>
      </w:r>
      <w:r w:rsidR="000064DB">
        <w:t>C</w:t>
      </w:r>
      <w:r w:rsidRPr="0059569A">
        <w:t>)</w:t>
      </w:r>
      <w:r>
        <w:t>.</w:t>
      </w:r>
    </w:p>
  </w:footnote>
  <w:footnote w:id="24">
    <w:p w:rsidR="00D74964" w:rsidRPr="00D57464" w14:paraId="6CDE6977" w14:textId="30CFBCF5">
      <w:pPr>
        <w:pStyle w:val="FootnoteText"/>
        <w:rPr>
          <w:highlight w:val="yellow"/>
        </w:rPr>
      </w:pPr>
      <w:r w:rsidRPr="0044286A">
        <w:rPr>
          <w:rStyle w:val="FootnoteReference"/>
        </w:rPr>
        <w:footnoteRef/>
      </w:r>
      <w:r w:rsidRPr="0044286A">
        <w:t xml:space="preserve"> </w:t>
      </w:r>
      <w:r w:rsidRPr="0044286A" w:rsidR="00A11AEA">
        <w:tab/>
      </w:r>
      <w:r w:rsidRPr="0044286A" w:rsidR="00A11AEA">
        <w:rPr>
          <w:u w:val="single"/>
        </w:rPr>
        <w:t>See</w:t>
      </w:r>
      <w:r w:rsidRPr="0044286A" w:rsidR="00A11AEA">
        <w:t xml:space="preserve"> </w:t>
      </w:r>
      <w:r w:rsidRPr="0044286A" w:rsidR="00A11AEA">
        <w:rPr>
          <w:color w:val="000000"/>
        </w:rPr>
        <w:t xml:space="preserve">79 FR at </w:t>
      </w:r>
      <w:r w:rsidRPr="0044286A" w:rsidR="00072A44">
        <w:rPr>
          <w:color w:val="000000"/>
        </w:rPr>
        <w:t>55232.</w:t>
      </w:r>
    </w:p>
  </w:footnote>
  <w:footnote w:id="25">
    <w:p w:rsidR="00DF0F7F" w14:paraId="70E222F8" w14:textId="07EAF020">
      <w:pPr>
        <w:pStyle w:val="FootnoteText"/>
      </w:pPr>
      <w:r w:rsidRPr="00E62C0F">
        <w:rPr>
          <w:rStyle w:val="FootnoteReference"/>
        </w:rPr>
        <w:footnoteRef/>
      </w:r>
      <w:r w:rsidRPr="00E62C0F">
        <w:t xml:space="preserve"> </w:t>
      </w:r>
      <w:r w:rsidRPr="00E62C0F">
        <w:tab/>
      </w:r>
      <w:r w:rsidRPr="00E62C0F">
        <w:rPr>
          <w:u w:val="single"/>
        </w:rPr>
        <w:t>See</w:t>
      </w:r>
      <w:r w:rsidRPr="00E62C0F" w:rsidR="00D36A22">
        <w:t xml:space="preserve"> </w:t>
      </w:r>
      <w:r w:rsidRPr="00E62C0F" w:rsidR="00D36A22">
        <w:rPr>
          <w:u w:val="single"/>
        </w:rPr>
        <w:t>id.</w:t>
      </w:r>
      <w:r w:rsidRPr="00E62C0F">
        <w:rPr>
          <w:color w:val="000000"/>
        </w:rPr>
        <w:t xml:space="preserve"> at 55197.</w:t>
      </w:r>
    </w:p>
  </w:footnote>
  <w:footnote w:id="26">
    <w:p w:rsidR="005D655F" w:rsidRPr="002E0D2E" w:rsidP="005D655F" w14:paraId="002411B9" w14:textId="42EC0413">
      <w:pPr>
        <w:pStyle w:val="FootnoteText"/>
      </w:pPr>
      <w:r>
        <w:rPr>
          <w:rStyle w:val="FootnoteReference"/>
        </w:rPr>
        <w:footnoteRef/>
      </w:r>
      <w:r>
        <w:t xml:space="preserve"> </w:t>
      </w:r>
      <w:r>
        <w:tab/>
      </w:r>
      <w:r w:rsidRPr="00265540">
        <w:rPr>
          <w:u w:val="single"/>
        </w:rPr>
        <w:t>See</w:t>
      </w:r>
      <w:r w:rsidRPr="00265540">
        <w:t xml:space="preserve"> </w:t>
      </w:r>
      <w:r w:rsidR="00F80ED9">
        <w:t xml:space="preserve">Proposed Collection; Comment Request, </w:t>
      </w:r>
      <w:r w:rsidR="001D5585">
        <w:t xml:space="preserve">89 </w:t>
      </w:r>
      <w:r>
        <w:t xml:space="preserve">FR </w:t>
      </w:r>
      <w:r w:rsidR="001D5585">
        <w:t xml:space="preserve">18981 </w:t>
      </w:r>
      <w:r>
        <w:t>(</w:t>
      </w:r>
      <w:r w:rsidR="001D5585">
        <w:t>March 15</w:t>
      </w:r>
      <w:r>
        <w:t>, 202</w:t>
      </w:r>
      <w:r w:rsidR="00A2212A">
        <w:t>4</w:t>
      </w:r>
      <w:r>
        <w:t>)</w:t>
      </w:r>
      <w:r w:rsidRPr="00265540">
        <w:t>.</w:t>
      </w:r>
    </w:p>
  </w:footnote>
  <w:footnote w:id="27">
    <w:p w:rsidR="000E38CD" w:rsidP="00DF1F8C" w14:paraId="3CF68314" w14:textId="69E25D56">
      <w:pPr>
        <w:pStyle w:val="FootnoteText"/>
        <w:ind w:left="720" w:hanging="720"/>
      </w:pPr>
      <w:r>
        <w:rPr>
          <w:rStyle w:val="FootnoteReference"/>
        </w:rPr>
        <w:footnoteRef/>
      </w:r>
      <w:r>
        <w:t xml:space="preserve"> </w:t>
      </w:r>
      <w:r>
        <w:tab/>
      </w:r>
      <w:r w:rsidRPr="00501210">
        <w:rPr>
          <w:u w:val="single"/>
        </w:rPr>
        <w:t>See</w:t>
      </w:r>
      <w:r w:rsidRPr="00501210">
        <w:t xml:space="preserve"> </w:t>
      </w:r>
      <w:r w:rsidRPr="00501210">
        <w:rPr>
          <w:u w:val="single"/>
        </w:rPr>
        <w:t>Nationally Recognized Statistical Rating Organizations</w:t>
      </w:r>
      <w:r>
        <w:t>, 79</w:t>
      </w:r>
      <w:r w:rsidRPr="00501210">
        <w:t xml:space="preserve"> FR at </w:t>
      </w:r>
      <w:r>
        <w:t xml:space="preserve">55088, Table 6 for methodology. </w:t>
      </w:r>
      <w:r w:rsidR="002D7C1A">
        <w:t>E</w:t>
      </w:r>
      <w:r>
        <w:t>stimate of 1,4</w:t>
      </w:r>
      <w:r w:rsidR="00681BC9">
        <w:t>1</w:t>
      </w:r>
      <w:r>
        <w:t>0 offerings per year is based on updated data from 2021-2023 from the SEC’s Division of Economic Risk Analysis.</w:t>
      </w:r>
    </w:p>
  </w:footnote>
  <w:footnote w:id="28">
    <w:p w:rsidR="005D655F" w:rsidP="005D655F" w14:paraId="5ECD25DA" w14:textId="2D598569">
      <w:pPr>
        <w:pStyle w:val="FootnoteText"/>
      </w:pPr>
      <w:r>
        <w:rPr>
          <w:rStyle w:val="FootnoteReference"/>
        </w:rPr>
        <w:footnoteRef/>
      </w:r>
      <w:r>
        <w:t xml:space="preserve"> </w:t>
      </w:r>
      <w:r>
        <w:tab/>
      </w:r>
      <w:r w:rsidR="00FB05C8">
        <w:t>1,</w:t>
      </w:r>
      <w:r w:rsidR="000E38CD">
        <w:t>410</w:t>
      </w:r>
      <w:r>
        <w:t xml:space="preserve"> Exchange Act-ABS offerings x 20 minutes = </w:t>
      </w:r>
      <w:r w:rsidR="000E38CD">
        <w:t>470</w:t>
      </w:r>
      <w:r>
        <w:t xml:space="preserve"> hours.</w:t>
      </w:r>
    </w:p>
  </w:footnote>
  <w:footnote w:id="29">
    <w:p w:rsidR="00A557E9" w:rsidP="00A557E9" w14:paraId="2799D410" w14:textId="3F711610">
      <w:pPr>
        <w:pStyle w:val="FootnoteText"/>
        <w:ind w:left="720" w:hanging="720"/>
      </w:pPr>
      <w:r>
        <w:rPr>
          <w:rStyle w:val="FootnoteReference"/>
        </w:rPr>
        <w:footnoteRef/>
      </w:r>
      <w:r>
        <w:t xml:space="preserve"> </w:t>
      </w:r>
      <w:r>
        <w:tab/>
      </w:r>
      <w:r w:rsidRPr="00A82706">
        <w:t xml:space="preserve">The </w:t>
      </w:r>
      <w:r w:rsidRPr="00A82706" w:rsidR="00553BAA">
        <w:t>$372 figure is</w:t>
      </w:r>
      <w:r w:rsidRPr="00A82706" w:rsidR="004A2A6A">
        <w:t xml:space="preserve"> </w:t>
      </w:r>
      <w:r w:rsidRPr="00A82706" w:rsidR="00825262">
        <w:t xml:space="preserve">based </w:t>
      </w:r>
      <w:r w:rsidRPr="00A82706" w:rsidR="00323AD6">
        <w:t xml:space="preserve">on </w:t>
      </w:r>
      <w:r w:rsidRPr="00A82706" w:rsidR="00F2313E">
        <w:t xml:space="preserve">SIFMA’s </w:t>
      </w:r>
      <w:r w:rsidRPr="00636335" w:rsidR="00F2313E">
        <w:t xml:space="preserve">Management &amp; Professional Earnings </w:t>
      </w:r>
      <w:r w:rsidRPr="00636335" w:rsidR="009373F9">
        <w:t xml:space="preserve">in the Securities Industry </w:t>
      </w:r>
      <w:r w:rsidRPr="00636335" w:rsidR="00F2313E">
        <w:t>2013</w:t>
      </w:r>
      <w:r w:rsidRPr="00A82706" w:rsidR="00F2313E">
        <w:t xml:space="preserve"> (“2013 SIFMA survey”)</w:t>
      </w:r>
      <w:r w:rsidRPr="00A82706" w:rsidR="004A2A6A">
        <w:t>.</w:t>
      </w:r>
      <w:r w:rsidRPr="00A82706" w:rsidR="00AC0AA5">
        <w:t xml:space="preserve">  </w:t>
      </w:r>
      <w:r w:rsidRPr="00A82706" w:rsidR="004A2A6A">
        <w:t xml:space="preserve"> The 2013 SIFMA survey </w:t>
      </w:r>
      <w:r w:rsidRPr="00A82706" w:rsidR="00C44700">
        <w:t xml:space="preserve">estimated </w:t>
      </w:r>
      <w:r w:rsidRPr="00A82706" w:rsidR="00B54095">
        <w:t xml:space="preserve">the </w:t>
      </w:r>
      <w:r w:rsidRPr="00A82706" w:rsidR="00261AB9">
        <w:t>salary of a compensation ma</w:t>
      </w:r>
      <w:r w:rsidRPr="00A82706" w:rsidR="0096604C">
        <w:t>nager at $283</w:t>
      </w:r>
      <w:r w:rsidRPr="00A82706" w:rsidR="003103F9">
        <w:t xml:space="preserve"> per hour</w:t>
      </w:r>
      <w:r w:rsidRPr="00A82706" w:rsidR="00C44ABA">
        <w:t>,</w:t>
      </w:r>
      <w:r w:rsidRPr="00A82706" w:rsidR="00F2313E">
        <w:t xml:space="preserve"> modified by Commission staff to account for a</w:t>
      </w:r>
      <w:r w:rsidR="006860D7">
        <w:t>n</w:t>
      </w:r>
      <w:r w:rsidRPr="00A82706" w:rsidR="00F2313E">
        <w:t xml:space="preserve"> 1,800-hour work-year and multiplied by 5.35 to account for bonuses, firm size, employee benefits, and overhead.</w:t>
      </w:r>
      <w:r w:rsidRPr="00A82706" w:rsidR="00977EB9">
        <w:t xml:space="preserve">  </w:t>
      </w:r>
      <w:r w:rsidRPr="00A82706" w:rsidR="00977EB9">
        <w:rPr>
          <w:u w:val="single"/>
        </w:rPr>
        <w:t>See</w:t>
      </w:r>
      <w:r w:rsidRPr="00A82706" w:rsidR="00977EB9">
        <w:t xml:space="preserve"> </w:t>
      </w:r>
      <w:r w:rsidRPr="00A82706" w:rsidR="00977EB9">
        <w:rPr>
          <w:u w:val="single"/>
        </w:rPr>
        <w:t xml:space="preserve">Nationally Recognized Statistical Rating Organizations, </w:t>
      </w:r>
      <w:r w:rsidRPr="00A82706" w:rsidR="00977EB9">
        <w:t xml:space="preserve">79 FR at 55245.  </w:t>
      </w:r>
      <w:r w:rsidRPr="00A82706" w:rsidR="00F96417">
        <w:t>The survey has not been updated</w:t>
      </w:r>
      <w:r w:rsidRPr="00A82706" w:rsidR="003103F9">
        <w:t xml:space="preserve"> since 2013</w:t>
      </w:r>
      <w:r w:rsidRPr="00A82706" w:rsidR="002422C1">
        <w:t xml:space="preserve">.  As such, the </w:t>
      </w:r>
      <w:r w:rsidRPr="00A82706" w:rsidR="00561F25">
        <w:t xml:space="preserve">$283 </w:t>
      </w:r>
      <w:r w:rsidRPr="00A82706" w:rsidR="00847EB0">
        <w:t xml:space="preserve">figure </w:t>
      </w:r>
      <w:r w:rsidRPr="00A82706" w:rsidR="00561F25">
        <w:t xml:space="preserve">has been </w:t>
      </w:r>
      <w:r w:rsidRPr="00A82706">
        <w:rPr>
          <w:spacing w:val="-3"/>
        </w:rPr>
        <w:t xml:space="preserve">updated and </w:t>
      </w:r>
      <w:r w:rsidRPr="00A82706">
        <w:t>adjusted to $372 per hour to account for inflation using the Bureau of Labor Statistics CPI Inflation Calculator.</w:t>
      </w:r>
      <w:r>
        <w:t xml:space="preserve">  </w:t>
      </w:r>
    </w:p>
  </w:footnote>
  <w:footnote w:id="30">
    <w:p w:rsidR="00A557E9" w14:paraId="32FE3181" w14:textId="57B414A8">
      <w:pPr>
        <w:pStyle w:val="FootnoteText"/>
      </w:pPr>
      <w:r>
        <w:rPr>
          <w:rStyle w:val="FootnoteReference"/>
        </w:rPr>
        <w:footnoteRef/>
      </w:r>
      <w:r>
        <w:t xml:space="preserve"> </w:t>
      </w:r>
      <w:r>
        <w:tab/>
        <w:t>470</w:t>
      </w:r>
      <w:r w:rsidRPr="00020B6A">
        <w:t xml:space="preserve"> hours x $</w:t>
      </w:r>
      <w:r>
        <w:t xml:space="preserve">372 </w:t>
      </w:r>
      <w:r w:rsidRPr="00020B6A">
        <w:t>per hour for a compliance manager</w:t>
      </w:r>
      <w:r w:rsidRPr="00D90E27">
        <w:t xml:space="preserve"> = </w:t>
      </w:r>
      <w:r>
        <w:t>$174,840</w:t>
      </w:r>
      <w:r w:rsidRPr="00D90E27">
        <w:t>, rounded to $</w:t>
      </w:r>
      <w:r>
        <w:t xml:space="preserve">175,000.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1783D"/>
    <w:multiLevelType w:val="hybridMultilevel"/>
    <w:tmpl w:val="3B7C9600"/>
    <w:lvl w:ilvl="0">
      <w:start w:val="2"/>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19BD0B12"/>
    <w:multiLevelType w:val="hybridMultilevel"/>
    <w:tmpl w:val="DAD4733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416DD1"/>
    <w:multiLevelType w:val="hybridMultilevel"/>
    <w:tmpl w:val="AA2838DA"/>
    <w:lvl w:ilvl="0">
      <w:start w:val="1"/>
      <w:numFmt w:val="upperLetter"/>
      <w:lvlText w:val="%1."/>
      <w:lvlJc w:val="left"/>
      <w:pPr>
        <w:ind w:left="446" w:hanging="360"/>
      </w:pPr>
      <w:rPr>
        <w:rFonts w:hint="default"/>
      </w:rPr>
    </w:lvl>
    <w:lvl w:ilvl="1" w:tentative="1">
      <w:start w:val="1"/>
      <w:numFmt w:val="lowerLetter"/>
      <w:lvlText w:val="%2."/>
      <w:lvlJc w:val="left"/>
      <w:pPr>
        <w:ind w:left="1166" w:hanging="360"/>
      </w:pPr>
    </w:lvl>
    <w:lvl w:ilvl="2" w:tentative="1">
      <w:start w:val="1"/>
      <w:numFmt w:val="lowerRoman"/>
      <w:lvlText w:val="%3."/>
      <w:lvlJc w:val="right"/>
      <w:pPr>
        <w:ind w:left="1886" w:hanging="180"/>
      </w:pPr>
    </w:lvl>
    <w:lvl w:ilvl="3" w:tentative="1">
      <w:start w:val="1"/>
      <w:numFmt w:val="decimal"/>
      <w:lvlText w:val="%4."/>
      <w:lvlJc w:val="left"/>
      <w:pPr>
        <w:ind w:left="2606" w:hanging="360"/>
      </w:pPr>
    </w:lvl>
    <w:lvl w:ilvl="4" w:tentative="1">
      <w:start w:val="1"/>
      <w:numFmt w:val="lowerLetter"/>
      <w:lvlText w:val="%5."/>
      <w:lvlJc w:val="left"/>
      <w:pPr>
        <w:ind w:left="3326" w:hanging="360"/>
      </w:pPr>
    </w:lvl>
    <w:lvl w:ilvl="5" w:tentative="1">
      <w:start w:val="1"/>
      <w:numFmt w:val="lowerRoman"/>
      <w:lvlText w:val="%6."/>
      <w:lvlJc w:val="right"/>
      <w:pPr>
        <w:ind w:left="4046" w:hanging="180"/>
      </w:pPr>
    </w:lvl>
    <w:lvl w:ilvl="6" w:tentative="1">
      <w:start w:val="1"/>
      <w:numFmt w:val="decimal"/>
      <w:lvlText w:val="%7."/>
      <w:lvlJc w:val="left"/>
      <w:pPr>
        <w:ind w:left="4766" w:hanging="360"/>
      </w:pPr>
    </w:lvl>
    <w:lvl w:ilvl="7" w:tentative="1">
      <w:start w:val="1"/>
      <w:numFmt w:val="lowerLetter"/>
      <w:lvlText w:val="%8."/>
      <w:lvlJc w:val="left"/>
      <w:pPr>
        <w:ind w:left="5486" w:hanging="360"/>
      </w:pPr>
    </w:lvl>
    <w:lvl w:ilvl="8" w:tentative="1">
      <w:start w:val="1"/>
      <w:numFmt w:val="lowerRoman"/>
      <w:lvlText w:val="%9."/>
      <w:lvlJc w:val="right"/>
      <w:pPr>
        <w:ind w:left="6206" w:hanging="180"/>
      </w:pPr>
    </w:lvl>
  </w:abstractNum>
  <w:abstractNum w:abstractNumId="3">
    <w:nsid w:val="1F536A69"/>
    <w:multiLevelType w:val="hybridMultilevel"/>
    <w:tmpl w:val="186AEBAE"/>
    <w:lvl w:ilvl="0">
      <w:start w:val="1"/>
      <w:numFmt w:val="upperLetter"/>
      <w:lvlText w:val="%1)"/>
      <w:lvlJc w:val="left"/>
      <w:pPr>
        <w:ind w:left="1080" w:hanging="360"/>
      </w:pPr>
      <w:rPr>
        <w:rFonts w:ascii="Times New Roman" w:hAnsi="Times New Roman" w:cs="Times New Roman" w:hint="default"/>
        <w:sz w:val="24"/>
        <w:szCs w:val="24"/>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39926033"/>
    <w:multiLevelType w:val="hybridMultilevel"/>
    <w:tmpl w:val="B05C70FE"/>
    <w:lvl w:ilvl="0">
      <w:start w:val="1"/>
      <w:numFmt w:val="bullet"/>
      <w:lvlText w:val=""/>
      <w:lvlJc w:val="left"/>
      <w:pPr>
        <w:tabs>
          <w:tab w:val="num" w:pos="450"/>
        </w:tabs>
        <w:ind w:left="450" w:hanging="360"/>
      </w:pPr>
      <w:rPr>
        <w:rFonts w:ascii="Symbol" w:hAnsi="Symbol" w:hint="default"/>
      </w:rPr>
    </w:lvl>
    <w:lvl w:ilvl="1">
      <w:start w:val="1"/>
      <w:numFmt w:val="bullet"/>
      <w:lvlText w:val="o"/>
      <w:lvlJc w:val="left"/>
      <w:pPr>
        <w:tabs>
          <w:tab w:val="num" w:pos="1170"/>
        </w:tabs>
        <w:ind w:left="1170" w:hanging="360"/>
      </w:pPr>
      <w:rPr>
        <w:rFonts w:ascii="Courier New" w:hAnsi="Courier New" w:hint="default"/>
      </w:rPr>
    </w:lvl>
    <w:lvl w:ilvl="2" w:tentative="1">
      <w:start w:val="1"/>
      <w:numFmt w:val="bullet"/>
      <w:lvlText w:val=""/>
      <w:lvlJc w:val="left"/>
      <w:pPr>
        <w:tabs>
          <w:tab w:val="num" w:pos="1890"/>
        </w:tabs>
        <w:ind w:left="1890" w:hanging="360"/>
      </w:pPr>
      <w:rPr>
        <w:rFonts w:ascii="Wingdings" w:hAnsi="Wingdings" w:hint="default"/>
      </w:rPr>
    </w:lvl>
    <w:lvl w:ilvl="3" w:tentative="1">
      <w:start w:val="1"/>
      <w:numFmt w:val="bullet"/>
      <w:lvlText w:val=""/>
      <w:lvlJc w:val="left"/>
      <w:pPr>
        <w:tabs>
          <w:tab w:val="num" w:pos="2610"/>
        </w:tabs>
        <w:ind w:left="2610" w:hanging="360"/>
      </w:pPr>
      <w:rPr>
        <w:rFonts w:ascii="Symbol" w:hAnsi="Symbol" w:hint="default"/>
      </w:rPr>
    </w:lvl>
    <w:lvl w:ilvl="4" w:tentative="1">
      <w:start w:val="1"/>
      <w:numFmt w:val="bullet"/>
      <w:lvlText w:val="o"/>
      <w:lvlJc w:val="left"/>
      <w:pPr>
        <w:tabs>
          <w:tab w:val="num" w:pos="3330"/>
        </w:tabs>
        <w:ind w:left="3330" w:hanging="360"/>
      </w:pPr>
      <w:rPr>
        <w:rFonts w:ascii="Courier New" w:hAnsi="Courier New" w:hint="default"/>
      </w:rPr>
    </w:lvl>
    <w:lvl w:ilvl="5" w:tentative="1">
      <w:start w:val="1"/>
      <w:numFmt w:val="bullet"/>
      <w:lvlText w:val=""/>
      <w:lvlJc w:val="left"/>
      <w:pPr>
        <w:tabs>
          <w:tab w:val="num" w:pos="4050"/>
        </w:tabs>
        <w:ind w:left="4050" w:hanging="360"/>
      </w:pPr>
      <w:rPr>
        <w:rFonts w:ascii="Wingdings" w:hAnsi="Wingdings" w:hint="default"/>
      </w:rPr>
    </w:lvl>
    <w:lvl w:ilvl="6" w:tentative="1">
      <w:start w:val="1"/>
      <w:numFmt w:val="bullet"/>
      <w:lvlText w:val=""/>
      <w:lvlJc w:val="left"/>
      <w:pPr>
        <w:tabs>
          <w:tab w:val="num" w:pos="4770"/>
        </w:tabs>
        <w:ind w:left="4770" w:hanging="360"/>
      </w:pPr>
      <w:rPr>
        <w:rFonts w:ascii="Symbol" w:hAnsi="Symbol" w:hint="default"/>
      </w:rPr>
    </w:lvl>
    <w:lvl w:ilvl="7" w:tentative="1">
      <w:start w:val="1"/>
      <w:numFmt w:val="bullet"/>
      <w:lvlText w:val="o"/>
      <w:lvlJc w:val="left"/>
      <w:pPr>
        <w:tabs>
          <w:tab w:val="num" w:pos="5490"/>
        </w:tabs>
        <w:ind w:left="5490" w:hanging="360"/>
      </w:pPr>
      <w:rPr>
        <w:rFonts w:ascii="Courier New" w:hAnsi="Courier New" w:hint="default"/>
      </w:rPr>
    </w:lvl>
    <w:lvl w:ilvl="8" w:tentative="1">
      <w:start w:val="1"/>
      <w:numFmt w:val="bullet"/>
      <w:lvlText w:val=""/>
      <w:lvlJc w:val="left"/>
      <w:pPr>
        <w:tabs>
          <w:tab w:val="num" w:pos="6210"/>
        </w:tabs>
        <w:ind w:left="6210" w:hanging="360"/>
      </w:pPr>
      <w:rPr>
        <w:rFonts w:ascii="Wingdings" w:hAnsi="Wingdings" w:hint="default"/>
      </w:rPr>
    </w:lvl>
  </w:abstractNum>
  <w:abstractNum w:abstractNumId="6">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37338944">
    <w:abstractNumId w:val="6"/>
  </w:num>
  <w:num w:numId="2" w16cid:durableId="1917786024">
    <w:abstractNumId w:val="7"/>
  </w:num>
  <w:num w:numId="3" w16cid:durableId="79496866">
    <w:abstractNumId w:val="4"/>
  </w:num>
  <w:num w:numId="4" w16cid:durableId="556550134">
    <w:abstractNumId w:val="0"/>
  </w:num>
  <w:num w:numId="5" w16cid:durableId="1167406307">
    <w:abstractNumId w:val="5"/>
  </w:num>
  <w:num w:numId="6" w16cid:durableId="936795383">
    <w:abstractNumId w:val="3"/>
  </w:num>
  <w:num w:numId="7" w16cid:durableId="1506245244">
    <w:abstractNumId w:val="2"/>
  </w:num>
  <w:num w:numId="8" w16cid:durableId="14602222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B41"/>
    <w:rsid w:val="00000ACA"/>
    <w:rsid w:val="0000286C"/>
    <w:rsid w:val="00002D74"/>
    <w:rsid w:val="00003899"/>
    <w:rsid w:val="00003CFC"/>
    <w:rsid w:val="00004F74"/>
    <w:rsid w:val="00005255"/>
    <w:rsid w:val="00005650"/>
    <w:rsid w:val="000056DA"/>
    <w:rsid w:val="0000618E"/>
    <w:rsid w:val="000064DB"/>
    <w:rsid w:val="00006C6E"/>
    <w:rsid w:val="0001073D"/>
    <w:rsid w:val="000115CE"/>
    <w:rsid w:val="000115EB"/>
    <w:rsid w:val="00011FCF"/>
    <w:rsid w:val="0001207B"/>
    <w:rsid w:val="00012C06"/>
    <w:rsid w:val="00012DAC"/>
    <w:rsid w:val="000139A2"/>
    <w:rsid w:val="00013BCE"/>
    <w:rsid w:val="00014075"/>
    <w:rsid w:val="000155A8"/>
    <w:rsid w:val="0001590E"/>
    <w:rsid w:val="00015FAF"/>
    <w:rsid w:val="00016998"/>
    <w:rsid w:val="00016DDA"/>
    <w:rsid w:val="00017495"/>
    <w:rsid w:val="000177F6"/>
    <w:rsid w:val="00020B6A"/>
    <w:rsid w:val="00020EA7"/>
    <w:rsid w:val="00021707"/>
    <w:rsid w:val="000219D0"/>
    <w:rsid w:val="000220DA"/>
    <w:rsid w:val="00022880"/>
    <w:rsid w:val="00022E7B"/>
    <w:rsid w:val="00023E75"/>
    <w:rsid w:val="00025AB3"/>
    <w:rsid w:val="00026C96"/>
    <w:rsid w:val="00027001"/>
    <w:rsid w:val="000277D3"/>
    <w:rsid w:val="000304B6"/>
    <w:rsid w:val="0003118B"/>
    <w:rsid w:val="00031D16"/>
    <w:rsid w:val="0003214C"/>
    <w:rsid w:val="00032338"/>
    <w:rsid w:val="00032807"/>
    <w:rsid w:val="00032DCE"/>
    <w:rsid w:val="00032E38"/>
    <w:rsid w:val="00033AE4"/>
    <w:rsid w:val="000343E3"/>
    <w:rsid w:val="0003459E"/>
    <w:rsid w:val="00034E56"/>
    <w:rsid w:val="00035244"/>
    <w:rsid w:val="0003578D"/>
    <w:rsid w:val="00035DC4"/>
    <w:rsid w:val="00036042"/>
    <w:rsid w:val="000369E5"/>
    <w:rsid w:val="00036A51"/>
    <w:rsid w:val="00036DF7"/>
    <w:rsid w:val="000408CE"/>
    <w:rsid w:val="0004090B"/>
    <w:rsid w:val="00040B39"/>
    <w:rsid w:val="00041089"/>
    <w:rsid w:val="00041237"/>
    <w:rsid w:val="00041633"/>
    <w:rsid w:val="0004265D"/>
    <w:rsid w:val="00042E8B"/>
    <w:rsid w:val="00043427"/>
    <w:rsid w:val="00043529"/>
    <w:rsid w:val="00043983"/>
    <w:rsid w:val="0004409F"/>
    <w:rsid w:val="0004439F"/>
    <w:rsid w:val="00045946"/>
    <w:rsid w:val="000463FD"/>
    <w:rsid w:val="00046C80"/>
    <w:rsid w:val="00047DBD"/>
    <w:rsid w:val="000501B2"/>
    <w:rsid w:val="000509E8"/>
    <w:rsid w:val="000510B2"/>
    <w:rsid w:val="0005241A"/>
    <w:rsid w:val="00053049"/>
    <w:rsid w:val="000537C5"/>
    <w:rsid w:val="00053F44"/>
    <w:rsid w:val="00054699"/>
    <w:rsid w:val="00055029"/>
    <w:rsid w:val="00055696"/>
    <w:rsid w:val="00057078"/>
    <w:rsid w:val="000605C8"/>
    <w:rsid w:val="00060740"/>
    <w:rsid w:val="00060E6C"/>
    <w:rsid w:val="00060EF9"/>
    <w:rsid w:val="0006150C"/>
    <w:rsid w:val="00061ECD"/>
    <w:rsid w:val="00062355"/>
    <w:rsid w:val="00063DD9"/>
    <w:rsid w:val="0006402D"/>
    <w:rsid w:val="00065CA6"/>
    <w:rsid w:val="000663C5"/>
    <w:rsid w:val="000704B6"/>
    <w:rsid w:val="00070B54"/>
    <w:rsid w:val="00070C5A"/>
    <w:rsid w:val="00071463"/>
    <w:rsid w:val="00071B7A"/>
    <w:rsid w:val="00071BC4"/>
    <w:rsid w:val="00071D0B"/>
    <w:rsid w:val="00072A44"/>
    <w:rsid w:val="00072CF4"/>
    <w:rsid w:val="00074237"/>
    <w:rsid w:val="00075C7E"/>
    <w:rsid w:val="00076012"/>
    <w:rsid w:val="00076A59"/>
    <w:rsid w:val="00076C12"/>
    <w:rsid w:val="000775C2"/>
    <w:rsid w:val="00077C66"/>
    <w:rsid w:val="00077DB2"/>
    <w:rsid w:val="00080300"/>
    <w:rsid w:val="00080968"/>
    <w:rsid w:val="000809E3"/>
    <w:rsid w:val="00080D30"/>
    <w:rsid w:val="0008134F"/>
    <w:rsid w:val="00081A97"/>
    <w:rsid w:val="00081B27"/>
    <w:rsid w:val="00082405"/>
    <w:rsid w:val="000828E2"/>
    <w:rsid w:val="000829D5"/>
    <w:rsid w:val="00082A4E"/>
    <w:rsid w:val="00082D58"/>
    <w:rsid w:val="0008337F"/>
    <w:rsid w:val="00083797"/>
    <w:rsid w:val="00084AC0"/>
    <w:rsid w:val="00085E75"/>
    <w:rsid w:val="00086C7D"/>
    <w:rsid w:val="0008761D"/>
    <w:rsid w:val="00087960"/>
    <w:rsid w:val="00090336"/>
    <w:rsid w:val="000908E5"/>
    <w:rsid w:val="00090B20"/>
    <w:rsid w:val="00090EA5"/>
    <w:rsid w:val="00091051"/>
    <w:rsid w:val="00091DBB"/>
    <w:rsid w:val="000922FF"/>
    <w:rsid w:val="000925DB"/>
    <w:rsid w:val="00094A60"/>
    <w:rsid w:val="00094D57"/>
    <w:rsid w:val="000950AE"/>
    <w:rsid w:val="000955B0"/>
    <w:rsid w:val="00095E50"/>
    <w:rsid w:val="00096BD3"/>
    <w:rsid w:val="0009753A"/>
    <w:rsid w:val="00097D70"/>
    <w:rsid w:val="000A0F29"/>
    <w:rsid w:val="000A174D"/>
    <w:rsid w:val="000A18D4"/>
    <w:rsid w:val="000A29B0"/>
    <w:rsid w:val="000A2B69"/>
    <w:rsid w:val="000A2D8D"/>
    <w:rsid w:val="000A3004"/>
    <w:rsid w:val="000A365E"/>
    <w:rsid w:val="000A37CF"/>
    <w:rsid w:val="000A53BD"/>
    <w:rsid w:val="000A6192"/>
    <w:rsid w:val="000A642A"/>
    <w:rsid w:val="000A7052"/>
    <w:rsid w:val="000A7BD8"/>
    <w:rsid w:val="000A7ED0"/>
    <w:rsid w:val="000B01B1"/>
    <w:rsid w:val="000B0226"/>
    <w:rsid w:val="000B02A9"/>
    <w:rsid w:val="000B160D"/>
    <w:rsid w:val="000B17E5"/>
    <w:rsid w:val="000B2261"/>
    <w:rsid w:val="000B3156"/>
    <w:rsid w:val="000B3A97"/>
    <w:rsid w:val="000B3FE5"/>
    <w:rsid w:val="000B4B17"/>
    <w:rsid w:val="000B4E3C"/>
    <w:rsid w:val="000B5562"/>
    <w:rsid w:val="000B66E2"/>
    <w:rsid w:val="000B6D37"/>
    <w:rsid w:val="000B7548"/>
    <w:rsid w:val="000B7E47"/>
    <w:rsid w:val="000C0212"/>
    <w:rsid w:val="000C0233"/>
    <w:rsid w:val="000C2D8A"/>
    <w:rsid w:val="000C31CE"/>
    <w:rsid w:val="000C33B3"/>
    <w:rsid w:val="000C3A5B"/>
    <w:rsid w:val="000C3C58"/>
    <w:rsid w:val="000C4007"/>
    <w:rsid w:val="000C4288"/>
    <w:rsid w:val="000C4B32"/>
    <w:rsid w:val="000C5AA4"/>
    <w:rsid w:val="000C7673"/>
    <w:rsid w:val="000C76E7"/>
    <w:rsid w:val="000D105A"/>
    <w:rsid w:val="000D10CA"/>
    <w:rsid w:val="000D1332"/>
    <w:rsid w:val="000D325D"/>
    <w:rsid w:val="000D35D7"/>
    <w:rsid w:val="000D3AD8"/>
    <w:rsid w:val="000D476F"/>
    <w:rsid w:val="000D4A3B"/>
    <w:rsid w:val="000D50FC"/>
    <w:rsid w:val="000D5C44"/>
    <w:rsid w:val="000D64FC"/>
    <w:rsid w:val="000D6C7D"/>
    <w:rsid w:val="000D71D3"/>
    <w:rsid w:val="000D7381"/>
    <w:rsid w:val="000D7877"/>
    <w:rsid w:val="000E090B"/>
    <w:rsid w:val="000E106B"/>
    <w:rsid w:val="000E14CC"/>
    <w:rsid w:val="000E271E"/>
    <w:rsid w:val="000E3478"/>
    <w:rsid w:val="000E383E"/>
    <w:rsid w:val="000E38CD"/>
    <w:rsid w:val="000E3B04"/>
    <w:rsid w:val="000E4109"/>
    <w:rsid w:val="000E4CF6"/>
    <w:rsid w:val="000E6160"/>
    <w:rsid w:val="000E63B2"/>
    <w:rsid w:val="000E68BA"/>
    <w:rsid w:val="000E6A1E"/>
    <w:rsid w:val="000E6C0F"/>
    <w:rsid w:val="000E6E17"/>
    <w:rsid w:val="000F0ACA"/>
    <w:rsid w:val="000F0C19"/>
    <w:rsid w:val="000F2F54"/>
    <w:rsid w:val="000F3271"/>
    <w:rsid w:val="000F3B4B"/>
    <w:rsid w:val="000F4184"/>
    <w:rsid w:val="000F5330"/>
    <w:rsid w:val="000F61DC"/>
    <w:rsid w:val="000F7873"/>
    <w:rsid w:val="00100550"/>
    <w:rsid w:val="001007B5"/>
    <w:rsid w:val="00101DC1"/>
    <w:rsid w:val="0010206A"/>
    <w:rsid w:val="00102D4A"/>
    <w:rsid w:val="00102FF0"/>
    <w:rsid w:val="0010490F"/>
    <w:rsid w:val="001049FF"/>
    <w:rsid w:val="00104DF7"/>
    <w:rsid w:val="0010530C"/>
    <w:rsid w:val="00105CA3"/>
    <w:rsid w:val="001077B7"/>
    <w:rsid w:val="00110FCD"/>
    <w:rsid w:val="00111283"/>
    <w:rsid w:val="001117EB"/>
    <w:rsid w:val="0011267E"/>
    <w:rsid w:val="00112E4B"/>
    <w:rsid w:val="00114221"/>
    <w:rsid w:val="00114A53"/>
    <w:rsid w:val="00116436"/>
    <w:rsid w:val="001168D0"/>
    <w:rsid w:val="00117C9D"/>
    <w:rsid w:val="001210E7"/>
    <w:rsid w:val="00121579"/>
    <w:rsid w:val="00121C7F"/>
    <w:rsid w:val="00123D8B"/>
    <w:rsid w:val="00124DE4"/>
    <w:rsid w:val="00125D3F"/>
    <w:rsid w:val="00126ABA"/>
    <w:rsid w:val="00126D1D"/>
    <w:rsid w:val="00127C09"/>
    <w:rsid w:val="00127C88"/>
    <w:rsid w:val="00130C54"/>
    <w:rsid w:val="001314F8"/>
    <w:rsid w:val="001315FD"/>
    <w:rsid w:val="0013175D"/>
    <w:rsid w:val="00131ABD"/>
    <w:rsid w:val="00132502"/>
    <w:rsid w:val="001327B5"/>
    <w:rsid w:val="00133536"/>
    <w:rsid w:val="0013371D"/>
    <w:rsid w:val="00133C2D"/>
    <w:rsid w:val="00133ED2"/>
    <w:rsid w:val="0013468F"/>
    <w:rsid w:val="0013478D"/>
    <w:rsid w:val="001356DE"/>
    <w:rsid w:val="00135B96"/>
    <w:rsid w:val="00135C65"/>
    <w:rsid w:val="0013698B"/>
    <w:rsid w:val="00136F02"/>
    <w:rsid w:val="00136FFF"/>
    <w:rsid w:val="001375CD"/>
    <w:rsid w:val="001400BF"/>
    <w:rsid w:val="00140F3B"/>
    <w:rsid w:val="00142CAD"/>
    <w:rsid w:val="00143B76"/>
    <w:rsid w:val="00143FE0"/>
    <w:rsid w:val="001444AB"/>
    <w:rsid w:val="00144B2D"/>
    <w:rsid w:val="0014572E"/>
    <w:rsid w:val="00146709"/>
    <w:rsid w:val="00147508"/>
    <w:rsid w:val="00147797"/>
    <w:rsid w:val="001478CA"/>
    <w:rsid w:val="0015015D"/>
    <w:rsid w:val="0015036A"/>
    <w:rsid w:val="00150514"/>
    <w:rsid w:val="0015098C"/>
    <w:rsid w:val="00152485"/>
    <w:rsid w:val="001529F1"/>
    <w:rsid w:val="001541C2"/>
    <w:rsid w:val="001544C9"/>
    <w:rsid w:val="001544D4"/>
    <w:rsid w:val="001544F3"/>
    <w:rsid w:val="00154DF9"/>
    <w:rsid w:val="0015570E"/>
    <w:rsid w:val="001558C7"/>
    <w:rsid w:val="00156B73"/>
    <w:rsid w:val="00157AF1"/>
    <w:rsid w:val="0016001A"/>
    <w:rsid w:val="001602BE"/>
    <w:rsid w:val="0016048C"/>
    <w:rsid w:val="00160603"/>
    <w:rsid w:val="001609F6"/>
    <w:rsid w:val="00160FA4"/>
    <w:rsid w:val="001616DB"/>
    <w:rsid w:val="00162543"/>
    <w:rsid w:val="0016416B"/>
    <w:rsid w:val="00164555"/>
    <w:rsid w:val="001650DD"/>
    <w:rsid w:val="001654C0"/>
    <w:rsid w:val="001660DB"/>
    <w:rsid w:val="001666BF"/>
    <w:rsid w:val="00166F00"/>
    <w:rsid w:val="001671CE"/>
    <w:rsid w:val="00167EFD"/>
    <w:rsid w:val="001706B3"/>
    <w:rsid w:val="00171382"/>
    <w:rsid w:val="00171D1B"/>
    <w:rsid w:val="0017239C"/>
    <w:rsid w:val="00172439"/>
    <w:rsid w:val="00174B38"/>
    <w:rsid w:val="0017672C"/>
    <w:rsid w:val="0018044C"/>
    <w:rsid w:val="00180DC9"/>
    <w:rsid w:val="0018199D"/>
    <w:rsid w:val="00181B5E"/>
    <w:rsid w:val="00183DD4"/>
    <w:rsid w:val="00185015"/>
    <w:rsid w:val="0018540D"/>
    <w:rsid w:val="001856DB"/>
    <w:rsid w:val="00186E9F"/>
    <w:rsid w:val="001877D0"/>
    <w:rsid w:val="00187E0B"/>
    <w:rsid w:val="00187E9B"/>
    <w:rsid w:val="0019069C"/>
    <w:rsid w:val="0019085F"/>
    <w:rsid w:val="00190A45"/>
    <w:rsid w:val="00190B59"/>
    <w:rsid w:val="00192392"/>
    <w:rsid w:val="00192428"/>
    <w:rsid w:val="00193C9A"/>
    <w:rsid w:val="00193D8E"/>
    <w:rsid w:val="001940A9"/>
    <w:rsid w:val="0019419D"/>
    <w:rsid w:val="00194B34"/>
    <w:rsid w:val="00194BAA"/>
    <w:rsid w:val="00195D17"/>
    <w:rsid w:val="00196060"/>
    <w:rsid w:val="001966A4"/>
    <w:rsid w:val="00196742"/>
    <w:rsid w:val="00196FB5"/>
    <w:rsid w:val="00197885"/>
    <w:rsid w:val="001979CF"/>
    <w:rsid w:val="00197C05"/>
    <w:rsid w:val="001A00CA"/>
    <w:rsid w:val="001A0462"/>
    <w:rsid w:val="001A0BF9"/>
    <w:rsid w:val="001A1B4D"/>
    <w:rsid w:val="001A2CBA"/>
    <w:rsid w:val="001A4EED"/>
    <w:rsid w:val="001A5D96"/>
    <w:rsid w:val="001A6D68"/>
    <w:rsid w:val="001A7A9A"/>
    <w:rsid w:val="001B0BA2"/>
    <w:rsid w:val="001B18DB"/>
    <w:rsid w:val="001B1EEE"/>
    <w:rsid w:val="001B2FFA"/>
    <w:rsid w:val="001B3CBC"/>
    <w:rsid w:val="001B3E88"/>
    <w:rsid w:val="001B4365"/>
    <w:rsid w:val="001B4F00"/>
    <w:rsid w:val="001B5217"/>
    <w:rsid w:val="001B7ECC"/>
    <w:rsid w:val="001C0ABD"/>
    <w:rsid w:val="001C1FD6"/>
    <w:rsid w:val="001C26B6"/>
    <w:rsid w:val="001C4317"/>
    <w:rsid w:val="001C4CA4"/>
    <w:rsid w:val="001C4F35"/>
    <w:rsid w:val="001C6192"/>
    <w:rsid w:val="001C67FD"/>
    <w:rsid w:val="001C7905"/>
    <w:rsid w:val="001C7D1B"/>
    <w:rsid w:val="001C7F04"/>
    <w:rsid w:val="001D0A3F"/>
    <w:rsid w:val="001D1193"/>
    <w:rsid w:val="001D1579"/>
    <w:rsid w:val="001D1741"/>
    <w:rsid w:val="001D1852"/>
    <w:rsid w:val="001D30B0"/>
    <w:rsid w:val="001D329E"/>
    <w:rsid w:val="001D337F"/>
    <w:rsid w:val="001D340C"/>
    <w:rsid w:val="001D38D0"/>
    <w:rsid w:val="001D3E7A"/>
    <w:rsid w:val="001D4796"/>
    <w:rsid w:val="001D4B2B"/>
    <w:rsid w:val="001D5585"/>
    <w:rsid w:val="001D6380"/>
    <w:rsid w:val="001D6A25"/>
    <w:rsid w:val="001D6A51"/>
    <w:rsid w:val="001D7A44"/>
    <w:rsid w:val="001D7EA5"/>
    <w:rsid w:val="001E03E0"/>
    <w:rsid w:val="001E05BB"/>
    <w:rsid w:val="001E0C53"/>
    <w:rsid w:val="001E0E00"/>
    <w:rsid w:val="001E1727"/>
    <w:rsid w:val="001E18AA"/>
    <w:rsid w:val="001E3FFD"/>
    <w:rsid w:val="001E5999"/>
    <w:rsid w:val="001E5C25"/>
    <w:rsid w:val="001E61C7"/>
    <w:rsid w:val="001E658E"/>
    <w:rsid w:val="001E6662"/>
    <w:rsid w:val="001F0373"/>
    <w:rsid w:val="001F04C9"/>
    <w:rsid w:val="001F083F"/>
    <w:rsid w:val="001F0CBB"/>
    <w:rsid w:val="001F183D"/>
    <w:rsid w:val="001F1A2E"/>
    <w:rsid w:val="001F24A2"/>
    <w:rsid w:val="001F3631"/>
    <w:rsid w:val="001F3E17"/>
    <w:rsid w:val="001F3E58"/>
    <w:rsid w:val="001F55AA"/>
    <w:rsid w:val="001F6194"/>
    <w:rsid w:val="001F72AD"/>
    <w:rsid w:val="00200DF7"/>
    <w:rsid w:val="00201EB6"/>
    <w:rsid w:val="00202EDB"/>
    <w:rsid w:val="00203B96"/>
    <w:rsid w:val="00204164"/>
    <w:rsid w:val="002041C2"/>
    <w:rsid w:val="00204B9F"/>
    <w:rsid w:val="00204D82"/>
    <w:rsid w:val="002058BF"/>
    <w:rsid w:val="002064E8"/>
    <w:rsid w:val="0020669C"/>
    <w:rsid w:val="002074A9"/>
    <w:rsid w:val="002074F9"/>
    <w:rsid w:val="0020767B"/>
    <w:rsid w:val="00207DB3"/>
    <w:rsid w:val="0021035F"/>
    <w:rsid w:val="002105E9"/>
    <w:rsid w:val="00210A8D"/>
    <w:rsid w:val="00210A8E"/>
    <w:rsid w:val="00210D48"/>
    <w:rsid w:val="002111B3"/>
    <w:rsid w:val="00211292"/>
    <w:rsid w:val="00211763"/>
    <w:rsid w:val="00212C0D"/>
    <w:rsid w:val="00212D55"/>
    <w:rsid w:val="00213CA4"/>
    <w:rsid w:val="002154BF"/>
    <w:rsid w:val="00215835"/>
    <w:rsid w:val="002159D4"/>
    <w:rsid w:val="002163D2"/>
    <w:rsid w:val="002164A0"/>
    <w:rsid w:val="0022000F"/>
    <w:rsid w:val="00220262"/>
    <w:rsid w:val="002204B6"/>
    <w:rsid w:val="00221283"/>
    <w:rsid w:val="0022131C"/>
    <w:rsid w:val="002216CC"/>
    <w:rsid w:val="00221EC9"/>
    <w:rsid w:val="002224F0"/>
    <w:rsid w:val="0022254D"/>
    <w:rsid w:val="00222BFB"/>
    <w:rsid w:val="00223040"/>
    <w:rsid w:val="002230BD"/>
    <w:rsid w:val="00223650"/>
    <w:rsid w:val="00223A8B"/>
    <w:rsid w:val="00223AEC"/>
    <w:rsid w:val="00223B53"/>
    <w:rsid w:val="00223C6F"/>
    <w:rsid w:val="002243FB"/>
    <w:rsid w:val="00224D13"/>
    <w:rsid w:val="00225333"/>
    <w:rsid w:val="00225859"/>
    <w:rsid w:val="00226613"/>
    <w:rsid w:val="00230EE9"/>
    <w:rsid w:val="00231C03"/>
    <w:rsid w:val="00232451"/>
    <w:rsid w:val="002330E6"/>
    <w:rsid w:val="0023364A"/>
    <w:rsid w:val="00233794"/>
    <w:rsid w:val="00233F98"/>
    <w:rsid w:val="00234F6D"/>
    <w:rsid w:val="00234FB7"/>
    <w:rsid w:val="00235181"/>
    <w:rsid w:val="002360AA"/>
    <w:rsid w:val="002360B9"/>
    <w:rsid w:val="00237E7C"/>
    <w:rsid w:val="00237EC9"/>
    <w:rsid w:val="0024014B"/>
    <w:rsid w:val="00240188"/>
    <w:rsid w:val="0024063B"/>
    <w:rsid w:val="0024091C"/>
    <w:rsid w:val="0024097D"/>
    <w:rsid w:val="002418E0"/>
    <w:rsid w:val="002422C1"/>
    <w:rsid w:val="00243954"/>
    <w:rsid w:val="00243E25"/>
    <w:rsid w:val="00244D34"/>
    <w:rsid w:val="00245140"/>
    <w:rsid w:val="002452CF"/>
    <w:rsid w:val="00245446"/>
    <w:rsid w:val="0024554A"/>
    <w:rsid w:val="0024571D"/>
    <w:rsid w:val="002459F1"/>
    <w:rsid w:val="00246792"/>
    <w:rsid w:val="0024686A"/>
    <w:rsid w:val="00246DA9"/>
    <w:rsid w:val="00250631"/>
    <w:rsid w:val="002508F6"/>
    <w:rsid w:val="00250B34"/>
    <w:rsid w:val="002520C2"/>
    <w:rsid w:val="002541D9"/>
    <w:rsid w:val="002546CC"/>
    <w:rsid w:val="00256AF9"/>
    <w:rsid w:val="0025773E"/>
    <w:rsid w:val="0026000F"/>
    <w:rsid w:val="0026032E"/>
    <w:rsid w:val="00261AB9"/>
    <w:rsid w:val="00261D04"/>
    <w:rsid w:val="00261F1A"/>
    <w:rsid w:val="00262331"/>
    <w:rsid w:val="00263EA6"/>
    <w:rsid w:val="00265540"/>
    <w:rsid w:val="0026575F"/>
    <w:rsid w:val="0026595B"/>
    <w:rsid w:val="00265E1F"/>
    <w:rsid w:val="00265EB6"/>
    <w:rsid w:val="00266DD2"/>
    <w:rsid w:val="002672EC"/>
    <w:rsid w:val="00267E11"/>
    <w:rsid w:val="00270CAB"/>
    <w:rsid w:val="0027168C"/>
    <w:rsid w:val="0027178A"/>
    <w:rsid w:val="00271C24"/>
    <w:rsid w:val="00273327"/>
    <w:rsid w:val="00273BAE"/>
    <w:rsid w:val="0027431F"/>
    <w:rsid w:val="0027434C"/>
    <w:rsid w:val="00274745"/>
    <w:rsid w:val="00274A69"/>
    <w:rsid w:val="00275230"/>
    <w:rsid w:val="00275E67"/>
    <w:rsid w:val="002760C3"/>
    <w:rsid w:val="002762DF"/>
    <w:rsid w:val="00276BF5"/>
    <w:rsid w:val="00277476"/>
    <w:rsid w:val="002803EB"/>
    <w:rsid w:val="00280D2B"/>
    <w:rsid w:val="002811D3"/>
    <w:rsid w:val="00281425"/>
    <w:rsid w:val="00281782"/>
    <w:rsid w:val="00282AF4"/>
    <w:rsid w:val="002839C3"/>
    <w:rsid w:val="0028414A"/>
    <w:rsid w:val="00285474"/>
    <w:rsid w:val="002861E0"/>
    <w:rsid w:val="0028634C"/>
    <w:rsid w:val="002867C9"/>
    <w:rsid w:val="00286B73"/>
    <w:rsid w:val="00287A56"/>
    <w:rsid w:val="0029002C"/>
    <w:rsid w:val="00290F8A"/>
    <w:rsid w:val="00292EA0"/>
    <w:rsid w:val="00293858"/>
    <w:rsid w:val="00293BA0"/>
    <w:rsid w:val="00295175"/>
    <w:rsid w:val="0029585F"/>
    <w:rsid w:val="0029590F"/>
    <w:rsid w:val="00295DB8"/>
    <w:rsid w:val="002970CD"/>
    <w:rsid w:val="002971AA"/>
    <w:rsid w:val="00297846"/>
    <w:rsid w:val="002A0ED6"/>
    <w:rsid w:val="002A16D4"/>
    <w:rsid w:val="002A2440"/>
    <w:rsid w:val="002A2675"/>
    <w:rsid w:val="002A27B9"/>
    <w:rsid w:val="002A2D93"/>
    <w:rsid w:val="002A3187"/>
    <w:rsid w:val="002A61A9"/>
    <w:rsid w:val="002A6EA7"/>
    <w:rsid w:val="002A7BD8"/>
    <w:rsid w:val="002A7EC4"/>
    <w:rsid w:val="002B0204"/>
    <w:rsid w:val="002B037B"/>
    <w:rsid w:val="002B2D95"/>
    <w:rsid w:val="002B3483"/>
    <w:rsid w:val="002B57B8"/>
    <w:rsid w:val="002B6442"/>
    <w:rsid w:val="002B6547"/>
    <w:rsid w:val="002B6799"/>
    <w:rsid w:val="002B6FBE"/>
    <w:rsid w:val="002B7915"/>
    <w:rsid w:val="002B7D7D"/>
    <w:rsid w:val="002C0169"/>
    <w:rsid w:val="002C0375"/>
    <w:rsid w:val="002C13A9"/>
    <w:rsid w:val="002C181B"/>
    <w:rsid w:val="002C1846"/>
    <w:rsid w:val="002C21FB"/>
    <w:rsid w:val="002C35E0"/>
    <w:rsid w:val="002C363C"/>
    <w:rsid w:val="002C3B2A"/>
    <w:rsid w:val="002C4475"/>
    <w:rsid w:val="002C47E4"/>
    <w:rsid w:val="002C4850"/>
    <w:rsid w:val="002C4D0A"/>
    <w:rsid w:val="002C522A"/>
    <w:rsid w:val="002C569F"/>
    <w:rsid w:val="002C56AC"/>
    <w:rsid w:val="002C6294"/>
    <w:rsid w:val="002C6330"/>
    <w:rsid w:val="002C6D8A"/>
    <w:rsid w:val="002C6F98"/>
    <w:rsid w:val="002C7155"/>
    <w:rsid w:val="002C73E3"/>
    <w:rsid w:val="002C73F0"/>
    <w:rsid w:val="002D068D"/>
    <w:rsid w:val="002D0C06"/>
    <w:rsid w:val="002D0DB5"/>
    <w:rsid w:val="002D1E12"/>
    <w:rsid w:val="002D3093"/>
    <w:rsid w:val="002D32E3"/>
    <w:rsid w:val="002D3509"/>
    <w:rsid w:val="002D38E2"/>
    <w:rsid w:val="002D4C86"/>
    <w:rsid w:val="002D59B4"/>
    <w:rsid w:val="002D6C79"/>
    <w:rsid w:val="002D7664"/>
    <w:rsid w:val="002D7929"/>
    <w:rsid w:val="002D7C1A"/>
    <w:rsid w:val="002E07D5"/>
    <w:rsid w:val="002E0B2B"/>
    <w:rsid w:val="002E0D2E"/>
    <w:rsid w:val="002E111C"/>
    <w:rsid w:val="002E154B"/>
    <w:rsid w:val="002E1B68"/>
    <w:rsid w:val="002E1B73"/>
    <w:rsid w:val="002E2129"/>
    <w:rsid w:val="002E268D"/>
    <w:rsid w:val="002E3260"/>
    <w:rsid w:val="002E367E"/>
    <w:rsid w:val="002E3F94"/>
    <w:rsid w:val="002E3FAA"/>
    <w:rsid w:val="002E3FDA"/>
    <w:rsid w:val="002E4765"/>
    <w:rsid w:val="002E5D01"/>
    <w:rsid w:val="002E7AFC"/>
    <w:rsid w:val="002F00EF"/>
    <w:rsid w:val="002F0B51"/>
    <w:rsid w:val="002F0D18"/>
    <w:rsid w:val="002F1C73"/>
    <w:rsid w:val="002F2D02"/>
    <w:rsid w:val="002F2E2D"/>
    <w:rsid w:val="002F3A62"/>
    <w:rsid w:val="002F4755"/>
    <w:rsid w:val="002F59D8"/>
    <w:rsid w:val="002F773B"/>
    <w:rsid w:val="002F7E8D"/>
    <w:rsid w:val="002F7F21"/>
    <w:rsid w:val="00300187"/>
    <w:rsid w:val="00300273"/>
    <w:rsid w:val="00300AD2"/>
    <w:rsid w:val="003014E4"/>
    <w:rsid w:val="00302522"/>
    <w:rsid w:val="00302541"/>
    <w:rsid w:val="00302841"/>
    <w:rsid w:val="00302CBA"/>
    <w:rsid w:val="003034C8"/>
    <w:rsid w:val="003050C6"/>
    <w:rsid w:val="00305AFC"/>
    <w:rsid w:val="003060F3"/>
    <w:rsid w:val="003072E5"/>
    <w:rsid w:val="00307D67"/>
    <w:rsid w:val="003103F9"/>
    <w:rsid w:val="003108EF"/>
    <w:rsid w:val="00310F49"/>
    <w:rsid w:val="00311D7D"/>
    <w:rsid w:val="00311E8A"/>
    <w:rsid w:val="00313923"/>
    <w:rsid w:val="00314A77"/>
    <w:rsid w:val="003152E4"/>
    <w:rsid w:val="00315595"/>
    <w:rsid w:val="00316323"/>
    <w:rsid w:val="003175BE"/>
    <w:rsid w:val="00317B5A"/>
    <w:rsid w:val="003214A9"/>
    <w:rsid w:val="00322E81"/>
    <w:rsid w:val="00323AD6"/>
    <w:rsid w:val="00323AE6"/>
    <w:rsid w:val="00324AF7"/>
    <w:rsid w:val="003253A0"/>
    <w:rsid w:val="003253F4"/>
    <w:rsid w:val="00325CFB"/>
    <w:rsid w:val="003266B9"/>
    <w:rsid w:val="00326BFF"/>
    <w:rsid w:val="00326F7D"/>
    <w:rsid w:val="003276BE"/>
    <w:rsid w:val="003278C0"/>
    <w:rsid w:val="00327B1E"/>
    <w:rsid w:val="00327F12"/>
    <w:rsid w:val="003303D6"/>
    <w:rsid w:val="00330BDA"/>
    <w:rsid w:val="00330D2B"/>
    <w:rsid w:val="00330DCE"/>
    <w:rsid w:val="003328EB"/>
    <w:rsid w:val="00335531"/>
    <w:rsid w:val="00336666"/>
    <w:rsid w:val="00336F79"/>
    <w:rsid w:val="0033786A"/>
    <w:rsid w:val="003403CD"/>
    <w:rsid w:val="00340CD0"/>
    <w:rsid w:val="00340EBC"/>
    <w:rsid w:val="0034152D"/>
    <w:rsid w:val="00341D63"/>
    <w:rsid w:val="00342007"/>
    <w:rsid w:val="003429FC"/>
    <w:rsid w:val="00344A07"/>
    <w:rsid w:val="00344C0B"/>
    <w:rsid w:val="00345700"/>
    <w:rsid w:val="00347282"/>
    <w:rsid w:val="00347941"/>
    <w:rsid w:val="00347AAF"/>
    <w:rsid w:val="0035052A"/>
    <w:rsid w:val="00351D60"/>
    <w:rsid w:val="00351F5A"/>
    <w:rsid w:val="003520B0"/>
    <w:rsid w:val="00352817"/>
    <w:rsid w:val="00354ABE"/>
    <w:rsid w:val="00355179"/>
    <w:rsid w:val="00356DA1"/>
    <w:rsid w:val="00356F12"/>
    <w:rsid w:val="00357069"/>
    <w:rsid w:val="003577BF"/>
    <w:rsid w:val="00360104"/>
    <w:rsid w:val="00360D49"/>
    <w:rsid w:val="00361D6E"/>
    <w:rsid w:val="00361EA9"/>
    <w:rsid w:val="003621B5"/>
    <w:rsid w:val="00362D84"/>
    <w:rsid w:val="003636BB"/>
    <w:rsid w:val="0036436B"/>
    <w:rsid w:val="003649AB"/>
    <w:rsid w:val="00365AED"/>
    <w:rsid w:val="0036602A"/>
    <w:rsid w:val="00366B81"/>
    <w:rsid w:val="00366BFB"/>
    <w:rsid w:val="00366C2D"/>
    <w:rsid w:val="00366C40"/>
    <w:rsid w:val="003670B6"/>
    <w:rsid w:val="003671DA"/>
    <w:rsid w:val="00367FFC"/>
    <w:rsid w:val="003703AD"/>
    <w:rsid w:val="00370A65"/>
    <w:rsid w:val="00370F95"/>
    <w:rsid w:val="003717A3"/>
    <w:rsid w:val="003727B1"/>
    <w:rsid w:val="00372EA2"/>
    <w:rsid w:val="0037301A"/>
    <w:rsid w:val="00374051"/>
    <w:rsid w:val="00374E11"/>
    <w:rsid w:val="00374FAB"/>
    <w:rsid w:val="00377118"/>
    <w:rsid w:val="00377557"/>
    <w:rsid w:val="0037756F"/>
    <w:rsid w:val="003779F6"/>
    <w:rsid w:val="0038049D"/>
    <w:rsid w:val="00380BF7"/>
    <w:rsid w:val="00380E71"/>
    <w:rsid w:val="0038217F"/>
    <w:rsid w:val="00382462"/>
    <w:rsid w:val="003833F0"/>
    <w:rsid w:val="00383CD2"/>
    <w:rsid w:val="00386DA5"/>
    <w:rsid w:val="00387780"/>
    <w:rsid w:val="00387B03"/>
    <w:rsid w:val="00390F03"/>
    <w:rsid w:val="003911D4"/>
    <w:rsid w:val="003912EF"/>
    <w:rsid w:val="0039131C"/>
    <w:rsid w:val="003920D0"/>
    <w:rsid w:val="0039214F"/>
    <w:rsid w:val="003931D1"/>
    <w:rsid w:val="0039334C"/>
    <w:rsid w:val="00393803"/>
    <w:rsid w:val="00393848"/>
    <w:rsid w:val="00393E5F"/>
    <w:rsid w:val="00394C85"/>
    <w:rsid w:val="00395F42"/>
    <w:rsid w:val="0039653A"/>
    <w:rsid w:val="00397916"/>
    <w:rsid w:val="003A0D3C"/>
    <w:rsid w:val="003A113D"/>
    <w:rsid w:val="003A23CB"/>
    <w:rsid w:val="003A2535"/>
    <w:rsid w:val="003A25B8"/>
    <w:rsid w:val="003A27D1"/>
    <w:rsid w:val="003A416F"/>
    <w:rsid w:val="003A529B"/>
    <w:rsid w:val="003A52FB"/>
    <w:rsid w:val="003A5910"/>
    <w:rsid w:val="003A60F1"/>
    <w:rsid w:val="003A68D4"/>
    <w:rsid w:val="003A69C5"/>
    <w:rsid w:val="003A7074"/>
    <w:rsid w:val="003A7DCB"/>
    <w:rsid w:val="003B0354"/>
    <w:rsid w:val="003B0557"/>
    <w:rsid w:val="003B0BE9"/>
    <w:rsid w:val="003B0E6E"/>
    <w:rsid w:val="003B1410"/>
    <w:rsid w:val="003B1DDE"/>
    <w:rsid w:val="003B1F32"/>
    <w:rsid w:val="003B216A"/>
    <w:rsid w:val="003B386B"/>
    <w:rsid w:val="003B4203"/>
    <w:rsid w:val="003B42CD"/>
    <w:rsid w:val="003B5656"/>
    <w:rsid w:val="003B7595"/>
    <w:rsid w:val="003B75B9"/>
    <w:rsid w:val="003B7642"/>
    <w:rsid w:val="003B777F"/>
    <w:rsid w:val="003C0155"/>
    <w:rsid w:val="003C239C"/>
    <w:rsid w:val="003C23A9"/>
    <w:rsid w:val="003C2594"/>
    <w:rsid w:val="003C25B5"/>
    <w:rsid w:val="003C45C2"/>
    <w:rsid w:val="003C5907"/>
    <w:rsid w:val="003C5CCD"/>
    <w:rsid w:val="003C71F0"/>
    <w:rsid w:val="003D0767"/>
    <w:rsid w:val="003D0F07"/>
    <w:rsid w:val="003D124A"/>
    <w:rsid w:val="003D1D69"/>
    <w:rsid w:val="003D46EE"/>
    <w:rsid w:val="003D486D"/>
    <w:rsid w:val="003D4D3D"/>
    <w:rsid w:val="003D50E1"/>
    <w:rsid w:val="003D6285"/>
    <w:rsid w:val="003D6552"/>
    <w:rsid w:val="003D6773"/>
    <w:rsid w:val="003D689E"/>
    <w:rsid w:val="003E0104"/>
    <w:rsid w:val="003E16D3"/>
    <w:rsid w:val="003E1E54"/>
    <w:rsid w:val="003E217D"/>
    <w:rsid w:val="003E231D"/>
    <w:rsid w:val="003E2CE9"/>
    <w:rsid w:val="003E344F"/>
    <w:rsid w:val="003E34BE"/>
    <w:rsid w:val="003E35EC"/>
    <w:rsid w:val="003E3878"/>
    <w:rsid w:val="003E4421"/>
    <w:rsid w:val="003E44C2"/>
    <w:rsid w:val="003E46F5"/>
    <w:rsid w:val="003E4B5F"/>
    <w:rsid w:val="003E554D"/>
    <w:rsid w:val="003E5A98"/>
    <w:rsid w:val="003E67F3"/>
    <w:rsid w:val="003E6E87"/>
    <w:rsid w:val="003F061C"/>
    <w:rsid w:val="003F0AC4"/>
    <w:rsid w:val="003F0EF7"/>
    <w:rsid w:val="003F1787"/>
    <w:rsid w:val="003F17B7"/>
    <w:rsid w:val="003F1B20"/>
    <w:rsid w:val="003F231D"/>
    <w:rsid w:val="003F2879"/>
    <w:rsid w:val="003F3002"/>
    <w:rsid w:val="003F33CE"/>
    <w:rsid w:val="003F531E"/>
    <w:rsid w:val="003F569A"/>
    <w:rsid w:val="003F57E8"/>
    <w:rsid w:val="003F5A44"/>
    <w:rsid w:val="003F60CB"/>
    <w:rsid w:val="003F63D2"/>
    <w:rsid w:val="003F6551"/>
    <w:rsid w:val="003F7A26"/>
    <w:rsid w:val="00400150"/>
    <w:rsid w:val="00400330"/>
    <w:rsid w:val="00401E47"/>
    <w:rsid w:val="00402907"/>
    <w:rsid w:val="004030D9"/>
    <w:rsid w:val="0040312B"/>
    <w:rsid w:val="00403179"/>
    <w:rsid w:val="004035E0"/>
    <w:rsid w:val="00403CAE"/>
    <w:rsid w:val="0040507D"/>
    <w:rsid w:val="00406E1B"/>
    <w:rsid w:val="00407B3D"/>
    <w:rsid w:val="00410021"/>
    <w:rsid w:val="00410272"/>
    <w:rsid w:val="004103A3"/>
    <w:rsid w:val="004103F9"/>
    <w:rsid w:val="00410791"/>
    <w:rsid w:val="0041186A"/>
    <w:rsid w:val="00411FF5"/>
    <w:rsid w:val="00412443"/>
    <w:rsid w:val="0041284A"/>
    <w:rsid w:val="00413B0D"/>
    <w:rsid w:val="00413DEF"/>
    <w:rsid w:val="00414C9A"/>
    <w:rsid w:val="00414FFB"/>
    <w:rsid w:val="0041546B"/>
    <w:rsid w:val="004159B9"/>
    <w:rsid w:val="00415EB8"/>
    <w:rsid w:val="0041605F"/>
    <w:rsid w:val="00416380"/>
    <w:rsid w:val="004174FD"/>
    <w:rsid w:val="00417508"/>
    <w:rsid w:val="004179E4"/>
    <w:rsid w:val="004204B5"/>
    <w:rsid w:val="00420B48"/>
    <w:rsid w:val="00422938"/>
    <w:rsid w:val="004237E8"/>
    <w:rsid w:val="00423B0E"/>
    <w:rsid w:val="00423B4A"/>
    <w:rsid w:val="00423CC8"/>
    <w:rsid w:val="00424D40"/>
    <w:rsid w:val="00424DF1"/>
    <w:rsid w:val="00424E05"/>
    <w:rsid w:val="00425CDB"/>
    <w:rsid w:val="00426527"/>
    <w:rsid w:val="00426A1C"/>
    <w:rsid w:val="00427F83"/>
    <w:rsid w:val="00432044"/>
    <w:rsid w:val="0043361F"/>
    <w:rsid w:val="00433BC1"/>
    <w:rsid w:val="0043488E"/>
    <w:rsid w:val="004348F5"/>
    <w:rsid w:val="00434AB9"/>
    <w:rsid w:val="0043621C"/>
    <w:rsid w:val="0043639E"/>
    <w:rsid w:val="00436CB1"/>
    <w:rsid w:val="004371C1"/>
    <w:rsid w:val="004404E0"/>
    <w:rsid w:val="00440A5B"/>
    <w:rsid w:val="00440E94"/>
    <w:rsid w:val="004414F9"/>
    <w:rsid w:val="004417D8"/>
    <w:rsid w:val="00442678"/>
    <w:rsid w:val="0044286A"/>
    <w:rsid w:val="004429E1"/>
    <w:rsid w:val="00443A36"/>
    <w:rsid w:val="00443A89"/>
    <w:rsid w:val="00443D2A"/>
    <w:rsid w:val="00443DFA"/>
    <w:rsid w:val="00444311"/>
    <w:rsid w:val="004452CE"/>
    <w:rsid w:val="00445413"/>
    <w:rsid w:val="00445DA0"/>
    <w:rsid w:val="00446C3B"/>
    <w:rsid w:val="00446CE0"/>
    <w:rsid w:val="00447744"/>
    <w:rsid w:val="0045069D"/>
    <w:rsid w:val="0045070A"/>
    <w:rsid w:val="00450A48"/>
    <w:rsid w:val="00450D21"/>
    <w:rsid w:val="00452237"/>
    <w:rsid w:val="0045252D"/>
    <w:rsid w:val="00452848"/>
    <w:rsid w:val="004534BE"/>
    <w:rsid w:val="00453956"/>
    <w:rsid w:val="00456691"/>
    <w:rsid w:val="00457284"/>
    <w:rsid w:val="00457A14"/>
    <w:rsid w:val="00457A3A"/>
    <w:rsid w:val="00457BB4"/>
    <w:rsid w:val="004600E2"/>
    <w:rsid w:val="00460768"/>
    <w:rsid w:val="004616CF"/>
    <w:rsid w:val="004621A3"/>
    <w:rsid w:val="0046265F"/>
    <w:rsid w:val="00463665"/>
    <w:rsid w:val="00463D25"/>
    <w:rsid w:val="004640F7"/>
    <w:rsid w:val="00464B82"/>
    <w:rsid w:val="0046548A"/>
    <w:rsid w:val="004654F0"/>
    <w:rsid w:val="00465A7F"/>
    <w:rsid w:val="00465B17"/>
    <w:rsid w:val="00465BB2"/>
    <w:rsid w:val="00466081"/>
    <w:rsid w:val="004662F4"/>
    <w:rsid w:val="0046655C"/>
    <w:rsid w:val="0047075A"/>
    <w:rsid w:val="004710DC"/>
    <w:rsid w:val="00472375"/>
    <w:rsid w:val="00472468"/>
    <w:rsid w:val="004738C7"/>
    <w:rsid w:val="00473D65"/>
    <w:rsid w:val="0047580D"/>
    <w:rsid w:val="00475910"/>
    <w:rsid w:val="00475C13"/>
    <w:rsid w:val="00477277"/>
    <w:rsid w:val="00477F83"/>
    <w:rsid w:val="004804CE"/>
    <w:rsid w:val="00480D0B"/>
    <w:rsid w:val="00480FDC"/>
    <w:rsid w:val="004814E8"/>
    <w:rsid w:val="0048150A"/>
    <w:rsid w:val="004824EC"/>
    <w:rsid w:val="00482653"/>
    <w:rsid w:val="00482BE5"/>
    <w:rsid w:val="00482ED4"/>
    <w:rsid w:val="0048319C"/>
    <w:rsid w:val="004831B9"/>
    <w:rsid w:val="00483454"/>
    <w:rsid w:val="00483833"/>
    <w:rsid w:val="00483DA2"/>
    <w:rsid w:val="00483FD4"/>
    <w:rsid w:val="004843AE"/>
    <w:rsid w:val="00486A4B"/>
    <w:rsid w:val="0048711F"/>
    <w:rsid w:val="00487BA4"/>
    <w:rsid w:val="00494AC6"/>
    <w:rsid w:val="0049527B"/>
    <w:rsid w:val="00495BBB"/>
    <w:rsid w:val="004961BB"/>
    <w:rsid w:val="00496683"/>
    <w:rsid w:val="0049674D"/>
    <w:rsid w:val="004967B5"/>
    <w:rsid w:val="00496C3E"/>
    <w:rsid w:val="0049719E"/>
    <w:rsid w:val="004A0407"/>
    <w:rsid w:val="004A0478"/>
    <w:rsid w:val="004A0B56"/>
    <w:rsid w:val="004A0BFD"/>
    <w:rsid w:val="004A144C"/>
    <w:rsid w:val="004A1BCA"/>
    <w:rsid w:val="004A205B"/>
    <w:rsid w:val="004A276C"/>
    <w:rsid w:val="004A2A6A"/>
    <w:rsid w:val="004A4295"/>
    <w:rsid w:val="004A42E9"/>
    <w:rsid w:val="004A4979"/>
    <w:rsid w:val="004A4CB3"/>
    <w:rsid w:val="004A4D04"/>
    <w:rsid w:val="004A508C"/>
    <w:rsid w:val="004A5670"/>
    <w:rsid w:val="004A6376"/>
    <w:rsid w:val="004A6A64"/>
    <w:rsid w:val="004A7BB6"/>
    <w:rsid w:val="004A7C12"/>
    <w:rsid w:val="004B1FF8"/>
    <w:rsid w:val="004B20A1"/>
    <w:rsid w:val="004B2295"/>
    <w:rsid w:val="004B2CA9"/>
    <w:rsid w:val="004B3AFF"/>
    <w:rsid w:val="004B3FE2"/>
    <w:rsid w:val="004B490F"/>
    <w:rsid w:val="004B69E0"/>
    <w:rsid w:val="004B6C7D"/>
    <w:rsid w:val="004C21B1"/>
    <w:rsid w:val="004C31D5"/>
    <w:rsid w:val="004C3241"/>
    <w:rsid w:val="004C4E62"/>
    <w:rsid w:val="004C5AEC"/>
    <w:rsid w:val="004C7402"/>
    <w:rsid w:val="004C78F0"/>
    <w:rsid w:val="004D03E8"/>
    <w:rsid w:val="004D0605"/>
    <w:rsid w:val="004D0C0E"/>
    <w:rsid w:val="004D2834"/>
    <w:rsid w:val="004D2D08"/>
    <w:rsid w:val="004D3C0B"/>
    <w:rsid w:val="004D4CE7"/>
    <w:rsid w:val="004D549D"/>
    <w:rsid w:val="004D62A5"/>
    <w:rsid w:val="004D633A"/>
    <w:rsid w:val="004D6733"/>
    <w:rsid w:val="004D79F3"/>
    <w:rsid w:val="004D7A1C"/>
    <w:rsid w:val="004E0DC9"/>
    <w:rsid w:val="004E17F7"/>
    <w:rsid w:val="004E1812"/>
    <w:rsid w:val="004E185C"/>
    <w:rsid w:val="004E1B17"/>
    <w:rsid w:val="004E20A6"/>
    <w:rsid w:val="004E29C9"/>
    <w:rsid w:val="004E3410"/>
    <w:rsid w:val="004E43E7"/>
    <w:rsid w:val="004E49E3"/>
    <w:rsid w:val="004E4EED"/>
    <w:rsid w:val="004E54D7"/>
    <w:rsid w:val="004E5F78"/>
    <w:rsid w:val="004E65B4"/>
    <w:rsid w:val="004E7D76"/>
    <w:rsid w:val="004F0B37"/>
    <w:rsid w:val="004F0EB2"/>
    <w:rsid w:val="004F20A3"/>
    <w:rsid w:val="004F21B7"/>
    <w:rsid w:val="004F2463"/>
    <w:rsid w:val="004F2CD8"/>
    <w:rsid w:val="004F4424"/>
    <w:rsid w:val="004F48D5"/>
    <w:rsid w:val="004F4FC9"/>
    <w:rsid w:val="004F54B7"/>
    <w:rsid w:val="004F5F44"/>
    <w:rsid w:val="004F705F"/>
    <w:rsid w:val="004F7E68"/>
    <w:rsid w:val="00500EC3"/>
    <w:rsid w:val="00501086"/>
    <w:rsid w:val="00501210"/>
    <w:rsid w:val="005015F1"/>
    <w:rsid w:val="00501F4A"/>
    <w:rsid w:val="00503078"/>
    <w:rsid w:val="00503327"/>
    <w:rsid w:val="0050392D"/>
    <w:rsid w:val="00503AED"/>
    <w:rsid w:val="0050422C"/>
    <w:rsid w:val="005042E1"/>
    <w:rsid w:val="005045A7"/>
    <w:rsid w:val="00505675"/>
    <w:rsid w:val="005061B7"/>
    <w:rsid w:val="0050665A"/>
    <w:rsid w:val="00507D21"/>
    <w:rsid w:val="00507E54"/>
    <w:rsid w:val="005110E4"/>
    <w:rsid w:val="0051155A"/>
    <w:rsid w:val="005116EF"/>
    <w:rsid w:val="00511CD1"/>
    <w:rsid w:val="00512B48"/>
    <w:rsid w:val="0051393E"/>
    <w:rsid w:val="00513C89"/>
    <w:rsid w:val="00513CF0"/>
    <w:rsid w:val="005148EC"/>
    <w:rsid w:val="00514F17"/>
    <w:rsid w:val="0051518A"/>
    <w:rsid w:val="005162E9"/>
    <w:rsid w:val="005166B7"/>
    <w:rsid w:val="00516C63"/>
    <w:rsid w:val="005174B2"/>
    <w:rsid w:val="00517C5C"/>
    <w:rsid w:val="005201AB"/>
    <w:rsid w:val="005220A6"/>
    <w:rsid w:val="0052239B"/>
    <w:rsid w:val="00522DE0"/>
    <w:rsid w:val="00524D09"/>
    <w:rsid w:val="00526B28"/>
    <w:rsid w:val="00526ECE"/>
    <w:rsid w:val="00527918"/>
    <w:rsid w:val="005310DA"/>
    <w:rsid w:val="00531580"/>
    <w:rsid w:val="005333BC"/>
    <w:rsid w:val="005344E8"/>
    <w:rsid w:val="00534968"/>
    <w:rsid w:val="00534BAB"/>
    <w:rsid w:val="005377A9"/>
    <w:rsid w:val="0053795B"/>
    <w:rsid w:val="0053797B"/>
    <w:rsid w:val="00537F51"/>
    <w:rsid w:val="0054229B"/>
    <w:rsid w:val="00542C8C"/>
    <w:rsid w:val="005431CE"/>
    <w:rsid w:val="00543DD2"/>
    <w:rsid w:val="005449B8"/>
    <w:rsid w:val="005452AF"/>
    <w:rsid w:val="005453F4"/>
    <w:rsid w:val="00545AB8"/>
    <w:rsid w:val="0054773B"/>
    <w:rsid w:val="00547F3C"/>
    <w:rsid w:val="0055094C"/>
    <w:rsid w:val="00550E3F"/>
    <w:rsid w:val="00550F41"/>
    <w:rsid w:val="00551844"/>
    <w:rsid w:val="0055290B"/>
    <w:rsid w:val="00552BF7"/>
    <w:rsid w:val="00552FB4"/>
    <w:rsid w:val="00553AD9"/>
    <w:rsid w:val="00553B8B"/>
    <w:rsid w:val="00553BAA"/>
    <w:rsid w:val="00553F5D"/>
    <w:rsid w:val="00554525"/>
    <w:rsid w:val="00554593"/>
    <w:rsid w:val="005545DC"/>
    <w:rsid w:val="00554D63"/>
    <w:rsid w:val="0055552A"/>
    <w:rsid w:val="00555FCC"/>
    <w:rsid w:val="0055678C"/>
    <w:rsid w:val="00556FDB"/>
    <w:rsid w:val="00557B91"/>
    <w:rsid w:val="0056028D"/>
    <w:rsid w:val="00560531"/>
    <w:rsid w:val="0056092B"/>
    <w:rsid w:val="00560959"/>
    <w:rsid w:val="00561A43"/>
    <w:rsid w:val="00561F25"/>
    <w:rsid w:val="00562D99"/>
    <w:rsid w:val="00563FF8"/>
    <w:rsid w:val="00564C75"/>
    <w:rsid w:val="00565753"/>
    <w:rsid w:val="00566432"/>
    <w:rsid w:val="0056743B"/>
    <w:rsid w:val="00567C66"/>
    <w:rsid w:val="00570BF5"/>
    <w:rsid w:val="00571163"/>
    <w:rsid w:val="00571776"/>
    <w:rsid w:val="00571B04"/>
    <w:rsid w:val="00571D3B"/>
    <w:rsid w:val="00572161"/>
    <w:rsid w:val="00572850"/>
    <w:rsid w:val="00573129"/>
    <w:rsid w:val="00573217"/>
    <w:rsid w:val="00573D73"/>
    <w:rsid w:val="00573E8A"/>
    <w:rsid w:val="0057425B"/>
    <w:rsid w:val="00574BBF"/>
    <w:rsid w:val="00576C34"/>
    <w:rsid w:val="0057766E"/>
    <w:rsid w:val="00577700"/>
    <w:rsid w:val="00580289"/>
    <w:rsid w:val="0058032B"/>
    <w:rsid w:val="0058067F"/>
    <w:rsid w:val="005806AE"/>
    <w:rsid w:val="00581FE2"/>
    <w:rsid w:val="0058259F"/>
    <w:rsid w:val="00582894"/>
    <w:rsid w:val="00582B49"/>
    <w:rsid w:val="00583623"/>
    <w:rsid w:val="0058473F"/>
    <w:rsid w:val="00585E24"/>
    <w:rsid w:val="00586276"/>
    <w:rsid w:val="00586F98"/>
    <w:rsid w:val="005878F0"/>
    <w:rsid w:val="005906AC"/>
    <w:rsid w:val="00590E34"/>
    <w:rsid w:val="00591075"/>
    <w:rsid w:val="00591432"/>
    <w:rsid w:val="005915C0"/>
    <w:rsid w:val="0059165F"/>
    <w:rsid w:val="00592F34"/>
    <w:rsid w:val="005931BB"/>
    <w:rsid w:val="00593440"/>
    <w:rsid w:val="00593746"/>
    <w:rsid w:val="00594001"/>
    <w:rsid w:val="00594AE6"/>
    <w:rsid w:val="0059550D"/>
    <w:rsid w:val="0059569A"/>
    <w:rsid w:val="005958E0"/>
    <w:rsid w:val="005972BA"/>
    <w:rsid w:val="00597673"/>
    <w:rsid w:val="005A0E4E"/>
    <w:rsid w:val="005A1B45"/>
    <w:rsid w:val="005A1F19"/>
    <w:rsid w:val="005A2066"/>
    <w:rsid w:val="005A2258"/>
    <w:rsid w:val="005A231C"/>
    <w:rsid w:val="005A2945"/>
    <w:rsid w:val="005A298A"/>
    <w:rsid w:val="005A29DD"/>
    <w:rsid w:val="005A3C65"/>
    <w:rsid w:val="005A5E8C"/>
    <w:rsid w:val="005A71DE"/>
    <w:rsid w:val="005A7890"/>
    <w:rsid w:val="005B03A1"/>
    <w:rsid w:val="005B103D"/>
    <w:rsid w:val="005B22F5"/>
    <w:rsid w:val="005B23D0"/>
    <w:rsid w:val="005B30F5"/>
    <w:rsid w:val="005B3CC4"/>
    <w:rsid w:val="005B44CB"/>
    <w:rsid w:val="005B5663"/>
    <w:rsid w:val="005B5925"/>
    <w:rsid w:val="005B633B"/>
    <w:rsid w:val="005B6543"/>
    <w:rsid w:val="005B69E5"/>
    <w:rsid w:val="005B6A87"/>
    <w:rsid w:val="005B6BA2"/>
    <w:rsid w:val="005C1C72"/>
    <w:rsid w:val="005C1E27"/>
    <w:rsid w:val="005C20C6"/>
    <w:rsid w:val="005C25E8"/>
    <w:rsid w:val="005C315E"/>
    <w:rsid w:val="005C4619"/>
    <w:rsid w:val="005C4B57"/>
    <w:rsid w:val="005C4D0E"/>
    <w:rsid w:val="005C542F"/>
    <w:rsid w:val="005C6301"/>
    <w:rsid w:val="005C684C"/>
    <w:rsid w:val="005C6A44"/>
    <w:rsid w:val="005C791F"/>
    <w:rsid w:val="005C7DA3"/>
    <w:rsid w:val="005D0114"/>
    <w:rsid w:val="005D0C88"/>
    <w:rsid w:val="005D2335"/>
    <w:rsid w:val="005D27E9"/>
    <w:rsid w:val="005D3435"/>
    <w:rsid w:val="005D3C1B"/>
    <w:rsid w:val="005D3C4C"/>
    <w:rsid w:val="005D4825"/>
    <w:rsid w:val="005D6342"/>
    <w:rsid w:val="005D655F"/>
    <w:rsid w:val="005D69DE"/>
    <w:rsid w:val="005D7B76"/>
    <w:rsid w:val="005E1060"/>
    <w:rsid w:val="005E1255"/>
    <w:rsid w:val="005E139F"/>
    <w:rsid w:val="005E17C9"/>
    <w:rsid w:val="005E1C4C"/>
    <w:rsid w:val="005E4DFD"/>
    <w:rsid w:val="005E6797"/>
    <w:rsid w:val="005E6840"/>
    <w:rsid w:val="005E6925"/>
    <w:rsid w:val="005E74CA"/>
    <w:rsid w:val="005F0351"/>
    <w:rsid w:val="005F0A18"/>
    <w:rsid w:val="005F0BA5"/>
    <w:rsid w:val="005F2283"/>
    <w:rsid w:val="005F2B79"/>
    <w:rsid w:val="005F36C7"/>
    <w:rsid w:val="005F4573"/>
    <w:rsid w:val="005F46F4"/>
    <w:rsid w:val="005F5418"/>
    <w:rsid w:val="005F555C"/>
    <w:rsid w:val="005F55E2"/>
    <w:rsid w:val="005F583D"/>
    <w:rsid w:val="005F5F13"/>
    <w:rsid w:val="005F621A"/>
    <w:rsid w:val="005F6660"/>
    <w:rsid w:val="006004FF"/>
    <w:rsid w:val="006013F1"/>
    <w:rsid w:val="00601653"/>
    <w:rsid w:val="00601EBF"/>
    <w:rsid w:val="00602A34"/>
    <w:rsid w:val="00602C0C"/>
    <w:rsid w:val="00603BBD"/>
    <w:rsid w:val="00603BD0"/>
    <w:rsid w:val="00603BEF"/>
    <w:rsid w:val="0060423F"/>
    <w:rsid w:val="00604D53"/>
    <w:rsid w:val="00604F75"/>
    <w:rsid w:val="00605EC4"/>
    <w:rsid w:val="0060682A"/>
    <w:rsid w:val="00607168"/>
    <w:rsid w:val="006073CC"/>
    <w:rsid w:val="00607743"/>
    <w:rsid w:val="00607780"/>
    <w:rsid w:val="00607BCD"/>
    <w:rsid w:val="00612918"/>
    <w:rsid w:val="00612EE4"/>
    <w:rsid w:val="006136B6"/>
    <w:rsid w:val="006145EA"/>
    <w:rsid w:val="006152A0"/>
    <w:rsid w:val="00615423"/>
    <w:rsid w:val="00616495"/>
    <w:rsid w:val="00616BC4"/>
    <w:rsid w:val="00616D30"/>
    <w:rsid w:val="00617368"/>
    <w:rsid w:val="00617746"/>
    <w:rsid w:val="00617B0F"/>
    <w:rsid w:val="00617CFE"/>
    <w:rsid w:val="0062127E"/>
    <w:rsid w:val="00622CF1"/>
    <w:rsid w:val="00623032"/>
    <w:rsid w:val="00623773"/>
    <w:rsid w:val="00623C4A"/>
    <w:rsid w:val="00623D6C"/>
    <w:rsid w:val="006240F3"/>
    <w:rsid w:val="006245D4"/>
    <w:rsid w:val="00624F97"/>
    <w:rsid w:val="00625115"/>
    <w:rsid w:val="00625425"/>
    <w:rsid w:val="00625D0C"/>
    <w:rsid w:val="006262DB"/>
    <w:rsid w:val="00626572"/>
    <w:rsid w:val="0062665B"/>
    <w:rsid w:val="00627768"/>
    <w:rsid w:val="00630F85"/>
    <w:rsid w:val="006311A6"/>
    <w:rsid w:val="00631F95"/>
    <w:rsid w:val="006320F5"/>
    <w:rsid w:val="00632365"/>
    <w:rsid w:val="00632559"/>
    <w:rsid w:val="006336BD"/>
    <w:rsid w:val="00634839"/>
    <w:rsid w:val="0063531F"/>
    <w:rsid w:val="006360EE"/>
    <w:rsid w:val="00636335"/>
    <w:rsid w:val="006364E8"/>
    <w:rsid w:val="006369EB"/>
    <w:rsid w:val="0063702C"/>
    <w:rsid w:val="006379F5"/>
    <w:rsid w:val="0064191D"/>
    <w:rsid w:val="00641E47"/>
    <w:rsid w:val="00641F22"/>
    <w:rsid w:val="006423CD"/>
    <w:rsid w:val="006429D0"/>
    <w:rsid w:val="00642B3B"/>
    <w:rsid w:val="00643645"/>
    <w:rsid w:val="00643821"/>
    <w:rsid w:val="00644A62"/>
    <w:rsid w:val="00644CE3"/>
    <w:rsid w:val="00644D37"/>
    <w:rsid w:val="006450D0"/>
    <w:rsid w:val="006451CE"/>
    <w:rsid w:val="006454D9"/>
    <w:rsid w:val="00645F28"/>
    <w:rsid w:val="006473A0"/>
    <w:rsid w:val="006474C8"/>
    <w:rsid w:val="006474E7"/>
    <w:rsid w:val="00647805"/>
    <w:rsid w:val="006506F7"/>
    <w:rsid w:val="006521C3"/>
    <w:rsid w:val="00652A11"/>
    <w:rsid w:val="00652C0F"/>
    <w:rsid w:val="006532B4"/>
    <w:rsid w:val="0065342B"/>
    <w:rsid w:val="00653846"/>
    <w:rsid w:val="006542AF"/>
    <w:rsid w:val="00654983"/>
    <w:rsid w:val="00654C54"/>
    <w:rsid w:val="00654D66"/>
    <w:rsid w:val="00656C3E"/>
    <w:rsid w:val="00656CDB"/>
    <w:rsid w:val="00657893"/>
    <w:rsid w:val="00657F59"/>
    <w:rsid w:val="00660F04"/>
    <w:rsid w:val="00661656"/>
    <w:rsid w:val="00662078"/>
    <w:rsid w:val="006626AE"/>
    <w:rsid w:val="0066294C"/>
    <w:rsid w:val="006629D1"/>
    <w:rsid w:val="00662C27"/>
    <w:rsid w:val="00663894"/>
    <w:rsid w:val="00664CB6"/>
    <w:rsid w:val="0066504C"/>
    <w:rsid w:val="006655AB"/>
    <w:rsid w:val="0066642B"/>
    <w:rsid w:val="0066716C"/>
    <w:rsid w:val="0066774B"/>
    <w:rsid w:val="00667F30"/>
    <w:rsid w:val="0067030B"/>
    <w:rsid w:val="00671285"/>
    <w:rsid w:val="00671A21"/>
    <w:rsid w:val="00672125"/>
    <w:rsid w:val="00672327"/>
    <w:rsid w:val="006727C9"/>
    <w:rsid w:val="00672AD0"/>
    <w:rsid w:val="0067393B"/>
    <w:rsid w:val="00674A81"/>
    <w:rsid w:val="00674DAD"/>
    <w:rsid w:val="00675963"/>
    <w:rsid w:val="006769A7"/>
    <w:rsid w:val="0067708A"/>
    <w:rsid w:val="0067775C"/>
    <w:rsid w:val="00677D56"/>
    <w:rsid w:val="00677E08"/>
    <w:rsid w:val="006803EE"/>
    <w:rsid w:val="00680699"/>
    <w:rsid w:val="00680AA2"/>
    <w:rsid w:val="00680B3A"/>
    <w:rsid w:val="0068106C"/>
    <w:rsid w:val="0068123E"/>
    <w:rsid w:val="0068194A"/>
    <w:rsid w:val="00681BC9"/>
    <w:rsid w:val="00681E5C"/>
    <w:rsid w:val="006823D9"/>
    <w:rsid w:val="00682D50"/>
    <w:rsid w:val="00683142"/>
    <w:rsid w:val="00684139"/>
    <w:rsid w:val="006852CB"/>
    <w:rsid w:val="006859D4"/>
    <w:rsid w:val="006860D7"/>
    <w:rsid w:val="00687111"/>
    <w:rsid w:val="00687AA2"/>
    <w:rsid w:val="00690528"/>
    <w:rsid w:val="00690EAD"/>
    <w:rsid w:val="00691539"/>
    <w:rsid w:val="00691CF6"/>
    <w:rsid w:val="00692AB6"/>
    <w:rsid w:val="0069314B"/>
    <w:rsid w:val="00693AAF"/>
    <w:rsid w:val="006945E0"/>
    <w:rsid w:val="00694BB2"/>
    <w:rsid w:val="006977D8"/>
    <w:rsid w:val="00697E4C"/>
    <w:rsid w:val="00697E9B"/>
    <w:rsid w:val="006A09EE"/>
    <w:rsid w:val="006A1517"/>
    <w:rsid w:val="006A20E3"/>
    <w:rsid w:val="006A2514"/>
    <w:rsid w:val="006A25EC"/>
    <w:rsid w:val="006A2621"/>
    <w:rsid w:val="006A2B61"/>
    <w:rsid w:val="006A2C94"/>
    <w:rsid w:val="006A3459"/>
    <w:rsid w:val="006A4687"/>
    <w:rsid w:val="006A4A8F"/>
    <w:rsid w:val="006A4BB2"/>
    <w:rsid w:val="006A5C7F"/>
    <w:rsid w:val="006A6047"/>
    <w:rsid w:val="006A6552"/>
    <w:rsid w:val="006A6A8C"/>
    <w:rsid w:val="006A6EED"/>
    <w:rsid w:val="006B0242"/>
    <w:rsid w:val="006B0282"/>
    <w:rsid w:val="006B08A4"/>
    <w:rsid w:val="006B0AC2"/>
    <w:rsid w:val="006B15CC"/>
    <w:rsid w:val="006B2249"/>
    <w:rsid w:val="006B241E"/>
    <w:rsid w:val="006B292E"/>
    <w:rsid w:val="006B2968"/>
    <w:rsid w:val="006B2BB8"/>
    <w:rsid w:val="006B2CC4"/>
    <w:rsid w:val="006B38AF"/>
    <w:rsid w:val="006B4AD4"/>
    <w:rsid w:val="006B4CE2"/>
    <w:rsid w:val="006B5FAD"/>
    <w:rsid w:val="006B603E"/>
    <w:rsid w:val="006B7083"/>
    <w:rsid w:val="006B71FC"/>
    <w:rsid w:val="006B7529"/>
    <w:rsid w:val="006B7C34"/>
    <w:rsid w:val="006B7D92"/>
    <w:rsid w:val="006B7FBB"/>
    <w:rsid w:val="006C0F4C"/>
    <w:rsid w:val="006C1659"/>
    <w:rsid w:val="006C17A3"/>
    <w:rsid w:val="006C2E88"/>
    <w:rsid w:val="006C355D"/>
    <w:rsid w:val="006C3746"/>
    <w:rsid w:val="006C3CBD"/>
    <w:rsid w:val="006C3EBD"/>
    <w:rsid w:val="006C4149"/>
    <w:rsid w:val="006C4A95"/>
    <w:rsid w:val="006C62F3"/>
    <w:rsid w:val="006C658C"/>
    <w:rsid w:val="006C7DEE"/>
    <w:rsid w:val="006D0204"/>
    <w:rsid w:val="006D0503"/>
    <w:rsid w:val="006D0CAB"/>
    <w:rsid w:val="006D0E92"/>
    <w:rsid w:val="006D1DF6"/>
    <w:rsid w:val="006D21A8"/>
    <w:rsid w:val="006D2900"/>
    <w:rsid w:val="006D2E5B"/>
    <w:rsid w:val="006D5F7A"/>
    <w:rsid w:val="006D7AC6"/>
    <w:rsid w:val="006E186E"/>
    <w:rsid w:val="006E1E32"/>
    <w:rsid w:val="006E35F7"/>
    <w:rsid w:val="006E3B9F"/>
    <w:rsid w:val="006E3F76"/>
    <w:rsid w:val="006E423E"/>
    <w:rsid w:val="006E486F"/>
    <w:rsid w:val="006E4984"/>
    <w:rsid w:val="006E5199"/>
    <w:rsid w:val="006E66D7"/>
    <w:rsid w:val="006E6B7F"/>
    <w:rsid w:val="006F1E8B"/>
    <w:rsid w:val="006F2566"/>
    <w:rsid w:val="006F3B22"/>
    <w:rsid w:val="006F3DA4"/>
    <w:rsid w:val="006F4C22"/>
    <w:rsid w:val="006F5D55"/>
    <w:rsid w:val="006F602B"/>
    <w:rsid w:val="006F695C"/>
    <w:rsid w:val="006F6FFE"/>
    <w:rsid w:val="00700233"/>
    <w:rsid w:val="00700491"/>
    <w:rsid w:val="00700951"/>
    <w:rsid w:val="00701B89"/>
    <w:rsid w:val="00702472"/>
    <w:rsid w:val="007053A5"/>
    <w:rsid w:val="0070596B"/>
    <w:rsid w:val="00705D7A"/>
    <w:rsid w:val="0070711E"/>
    <w:rsid w:val="0071007C"/>
    <w:rsid w:val="00710492"/>
    <w:rsid w:val="00710B3D"/>
    <w:rsid w:val="007113A1"/>
    <w:rsid w:val="0071295B"/>
    <w:rsid w:val="0071479F"/>
    <w:rsid w:val="007153BE"/>
    <w:rsid w:val="007153BF"/>
    <w:rsid w:val="0071558B"/>
    <w:rsid w:val="00715A83"/>
    <w:rsid w:val="0071608E"/>
    <w:rsid w:val="007160D7"/>
    <w:rsid w:val="0071641F"/>
    <w:rsid w:val="007170BE"/>
    <w:rsid w:val="00717507"/>
    <w:rsid w:val="0072045A"/>
    <w:rsid w:val="007204AD"/>
    <w:rsid w:val="00721CB6"/>
    <w:rsid w:val="00722221"/>
    <w:rsid w:val="00722F53"/>
    <w:rsid w:val="00722FC5"/>
    <w:rsid w:val="00723912"/>
    <w:rsid w:val="00723A65"/>
    <w:rsid w:val="00723FF0"/>
    <w:rsid w:val="00724074"/>
    <w:rsid w:val="0072507C"/>
    <w:rsid w:val="007250EC"/>
    <w:rsid w:val="0072559C"/>
    <w:rsid w:val="00726245"/>
    <w:rsid w:val="00726861"/>
    <w:rsid w:val="00726925"/>
    <w:rsid w:val="007269B7"/>
    <w:rsid w:val="007275A7"/>
    <w:rsid w:val="007307DD"/>
    <w:rsid w:val="00730A1F"/>
    <w:rsid w:val="00730EEA"/>
    <w:rsid w:val="00731077"/>
    <w:rsid w:val="007310B7"/>
    <w:rsid w:val="00731C6A"/>
    <w:rsid w:val="0073204F"/>
    <w:rsid w:val="0073296C"/>
    <w:rsid w:val="00732F91"/>
    <w:rsid w:val="007330BF"/>
    <w:rsid w:val="007334BF"/>
    <w:rsid w:val="007347F1"/>
    <w:rsid w:val="00735019"/>
    <w:rsid w:val="00735B99"/>
    <w:rsid w:val="00735BBF"/>
    <w:rsid w:val="00735E23"/>
    <w:rsid w:val="00736451"/>
    <w:rsid w:val="007366C5"/>
    <w:rsid w:val="00736B88"/>
    <w:rsid w:val="00737427"/>
    <w:rsid w:val="007377A5"/>
    <w:rsid w:val="00737D6E"/>
    <w:rsid w:val="007405DA"/>
    <w:rsid w:val="00741768"/>
    <w:rsid w:val="007425D8"/>
    <w:rsid w:val="00743530"/>
    <w:rsid w:val="00743ACE"/>
    <w:rsid w:val="00743B6C"/>
    <w:rsid w:val="00743DC4"/>
    <w:rsid w:val="00743E2A"/>
    <w:rsid w:val="00744495"/>
    <w:rsid w:val="007445A9"/>
    <w:rsid w:val="00746060"/>
    <w:rsid w:val="007460A2"/>
    <w:rsid w:val="00746132"/>
    <w:rsid w:val="00751110"/>
    <w:rsid w:val="0075166A"/>
    <w:rsid w:val="00751E18"/>
    <w:rsid w:val="007539B8"/>
    <w:rsid w:val="00753E94"/>
    <w:rsid w:val="007547DA"/>
    <w:rsid w:val="00755438"/>
    <w:rsid w:val="00755629"/>
    <w:rsid w:val="0075596A"/>
    <w:rsid w:val="007561BC"/>
    <w:rsid w:val="007566F4"/>
    <w:rsid w:val="0075689D"/>
    <w:rsid w:val="0075727E"/>
    <w:rsid w:val="00757E05"/>
    <w:rsid w:val="00761508"/>
    <w:rsid w:val="007616AE"/>
    <w:rsid w:val="00762202"/>
    <w:rsid w:val="00762C1C"/>
    <w:rsid w:val="00762FFC"/>
    <w:rsid w:val="00763EBC"/>
    <w:rsid w:val="00764FB1"/>
    <w:rsid w:val="007668A6"/>
    <w:rsid w:val="007678CB"/>
    <w:rsid w:val="00767C2A"/>
    <w:rsid w:val="00767DED"/>
    <w:rsid w:val="00770BC1"/>
    <w:rsid w:val="00770C1B"/>
    <w:rsid w:val="0077110B"/>
    <w:rsid w:val="007721B4"/>
    <w:rsid w:val="00772E4E"/>
    <w:rsid w:val="00773510"/>
    <w:rsid w:val="0077452A"/>
    <w:rsid w:val="00775634"/>
    <w:rsid w:val="00775890"/>
    <w:rsid w:val="007760B2"/>
    <w:rsid w:val="00776430"/>
    <w:rsid w:val="00776843"/>
    <w:rsid w:val="00777AB3"/>
    <w:rsid w:val="007804CA"/>
    <w:rsid w:val="00780950"/>
    <w:rsid w:val="0078115B"/>
    <w:rsid w:val="0078133B"/>
    <w:rsid w:val="00781C80"/>
    <w:rsid w:val="00781F0C"/>
    <w:rsid w:val="00782FAF"/>
    <w:rsid w:val="00783252"/>
    <w:rsid w:val="007833C9"/>
    <w:rsid w:val="00783CAB"/>
    <w:rsid w:val="007843B7"/>
    <w:rsid w:val="00785149"/>
    <w:rsid w:val="0078519D"/>
    <w:rsid w:val="007852E8"/>
    <w:rsid w:val="007859A7"/>
    <w:rsid w:val="00786AB3"/>
    <w:rsid w:val="00787745"/>
    <w:rsid w:val="00787BA7"/>
    <w:rsid w:val="00787EFA"/>
    <w:rsid w:val="0079085E"/>
    <w:rsid w:val="007923DB"/>
    <w:rsid w:val="00792DA7"/>
    <w:rsid w:val="00793846"/>
    <w:rsid w:val="0079492A"/>
    <w:rsid w:val="00794BA1"/>
    <w:rsid w:val="00794F59"/>
    <w:rsid w:val="007952F1"/>
    <w:rsid w:val="00795345"/>
    <w:rsid w:val="007954B1"/>
    <w:rsid w:val="0079599B"/>
    <w:rsid w:val="00796A67"/>
    <w:rsid w:val="00797D14"/>
    <w:rsid w:val="00797D90"/>
    <w:rsid w:val="007A123E"/>
    <w:rsid w:val="007A15F1"/>
    <w:rsid w:val="007A1AB1"/>
    <w:rsid w:val="007A1B12"/>
    <w:rsid w:val="007A1EAF"/>
    <w:rsid w:val="007A23DF"/>
    <w:rsid w:val="007A2541"/>
    <w:rsid w:val="007A2ADD"/>
    <w:rsid w:val="007A5C30"/>
    <w:rsid w:val="007A6381"/>
    <w:rsid w:val="007A67F8"/>
    <w:rsid w:val="007A692D"/>
    <w:rsid w:val="007A7284"/>
    <w:rsid w:val="007A7912"/>
    <w:rsid w:val="007A7DFF"/>
    <w:rsid w:val="007B2645"/>
    <w:rsid w:val="007B2AD6"/>
    <w:rsid w:val="007B41A9"/>
    <w:rsid w:val="007B45B5"/>
    <w:rsid w:val="007B49C2"/>
    <w:rsid w:val="007B654B"/>
    <w:rsid w:val="007B6645"/>
    <w:rsid w:val="007B6783"/>
    <w:rsid w:val="007C0315"/>
    <w:rsid w:val="007C0CAA"/>
    <w:rsid w:val="007C13EC"/>
    <w:rsid w:val="007C221C"/>
    <w:rsid w:val="007C2262"/>
    <w:rsid w:val="007C2690"/>
    <w:rsid w:val="007C2B84"/>
    <w:rsid w:val="007C31C4"/>
    <w:rsid w:val="007C35F2"/>
    <w:rsid w:val="007C392A"/>
    <w:rsid w:val="007C53D7"/>
    <w:rsid w:val="007C574C"/>
    <w:rsid w:val="007C61BB"/>
    <w:rsid w:val="007C7525"/>
    <w:rsid w:val="007C7BB1"/>
    <w:rsid w:val="007D0C4D"/>
    <w:rsid w:val="007D0C9C"/>
    <w:rsid w:val="007D0E7E"/>
    <w:rsid w:val="007D1032"/>
    <w:rsid w:val="007D21B1"/>
    <w:rsid w:val="007D2255"/>
    <w:rsid w:val="007D2426"/>
    <w:rsid w:val="007D277E"/>
    <w:rsid w:val="007D2C0D"/>
    <w:rsid w:val="007D33E7"/>
    <w:rsid w:val="007D3815"/>
    <w:rsid w:val="007D381A"/>
    <w:rsid w:val="007D3940"/>
    <w:rsid w:val="007D3E88"/>
    <w:rsid w:val="007D3EE2"/>
    <w:rsid w:val="007D4399"/>
    <w:rsid w:val="007D5140"/>
    <w:rsid w:val="007D63A7"/>
    <w:rsid w:val="007D7DA1"/>
    <w:rsid w:val="007D7F3A"/>
    <w:rsid w:val="007E128E"/>
    <w:rsid w:val="007E21ED"/>
    <w:rsid w:val="007E4CAC"/>
    <w:rsid w:val="007E6B2D"/>
    <w:rsid w:val="007E6CA7"/>
    <w:rsid w:val="007E6DAE"/>
    <w:rsid w:val="007E6DFB"/>
    <w:rsid w:val="007E705C"/>
    <w:rsid w:val="007E750A"/>
    <w:rsid w:val="007E7A7B"/>
    <w:rsid w:val="007F017D"/>
    <w:rsid w:val="007F0845"/>
    <w:rsid w:val="007F0A6D"/>
    <w:rsid w:val="007F0E9C"/>
    <w:rsid w:val="007F14C1"/>
    <w:rsid w:val="007F1B8F"/>
    <w:rsid w:val="007F1CFC"/>
    <w:rsid w:val="007F1F02"/>
    <w:rsid w:val="007F2720"/>
    <w:rsid w:val="007F2A8C"/>
    <w:rsid w:val="007F385B"/>
    <w:rsid w:val="007F3889"/>
    <w:rsid w:val="007F48AD"/>
    <w:rsid w:val="007F4A3E"/>
    <w:rsid w:val="007F5A07"/>
    <w:rsid w:val="007F6E93"/>
    <w:rsid w:val="007F71C1"/>
    <w:rsid w:val="007F78F0"/>
    <w:rsid w:val="007F7FFB"/>
    <w:rsid w:val="008000DC"/>
    <w:rsid w:val="00800A43"/>
    <w:rsid w:val="0080255B"/>
    <w:rsid w:val="0080338C"/>
    <w:rsid w:val="00803657"/>
    <w:rsid w:val="008039B9"/>
    <w:rsid w:val="008041B5"/>
    <w:rsid w:val="0080464A"/>
    <w:rsid w:val="008047B3"/>
    <w:rsid w:val="008047E6"/>
    <w:rsid w:val="008049D9"/>
    <w:rsid w:val="0080503E"/>
    <w:rsid w:val="008050B3"/>
    <w:rsid w:val="00805C70"/>
    <w:rsid w:val="00805E60"/>
    <w:rsid w:val="008069C3"/>
    <w:rsid w:val="00807B91"/>
    <w:rsid w:val="00807C12"/>
    <w:rsid w:val="00807DAA"/>
    <w:rsid w:val="008105EC"/>
    <w:rsid w:val="008109E9"/>
    <w:rsid w:val="00810D58"/>
    <w:rsid w:val="0081208D"/>
    <w:rsid w:val="008122C8"/>
    <w:rsid w:val="0081385C"/>
    <w:rsid w:val="00813D3F"/>
    <w:rsid w:val="0081427F"/>
    <w:rsid w:val="0081453E"/>
    <w:rsid w:val="00814FA8"/>
    <w:rsid w:val="00820243"/>
    <w:rsid w:val="00820C6D"/>
    <w:rsid w:val="008213D6"/>
    <w:rsid w:val="008218E4"/>
    <w:rsid w:val="00822F0B"/>
    <w:rsid w:val="0082316D"/>
    <w:rsid w:val="008231DE"/>
    <w:rsid w:val="00825262"/>
    <w:rsid w:val="00826A5B"/>
    <w:rsid w:val="00826E86"/>
    <w:rsid w:val="008277C0"/>
    <w:rsid w:val="00827B49"/>
    <w:rsid w:val="00827C80"/>
    <w:rsid w:val="00831AA5"/>
    <w:rsid w:val="00832273"/>
    <w:rsid w:val="008324F5"/>
    <w:rsid w:val="00832F1A"/>
    <w:rsid w:val="0083659B"/>
    <w:rsid w:val="00836F9A"/>
    <w:rsid w:val="00837986"/>
    <w:rsid w:val="008410BE"/>
    <w:rsid w:val="00842AA2"/>
    <w:rsid w:val="0084347F"/>
    <w:rsid w:val="008446C3"/>
    <w:rsid w:val="0084699D"/>
    <w:rsid w:val="008475A4"/>
    <w:rsid w:val="00847824"/>
    <w:rsid w:val="00847D3F"/>
    <w:rsid w:val="00847EB0"/>
    <w:rsid w:val="00847FAF"/>
    <w:rsid w:val="00850692"/>
    <w:rsid w:val="00850B6A"/>
    <w:rsid w:val="00851083"/>
    <w:rsid w:val="00852950"/>
    <w:rsid w:val="00852D19"/>
    <w:rsid w:val="0085377E"/>
    <w:rsid w:val="0085379A"/>
    <w:rsid w:val="00853BCF"/>
    <w:rsid w:val="00853DAC"/>
    <w:rsid w:val="00853DC5"/>
    <w:rsid w:val="00854519"/>
    <w:rsid w:val="00854AAB"/>
    <w:rsid w:val="00855400"/>
    <w:rsid w:val="0085694A"/>
    <w:rsid w:val="00856A51"/>
    <w:rsid w:val="00856CD1"/>
    <w:rsid w:val="00856D0D"/>
    <w:rsid w:val="00861213"/>
    <w:rsid w:val="00861425"/>
    <w:rsid w:val="008620EE"/>
    <w:rsid w:val="00862401"/>
    <w:rsid w:val="0086257C"/>
    <w:rsid w:val="0086260B"/>
    <w:rsid w:val="00862CA6"/>
    <w:rsid w:val="008634A1"/>
    <w:rsid w:val="00863C19"/>
    <w:rsid w:val="00863CBE"/>
    <w:rsid w:val="0086560A"/>
    <w:rsid w:val="00865E86"/>
    <w:rsid w:val="00867403"/>
    <w:rsid w:val="008679C4"/>
    <w:rsid w:val="00870BC8"/>
    <w:rsid w:val="00871205"/>
    <w:rsid w:val="00871612"/>
    <w:rsid w:val="00872940"/>
    <w:rsid w:val="00873649"/>
    <w:rsid w:val="008738A4"/>
    <w:rsid w:val="00874330"/>
    <w:rsid w:val="0087445D"/>
    <w:rsid w:val="008744BA"/>
    <w:rsid w:val="00874820"/>
    <w:rsid w:val="0087550D"/>
    <w:rsid w:val="00875DE8"/>
    <w:rsid w:val="00875E55"/>
    <w:rsid w:val="00880AAF"/>
    <w:rsid w:val="00881180"/>
    <w:rsid w:val="00881780"/>
    <w:rsid w:val="00881A1C"/>
    <w:rsid w:val="00882381"/>
    <w:rsid w:val="00883429"/>
    <w:rsid w:val="00883FA7"/>
    <w:rsid w:val="00884050"/>
    <w:rsid w:val="00884B1C"/>
    <w:rsid w:val="00884D9F"/>
    <w:rsid w:val="00884FED"/>
    <w:rsid w:val="008851E0"/>
    <w:rsid w:val="00886A3E"/>
    <w:rsid w:val="00887357"/>
    <w:rsid w:val="00887C19"/>
    <w:rsid w:val="008901F2"/>
    <w:rsid w:val="00890858"/>
    <w:rsid w:val="00890D23"/>
    <w:rsid w:val="00891438"/>
    <w:rsid w:val="00891C40"/>
    <w:rsid w:val="00891CED"/>
    <w:rsid w:val="00891CFA"/>
    <w:rsid w:val="0089252C"/>
    <w:rsid w:val="0089414B"/>
    <w:rsid w:val="008941D3"/>
    <w:rsid w:val="00894359"/>
    <w:rsid w:val="00894855"/>
    <w:rsid w:val="008951F9"/>
    <w:rsid w:val="008959DF"/>
    <w:rsid w:val="0089666C"/>
    <w:rsid w:val="00896777"/>
    <w:rsid w:val="00896D6F"/>
    <w:rsid w:val="008973F8"/>
    <w:rsid w:val="008A0437"/>
    <w:rsid w:val="008A17EB"/>
    <w:rsid w:val="008A282B"/>
    <w:rsid w:val="008A5464"/>
    <w:rsid w:val="008A565A"/>
    <w:rsid w:val="008A5FCF"/>
    <w:rsid w:val="008A6671"/>
    <w:rsid w:val="008A6BD8"/>
    <w:rsid w:val="008A6C0E"/>
    <w:rsid w:val="008A75BE"/>
    <w:rsid w:val="008B09E4"/>
    <w:rsid w:val="008B0F7B"/>
    <w:rsid w:val="008B13CA"/>
    <w:rsid w:val="008B3628"/>
    <w:rsid w:val="008B388D"/>
    <w:rsid w:val="008B46B2"/>
    <w:rsid w:val="008B47BA"/>
    <w:rsid w:val="008B5000"/>
    <w:rsid w:val="008B51D7"/>
    <w:rsid w:val="008B555E"/>
    <w:rsid w:val="008B5A27"/>
    <w:rsid w:val="008B5D53"/>
    <w:rsid w:val="008B5EDD"/>
    <w:rsid w:val="008B5F32"/>
    <w:rsid w:val="008B694E"/>
    <w:rsid w:val="008B7169"/>
    <w:rsid w:val="008B7318"/>
    <w:rsid w:val="008B78B3"/>
    <w:rsid w:val="008B7A65"/>
    <w:rsid w:val="008B7E09"/>
    <w:rsid w:val="008C10F4"/>
    <w:rsid w:val="008C2B23"/>
    <w:rsid w:val="008C2C7B"/>
    <w:rsid w:val="008C310D"/>
    <w:rsid w:val="008C3117"/>
    <w:rsid w:val="008C3EB9"/>
    <w:rsid w:val="008C426E"/>
    <w:rsid w:val="008C4434"/>
    <w:rsid w:val="008C468E"/>
    <w:rsid w:val="008C640A"/>
    <w:rsid w:val="008C6820"/>
    <w:rsid w:val="008C6A01"/>
    <w:rsid w:val="008C7B15"/>
    <w:rsid w:val="008D0AD1"/>
    <w:rsid w:val="008D1140"/>
    <w:rsid w:val="008D14D5"/>
    <w:rsid w:val="008D259E"/>
    <w:rsid w:val="008D28BB"/>
    <w:rsid w:val="008D2F5A"/>
    <w:rsid w:val="008D3AC8"/>
    <w:rsid w:val="008D3FFE"/>
    <w:rsid w:val="008D5A45"/>
    <w:rsid w:val="008D6E65"/>
    <w:rsid w:val="008D702F"/>
    <w:rsid w:val="008D71C4"/>
    <w:rsid w:val="008D7608"/>
    <w:rsid w:val="008D785C"/>
    <w:rsid w:val="008D7BE7"/>
    <w:rsid w:val="008E0388"/>
    <w:rsid w:val="008E07AE"/>
    <w:rsid w:val="008E0A36"/>
    <w:rsid w:val="008E0A55"/>
    <w:rsid w:val="008E1E7A"/>
    <w:rsid w:val="008E2C15"/>
    <w:rsid w:val="008E301D"/>
    <w:rsid w:val="008E49F6"/>
    <w:rsid w:val="008E6E3F"/>
    <w:rsid w:val="008E6FAD"/>
    <w:rsid w:val="008F019B"/>
    <w:rsid w:val="008F100F"/>
    <w:rsid w:val="008F1D30"/>
    <w:rsid w:val="008F1E4E"/>
    <w:rsid w:val="008F2F58"/>
    <w:rsid w:val="008F329E"/>
    <w:rsid w:val="008F4D98"/>
    <w:rsid w:val="008F6137"/>
    <w:rsid w:val="008F6587"/>
    <w:rsid w:val="008F76AA"/>
    <w:rsid w:val="008F7AC7"/>
    <w:rsid w:val="0090017D"/>
    <w:rsid w:val="00900ED9"/>
    <w:rsid w:val="00902706"/>
    <w:rsid w:val="00902994"/>
    <w:rsid w:val="00902CEC"/>
    <w:rsid w:val="009035C6"/>
    <w:rsid w:val="00903957"/>
    <w:rsid w:val="00903EED"/>
    <w:rsid w:val="009051B9"/>
    <w:rsid w:val="009056EB"/>
    <w:rsid w:val="0090638B"/>
    <w:rsid w:val="009075B8"/>
    <w:rsid w:val="00907D2A"/>
    <w:rsid w:val="00907FDF"/>
    <w:rsid w:val="0091040E"/>
    <w:rsid w:val="00911C19"/>
    <w:rsid w:val="009123B0"/>
    <w:rsid w:val="0091321E"/>
    <w:rsid w:val="00913EDB"/>
    <w:rsid w:val="00914AB8"/>
    <w:rsid w:val="009150F6"/>
    <w:rsid w:val="009171EE"/>
    <w:rsid w:val="00921608"/>
    <w:rsid w:val="00921C10"/>
    <w:rsid w:val="00921D24"/>
    <w:rsid w:val="009227F8"/>
    <w:rsid w:val="009228A5"/>
    <w:rsid w:val="00922AA4"/>
    <w:rsid w:val="00922E21"/>
    <w:rsid w:val="00922F23"/>
    <w:rsid w:val="009233D0"/>
    <w:rsid w:val="00923431"/>
    <w:rsid w:val="009255FC"/>
    <w:rsid w:val="0092575C"/>
    <w:rsid w:val="0092585C"/>
    <w:rsid w:val="00925F26"/>
    <w:rsid w:val="00925FB2"/>
    <w:rsid w:val="00926695"/>
    <w:rsid w:val="0092672D"/>
    <w:rsid w:val="00927AD4"/>
    <w:rsid w:val="00930B8B"/>
    <w:rsid w:val="0093218B"/>
    <w:rsid w:val="00932399"/>
    <w:rsid w:val="00932B75"/>
    <w:rsid w:val="0093369A"/>
    <w:rsid w:val="009338E8"/>
    <w:rsid w:val="00933BAB"/>
    <w:rsid w:val="00934661"/>
    <w:rsid w:val="0093613A"/>
    <w:rsid w:val="009373F9"/>
    <w:rsid w:val="00937AFC"/>
    <w:rsid w:val="00937FFD"/>
    <w:rsid w:val="00940783"/>
    <w:rsid w:val="00941239"/>
    <w:rsid w:val="00941472"/>
    <w:rsid w:val="00943E29"/>
    <w:rsid w:val="009444A6"/>
    <w:rsid w:val="00946654"/>
    <w:rsid w:val="00947113"/>
    <w:rsid w:val="00950B1B"/>
    <w:rsid w:val="00951009"/>
    <w:rsid w:val="009510E0"/>
    <w:rsid w:val="009528B2"/>
    <w:rsid w:val="00952C04"/>
    <w:rsid w:val="009530DD"/>
    <w:rsid w:val="00953124"/>
    <w:rsid w:val="009539E7"/>
    <w:rsid w:val="00953C57"/>
    <w:rsid w:val="00954287"/>
    <w:rsid w:val="00956DBB"/>
    <w:rsid w:val="009572E9"/>
    <w:rsid w:val="00957801"/>
    <w:rsid w:val="00957D09"/>
    <w:rsid w:val="009601FA"/>
    <w:rsid w:val="00960536"/>
    <w:rsid w:val="00960F5E"/>
    <w:rsid w:val="00961376"/>
    <w:rsid w:val="0096207A"/>
    <w:rsid w:val="0096223C"/>
    <w:rsid w:val="0096280D"/>
    <w:rsid w:val="00962CEE"/>
    <w:rsid w:val="009642ED"/>
    <w:rsid w:val="009643BD"/>
    <w:rsid w:val="009646D3"/>
    <w:rsid w:val="009649B6"/>
    <w:rsid w:val="009658B6"/>
    <w:rsid w:val="00965FFC"/>
    <w:rsid w:val="0096604C"/>
    <w:rsid w:val="00967DDB"/>
    <w:rsid w:val="00971443"/>
    <w:rsid w:val="00971F81"/>
    <w:rsid w:val="0097274D"/>
    <w:rsid w:val="00972DB6"/>
    <w:rsid w:val="00973C30"/>
    <w:rsid w:val="00973CAE"/>
    <w:rsid w:val="00974403"/>
    <w:rsid w:val="0097582F"/>
    <w:rsid w:val="0097627F"/>
    <w:rsid w:val="009763E8"/>
    <w:rsid w:val="00976501"/>
    <w:rsid w:val="00976D18"/>
    <w:rsid w:val="00976EFA"/>
    <w:rsid w:val="00976F11"/>
    <w:rsid w:val="00977EB9"/>
    <w:rsid w:val="00980A2A"/>
    <w:rsid w:val="00980A6A"/>
    <w:rsid w:val="00981302"/>
    <w:rsid w:val="0098191E"/>
    <w:rsid w:val="00981FC5"/>
    <w:rsid w:val="00982364"/>
    <w:rsid w:val="00982C1B"/>
    <w:rsid w:val="00982EC8"/>
    <w:rsid w:val="00983244"/>
    <w:rsid w:val="00983585"/>
    <w:rsid w:val="009835BC"/>
    <w:rsid w:val="00983A82"/>
    <w:rsid w:val="00984D60"/>
    <w:rsid w:val="0098526E"/>
    <w:rsid w:val="00986000"/>
    <w:rsid w:val="00986D64"/>
    <w:rsid w:val="009872AA"/>
    <w:rsid w:val="00987D5C"/>
    <w:rsid w:val="00990072"/>
    <w:rsid w:val="00990D41"/>
    <w:rsid w:val="00991462"/>
    <w:rsid w:val="009918A4"/>
    <w:rsid w:val="00991957"/>
    <w:rsid w:val="00991CDE"/>
    <w:rsid w:val="00992BF5"/>
    <w:rsid w:val="00993119"/>
    <w:rsid w:val="009934C1"/>
    <w:rsid w:val="00993752"/>
    <w:rsid w:val="00993AC0"/>
    <w:rsid w:val="00994C18"/>
    <w:rsid w:val="00994D92"/>
    <w:rsid w:val="009957C1"/>
    <w:rsid w:val="009961DB"/>
    <w:rsid w:val="009972E6"/>
    <w:rsid w:val="00997CE4"/>
    <w:rsid w:val="00997F11"/>
    <w:rsid w:val="009A0DFB"/>
    <w:rsid w:val="009A1912"/>
    <w:rsid w:val="009A1D6C"/>
    <w:rsid w:val="009A2438"/>
    <w:rsid w:val="009A24BB"/>
    <w:rsid w:val="009A2845"/>
    <w:rsid w:val="009A328D"/>
    <w:rsid w:val="009A33B2"/>
    <w:rsid w:val="009A4091"/>
    <w:rsid w:val="009A4BCB"/>
    <w:rsid w:val="009A53A3"/>
    <w:rsid w:val="009A5A33"/>
    <w:rsid w:val="009B01B3"/>
    <w:rsid w:val="009B0BCD"/>
    <w:rsid w:val="009B0FC5"/>
    <w:rsid w:val="009B10A9"/>
    <w:rsid w:val="009B26EA"/>
    <w:rsid w:val="009B3E29"/>
    <w:rsid w:val="009B42D6"/>
    <w:rsid w:val="009B4A60"/>
    <w:rsid w:val="009B4D59"/>
    <w:rsid w:val="009B5227"/>
    <w:rsid w:val="009B5D35"/>
    <w:rsid w:val="009B6253"/>
    <w:rsid w:val="009B62D8"/>
    <w:rsid w:val="009B6389"/>
    <w:rsid w:val="009B6482"/>
    <w:rsid w:val="009B6F88"/>
    <w:rsid w:val="009C019B"/>
    <w:rsid w:val="009C060C"/>
    <w:rsid w:val="009C06BE"/>
    <w:rsid w:val="009C08D7"/>
    <w:rsid w:val="009C2268"/>
    <w:rsid w:val="009C22AF"/>
    <w:rsid w:val="009C2D0B"/>
    <w:rsid w:val="009C3756"/>
    <w:rsid w:val="009C48F3"/>
    <w:rsid w:val="009C4925"/>
    <w:rsid w:val="009C4B30"/>
    <w:rsid w:val="009C4D87"/>
    <w:rsid w:val="009C5320"/>
    <w:rsid w:val="009C6C95"/>
    <w:rsid w:val="009C7220"/>
    <w:rsid w:val="009D0107"/>
    <w:rsid w:val="009D1202"/>
    <w:rsid w:val="009D1357"/>
    <w:rsid w:val="009D16FD"/>
    <w:rsid w:val="009D1C1E"/>
    <w:rsid w:val="009D22AE"/>
    <w:rsid w:val="009D26BE"/>
    <w:rsid w:val="009D2D6C"/>
    <w:rsid w:val="009D36EB"/>
    <w:rsid w:val="009D38DC"/>
    <w:rsid w:val="009D38DF"/>
    <w:rsid w:val="009D473A"/>
    <w:rsid w:val="009D5C72"/>
    <w:rsid w:val="009D6D77"/>
    <w:rsid w:val="009D6EC9"/>
    <w:rsid w:val="009D747B"/>
    <w:rsid w:val="009D78FC"/>
    <w:rsid w:val="009D7EC8"/>
    <w:rsid w:val="009E0136"/>
    <w:rsid w:val="009E03D8"/>
    <w:rsid w:val="009E0BD1"/>
    <w:rsid w:val="009E12EF"/>
    <w:rsid w:val="009E1CAE"/>
    <w:rsid w:val="009E1E62"/>
    <w:rsid w:val="009E3248"/>
    <w:rsid w:val="009E3CBB"/>
    <w:rsid w:val="009E443D"/>
    <w:rsid w:val="009E493C"/>
    <w:rsid w:val="009E4E68"/>
    <w:rsid w:val="009E6C5F"/>
    <w:rsid w:val="009F1A0C"/>
    <w:rsid w:val="009F2055"/>
    <w:rsid w:val="009F3461"/>
    <w:rsid w:val="009F427C"/>
    <w:rsid w:val="009F4EF5"/>
    <w:rsid w:val="009F590F"/>
    <w:rsid w:val="009F6D31"/>
    <w:rsid w:val="009F6F25"/>
    <w:rsid w:val="009F7001"/>
    <w:rsid w:val="00A0021E"/>
    <w:rsid w:val="00A01991"/>
    <w:rsid w:val="00A02E5A"/>
    <w:rsid w:val="00A043F2"/>
    <w:rsid w:val="00A047D4"/>
    <w:rsid w:val="00A0480B"/>
    <w:rsid w:val="00A060F9"/>
    <w:rsid w:val="00A0779A"/>
    <w:rsid w:val="00A10447"/>
    <w:rsid w:val="00A108EE"/>
    <w:rsid w:val="00A1151C"/>
    <w:rsid w:val="00A11551"/>
    <w:rsid w:val="00A11558"/>
    <w:rsid w:val="00A115DC"/>
    <w:rsid w:val="00A11AEA"/>
    <w:rsid w:val="00A13B41"/>
    <w:rsid w:val="00A15209"/>
    <w:rsid w:val="00A15C83"/>
    <w:rsid w:val="00A16089"/>
    <w:rsid w:val="00A16B6D"/>
    <w:rsid w:val="00A208A3"/>
    <w:rsid w:val="00A20D12"/>
    <w:rsid w:val="00A20F1E"/>
    <w:rsid w:val="00A2139D"/>
    <w:rsid w:val="00A218F8"/>
    <w:rsid w:val="00A21936"/>
    <w:rsid w:val="00A2212A"/>
    <w:rsid w:val="00A223FA"/>
    <w:rsid w:val="00A237C1"/>
    <w:rsid w:val="00A23A09"/>
    <w:rsid w:val="00A240D1"/>
    <w:rsid w:val="00A24A35"/>
    <w:rsid w:val="00A252FB"/>
    <w:rsid w:val="00A25F54"/>
    <w:rsid w:val="00A26D1F"/>
    <w:rsid w:val="00A26F76"/>
    <w:rsid w:val="00A2740B"/>
    <w:rsid w:val="00A300C1"/>
    <w:rsid w:val="00A30513"/>
    <w:rsid w:val="00A30533"/>
    <w:rsid w:val="00A30C80"/>
    <w:rsid w:val="00A3115D"/>
    <w:rsid w:val="00A31E51"/>
    <w:rsid w:val="00A3374A"/>
    <w:rsid w:val="00A34180"/>
    <w:rsid w:val="00A34A6E"/>
    <w:rsid w:val="00A34D06"/>
    <w:rsid w:val="00A353E9"/>
    <w:rsid w:val="00A35C79"/>
    <w:rsid w:val="00A3673B"/>
    <w:rsid w:val="00A371EA"/>
    <w:rsid w:val="00A37762"/>
    <w:rsid w:val="00A37FF7"/>
    <w:rsid w:val="00A41ED2"/>
    <w:rsid w:val="00A4371C"/>
    <w:rsid w:val="00A43E13"/>
    <w:rsid w:val="00A44004"/>
    <w:rsid w:val="00A44570"/>
    <w:rsid w:val="00A44AEF"/>
    <w:rsid w:val="00A44B38"/>
    <w:rsid w:val="00A46C5D"/>
    <w:rsid w:val="00A47684"/>
    <w:rsid w:val="00A505B9"/>
    <w:rsid w:val="00A509D4"/>
    <w:rsid w:val="00A524C3"/>
    <w:rsid w:val="00A52744"/>
    <w:rsid w:val="00A52F80"/>
    <w:rsid w:val="00A5303A"/>
    <w:rsid w:val="00A5418C"/>
    <w:rsid w:val="00A543EB"/>
    <w:rsid w:val="00A54424"/>
    <w:rsid w:val="00A54708"/>
    <w:rsid w:val="00A54A1F"/>
    <w:rsid w:val="00A54B63"/>
    <w:rsid w:val="00A54C35"/>
    <w:rsid w:val="00A5551E"/>
    <w:rsid w:val="00A55628"/>
    <w:rsid w:val="00A55768"/>
    <w:rsid w:val="00A557E9"/>
    <w:rsid w:val="00A5708E"/>
    <w:rsid w:val="00A57191"/>
    <w:rsid w:val="00A602D3"/>
    <w:rsid w:val="00A61F97"/>
    <w:rsid w:val="00A62D1C"/>
    <w:rsid w:val="00A62D78"/>
    <w:rsid w:val="00A632BE"/>
    <w:rsid w:val="00A63DB0"/>
    <w:rsid w:val="00A63F9D"/>
    <w:rsid w:val="00A64CF2"/>
    <w:rsid w:val="00A661B3"/>
    <w:rsid w:val="00A66E78"/>
    <w:rsid w:val="00A66F74"/>
    <w:rsid w:val="00A673C1"/>
    <w:rsid w:val="00A678DE"/>
    <w:rsid w:val="00A70B79"/>
    <w:rsid w:val="00A71888"/>
    <w:rsid w:val="00A71D68"/>
    <w:rsid w:val="00A75162"/>
    <w:rsid w:val="00A752B9"/>
    <w:rsid w:val="00A75A97"/>
    <w:rsid w:val="00A75EFB"/>
    <w:rsid w:val="00A760B2"/>
    <w:rsid w:val="00A760CC"/>
    <w:rsid w:val="00A7703C"/>
    <w:rsid w:val="00A770A0"/>
    <w:rsid w:val="00A7761D"/>
    <w:rsid w:val="00A80139"/>
    <w:rsid w:val="00A80442"/>
    <w:rsid w:val="00A810E6"/>
    <w:rsid w:val="00A81751"/>
    <w:rsid w:val="00A8212B"/>
    <w:rsid w:val="00A82306"/>
    <w:rsid w:val="00A82706"/>
    <w:rsid w:val="00A82A02"/>
    <w:rsid w:val="00A82D99"/>
    <w:rsid w:val="00A82F6A"/>
    <w:rsid w:val="00A833E4"/>
    <w:rsid w:val="00A8362E"/>
    <w:rsid w:val="00A837BA"/>
    <w:rsid w:val="00A8446F"/>
    <w:rsid w:val="00A84484"/>
    <w:rsid w:val="00A85428"/>
    <w:rsid w:val="00A8559B"/>
    <w:rsid w:val="00A871F2"/>
    <w:rsid w:val="00A87C93"/>
    <w:rsid w:val="00A903ED"/>
    <w:rsid w:val="00A90E16"/>
    <w:rsid w:val="00A910DC"/>
    <w:rsid w:val="00A9155D"/>
    <w:rsid w:val="00A92292"/>
    <w:rsid w:val="00A9237D"/>
    <w:rsid w:val="00A92B33"/>
    <w:rsid w:val="00A92C5D"/>
    <w:rsid w:val="00A93728"/>
    <w:rsid w:val="00A945D2"/>
    <w:rsid w:val="00A94819"/>
    <w:rsid w:val="00A95D2E"/>
    <w:rsid w:val="00A97AC6"/>
    <w:rsid w:val="00A97BFF"/>
    <w:rsid w:val="00A97E3D"/>
    <w:rsid w:val="00AA00CD"/>
    <w:rsid w:val="00AA023D"/>
    <w:rsid w:val="00AA0405"/>
    <w:rsid w:val="00AA0D46"/>
    <w:rsid w:val="00AA10F4"/>
    <w:rsid w:val="00AA1C0F"/>
    <w:rsid w:val="00AA2A4B"/>
    <w:rsid w:val="00AA2D56"/>
    <w:rsid w:val="00AA2DD3"/>
    <w:rsid w:val="00AA387C"/>
    <w:rsid w:val="00AA4F87"/>
    <w:rsid w:val="00AA520F"/>
    <w:rsid w:val="00AA5DB0"/>
    <w:rsid w:val="00AA6843"/>
    <w:rsid w:val="00AA693C"/>
    <w:rsid w:val="00AA71C9"/>
    <w:rsid w:val="00AB0F13"/>
    <w:rsid w:val="00AB1918"/>
    <w:rsid w:val="00AB2C60"/>
    <w:rsid w:val="00AB2F8C"/>
    <w:rsid w:val="00AB347B"/>
    <w:rsid w:val="00AB3822"/>
    <w:rsid w:val="00AB39FC"/>
    <w:rsid w:val="00AB4C13"/>
    <w:rsid w:val="00AB4FF5"/>
    <w:rsid w:val="00AB51B8"/>
    <w:rsid w:val="00AB5AC5"/>
    <w:rsid w:val="00AB5F0F"/>
    <w:rsid w:val="00AB6B68"/>
    <w:rsid w:val="00AB6FCF"/>
    <w:rsid w:val="00AC027D"/>
    <w:rsid w:val="00AC0AA5"/>
    <w:rsid w:val="00AC185B"/>
    <w:rsid w:val="00AC260F"/>
    <w:rsid w:val="00AC36F8"/>
    <w:rsid w:val="00AC37BF"/>
    <w:rsid w:val="00AC3A19"/>
    <w:rsid w:val="00AC3A24"/>
    <w:rsid w:val="00AC42CF"/>
    <w:rsid w:val="00AC4C40"/>
    <w:rsid w:val="00AC5A72"/>
    <w:rsid w:val="00AC6470"/>
    <w:rsid w:val="00AC6847"/>
    <w:rsid w:val="00AD04C3"/>
    <w:rsid w:val="00AD0556"/>
    <w:rsid w:val="00AD100C"/>
    <w:rsid w:val="00AD19FD"/>
    <w:rsid w:val="00AD1C61"/>
    <w:rsid w:val="00AD284D"/>
    <w:rsid w:val="00AD2D38"/>
    <w:rsid w:val="00AD3599"/>
    <w:rsid w:val="00AD3AB6"/>
    <w:rsid w:val="00AD412A"/>
    <w:rsid w:val="00AD4C34"/>
    <w:rsid w:val="00AD65AC"/>
    <w:rsid w:val="00AD6DE8"/>
    <w:rsid w:val="00AD706E"/>
    <w:rsid w:val="00AE09F6"/>
    <w:rsid w:val="00AE0ABF"/>
    <w:rsid w:val="00AE1993"/>
    <w:rsid w:val="00AE1D8E"/>
    <w:rsid w:val="00AE2CD8"/>
    <w:rsid w:val="00AE2CE6"/>
    <w:rsid w:val="00AE39DA"/>
    <w:rsid w:val="00AE4833"/>
    <w:rsid w:val="00AE4D12"/>
    <w:rsid w:val="00AE6426"/>
    <w:rsid w:val="00AE77C1"/>
    <w:rsid w:val="00AF0250"/>
    <w:rsid w:val="00AF0E0D"/>
    <w:rsid w:val="00AF1AE0"/>
    <w:rsid w:val="00AF1CD1"/>
    <w:rsid w:val="00AF26F3"/>
    <w:rsid w:val="00AF2E9D"/>
    <w:rsid w:val="00AF5583"/>
    <w:rsid w:val="00AF7003"/>
    <w:rsid w:val="00AF75DC"/>
    <w:rsid w:val="00AF77A1"/>
    <w:rsid w:val="00B005A1"/>
    <w:rsid w:val="00B03224"/>
    <w:rsid w:val="00B037F1"/>
    <w:rsid w:val="00B04AF4"/>
    <w:rsid w:val="00B04C08"/>
    <w:rsid w:val="00B04E92"/>
    <w:rsid w:val="00B053E7"/>
    <w:rsid w:val="00B05C32"/>
    <w:rsid w:val="00B05FF0"/>
    <w:rsid w:val="00B0641F"/>
    <w:rsid w:val="00B078B0"/>
    <w:rsid w:val="00B07B6F"/>
    <w:rsid w:val="00B07DFA"/>
    <w:rsid w:val="00B10837"/>
    <w:rsid w:val="00B10B80"/>
    <w:rsid w:val="00B10DFE"/>
    <w:rsid w:val="00B11EC8"/>
    <w:rsid w:val="00B124E3"/>
    <w:rsid w:val="00B12C71"/>
    <w:rsid w:val="00B14B34"/>
    <w:rsid w:val="00B15D78"/>
    <w:rsid w:val="00B17682"/>
    <w:rsid w:val="00B17A27"/>
    <w:rsid w:val="00B2002E"/>
    <w:rsid w:val="00B226E2"/>
    <w:rsid w:val="00B22F51"/>
    <w:rsid w:val="00B25510"/>
    <w:rsid w:val="00B25769"/>
    <w:rsid w:val="00B258A0"/>
    <w:rsid w:val="00B25D47"/>
    <w:rsid w:val="00B25F92"/>
    <w:rsid w:val="00B262D1"/>
    <w:rsid w:val="00B30C69"/>
    <w:rsid w:val="00B31C1C"/>
    <w:rsid w:val="00B32E22"/>
    <w:rsid w:val="00B336A0"/>
    <w:rsid w:val="00B33A7E"/>
    <w:rsid w:val="00B358C1"/>
    <w:rsid w:val="00B37184"/>
    <w:rsid w:val="00B37CA7"/>
    <w:rsid w:val="00B37D3A"/>
    <w:rsid w:val="00B4063F"/>
    <w:rsid w:val="00B41FA8"/>
    <w:rsid w:val="00B427F1"/>
    <w:rsid w:val="00B42854"/>
    <w:rsid w:val="00B42C76"/>
    <w:rsid w:val="00B433B3"/>
    <w:rsid w:val="00B44F65"/>
    <w:rsid w:val="00B46356"/>
    <w:rsid w:val="00B46B98"/>
    <w:rsid w:val="00B46E1A"/>
    <w:rsid w:val="00B46F61"/>
    <w:rsid w:val="00B47FC9"/>
    <w:rsid w:val="00B5022D"/>
    <w:rsid w:val="00B5061C"/>
    <w:rsid w:val="00B50D9D"/>
    <w:rsid w:val="00B511FB"/>
    <w:rsid w:val="00B51932"/>
    <w:rsid w:val="00B528C9"/>
    <w:rsid w:val="00B52DE8"/>
    <w:rsid w:val="00B534B9"/>
    <w:rsid w:val="00B54095"/>
    <w:rsid w:val="00B55BEC"/>
    <w:rsid w:val="00B55C87"/>
    <w:rsid w:val="00B56533"/>
    <w:rsid w:val="00B5701F"/>
    <w:rsid w:val="00B576A9"/>
    <w:rsid w:val="00B57A81"/>
    <w:rsid w:val="00B57DF7"/>
    <w:rsid w:val="00B57E02"/>
    <w:rsid w:val="00B602E1"/>
    <w:rsid w:val="00B6105C"/>
    <w:rsid w:val="00B63326"/>
    <w:rsid w:val="00B6374B"/>
    <w:rsid w:val="00B63A49"/>
    <w:rsid w:val="00B64056"/>
    <w:rsid w:val="00B646A9"/>
    <w:rsid w:val="00B64BA1"/>
    <w:rsid w:val="00B655FD"/>
    <w:rsid w:val="00B66755"/>
    <w:rsid w:val="00B66A49"/>
    <w:rsid w:val="00B66DE8"/>
    <w:rsid w:val="00B67C56"/>
    <w:rsid w:val="00B7053C"/>
    <w:rsid w:val="00B70E2C"/>
    <w:rsid w:val="00B70F6A"/>
    <w:rsid w:val="00B71571"/>
    <w:rsid w:val="00B718F5"/>
    <w:rsid w:val="00B71B11"/>
    <w:rsid w:val="00B72405"/>
    <w:rsid w:val="00B73461"/>
    <w:rsid w:val="00B73663"/>
    <w:rsid w:val="00B73D65"/>
    <w:rsid w:val="00B7431F"/>
    <w:rsid w:val="00B74AAC"/>
    <w:rsid w:val="00B75190"/>
    <w:rsid w:val="00B75861"/>
    <w:rsid w:val="00B75AF6"/>
    <w:rsid w:val="00B75B2E"/>
    <w:rsid w:val="00B75F16"/>
    <w:rsid w:val="00B76447"/>
    <w:rsid w:val="00B76469"/>
    <w:rsid w:val="00B77003"/>
    <w:rsid w:val="00B7707E"/>
    <w:rsid w:val="00B77F35"/>
    <w:rsid w:val="00B80F62"/>
    <w:rsid w:val="00B81BC0"/>
    <w:rsid w:val="00B81E40"/>
    <w:rsid w:val="00B824DC"/>
    <w:rsid w:val="00B826A3"/>
    <w:rsid w:val="00B8391A"/>
    <w:rsid w:val="00B83A45"/>
    <w:rsid w:val="00B83ADF"/>
    <w:rsid w:val="00B83F61"/>
    <w:rsid w:val="00B86B23"/>
    <w:rsid w:val="00B90173"/>
    <w:rsid w:val="00B90A7B"/>
    <w:rsid w:val="00B914B8"/>
    <w:rsid w:val="00B918BC"/>
    <w:rsid w:val="00B91A4B"/>
    <w:rsid w:val="00B91ACB"/>
    <w:rsid w:val="00B92C5E"/>
    <w:rsid w:val="00B93A09"/>
    <w:rsid w:val="00B93B91"/>
    <w:rsid w:val="00B93F0F"/>
    <w:rsid w:val="00B941A6"/>
    <w:rsid w:val="00B942E2"/>
    <w:rsid w:val="00B950A3"/>
    <w:rsid w:val="00B957FB"/>
    <w:rsid w:val="00B966B7"/>
    <w:rsid w:val="00B9724F"/>
    <w:rsid w:val="00B97E60"/>
    <w:rsid w:val="00BA2539"/>
    <w:rsid w:val="00BA2546"/>
    <w:rsid w:val="00BA2E85"/>
    <w:rsid w:val="00BA3521"/>
    <w:rsid w:val="00BA3885"/>
    <w:rsid w:val="00BA3BC0"/>
    <w:rsid w:val="00BA3D15"/>
    <w:rsid w:val="00BA6381"/>
    <w:rsid w:val="00BA6C2F"/>
    <w:rsid w:val="00BA7B78"/>
    <w:rsid w:val="00BA7CDF"/>
    <w:rsid w:val="00BB34F8"/>
    <w:rsid w:val="00BB37F2"/>
    <w:rsid w:val="00BB3F1F"/>
    <w:rsid w:val="00BB5B19"/>
    <w:rsid w:val="00BB5C4A"/>
    <w:rsid w:val="00BB5D9E"/>
    <w:rsid w:val="00BB5FC1"/>
    <w:rsid w:val="00BB5FFA"/>
    <w:rsid w:val="00BB675B"/>
    <w:rsid w:val="00BB6DE2"/>
    <w:rsid w:val="00BB7593"/>
    <w:rsid w:val="00BB779E"/>
    <w:rsid w:val="00BB7D43"/>
    <w:rsid w:val="00BB7D4E"/>
    <w:rsid w:val="00BC0205"/>
    <w:rsid w:val="00BC0B96"/>
    <w:rsid w:val="00BC3142"/>
    <w:rsid w:val="00BC3B60"/>
    <w:rsid w:val="00BC3B75"/>
    <w:rsid w:val="00BC3C35"/>
    <w:rsid w:val="00BC6012"/>
    <w:rsid w:val="00BC627E"/>
    <w:rsid w:val="00BC667D"/>
    <w:rsid w:val="00BC6AF3"/>
    <w:rsid w:val="00BC7E4A"/>
    <w:rsid w:val="00BD01A5"/>
    <w:rsid w:val="00BD035A"/>
    <w:rsid w:val="00BD04DD"/>
    <w:rsid w:val="00BD130B"/>
    <w:rsid w:val="00BD1407"/>
    <w:rsid w:val="00BD1624"/>
    <w:rsid w:val="00BD209D"/>
    <w:rsid w:val="00BD213B"/>
    <w:rsid w:val="00BD4029"/>
    <w:rsid w:val="00BD4C97"/>
    <w:rsid w:val="00BD58F2"/>
    <w:rsid w:val="00BD68F5"/>
    <w:rsid w:val="00BD7B3D"/>
    <w:rsid w:val="00BE0219"/>
    <w:rsid w:val="00BE08B2"/>
    <w:rsid w:val="00BE1660"/>
    <w:rsid w:val="00BE1A0C"/>
    <w:rsid w:val="00BE1D64"/>
    <w:rsid w:val="00BE220F"/>
    <w:rsid w:val="00BE2E78"/>
    <w:rsid w:val="00BE2EF4"/>
    <w:rsid w:val="00BE2F68"/>
    <w:rsid w:val="00BE3088"/>
    <w:rsid w:val="00BE36D6"/>
    <w:rsid w:val="00BE522A"/>
    <w:rsid w:val="00BE72B1"/>
    <w:rsid w:val="00BF0205"/>
    <w:rsid w:val="00BF09A4"/>
    <w:rsid w:val="00BF1294"/>
    <w:rsid w:val="00BF1714"/>
    <w:rsid w:val="00BF1FC1"/>
    <w:rsid w:val="00BF24EC"/>
    <w:rsid w:val="00BF39B0"/>
    <w:rsid w:val="00BF46BC"/>
    <w:rsid w:val="00BF4DD1"/>
    <w:rsid w:val="00BF52AE"/>
    <w:rsid w:val="00BF5F2C"/>
    <w:rsid w:val="00BF61BD"/>
    <w:rsid w:val="00BF66A7"/>
    <w:rsid w:val="00BF7161"/>
    <w:rsid w:val="00BF741B"/>
    <w:rsid w:val="00BF77F8"/>
    <w:rsid w:val="00BF7B08"/>
    <w:rsid w:val="00C004A6"/>
    <w:rsid w:val="00C00C0B"/>
    <w:rsid w:val="00C02E97"/>
    <w:rsid w:val="00C02FA2"/>
    <w:rsid w:val="00C032AD"/>
    <w:rsid w:val="00C0345C"/>
    <w:rsid w:val="00C03D7B"/>
    <w:rsid w:val="00C0405D"/>
    <w:rsid w:val="00C042F9"/>
    <w:rsid w:val="00C04B28"/>
    <w:rsid w:val="00C05261"/>
    <w:rsid w:val="00C05F46"/>
    <w:rsid w:val="00C07563"/>
    <w:rsid w:val="00C075BA"/>
    <w:rsid w:val="00C07DBC"/>
    <w:rsid w:val="00C10BEE"/>
    <w:rsid w:val="00C11FD6"/>
    <w:rsid w:val="00C12712"/>
    <w:rsid w:val="00C144FA"/>
    <w:rsid w:val="00C15A2E"/>
    <w:rsid w:val="00C168C2"/>
    <w:rsid w:val="00C21228"/>
    <w:rsid w:val="00C21432"/>
    <w:rsid w:val="00C225BD"/>
    <w:rsid w:val="00C22709"/>
    <w:rsid w:val="00C23019"/>
    <w:rsid w:val="00C2307E"/>
    <w:rsid w:val="00C232B6"/>
    <w:rsid w:val="00C238F0"/>
    <w:rsid w:val="00C23EFA"/>
    <w:rsid w:val="00C2575B"/>
    <w:rsid w:val="00C26F86"/>
    <w:rsid w:val="00C27048"/>
    <w:rsid w:val="00C27C63"/>
    <w:rsid w:val="00C27EBB"/>
    <w:rsid w:val="00C308F3"/>
    <w:rsid w:val="00C3217E"/>
    <w:rsid w:val="00C327A4"/>
    <w:rsid w:val="00C32BE6"/>
    <w:rsid w:val="00C330C1"/>
    <w:rsid w:val="00C34A26"/>
    <w:rsid w:val="00C35EF1"/>
    <w:rsid w:val="00C36353"/>
    <w:rsid w:val="00C36EE4"/>
    <w:rsid w:val="00C3745C"/>
    <w:rsid w:val="00C379B8"/>
    <w:rsid w:val="00C403BA"/>
    <w:rsid w:val="00C4091C"/>
    <w:rsid w:val="00C40A8D"/>
    <w:rsid w:val="00C40AF0"/>
    <w:rsid w:val="00C40FD1"/>
    <w:rsid w:val="00C42354"/>
    <w:rsid w:val="00C42BBD"/>
    <w:rsid w:val="00C438B5"/>
    <w:rsid w:val="00C44156"/>
    <w:rsid w:val="00C44700"/>
    <w:rsid w:val="00C44ABA"/>
    <w:rsid w:val="00C45537"/>
    <w:rsid w:val="00C45DC6"/>
    <w:rsid w:val="00C46629"/>
    <w:rsid w:val="00C46E2D"/>
    <w:rsid w:val="00C470E3"/>
    <w:rsid w:val="00C478F3"/>
    <w:rsid w:val="00C50399"/>
    <w:rsid w:val="00C50418"/>
    <w:rsid w:val="00C51AD3"/>
    <w:rsid w:val="00C52E53"/>
    <w:rsid w:val="00C5427B"/>
    <w:rsid w:val="00C54E34"/>
    <w:rsid w:val="00C55565"/>
    <w:rsid w:val="00C55648"/>
    <w:rsid w:val="00C55703"/>
    <w:rsid w:val="00C561C7"/>
    <w:rsid w:val="00C573E3"/>
    <w:rsid w:val="00C577E9"/>
    <w:rsid w:val="00C5783F"/>
    <w:rsid w:val="00C578F4"/>
    <w:rsid w:val="00C60397"/>
    <w:rsid w:val="00C62072"/>
    <w:rsid w:val="00C625B3"/>
    <w:rsid w:val="00C62614"/>
    <w:rsid w:val="00C6284B"/>
    <w:rsid w:val="00C62D83"/>
    <w:rsid w:val="00C63550"/>
    <w:rsid w:val="00C63D2D"/>
    <w:rsid w:val="00C66031"/>
    <w:rsid w:val="00C6677E"/>
    <w:rsid w:val="00C667E5"/>
    <w:rsid w:val="00C668E5"/>
    <w:rsid w:val="00C70353"/>
    <w:rsid w:val="00C70A19"/>
    <w:rsid w:val="00C70A4E"/>
    <w:rsid w:val="00C70E03"/>
    <w:rsid w:val="00C7179B"/>
    <w:rsid w:val="00C7198F"/>
    <w:rsid w:val="00C71CD5"/>
    <w:rsid w:val="00C72FC7"/>
    <w:rsid w:val="00C732F6"/>
    <w:rsid w:val="00C73B1B"/>
    <w:rsid w:val="00C73D4A"/>
    <w:rsid w:val="00C73E56"/>
    <w:rsid w:val="00C73E61"/>
    <w:rsid w:val="00C743A8"/>
    <w:rsid w:val="00C745DA"/>
    <w:rsid w:val="00C7490E"/>
    <w:rsid w:val="00C7529D"/>
    <w:rsid w:val="00C75745"/>
    <w:rsid w:val="00C75A09"/>
    <w:rsid w:val="00C75BB1"/>
    <w:rsid w:val="00C75E87"/>
    <w:rsid w:val="00C80043"/>
    <w:rsid w:val="00C8038C"/>
    <w:rsid w:val="00C80628"/>
    <w:rsid w:val="00C81711"/>
    <w:rsid w:val="00C81C69"/>
    <w:rsid w:val="00C822D7"/>
    <w:rsid w:val="00C83A17"/>
    <w:rsid w:val="00C847D0"/>
    <w:rsid w:val="00C85A57"/>
    <w:rsid w:val="00C87CA1"/>
    <w:rsid w:val="00C90323"/>
    <w:rsid w:val="00C915CB"/>
    <w:rsid w:val="00C917F3"/>
    <w:rsid w:val="00C91F8E"/>
    <w:rsid w:val="00C927FE"/>
    <w:rsid w:val="00C93118"/>
    <w:rsid w:val="00C93A4B"/>
    <w:rsid w:val="00C94504"/>
    <w:rsid w:val="00C9482E"/>
    <w:rsid w:val="00C949EF"/>
    <w:rsid w:val="00C94C90"/>
    <w:rsid w:val="00C9580F"/>
    <w:rsid w:val="00C96798"/>
    <w:rsid w:val="00CA0480"/>
    <w:rsid w:val="00CA0960"/>
    <w:rsid w:val="00CA20B6"/>
    <w:rsid w:val="00CA2BE7"/>
    <w:rsid w:val="00CA2EB1"/>
    <w:rsid w:val="00CA39C1"/>
    <w:rsid w:val="00CA4128"/>
    <w:rsid w:val="00CA4714"/>
    <w:rsid w:val="00CA4985"/>
    <w:rsid w:val="00CA591B"/>
    <w:rsid w:val="00CA5CFF"/>
    <w:rsid w:val="00CA5EF7"/>
    <w:rsid w:val="00CA604F"/>
    <w:rsid w:val="00CA7587"/>
    <w:rsid w:val="00CB07C5"/>
    <w:rsid w:val="00CB0C31"/>
    <w:rsid w:val="00CB0E3A"/>
    <w:rsid w:val="00CB1461"/>
    <w:rsid w:val="00CB173E"/>
    <w:rsid w:val="00CB1831"/>
    <w:rsid w:val="00CB1BF0"/>
    <w:rsid w:val="00CB1CC5"/>
    <w:rsid w:val="00CB2612"/>
    <w:rsid w:val="00CB2E1F"/>
    <w:rsid w:val="00CB34ED"/>
    <w:rsid w:val="00CB38BB"/>
    <w:rsid w:val="00CB4086"/>
    <w:rsid w:val="00CB4612"/>
    <w:rsid w:val="00CB4EB1"/>
    <w:rsid w:val="00CB5863"/>
    <w:rsid w:val="00CB58CA"/>
    <w:rsid w:val="00CB5A69"/>
    <w:rsid w:val="00CB762F"/>
    <w:rsid w:val="00CB7989"/>
    <w:rsid w:val="00CB7B85"/>
    <w:rsid w:val="00CC0EFC"/>
    <w:rsid w:val="00CC1514"/>
    <w:rsid w:val="00CC1B4A"/>
    <w:rsid w:val="00CC2184"/>
    <w:rsid w:val="00CC3F43"/>
    <w:rsid w:val="00CC40A2"/>
    <w:rsid w:val="00CC4276"/>
    <w:rsid w:val="00CC52F2"/>
    <w:rsid w:val="00CC537E"/>
    <w:rsid w:val="00CC5E4B"/>
    <w:rsid w:val="00CC5F50"/>
    <w:rsid w:val="00CC6529"/>
    <w:rsid w:val="00CC6B75"/>
    <w:rsid w:val="00CC7168"/>
    <w:rsid w:val="00CD02FC"/>
    <w:rsid w:val="00CD0C74"/>
    <w:rsid w:val="00CD1896"/>
    <w:rsid w:val="00CD2255"/>
    <w:rsid w:val="00CD22EB"/>
    <w:rsid w:val="00CD30A4"/>
    <w:rsid w:val="00CD3B80"/>
    <w:rsid w:val="00CD3CB6"/>
    <w:rsid w:val="00CD3D67"/>
    <w:rsid w:val="00CD4C69"/>
    <w:rsid w:val="00CD5C8E"/>
    <w:rsid w:val="00CD5E1C"/>
    <w:rsid w:val="00CD66B7"/>
    <w:rsid w:val="00CD6D62"/>
    <w:rsid w:val="00CD7934"/>
    <w:rsid w:val="00CD7B23"/>
    <w:rsid w:val="00CE054F"/>
    <w:rsid w:val="00CE0C46"/>
    <w:rsid w:val="00CE13F5"/>
    <w:rsid w:val="00CE17CE"/>
    <w:rsid w:val="00CE1C3E"/>
    <w:rsid w:val="00CE2021"/>
    <w:rsid w:val="00CE242A"/>
    <w:rsid w:val="00CE3EF4"/>
    <w:rsid w:val="00CE4B9E"/>
    <w:rsid w:val="00CE5F47"/>
    <w:rsid w:val="00CE5FF3"/>
    <w:rsid w:val="00CE71BA"/>
    <w:rsid w:val="00CE77BB"/>
    <w:rsid w:val="00CE7A75"/>
    <w:rsid w:val="00CF0B4D"/>
    <w:rsid w:val="00CF1E3D"/>
    <w:rsid w:val="00CF1EDB"/>
    <w:rsid w:val="00CF1F51"/>
    <w:rsid w:val="00CF2C1D"/>
    <w:rsid w:val="00CF398F"/>
    <w:rsid w:val="00CF3D6A"/>
    <w:rsid w:val="00CF5D26"/>
    <w:rsid w:val="00D005A7"/>
    <w:rsid w:val="00D01DDB"/>
    <w:rsid w:val="00D02FF3"/>
    <w:rsid w:val="00D05565"/>
    <w:rsid w:val="00D0573E"/>
    <w:rsid w:val="00D0591F"/>
    <w:rsid w:val="00D0696B"/>
    <w:rsid w:val="00D07D45"/>
    <w:rsid w:val="00D10914"/>
    <w:rsid w:val="00D10D9A"/>
    <w:rsid w:val="00D10EA0"/>
    <w:rsid w:val="00D141C9"/>
    <w:rsid w:val="00D14734"/>
    <w:rsid w:val="00D147D8"/>
    <w:rsid w:val="00D155E9"/>
    <w:rsid w:val="00D15B00"/>
    <w:rsid w:val="00D161F9"/>
    <w:rsid w:val="00D16EEA"/>
    <w:rsid w:val="00D1776B"/>
    <w:rsid w:val="00D17A60"/>
    <w:rsid w:val="00D2177A"/>
    <w:rsid w:val="00D224B4"/>
    <w:rsid w:val="00D2261C"/>
    <w:rsid w:val="00D227B1"/>
    <w:rsid w:val="00D244EA"/>
    <w:rsid w:val="00D25705"/>
    <w:rsid w:val="00D25C1E"/>
    <w:rsid w:val="00D25E98"/>
    <w:rsid w:val="00D25EDF"/>
    <w:rsid w:val="00D2688D"/>
    <w:rsid w:val="00D268AE"/>
    <w:rsid w:val="00D303D0"/>
    <w:rsid w:val="00D313AC"/>
    <w:rsid w:val="00D3166E"/>
    <w:rsid w:val="00D3167C"/>
    <w:rsid w:val="00D31E7B"/>
    <w:rsid w:val="00D32BD7"/>
    <w:rsid w:val="00D32C0F"/>
    <w:rsid w:val="00D32D07"/>
    <w:rsid w:val="00D33AE8"/>
    <w:rsid w:val="00D34905"/>
    <w:rsid w:val="00D34BF6"/>
    <w:rsid w:val="00D34FA4"/>
    <w:rsid w:val="00D35BE8"/>
    <w:rsid w:val="00D3644E"/>
    <w:rsid w:val="00D3650F"/>
    <w:rsid w:val="00D36A22"/>
    <w:rsid w:val="00D36DA2"/>
    <w:rsid w:val="00D376CF"/>
    <w:rsid w:val="00D407A3"/>
    <w:rsid w:val="00D40E9A"/>
    <w:rsid w:val="00D41201"/>
    <w:rsid w:val="00D41766"/>
    <w:rsid w:val="00D418D6"/>
    <w:rsid w:val="00D41B1F"/>
    <w:rsid w:val="00D41DBC"/>
    <w:rsid w:val="00D4286A"/>
    <w:rsid w:val="00D42FB5"/>
    <w:rsid w:val="00D4345F"/>
    <w:rsid w:val="00D43D6F"/>
    <w:rsid w:val="00D449A1"/>
    <w:rsid w:val="00D44FAF"/>
    <w:rsid w:val="00D45D60"/>
    <w:rsid w:val="00D4621B"/>
    <w:rsid w:val="00D46A3D"/>
    <w:rsid w:val="00D47029"/>
    <w:rsid w:val="00D47DE2"/>
    <w:rsid w:val="00D50671"/>
    <w:rsid w:val="00D50A72"/>
    <w:rsid w:val="00D51F42"/>
    <w:rsid w:val="00D5277F"/>
    <w:rsid w:val="00D54099"/>
    <w:rsid w:val="00D545AB"/>
    <w:rsid w:val="00D551D6"/>
    <w:rsid w:val="00D55AA6"/>
    <w:rsid w:val="00D5672B"/>
    <w:rsid w:val="00D568D9"/>
    <w:rsid w:val="00D5697A"/>
    <w:rsid w:val="00D57027"/>
    <w:rsid w:val="00D57464"/>
    <w:rsid w:val="00D5E912"/>
    <w:rsid w:val="00D60191"/>
    <w:rsid w:val="00D605C2"/>
    <w:rsid w:val="00D60992"/>
    <w:rsid w:val="00D60BAD"/>
    <w:rsid w:val="00D6202F"/>
    <w:rsid w:val="00D62C63"/>
    <w:rsid w:val="00D637E5"/>
    <w:rsid w:val="00D65CA4"/>
    <w:rsid w:val="00D66D39"/>
    <w:rsid w:val="00D66F2C"/>
    <w:rsid w:val="00D66FF4"/>
    <w:rsid w:val="00D70348"/>
    <w:rsid w:val="00D7084C"/>
    <w:rsid w:val="00D70900"/>
    <w:rsid w:val="00D715C6"/>
    <w:rsid w:val="00D716D1"/>
    <w:rsid w:val="00D71B88"/>
    <w:rsid w:val="00D736D8"/>
    <w:rsid w:val="00D74964"/>
    <w:rsid w:val="00D74999"/>
    <w:rsid w:val="00D74A43"/>
    <w:rsid w:val="00D74EE9"/>
    <w:rsid w:val="00D757C9"/>
    <w:rsid w:val="00D75A52"/>
    <w:rsid w:val="00D77987"/>
    <w:rsid w:val="00D77A45"/>
    <w:rsid w:val="00D77ABA"/>
    <w:rsid w:val="00D8034A"/>
    <w:rsid w:val="00D807E8"/>
    <w:rsid w:val="00D81CC3"/>
    <w:rsid w:val="00D824C4"/>
    <w:rsid w:val="00D8296D"/>
    <w:rsid w:val="00D82A44"/>
    <w:rsid w:val="00D86371"/>
    <w:rsid w:val="00D87886"/>
    <w:rsid w:val="00D900B6"/>
    <w:rsid w:val="00D9074B"/>
    <w:rsid w:val="00D9088D"/>
    <w:rsid w:val="00D90BA7"/>
    <w:rsid w:val="00D90E27"/>
    <w:rsid w:val="00D91092"/>
    <w:rsid w:val="00D916B8"/>
    <w:rsid w:val="00D918E0"/>
    <w:rsid w:val="00D919BC"/>
    <w:rsid w:val="00D919FD"/>
    <w:rsid w:val="00D91A7C"/>
    <w:rsid w:val="00D91E94"/>
    <w:rsid w:val="00D9206B"/>
    <w:rsid w:val="00D95392"/>
    <w:rsid w:val="00D955FB"/>
    <w:rsid w:val="00D9585F"/>
    <w:rsid w:val="00D9649C"/>
    <w:rsid w:val="00D9673C"/>
    <w:rsid w:val="00D96765"/>
    <w:rsid w:val="00D97416"/>
    <w:rsid w:val="00D97620"/>
    <w:rsid w:val="00D9774B"/>
    <w:rsid w:val="00DA0256"/>
    <w:rsid w:val="00DA0B29"/>
    <w:rsid w:val="00DA1C30"/>
    <w:rsid w:val="00DA1FE3"/>
    <w:rsid w:val="00DA2C73"/>
    <w:rsid w:val="00DA330F"/>
    <w:rsid w:val="00DA3741"/>
    <w:rsid w:val="00DA408D"/>
    <w:rsid w:val="00DA43CB"/>
    <w:rsid w:val="00DA5A0B"/>
    <w:rsid w:val="00DA6D5E"/>
    <w:rsid w:val="00DA7140"/>
    <w:rsid w:val="00DB152A"/>
    <w:rsid w:val="00DB170D"/>
    <w:rsid w:val="00DB1775"/>
    <w:rsid w:val="00DB2B43"/>
    <w:rsid w:val="00DB2F47"/>
    <w:rsid w:val="00DB475D"/>
    <w:rsid w:val="00DB485B"/>
    <w:rsid w:val="00DB5203"/>
    <w:rsid w:val="00DB5891"/>
    <w:rsid w:val="00DB61BE"/>
    <w:rsid w:val="00DB7AED"/>
    <w:rsid w:val="00DC1A8D"/>
    <w:rsid w:val="00DC3E8C"/>
    <w:rsid w:val="00DC5C2B"/>
    <w:rsid w:val="00DC5CC6"/>
    <w:rsid w:val="00DC6456"/>
    <w:rsid w:val="00DC67D3"/>
    <w:rsid w:val="00DC6AA8"/>
    <w:rsid w:val="00DC6CE5"/>
    <w:rsid w:val="00DC72A1"/>
    <w:rsid w:val="00DC7CB6"/>
    <w:rsid w:val="00DD0FD9"/>
    <w:rsid w:val="00DD1852"/>
    <w:rsid w:val="00DD2894"/>
    <w:rsid w:val="00DD3714"/>
    <w:rsid w:val="00DD39DB"/>
    <w:rsid w:val="00DD441C"/>
    <w:rsid w:val="00DD5D36"/>
    <w:rsid w:val="00DD5F7F"/>
    <w:rsid w:val="00DD670A"/>
    <w:rsid w:val="00DD7916"/>
    <w:rsid w:val="00DE0757"/>
    <w:rsid w:val="00DE0941"/>
    <w:rsid w:val="00DE0D7B"/>
    <w:rsid w:val="00DE11E8"/>
    <w:rsid w:val="00DE17C3"/>
    <w:rsid w:val="00DE2465"/>
    <w:rsid w:val="00DE3506"/>
    <w:rsid w:val="00DE36A9"/>
    <w:rsid w:val="00DE3CE2"/>
    <w:rsid w:val="00DE40A1"/>
    <w:rsid w:val="00DE411A"/>
    <w:rsid w:val="00DE4237"/>
    <w:rsid w:val="00DE463F"/>
    <w:rsid w:val="00DE46B4"/>
    <w:rsid w:val="00DE480E"/>
    <w:rsid w:val="00DE50A1"/>
    <w:rsid w:val="00DE58E1"/>
    <w:rsid w:val="00DE5CAC"/>
    <w:rsid w:val="00DE7628"/>
    <w:rsid w:val="00DE77CF"/>
    <w:rsid w:val="00DE7D17"/>
    <w:rsid w:val="00DF00B5"/>
    <w:rsid w:val="00DF027F"/>
    <w:rsid w:val="00DF09E5"/>
    <w:rsid w:val="00DF0DD1"/>
    <w:rsid w:val="00DF0F7F"/>
    <w:rsid w:val="00DF14BF"/>
    <w:rsid w:val="00DF1AD1"/>
    <w:rsid w:val="00DF1F8C"/>
    <w:rsid w:val="00DF1FBA"/>
    <w:rsid w:val="00DF2236"/>
    <w:rsid w:val="00DF2B3F"/>
    <w:rsid w:val="00DF2EB9"/>
    <w:rsid w:val="00DF42E1"/>
    <w:rsid w:val="00DF4570"/>
    <w:rsid w:val="00DF4B7E"/>
    <w:rsid w:val="00DF6E12"/>
    <w:rsid w:val="00DF739D"/>
    <w:rsid w:val="00DF7D60"/>
    <w:rsid w:val="00E00DD4"/>
    <w:rsid w:val="00E0222C"/>
    <w:rsid w:val="00E031E9"/>
    <w:rsid w:val="00E03A05"/>
    <w:rsid w:val="00E03E4F"/>
    <w:rsid w:val="00E04527"/>
    <w:rsid w:val="00E04A5C"/>
    <w:rsid w:val="00E04DA7"/>
    <w:rsid w:val="00E04F98"/>
    <w:rsid w:val="00E053A5"/>
    <w:rsid w:val="00E058BD"/>
    <w:rsid w:val="00E06E8B"/>
    <w:rsid w:val="00E071CC"/>
    <w:rsid w:val="00E0777A"/>
    <w:rsid w:val="00E079D3"/>
    <w:rsid w:val="00E10739"/>
    <w:rsid w:val="00E1097B"/>
    <w:rsid w:val="00E109C6"/>
    <w:rsid w:val="00E10E62"/>
    <w:rsid w:val="00E11F83"/>
    <w:rsid w:val="00E1237F"/>
    <w:rsid w:val="00E12620"/>
    <w:rsid w:val="00E133FE"/>
    <w:rsid w:val="00E13A09"/>
    <w:rsid w:val="00E13FE0"/>
    <w:rsid w:val="00E14845"/>
    <w:rsid w:val="00E14E75"/>
    <w:rsid w:val="00E15244"/>
    <w:rsid w:val="00E161EF"/>
    <w:rsid w:val="00E16265"/>
    <w:rsid w:val="00E1634C"/>
    <w:rsid w:val="00E1694D"/>
    <w:rsid w:val="00E1729B"/>
    <w:rsid w:val="00E20993"/>
    <w:rsid w:val="00E210F8"/>
    <w:rsid w:val="00E21640"/>
    <w:rsid w:val="00E21874"/>
    <w:rsid w:val="00E21B7E"/>
    <w:rsid w:val="00E2261F"/>
    <w:rsid w:val="00E22A7B"/>
    <w:rsid w:val="00E240C9"/>
    <w:rsid w:val="00E24216"/>
    <w:rsid w:val="00E2432A"/>
    <w:rsid w:val="00E24DD8"/>
    <w:rsid w:val="00E25A42"/>
    <w:rsid w:val="00E26A3E"/>
    <w:rsid w:val="00E26D62"/>
    <w:rsid w:val="00E277A0"/>
    <w:rsid w:val="00E2786B"/>
    <w:rsid w:val="00E314AB"/>
    <w:rsid w:val="00E317A4"/>
    <w:rsid w:val="00E31C6B"/>
    <w:rsid w:val="00E32984"/>
    <w:rsid w:val="00E32E28"/>
    <w:rsid w:val="00E33FD1"/>
    <w:rsid w:val="00E34147"/>
    <w:rsid w:val="00E344C6"/>
    <w:rsid w:val="00E34DE1"/>
    <w:rsid w:val="00E36725"/>
    <w:rsid w:val="00E36C3F"/>
    <w:rsid w:val="00E37FA0"/>
    <w:rsid w:val="00E37FFA"/>
    <w:rsid w:val="00E4072C"/>
    <w:rsid w:val="00E40D59"/>
    <w:rsid w:val="00E410CF"/>
    <w:rsid w:val="00E41443"/>
    <w:rsid w:val="00E41DE9"/>
    <w:rsid w:val="00E425F4"/>
    <w:rsid w:val="00E426A1"/>
    <w:rsid w:val="00E4282A"/>
    <w:rsid w:val="00E42D49"/>
    <w:rsid w:val="00E43030"/>
    <w:rsid w:val="00E432E2"/>
    <w:rsid w:val="00E43849"/>
    <w:rsid w:val="00E43F1C"/>
    <w:rsid w:val="00E4415D"/>
    <w:rsid w:val="00E44A1C"/>
    <w:rsid w:val="00E451A4"/>
    <w:rsid w:val="00E456D4"/>
    <w:rsid w:val="00E50A2C"/>
    <w:rsid w:val="00E51150"/>
    <w:rsid w:val="00E51172"/>
    <w:rsid w:val="00E51325"/>
    <w:rsid w:val="00E5132B"/>
    <w:rsid w:val="00E51533"/>
    <w:rsid w:val="00E51CC7"/>
    <w:rsid w:val="00E51CF0"/>
    <w:rsid w:val="00E521C8"/>
    <w:rsid w:val="00E523AE"/>
    <w:rsid w:val="00E52D3C"/>
    <w:rsid w:val="00E5385D"/>
    <w:rsid w:val="00E53A44"/>
    <w:rsid w:val="00E53D34"/>
    <w:rsid w:val="00E544A7"/>
    <w:rsid w:val="00E5492B"/>
    <w:rsid w:val="00E54B66"/>
    <w:rsid w:val="00E5583F"/>
    <w:rsid w:val="00E5621E"/>
    <w:rsid w:val="00E5623E"/>
    <w:rsid w:val="00E5658D"/>
    <w:rsid w:val="00E5772E"/>
    <w:rsid w:val="00E60169"/>
    <w:rsid w:val="00E6023F"/>
    <w:rsid w:val="00E6031D"/>
    <w:rsid w:val="00E603F7"/>
    <w:rsid w:val="00E60AC5"/>
    <w:rsid w:val="00E60DF3"/>
    <w:rsid w:val="00E612CD"/>
    <w:rsid w:val="00E61CB5"/>
    <w:rsid w:val="00E62C0F"/>
    <w:rsid w:val="00E63293"/>
    <w:rsid w:val="00E65E22"/>
    <w:rsid w:val="00E660BA"/>
    <w:rsid w:val="00E667E9"/>
    <w:rsid w:val="00E6681F"/>
    <w:rsid w:val="00E66954"/>
    <w:rsid w:val="00E66EC0"/>
    <w:rsid w:val="00E67155"/>
    <w:rsid w:val="00E67801"/>
    <w:rsid w:val="00E67AF5"/>
    <w:rsid w:val="00E67CFA"/>
    <w:rsid w:val="00E70AD3"/>
    <w:rsid w:val="00E70F64"/>
    <w:rsid w:val="00E7110F"/>
    <w:rsid w:val="00E722A0"/>
    <w:rsid w:val="00E7391B"/>
    <w:rsid w:val="00E73E9D"/>
    <w:rsid w:val="00E73FF1"/>
    <w:rsid w:val="00E74CC0"/>
    <w:rsid w:val="00E7502C"/>
    <w:rsid w:val="00E7524B"/>
    <w:rsid w:val="00E753E3"/>
    <w:rsid w:val="00E75F69"/>
    <w:rsid w:val="00E77CF2"/>
    <w:rsid w:val="00E80129"/>
    <w:rsid w:val="00E803FE"/>
    <w:rsid w:val="00E80875"/>
    <w:rsid w:val="00E8149B"/>
    <w:rsid w:val="00E825CA"/>
    <w:rsid w:val="00E83758"/>
    <w:rsid w:val="00E85616"/>
    <w:rsid w:val="00E85750"/>
    <w:rsid w:val="00E85D46"/>
    <w:rsid w:val="00E866A2"/>
    <w:rsid w:val="00E867F2"/>
    <w:rsid w:val="00E87C2E"/>
    <w:rsid w:val="00E90410"/>
    <w:rsid w:val="00E90880"/>
    <w:rsid w:val="00E90FDA"/>
    <w:rsid w:val="00E925F3"/>
    <w:rsid w:val="00E938C9"/>
    <w:rsid w:val="00E9449E"/>
    <w:rsid w:val="00E94C96"/>
    <w:rsid w:val="00E94E9F"/>
    <w:rsid w:val="00E94ECC"/>
    <w:rsid w:val="00E953B7"/>
    <w:rsid w:val="00E97A80"/>
    <w:rsid w:val="00EA0740"/>
    <w:rsid w:val="00EA08D8"/>
    <w:rsid w:val="00EA1223"/>
    <w:rsid w:val="00EA17BD"/>
    <w:rsid w:val="00EA2050"/>
    <w:rsid w:val="00EA236D"/>
    <w:rsid w:val="00EA29A2"/>
    <w:rsid w:val="00EA340F"/>
    <w:rsid w:val="00EA34D6"/>
    <w:rsid w:val="00EA3E7F"/>
    <w:rsid w:val="00EA41F7"/>
    <w:rsid w:val="00EA4483"/>
    <w:rsid w:val="00EA46E1"/>
    <w:rsid w:val="00EA47AC"/>
    <w:rsid w:val="00EA4A51"/>
    <w:rsid w:val="00EA519F"/>
    <w:rsid w:val="00EA55D8"/>
    <w:rsid w:val="00EA5CDE"/>
    <w:rsid w:val="00EA628F"/>
    <w:rsid w:val="00EA6C5A"/>
    <w:rsid w:val="00EA7118"/>
    <w:rsid w:val="00EA7208"/>
    <w:rsid w:val="00EA7447"/>
    <w:rsid w:val="00EB0EAB"/>
    <w:rsid w:val="00EB10D4"/>
    <w:rsid w:val="00EB10F8"/>
    <w:rsid w:val="00EB2AF0"/>
    <w:rsid w:val="00EB309A"/>
    <w:rsid w:val="00EB38A8"/>
    <w:rsid w:val="00EB3C99"/>
    <w:rsid w:val="00EB4E34"/>
    <w:rsid w:val="00EB4EAE"/>
    <w:rsid w:val="00EB501E"/>
    <w:rsid w:val="00EB5B7F"/>
    <w:rsid w:val="00EB6415"/>
    <w:rsid w:val="00EB7402"/>
    <w:rsid w:val="00EC0E89"/>
    <w:rsid w:val="00EC3010"/>
    <w:rsid w:val="00EC3072"/>
    <w:rsid w:val="00EC3D4F"/>
    <w:rsid w:val="00EC4944"/>
    <w:rsid w:val="00EC4A0C"/>
    <w:rsid w:val="00EC50AC"/>
    <w:rsid w:val="00EC540A"/>
    <w:rsid w:val="00EC5CEB"/>
    <w:rsid w:val="00EC7327"/>
    <w:rsid w:val="00EC7F73"/>
    <w:rsid w:val="00ED0FE7"/>
    <w:rsid w:val="00ED1474"/>
    <w:rsid w:val="00ED1F71"/>
    <w:rsid w:val="00ED2811"/>
    <w:rsid w:val="00ED2F2A"/>
    <w:rsid w:val="00ED369F"/>
    <w:rsid w:val="00ED3F5C"/>
    <w:rsid w:val="00ED47DB"/>
    <w:rsid w:val="00ED4B43"/>
    <w:rsid w:val="00ED5FF4"/>
    <w:rsid w:val="00ED61E1"/>
    <w:rsid w:val="00ED65BB"/>
    <w:rsid w:val="00ED6815"/>
    <w:rsid w:val="00ED6ADB"/>
    <w:rsid w:val="00ED6CF1"/>
    <w:rsid w:val="00ED773F"/>
    <w:rsid w:val="00ED7DD4"/>
    <w:rsid w:val="00ED7FB4"/>
    <w:rsid w:val="00EE012F"/>
    <w:rsid w:val="00EE1B1A"/>
    <w:rsid w:val="00EE25C2"/>
    <w:rsid w:val="00EE2B73"/>
    <w:rsid w:val="00EE30AA"/>
    <w:rsid w:val="00EE362B"/>
    <w:rsid w:val="00EE36C5"/>
    <w:rsid w:val="00EE3B13"/>
    <w:rsid w:val="00EE4964"/>
    <w:rsid w:val="00EE5408"/>
    <w:rsid w:val="00EE568D"/>
    <w:rsid w:val="00EE6101"/>
    <w:rsid w:val="00EE6936"/>
    <w:rsid w:val="00EF0453"/>
    <w:rsid w:val="00EF0873"/>
    <w:rsid w:val="00EF0A42"/>
    <w:rsid w:val="00EF0FBA"/>
    <w:rsid w:val="00EF149B"/>
    <w:rsid w:val="00EF1BFE"/>
    <w:rsid w:val="00EF256D"/>
    <w:rsid w:val="00EF2AB5"/>
    <w:rsid w:val="00EF2EA9"/>
    <w:rsid w:val="00EF3F3C"/>
    <w:rsid w:val="00EF502B"/>
    <w:rsid w:val="00EF51E8"/>
    <w:rsid w:val="00EF5773"/>
    <w:rsid w:val="00EF5841"/>
    <w:rsid w:val="00EF634F"/>
    <w:rsid w:val="00EF7627"/>
    <w:rsid w:val="00F00FEB"/>
    <w:rsid w:val="00F0108F"/>
    <w:rsid w:val="00F01865"/>
    <w:rsid w:val="00F01E03"/>
    <w:rsid w:val="00F02B96"/>
    <w:rsid w:val="00F02E0F"/>
    <w:rsid w:val="00F030AB"/>
    <w:rsid w:val="00F03823"/>
    <w:rsid w:val="00F04BC0"/>
    <w:rsid w:val="00F04C84"/>
    <w:rsid w:val="00F05F1D"/>
    <w:rsid w:val="00F06352"/>
    <w:rsid w:val="00F0654C"/>
    <w:rsid w:val="00F07362"/>
    <w:rsid w:val="00F10D14"/>
    <w:rsid w:val="00F1162E"/>
    <w:rsid w:val="00F126A5"/>
    <w:rsid w:val="00F13575"/>
    <w:rsid w:val="00F13632"/>
    <w:rsid w:val="00F13DE0"/>
    <w:rsid w:val="00F13DFC"/>
    <w:rsid w:val="00F148CF"/>
    <w:rsid w:val="00F14D09"/>
    <w:rsid w:val="00F14D21"/>
    <w:rsid w:val="00F155BE"/>
    <w:rsid w:val="00F15673"/>
    <w:rsid w:val="00F158C9"/>
    <w:rsid w:val="00F16A57"/>
    <w:rsid w:val="00F17262"/>
    <w:rsid w:val="00F17E34"/>
    <w:rsid w:val="00F207BC"/>
    <w:rsid w:val="00F210A7"/>
    <w:rsid w:val="00F21D32"/>
    <w:rsid w:val="00F22C1B"/>
    <w:rsid w:val="00F2313E"/>
    <w:rsid w:val="00F23355"/>
    <w:rsid w:val="00F23572"/>
    <w:rsid w:val="00F23E8C"/>
    <w:rsid w:val="00F23F18"/>
    <w:rsid w:val="00F25139"/>
    <w:rsid w:val="00F253CD"/>
    <w:rsid w:val="00F25494"/>
    <w:rsid w:val="00F25ED8"/>
    <w:rsid w:val="00F2645F"/>
    <w:rsid w:val="00F26F77"/>
    <w:rsid w:val="00F2707C"/>
    <w:rsid w:val="00F2716F"/>
    <w:rsid w:val="00F278E8"/>
    <w:rsid w:val="00F30878"/>
    <w:rsid w:val="00F30BD2"/>
    <w:rsid w:val="00F30D7A"/>
    <w:rsid w:val="00F31668"/>
    <w:rsid w:val="00F31A5D"/>
    <w:rsid w:val="00F34093"/>
    <w:rsid w:val="00F343F4"/>
    <w:rsid w:val="00F34550"/>
    <w:rsid w:val="00F35E9E"/>
    <w:rsid w:val="00F36C1B"/>
    <w:rsid w:val="00F36C9C"/>
    <w:rsid w:val="00F40749"/>
    <w:rsid w:val="00F41751"/>
    <w:rsid w:val="00F4276E"/>
    <w:rsid w:val="00F42B54"/>
    <w:rsid w:val="00F430A1"/>
    <w:rsid w:val="00F43746"/>
    <w:rsid w:val="00F44081"/>
    <w:rsid w:val="00F442AD"/>
    <w:rsid w:val="00F454F6"/>
    <w:rsid w:val="00F45560"/>
    <w:rsid w:val="00F46605"/>
    <w:rsid w:val="00F50915"/>
    <w:rsid w:val="00F511EC"/>
    <w:rsid w:val="00F51C20"/>
    <w:rsid w:val="00F52045"/>
    <w:rsid w:val="00F52080"/>
    <w:rsid w:val="00F527B2"/>
    <w:rsid w:val="00F5556F"/>
    <w:rsid w:val="00F55986"/>
    <w:rsid w:val="00F560AB"/>
    <w:rsid w:val="00F5652A"/>
    <w:rsid w:val="00F57D7E"/>
    <w:rsid w:val="00F61179"/>
    <w:rsid w:val="00F61DBC"/>
    <w:rsid w:val="00F62C32"/>
    <w:rsid w:val="00F62C6C"/>
    <w:rsid w:val="00F6300A"/>
    <w:rsid w:val="00F643D7"/>
    <w:rsid w:val="00F649FB"/>
    <w:rsid w:val="00F64BD6"/>
    <w:rsid w:val="00F670A0"/>
    <w:rsid w:val="00F6716D"/>
    <w:rsid w:val="00F67AE0"/>
    <w:rsid w:val="00F70658"/>
    <w:rsid w:val="00F70FB3"/>
    <w:rsid w:val="00F715C1"/>
    <w:rsid w:val="00F715C8"/>
    <w:rsid w:val="00F71E68"/>
    <w:rsid w:val="00F72EF7"/>
    <w:rsid w:val="00F73A42"/>
    <w:rsid w:val="00F74C49"/>
    <w:rsid w:val="00F74D47"/>
    <w:rsid w:val="00F75613"/>
    <w:rsid w:val="00F756E6"/>
    <w:rsid w:val="00F77013"/>
    <w:rsid w:val="00F80ED9"/>
    <w:rsid w:val="00F81272"/>
    <w:rsid w:val="00F8146C"/>
    <w:rsid w:val="00F81ABC"/>
    <w:rsid w:val="00F82A8E"/>
    <w:rsid w:val="00F82CAA"/>
    <w:rsid w:val="00F82EEC"/>
    <w:rsid w:val="00F83992"/>
    <w:rsid w:val="00F84E35"/>
    <w:rsid w:val="00F853BD"/>
    <w:rsid w:val="00F85564"/>
    <w:rsid w:val="00F8559E"/>
    <w:rsid w:val="00F86440"/>
    <w:rsid w:val="00F86441"/>
    <w:rsid w:val="00F879D7"/>
    <w:rsid w:val="00F90249"/>
    <w:rsid w:val="00F90C2F"/>
    <w:rsid w:val="00F91B0E"/>
    <w:rsid w:val="00F935A3"/>
    <w:rsid w:val="00F9366F"/>
    <w:rsid w:val="00F94F17"/>
    <w:rsid w:val="00F95E71"/>
    <w:rsid w:val="00F96088"/>
    <w:rsid w:val="00F962B9"/>
    <w:rsid w:val="00F96417"/>
    <w:rsid w:val="00F96CF7"/>
    <w:rsid w:val="00F974F6"/>
    <w:rsid w:val="00F9759F"/>
    <w:rsid w:val="00F97EC8"/>
    <w:rsid w:val="00FA02E0"/>
    <w:rsid w:val="00FA1116"/>
    <w:rsid w:val="00FA1488"/>
    <w:rsid w:val="00FA2296"/>
    <w:rsid w:val="00FA2E64"/>
    <w:rsid w:val="00FA51CA"/>
    <w:rsid w:val="00FA5C05"/>
    <w:rsid w:val="00FA6563"/>
    <w:rsid w:val="00FA6602"/>
    <w:rsid w:val="00FA67F2"/>
    <w:rsid w:val="00FA7142"/>
    <w:rsid w:val="00FA75D2"/>
    <w:rsid w:val="00FA7F5F"/>
    <w:rsid w:val="00FB0409"/>
    <w:rsid w:val="00FB05C8"/>
    <w:rsid w:val="00FB0CB8"/>
    <w:rsid w:val="00FB1389"/>
    <w:rsid w:val="00FB139C"/>
    <w:rsid w:val="00FB1A9E"/>
    <w:rsid w:val="00FB340E"/>
    <w:rsid w:val="00FB3636"/>
    <w:rsid w:val="00FB3EA6"/>
    <w:rsid w:val="00FB5F52"/>
    <w:rsid w:val="00FB6152"/>
    <w:rsid w:val="00FB7379"/>
    <w:rsid w:val="00FB79CD"/>
    <w:rsid w:val="00FC00C5"/>
    <w:rsid w:val="00FC132B"/>
    <w:rsid w:val="00FC14C5"/>
    <w:rsid w:val="00FC27D1"/>
    <w:rsid w:val="00FC2BFB"/>
    <w:rsid w:val="00FC2E38"/>
    <w:rsid w:val="00FC328C"/>
    <w:rsid w:val="00FC3E1E"/>
    <w:rsid w:val="00FC3FA7"/>
    <w:rsid w:val="00FC400A"/>
    <w:rsid w:val="00FC469E"/>
    <w:rsid w:val="00FC502B"/>
    <w:rsid w:val="00FC539A"/>
    <w:rsid w:val="00FC66B0"/>
    <w:rsid w:val="00FC69A2"/>
    <w:rsid w:val="00FC78DD"/>
    <w:rsid w:val="00FC7E14"/>
    <w:rsid w:val="00FD04A4"/>
    <w:rsid w:val="00FD074F"/>
    <w:rsid w:val="00FD1502"/>
    <w:rsid w:val="00FD1B30"/>
    <w:rsid w:val="00FD265F"/>
    <w:rsid w:val="00FD295E"/>
    <w:rsid w:val="00FD2A75"/>
    <w:rsid w:val="00FD2B42"/>
    <w:rsid w:val="00FD2FD6"/>
    <w:rsid w:val="00FD4C15"/>
    <w:rsid w:val="00FD4D42"/>
    <w:rsid w:val="00FD549A"/>
    <w:rsid w:val="00FD58AF"/>
    <w:rsid w:val="00FD6373"/>
    <w:rsid w:val="00FD7A0F"/>
    <w:rsid w:val="00FE0C08"/>
    <w:rsid w:val="00FE1490"/>
    <w:rsid w:val="00FE1B3F"/>
    <w:rsid w:val="00FE1BF3"/>
    <w:rsid w:val="00FE1C82"/>
    <w:rsid w:val="00FE3032"/>
    <w:rsid w:val="00FE3A5B"/>
    <w:rsid w:val="00FE4C90"/>
    <w:rsid w:val="00FE5075"/>
    <w:rsid w:val="00FE51C9"/>
    <w:rsid w:val="00FE5225"/>
    <w:rsid w:val="00FE6535"/>
    <w:rsid w:val="00FE68E0"/>
    <w:rsid w:val="00FE6B2F"/>
    <w:rsid w:val="00FE6ED0"/>
    <w:rsid w:val="00FE7386"/>
    <w:rsid w:val="00FF016B"/>
    <w:rsid w:val="00FF09CC"/>
    <w:rsid w:val="00FF12C0"/>
    <w:rsid w:val="00FF254F"/>
    <w:rsid w:val="00FF377D"/>
    <w:rsid w:val="00FF43D3"/>
    <w:rsid w:val="00FF4481"/>
    <w:rsid w:val="00FF5B6C"/>
    <w:rsid w:val="00FF5B9E"/>
    <w:rsid w:val="00FF5CC7"/>
    <w:rsid w:val="00FF5E7B"/>
    <w:rsid w:val="00FF5FA8"/>
    <w:rsid w:val="00FF6176"/>
    <w:rsid w:val="00FF628E"/>
    <w:rsid w:val="00FF7524"/>
    <w:rsid w:val="00FF77FC"/>
    <w:rsid w:val="01467BC2"/>
    <w:rsid w:val="021D1B44"/>
    <w:rsid w:val="031FEDFF"/>
    <w:rsid w:val="033B019F"/>
    <w:rsid w:val="0369DC21"/>
    <w:rsid w:val="06FEA010"/>
    <w:rsid w:val="07AA91FA"/>
    <w:rsid w:val="083D4D44"/>
    <w:rsid w:val="099249B6"/>
    <w:rsid w:val="09B856CC"/>
    <w:rsid w:val="0B66110F"/>
    <w:rsid w:val="0D5D0B64"/>
    <w:rsid w:val="100BBA67"/>
    <w:rsid w:val="10BBB55B"/>
    <w:rsid w:val="12197F39"/>
    <w:rsid w:val="12E35EDD"/>
    <w:rsid w:val="164D024A"/>
    <w:rsid w:val="165B7A9A"/>
    <w:rsid w:val="17BE0038"/>
    <w:rsid w:val="182EF88A"/>
    <w:rsid w:val="184A5593"/>
    <w:rsid w:val="192DE33F"/>
    <w:rsid w:val="1950B51E"/>
    <w:rsid w:val="1ACC080F"/>
    <w:rsid w:val="1BB280A7"/>
    <w:rsid w:val="1C5F8643"/>
    <w:rsid w:val="1CF7B9A0"/>
    <w:rsid w:val="1D2A6206"/>
    <w:rsid w:val="1D7BE602"/>
    <w:rsid w:val="1DE3F4AF"/>
    <w:rsid w:val="1E6E804B"/>
    <w:rsid w:val="20CF88A8"/>
    <w:rsid w:val="229158BC"/>
    <w:rsid w:val="22B636E2"/>
    <w:rsid w:val="22FC29F0"/>
    <w:rsid w:val="2334897D"/>
    <w:rsid w:val="2360301F"/>
    <w:rsid w:val="238617CE"/>
    <w:rsid w:val="25E4D767"/>
    <w:rsid w:val="264B5F78"/>
    <w:rsid w:val="27E7C751"/>
    <w:rsid w:val="28D26422"/>
    <w:rsid w:val="29D16A50"/>
    <w:rsid w:val="2A13143B"/>
    <w:rsid w:val="2F050A90"/>
    <w:rsid w:val="310D0DE6"/>
    <w:rsid w:val="312EAD4B"/>
    <w:rsid w:val="3559DE2F"/>
    <w:rsid w:val="366B293A"/>
    <w:rsid w:val="382D06B1"/>
    <w:rsid w:val="3957E8DB"/>
    <w:rsid w:val="3B297B0A"/>
    <w:rsid w:val="3D0D9C59"/>
    <w:rsid w:val="3D6E2322"/>
    <w:rsid w:val="3E2BCC1D"/>
    <w:rsid w:val="3E8FDFB6"/>
    <w:rsid w:val="3EA96CBA"/>
    <w:rsid w:val="3F7C4C9B"/>
    <w:rsid w:val="400C936D"/>
    <w:rsid w:val="4287BA24"/>
    <w:rsid w:val="43352467"/>
    <w:rsid w:val="450D998A"/>
    <w:rsid w:val="456584BD"/>
    <w:rsid w:val="4628010B"/>
    <w:rsid w:val="46F7AF26"/>
    <w:rsid w:val="48830DFE"/>
    <w:rsid w:val="48C01862"/>
    <w:rsid w:val="4CEBADED"/>
    <w:rsid w:val="4F314529"/>
    <w:rsid w:val="4FB4DA13"/>
    <w:rsid w:val="4FEC6B69"/>
    <w:rsid w:val="5000C16E"/>
    <w:rsid w:val="50360E81"/>
    <w:rsid w:val="52C87D90"/>
    <w:rsid w:val="54C0A6D5"/>
    <w:rsid w:val="54DE61BE"/>
    <w:rsid w:val="552325DC"/>
    <w:rsid w:val="5CE5D03B"/>
    <w:rsid w:val="5D98A44E"/>
    <w:rsid w:val="5EC2E5E0"/>
    <w:rsid w:val="5ECB053C"/>
    <w:rsid w:val="61E1F5BD"/>
    <w:rsid w:val="63A695BB"/>
    <w:rsid w:val="63FFF947"/>
    <w:rsid w:val="64E317E0"/>
    <w:rsid w:val="64F35698"/>
    <w:rsid w:val="665A3CEC"/>
    <w:rsid w:val="670A9C87"/>
    <w:rsid w:val="68192E42"/>
    <w:rsid w:val="6A49C52D"/>
    <w:rsid w:val="6AA3C031"/>
    <w:rsid w:val="6BE84B1A"/>
    <w:rsid w:val="6C783A40"/>
    <w:rsid w:val="6D4BE46A"/>
    <w:rsid w:val="6D9EEF02"/>
    <w:rsid w:val="6E0B0FFB"/>
    <w:rsid w:val="6E0D71E1"/>
    <w:rsid w:val="6E664494"/>
    <w:rsid w:val="72E5E82D"/>
    <w:rsid w:val="742326C5"/>
    <w:rsid w:val="74334082"/>
    <w:rsid w:val="747AECFD"/>
    <w:rsid w:val="74F9A14C"/>
    <w:rsid w:val="75760503"/>
    <w:rsid w:val="75FE9F16"/>
    <w:rsid w:val="766C25D6"/>
    <w:rsid w:val="768387CB"/>
    <w:rsid w:val="78AA8B92"/>
    <w:rsid w:val="79C871ED"/>
    <w:rsid w:val="7A231822"/>
    <w:rsid w:val="7A2EF9FE"/>
    <w:rsid w:val="7A3A665E"/>
    <w:rsid w:val="7B357E64"/>
    <w:rsid w:val="7B873531"/>
    <w:rsid w:val="7CC020E9"/>
    <w:rsid w:val="7DBC0338"/>
    <w:rsid w:val="7FC046E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E1B93DF"/>
  <w15:docId w15:val="{FEC45B95-AFC1-42EB-9844-79D3111A5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3B4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13B41"/>
    <w:pPr>
      <w:spacing w:line="360" w:lineRule="auto"/>
    </w:pPr>
    <w:rPr>
      <w:b/>
      <w:bCs/>
      <w:smallCaps/>
    </w:rPr>
  </w:style>
  <w:style w:type="character" w:customStyle="1" w:styleId="BodyTextChar">
    <w:name w:val="Body Text Char"/>
    <w:basedOn w:val="DefaultParagraphFont"/>
    <w:link w:val="BodyText"/>
    <w:rsid w:val="00A13B41"/>
    <w:rPr>
      <w:rFonts w:ascii="Times New Roman" w:eastAsia="Times New Roman" w:hAnsi="Times New Roman" w:cs="Times New Roman"/>
      <w:b/>
      <w:bCs/>
      <w:smallCaps/>
      <w:sz w:val="24"/>
      <w:szCs w:val="24"/>
    </w:rPr>
  </w:style>
  <w:style w:type="paragraph" w:styleId="Header">
    <w:name w:val="header"/>
    <w:basedOn w:val="Normal"/>
    <w:link w:val="HeaderChar"/>
    <w:rsid w:val="00A13B41"/>
    <w:pPr>
      <w:tabs>
        <w:tab w:val="center" w:pos="4320"/>
        <w:tab w:val="right" w:pos="8640"/>
      </w:tabs>
    </w:pPr>
  </w:style>
  <w:style w:type="character" w:customStyle="1" w:styleId="HeaderChar">
    <w:name w:val="Header Char"/>
    <w:basedOn w:val="DefaultParagraphFont"/>
    <w:link w:val="Header"/>
    <w:rsid w:val="00A13B41"/>
    <w:rPr>
      <w:rFonts w:ascii="Times New Roman" w:eastAsia="Times New Roman" w:hAnsi="Times New Roman" w:cs="Times New Roman"/>
      <w:sz w:val="24"/>
      <w:szCs w:val="24"/>
    </w:rPr>
  </w:style>
  <w:style w:type="paragraph" w:styleId="Footer">
    <w:name w:val="footer"/>
    <w:basedOn w:val="Normal"/>
    <w:link w:val="FooterChar"/>
    <w:rsid w:val="00A13B41"/>
    <w:pPr>
      <w:tabs>
        <w:tab w:val="center" w:pos="4320"/>
        <w:tab w:val="right" w:pos="8640"/>
      </w:tabs>
    </w:pPr>
  </w:style>
  <w:style w:type="character" w:customStyle="1" w:styleId="FooterChar">
    <w:name w:val="Footer Char"/>
    <w:basedOn w:val="DefaultParagraphFont"/>
    <w:link w:val="Footer"/>
    <w:rsid w:val="00A13B41"/>
    <w:rPr>
      <w:rFonts w:ascii="Times New Roman" w:eastAsia="Times New Roman" w:hAnsi="Times New Roman" w:cs="Times New Roman"/>
      <w:sz w:val="24"/>
      <w:szCs w:val="24"/>
    </w:rPr>
  </w:style>
  <w:style w:type="character" w:styleId="PageNumber">
    <w:name w:val="page number"/>
    <w:basedOn w:val="DefaultParagraphFont"/>
    <w:rsid w:val="00A13B41"/>
  </w:style>
  <w:style w:type="paragraph" w:styleId="ListParagraph">
    <w:name w:val="List Paragraph"/>
    <w:basedOn w:val="Normal"/>
    <w:uiPriority w:val="34"/>
    <w:qFormat/>
    <w:rsid w:val="00A13B41"/>
    <w:pPr>
      <w:ind w:left="720"/>
      <w:contextualSpacing/>
    </w:pPr>
  </w:style>
  <w:style w:type="paragraph" w:styleId="BalloonText">
    <w:name w:val="Balloon Text"/>
    <w:basedOn w:val="Normal"/>
    <w:link w:val="BalloonTextChar"/>
    <w:uiPriority w:val="99"/>
    <w:semiHidden/>
    <w:unhideWhenUsed/>
    <w:rsid w:val="00A13B41"/>
    <w:rPr>
      <w:rFonts w:ascii="Tahoma" w:hAnsi="Tahoma" w:cs="Tahoma"/>
      <w:sz w:val="16"/>
      <w:szCs w:val="16"/>
    </w:rPr>
  </w:style>
  <w:style w:type="character" w:customStyle="1" w:styleId="BalloonTextChar">
    <w:name w:val="Balloon Text Char"/>
    <w:basedOn w:val="DefaultParagraphFont"/>
    <w:link w:val="BalloonText"/>
    <w:uiPriority w:val="99"/>
    <w:semiHidden/>
    <w:rsid w:val="00A13B41"/>
    <w:rPr>
      <w:rFonts w:ascii="Tahoma" w:eastAsia="Times New Roman" w:hAnsi="Tahoma" w:cs="Tahoma"/>
      <w:sz w:val="16"/>
      <w:szCs w:val="16"/>
    </w:rPr>
  </w:style>
  <w:style w:type="character" w:styleId="Hyperlink">
    <w:name w:val="Hyperlink"/>
    <w:basedOn w:val="DefaultParagraphFont"/>
    <w:rsid w:val="009E493C"/>
    <w:rPr>
      <w:color w:val="0000FF"/>
      <w:u w:val="single"/>
    </w:rPr>
  </w:style>
  <w:style w:type="paragraph" w:styleId="FootnoteText">
    <w:name w:val="footnote text"/>
    <w:aliases w:val="ALTS FOOTNOTE,Car,Footnote Text Char Char,Footnote Text Char Char Char Char Char Char Char Char Char Char Char Char Char Char Char Char Char,Style 15,Style 40 Char,Style 40 Char Char,fn,ft"/>
    <w:basedOn w:val="Normal"/>
    <w:link w:val="FootnoteTextChar1"/>
    <w:uiPriority w:val="99"/>
    <w:qFormat/>
    <w:rsid w:val="003266B9"/>
    <w:pPr>
      <w:spacing w:before="120"/>
    </w:pPr>
    <w:rPr>
      <w:sz w:val="20"/>
      <w:szCs w:val="20"/>
    </w:rPr>
  </w:style>
  <w:style w:type="character" w:customStyle="1" w:styleId="FootnoteTextChar">
    <w:name w:val="Footnote Text Char"/>
    <w:aliases w:val="Car Char,Footnote Text Char Char Char Char,Footnote Text Char Char Char1"/>
    <w:basedOn w:val="DefaultParagraphFont"/>
    <w:rsid w:val="001D3E7A"/>
    <w:rPr>
      <w:rFonts w:ascii="Times New Roman" w:eastAsia="Times New Roman" w:hAnsi="Times New Roman"/>
    </w:rPr>
  </w:style>
  <w:style w:type="character" w:customStyle="1" w:styleId="FootnoteTextChar1">
    <w:name w:val="Footnote Text Char1"/>
    <w:aliases w:val="ALTS FOOTNOTE Char,Footnote Text Char Char Char,Footnote Text Char Char Char Char Char Char Char Char Char Char Char Char Char Char Char Char Char Char,Style 15 Char,Style 40 Char Char Char,Style 40 Char Char1,fn Char,ft Char"/>
    <w:basedOn w:val="DefaultParagraphFont"/>
    <w:link w:val="FootnoteText"/>
    <w:uiPriority w:val="99"/>
    <w:locked/>
    <w:rsid w:val="003266B9"/>
    <w:rPr>
      <w:rFonts w:ascii="Times New Roman" w:eastAsia="Times New Roman" w:hAnsi="Times New Roman"/>
    </w:rPr>
  </w:style>
  <w:style w:type="character" w:styleId="FootnoteReference">
    <w:name w:val="footnote reference"/>
    <w:aliases w:val="(Footnote Reference),Appel note de bas d,BVI fnr,EN Footnote Reference,Exposant 3 Point,Footnote,Footnote Reference Superscript,Footnote reference number,Footnote symbol,SUPERS,Style 19,Times 10 Point,Voetnootverwijzing,fr,note TESI"/>
    <w:basedOn w:val="DefaultParagraphFont"/>
    <w:uiPriority w:val="99"/>
    <w:rsid w:val="001D3E7A"/>
    <w:rPr>
      <w:rFonts w:cs="Times New Roman"/>
      <w:vertAlign w:val="superscript"/>
    </w:rPr>
  </w:style>
  <w:style w:type="paragraph" w:customStyle="1" w:styleId="Default">
    <w:name w:val="Default"/>
    <w:rsid w:val="001D3E7A"/>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Normal"/>
    <w:link w:val="NormalWebChar"/>
    <w:uiPriority w:val="99"/>
    <w:rsid w:val="001D3E7A"/>
    <w:pPr>
      <w:spacing w:before="100" w:beforeAutospacing="1" w:after="100" w:afterAutospacing="1"/>
    </w:pPr>
    <w:rPr>
      <w:rFonts w:eastAsia="Calibri"/>
    </w:rPr>
  </w:style>
  <w:style w:type="character" w:customStyle="1" w:styleId="documentbody1">
    <w:name w:val="documentbody1"/>
    <w:basedOn w:val="DefaultParagraphFont"/>
    <w:uiPriority w:val="99"/>
    <w:rsid w:val="001D3E7A"/>
    <w:rPr>
      <w:rFonts w:ascii="Verdana" w:hAnsi="Verdana" w:cs="Times New Roman"/>
      <w:sz w:val="19"/>
      <w:szCs w:val="19"/>
    </w:rPr>
  </w:style>
  <w:style w:type="paragraph" w:customStyle="1" w:styleId="DoubleSpace">
    <w:name w:val="Double Space"/>
    <w:basedOn w:val="Normal"/>
    <w:uiPriority w:val="99"/>
    <w:rsid w:val="001D3E7A"/>
    <w:pPr>
      <w:spacing w:line="480" w:lineRule="auto"/>
    </w:pPr>
    <w:rPr>
      <w:rFonts w:ascii="CG Times" w:hAnsi="CG Times"/>
      <w:szCs w:val="20"/>
    </w:rPr>
  </w:style>
  <w:style w:type="character" w:customStyle="1" w:styleId="NormalWebChar">
    <w:name w:val="Normal (Web) Char"/>
    <w:basedOn w:val="DefaultParagraphFont"/>
    <w:link w:val="NormalWeb"/>
    <w:uiPriority w:val="99"/>
    <w:locked/>
    <w:rsid w:val="001D3E7A"/>
    <w:rPr>
      <w:rFonts w:ascii="Times New Roman" w:hAnsi="Times New Roman"/>
      <w:sz w:val="24"/>
      <w:szCs w:val="24"/>
    </w:rPr>
  </w:style>
  <w:style w:type="character" w:styleId="CommentReference">
    <w:name w:val="annotation reference"/>
    <w:basedOn w:val="DefaultParagraphFont"/>
    <w:uiPriority w:val="99"/>
    <w:semiHidden/>
    <w:unhideWhenUsed/>
    <w:rsid w:val="007C35F2"/>
    <w:rPr>
      <w:sz w:val="16"/>
      <w:szCs w:val="16"/>
    </w:rPr>
  </w:style>
  <w:style w:type="paragraph" w:styleId="CommentText">
    <w:name w:val="annotation text"/>
    <w:basedOn w:val="Normal"/>
    <w:link w:val="CommentTextChar"/>
    <w:uiPriority w:val="99"/>
    <w:unhideWhenUsed/>
    <w:rsid w:val="007C35F2"/>
    <w:rPr>
      <w:sz w:val="20"/>
      <w:szCs w:val="20"/>
    </w:rPr>
  </w:style>
  <w:style w:type="character" w:customStyle="1" w:styleId="CommentTextChar">
    <w:name w:val="Comment Text Char"/>
    <w:basedOn w:val="DefaultParagraphFont"/>
    <w:link w:val="CommentText"/>
    <w:uiPriority w:val="99"/>
    <w:rsid w:val="007C35F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7C35F2"/>
    <w:rPr>
      <w:b/>
      <w:bCs/>
    </w:rPr>
  </w:style>
  <w:style w:type="character" w:customStyle="1" w:styleId="CommentSubjectChar">
    <w:name w:val="Comment Subject Char"/>
    <w:basedOn w:val="CommentTextChar"/>
    <w:link w:val="CommentSubject"/>
    <w:uiPriority w:val="99"/>
    <w:semiHidden/>
    <w:rsid w:val="007C35F2"/>
    <w:rPr>
      <w:rFonts w:ascii="Times New Roman" w:eastAsia="Times New Roman" w:hAnsi="Times New Roman"/>
      <w:b/>
      <w:bCs/>
    </w:rPr>
  </w:style>
  <w:style w:type="paragraph" w:styleId="BodyText2">
    <w:name w:val="Body Text 2"/>
    <w:basedOn w:val="Normal"/>
    <w:link w:val="BodyText2Char"/>
    <w:uiPriority w:val="99"/>
    <w:semiHidden/>
    <w:unhideWhenUsed/>
    <w:rsid w:val="006629D1"/>
    <w:pPr>
      <w:spacing w:after="120" w:line="480" w:lineRule="auto"/>
    </w:pPr>
  </w:style>
  <w:style w:type="character" w:customStyle="1" w:styleId="BodyText2Char">
    <w:name w:val="Body Text 2 Char"/>
    <w:basedOn w:val="DefaultParagraphFont"/>
    <w:link w:val="BodyText2"/>
    <w:uiPriority w:val="99"/>
    <w:semiHidden/>
    <w:rsid w:val="006629D1"/>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2867C9"/>
    <w:pPr>
      <w:spacing w:after="120"/>
      <w:ind w:left="360"/>
    </w:pPr>
    <w:rPr>
      <w:sz w:val="16"/>
      <w:szCs w:val="16"/>
    </w:rPr>
  </w:style>
  <w:style w:type="character" w:customStyle="1" w:styleId="BodyTextIndent3Char">
    <w:name w:val="Body Text Indent 3 Char"/>
    <w:basedOn w:val="DefaultParagraphFont"/>
    <w:link w:val="BodyTextIndent3"/>
    <w:uiPriority w:val="99"/>
    <w:rsid w:val="002867C9"/>
    <w:rPr>
      <w:rFonts w:ascii="Times New Roman" w:eastAsia="Times New Roman" w:hAnsi="Times New Roman"/>
      <w:sz w:val="16"/>
      <w:szCs w:val="16"/>
    </w:rPr>
  </w:style>
  <w:style w:type="paragraph" w:customStyle="1" w:styleId="CM181">
    <w:name w:val="CM181"/>
    <w:basedOn w:val="Default"/>
    <w:next w:val="Default"/>
    <w:uiPriority w:val="99"/>
    <w:rsid w:val="00B70E2C"/>
    <w:rPr>
      <w:rFonts w:eastAsia="Calibri"/>
      <w:color w:val="auto"/>
    </w:rPr>
  </w:style>
  <w:style w:type="paragraph" w:customStyle="1" w:styleId="CM32">
    <w:name w:val="CM32"/>
    <w:basedOn w:val="Default"/>
    <w:next w:val="Default"/>
    <w:uiPriority w:val="99"/>
    <w:rsid w:val="00B70E2C"/>
    <w:pPr>
      <w:spacing w:line="553" w:lineRule="atLeast"/>
    </w:pPr>
    <w:rPr>
      <w:rFonts w:eastAsia="Calibri"/>
      <w:color w:val="auto"/>
    </w:rPr>
  </w:style>
  <w:style w:type="paragraph" w:customStyle="1" w:styleId="CM183">
    <w:name w:val="CM183"/>
    <w:basedOn w:val="Default"/>
    <w:next w:val="Default"/>
    <w:uiPriority w:val="99"/>
    <w:rsid w:val="00B70E2C"/>
    <w:rPr>
      <w:rFonts w:eastAsia="Calibri"/>
      <w:color w:val="auto"/>
    </w:rPr>
  </w:style>
  <w:style w:type="paragraph" w:customStyle="1" w:styleId="CM39">
    <w:name w:val="CM39"/>
    <w:basedOn w:val="Default"/>
    <w:next w:val="Default"/>
    <w:uiPriority w:val="99"/>
    <w:rsid w:val="00B70E2C"/>
    <w:pPr>
      <w:spacing w:line="276" w:lineRule="atLeast"/>
    </w:pPr>
    <w:rPr>
      <w:rFonts w:eastAsia="Calibri"/>
      <w:color w:val="auto"/>
    </w:rPr>
  </w:style>
  <w:style w:type="paragraph" w:customStyle="1" w:styleId="CM68">
    <w:name w:val="CM68"/>
    <w:basedOn w:val="Default"/>
    <w:next w:val="Default"/>
    <w:uiPriority w:val="99"/>
    <w:rsid w:val="00B70E2C"/>
    <w:pPr>
      <w:spacing w:line="398" w:lineRule="atLeast"/>
    </w:pPr>
    <w:rPr>
      <w:rFonts w:eastAsia="Calibri"/>
      <w:color w:val="auto"/>
    </w:rPr>
  </w:style>
  <w:style w:type="paragraph" w:customStyle="1" w:styleId="CM44">
    <w:name w:val="CM44"/>
    <w:basedOn w:val="Default"/>
    <w:next w:val="Default"/>
    <w:uiPriority w:val="99"/>
    <w:rsid w:val="00B70E2C"/>
    <w:rPr>
      <w:rFonts w:eastAsia="Calibri"/>
      <w:color w:val="auto"/>
    </w:rPr>
  </w:style>
  <w:style w:type="paragraph" w:customStyle="1" w:styleId="CM194">
    <w:name w:val="CM194"/>
    <w:basedOn w:val="Default"/>
    <w:next w:val="Default"/>
    <w:uiPriority w:val="99"/>
    <w:rsid w:val="00B70E2C"/>
    <w:rPr>
      <w:rFonts w:eastAsia="Calibri"/>
      <w:color w:val="auto"/>
    </w:rPr>
  </w:style>
  <w:style w:type="paragraph" w:customStyle="1" w:styleId="CM36">
    <w:name w:val="CM36"/>
    <w:basedOn w:val="Default"/>
    <w:next w:val="Default"/>
    <w:uiPriority w:val="99"/>
    <w:rsid w:val="00B70E2C"/>
    <w:rPr>
      <w:rFonts w:eastAsia="Calibri"/>
      <w:color w:val="auto"/>
    </w:rPr>
  </w:style>
  <w:style w:type="paragraph" w:customStyle="1" w:styleId="CM175">
    <w:name w:val="CM175"/>
    <w:basedOn w:val="Default"/>
    <w:next w:val="Default"/>
    <w:uiPriority w:val="99"/>
    <w:rsid w:val="00B70E2C"/>
    <w:rPr>
      <w:rFonts w:eastAsia="Calibri"/>
      <w:color w:val="auto"/>
    </w:rPr>
  </w:style>
  <w:style w:type="paragraph" w:customStyle="1" w:styleId="CM37">
    <w:name w:val="CM37"/>
    <w:basedOn w:val="Default"/>
    <w:next w:val="Default"/>
    <w:uiPriority w:val="99"/>
    <w:rsid w:val="00221EC9"/>
    <w:pPr>
      <w:spacing w:line="276" w:lineRule="atLeast"/>
    </w:pPr>
    <w:rPr>
      <w:rFonts w:eastAsia="Calibri"/>
      <w:color w:val="auto"/>
    </w:rPr>
  </w:style>
  <w:style w:type="paragraph" w:customStyle="1" w:styleId="CM87">
    <w:name w:val="CM87"/>
    <w:basedOn w:val="Default"/>
    <w:next w:val="Default"/>
    <w:uiPriority w:val="99"/>
    <w:rsid w:val="003E4B5F"/>
    <w:pPr>
      <w:spacing w:line="396" w:lineRule="atLeast"/>
    </w:pPr>
    <w:rPr>
      <w:rFonts w:eastAsia="Calibri"/>
      <w:color w:val="auto"/>
    </w:rPr>
  </w:style>
  <w:style w:type="paragraph" w:customStyle="1" w:styleId="CM178">
    <w:name w:val="CM178"/>
    <w:basedOn w:val="Default"/>
    <w:next w:val="Default"/>
    <w:uiPriority w:val="99"/>
    <w:rsid w:val="00CD7B23"/>
    <w:rPr>
      <w:rFonts w:eastAsia="Calibri"/>
      <w:color w:val="auto"/>
    </w:rPr>
  </w:style>
  <w:style w:type="paragraph" w:customStyle="1" w:styleId="CM193">
    <w:name w:val="CM193"/>
    <w:basedOn w:val="Default"/>
    <w:next w:val="Default"/>
    <w:uiPriority w:val="99"/>
    <w:rsid w:val="00CD7B23"/>
    <w:rPr>
      <w:rFonts w:eastAsia="Calibri"/>
      <w:color w:val="auto"/>
    </w:rPr>
  </w:style>
  <w:style w:type="paragraph" w:customStyle="1" w:styleId="CM31">
    <w:name w:val="CM31"/>
    <w:basedOn w:val="Default"/>
    <w:next w:val="Default"/>
    <w:uiPriority w:val="99"/>
    <w:rsid w:val="00CD7B23"/>
    <w:pPr>
      <w:spacing w:line="553" w:lineRule="atLeast"/>
    </w:pPr>
    <w:rPr>
      <w:rFonts w:eastAsia="Calibri"/>
      <w:color w:val="auto"/>
    </w:rPr>
  </w:style>
  <w:style w:type="paragraph" w:customStyle="1" w:styleId="CM202">
    <w:name w:val="CM202"/>
    <w:basedOn w:val="Default"/>
    <w:next w:val="Default"/>
    <w:uiPriority w:val="99"/>
    <w:rsid w:val="00CD7B23"/>
    <w:rPr>
      <w:rFonts w:eastAsia="Calibri"/>
      <w:color w:val="auto"/>
    </w:rPr>
  </w:style>
  <w:style w:type="paragraph" w:customStyle="1" w:styleId="CM104">
    <w:name w:val="CM104"/>
    <w:basedOn w:val="Default"/>
    <w:next w:val="Default"/>
    <w:uiPriority w:val="99"/>
    <w:rsid w:val="00CD7B23"/>
    <w:pPr>
      <w:spacing w:line="553" w:lineRule="atLeast"/>
    </w:pPr>
    <w:rPr>
      <w:rFonts w:eastAsia="Calibri"/>
      <w:color w:val="auto"/>
    </w:rPr>
  </w:style>
  <w:style w:type="paragraph" w:customStyle="1" w:styleId="CM33">
    <w:name w:val="CM33"/>
    <w:basedOn w:val="Default"/>
    <w:next w:val="Default"/>
    <w:uiPriority w:val="99"/>
    <w:rsid w:val="00CD7B23"/>
    <w:pPr>
      <w:spacing w:line="553" w:lineRule="atLeast"/>
    </w:pPr>
    <w:rPr>
      <w:rFonts w:eastAsia="Calibri"/>
      <w:color w:val="auto"/>
    </w:rPr>
  </w:style>
  <w:style w:type="paragraph" w:customStyle="1" w:styleId="CM176">
    <w:name w:val="CM176"/>
    <w:basedOn w:val="Default"/>
    <w:next w:val="Default"/>
    <w:uiPriority w:val="99"/>
    <w:rsid w:val="00CD7B23"/>
    <w:rPr>
      <w:rFonts w:eastAsia="Calibri"/>
      <w:color w:val="auto"/>
    </w:rPr>
  </w:style>
  <w:style w:type="paragraph" w:customStyle="1" w:styleId="CM69">
    <w:name w:val="CM69"/>
    <w:basedOn w:val="Default"/>
    <w:next w:val="Default"/>
    <w:uiPriority w:val="99"/>
    <w:rsid w:val="00CD7B23"/>
    <w:pPr>
      <w:spacing w:line="553" w:lineRule="atLeast"/>
    </w:pPr>
    <w:rPr>
      <w:rFonts w:eastAsia="Calibri"/>
      <w:color w:val="auto"/>
    </w:rPr>
  </w:style>
  <w:style w:type="paragraph" w:customStyle="1" w:styleId="CM180">
    <w:name w:val="CM180"/>
    <w:basedOn w:val="Default"/>
    <w:next w:val="Default"/>
    <w:uiPriority w:val="99"/>
    <w:rsid w:val="00CD7B23"/>
    <w:rPr>
      <w:rFonts w:eastAsia="Calibri"/>
      <w:color w:val="auto"/>
    </w:rPr>
  </w:style>
  <w:style w:type="paragraph" w:styleId="Revision">
    <w:name w:val="Revision"/>
    <w:hidden/>
    <w:uiPriority w:val="99"/>
    <w:semiHidden/>
    <w:rsid w:val="00EB10F8"/>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6A2B61"/>
    <w:rPr>
      <w:color w:val="605E5C"/>
      <w:shd w:val="clear" w:color="auto" w:fill="E1DFDD"/>
    </w:rPr>
  </w:style>
  <w:style w:type="character" w:styleId="FollowedHyperlink">
    <w:name w:val="FollowedHyperlink"/>
    <w:basedOn w:val="DefaultParagraphFont"/>
    <w:uiPriority w:val="99"/>
    <w:semiHidden/>
    <w:unhideWhenUsed/>
    <w:rsid w:val="000950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sec.gov/about/privacy/pia/pia-edgar.pdf"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sec.gov/oit/system-records-notice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itchratings.com/research/structured-finance/growth-continues-for-us-rmbs-third-party-review-firms-27-01-2023" TargetMode="External" /><Relationship Id="rId2" Type="http://schemas.openxmlformats.org/officeDocument/2006/relationships/hyperlink" Target="https://www.sutherlandglobal.com/about-us/latest-news/2023/09/20/16/04/sp-global-ratings-publishes-list-of-third-party-due-diligence-firms" TargetMode="External" /><Relationship Id="rId3" Type="http://schemas.openxmlformats.org/officeDocument/2006/relationships/hyperlink" Target="https://dbrs.morningstar.com/research/408661/dbrs-morningstar-acceptable-third-party-due-diligence-firm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285391998E8841ADB28A612A6359A9" ma:contentTypeVersion="21" ma:contentTypeDescription="Create a new document." ma:contentTypeScope="" ma:versionID="333fb18e1ea931d91d74c6aeb72b21ce">
  <xsd:schema xmlns:xsd="http://www.w3.org/2001/XMLSchema" xmlns:xs="http://www.w3.org/2001/XMLSchema" xmlns:p="http://schemas.microsoft.com/office/2006/metadata/properties" xmlns:ns1="http://schemas.microsoft.com/sharepoint/v3" xmlns:ns2="9cf3f8b8-0fcb-44cc-869c-dfb14a7bf8d0" xmlns:ns3="b14780af-cb87-427e-b218-209b2bced777" targetNamespace="http://schemas.microsoft.com/office/2006/metadata/properties" ma:root="true" ma:fieldsID="68bbfe2a1f20222f3e166b4691d5cd12" ns1:_="" ns2:_="" ns3:_="">
    <xsd:import namespace="http://schemas.microsoft.com/sharepoint/v3"/>
    <xsd:import namespace="9cf3f8b8-0fcb-44cc-869c-dfb14a7bf8d0"/>
    <xsd:import namespace="b14780af-cb87-427e-b218-209b2bced77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f3f8b8-0fcb-44cc-869c-dfb14a7bf8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4780af-cb87-427e-b218-209b2bced7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5F099B-7D26-42AA-994A-7F3839942D48}">
  <ds:schemaRefs>
    <ds:schemaRef ds:uri="http://schemas.openxmlformats.org/officeDocument/2006/bibliography"/>
  </ds:schemaRefs>
</ds:datastoreItem>
</file>

<file path=customXml/itemProps2.xml><?xml version="1.0" encoding="utf-8"?>
<ds:datastoreItem xmlns:ds="http://schemas.openxmlformats.org/officeDocument/2006/customXml" ds:itemID="{E40ECAAF-1C69-4806-826A-B755AF5BB098}">
  <ds:schemaRefs>
    <ds:schemaRef ds:uri="http://schemas.microsoft.com/office/2006/documentManagement/types"/>
    <ds:schemaRef ds:uri="9cf3f8b8-0fcb-44cc-869c-dfb14a7bf8d0"/>
    <ds:schemaRef ds:uri="http://schemas.microsoft.com/sharepoint/v3"/>
    <ds:schemaRef ds:uri="http://purl.org/dc/terms/"/>
    <ds:schemaRef ds:uri="b14780af-cb87-427e-b218-209b2bced777"/>
    <ds:schemaRef ds:uri="http://schemas.microsoft.com/office/infopath/2007/PartnerControl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545E0A9-2FA0-4A19-A187-79C48D9B5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f3f8b8-0fcb-44cc-869c-dfb14a7bf8d0"/>
    <ds:schemaRef ds:uri="b14780af-cb87-427e-b218-209b2bced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7E4A6-6791-4F29-94D0-88A18F3F7466}">
  <ds:schemaRefs>
    <ds:schemaRef ds:uri="http://schemas.microsoft.com/sharepoint/v3/contenttype/forms"/>
  </ds:schemaRefs>
</ds:datastoreItem>
</file>

<file path=docMetadata/LabelInfo.xml><?xml version="1.0" encoding="utf-8"?>
<clbl:labelList xmlns:clbl="http://schemas.microsoft.com/office/2020/mipLabelMetadata">
  <clbl:label id="{ed23862a-38c6-45ed-bd6a-60c55a569daf}" enabled="0" method="" siteId="{ed23862a-38c6-45ed-bd6a-60c55a569daf}"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U.S. Securities and Exchange Commission</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bhaml</dc:creator>
  <cp:lastModifiedBy>Hutt, Eboney</cp:lastModifiedBy>
  <cp:revision>2</cp:revision>
  <cp:lastPrinted>2024-06-20T19:07:00Z</cp:lastPrinted>
  <dcterms:created xsi:type="dcterms:W3CDTF">2024-06-25T18:50:00Z</dcterms:created>
  <dcterms:modified xsi:type="dcterms:W3CDTF">2024-06-25T18:50:00Z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0x0101000C285391998E8841ADB28A612A6359A9</vt:lpwstr>
  </property>
  <property fmtid="{D5CDD505-2E9C-101B-9397-08002B2CF9AE}" pid="4" name="EMAIL_OWNER_ADDRESS">
    <vt:lpwstr>sAAAb0xRtPDW5UvzAEAeGEiY2bdwfBnlAJ8RXHEFa/cSqYA=</vt:lpwstr>
  </property>
  <property fmtid="{D5CDD505-2E9C-101B-9397-08002B2CF9AE}" pid="5" name="GUID">
    <vt:lpwstr>642df655-3b15-4595-b723-d309c29a7a96</vt:lpwstr>
  </property>
  <property fmtid="{D5CDD505-2E9C-101B-9397-08002B2CF9AE}" pid="6" name="MAIL_MSG_ID1">
    <vt:lpwstr>gFAAXJDLFUo5N7veB8X6CZ7hO7L6TlnMQuVZKURS4YnFZHLUm7GSiSauvyu1X1nD3C0PWdDnb1scfjve\ns4QOG+1Z96kJ0hmtCZZS9+yqdrtr2oYXSyWp6QWCOicf4UGW9v8Gpacc0RCOwMTSNCjklaaAkqj8\n0uBmUfYRIgU3A9fJ+EAiFepuYErsz3vmoO0Ku+rG6v1TsdujM/OKcsjPSOlgVweg2i71Q8dnWBVH\nOAaoCZlwtXH6wwyEc</vt:lpwstr>
  </property>
  <property fmtid="{D5CDD505-2E9C-101B-9397-08002B2CF9AE}" pid="7" name="MAIL_MSG_ID2">
    <vt:lpwstr>wJf+aXCT1FClS4AVkP5/p0Ihh/fPua6f57E00TqGBFTISv32ux8DliFcPDA\nllC4mBuCVu1BrnhlgehawxtfC6P9CNeR5aihEQ==</vt:lpwstr>
  </property>
  <property fmtid="{D5CDD505-2E9C-101B-9397-08002B2CF9AE}" pid="8" name="Order">
    <vt:r8>156900</vt:r8>
  </property>
  <property fmtid="{D5CDD505-2E9C-101B-9397-08002B2CF9AE}" pid="9" name="Previously Modified By">
    <vt:lpwstr/>
  </property>
  <property fmtid="{D5CDD505-2E9C-101B-9397-08002B2CF9AE}" pid="10" name="RESPONSE_SENDER_NAME">
    <vt:lpwstr>sAAAXRTqSjcrLAoE+vWd1gzfFb6kgtncSXGuiLN6WH59kp4=</vt:lpwstr>
  </property>
  <property fmtid="{D5CDD505-2E9C-101B-9397-08002B2CF9AE}" pid="11" name="ShowCombineView">
    <vt:lpwstr/>
  </property>
  <property fmtid="{D5CDD505-2E9C-101B-9397-08002B2CF9AE}" pid="12" name="ShowRepairView">
    <vt:lpwstr/>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CopySource">
    <vt:lpwstr>https://collaboration/sites/OIT/pra/ICR Documents/3235-0626-[1408974610850]/PRA_17g-3_Supporting_Statement (Final) (3).docx</vt:lpwstr>
  </property>
  <property fmtid="{D5CDD505-2E9C-101B-9397-08002B2CF9AE}" pid="18" name="_dlc_DocId">
    <vt:lpwstr>KKE47E4U7XZ3-2069-5016</vt:lpwstr>
  </property>
  <property fmtid="{D5CDD505-2E9C-101B-9397-08002B2CF9AE}" pid="19" name="_dlc_DocIdItemGuid">
    <vt:lpwstr>8f2eafbe-451e-4290-8e20-8dc5dd813127</vt:lpwstr>
  </property>
  <property fmtid="{D5CDD505-2E9C-101B-9397-08002B2CF9AE}" pid="20" name="_dlc_DocIdUrl">
    <vt:lpwstr>https://collaboration/sites/OIT/pra/_layouts/DocIdRedir.aspx?ID=KKE47E4U7XZ3-2069-5016, KKE47E4U7XZ3-2069-5016</vt:lpwstr>
  </property>
  <property fmtid="{D5CDD505-2E9C-101B-9397-08002B2CF9AE}" pid="21" name="_ExtendedDescription">
    <vt:lpwstr/>
  </property>
</Properties>
</file>