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97044" w:rsidRPr="00247187" w:rsidP="00997044" w14:paraId="4A0830A2" w14:textId="77777777">
      <w:pPr>
        <w:rPr>
          <w:rFonts w:ascii="Times New Roman" w:hAnsi="Times New Roman"/>
          <w:b/>
          <w:bCs/>
        </w:rPr>
      </w:pPr>
      <w:r w:rsidRPr="00247187">
        <w:rPr>
          <w:rFonts w:ascii="Times New Roman" w:hAnsi="Times New Roman"/>
          <w:b/>
          <w:bCs/>
        </w:rPr>
        <w:t>SECURITIES AND EXCHANGE COMMISSION</w:t>
      </w:r>
    </w:p>
    <w:p w:rsidR="00997044" w:rsidRPr="00247187" w:rsidP="00997044" w14:paraId="373E85FA" w14:textId="77777777">
      <w:pPr>
        <w:rPr>
          <w:rFonts w:ascii="Times New Roman" w:hAnsi="Times New Roman"/>
          <w:b/>
          <w:bCs/>
        </w:rPr>
      </w:pPr>
    </w:p>
    <w:p w:rsidR="00997044" w:rsidRPr="00247187" w:rsidP="00997044" w14:paraId="74A69A77" w14:textId="77777777">
      <w:pPr>
        <w:rPr>
          <w:rFonts w:ascii="Times New Roman" w:hAnsi="Times New Roman"/>
          <w:b/>
          <w:bCs/>
        </w:rPr>
      </w:pPr>
      <w:r w:rsidRPr="00247187">
        <w:rPr>
          <w:rFonts w:ascii="Times New Roman" w:hAnsi="Times New Roman"/>
          <w:b/>
          <w:bCs/>
        </w:rPr>
        <w:t>SEC File No. 270-480</w:t>
      </w:r>
      <w:r>
        <w:rPr>
          <w:rFonts w:ascii="Times New Roman" w:hAnsi="Times New Roman"/>
          <w:b/>
          <w:bCs/>
        </w:rPr>
        <w:t>,</w:t>
      </w:r>
      <w:r w:rsidRPr="00247187">
        <w:rPr>
          <w:rFonts w:ascii="Times New Roman" w:hAnsi="Times New Roman"/>
          <w:b/>
          <w:bCs/>
        </w:rPr>
        <w:t xml:space="preserve"> OMB Control No. 3235-0537</w:t>
      </w:r>
    </w:p>
    <w:p w:rsidR="00997044" w:rsidRPr="00247187" w:rsidP="00997044" w14:paraId="3680AE7C" w14:textId="77777777">
      <w:pPr>
        <w:rPr>
          <w:rFonts w:ascii="Times New Roman" w:hAnsi="Times New Roman"/>
          <w:b/>
          <w:bCs/>
        </w:rPr>
      </w:pPr>
    </w:p>
    <w:p w:rsidR="00997044" w:rsidRPr="00247187" w:rsidP="00997044" w14:paraId="01B28A37" w14:textId="60F4762C">
      <w:pPr>
        <w:rPr>
          <w:rFonts w:ascii="Times New Roman" w:hAnsi="Times New Roman"/>
          <w:b/>
          <w:bCs/>
        </w:rPr>
      </w:pPr>
      <w:r w:rsidRPr="00272A6E">
        <w:rPr>
          <w:rFonts w:ascii="Times New Roman" w:hAnsi="Times New Roman"/>
          <w:b/>
          <w:bCs/>
        </w:rPr>
        <w:t>Proposed Collection</w:t>
      </w:r>
      <w:r w:rsidRPr="00247187">
        <w:rPr>
          <w:rFonts w:ascii="Times New Roman" w:hAnsi="Times New Roman"/>
          <w:b/>
          <w:bCs/>
        </w:rPr>
        <w:t>; Comment Request; Extension:  Regulation S-P</w:t>
      </w:r>
    </w:p>
    <w:p w:rsidR="00997044" w:rsidRPr="001D2A42" w:rsidP="00997044" w14:paraId="396D182D" w14:textId="77777777">
      <w:pPr>
        <w:rPr>
          <w:rFonts w:ascii="Times New Roman" w:hAnsi="Times New Roman"/>
        </w:rPr>
      </w:pPr>
    </w:p>
    <w:p w:rsidR="00997044" w:rsidP="00997044" w14:paraId="29455908" w14:textId="77777777">
      <w:pPr>
        <w:rPr>
          <w:rFonts w:ascii="Times New Roman" w:hAnsi="Times New Roman"/>
        </w:rPr>
      </w:pPr>
      <w:r w:rsidRPr="001D2A42">
        <w:rPr>
          <w:rFonts w:ascii="Times New Roman" w:hAnsi="Times New Roman"/>
        </w:rPr>
        <w:t>Upon Written Re</w:t>
      </w:r>
      <w:r>
        <w:rPr>
          <w:rFonts w:ascii="Times New Roman" w:hAnsi="Times New Roman"/>
        </w:rPr>
        <w:t>quest, Copies Available From:</w:t>
      </w:r>
    </w:p>
    <w:p w:rsidR="00997044" w:rsidRPr="001D2A42" w:rsidP="00997044" w14:paraId="64755ADA" w14:textId="77777777">
      <w:pPr>
        <w:rPr>
          <w:rFonts w:ascii="Times New Roman" w:hAnsi="Times New Roman"/>
        </w:rPr>
      </w:pPr>
    </w:p>
    <w:p w:rsidR="00997044" w:rsidRPr="001D2A42" w:rsidP="00997044" w14:paraId="052B39F6" w14:textId="77777777">
      <w:pPr>
        <w:rPr>
          <w:rFonts w:ascii="Times New Roman" w:hAnsi="Times New Roman"/>
        </w:rPr>
      </w:pPr>
      <w:r w:rsidRPr="001D2A42">
        <w:rPr>
          <w:rFonts w:ascii="Times New Roman" w:hAnsi="Times New Roman"/>
        </w:rPr>
        <w:t>Securities and Exchange Commission</w:t>
      </w:r>
    </w:p>
    <w:p w:rsidR="00997044" w:rsidP="00997044" w14:paraId="665B40E5" w14:textId="77777777">
      <w:pPr>
        <w:rPr>
          <w:rFonts w:ascii="Times New Roman" w:hAnsi="Times New Roman"/>
        </w:rPr>
      </w:pPr>
    </w:p>
    <w:p w:rsidR="00997044" w:rsidRPr="001D2A42" w:rsidP="00997044" w14:paraId="55D589AD" w14:textId="77777777">
      <w:pPr>
        <w:rPr>
          <w:rFonts w:ascii="Times New Roman" w:hAnsi="Times New Roman"/>
        </w:rPr>
      </w:pPr>
      <w:r w:rsidRPr="001D2A42">
        <w:rPr>
          <w:rFonts w:ascii="Times New Roman" w:hAnsi="Times New Roman"/>
        </w:rPr>
        <w:t>Office of FOIA Services</w:t>
      </w:r>
    </w:p>
    <w:p w:rsidR="00997044" w:rsidP="00997044" w14:paraId="7C0F8EAE" w14:textId="77777777">
      <w:pPr>
        <w:rPr>
          <w:rFonts w:ascii="Times New Roman" w:hAnsi="Times New Roman"/>
        </w:rPr>
      </w:pPr>
    </w:p>
    <w:p w:rsidR="00997044" w:rsidRPr="001D2A42" w:rsidP="00997044" w14:paraId="7BE1AB6F" w14:textId="77777777">
      <w:pPr>
        <w:rPr>
          <w:rFonts w:ascii="Times New Roman" w:hAnsi="Times New Roman"/>
        </w:rPr>
      </w:pPr>
      <w:r w:rsidRPr="001D2A42">
        <w:rPr>
          <w:rFonts w:ascii="Times New Roman" w:hAnsi="Times New Roman"/>
        </w:rPr>
        <w:t>100 F Street, NE</w:t>
      </w:r>
    </w:p>
    <w:p w:rsidR="00997044" w:rsidP="00997044" w14:paraId="1B7AB5D7" w14:textId="77777777">
      <w:pPr>
        <w:rPr>
          <w:rFonts w:ascii="Times New Roman" w:hAnsi="Times New Roman"/>
        </w:rPr>
      </w:pPr>
    </w:p>
    <w:p w:rsidR="00997044" w:rsidRPr="001D2A42" w:rsidP="00997044" w14:paraId="4D9EBDF7" w14:textId="77777777">
      <w:pPr>
        <w:rPr>
          <w:rFonts w:ascii="Times New Roman" w:hAnsi="Times New Roman"/>
        </w:rPr>
      </w:pPr>
      <w:r w:rsidRPr="001D2A42">
        <w:rPr>
          <w:rFonts w:ascii="Times New Roman" w:hAnsi="Times New Roman"/>
        </w:rPr>
        <w:t>Washington, DC 20549-2736</w:t>
      </w:r>
    </w:p>
    <w:p w:rsidR="008F26B7" w:rsidRPr="0086261B" w:rsidP="00491C52" w14:paraId="5D2BF217" w14:textId="77777777">
      <w:pPr>
        <w:rPr>
          <w:rFonts w:ascii="Times New Roman" w:hAnsi="Times New Roman"/>
        </w:rPr>
      </w:pPr>
    </w:p>
    <w:p w:rsidR="00491C52" w:rsidRPr="0086261B" w:rsidP="00491C52" w14:paraId="79F34FF7" w14:textId="77777777">
      <w:pPr>
        <w:spacing w:line="480" w:lineRule="auto"/>
        <w:rPr>
          <w:rFonts w:ascii="Times New Roman" w:hAnsi="Times New Roman"/>
        </w:rPr>
      </w:pPr>
      <w:r w:rsidRPr="0086261B">
        <w:rPr>
          <w:rFonts w:ascii="Times New Roman" w:hAnsi="Times New Roman"/>
        </w:rPr>
        <w:tab/>
        <w:t>Notice is hereby given that</w:t>
      </w:r>
      <w:r w:rsidR="00CF589E">
        <w:rPr>
          <w:rFonts w:ascii="Times New Roman" w:hAnsi="Times New Roman"/>
        </w:rPr>
        <w:t>,</w:t>
      </w:r>
      <w:r w:rsidRPr="0086261B">
        <w:rPr>
          <w:rFonts w:ascii="Times New Roman" w:hAnsi="Times New Roman"/>
        </w:rPr>
        <w:t xml:space="preserve"> pursuant to the Paperwork Reduction Act of 1995</w:t>
      </w:r>
      <w:r w:rsidR="00487898">
        <w:rPr>
          <w:rFonts w:ascii="Times New Roman" w:hAnsi="Times New Roman"/>
        </w:rPr>
        <w:t xml:space="preserve"> (“PRA”)</w:t>
      </w:r>
      <w:r w:rsidRPr="0086261B">
        <w:rPr>
          <w:rFonts w:ascii="Times New Roman" w:hAnsi="Times New Roman"/>
        </w:rPr>
        <w:t xml:space="preserve"> (44 U.S.C. 3501 </w:t>
      </w:r>
      <w:r w:rsidRPr="0000239C">
        <w:rPr>
          <w:rFonts w:ascii="Times New Roman" w:hAnsi="Times New Roman"/>
          <w:iCs/>
          <w:u w:val="single"/>
        </w:rPr>
        <w:t>et</w:t>
      </w:r>
      <w:r w:rsidRPr="0000239C">
        <w:rPr>
          <w:rFonts w:ascii="Times New Roman" w:hAnsi="Times New Roman"/>
          <w:iCs/>
        </w:rPr>
        <w:t xml:space="preserve"> </w:t>
      </w:r>
      <w:r w:rsidRPr="0000239C">
        <w:rPr>
          <w:rFonts w:ascii="Times New Roman" w:hAnsi="Times New Roman"/>
          <w:iCs/>
          <w:u w:val="single"/>
        </w:rPr>
        <w:t>seq.</w:t>
      </w:r>
      <w:r w:rsidRPr="0086261B">
        <w:rPr>
          <w:rFonts w:ascii="Times New Roman" w:hAnsi="Times New Roman"/>
        </w:rPr>
        <w:t>)</w:t>
      </w:r>
      <w:r w:rsidR="00CF589E">
        <w:rPr>
          <w:rFonts w:ascii="Times New Roman" w:hAnsi="Times New Roman"/>
        </w:rPr>
        <w:t>,</w:t>
      </w:r>
      <w:r w:rsidRPr="0086261B">
        <w:rPr>
          <w:rFonts w:ascii="Times New Roman" w:hAnsi="Times New Roman"/>
        </w:rPr>
        <w:t xml:space="preserve"> the Securities and Exchange Commission (“Commission”) is soliciting comments on the existing collection of information provided for in </w:t>
      </w:r>
      <w:r w:rsidRPr="0086261B" w:rsidR="00467749">
        <w:rPr>
          <w:rFonts w:ascii="Times New Roman" w:hAnsi="Times New Roman"/>
        </w:rPr>
        <w:t xml:space="preserve">the </w:t>
      </w:r>
      <w:r w:rsidRPr="0086261B" w:rsidR="008F26B7">
        <w:rPr>
          <w:rFonts w:ascii="Times New Roman" w:hAnsi="Times New Roman"/>
        </w:rPr>
        <w:t xml:space="preserve">privacy notice and opt out notice provisions of </w:t>
      </w:r>
      <w:r w:rsidRPr="0086261B">
        <w:rPr>
          <w:rFonts w:ascii="Times New Roman" w:hAnsi="Times New Roman"/>
        </w:rPr>
        <w:t>Regulation S-P – Privacy of Consumer Financial Information (17 CFR Part 248</w:t>
      </w:r>
      <w:r w:rsidR="000D1EE1">
        <w:rPr>
          <w:rFonts w:ascii="Times New Roman" w:hAnsi="Times New Roman"/>
        </w:rPr>
        <w:t>, Subpart A</w:t>
      </w:r>
      <w:r w:rsidRPr="0086261B">
        <w:rPr>
          <w:rFonts w:ascii="Times New Roman" w:hAnsi="Times New Roman"/>
        </w:rPr>
        <w:t>) under the Securities Exchange Act of 1934</w:t>
      </w:r>
      <w:r w:rsidRPr="0086261B">
        <w:rPr>
          <w:rFonts w:ascii="Times New Roman" w:hAnsi="Times New Roman"/>
          <w:spacing w:val="-3"/>
        </w:rPr>
        <w:t xml:space="preserve"> </w:t>
      </w:r>
      <w:r w:rsidRPr="0086261B" w:rsidR="000D1EE1">
        <w:rPr>
          <w:rFonts w:ascii="Times New Roman" w:hAnsi="Times New Roman"/>
          <w:spacing w:val="-3"/>
        </w:rPr>
        <w:t xml:space="preserve">(“Exchange Act”) </w:t>
      </w:r>
      <w:r w:rsidRPr="0086261B">
        <w:rPr>
          <w:rFonts w:ascii="Times New Roman" w:hAnsi="Times New Roman"/>
          <w:spacing w:val="-3"/>
        </w:rPr>
        <w:t xml:space="preserve">(15 U.S.C. 78a </w:t>
      </w:r>
      <w:r w:rsidRPr="0000239C">
        <w:rPr>
          <w:rFonts w:ascii="Times New Roman" w:hAnsi="Times New Roman"/>
          <w:iCs/>
          <w:spacing w:val="-3"/>
          <w:u w:val="single"/>
        </w:rPr>
        <w:t>et</w:t>
      </w:r>
      <w:r w:rsidRPr="0000239C">
        <w:rPr>
          <w:rFonts w:ascii="Times New Roman" w:hAnsi="Times New Roman"/>
          <w:iCs/>
          <w:spacing w:val="-3"/>
        </w:rPr>
        <w:t xml:space="preserve"> </w:t>
      </w:r>
      <w:r w:rsidRPr="0000239C">
        <w:rPr>
          <w:rFonts w:ascii="Times New Roman" w:hAnsi="Times New Roman"/>
          <w:iCs/>
          <w:spacing w:val="-3"/>
          <w:u w:val="single"/>
        </w:rPr>
        <w:t>seq.</w:t>
      </w:r>
      <w:r w:rsidRPr="0086261B">
        <w:rPr>
          <w:rFonts w:ascii="Times New Roman" w:hAnsi="Times New Roman"/>
          <w:spacing w:val="-3"/>
        </w:rPr>
        <w:t>)</w:t>
      </w:r>
      <w:r w:rsidRPr="0086261B" w:rsidR="00ED75AF">
        <w:rPr>
          <w:rFonts w:ascii="Times New Roman" w:hAnsi="Times New Roman"/>
        </w:rPr>
        <w:t xml:space="preserve">.  </w:t>
      </w:r>
      <w:r w:rsidRPr="0086261B">
        <w:rPr>
          <w:rFonts w:ascii="Times New Roman" w:hAnsi="Times New Roman"/>
        </w:rPr>
        <w:t xml:space="preserve">The Commission plans to submit this existing collection of information to the Office of Management and Budget </w:t>
      </w:r>
      <w:r w:rsidRPr="0086261B" w:rsidR="00AD660E">
        <w:rPr>
          <w:rFonts w:ascii="Times New Roman" w:hAnsi="Times New Roman"/>
        </w:rPr>
        <w:t xml:space="preserve">(“OMB”) </w:t>
      </w:r>
      <w:r w:rsidRPr="0086261B">
        <w:rPr>
          <w:rFonts w:ascii="Times New Roman" w:hAnsi="Times New Roman"/>
        </w:rPr>
        <w:t>for extension and approval.</w:t>
      </w:r>
    </w:p>
    <w:p w:rsidR="00491C52" w:rsidRPr="0086261B" w:rsidP="00491C52" w14:paraId="064FC15A" w14:textId="43F8D722">
      <w:pPr>
        <w:spacing w:line="480" w:lineRule="auto"/>
        <w:rPr>
          <w:rFonts w:ascii="Times New Roman" w:hAnsi="Times New Roman"/>
        </w:rPr>
      </w:pPr>
      <w:r w:rsidRPr="0086261B">
        <w:rPr>
          <w:rFonts w:ascii="Times New Roman" w:hAnsi="Times New Roman"/>
        </w:rPr>
        <w:tab/>
        <w:t xml:space="preserve">The </w:t>
      </w:r>
      <w:r w:rsidRPr="0086261B" w:rsidR="008F26B7">
        <w:rPr>
          <w:rFonts w:ascii="Times New Roman" w:hAnsi="Times New Roman"/>
        </w:rPr>
        <w:t>privacy notice and opt out notice provisions of Regulation S-P (the “Rule”) implement</w:t>
      </w:r>
      <w:r w:rsidRPr="0086261B">
        <w:rPr>
          <w:rFonts w:ascii="Times New Roman" w:hAnsi="Times New Roman"/>
        </w:rPr>
        <w:t xml:space="preserve"> the </w:t>
      </w:r>
      <w:r w:rsidRPr="0086261B" w:rsidR="008F26B7">
        <w:rPr>
          <w:rFonts w:ascii="Times New Roman" w:hAnsi="Times New Roman"/>
        </w:rPr>
        <w:t xml:space="preserve">privacy notice and opt out notice requirements </w:t>
      </w:r>
      <w:r w:rsidRPr="0086261B">
        <w:rPr>
          <w:rFonts w:ascii="Times New Roman" w:hAnsi="Times New Roman"/>
        </w:rPr>
        <w:t xml:space="preserve">of Title V of the Gramm-Leach-Bliley Act (“GLBA”), </w:t>
      </w:r>
      <w:r w:rsidRPr="003D78D4">
        <w:rPr>
          <w:rFonts w:ascii="Times New Roman" w:hAnsi="Times New Roman"/>
        </w:rPr>
        <w:t xml:space="preserve">which </w:t>
      </w:r>
      <w:r w:rsidR="003D78D4">
        <w:rPr>
          <w:rFonts w:ascii="Times New Roman" w:hAnsi="Times New Roman"/>
        </w:rPr>
        <w:t>requires</w:t>
      </w:r>
      <w:r w:rsidRPr="0086261B">
        <w:rPr>
          <w:rFonts w:ascii="Times New Roman" w:hAnsi="Times New Roman"/>
        </w:rPr>
        <w:t xml:space="preserve"> that at the time of establishing a customer relationship with a consumer and not less than annually during the continuation of such relationship, a financial institution shall provide a clear and conspicuous disclosure to such consumer of such financial institution’s policies and practices with respect to disclosing nonpublic personal information to affiliates and nonaffiliated third parties (“privacy notice”).  Title V of the GLBA also provides that, unless an exception applies, a financial institution may not disclose nonpublic </w:t>
      </w:r>
      <w:r w:rsidRPr="0086261B">
        <w:rPr>
          <w:rFonts w:ascii="Times New Roman" w:hAnsi="Times New Roman"/>
        </w:rPr>
        <w:t>personal information of a consumer to a nonaffiliated third party unless the financial institution clearly and conspicuously discloses to the consumer that such information may be disclosed to such third party; the consumer is given the opportunity, before the time that such information is initially disclosed, to direct that such information not be disclosed to such third party; and the consumer is given an explanation of how the consumer can exercise that nondisclos</w:t>
      </w:r>
      <w:r w:rsidRPr="0086261B" w:rsidR="008F26B7">
        <w:rPr>
          <w:rFonts w:ascii="Times New Roman" w:hAnsi="Times New Roman"/>
        </w:rPr>
        <w:t xml:space="preserve">ure option (“opt out notice”).  </w:t>
      </w:r>
      <w:r w:rsidRPr="0086261B" w:rsidR="003F02A2">
        <w:rPr>
          <w:rFonts w:ascii="Times New Roman" w:hAnsi="Times New Roman"/>
        </w:rPr>
        <w:t>The Rule applies to broker-dealers, investment advisers registered with the Commission, and investment companies (“covered entities”).</w:t>
      </w:r>
    </w:p>
    <w:p w:rsidR="00491C52" w:rsidRPr="0086261B" w:rsidP="00491C52" w14:paraId="3CB94EAC" w14:textId="1C7C9911">
      <w:pPr>
        <w:spacing w:line="480" w:lineRule="auto"/>
        <w:rPr>
          <w:rFonts w:ascii="Times New Roman" w:hAnsi="Times New Roman"/>
        </w:rPr>
      </w:pPr>
      <w:r w:rsidRPr="0086261B">
        <w:rPr>
          <w:rFonts w:ascii="Times New Roman" w:hAnsi="Times New Roman"/>
        </w:rPr>
        <w:tab/>
      </w:r>
      <w:r w:rsidRPr="0086261B" w:rsidR="003F02A2">
        <w:rPr>
          <w:rFonts w:ascii="Times New Roman" w:hAnsi="Times New Roman"/>
          <w:spacing w:val="-3"/>
        </w:rPr>
        <w:t>Commission</w:t>
      </w:r>
      <w:r w:rsidRPr="0086261B" w:rsidR="008F26B7">
        <w:rPr>
          <w:rFonts w:ascii="Times New Roman" w:hAnsi="Times New Roman"/>
          <w:spacing w:val="-3"/>
        </w:rPr>
        <w:t xml:space="preserve"> staff estimates that, as of </w:t>
      </w:r>
      <w:r w:rsidR="00997044">
        <w:rPr>
          <w:rFonts w:ascii="Times New Roman" w:hAnsi="Times New Roman"/>
          <w:spacing w:val="-3"/>
        </w:rPr>
        <w:t>April 1, 2024,</w:t>
      </w:r>
      <w:r w:rsidRPr="0086261B" w:rsidR="008F26B7">
        <w:rPr>
          <w:rFonts w:ascii="Times New Roman" w:hAnsi="Times New Roman"/>
          <w:spacing w:val="-3"/>
        </w:rPr>
        <w:t xml:space="preserve"> the Rule’s information collection burden applies to approximately </w:t>
      </w:r>
      <w:r w:rsidR="00086B28">
        <w:rPr>
          <w:rFonts w:ascii="Times New Roman" w:hAnsi="Times New Roman"/>
          <w:spacing w:val="-3"/>
        </w:rPr>
        <w:t>32,707</w:t>
      </w:r>
      <w:r w:rsidRPr="0086261B" w:rsidR="008F26B7">
        <w:rPr>
          <w:rFonts w:ascii="Times New Roman" w:hAnsi="Times New Roman"/>
          <w:spacing w:val="-3"/>
        </w:rPr>
        <w:t xml:space="preserve"> covered entities (approximately </w:t>
      </w:r>
      <w:r w:rsidR="00131A92">
        <w:rPr>
          <w:rFonts w:ascii="Times New Roman" w:hAnsi="Times New Roman"/>
          <w:spacing w:val="-3"/>
        </w:rPr>
        <w:t>3,</w:t>
      </w:r>
      <w:r w:rsidR="00997044">
        <w:rPr>
          <w:rFonts w:ascii="Times New Roman" w:hAnsi="Times New Roman"/>
          <w:spacing w:val="-3"/>
        </w:rPr>
        <w:t>410</w:t>
      </w:r>
      <w:r w:rsidRPr="0086261B" w:rsidR="008F26B7">
        <w:rPr>
          <w:rFonts w:ascii="Times New Roman" w:hAnsi="Times New Roman"/>
          <w:spacing w:val="-3"/>
        </w:rPr>
        <w:t xml:space="preserve"> broker-dealers, </w:t>
      </w:r>
      <w:r w:rsidRPr="0086261B" w:rsidR="00517F21">
        <w:rPr>
          <w:rFonts w:ascii="Times New Roman" w:hAnsi="Times New Roman"/>
          <w:spacing w:val="-3"/>
        </w:rPr>
        <w:t>1</w:t>
      </w:r>
      <w:r w:rsidR="00997044">
        <w:rPr>
          <w:rFonts w:ascii="Times New Roman" w:hAnsi="Times New Roman"/>
          <w:spacing w:val="-3"/>
        </w:rPr>
        <w:t>5,531</w:t>
      </w:r>
      <w:r w:rsidRPr="0086261B" w:rsidR="003F02A2">
        <w:rPr>
          <w:rFonts w:ascii="Times New Roman" w:hAnsi="Times New Roman"/>
          <w:spacing w:val="-3"/>
        </w:rPr>
        <w:t xml:space="preserve"> investment advisers registered with the Commission, and </w:t>
      </w:r>
      <w:r w:rsidR="00086B28">
        <w:rPr>
          <w:rFonts w:ascii="Times New Roman" w:hAnsi="Times New Roman"/>
          <w:spacing w:val="-3"/>
        </w:rPr>
        <w:t>13,766</w:t>
      </w:r>
      <w:r w:rsidRPr="0086261B" w:rsidR="008F26B7">
        <w:rPr>
          <w:rFonts w:ascii="Times New Roman" w:hAnsi="Times New Roman"/>
          <w:spacing w:val="-3"/>
        </w:rPr>
        <w:t xml:space="preserve"> investment companies).  In view of (a) the minimal recordkeeping burden imposed by the Rule (since the Rule has no recordkeeping requirement and records relating to customer communications already must be made and retained pursuant to other SEC rules); (b) the summary fashion in which information must be provided to customers in the privacy and opt out notices required by the Rule (the model privacy form adopted by the SEC and the other agencies in 2009, designed to serve as both a privacy notice and an opt out notice, is only two pages); (c) the availability to covered entities of the model privacy form and online model privacy form builder; and (d) the experience of covered entities’ staff with the notices, SEC staff estimates that covered entities will each spend an average of approximately 12 hours per year complying with the Rule, for a total of approximately </w:t>
      </w:r>
      <w:r w:rsidR="00086B28">
        <w:rPr>
          <w:rFonts w:ascii="Times New Roman" w:hAnsi="Times New Roman"/>
          <w:spacing w:val="-3"/>
        </w:rPr>
        <w:t>392,484</w:t>
      </w:r>
      <w:r w:rsidR="0056325B">
        <w:rPr>
          <w:rFonts w:ascii="Times New Roman" w:hAnsi="Times New Roman"/>
          <w:spacing w:val="-3"/>
        </w:rPr>
        <w:t xml:space="preserve"> </w:t>
      </w:r>
      <w:r w:rsidRPr="0086261B" w:rsidR="008F26B7">
        <w:rPr>
          <w:rFonts w:ascii="Times New Roman" w:hAnsi="Times New Roman"/>
          <w:spacing w:val="-3"/>
        </w:rPr>
        <w:t xml:space="preserve">annual burden-hours (12 x </w:t>
      </w:r>
      <w:r w:rsidR="00086B28">
        <w:rPr>
          <w:rFonts w:ascii="Times New Roman" w:hAnsi="Times New Roman"/>
          <w:spacing w:val="-3"/>
        </w:rPr>
        <w:t>32,707</w:t>
      </w:r>
      <w:r w:rsidRPr="0086261B" w:rsidR="008F26B7">
        <w:rPr>
          <w:rFonts w:ascii="Times New Roman" w:hAnsi="Times New Roman"/>
          <w:spacing w:val="-3"/>
        </w:rPr>
        <w:t xml:space="preserve"> = </w:t>
      </w:r>
      <w:r w:rsidR="00086B28">
        <w:rPr>
          <w:rFonts w:ascii="Times New Roman" w:hAnsi="Times New Roman"/>
          <w:spacing w:val="-3"/>
        </w:rPr>
        <w:t>392,484</w:t>
      </w:r>
      <w:r w:rsidR="001D7908">
        <w:rPr>
          <w:rFonts w:ascii="Times New Roman" w:hAnsi="Times New Roman"/>
          <w:spacing w:val="-3"/>
        </w:rPr>
        <w:t>)</w:t>
      </w:r>
      <w:r w:rsidRPr="0086261B" w:rsidR="008F26B7">
        <w:rPr>
          <w:rFonts w:ascii="Times New Roman" w:hAnsi="Times New Roman"/>
          <w:spacing w:val="-3"/>
        </w:rPr>
        <w:t xml:space="preserve">.  SEC staff understands that the vast </w:t>
      </w:r>
      <w:r w:rsidRPr="0086261B" w:rsidR="00617D0F">
        <w:rPr>
          <w:rFonts w:ascii="Times New Roman" w:hAnsi="Times New Roman"/>
          <w:spacing w:val="-3"/>
        </w:rPr>
        <w:t>majority</w:t>
      </w:r>
      <w:r w:rsidR="0050571C">
        <w:rPr>
          <w:rFonts w:ascii="Times New Roman" w:hAnsi="Times New Roman"/>
          <w:spacing w:val="-3"/>
        </w:rPr>
        <w:t xml:space="preserve"> </w:t>
      </w:r>
      <w:r w:rsidRPr="0086261B" w:rsidR="00617D0F">
        <w:rPr>
          <w:rFonts w:ascii="Times New Roman" w:hAnsi="Times New Roman"/>
          <w:spacing w:val="-3"/>
        </w:rPr>
        <w:t>of covered entities deliver</w:t>
      </w:r>
      <w:r w:rsidRPr="0086261B" w:rsidR="008F26B7">
        <w:rPr>
          <w:rFonts w:ascii="Times New Roman" w:hAnsi="Times New Roman"/>
          <w:spacing w:val="-3"/>
        </w:rPr>
        <w:t xml:space="preserve"> their privacy and opt out notices with other communications such as account opening documents and account statements.  Because the other communications are already delivered to consumers, adding a brief privacy and opt out notice should not result in added costs for processing </w:t>
      </w:r>
      <w:r w:rsidR="000D6B47">
        <w:rPr>
          <w:rFonts w:ascii="Times New Roman" w:hAnsi="Times New Roman"/>
          <w:spacing w:val="-3"/>
        </w:rPr>
        <w:t>or for postage and</w:t>
      </w:r>
      <w:r w:rsidR="0050571C">
        <w:rPr>
          <w:rFonts w:ascii="Times New Roman" w:hAnsi="Times New Roman"/>
          <w:spacing w:val="-3"/>
        </w:rPr>
        <w:t xml:space="preserve"> </w:t>
      </w:r>
      <w:r w:rsidRPr="0086261B" w:rsidR="008F26B7">
        <w:rPr>
          <w:rFonts w:ascii="Times New Roman" w:hAnsi="Times New Roman"/>
          <w:spacing w:val="-3"/>
        </w:rPr>
        <w:t>materials.  Also, privacy and opt out notices may be delivered electronically to consumers who have agreed to electronic communications, which further reduces the costs of delivery.  Because SEC staff assumes that most paper copies of privacy and opt out notices are combined with other required mailings, the burden-hour estimates above are based on resources required to integrate the privacy and opt notices into another mailing, rather than on the resources required to create and send a separate mailing.</w:t>
      </w:r>
      <w:r w:rsidRPr="0086261B" w:rsidR="00223FD0">
        <w:rPr>
          <w:rFonts w:ascii="Times New Roman" w:hAnsi="Times New Roman"/>
          <w:spacing w:val="-3"/>
        </w:rPr>
        <w:t xml:space="preserve">  </w:t>
      </w:r>
      <w:r w:rsidRPr="0086261B" w:rsidR="00223FD0">
        <w:rPr>
          <w:rFonts w:ascii="Times New Roman" w:hAnsi="Times New Roman"/>
        </w:rPr>
        <w:t xml:space="preserve">SEC staff estimates that, of the estimated 12 annual burden-hours incurred, approximately 8 hours would be spent by administrative assistants at an hourly rate of </w:t>
      </w:r>
      <w:r w:rsidRPr="00086B28" w:rsidR="00223FD0">
        <w:rPr>
          <w:rFonts w:ascii="Times New Roman" w:hAnsi="Times New Roman"/>
        </w:rPr>
        <w:t>$</w:t>
      </w:r>
      <w:r w:rsidR="00086B28">
        <w:rPr>
          <w:rFonts w:ascii="Times New Roman" w:hAnsi="Times New Roman"/>
        </w:rPr>
        <w:t>90</w:t>
      </w:r>
      <w:r w:rsidR="00EC6EFB">
        <w:rPr>
          <w:rFonts w:ascii="Times New Roman" w:hAnsi="Times New Roman"/>
        </w:rPr>
        <w:t>,</w:t>
      </w:r>
      <w:r w:rsidRPr="0086261B" w:rsidR="00223FD0">
        <w:rPr>
          <w:rFonts w:ascii="Times New Roman" w:hAnsi="Times New Roman"/>
        </w:rPr>
        <w:t xml:space="preserve"> and approximately 4 hours would be spent by internal coun</w:t>
      </w:r>
      <w:r w:rsidR="003936CE">
        <w:rPr>
          <w:rFonts w:ascii="Times New Roman" w:hAnsi="Times New Roman"/>
        </w:rPr>
        <w:t xml:space="preserve">sel at an hourly rate of </w:t>
      </w:r>
      <w:r w:rsidRPr="00086B28" w:rsidR="003936CE">
        <w:rPr>
          <w:rFonts w:ascii="Times New Roman" w:hAnsi="Times New Roman"/>
        </w:rPr>
        <w:t>$</w:t>
      </w:r>
      <w:r w:rsidR="00086B28">
        <w:rPr>
          <w:rFonts w:ascii="Times New Roman" w:hAnsi="Times New Roman"/>
        </w:rPr>
        <w:t>518</w:t>
      </w:r>
      <w:r w:rsidR="003477AA">
        <w:rPr>
          <w:rFonts w:ascii="Times New Roman" w:hAnsi="Times New Roman"/>
        </w:rPr>
        <w:t>,</w:t>
      </w:r>
      <w:r w:rsidR="006776DE">
        <w:rPr>
          <w:rFonts w:ascii="Times New Roman" w:hAnsi="Times New Roman"/>
        </w:rPr>
        <w:t xml:space="preserve"> for a total annual</w:t>
      </w:r>
      <w:r w:rsidRPr="0086261B" w:rsidR="00223FD0">
        <w:rPr>
          <w:rFonts w:ascii="Times New Roman" w:hAnsi="Times New Roman"/>
        </w:rPr>
        <w:t xml:space="preserve"> </w:t>
      </w:r>
      <w:r w:rsidR="00CF589E">
        <w:rPr>
          <w:rFonts w:ascii="Times New Roman" w:hAnsi="Times New Roman"/>
        </w:rPr>
        <w:t xml:space="preserve">internal </w:t>
      </w:r>
      <w:r w:rsidRPr="0086261B" w:rsidR="00223FD0">
        <w:rPr>
          <w:rFonts w:ascii="Times New Roman" w:hAnsi="Times New Roman"/>
        </w:rPr>
        <w:t xml:space="preserve">cost of </w:t>
      </w:r>
      <w:r w:rsidR="005653F9">
        <w:rPr>
          <w:rFonts w:ascii="Times New Roman" w:hAnsi="Times New Roman"/>
        </w:rPr>
        <w:t xml:space="preserve">compliance of </w:t>
      </w:r>
      <w:r w:rsidR="005C0B4B">
        <w:rPr>
          <w:rFonts w:ascii="Times New Roman" w:hAnsi="Times New Roman"/>
        </w:rPr>
        <w:t xml:space="preserve">approximately </w:t>
      </w:r>
      <w:r w:rsidRPr="00086B28" w:rsidR="00223FD0">
        <w:rPr>
          <w:rFonts w:ascii="Times New Roman" w:hAnsi="Times New Roman"/>
        </w:rPr>
        <w:t>$2,</w:t>
      </w:r>
      <w:r w:rsidR="00086B28">
        <w:rPr>
          <w:rFonts w:ascii="Times New Roman" w:hAnsi="Times New Roman"/>
        </w:rPr>
        <w:t>792</w:t>
      </w:r>
      <w:r w:rsidRPr="0086261B" w:rsidR="00223FD0">
        <w:rPr>
          <w:rFonts w:ascii="Times New Roman" w:hAnsi="Times New Roman"/>
        </w:rPr>
        <w:t xml:space="preserve"> for each of the covered entities (8 x </w:t>
      </w:r>
      <w:r w:rsidRPr="00086B28" w:rsidR="00223FD0">
        <w:rPr>
          <w:rFonts w:ascii="Times New Roman" w:hAnsi="Times New Roman"/>
        </w:rPr>
        <w:t>$</w:t>
      </w:r>
      <w:r w:rsidR="00086B28">
        <w:rPr>
          <w:rFonts w:ascii="Times New Roman" w:hAnsi="Times New Roman"/>
        </w:rPr>
        <w:t>90</w:t>
      </w:r>
      <w:r w:rsidR="003936CE">
        <w:rPr>
          <w:rFonts w:ascii="Times New Roman" w:hAnsi="Times New Roman"/>
        </w:rPr>
        <w:t xml:space="preserve"> = </w:t>
      </w:r>
      <w:r w:rsidRPr="00086B28" w:rsidR="003936CE">
        <w:rPr>
          <w:rFonts w:ascii="Times New Roman" w:hAnsi="Times New Roman"/>
        </w:rPr>
        <w:t>$</w:t>
      </w:r>
      <w:r w:rsidR="00086B28">
        <w:rPr>
          <w:rFonts w:ascii="Times New Roman" w:hAnsi="Times New Roman"/>
        </w:rPr>
        <w:t>720</w:t>
      </w:r>
      <w:r w:rsidR="003936CE">
        <w:rPr>
          <w:rFonts w:ascii="Times New Roman" w:hAnsi="Times New Roman"/>
        </w:rPr>
        <w:t xml:space="preserve">; 4 x </w:t>
      </w:r>
      <w:r w:rsidRPr="00086B28" w:rsidR="003936CE">
        <w:rPr>
          <w:rFonts w:ascii="Times New Roman" w:hAnsi="Times New Roman"/>
        </w:rPr>
        <w:t>$</w:t>
      </w:r>
      <w:r w:rsidR="00086B28">
        <w:rPr>
          <w:rFonts w:ascii="Times New Roman" w:hAnsi="Times New Roman"/>
        </w:rPr>
        <w:t>518</w:t>
      </w:r>
      <w:r w:rsidR="003936CE">
        <w:rPr>
          <w:rFonts w:ascii="Times New Roman" w:hAnsi="Times New Roman"/>
        </w:rPr>
        <w:t xml:space="preserve"> = </w:t>
      </w:r>
      <w:r w:rsidRPr="00086B28" w:rsidR="003936CE">
        <w:rPr>
          <w:rFonts w:ascii="Times New Roman" w:hAnsi="Times New Roman"/>
        </w:rPr>
        <w:t>$</w:t>
      </w:r>
      <w:r w:rsidR="00086B28">
        <w:rPr>
          <w:rFonts w:ascii="Times New Roman" w:hAnsi="Times New Roman"/>
        </w:rPr>
        <w:t>2,072</w:t>
      </w:r>
      <w:r w:rsidR="003936CE">
        <w:rPr>
          <w:rFonts w:ascii="Times New Roman" w:hAnsi="Times New Roman"/>
        </w:rPr>
        <w:t xml:space="preserve">; </w:t>
      </w:r>
      <w:r w:rsidRPr="00086B28" w:rsidR="003936CE">
        <w:rPr>
          <w:rFonts w:ascii="Times New Roman" w:hAnsi="Times New Roman"/>
        </w:rPr>
        <w:t>$</w:t>
      </w:r>
      <w:r w:rsidR="00086B28">
        <w:rPr>
          <w:rFonts w:ascii="Times New Roman" w:hAnsi="Times New Roman"/>
        </w:rPr>
        <w:t>720</w:t>
      </w:r>
      <w:r w:rsidR="003936CE">
        <w:rPr>
          <w:rFonts w:ascii="Times New Roman" w:hAnsi="Times New Roman"/>
        </w:rPr>
        <w:t xml:space="preserve"> + </w:t>
      </w:r>
      <w:r w:rsidRPr="00086B28" w:rsidR="003936CE">
        <w:rPr>
          <w:rFonts w:ascii="Times New Roman" w:hAnsi="Times New Roman"/>
        </w:rPr>
        <w:t>$</w:t>
      </w:r>
      <w:r w:rsidR="00086B28">
        <w:rPr>
          <w:rFonts w:ascii="Times New Roman" w:hAnsi="Times New Roman"/>
        </w:rPr>
        <w:t>2,072</w:t>
      </w:r>
      <w:r w:rsidRPr="0086261B" w:rsidR="00223FD0">
        <w:rPr>
          <w:rFonts w:ascii="Times New Roman" w:hAnsi="Times New Roman"/>
        </w:rPr>
        <w:t xml:space="preserve"> = </w:t>
      </w:r>
      <w:r w:rsidRPr="00086B28" w:rsidR="00223FD0">
        <w:rPr>
          <w:rFonts w:ascii="Times New Roman" w:hAnsi="Times New Roman"/>
        </w:rPr>
        <w:t>$2,</w:t>
      </w:r>
      <w:r w:rsidR="00086B28">
        <w:rPr>
          <w:rFonts w:ascii="Times New Roman" w:hAnsi="Times New Roman"/>
        </w:rPr>
        <w:t>792</w:t>
      </w:r>
      <w:r w:rsidR="002A506C">
        <w:rPr>
          <w:rFonts w:ascii="Times New Roman" w:hAnsi="Times New Roman"/>
        </w:rPr>
        <w:t>)</w:t>
      </w:r>
      <w:r w:rsidRPr="0086261B" w:rsidR="00223FD0">
        <w:rPr>
          <w:rFonts w:ascii="Times New Roman" w:hAnsi="Times New Roman"/>
        </w:rPr>
        <w:t xml:space="preserve">.  Hourly cost </w:t>
      </w:r>
      <w:r w:rsidR="005653F9">
        <w:rPr>
          <w:rFonts w:ascii="Times New Roman" w:hAnsi="Times New Roman"/>
        </w:rPr>
        <w:t xml:space="preserve">of compliance </w:t>
      </w:r>
      <w:r w:rsidRPr="0086261B" w:rsidR="00223FD0">
        <w:rPr>
          <w:rFonts w:ascii="Times New Roman" w:hAnsi="Times New Roman"/>
        </w:rPr>
        <w:t xml:space="preserve">estimates for </w:t>
      </w:r>
      <w:r w:rsidRPr="0086261B" w:rsidR="00517F21">
        <w:rPr>
          <w:rFonts w:ascii="Times New Roman" w:hAnsi="Times New Roman"/>
        </w:rPr>
        <w:t xml:space="preserve">administrative assistant time are derived from the Securities Industry and Financial Markets Association’s </w:t>
      </w:r>
      <w:r w:rsidRPr="003936CE" w:rsidR="00517F21">
        <w:rPr>
          <w:rFonts w:ascii="Times New Roman" w:hAnsi="Times New Roman"/>
          <w:i/>
        </w:rPr>
        <w:t>Office Salaries in the Securities Industry 2013</w:t>
      </w:r>
      <w:r w:rsidRPr="0086261B" w:rsidR="00517F21">
        <w:rPr>
          <w:rFonts w:ascii="Times New Roman" w:hAnsi="Times New Roman"/>
        </w:rPr>
        <w:t xml:space="preserve">, modified by SEC staff to account for an 1,800-hour work-year and multiplied by </w:t>
      </w:r>
      <w:r w:rsidR="00866F8F">
        <w:rPr>
          <w:rFonts w:ascii="Times New Roman" w:hAnsi="Times New Roman"/>
        </w:rPr>
        <w:t>2.93</w:t>
      </w:r>
      <w:r w:rsidRPr="0086261B" w:rsidR="00517F21">
        <w:rPr>
          <w:rFonts w:ascii="Times New Roman" w:hAnsi="Times New Roman"/>
        </w:rPr>
        <w:t xml:space="preserve"> to account for bonuses, firm size, employee benefits and overhead.  Hour</w:t>
      </w:r>
      <w:r w:rsidRPr="0086261B" w:rsidR="00AD660E">
        <w:rPr>
          <w:rFonts w:ascii="Times New Roman" w:hAnsi="Times New Roman"/>
        </w:rPr>
        <w:t>ly</w:t>
      </w:r>
      <w:r w:rsidRPr="0086261B" w:rsidR="00517F21">
        <w:rPr>
          <w:rFonts w:ascii="Times New Roman" w:hAnsi="Times New Roman"/>
        </w:rPr>
        <w:t xml:space="preserve"> cost </w:t>
      </w:r>
      <w:r w:rsidR="005653F9">
        <w:rPr>
          <w:rFonts w:ascii="Times New Roman" w:hAnsi="Times New Roman"/>
        </w:rPr>
        <w:t xml:space="preserve">of compliance </w:t>
      </w:r>
      <w:r w:rsidRPr="0086261B" w:rsidR="00517F21">
        <w:rPr>
          <w:rFonts w:ascii="Times New Roman" w:hAnsi="Times New Roman"/>
        </w:rPr>
        <w:t xml:space="preserve">estimates for internal counsel </w:t>
      </w:r>
      <w:r w:rsidRPr="0086261B" w:rsidR="00223FD0">
        <w:rPr>
          <w:rFonts w:ascii="Times New Roman" w:hAnsi="Times New Roman"/>
        </w:rPr>
        <w:t xml:space="preserve">time are derived from the Securities Industry and Financial Markets Association’s </w:t>
      </w:r>
      <w:r w:rsidRPr="003936CE" w:rsidR="00223FD0">
        <w:rPr>
          <w:rFonts w:ascii="Times New Roman" w:hAnsi="Times New Roman"/>
          <w:i/>
        </w:rPr>
        <w:t>Management &amp; Professional Earnings in the Securities Industry 201</w:t>
      </w:r>
      <w:r w:rsidRPr="003936CE" w:rsidR="00AD660E">
        <w:rPr>
          <w:rFonts w:ascii="Times New Roman" w:hAnsi="Times New Roman"/>
          <w:i/>
        </w:rPr>
        <w:t>3</w:t>
      </w:r>
      <w:r w:rsidRPr="0086261B" w:rsidR="00223FD0">
        <w:rPr>
          <w:rFonts w:ascii="Times New Roman" w:hAnsi="Times New Roman"/>
        </w:rPr>
        <w:t>, modified by SEC staff to account for an 1</w:t>
      </w:r>
      <w:r w:rsidRPr="0086261B" w:rsidR="00AD660E">
        <w:rPr>
          <w:rFonts w:ascii="Times New Roman" w:hAnsi="Times New Roman"/>
        </w:rPr>
        <w:t>,</w:t>
      </w:r>
      <w:r w:rsidRPr="0086261B" w:rsidR="00223FD0">
        <w:rPr>
          <w:rFonts w:ascii="Times New Roman" w:hAnsi="Times New Roman"/>
        </w:rPr>
        <w:t xml:space="preserve">800-hour work-year and multiplied by 5.35 to account for bonuses, firm size, employee benefits, and overhead.  Accordingly, SEC staff estimates that the </w:t>
      </w:r>
      <w:r w:rsidR="006776DE">
        <w:rPr>
          <w:rFonts w:ascii="Times New Roman" w:hAnsi="Times New Roman"/>
        </w:rPr>
        <w:t xml:space="preserve">total annual </w:t>
      </w:r>
      <w:r w:rsidR="00CF589E">
        <w:rPr>
          <w:rFonts w:ascii="Times New Roman" w:hAnsi="Times New Roman"/>
        </w:rPr>
        <w:t xml:space="preserve">internal </w:t>
      </w:r>
      <w:r w:rsidRPr="0086261B" w:rsidR="00456289">
        <w:rPr>
          <w:rFonts w:ascii="Times New Roman" w:hAnsi="Times New Roman"/>
        </w:rPr>
        <w:t xml:space="preserve">cost </w:t>
      </w:r>
      <w:r w:rsidR="005653F9">
        <w:rPr>
          <w:rFonts w:ascii="Times New Roman" w:hAnsi="Times New Roman"/>
        </w:rPr>
        <w:t xml:space="preserve">of compliance </w:t>
      </w:r>
      <w:r w:rsidRPr="0086261B" w:rsidR="00456289">
        <w:rPr>
          <w:rFonts w:ascii="Times New Roman" w:hAnsi="Times New Roman"/>
        </w:rPr>
        <w:t xml:space="preserve">for the estimated total hour burden for </w:t>
      </w:r>
      <w:r w:rsidRPr="0086261B" w:rsidR="00223FD0">
        <w:rPr>
          <w:rFonts w:ascii="Times New Roman" w:hAnsi="Times New Roman"/>
        </w:rPr>
        <w:t xml:space="preserve">the approximately </w:t>
      </w:r>
      <w:r w:rsidR="00086B28">
        <w:rPr>
          <w:rFonts w:ascii="Times New Roman" w:hAnsi="Times New Roman"/>
        </w:rPr>
        <w:t>32,707</w:t>
      </w:r>
      <w:r w:rsidRPr="0086261B" w:rsidR="00223FD0">
        <w:rPr>
          <w:rFonts w:ascii="Times New Roman" w:hAnsi="Times New Roman"/>
        </w:rPr>
        <w:t xml:space="preserve"> covered entities subject to the Rule is approximately </w:t>
      </w:r>
      <w:r w:rsidRPr="00086B28" w:rsidR="00223FD0">
        <w:rPr>
          <w:rFonts w:ascii="Times New Roman" w:hAnsi="Times New Roman"/>
        </w:rPr>
        <w:t>$</w:t>
      </w:r>
      <w:r w:rsidR="00086B28">
        <w:rPr>
          <w:rFonts w:ascii="Times New Roman" w:hAnsi="Times New Roman"/>
        </w:rPr>
        <w:t>91,371,944</w:t>
      </w:r>
      <w:r w:rsidRPr="0086261B" w:rsidR="00874F19">
        <w:rPr>
          <w:rFonts w:ascii="Times New Roman" w:hAnsi="Times New Roman"/>
        </w:rPr>
        <w:t xml:space="preserve"> (</w:t>
      </w:r>
      <w:r w:rsidRPr="00086B28" w:rsidR="00874F19">
        <w:rPr>
          <w:rFonts w:ascii="Times New Roman" w:hAnsi="Times New Roman"/>
        </w:rPr>
        <w:t>$2,</w:t>
      </w:r>
      <w:r w:rsidR="00086B28">
        <w:rPr>
          <w:rFonts w:ascii="Times New Roman" w:hAnsi="Times New Roman"/>
        </w:rPr>
        <w:t>796</w:t>
      </w:r>
      <w:r w:rsidRPr="0086261B" w:rsidR="00874F19">
        <w:rPr>
          <w:rFonts w:ascii="Times New Roman" w:hAnsi="Times New Roman"/>
        </w:rPr>
        <w:t xml:space="preserve"> x </w:t>
      </w:r>
      <w:r w:rsidR="00086B28">
        <w:rPr>
          <w:rFonts w:ascii="Times New Roman" w:hAnsi="Times New Roman"/>
        </w:rPr>
        <w:t>32,707</w:t>
      </w:r>
      <w:r w:rsidRPr="0086261B" w:rsidR="00874F19">
        <w:rPr>
          <w:rFonts w:ascii="Times New Roman" w:hAnsi="Times New Roman"/>
        </w:rPr>
        <w:t xml:space="preserve"> = </w:t>
      </w:r>
      <w:r w:rsidRPr="00086B28" w:rsidR="00874F19">
        <w:rPr>
          <w:rFonts w:ascii="Times New Roman" w:hAnsi="Times New Roman"/>
        </w:rPr>
        <w:t>$</w:t>
      </w:r>
      <w:r w:rsidRPr="00086B28" w:rsidR="00086B28">
        <w:rPr>
          <w:rFonts w:ascii="Times New Roman" w:hAnsi="Times New Roman"/>
        </w:rPr>
        <w:t>91</w:t>
      </w:r>
      <w:r w:rsidR="00086B28">
        <w:rPr>
          <w:rFonts w:ascii="Times New Roman" w:hAnsi="Times New Roman"/>
        </w:rPr>
        <w:t>,317,944</w:t>
      </w:r>
      <w:r w:rsidR="00873BAD">
        <w:rPr>
          <w:rFonts w:ascii="Times New Roman" w:hAnsi="Times New Roman"/>
        </w:rPr>
        <w:t>)</w:t>
      </w:r>
      <w:r w:rsidRPr="0086261B" w:rsidR="00874F19">
        <w:rPr>
          <w:rFonts w:ascii="Times New Roman" w:hAnsi="Times New Roman"/>
        </w:rPr>
        <w:t>.</w:t>
      </w:r>
    </w:p>
    <w:p w:rsidR="00997044" w:rsidRPr="00997044" w:rsidP="00997044" w14:paraId="7A4C364D" w14:textId="77777777">
      <w:pPr>
        <w:tabs>
          <w:tab w:val="left" w:pos="0"/>
          <w:tab w:val="left" w:pos="720"/>
          <w:tab w:val="left" w:pos="1440"/>
          <w:tab w:val="left" w:pos="1590"/>
          <w:tab w:val="left" w:pos="2160"/>
        </w:tabs>
        <w:suppressAutoHyphens/>
        <w:spacing w:line="480" w:lineRule="auto"/>
        <w:ind w:firstLine="720"/>
        <w:rPr>
          <w:rFonts w:ascii="Times New Roman" w:eastAsia="Times New Roman" w:hAnsi="Times New Roman"/>
        </w:rPr>
      </w:pPr>
      <w:r w:rsidRPr="00997044">
        <w:rPr>
          <w:rFonts w:ascii="Times New Roman" w:eastAsia="Times New Roman" w:hAnsi="Times New Roman"/>
        </w:rPr>
        <w:t xml:space="preserve">Written comments are invited on: (a) whether the proposed collection of information is necessary for the proper performance of the functions of the Commission, including whether the </w:t>
      </w:r>
      <w:r w:rsidRPr="00997044">
        <w:rPr>
          <w:rFonts w:ascii="Times New Roman" w:eastAsia="Times New Roman" w:hAnsi="Times New Roman"/>
        </w:rPr>
        <w:t xml:space="preserve">information shall have practical utility; (b) the accuracy of the Commission's estimates of the burden of the proposed collection of information; (c) ways to enhance the quality, utility, and clarity of the information collected; and (d) ways to minimize the burden of the collection of information on respondents, including through the use of automated collection techniques or other forms of information technology.  Consideration will be given to comments and suggestions submitted by </w:t>
      </w:r>
      <w:r w:rsidRPr="00997044">
        <w:rPr>
          <w:rFonts w:ascii="Times New Roman" w:eastAsia="Times New Roman" w:hAnsi="Times New Roman"/>
          <w:sz w:val="28"/>
          <w:szCs w:val="28"/>
        </w:rPr>
        <w:t>[INSERT DATE 60 DAYS AFTER DATE OF PUBLICATION OF THIS NOTICE IN THE FEDERAL REGISTER].</w:t>
      </w:r>
    </w:p>
    <w:p w:rsidR="00997044" w:rsidRPr="00997044" w:rsidP="00997044" w14:paraId="58CC1D3C" w14:textId="77777777">
      <w:pPr>
        <w:spacing w:line="480" w:lineRule="auto"/>
        <w:ind w:firstLine="720"/>
        <w:rPr>
          <w:rFonts w:ascii="Times New Roman" w:eastAsia="Times New Roman" w:hAnsi="Times New Roman"/>
        </w:rPr>
      </w:pPr>
      <w:r w:rsidRPr="00997044">
        <w:rPr>
          <w:rFonts w:ascii="Times New Roman" w:eastAsia="Times New Roman" w:hAnsi="Times New Roman"/>
        </w:rPr>
        <w:t>An agency may not conduct or sponsor, and a person is not required to respond to, a collection of information under the PRA unless it displays a currently valid OMB control number.</w:t>
      </w:r>
    </w:p>
    <w:p w:rsidR="00997044" w:rsidRPr="00997044" w:rsidP="00997044" w14:paraId="298A6AFA" w14:textId="77777777">
      <w:pPr>
        <w:spacing w:line="480" w:lineRule="auto"/>
        <w:ind w:firstLine="720"/>
        <w:rPr>
          <w:rFonts w:ascii="Times New Roman" w:eastAsia="Times New Roman" w:hAnsi="Times New Roman"/>
        </w:rPr>
      </w:pPr>
      <w:r w:rsidRPr="00997044">
        <w:rPr>
          <w:rFonts w:ascii="Times New Roman" w:eastAsia="Times New Roman" w:hAnsi="Times New Roman"/>
        </w:rPr>
        <w:t xml:space="preserve">Please direct your written comments to: David Bottom, Director/Chief Information Officer, Securities and Exchange Commission, c/o John Pezzullo, 100 F Street, NE, Washington, DC 20549, or send an e-mail to:  </w:t>
      </w:r>
      <w:hyperlink r:id="rId10" w:history="1">
        <w:r w:rsidRPr="00997044">
          <w:rPr>
            <w:rFonts w:ascii="Times New Roman" w:eastAsia="Times New Roman" w:hAnsi="Times New Roman"/>
            <w:u w:val="single"/>
          </w:rPr>
          <w:t>PRA_Mailbox@sec.gov</w:t>
        </w:r>
      </w:hyperlink>
      <w:r w:rsidRPr="00997044">
        <w:rPr>
          <w:rFonts w:ascii="Times New Roman" w:eastAsia="Times New Roman" w:hAnsi="Times New Roman"/>
        </w:rPr>
        <w:t xml:space="preserve">.  </w:t>
      </w:r>
    </w:p>
    <w:p w:rsidR="00997044" w:rsidRPr="00997044" w:rsidP="00997044" w14:paraId="3E36CD0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Times New Roman" w:eastAsia="Times New Roman" w:hAnsi="Times New Roman"/>
          <w:spacing w:val="-3"/>
        </w:rPr>
      </w:pPr>
      <w:r w:rsidRPr="00997044">
        <w:rPr>
          <w:rFonts w:ascii="Times New Roman" w:eastAsia="Times New Roman" w:hAnsi="Times New Roman"/>
        </w:rPr>
        <w:t>Dated:</w:t>
      </w:r>
      <w:r w:rsidRPr="00997044">
        <w:rPr>
          <w:rFonts w:ascii="Times New Roman" w:eastAsia="Times New Roman" w:hAnsi="Times New Roman"/>
        </w:rPr>
        <w:tab/>
      </w:r>
    </w:p>
    <w:p w:rsidR="00997044" w:rsidRPr="00997044" w:rsidP="00997044" w14:paraId="5764D8C4" w14:textId="77777777">
      <w:pPr>
        <w:autoSpaceDE w:val="0"/>
        <w:autoSpaceDN w:val="0"/>
        <w:jc w:val="both"/>
        <w:rPr>
          <w:rFonts w:ascii="Times New Roman" w:eastAsia="Times New Roman" w:hAnsi="Times New Roman"/>
        </w:rPr>
      </w:pPr>
    </w:p>
    <w:p w:rsidR="00997044" w:rsidRPr="00997044" w:rsidP="00997044" w14:paraId="52DCB2C4" w14:textId="77777777">
      <w:pPr>
        <w:autoSpaceDE w:val="0"/>
        <w:autoSpaceDN w:val="0"/>
        <w:jc w:val="both"/>
        <w:rPr>
          <w:rFonts w:ascii="Times New Roman" w:eastAsia="Times New Roman" w:hAnsi="Times New Roman"/>
        </w:rPr>
      </w:pPr>
    </w:p>
    <w:p w:rsidR="00997044" w:rsidRPr="00997044" w:rsidP="00997044" w14:paraId="77C2E1B1" w14:textId="77777777">
      <w:pPr>
        <w:autoSpaceDE w:val="0"/>
        <w:autoSpaceDN w:val="0"/>
        <w:jc w:val="both"/>
        <w:rPr>
          <w:rFonts w:ascii="Times New Roman" w:eastAsia="Times New Roman" w:hAnsi="Times New Roman"/>
          <w:b/>
          <w:bCs/>
        </w:rPr>
      </w:pPr>
      <w:r w:rsidRPr="00997044">
        <w:rPr>
          <w:rFonts w:ascii="Times New Roman" w:eastAsia="Times New Roman" w:hAnsi="Times New Roman"/>
          <w:b/>
          <w:bCs/>
        </w:rPr>
        <w:t>Sherry R. Haywood</w:t>
      </w:r>
    </w:p>
    <w:p w:rsidR="00997044" w:rsidRPr="00997044" w:rsidP="00997044" w14:paraId="0A593100" w14:textId="77777777">
      <w:pPr>
        <w:autoSpaceDE w:val="0"/>
        <w:autoSpaceDN w:val="0"/>
        <w:jc w:val="both"/>
        <w:rPr>
          <w:rFonts w:ascii="Times New Roman" w:eastAsia="Times New Roman" w:hAnsi="Times New Roman"/>
        </w:rPr>
      </w:pPr>
    </w:p>
    <w:p w:rsidR="00997044" w:rsidRPr="00997044" w:rsidP="00997044" w14:paraId="1AB97D7B" w14:textId="77777777">
      <w:pPr>
        <w:tabs>
          <w:tab w:val="left" w:pos="0"/>
          <w:tab w:val="left" w:pos="720"/>
          <w:tab w:val="left" w:pos="1440"/>
          <w:tab w:val="left" w:pos="1590"/>
          <w:tab w:val="left" w:pos="2160"/>
        </w:tabs>
        <w:suppressAutoHyphens/>
        <w:rPr>
          <w:rFonts w:ascii="Times New Roman" w:eastAsia="Times New Roman" w:hAnsi="Times New Roman"/>
        </w:rPr>
      </w:pPr>
      <w:r w:rsidRPr="00997044">
        <w:rPr>
          <w:rFonts w:ascii="Times New Roman" w:eastAsia="Times New Roman" w:hAnsi="Times New Roman"/>
          <w:i/>
          <w:iCs/>
        </w:rPr>
        <w:t>Assistant Secretary.</w:t>
      </w:r>
    </w:p>
    <w:p w:rsidR="00E356B6" w:rsidRPr="0086261B" w:rsidP="00E356B6" w14:paraId="13C4666F" w14:textId="77777777">
      <w:pPr>
        <w:tabs>
          <w:tab w:val="left" w:pos="0"/>
          <w:tab w:val="left" w:pos="720"/>
          <w:tab w:val="left" w:pos="1440"/>
          <w:tab w:val="left" w:pos="1590"/>
          <w:tab w:val="left" w:pos="2160"/>
        </w:tabs>
        <w:suppressAutoHyphens/>
        <w:spacing w:line="480" w:lineRule="auto"/>
        <w:ind w:firstLine="720"/>
        <w:rPr>
          <w:rFonts w:ascii="Times New Roman" w:hAnsi="Times New Roman"/>
        </w:rPr>
      </w:pPr>
    </w:p>
    <w:p w:rsidR="005D16AD" w:rsidRPr="0086261B" w:rsidP="00491C52" w14:paraId="709A7B17" w14:textId="77777777">
      <w:pPr>
        <w:rPr>
          <w:rFonts w:ascii="Times New Roman" w:hAnsi="Times New Roman"/>
        </w:rPr>
      </w:pPr>
    </w:p>
    <w:sectPr w:rsidSect="0000239C">
      <w:headerReference w:type="even" r:id="rId11"/>
      <w:headerReference w:type="default" r:id="rId12"/>
      <w:pgSz w:w="12240" w:h="15840"/>
      <w:pgMar w:top="1440" w:right="1440" w:bottom="1440"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6289" w:rsidP="00491C52" w14:paraId="3FD0399C"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56289" w14:paraId="323EF79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72556343"/>
      <w:docPartObj>
        <w:docPartGallery w:val="Page Numbers (Top of Page)"/>
        <w:docPartUnique/>
      </w:docPartObj>
    </w:sdtPr>
    <w:sdtEndPr>
      <w:rPr>
        <w:rFonts w:ascii="Times New Roman" w:hAnsi="Times New Roman"/>
        <w:noProof/>
      </w:rPr>
    </w:sdtEndPr>
    <w:sdtContent>
      <w:p w:rsidR="00561A47" w:rsidRPr="0000239C" w14:paraId="1566B6FB" w14:textId="6A5BC12D">
        <w:pPr>
          <w:pStyle w:val="Header"/>
          <w:jc w:val="center"/>
          <w:rPr>
            <w:rFonts w:ascii="Times New Roman" w:hAnsi="Times New Roman"/>
          </w:rPr>
        </w:pPr>
        <w:r w:rsidRPr="0000239C">
          <w:rPr>
            <w:rFonts w:ascii="Times New Roman" w:hAnsi="Times New Roman"/>
          </w:rPr>
          <w:fldChar w:fldCharType="begin"/>
        </w:r>
        <w:r w:rsidRPr="0000239C">
          <w:rPr>
            <w:rFonts w:ascii="Times New Roman" w:hAnsi="Times New Roman"/>
          </w:rPr>
          <w:instrText xml:space="preserve"> PAGE   \* MERGEFORMAT </w:instrText>
        </w:r>
        <w:r w:rsidRPr="0000239C">
          <w:rPr>
            <w:rFonts w:ascii="Times New Roman" w:hAnsi="Times New Roman"/>
          </w:rPr>
          <w:fldChar w:fldCharType="separate"/>
        </w:r>
        <w:r w:rsidRPr="0000239C">
          <w:rPr>
            <w:rFonts w:ascii="Times New Roman" w:hAnsi="Times New Roman"/>
            <w:noProof/>
          </w:rPr>
          <w:t>2</w:t>
        </w:r>
        <w:r w:rsidRPr="0000239C">
          <w:rPr>
            <w:rFonts w:ascii="Times New Roman" w:hAnsi="Times New Roman"/>
            <w:noProof/>
          </w:rPr>
          <w:fldChar w:fldCharType="end"/>
        </w:r>
      </w:p>
    </w:sdtContent>
  </w:sdt>
  <w:p w:rsidR="00456289" w14:paraId="6DB1170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329CF528"/>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397442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2BA"/>
    <w:rsid w:val="0000239C"/>
    <w:rsid w:val="000276E8"/>
    <w:rsid w:val="00042F3B"/>
    <w:rsid w:val="00052647"/>
    <w:rsid w:val="0005340E"/>
    <w:rsid w:val="000774FC"/>
    <w:rsid w:val="00086B28"/>
    <w:rsid w:val="000921E2"/>
    <w:rsid w:val="000D1EE1"/>
    <w:rsid w:val="000D3F05"/>
    <w:rsid w:val="000D6B47"/>
    <w:rsid w:val="000D75EF"/>
    <w:rsid w:val="00124F00"/>
    <w:rsid w:val="00131A92"/>
    <w:rsid w:val="00143B51"/>
    <w:rsid w:val="001828F8"/>
    <w:rsid w:val="00191D36"/>
    <w:rsid w:val="00196ADD"/>
    <w:rsid w:val="001A2380"/>
    <w:rsid w:val="001D2A42"/>
    <w:rsid w:val="001D7908"/>
    <w:rsid w:val="001E500E"/>
    <w:rsid w:val="001F3CCB"/>
    <w:rsid w:val="00223FD0"/>
    <w:rsid w:val="002252FC"/>
    <w:rsid w:val="00232BBB"/>
    <w:rsid w:val="002375AD"/>
    <w:rsid w:val="00247187"/>
    <w:rsid w:val="00272A6E"/>
    <w:rsid w:val="00273916"/>
    <w:rsid w:val="00291EA1"/>
    <w:rsid w:val="00292993"/>
    <w:rsid w:val="002A4D50"/>
    <w:rsid w:val="002A506C"/>
    <w:rsid w:val="002B1D25"/>
    <w:rsid w:val="00310CD3"/>
    <w:rsid w:val="003477AA"/>
    <w:rsid w:val="00366B48"/>
    <w:rsid w:val="003936CE"/>
    <w:rsid w:val="003D4618"/>
    <w:rsid w:val="003D78D4"/>
    <w:rsid w:val="003F02A2"/>
    <w:rsid w:val="004020C2"/>
    <w:rsid w:val="0045467E"/>
    <w:rsid w:val="00456289"/>
    <w:rsid w:val="00456C08"/>
    <w:rsid w:val="00467749"/>
    <w:rsid w:val="0047664E"/>
    <w:rsid w:val="00487898"/>
    <w:rsid w:val="00491C52"/>
    <w:rsid w:val="0050571C"/>
    <w:rsid w:val="00517F21"/>
    <w:rsid w:val="0053394F"/>
    <w:rsid w:val="00561A47"/>
    <w:rsid w:val="0056325B"/>
    <w:rsid w:val="005653F9"/>
    <w:rsid w:val="005932A6"/>
    <w:rsid w:val="005B2955"/>
    <w:rsid w:val="005C0B4B"/>
    <w:rsid w:val="005C2808"/>
    <w:rsid w:val="005D16AD"/>
    <w:rsid w:val="005D3B80"/>
    <w:rsid w:val="006103A7"/>
    <w:rsid w:val="00617D0F"/>
    <w:rsid w:val="006776DE"/>
    <w:rsid w:val="00692DE5"/>
    <w:rsid w:val="006B116C"/>
    <w:rsid w:val="006D6094"/>
    <w:rsid w:val="00700FE8"/>
    <w:rsid w:val="007265AA"/>
    <w:rsid w:val="00750839"/>
    <w:rsid w:val="00773BCF"/>
    <w:rsid w:val="007A314C"/>
    <w:rsid w:val="007B2084"/>
    <w:rsid w:val="007B44B7"/>
    <w:rsid w:val="007D1F4D"/>
    <w:rsid w:val="007F56A2"/>
    <w:rsid w:val="0086261B"/>
    <w:rsid w:val="00866F8F"/>
    <w:rsid w:val="00873BAD"/>
    <w:rsid w:val="00874F19"/>
    <w:rsid w:val="008A72A4"/>
    <w:rsid w:val="008C0076"/>
    <w:rsid w:val="008C53CF"/>
    <w:rsid w:val="008F26B7"/>
    <w:rsid w:val="009379E5"/>
    <w:rsid w:val="009421E9"/>
    <w:rsid w:val="009538CE"/>
    <w:rsid w:val="00975AF3"/>
    <w:rsid w:val="00997044"/>
    <w:rsid w:val="009D017A"/>
    <w:rsid w:val="009E75B3"/>
    <w:rsid w:val="00A02730"/>
    <w:rsid w:val="00A0683B"/>
    <w:rsid w:val="00A307FE"/>
    <w:rsid w:val="00A653B1"/>
    <w:rsid w:val="00A94F41"/>
    <w:rsid w:val="00AA352D"/>
    <w:rsid w:val="00AD660E"/>
    <w:rsid w:val="00B63967"/>
    <w:rsid w:val="00B95AD2"/>
    <w:rsid w:val="00BA6AF2"/>
    <w:rsid w:val="00BB47CC"/>
    <w:rsid w:val="00BE4179"/>
    <w:rsid w:val="00BF7052"/>
    <w:rsid w:val="00C0671A"/>
    <w:rsid w:val="00C27060"/>
    <w:rsid w:val="00C40281"/>
    <w:rsid w:val="00C4085D"/>
    <w:rsid w:val="00C555AD"/>
    <w:rsid w:val="00C77FC6"/>
    <w:rsid w:val="00CB3252"/>
    <w:rsid w:val="00CB60C5"/>
    <w:rsid w:val="00CE7D31"/>
    <w:rsid w:val="00CF41F0"/>
    <w:rsid w:val="00CF589E"/>
    <w:rsid w:val="00D602BA"/>
    <w:rsid w:val="00DB7BEA"/>
    <w:rsid w:val="00DE6666"/>
    <w:rsid w:val="00DF4A63"/>
    <w:rsid w:val="00E34374"/>
    <w:rsid w:val="00E356B6"/>
    <w:rsid w:val="00E57864"/>
    <w:rsid w:val="00E67552"/>
    <w:rsid w:val="00E72CB0"/>
    <w:rsid w:val="00EA2E08"/>
    <w:rsid w:val="00EA35CB"/>
    <w:rsid w:val="00EA3A18"/>
    <w:rsid w:val="00EB5E08"/>
    <w:rsid w:val="00EC6EFB"/>
    <w:rsid w:val="00ED75AF"/>
    <w:rsid w:val="00F46FED"/>
    <w:rsid w:val="00F62089"/>
    <w:rsid w:val="00F64158"/>
    <w:rsid w:val="00F80465"/>
    <w:rsid w:val="00F918DC"/>
    <w:rsid w:val="00F9709C"/>
    <w:rsid w:val="00FD27B9"/>
    <w:rsid w:val="00FF397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efaultImageDpi w14:val="300"/>
  <w14:docId w14:val="56C7310D"/>
  <w15:chartTrackingRefBased/>
  <w15:docId w15:val="{EB13ABED-BF8A-4ED5-A8D8-C343B2076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2C7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5CD9"/>
    <w:pPr>
      <w:tabs>
        <w:tab w:val="center" w:pos="4320"/>
        <w:tab w:val="right" w:pos="8640"/>
      </w:tabs>
    </w:pPr>
  </w:style>
  <w:style w:type="character" w:customStyle="1" w:styleId="HeaderChar">
    <w:name w:val="Header Char"/>
    <w:link w:val="Header"/>
    <w:uiPriority w:val="99"/>
    <w:rsid w:val="00B05CD9"/>
    <w:rPr>
      <w:sz w:val="24"/>
      <w:szCs w:val="24"/>
    </w:rPr>
  </w:style>
  <w:style w:type="character" w:styleId="PageNumber">
    <w:name w:val="page number"/>
    <w:basedOn w:val="DefaultParagraphFont"/>
    <w:uiPriority w:val="99"/>
    <w:semiHidden/>
    <w:unhideWhenUsed/>
    <w:rsid w:val="00B05CD9"/>
  </w:style>
  <w:style w:type="paragraph" w:styleId="Footer">
    <w:name w:val="footer"/>
    <w:basedOn w:val="Normal"/>
    <w:link w:val="FooterChar"/>
    <w:uiPriority w:val="99"/>
    <w:rsid w:val="005932A6"/>
    <w:pPr>
      <w:tabs>
        <w:tab w:val="center" w:pos="4320"/>
        <w:tab w:val="right" w:pos="8640"/>
      </w:tabs>
    </w:pPr>
  </w:style>
  <w:style w:type="character" w:styleId="Hyperlink">
    <w:name w:val="Hyperlink"/>
    <w:rsid w:val="00EA35CB"/>
    <w:rPr>
      <w:color w:val="0000FF"/>
      <w:u w:val="single"/>
    </w:rPr>
  </w:style>
  <w:style w:type="character" w:styleId="CommentReference">
    <w:name w:val="annotation reference"/>
    <w:uiPriority w:val="99"/>
    <w:semiHidden/>
    <w:unhideWhenUsed/>
    <w:rsid w:val="003936CE"/>
    <w:rPr>
      <w:sz w:val="16"/>
      <w:szCs w:val="16"/>
    </w:rPr>
  </w:style>
  <w:style w:type="paragraph" w:styleId="CommentText">
    <w:name w:val="annotation text"/>
    <w:basedOn w:val="Normal"/>
    <w:link w:val="CommentTextChar"/>
    <w:uiPriority w:val="99"/>
    <w:semiHidden/>
    <w:unhideWhenUsed/>
    <w:rsid w:val="003936CE"/>
    <w:rPr>
      <w:sz w:val="20"/>
      <w:szCs w:val="20"/>
    </w:rPr>
  </w:style>
  <w:style w:type="character" w:customStyle="1" w:styleId="CommentTextChar">
    <w:name w:val="Comment Text Char"/>
    <w:basedOn w:val="DefaultParagraphFont"/>
    <w:link w:val="CommentText"/>
    <w:uiPriority w:val="99"/>
    <w:semiHidden/>
    <w:rsid w:val="003936CE"/>
  </w:style>
  <w:style w:type="paragraph" w:styleId="CommentSubject">
    <w:name w:val="annotation subject"/>
    <w:basedOn w:val="CommentText"/>
    <w:next w:val="CommentText"/>
    <w:link w:val="CommentSubjectChar"/>
    <w:uiPriority w:val="99"/>
    <w:semiHidden/>
    <w:unhideWhenUsed/>
    <w:rsid w:val="003936CE"/>
    <w:rPr>
      <w:b/>
      <w:bCs/>
    </w:rPr>
  </w:style>
  <w:style w:type="character" w:customStyle="1" w:styleId="CommentSubjectChar">
    <w:name w:val="Comment Subject Char"/>
    <w:link w:val="CommentSubject"/>
    <w:uiPriority w:val="99"/>
    <w:semiHidden/>
    <w:rsid w:val="003936CE"/>
    <w:rPr>
      <w:b/>
      <w:bCs/>
    </w:rPr>
  </w:style>
  <w:style w:type="paragraph" w:styleId="BalloonText">
    <w:name w:val="Balloon Text"/>
    <w:basedOn w:val="Normal"/>
    <w:link w:val="BalloonTextChar"/>
    <w:uiPriority w:val="99"/>
    <w:semiHidden/>
    <w:unhideWhenUsed/>
    <w:rsid w:val="003936CE"/>
    <w:rPr>
      <w:rFonts w:ascii="Tahoma" w:hAnsi="Tahoma" w:cs="Tahoma"/>
      <w:sz w:val="16"/>
      <w:szCs w:val="16"/>
    </w:rPr>
  </w:style>
  <w:style w:type="character" w:customStyle="1" w:styleId="BalloonTextChar">
    <w:name w:val="Balloon Text Char"/>
    <w:link w:val="BalloonText"/>
    <w:uiPriority w:val="99"/>
    <w:semiHidden/>
    <w:rsid w:val="003936CE"/>
    <w:rPr>
      <w:rFonts w:ascii="Tahoma" w:hAnsi="Tahoma" w:cs="Tahoma"/>
      <w:sz w:val="16"/>
      <w:szCs w:val="16"/>
    </w:rPr>
  </w:style>
  <w:style w:type="character" w:customStyle="1" w:styleId="FooterChar">
    <w:name w:val="Footer Char"/>
    <w:link w:val="Footer"/>
    <w:uiPriority w:val="99"/>
    <w:rsid w:val="00196ADD"/>
    <w:rPr>
      <w:sz w:val="24"/>
      <w:szCs w:val="24"/>
    </w:rPr>
  </w:style>
  <w:style w:type="paragraph" w:styleId="Revision">
    <w:name w:val="Revision"/>
    <w:hidden/>
    <w:uiPriority w:val="99"/>
    <w:semiHidden/>
    <w:rsid w:val="00272A6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RA_Mailbox@sec.gov"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60 Day FR" ma:contentTypeID="0x01010094DFCF935F67824788676CB8CAC31A04003B601F89099BE848B6768AF32B704DB5" ma:contentTypeVersion="2" ma:contentTypeDescription="" ma:contentTypeScope="" ma:versionID="bdd7ac0425ae6862c997a377284dc5c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1ACCC09-E000-4C87-93A8-5156A9E879C2}">
  <ds:schemaRefs>
    <ds:schemaRef ds:uri="http://schemas.microsoft.com/office/2006/metadata/longProperties"/>
  </ds:schemaRefs>
</ds:datastoreItem>
</file>

<file path=customXml/itemProps2.xml><?xml version="1.0" encoding="utf-8"?>
<ds:datastoreItem xmlns:ds="http://schemas.openxmlformats.org/officeDocument/2006/customXml" ds:itemID="{BE80E574-3CFD-4AFB-8601-4892941E314F}">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68341AF5-5AD1-4C79-8D0C-60DD2B114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4DCF2C2-3E20-4780-97E4-56731467D6D0}">
  <ds:schemaRefs>
    <ds:schemaRef ds:uri="http://schemas.microsoft.com/sharepoint/v3/contenttype/forms"/>
  </ds:schemaRefs>
</ds:datastoreItem>
</file>

<file path=customXml/itemProps5.xml><?xml version="1.0" encoding="utf-8"?>
<ds:datastoreItem xmlns:ds="http://schemas.openxmlformats.org/officeDocument/2006/customXml" ds:itemID="{F908DC39-CE27-46FA-B71A-04613DA536F7}">
  <ds:schemaRefs>
    <ds:schemaRef ds:uri="http://schemas.openxmlformats.org/officeDocument/2006/bibliography"/>
  </ds:schemaRefs>
</ds:datastoreItem>
</file>

<file path=customXml/itemProps6.xml><?xml version="1.0" encoding="utf-8"?>
<ds:datastoreItem xmlns:ds="http://schemas.openxmlformats.org/officeDocument/2006/customXml" ds:itemID="{1B263F81-9C9B-4CAB-A45F-8E33E77BE52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1053</Words>
  <Characters>5955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SECURITIES AND EXCHANGE COMMISSION</vt:lpstr>
    </vt:vector>
  </TitlesOfParts>
  <Company>sec</Company>
  <LinksUpToDate>false</LinksUpToDate>
  <CharactersWithSpaces>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SECURITIES AND EXCHANGE COMMISSION</dc:title>
  <dc:creator>Brice Prince</dc:creator>
  <cp:lastModifiedBy>Fisher, Daniel</cp:lastModifiedBy>
  <cp:revision>10</cp:revision>
  <cp:lastPrinted>2009-06-01T18:28:00Z</cp:lastPrinted>
  <dcterms:created xsi:type="dcterms:W3CDTF">2024-06-21T22:13:00Z</dcterms:created>
  <dcterms:modified xsi:type="dcterms:W3CDTF">2024-06-27T20:29:00Z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60 Day FR</vt:lpwstr>
  </property>
  <property fmtid="{D5CDD505-2E9C-101B-9397-08002B2CF9AE}" pid="3" name="ContentTypeId">
    <vt:lpwstr>0x01010094DFCF935F67824788676CB8CAC31A04003B601F89099BE848B6768AF32B704DB5</vt:lpwstr>
  </property>
  <property fmtid="{D5CDD505-2E9C-101B-9397-08002B2CF9AE}" pid="4" name="display_urn:schemas-microsoft-com:office:office#Author">
    <vt:lpwstr>Pavlik-Simon, Remi</vt:lpwstr>
  </property>
  <property fmtid="{D5CDD505-2E9C-101B-9397-08002B2CF9AE}" pid="5" name="display_urn:schemas-microsoft-com:office:office#Editor">
    <vt:lpwstr>Pavlik-Simon, Remi</vt:lpwstr>
  </property>
  <property fmtid="{D5CDD505-2E9C-101B-9397-08002B2CF9AE}" pid="6" name="Order">
    <vt:lpwstr>458000.000000000</vt:lpwstr>
  </property>
  <property fmtid="{D5CDD505-2E9C-101B-9397-08002B2CF9AE}" pid="7" name="ShowCombineView">
    <vt:lpwstr/>
  </property>
  <property fmtid="{D5CDD505-2E9C-101B-9397-08002B2CF9AE}" pid="8" name="ShowRepairView">
    <vt:lpwstr/>
  </property>
  <property fmtid="{D5CDD505-2E9C-101B-9397-08002B2CF9AE}" pid="9" name="TemplateUrl">
    <vt:lpwstr/>
  </property>
  <property fmtid="{D5CDD505-2E9C-101B-9397-08002B2CF9AE}" pid="10" name="xd_ProgID">
    <vt:lpwstr/>
  </property>
  <property fmtid="{D5CDD505-2E9C-101B-9397-08002B2CF9AE}" pid="11" name="_CopySource">
    <vt:lpwstr>https://sharepointapps/sites/oit_pra/pra/ICR Documents/3235-0537-[1525182431491]/2018 Reg S-P 60 Day Notice.doc DGL REVISED.doc</vt:lpwstr>
  </property>
  <property fmtid="{D5CDD505-2E9C-101B-9397-08002B2CF9AE}" pid="12" name="_dlc_DocId">
    <vt:lpwstr>KKE47E4U7XZ3-2069-9216</vt:lpwstr>
  </property>
  <property fmtid="{D5CDD505-2E9C-101B-9397-08002B2CF9AE}" pid="13" name="_dlc_DocIdItemGuid">
    <vt:lpwstr>1a25bdf2-664c-4647-8b72-d95334dfea95</vt:lpwstr>
  </property>
  <property fmtid="{D5CDD505-2E9C-101B-9397-08002B2CF9AE}" pid="14" name="_dlc_DocIdUrl">
    <vt:lpwstr>https://sharepointapps/sites/oit_pra/pra/_layouts/DocIdRedir.aspx?ID=KKE47E4U7XZ3-2069-9216, KKE47E4U7XZ3-2069-9216</vt:lpwstr>
  </property>
</Properties>
</file>