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2071" w14:paraId="7D7F6231" w14:textId="77777777">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F42071" w14:paraId="1AE6F288" w14:textId="77777777">
      <w:pPr>
        <w:widowControl w:val="0"/>
        <w:jc w:val="center"/>
        <w:rPr>
          <w:rFonts w:ascii="Courier New" w:eastAsia="Courier New" w:hAnsi="Courier New" w:cs="Courier New"/>
          <w:b/>
        </w:rPr>
      </w:pPr>
      <w:r>
        <w:rPr>
          <w:rFonts w:ascii="Courier New" w:eastAsia="Courier New" w:hAnsi="Courier New" w:cs="Courier New"/>
          <w:b/>
        </w:rPr>
        <w:t>Construction Wage Rate Requirements - Price Adjustment</w:t>
      </w:r>
    </w:p>
    <w:p w:rsidR="00F42071" w14:paraId="28F30148" w14:textId="77777777">
      <w:pPr>
        <w:widowControl w:val="0"/>
        <w:jc w:val="center"/>
        <w:rPr>
          <w:rFonts w:ascii="Courier New" w:eastAsia="Courier New" w:hAnsi="Courier New" w:cs="Courier New"/>
          <w:b/>
        </w:rPr>
      </w:pPr>
      <w:r>
        <w:rPr>
          <w:rFonts w:ascii="Courier New" w:eastAsia="Courier New" w:hAnsi="Courier New" w:cs="Courier New"/>
          <w:b/>
        </w:rPr>
        <w:t>(Actual Method)</w:t>
      </w:r>
    </w:p>
    <w:p w:rsidR="00F42071" w14:paraId="0D84F1A3" w14:textId="77777777">
      <w:pPr>
        <w:jc w:val="center"/>
        <w:rPr>
          <w:rFonts w:ascii="Courier New" w:eastAsia="Courier New" w:hAnsi="Courier New" w:cs="Courier New"/>
          <w:b/>
          <w:u w:val="single"/>
        </w:rPr>
      </w:pPr>
      <w:r>
        <w:rPr>
          <w:rFonts w:ascii="Courier New" w:eastAsia="Courier New" w:hAnsi="Courier New" w:cs="Courier New"/>
          <w:b/>
        </w:rPr>
        <w:t>OMB Control No. 9000-0154</w:t>
      </w:r>
    </w:p>
    <w:p w:rsidR="00F42071" w14:paraId="4036C2D2" w14:textId="77777777">
      <w:pPr>
        <w:jc w:val="center"/>
        <w:rPr>
          <w:rFonts w:ascii="Courier New" w:eastAsia="Courier New" w:hAnsi="Courier New" w:cs="Courier New"/>
        </w:rPr>
      </w:pPr>
      <w:r>
        <w:rPr>
          <w:rFonts w:ascii="Courier New" w:eastAsia="Courier New" w:hAnsi="Courier New" w:cs="Courier New"/>
          <w:b/>
        </w:rPr>
        <w:t>Justification – Part A Supporting Statement</w:t>
      </w:r>
    </w:p>
    <w:p w:rsidR="00F42071" w14:paraId="0FDCCC82" w14:textId="77777777">
      <w:pPr>
        <w:rPr>
          <w:rFonts w:ascii="Courier New" w:eastAsia="Courier New" w:hAnsi="Courier New" w:cs="Courier New"/>
        </w:rPr>
      </w:pPr>
    </w:p>
    <w:p w:rsidR="00F42071" w14:paraId="249E3F04" w14:textId="77777777">
      <w:pPr>
        <w:rPr>
          <w:rFonts w:ascii="Courier New" w:eastAsia="Courier New" w:hAnsi="Courier New" w:cs="Courier New"/>
        </w:rPr>
      </w:pPr>
      <w:r>
        <w:rPr>
          <w:rFonts w:ascii="Courier New" w:eastAsia="Courier New" w:hAnsi="Courier New" w:cs="Courier New"/>
          <w:b/>
        </w:rPr>
        <w:t xml:space="preserve">FAR section affected: </w:t>
      </w:r>
      <w:r>
        <w:rPr>
          <w:rFonts w:ascii="Courier New" w:eastAsia="Courier New" w:hAnsi="Courier New" w:cs="Courier New"/>
          <w:b/>
        </w:rPr>
        <w:t>52.222-32</w:t>
      </w:r>
    </w:p>
    <w:p w:rsidR="00F42071" w14:paraId="65E4413C" w14:textId="77777777">
      <w:pPr>
        <w:widowControl w:val="0"/>
        <w:rPr>
          <w:rFonts w:ascii="Courier New" w:eastAsia="Courier New" w:hAnsi="Courier New" w:cs="Courier New"/>
          <w:u w:val="single"/>
        </w:rPr>
      </w:pPr>
    </w:p>
    <w:p w:rsidR="00F42071" w14:paraId="00A79143" w14:textId="77777777">
      <w:pPr>
        <w:widowControl w:val="0"/>
        <w:rPr>
          <w:rFonts w:ascii="Courier New" w:eastAsia="Courier New" w:hAnsi="Courier New" w:cs="Courier New"/>
        </w:rPr>
      </w:pPr>
      <w:r>
        <w:rPr>
          <w:rFonts w:ascii="Courier New" w:eastAsia="Courier New" w:hAnsi="Courier New" w:cs="Courier New"/>
          <w:u w:val="single"/>
        </w:rPr>
        <w:t xml:space="preserve">Overview of Information </w:t>
      </w:r>
      <w:r>
        <w:rPr>
          <w:rFonts w:ascii="Courier New" w:eastAsia="Courier New" w:hAnsi="Courier New" w:cs="Courier New"/>
          <w:u w:val="single"/>
        </w:rPr>
        <w:t>Collection</w:t>
      </w:r>
      <w:r>
        <w:rPr>
          <w:rFonts w:ascii="Courier New" w:eastAsia="Courier New" w:hAnsi="Courier New" w:cs="Courier New"/>
        </w:rPr>
        <w:t>:</w:t>
      </w:r>
    </w:p>
    <w:p w:rsidR="00F42071" w14:paraId="377C717C"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This justification supports clearance of an extension of the collection.</w:t>
      </w:r>
    </w:p>
    <w:p w:rsidR="00F42071" w14:paraId="3C1A7A17" w14:textId="77777777">
      <w:pPr>
        <w:widowControl w:val="0"/>
        <w:tabs>
          <w:tab w:val="left" w:pos="820"/>
          <w:tab w:val="left" w:pos="821"/>
        </w:tabs>
        <w:ind w:left="360" w:right="195"/>
        <w:rPr>
          <w:rFonts w:ascii="Courier New" w:eastAsia="Courier New" w:hAnsi="Courier New" w:cs="Courier New"/>
        </w:rPr>
      </w:pPr>
    </w:p>
    <w:p w:rsidR="00F42071" w14:paraId="5ECA93B4"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There are no program changes. The FAR requirements remain the same. This extension includes adjustments to the burden due to use of the latest data available in the Federal</w:t>
      </w:r>
    </w:p>
    <w:p w:rsidR="00F42071" w14:paraId="1C9147F2"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Procurement Data System (FPDS) and the calendar year 2024 OPM GS wage rates for the rest of the United States as explained in item 15.</w:t>
      </w:r>
    </w:p>
    <w:p w:rsidR="00F42071" w14:paraId="0C81C371" w14:textId="77777777">
      <w:pPr>
        <w:widowControl w:val="0"/>
        <w:tabs>
          <w:tab w:val="left" w:pos="820"/>
          <w:tab w:val="left" w:pos="821"/>
        </w:tabs>
        <w:ind w:right="195"/>
        <w:rPr>
          <w:rFonts w:ascii="Courier New" w:eastAsia="Courier New" w:hAnsi="Courier New" w:cs="Courier New"/>
        </w:rPr>
      </w:pPr>
    </w:p>
    <w:p w:rsidR="00F42071" w14:paraId="69338630" w14:textId="77777777">
      <w:pPr>
        <w:widowControl w:val="0"/>
        <w:numPr>
          <w:ilvl w:val="0"/>
          <w:numId w:val="3"/>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Need &amp; Method for the Information Collection</w:t>
      </w:r>
      <w:r>
        <w:rPr>
          <w:rFonts w:ascii="Courier New" w:eastAsia="Courier New" w:hAnsi="Courier New" w:cs="Courier New"/>
        </w:rPr>
        <w:t>. This clearance covers the information that contractors must submit to comply with the following FAR requirement:</w:t>
      </w:r>
    </w:p>
    <w:p w:rsidR="00F42071" w14:paraId="78AFCBDB" w14:textId="77777777">
      <w:pPr>
        <w:numPr>
          <w:ilvl w:val="0"/>
          <w:numId w:val="2"/>
        </w:numPr>
        <w:rPr>
          <w:rFonts w:ascii="Courier New" w:eastAsia="Courier New" w:hAnsi="Courier New" w:cs="Courier New"/>
        </w:rPr>
      </w:pPr>
      <w:r>
        <w:rPr>
          <w:rFonts w:ascii="Courier New" w:eastAsia="Courier New" w:hAnsi="Courier New" w:cs="Courier New"/>
        </w:rPr>
        <w:t>FAR 52.222-32, Construction Wage Rate Requirements-Price Adjustment (Actual Method). This clause requires contractors to submit at the exercise of each option to extend the term of the contract, a statement of the amount claimed for incorporation of the most current Department of Labor wage determination, and any relevant supporting data, including payroll records, that the contracting officer may reasonably require.</w:t>
      </w:r>
    </w:p>
    <w:p w:rsidR="00F42071" w14:paraId="0B2C8A65" w14:textId="77777777">
      <w:pPr>
        <w:rPr>
          <w:rFonts w:ascii="Courier New" w:eastAsia="Courier New" w:hAnsi="Courier New" w:cs="Courier New"/>
          <w:u w:val="single"/>
        </w:rPr>
      </w:pPr>
    </w:p>
    <w:p w:rsidR="00F42071" w14:paraId="46C605A7" w14:textId="77777777">
      <w:pPr>
        <w:widowControl w:val="0"/>
        <w:numPr>
          <w:ilvl w:val="0"/>
          <w:numId w:val="3"/>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Use of the Information</w:t>
      </w:r>
      <w:r>
        <w:rPr>
          <w:rFonts w:ascii="Courier New" w:eastAsia="Courier New" w:hAnsi="Courier New" w:cs="Courier New"/>
        </w:rPr>
        <w:t>. The contracting officer uses the information to establish the contract’s construction requirements price adjustment to reflect the contractor’s actual increase or decrease in wages and fringe benefits.</w:t>
      </w:r>
    </w:p>
    <w:p w:rsidR="00F42071" w14:paraId="35D3C404" w14:textId="77777777">
      <w:pPr>
        <w:rPr>
          <w:rFonts w:ascii="Courier New" w:eastAsia="Courier New" w:hAnsi="Courier New" w:cs="Courier New"/>
          <w:u w:val="single"/>
        </w:rPr>
      </w:pPr>
      <w:r>
        <w:rPr>
          <w:rFonts w:ascii="Courier New" w:eastAsia="Courier New" w:hAnsi="Courier New" w:cs="Courier New"/>
        </w:rPr>
        <w:t> </w:t>
      </w:r>
    </w:p>
    <w:p w:rsidR="00F42071" w14:paraId="181399F5"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Use of Information Technology</w:t>
      </w:r>
      <w:r>
        <w:rPr>
          <w:rFonts w:ascii="Courier New" w:eastAsia="Courier New" w:hAnsi="Courier New" w:cs="Courier New"/>
        </w:rPr>
        <w:t>. Federal agencies use information technology to the maximum extent practicable. Where both the Government agency and contractors are capable of electronic interchange, the contractors may submit this information collection requirement electronically.</w:t>
      </w:r>
    </w:p>
    <w:p w:rsidR="00F42071" w14:paraId="430610F0" w14:textId="77777777">
      <w:pPr>
        <w:widowControl w:val="0"/>
        <w:tabs>
          <w:tab w:val="left" w:pos="360"/>
          <w:tab w:val="left" w:pos="720"/>
          <w:tab w:val="left" w:pos="1080"/>
        </w:tabs>
        <w:rPr>
          <w:rFonts w:ascii="Courier New" w:eastAsia="Courier New" w:hAnsi="Courier New" w:cs="Courier New"/>
        </w:rPr>
      </w:pPr>
    </w:p>
    <w:p w:rsidR="00F42071" w14:paraId="5AC4A539" w14:textId="77777777">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Non-duplication</w:t>
      </w:r>
      <w:r>
        <w:rPr>
          <w:rFonts w:ascii="Courier New" w:eastAsia="Courier New" w:hAnsi="Courier New" w:cs="Courier New"/>
        </w:rPr>
        <w:t xml:space="preserve">. These requirements are </w:t>
      </w:r>
      <w:r>
        <w:rPr>
          <w:rFonts w:ascii="Courier New" w:eastAsia="Courier New" w:hAnsi="Courier New" w:cs="Courier New"/>
        </w:rPr>
        <w:t>issued under the FAR, which has been developed to standardize Federal procurement practices and eliminate unnecessary duplication.</w:t>
      </w:r>
    </w:p>
    <w:p w:rsidR="00F42071" w14:paraId="450353F9" w14:textId="77777777">
      <w:pPr>
        <w:widowControl w:val="0"/>
        <w:tabs>
          <w:tab w:val="left" w:pos="360"/>
          <w:tab w:val="left" w:pos="720"/>
          <w:tab w:val="left" w:pos="1080"/>
          <w:tab w:val="left" w:pos="1440"/>
        </w:tabs>
        <w:rPr>
          <w:rFonts w:ascii="Courier New" w:eastAsia="Courier New" w:hAnsi="Courier New" w:cs="Courier New"/>
        </w:rPr>
      </w:pPr>
    </w:p>
    <w:p w:rsidR="00F42071" w14:paraId="2BB95040" w14:textId="77777777">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on Small Business</w:t>
      </w:r>
      <w:r>
        <w:rPr>
          <w:rFonts w:ascii="Courier New" w:eastAsia="Courier New" w:hAnsi="Courier New" w:cs="Courier New"/>
        </w:rPr>
        <w:t xml:space="preserve">. The burden applied to small </w:t>
      </w:r>
      <w:r>
        <w:rPr>
          <w:rFonts w:ascii="Courier New" w:eastAsia="Courier New" w:hAnsi="Courier New" w:cs="Courier New"/>
        </w:rPr>
        <w:t>businesses is the minimum consistent with applicable laws, Executive orders, regulations, and prudent business practices.</w:t>
      </w:r>
    </w:p>
    <w:p w:rsidR="00F42071" w14:paraId="7F486417" w14:textId="77777777">
      <w:pPr>
        <w:widowControl w:val="0"/>
        <w:tabs>
          <w:tab w:val="left" w:pos="360"/>
          <w:tab w:val="left" w:pos="720"/>
          <w:tab w:val="left" w:pos="1080"/>
          <w:tab w:val="left" w:pos="1440"/>
        </w:tabs>
        <w:rPr>
          <w:rFonts w:ascii="Courier New" w:eastAsia="Courier New" w:hAnsi="Courier New" w:cs="Courier New"/>
        </w:rPr>
      </w:pPr>
    </w:p>
    <w:p w:rsidR="00F42071" w14:paraId="1734B314"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Less Frequent Collection</w:t>
      </w:r>
      <w:r>
        <w:rPr>
          <w:rFonts w:ascii="Courier New" w:eastAsia="Courier New" w:hAnsi="Courier New" w:cs="Courier New"/>
        </w:rPr>
        <w:t>. Collection of information on a basis other than contract-by-contract is not practical. This information is collected on occasion, only when the Government exercises an option to extend the term of a contract containing this clause. Collecting this information less frequently would prevent application of the proposed method of price adjustment.</w:t>
      </w:r>
    </w:p>
    <w:p w:rsidR="00F42071" w14:paraId="5BC6CF52" w14:textId="77777777">
      <w:pPr>
        <w:rPr>
          <w:rFonts w:ascii="Courier New" w:eastAsia="Courier New" w:hAnsi="Courier New" w:cs="Courier New"/>
        </w:rPr>
      </w:pPr>
    </w:p>
    <w:p w:rsidR="00F42071" w14:paraId="750C5A72" w14:textId="77777777">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Paperwork Reduction Act Guidelines</w:t>
      </w:r>
      <w:r>
        <w:rPr>
          <w:rFonts w:ascii="Courier New" w:eastAsia="Courier New" w:hAnsi="Courier New" w:cs="Courier New"/>
        </w:rPr>
        <w:t>. Collection is consistent with guidelines in 5 CFR 1320.5(d)(2).</w:t>
      </w:r>
    </w:p>
    <w:p w:rsidR="00F42071" w14:paraId="75F6C990" w14:textId="77777777">
      <w:pPr>
        <w:widowControl w:val="0"/>
        <w:tabs>
          <w:tab w:val="left" w:pos="360"/>
          <w:tab w:val="left" w:pos="720"/>
          <w:tab w:val="left" w:pos="1080"/>
          <w:tab w:val="left" w:pos="1440"/>
        </w:tabs>
        <w:rPr>
          <w:rFonts w:ascii="Courier New" w:eastAsia="Courier New" w:hAnsi="Courier New" w:cs="Courier New"/>
        </w:rPr>
      </w:pPr>
    </w:p>
    <w:p w:rsidR="00F42071" w14:paraId="179F86C9" w14:textId="77777777">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Consultation and Public Comments</w:t>
      </w:r>
      <w:r>
        <w:rPr>
          <w:rFonts w:ascii="Courier New" w:eastAsia="Courier New" w:hAnsi="Courier New" w:cs="Courier New"/>
        </w:rPr>
        <w:t>.</w:t>
      </w:r>
    </w:p>
    <w:p w:rsidR="00F42071" w14:paraId="5E028F08" w14:textId="3C7414EE">
      <w:pPr>
        <w:widowControl w:val="0"/>
        <w:numPr>
          <w:ilvl w:val="0"/>
          <w:numId w:val="1"/>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60-day notice was published in the </w:t>
      </w:r>
      <w:r>
        <w:rPr>
          <w:rFonts w:ascii="Courier New" w:eastAsia="Courier New" w:hAnsi="Courier New" w:cs="Courier New"/>
          <w:i/>
        </w:rPr>
        <w:t>Federal Register</w:t>
      </w:r>
      <w:r>
        <w:rPr>
          <w:rFonts w:ascii="Courier New" w:eastAsia="Courier New" w:hAnsi="Courier New" w:cs="Courier New"/>
        </w:rPr>
        <w:t xml:space="preserve"> at</w:t>
      </w:r>
      <w:r w:rsidR="005C50A7">
        <w:rPr>
          <w:rFonts w:ascii="Courier New" w:eastAsia="Courier New" w:hAnsi="Courier New" w:cs="Courier New"/>
        </w:rPr>
        <w:t xml:space="preserve"> 89</w:t>
      </w:r>
      <w:r>
        <w:rPr>
          <w:rFonts w:ascii="Courier New" w:eastAsia="Courier New" w:hAnsi="Courier New" w:cs="Courier New"/>
        </w:rPr>
        <w:t xml:space="preserve"> FR</w:t>
      </w:r>
      <w:r w:rsidR="005C50A7">
        <w:rPr>
          <w:rFonts w:ascii="Courier New" w:eastAsia="Courier New" w:hAnsi="Courier New" w:cs="Courier New"/>
        </w:rPr>
        <w:t xml:space="preserve"> 26149</w:t>
      </w:r>
      <w:r>
        <w:rPr>
          <w:rFonts w:ascii="Courier New" w:eastAsia="Courier New" w:hAnsi="Courier New" w:cs="Courier New"/>
        </w:rPr>
        <w:t>, on</w:t>
      </w:r>
      <w:r w:rsidR="005C50A7">
        <w:rPr>
          <w:rFonts w:ascii="Courier New" w:eastAsia="Courier New" w:hAnsi="Courier New" w:cs="Courier New"/>
        </w:rPr>
        <w:t xml:space="preserve"> April 15, 2024</w:t>
      </w:r>
      <w:r>
        <w:rPr>
          <w:rFonts w:ascii="Courier New" w:eastAsia="Courier New" w:hAnsi="Courier New" w:cs="Courier New"/>
        </w:rPr>
        <w:t>.</w:t>
      </w:r>
      <w:r w:rsidR="005C50A7">
        <w:rPr>
          <w:rFonts w:ascii="Courier New" w:eastAsia="Courier New" w:hAnsi="Courier New" w:cs="Courier New"/>
        </w:rPr>
        <w:t xml:space="preserve"> No comments were received.</w:t>
      </w:r>
    </w:p>
    <w:p w:rsidR="00F42071" w14:paraId="233600B9" w14:textId="77777777">
      <w:pPr>
        <w:widowControl w:val="0"/>
        <w:tabs>
          <w:tab w:val="left" w:pos="360"/>
          <w:tab w:val="left" w:pos="720"/>
          <w:tab w:val="left" w:pos="1080"/>
          <w:tab w:val="left" w:pos="1440"/>
        </w:tabs>
        <w:ind w:left="720" w:right="183"/>
        <w:rPr>
          <w:rFonts w:ascii="Courier New" w:eastAsia="Courier New" w:hAnsi="Courier New" w:cs="Courier New"/>
        </w:rPr>
      </w:pPr>
    </w:p>
    <w:p w:rsidR="00F42071" w14:paraId="69C67260" w14:textId="7627E072">
      <w:pPr>
        <w:widowControl w:val="0"/>
        <w:numPr>
          <w:ilvl w:val="0"/>
          <w:numId w:val="1"/>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30-day notice was published in the </w:t>
      </w:r>
      <w:r>
        <w:rPr>
          <w:rFonts w:ascii="Courier New" w:eastAsia="Courier New" w:hAnsi="Courier New" w:cs="Courier New"/>
          <w:i/>
        </w:rPr>
        <w:t>Federal Register</w:t>
      </w:r>
      <w:r>
        <w:rPr>
          <w:rFonts w:ascii="Courier New" w:eastAsia="Courier New" w:hAnsi="Courier New" w:cs="Courier New"/>
        </w:rPr>
        <w:t xml:space="preserve"> at </w:t>
      </w:r>
      <w:r w:rsidRPr="00C4452E">
        <w:rPr>
          <w:rFonts w:ascii="Courier New" w:eastAsia="Courier New" w:hAnsi="Courier New" w:cs="Courier New"/>
        </w:rPr>
        <w:t>89 FR 52466 on June 24, 2024</w:t>
      </w:r>
      <w:r w:rsidRPr="00C4452E">
        <w:rPr>
          <w:rFonts w:ascii="Courier New" w:eastAsia="Courier New" w:hAnsi="Courier New" w:cs="Courier New"/>
        </w:rPr>
        <w:t>.</w:t>
      </w:r>
    </w:p>
    <w:p w:rsidR="00F42071" w14:paraId="7D1EBD6A" w14:textId="77777777">
      <w:pPr>
        <w:widowControl w:val="0"/>
        <w:tabs>
          <w:tab w:val="left" w:pos="360"/>
          <w:tab w:val="left" w:pos="720"/>
          <w:tab w:val="left" w:pos="1080"/>
          <w:tab w:val="left" w:pos="1440"/>
        </w:tabs>
        <w:rPr>
          <w:rFonts w:ascii="Courier New" w:eastAsia="Courier New" w:hAnsi="Courier New" w:cs="Courier New"/>
        </w:rPr>
      </w:pPr>
    </w:p>
    <w:p w:rsidR="00F42071" w14:paraId="1F5584F8" w14:textId="77777777">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 xml:space="preserve">Gifts or </w:t>
      </w:r>
      <w:r>
        <w:rPr>
          <w:rFonts w:ascii="Courier New" w:eastAsia="Courier New" w:hAnsi="Courier New" w:cs="Courier New"/>
          <w:u w:val="single"/>
        </w:rPr>
        <w:t>Payment</w:t>
      </w:r>
      <w:r>
        <w:rPr>
          <w:rFonts w:ascii="Courier New" w:eastAsia="Courier New" w:hAnsi="Courier New" w:cs="Courier New"/>
        </w:rPr>
        <w:t>. This collection does not provide any payment or gift to respondents, other than remuneration of contractors.</w:t>
      </w:r>
    </w:p>
    <w:p w:rsidR="00F42071" w14:paraId="2EDAE281" w14:textId="77777777">
      <w:pPr>
        <w:widowControl w:val="0"/>
        <w:tabs>
          <w:tab w:val="left" w:pos="360"/>
          <w:tab w:val="left" w:pos="720"/>
          <w:tab w:val="left" w:pos="820"/>
          <w:tab w:val="left" w:pos="821"/>
          <w:tab w:val="left" w:pos="1080"/>
          <w:tab w:val="left" w:pos="1440"/>
        </w:tabs>
        <w:ind w:left="720" w:right="183"/>
        <w:rPr>
          <w:rFonts w:ascii="Courier New" w:eastAsia="Courier New" w:hAnsi="Courier New" w:cs="Courier New"/>
          <w:color w:val="0000FF"/>
        </w:rPr>
      </w:pPr>
    </w:p>
    <w:p w:rsidR="00F42071" w14:paraId="1E30427C" w14:textId="77777777">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Privacy &amp; Confidentiality</w:t>
      </w:r>
      <w:r>
        <w:rPr>
          <w:rFonts w:ascii="Courier New" w:eastAsia="Courier New" w:hAnsi="Courier New" w:cs="Courier New"/>
        </w:rPr>
        <w:t xml:space="preserve">. This information is disclosed only to the extent consistent with prudent business practices, current </w:t>
      </w:r>
      <w:r>
        <w:rPr>
          <w:rFonts w:ascii="Courier New" w:eastAsia="Courier New" w:hAnsi="Courier New" w:cs="Courier New"/>
        </w:rPr>
        <w:t>regulations, and statutory requirements.</w:t>
      </w:r>
    </w:p>
    <w:p w:rsidR="00F42071" w14:paraId="3C735DCC" w14:textId="77777777">
      <w:pPr>
        <w:widowControl w:val="0"/>
        <w:tabs>
          <w:tab w:val="left" w:pos="360"/>
          <w:tab w:val="left" w:pos="720"/>
          <w:tab w:val="left" w:pos="1080"/>
          <w:tab w:val="left" w:pos="1440"/>
        </w:tabs>
        <w:rPr>
          <w:rFonts w:ascii="Courier New" w:eastAsia="Courier New" w:hAnsi="Courier New" w:cs="Courier New"/>
        </w:rPr>
      </w:pPr>
    </w:p>
    <w:p w:rsidR="00F42071" w14:paraId="30E23147" w14:textId="77777777">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Sensitive Questions</w:t>
      </w:r>
      <w:r>
        <w:rPr>
          <w:rFonts w:ascii="Courier New" w:eastAsia="Courier New" w:hAnsi="Courier New" w:cs="Courier New"/>
        </w:rPr>
        <w:t>. No sensitive questions are involved.</w:t>
      </w:r>
    </w:p>
    <w:p w:rsidR="00F42071" w14:paraId="70894649" w14:textId="77777777">
      <w:pPr>
        <w:rPr>
          <w:rFonts w:ascii="Courier New" w:eastAsia="Courier New" w:hAnsi="Courier New" w:cs="Courier New"/>
        </w:rPr>
      </w:pPr>
    </w:p>
    <w:p w:rsidR="00F42071" w14:paraId="5D5A4206" w14:textId="77777777">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Estimate</w:t>
      </w:r>
      <w:r>
        <w:rPr>
          <w:rFonts w:ascii="Courier New" w:eastAsia="Courier New" w:hAnsi="Courier New" w:cs="Courier New"/>
        </w:rPr>
        <w:t>.</w:t>
      </w:r>
    </w:p>
    <w:tbl>
      <w:tblPr>
        <w:tblStyle w:val="a"/>
        <w:tblpPr w:leftFromText="180" w:rightFromText="180" w:vertAnchor="text" w:horzAnchor="page" w:tblpX="2543" w:tblpY="168"/>
        <w:tblW w:w="5572" w:type="dxa"/>
        <w:tblBorders>
          <w:top w:val="nil"/>
          <w:left w:val="nil"/>
          <w:bottom w:val="nil"/>
          <w:right w:val="nil"/>
          <w:insideH w:val="nil"/>
          <w:insideV w:val="nil"/>
        </w:tblBorders>
        <w:tblLayout w:type="fixed"/>
        <w:tblLook w:val="0600"/>
      </w:tblPr>
      <w:tblGrid>
        <w:gridCol w:w="3285"/>
        <w:gridCol w:w="2287"/>
      </w:tblGrid>
      <w:tr w14:paraId="79BCB437" w14:textId="77777777" w:rsidTr="00C4452E">
        <w:tblPrEx>
          <w:tblW w:w="5572" w:type="dxa"/>
          <w:tblBorders>
            <w:top w:val="nil"/>
            <w:left w:val="nil"/>
            <w:bottom w:val="nil"/>
            <w:right w:val="nil"/>
            <w:insideH w:val="nil"/>
            <w:insideV w:val="nil"/>
          </w:tblBorders>
          <w:tblLayout w:type="fixed"/>
          <w:tblLook w:val="0600"/>
        </w:tblPrEx>
        <w:trPr>
          <w:trHeight w:val="345"/>
        </w:trPr>
        <w:tc>
          <w:tcPr>
            <w:tcW w:w="328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4452E" w:rsidP="00C4452E" w14:paraId="14619E1F" w14:textId="77777777">
            <w:pPr>
              <w:widowControl w:val="0"/>
              <w:spacing w:line="276" w:lineRule="auto"/>
              <w:jc w:val="center"/>
              <w:rPr>
                <w:rFonts w:ascii="Arial" w:eastAsia="Arial" w:hAnsi="Arial" w:cs="Arial"/>
                <w:sz w:val="20"/>
                <w:szCs w:val="20"/>
              </w:rPr>
            </w:pPr>
            <w:r>
              <w:rPr>
                <w:rFonts w:ascii="Courier New" w:eastAsia="Courier New" w:hAnsi="Courier New" w:cs="Courier New"/>
                <w:b/>
              </w:rPr>
              <w:t>SUMMARY - Public reporting</w:t>
            </w:r>
          </w:p>
        </w:tc>
        <w:tc>
          <w:tcPr>
            <w:tcW w:w="228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4452E" w:rsidP="00C4452E" w14:paraId="7FFBCB8C" w14:textId="77777777">
            <w:pPr>
              <w:widowControl w:val="0"/>
              <w:spacing w:line="276" w:lineRule="auto"/>
              <w:jc w:val="center"/>
              <w:rPr>
                <w:rFonts w:ascii="Arial" w:eastAsia="Arial" w:hAnsi="Arial" w:cs="Arial"/>
                <w:sz w:val="20"/>
                <w:szCs w:val="20"/>
              </w:rPr>
            </w:pPr>
            <w:r>
              <w:rPr>
                <w:rFonts w:ascii="Courier New" w:eastAsia="Courier New" w:hAnsi="Courier New" w:cs="Courier New"/>
                <w:b/>
              </w:rPr>
              <w:t>FAR 52.222-32</w:t>
            </w:r>
          </w:p>
        </w:tc>
      </w:tr>
      <w:tr w14:paraId="307237DC" w14:textId="77777777" w:rsidTr="00C4452E">
        <w:tblPrEx>
          <w:tblW w:w="5572" w:type="dxa"/>
          <w:tblLayout w:type="fixed"/>
          <w:tblLook w:val="0600"/>
        </w:tblPrEx>
        <w:trPr>
          <w:trHeight w:val="345"/>
        </w:trPr>
        <w:tc>
          <w:tcPr>
            <w:tcW w:w="32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452E" w:rsidP="00C4452E" w14:paraId="575A93A5"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Respondents</w:t>
            </w:r>
          </w:p>
        </w:tc>
        <w:tc>
          <w:tcPr>
            <w:tcW w:w="228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452E" w:rsidP="00C4452E" w14:paraId="48DF0FE9"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405</w:t>
            </w:r>
          </w:p>
        </w:tc>
      </w:tr>
      <w:tr w14:paraId="1F72C20A" w14:textId="77777777" w:rsidTr="00C4452E">
        <w:tblPrEx>
          <w:tblW w:w="5572" w:type="dxa"/>
          <w:tblLayout w:type="fixed"/>
          <w:tblLook w:val="0600"/>
        </w:tblPrEx>
        <w:trPr>
          <w:trHeight w:val="345"/>
        </w:trPr>
        <w:tc>
          <w:tcPr>
            <w:tcW w:w="32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452E" w:rsidP="00C4452E" w14:paraId="28D5C113"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Responses/respondent</w:t>
            </w:r>
          </w:p>
        </w:tc>
        <w:tc>
          <w:tcPr>
            <w:tcW w:w="228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452E" w:rsidP="00C4452E" w14:paraId="2B5CBAB0"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1</w:t>
            </w:r>
          </w:p>
        </w:tc>
      </w:tr>
      <w:tr w14:paraId="3EE2F421" w14:textId="77777777" w:rsidTr="00C4452E">
        <w:tblPrEx>
          <w:tblW w:w="5572" w:type="dxa"/>
          <w:tblLayout w:type="fixed"/>
          <w:tblLook w:val="0600"/>
        </w:tblPrEx>
        <w:trPr>
          <w:trHeight w:val="615"/>
        </w:trPr>
        <w:tc>
          <w:tcPr>
            <w:tcW w:w="32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452E" w:rsidP="00C4452E" w14:paraId="108AB3C8"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Total annual responses</w:t>
            </w:r>
          </w:p>
        </w:tc>
        <w:tc>
          <w:tcPr>
            <w:tcW w:w="228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452E" w:rsidP="00C4452E" w14:paraId="341FB156"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405</w:t>
            </w:r>
          </w:p>
        </w:tc>
      </w:tr>
      <w:tr w14:paraId="75740A99" w14:textId="77777777" w:rsidTr="00C4452E">
        <w:tblPrEx>
          <w:tblW w:w="5572" w:type="dxa"/>
          <w:tblLayout w:type="fixed"/>
          <w:tblLook w:val="0600"/>
        </w:tblPrEx>
        <w:trPr>
          <w:trHeight w:val="345"/>
        </w:trPr>
        <w:tc>
          <w:tcPr>
            <w:tcW w:w="32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452E" w:rsidP="00C4452E" w14:paraId="23BC5F32"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Hours/response</w:t>
            </w:r>
          </w:p>
        </w:tc>
        <w:tc>
          <w:tcPr>
            <w:tcW w:w="228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452E" w:rsidP="00C4452E" w14:paraId="0C9CC667"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40</w:t>
            </w:r>
          </w:p>
        </w:tc>
      </w:tr>
      <w:tr w14:paraId="625EE6DB" w14:textId="77777777" w:rsidTr="00C4452E">
        <w:tblPrEx>
          <w:tblW w:w="5572" w:type="dxa"/>
          <w:tblLayout w:type="fixed"/>
          <w:tblLook w:val="0600"/>
        </w:tblPrEx>
        <w:trPr>
          <w:trHeight w:val="345"/>
        </w:trPr>
        <w:tc>
          <w:tcPr>
            <w:tcW w:w="32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452E" w:rsidP="00C4452E" w14:paraId="7FC77DB9"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Burden Hours</w:t>
            </w:r>
          </w:p>
        </w:tc>
        <w:tc>
          <w:tcPr>
            <w:tcW w:w="228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452E" w:rsidP="00C4452E" w14:paraId="232F2303"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16,200</w:t>
            </w:r>
          </w:p>
        </w:tc>
      </w:tr>
      <w:tr w14:paraId="629AB0A6" w14:textId="77777777" w:rsidTr="00C4452E">
        <w:tblPrEx>
          <w:tblW w:w="5572" w:type="dxa"/>
          <w:tblLayout w:type="fixed"/>
          <w:tblLook w:val="0600"/>
        </w:tblPrEx>
        <w:trPr>
          <w:trHeight w:val="345"/>
        </w:trPr>
        <w:tc>
          <w:tcPr>
            <w:tcW w:w="32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4452E" w:rsidP="00C4452E" w14:paraId="6DCB454F"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Hourly rate*</w:t>
            </w:r>
          </w:p>
        </w:tc>
        <w:tc>
          <w:tcPr>
            <w:tcW w:w="228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452E" w:rsidP="00C4452E" w14:paraId="2A2EDB2A"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$83</w:t>
            </w:r>
          </w:p>
        </w:tc>
      </w:tr>
      <w:tr w14:paraId="24CADEC3" w14:textId="77777777" w:rsidTr="00C4452E">
        <w:tblPrEx>
          <w:tblW w:w="5572" w:type="dxa"/>
          <w:tblLayout w:type="fixed"/>
          <w:tblLook w:val="0600"/>
        </w:tblPrEx>
        <w:trPr>
          <w:trHeight w:val="615"/>
        </w:trPr>
        <w:tc>
          <w:tcPr>
            <w:tcW w:w="32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4452E" w:rsidP="00C4452E" w14:paraId="6377BAB3" w14:textId="77777777">
            <w:pPr>
              <w:widowControl w:val="0"/>
              <w:spacing w:line="276" w:lineRule="auto"/>
              <w:jc w:val="right"/>
              <w:rPr>
                <w:rFonts w:ascii="Arial" w:eastAsia="Arial" w:hAnsi="Arial" w:cs="Arial"/>
                <w:sz w:val="20"/>
                <w:szCs w:val="20"/>
              </w:rPr>
            </w:pPr>
            <w:r>
              <w:rPr>
                <w:rFonts w:ascii="Courier New" w:eastAsia="Courier New" w:hAnsi="Courier New" w:cs="Courier New"/>
                <w:b/>
              </w:rPr>
              <w:t>Estimated cost to public</w:t>
            </w:r>
          </w:p>
        </w:tc>
        <w:tc>
          <w:tcPr>
            <w:tcW w:w="228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452E" w:rsidP="00C4452E" w14:paraId="03426289"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$1,344,600</w:t>
            </w:r>
          </w:p>
        </w:tc>
      </w:tr>
    </w:tbl>
    <w:p w:rsidR="00C4452E" w14:paraId="02751D76" w14:textId="77777777">
      <w:pPr>
        <w:widowControl w:val="0"/>
        <w:tabs>
          <w:tab w:val="left" w:pos="360"/>
          <w:tab w:val="left" w:pos="720"/>
          <w:tab w:val="left" w:pos="1080"/>
          <w:tab w:val="left" w:pos="1440"/>
        </w:tabs>
        <w:ind w:left="360"/>
        <w:rPr>
          <w:rFonts w:ascii="Courier New" w:eastAsia="Courier New" w:hAnsi="Courier New" w:cs="Courier New"/>
        </w:rPr>
      </w:pPr>
    </w:p>
    <w:p w:rsidR="00C4452E" w14:paraId="7D54946D" w14:textId="77777777">
      <w:pPr>
        <w:widowControl w:val="0"/>
        <w:tabs>
          <w:tab w:val="left" w:pos="360"/>
          <w:tab w:val="left" w:pos="720"/>
          <w:tab w:val="left" w:pos="1080"/>
          <w:tab w:val="left" w:pos="1440"/>
        </w:tabs>
        <w:ind w:left="360"/>
        <w:rPr>
          <w:rFonts w:ascii="Courier New" w:eastAsia="Courier New" w:hAnsi="Courier New" w:cs="Courier New"/>
        </w:rPr>
      </w:pPr>
    </w:p>
    <w:p w:rsidR="00C4452E" w14:paraId="14401DAC" w14:textId="77777777">
      <w:pPr>
        <w:widowControl w:val="0"/>
        <w:tabs>
          <w:tab w:val="left" w:pos="360"/>
          <w:tab w:val="left" w:pos="720"/>
          <w:tab w:val="left" w:pos="1080"/>
          <w:tab w:val="left" w:pos="1440"/>
        </w:tabs>
        <w:ind w:left="360"/>
        <w:rPr>
          <w:rFonts w:ascii="Courier New" w:eastAsia="Courier New" w:hAnsi="Courier New" w:cs="Courier New"/>
        </w:rPr>
      </w:pPr>
    </w:p>
    <w:p w:rsidR="00F42071" w14:paraId="6AA3C269" w14:textId="30CF1AB3">
      <w:pPr>
        <w:widowControl w:val="0"/>
        <w:tabs>
          <w:tab w:val="left" w:pos="360"/>
          <w:tab w:val="left" w:pos="720"/>
          <w:tab w:val="left" w:pos="1080"/>
          <w:tab w:val="left" w:pos="1440"/>
        </w:tabs>
        <w:ind w:left="360"/>
        <w:rPr>
          <w:rFonts w:ascii="Courier New" w:eastAsia="Courier New" w:hAnsi="Courier New" w:cs="Courier New"/>
        </w:rPr>
      </w:pPr>
      <w:r>
        <w:rPr>
          <w:rFonts w:ascii="Courier New" w:eastAsia="Courier New" w:hAnsi="Courier New" w:cs="Courier New"/>
        </w:rPr>
        <w:t>There is no centralized database in the Federal Government</w:t>
      </w:r>
    </w:p>
    <w:p w:rsidR="00F42071" w14:paraId="27661501" w14:textId="77777777">
      <w:pPr>
        <w:widowControl w:val="0"/>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rPr>
        <w:t>that maintains information regarding this matter. Subject matter experts were consulted in preparing the estimated burden hours along with FPDS data for the three most recent fiscal years 2021 through 2023.</w:t>
      </w:r>
    </w:p>
    <w:p w:rsidR="00F42071" w14:paraId="12409F8F" w14:textId="77777777">
      <w:pPr>
        <w:widowControl w:val="0"/>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rPr>
        <w:tab/>
        <w:t>The FAR clause at 52.222-32 may be used in fixed-price solicitations and contracts, subject to the Construction Wage Rate Requirements statute, that contain options to extend the term of the contract. Generally, this clause is only appropriate if contract requirements are predominately services subject to the Service Contract Labor Standards statute and the construction requirements are substantial and segregable.</w:t>
      </w:r>
    </w:p>
    <w:p w:rsidR="00F42071" w14:paraId="5435DC68" w14:textId="77777777">
      <w:pPr>
        <w:widowControl w:val="0"/>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rPr>
        <w:tab/>
        <w:t>The burden addressed in this information collection requirement is the burden of compiling and submitting the required information. The contractor is already required by law to keep payroll records and other supporting data. On average, FPDS indicates that 4,047 construction contractors in FY21-FY23 could potentially have had contracts with recurring options. However, we believe there are only approximately 10% of these that would contain the subject clause, since most would not have a price adjustment cla</w:t>
      </w:r>
      <w:r>
        <w:rPr>
          <w:rFonts w:ascii="Courier New" w:eastAsia="Courier New" w:hAnsi="Courier New" w:cs="Courier New"/>
        </w:rPr>
        <w:t>use, and there are other FAR prescribed price adjustment clauses. Time required to read, and prepare information is estimated at 40 hours per response.</w:t>
      </w:r>
    </w:p>
    <w:p w:rsidR="00F42071" w14:paraId="3155691C" w14:textId="77777777">
      <w:pPr>
        <w:rPr>
          <w:rFonts w:ascii="Courier New" w:eastAsia="Courier New" w:hAnsi="Courier New" w:cs="Courier New"/>
          <w:b/>
        </w:rPr>
      </w:pPr>
    </w:p>
    <w:p w:rsidR="00F42071" w14:paraId="527DABF5" w14:textId="77777777">
      <w:pPr>
        <w:rPr>
          <w:rFonts w:ascii="Courier New" w:eastAsia="Courier New" w:hAnsi="Courier New" w:cs="Courier New"/>
          <w:b/>
        </w:rPr>
      </w:pPr>
    </w:p>
    <w:p w:rsidR="00F42071" w14:paraId="3A3AC3ED" w14:textId="77777777">
      <w:pPr>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 Fully burdened rates include a 36.25 percent fringe factor (pursuant to the rate provided in OMB memorandum M-08-13 for use in public-private competition), and a 12 percent overhead rate (from A-76 revised supplemental handbook). Based on the Office of Personnel Management (OPM) 2024 General Schedule (GS) 13/step 5 salary for the rest of the United States ($56.16 per hour) plus the fringe factor and the overhead rate, rounded to the nearest whole dollar ($83).</w:t>
      </w:r>
    </w:p>
    <w:p w:rsidR="00F42071" w14:paraId="7B7B207A" w14:textId="77777777">
      <w:pPr>
        <w:widowControl w:val="0"/>
        <w:tabs>
          <w:tab w:val="left" w:pos="360"/>
          <w:tab w:val="left" w:pos="720"/>
          <w:tab w:val="left" w:pos="1080"/>
          <w:tab w:val="left" w:pos="1440"/>
        </w:tabs>
        <w:rPr>
          <w:rFonts w:ascii="Courier New" w:eastAsia="Courier New" w:hAnsi="Courier New" w:cs="Courier New"/>
          <w:u w:val="single"/>
        </w:rPr>
      </w:pPr>
    </w:p>
    <w:p w:rsidR="00F42071" w14:paraId="3D99F02A"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nonrecurring costs</w:t>
      </w:r>
      <w:r>
        <w:rPr>
          <w:rFonts w:ascii="Courier New" w:eastAsia="Courier New" w:hAnsi="Courier New" w:cs="Courier New"/>
        </w:rPr>
        <w:t>. Not applicable.</w:t>
      </w:r>
    </w:p>
    <w:p w:rsidR="00F42071" w14:paraId="559F613C" w14:textId="77777777">
      <w:pPr>
        <w:widowControl w:val="0"/>
        <w:tabs>
          <w:tab w:val="left" w:pos="360"/>
          <w:tab w:val="left" w:pos="720"/>
          <w:tab w:val="left" w:pos="1080"/>
        </w:tabs>
        <w:rPr>
          <w:rFonts w:ascii="Courier New" w:eastAsia="Courier New" w:hAnsi="Courier New" w:cs="Courier New"/>
        </w:rPr>
      </w:pPr>
    </w:p>
    <w:p w:rsidR="00F42071" w14:paraId="5E621CCD"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cost to the Government</w:t>
      </w:r>
      <w:r>
        <w:rPr>
          <w:rFonts w:ascii="Courier New" w:eastAsia="Courier New" w:hAnsi="Courier New" w:cs="Courier New"/>
        </w:rPr>
        <w:t>. Time required to review the information is estimated at 5 hours per response.</w:t>
      </w:r>
    </w:p>
    <w:p w:rsidR="00F42071" w14:paraId="74F7D4CA" w14:textId="77777777">
      <w:pPr>
        <w:rPr>
          <w:rFonts w:ascii="Courier New" w:eastAsia="Courier New" w:hAnsi="Courier New" w:cs="Courier New"/>
        </w:rPr>
      </w:pPr>
    </w:p>
    <w:tbl>
      <w:tblPr>
        <w:tblStyle w:val="a0"/>
        <w:tblW w:w="5655" w:type="dxa"/>
        <w:tblBorders>
          <w:top w:val="nil"/>
          <w:left w:val="nil"/>
          <w:bottom w:val="nil"/>
          <w:right w:val="nil"/>
          <w:insideH w:val="nil"/>
          <w:insideV w:val="nil"/>
        </w:tblBorders>
        <w:tblLayout w:type="fixed"/>
        <w:tblLook w:val="0600"/>
      </w:tblPr>
      <w:tblGrid>
        <w:gridCol w:w="3075"/>
        <w:gridCol w:w="2580"/>
      </w:tblGrid>
      <w:tr w14:paraId="25162FBC" w14:textId="77777777">
        <w:tblPrEx>
          <w:tblW w:w="5655" w:type="dxa"/>
          <w:tblBorders>
            <w:top w:val="nil"/>
            <w:left w:val="nil"/>
            <w:bottom w:val="nil"/>
            <w:right w:val="nil"/>
            <w:insideH w:val="nil"/>
            <w:insideV w:val="nil"/>
          </w:tblBorders>
          <w:tblLayout w:type="fixed"/>
          <w:tblLook w:val="0600"/>
        </w:tblPrEx>
        <w:trPr>
          <w:trHeight w:val="615"/>
        </w:trPr>
        <w:tc>
          <w:tcPr>
            <w:tcW w:w="30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F42071" w14:paraId="62AB2DEF" w14:textId="77777777">
            <w:pPr>
              <w:widowControl w:val="0"/>
              <w:spacing w:line="276" w:lineRule="auto"/>
              <w:jc w:val="center"/>
              <w:rPr>
                <w:rFonts w:ascii="Arial" w:eastAsia="Arial" w:hAnsi="Arial" w:cs="Arial"/>
                <w:sz w:val="20"/>
                <w:szCs w:val="20"/>
              </w:rPr>
            </w:pPr>
            <w:r>
              <w:rPr>
                <w:rFonts w:ascii="Courier New" w:eastAsia="Courier New" w:hAnsi="Courier New" w:cs="Courier New"/>
                <w:b/>
              </w:rPr>
              <w:t>SUMMARY - Government burden</w:t>
            </w:r>
          </w:p>
        </w:tc>
        <w:tc>
          <w:tcPr>
            <w:tcW w:w="25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F42071" w14:paraId="5C0E2109" w14:textId="77777777">
            <w:pPr>
              <w:widowControl w:val="0"/>
              <w:spacing w:line="276" w:lineRule="auto"/>
              <w:jc w:val="center"/>
              <w:rPr>
                <w:rFonts w:ascii="Arial" w:eastAsia="Arial" w:hAnsi="Arial" w:cs="Arial"/>
                <w:sz w:val="20"/>
                <w:szCs w:val="20"/>
              </w:rPr>
            </w:pPr>
            <w:r>
              <w:rPr>
                <w:rFonts w:ascii="Courier New" w:eastAsia="Courier New" w:hAnsi="Courier New" w:cs="Courier New"/>
                <w:b/>
              </w:rPr>
              <w:t>FAR 52.222-32</w:t>
            </w:r>
          </w:p>
        </w:tc>
      </w:tr>
      <w:tr w14:paraId="4BC87B22" w14:textId="77777777">
        <w:tblPrEx>
          <w:tblW w:w="5655" w:type="dxa"/>
          <w:tblLayout w:type="fixed"/>
          <w:tblLook w:val="0600"/>
        </w:tblPrEx>
        <w:trPr>
          <w:trHeight w:val="615"/>
        </w:trPr>
        <w:tc>
          <w:tcPr>
            <w:tcW w:w="30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42071" w14:paraId="5F32147D"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Total annual responses</w:t>
            </w:r>
          </w:p>
        </w:tc>
        <w:tc>
          <w:tcPr>
            <w:tcW w:w="25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2071" w14:paraId="1F48ED68"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405</w:t>
            </w:r>
          </w:p>
        </w:tc>
      </w:tr>
      <w:tr w14:paraId="3938BA35" w14:textId="77777777">
        <w:tblPrEx>
          <w:tblW w:w="5655" w:type="dxa"/>
          <w:tblLayout w:type="fixed"/>
          <w:tblLook w:val="0600"/>
        </w:tblPrEx>
        <w:trPr>
          <w:trHeight w:val="345"/>
        </w:trPr>
        <w:tc>
          <w:tcPr>
            <w:tcW w:w="30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42071" w14:paraId="6528A4B6"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Hours/response</w:t>
            </w:r>
          </w:p>
        </w:tc>
        <w:tc>
          <w:tcPr>
            <w:tcW w:w="25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2071" w14:paraId="6343C064"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5</w:t>
            </w:r>
          </w:p>
        </w:tc>
      </w:tr>
      <w:tr w14:paraId="256D73F9" w14:textId="77777777">
        <w:tblPrEx>
          <w:tblW w:w="5655" w:type="dxa"/>
          <w:tblLayout w:type="fixed"/>
          <w:tblLook w:val="0600"/>
        </w:tblPrEx>
        <w:trPr>
          <w:trHeight w:val="345"/>
        </w:trPr>
        <w:tc>
          <w:tcPr>
            <w:tcW w:w="30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42071" w14:paraId="504C6316"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Burden Hours</w:t>
            </w:r>
          </w:p>
        </w:tc>
        <w:tc>
          <w:tcPr>
            <w:tcW w:w="25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2071" w14:paraId="1D82290C"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2,025</w:t>
            </w:r>
          </w:p>
        </w:tc>
      </w:tr>
      <w:tr w14:paraId="46B0ACD0" w14:textId="77777777">
        <w:tblPrEx>
          <w:tblW w:w="5655" w:type="dxa"/>
          <w:tblLayout w:type="fixed"/>
          <w:tblLook w:val="0600"/>
        </w:tblPrEx>
        <w:trPr>
          <w:trHeight w:val="345"/>
        </w:trPr>
        <w:tc>
          <w:tcPr>
            <w:tcW w:w="30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42071" w14:paraId="7306DD4A"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Hourly rate*</w:t>
            </w:r>
          </w:p>
        </w:tc>
        <w:tc>
          <w:tcPr>
            <w:tcW w:w="25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2071" w14:paraId="696444CF"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$83</w:t>
            </w:r>
          </w:p>
        </w:tc>
      </w:tr>
      <w:tr w14:paraId="4249B08D" w14:textId="77777777">
        <w:tblPrEx>
          <w:tblW w:w="5655" w:type="dxa"/>
          <w:tblLayout w:type="fixed"/>
          <w:tblLook w:val="0600"/>
        </w:tblPrEx>
        <w:trPr>
          <w:trHeight w:val="615"/>
        </w:trPr>
        <w:tc>
          <w:tcPr>
            <w:tcW w:w="30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42071" w14:paraId="02E28BD2" w14:textId="77777777">
            <w:pPr>
              <w:widowControl w:val="0"/>
              <w:spacing w:line="276" w:lineRule="auto"/>
              <w:jc w:val="right"/>
              <w:rPr>
                <w:rFonts w:ascii="Arial" w:eastAsia="Arial" w:hAnsi="Arial" w:cs="Arial"/>
                <w:sz w:val="20"/>
                <w:szCs w:val="20"/>
              </w:rPr>
            </w:pPr>
            <w:r>
              <w:rPr>
                <w:rFonts w:ascii="Courier New" w:eastAsia="Courier New" w:hAnsi="Courier New" w:cs="Courier New"/>
                <w:b/>
              </w:rPr>
              <w:t>Estimated cost to Government</w:t>
            </w:r>
          </w:p>
        </w:tc>
        <w:tc>
          <w:tcPr>
            <w:tcW w:w="25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2071" w14:paraId="481AAC1D" w14:textId="77777777">
            <w:pPr>
              <w:widowControl w:val="0"/>
              <w:spacing w:line="276" w:lineRule="auto"/>
              <w:jc w:val="right"/>
              <w:rPr>
                <w:rFonts w:ascii="Arial" w:eastAsia="Arial" w:hAnsi="Arial" w:cs="Arial"/>
                <w:sz w:val="20"/>
                <w:szCs w:val="20"/>
              </w:rPr>
            </w:pPr>
            <w:r>
              <w:rPr>
                <w:rFonts w:ascii="Courier New" w:eastAsia="Courier New" w:hAnsi="Courier New" w:cs="Courier New"/>
              </w:rPr>
              <w:t>$168,075</w:t>
            </w:r>
          </w:p>
        </w:tc>
      </w:tr>
    </w:tbl>
    <w:p w:rsidR="00F42071" w14:paraId="2006DDCD" w14:textId="77777777">
      <w:pPr>
        <w:rPr>
          <w:rFonts w:ascii="Courier New" w:eastAsia="Courier New" w:hAnsi="Courier New" w:cs="Courier New"/>
        </w:rPr>
      </w:pPr>
    </w:p>
    <w:p w:rsidR="00F42071" w14:paraId="4277CD60"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Reasons for changes</w:t>
      </w:r>
      <w:r>
        <w:rPr>
          <w:rFonts w:ascii="Courier New" w:eastAsia="Courier New" w:hAnsi="Courier New" w:cs="Courier New"/>
        </w:rPr>
        <w:t>. There are no program changes. The FAR requirements remain the same. This extension includes adjustments to the public and Government burden estimates based on the following:</w:t>
      </w:r>
    </w:p>
    <w:p w:rsidR="00F42071" w14:paraId="090EB5CB" w14:textId="77777777">
      <w:pPr>
        <w:ind w:right="-40"/>
        <w:rPr>
          <w:rFonts w:ascii="Courier New" w:eastAsia="Courier New" w:hAnsi="Courier New" w:cs="Courier New"/>
        </w:rPr>
      </w:pPr>
      <w:r>
        <w:rPr>
          <w:rFonts w:ascii="Courier New" w:eastAsia="Courier New" w:hAnsi="Courier New" w:cs="Courier New"/>
        </w:rPr>
        <w:t xml:space="preserve">● The </w:t>
      </w:r>
      <w:r>
        <w:rPr>
          <w:rFonts w:ascii="Courier New" w:eastAsia="Courier New" w:hAnsi="Courier New" w:cs="Courier New"/>
        </w:rPr>
        <w:t>estimated number of respondents and responses per year is based on FPDS data for the three most recent fiscal years (2021 through 2023).</w:t>
      </w:r>
    </w:p>
    <w:p w:rsidR="00F42071" w14:paraId="1460DF07" w14:textId="77777777">
      <w:pPr>
        <w:ind w:right="-40"/>
        <w:rPr>
          <w:rFonts w:ascii="Courier New" w:eastAsia="Courier New" w:hAnsi="Courier New" w:cs="Courier New"/>
        </w:rPr>
      </w:pPr>
    </w:p>
    <w:p w:rsidR="00F42071" w14:paraId="6358BE72" w14:textId="77777777">
      <w:pPr>
        <w:ind w:right="-40"/>
        <w:rPr>
          <w:rFonts w:ascii="Courier New" w:eastAsia="Courier New" w:hAnsi="Courier New" w:cs="Courier New"/>
        </w:rPr>
      </w:pPr>
      <w:r>
        <w:rPr>
          <w:rFonts w:ascii="Courier New" w:eastAsia="Courier New" w:hAnsi="Courier New" w:cs="Courier New"/>
        </w:rPr>
        <w:t xml:space="preserve">● The estimated cost per hour is based on use of the current (calendar year 2024) OPM GS wage rates for the rest of the United States or Rates of Basic Pay for the Executive Schedule, as appropriate, that are effective January 2024, found at </w:t>
      </w:r>
      <w:hyperlink r:id="rId4">
        <w:r>
          <w:rPr>
            <w:rFonts w:ascii="Courier New" w:eastAsia="Courier New" w:hAnsi="Courier New" w:cs="Courier New"/>
            <w:color w:val="1155CC"/>
            <w:u w:val="single"/>
          </w:rPr>
          <w:t>www.opm.gov</w:t>
        </w:r>
      </w:hyperlink>
      <w:r>
        <w:rPr>
          <w:rFonts w:ascii="Courier New" w:eastAsia="Courier New" w:hAnsi="Courier New" w:cs="Courier New"/>
        </w:rPr>
        <w:t>.</w:t>
      </w:r>
    </w:p>
    <w:p w:rsidR="00F42071" w14:paraId="5E8F1060" w14:textId="77777777">
      <w:pPr>
        <w:ind w:right="-40"/>
        <w:rPr>
          <w:rFonts w:ascii="Courier New" w:eastAsia="Courier New" w:hAnsi="Courier New" w:cs="Courier New"/>
        </w:rPr>
      </w:pPr>
    </w:p>
    <w:tbl>
      <w:tblPr>
        <w:tblStyle w:val="a1"/>
        <w:tblW w:w="8550" w:type="dxa"/>
        <w:tblBorders>
          <w:top w:val="nil"/>
          <w:left w:val="nil"/>
          <w:bottom w:val="nil"/>
          <w:right w:val="nil"/>
          <w:insideH w:val="nil"/>
          <w:insideV w:val="nil"/>
        </w:tblBorders>
        <w:tblLayout w:type="fixed"/>
        <w:tblLook w:val="0600"/>
      </w:tblPr>
      <w:tblGrid>
        <w:gridCol w:w="2760"/>
        <w:gridCol w:w="1785"/>
        <w:gridCol w:w="1785"/>
        <w:gridCol w:w="2220"/>
      </w:tblGrid>
      <w:tr w14:paraId="77995A4F" w14:textId="77777777">
        <w:tblPrEx>
          <w:tblW w:w="8550" w:type="dxa"/>
          <w:tblBorders>
            <w:top w:val="nil"/>
            <w:left w:val="nil"/>
            <w:bottom w:val="nil"/>
            <w:right w:val="nil"/>
            <w:insideH w:val="nil"/>
            <w:insideV w:val="nil"/>
          </w:tblBorders>
          <w:tblLayout w:type="fixed"/>
          <w:tblLook w:val="0600"/>
        </w:tblPrEx>
        <w:trPr>
          <w:trHeight w:val="630"/>
        </w:trPr>
        <w:tc>
          <w:tcPr>
            <w:tcW w:w="276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42071" w14:paraId="31742178" w14:textId="77777777">
            <w:pPr>
              <w:widowControl w:val="0"/>
              <w:spacing w:line="276" w:lineRule="auto"/>
              <w:rPr>
                <w:rFonts w:ascii="Arial" w:eastAsia="Arial" w:hAnsi="Arial" w:cs="Arial"/>
                <w:sz w:val="20"/>
                <w:szCs w:val="20"/>
              </w:rPr>
            </w:pPr>
          </w:p>
        </w:tc>
        <w:tc>
          <w:tcPr>
            <w:tcW w:w="1785"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4F34D654"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2021 Estimate</w:t>
            </w:r>
          </w:p>
        </w:tc>
        <w:tc>
          <w:tcPr>
            <w:tcW w:w="1785"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390F3746"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2024 Estimate</w:t>
            </w:r>
          </w:p>
        </w:tc>
        <w:tc>
          <w:tcPr>
            <w:tcW w:w="222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17C83B58"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Change in Burden</w:t>
            </w:r>
          </w:p>
        </w:tc>
      </w:tr>
      <w:tr w14:paraId="5F92C1EC" w14:textId="77777777">
        <w:tblPrEx>
          <w:tblW w:w="8550" w:type="dxa"/>
          <w:tblLayout w:type="fixed"/>
          <w:tblLook w:val="0600"/>
        </w:tblPrEx>
        <w:trPr>
          <w:trHeight w:val="630"/>
        </w:trPr>
        <w:tc>
          <w:tcPr>
            <w:tcW w:w="276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42071" w14:paraId="512A8382" w14:textId="77777777">
            <w:pPr>
              <w:widowControl w:val="0"/>
              <w:spacing w:line="276" w:lineRule="auto"/>
              <w:rPr>
                <w:rFonts w:ascii="Arial" w:eastAsia="Arial" w:hAnsi="Arial" w:cs="Arial"/>
                <w:sz w:val="20"/>
                <w:szCs w:val="20"/>
              </w:rPr>
            </w:pPr>
            <w:r>
              <w:rPr>
                <w:rFonts w:ascii="Courier New" w:eastAsia="Courier New" w:hAnsi="Courier New" w:cs="Courier New"/>
              </w:rPr>
              <w:t>Number of respondents</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6703E0F9"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506</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1ADAACFE"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405</w:t>
            </w:r>
          </w:p>
        </w:tc>
        <w:tc>
          <w:tcPr>
            <w:tcW w:w="222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522B3B67"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-101</w:t>
            </w:r>
          </w:p>
        </w:tc>
      </w:tr>
      <w:tr w14:paraId="11E4B90A" w14:textId="77777777">
        <w:tblPrEx>
          <w:tblW w:w="8550" w:type="dxa"/>
          <w:tblLayout w:type="fixed"/>
          <w:tblLook w:val="0600"/>
        </w:tblPrEx>
        <w:trPr>
          <w:trHeight w:val="630"/>
        </w:trPr>
        <w:tc>
          <w:tcPr>
            <w:tcW w:w="276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42071" w14:paraId="1C265CF8" w14:textId="77777777">
            <w:pPr>
              <w:widowControl w:val="0"/>
              <w:spacing w:line="276" w:lineRule="auto"/>
              <w:rPr>
                <w:rFonts w:ascii="Arial" w:eastAsia="Arial" w:hAnsi="Arial" w:cs="Arial"/>
                <w:sz w:val="20"/>
                <w:szCs w:val="20"/>
              </w:rPr>
            </w:pPr>
            <w:r>
              <w:rPr>
                <w:rFonts w:ascii="Courier New" w:eastAsia="Courier New" w:hAnsi="Courier New" w:cs="Courier New"/>
                <w:color w:val="222222"/>
              </w:rPr>
              <w:t>Total annual responses</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06C94E98"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506</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73D8CF0B"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405</w:t>
            </w:r>
          </w:p>
        </w:tc>
        <w:tc>
          <w:tcPr>
            <w:tcW w:w="222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5F8BD12E"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-101</w:t>
            </w:r>
          </w:p>
        </w:tc>
      </w:tr>
      <w:tr w14:paraId="2AC75DB3" w14:textId="77777777">
        <w:tblPrEx>
          <w:tblW w:w="8550" w:type="dxa"/>
          <w:tblLayout w:type="fixed"/>
          <w:tblLook w:val="0600"/>
        </w:tblPrEx>
        <w:trPr>
          <w:trHeight w:val="360"/>
        </w:trPr>
        <w:tc>
          <w:tcPr>
            <w:tcW w:w="276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42071" w14:paraId="0E9B7A9F" w14:textId="77777777">
            <w:pPr>
              <w:widowControl w:val="0"/>
              <w:spacing w:line="276" w:lineRule="auto"/>
              <w:rPr>
                <w:rFonts w:ascii="Arial" w:eastAsia="Arial" w:hAnsi="Arial" w:cs="Arial"/>
                <w:sz w:val="20"/>
                <w:szCs w:val="20"/>
              </w:rPr>
            </w:pPr>
            <w:r>
              <w:rPr>
                <w:rFonts w:ascii="Courier New" w:eastAsia="Courier New" w:hAnsi="Courier New" w:cs="Courier New"/>
                <w:color w:val="222222"/>
              </w:rPr>
              <w:t>Total burden hours</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7DBBCBE6"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20,240</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288A21DB"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16,200</w:t>
            </w:r>
          </w:p>
        </w:tc>
        <w:tc>
          <w:tcPr>
            <w:tcW w:w="222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5641863B"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-4,040</w:t>
            </w:r>
          </w:p>
        </w:tc>
      </w:tr>
      <w:tr w14:paraId="791713EC" w14:textId="77777777">
        <w:tblPrEx>
          <w:tblW w:w="8550" w:type="dxa"/>
          <w:tblLayout w:type="fixed"/>
          <w:tblLook w:val="0600"/>
        </w:tblPrEx>
        <w:trPr>
          <w:trHeight w:val="630"/>
        </w:trPr>
        <w:tc>
          <w:tcPr>
            <w:tcW w:w="276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42071" w14:paraId="3D6274D1" w14:textId="77777777">
            <w:pPr>
              <w:widowControl w:val="0"/>
              <w:spacing w:line="276" w:lineRule="auto"/>
              <w:rPr>
                <w:rFonts w:ascii="Arial" w:eastAsia="Arial" w:hAnsi="Arial" w:cs="Arial"/>
                <w:sz w:val="20"/>
                <w:szCs w:val="20"/>
              </w:rPr>
            </w:pPr>
            <w:r>
              <w:rPr>
                <w:rFonts w:ascii="Courier New" w:eastAsia="Courier New" w:hAnsi="Courier New" w:cs="Courier New"/>
                <w:color w:val="222222"/>
              </w:rPr>
              <w:t>Total annual cost to public</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05285922"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$1,396,560</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77F033B5"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$1,344,600</w:t>
            </w:r>
          </w:p>
        </w:tc>
        <w:tc>
          <w:tcPr>
            <w:tcW w:w="222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F42071" w14:paraId="54FC9619"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rPr>
              <w:t>-$51,960</w:t>
            </w:r>
          </w:p>
        </w:tc>
      </w:tr>
    </w:tbl>
    <w:p w:rsidR="00F42071" w14:paraId="05643295" w14:textId="77777777">
      <w:pPr>
        <w:widowControl w:val="0"/>
        <w:tabs>
          <w:tab w:val="left" w:pos="360"/>
          <w:tab w:val="left" w:pos="720"/>
          <w:tab w:val="left" w:pos="1080"/>
        </w:tabs>
        <w:rPr>
          <w:rFonts w:ascii="Courier New" w:eastAsia="Courier New" w:hAnsi="Courier New" w:cs="Courier New"/>
        </w:rPr>
      </w:pPr>
    </w:p>
    <w:p w:rsidR="00F42071" w14:paraId="6FF53CB1"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Publicizing Results</w:t>
      </w:r>
      <w:r>
        <w:rPr>
          <w:rFonts w:ascii="Courier New" w:eastAsia="Courier New" w:hAnsi="Courier New" w:cs="Courier New"/>
        </w:rPr>
        <w:t>. Results will not be tabulated or published.</w:t>
      </w:r>
    </w:p>
    <w:p w:rsidR="00F42071" w14:paraId="2E2645D7" w14:textId="77777777">
      <w:pPr>
        <w:widowControl w:val="0"/>
        <w:tabs>
          <w:tab w:val="left" w:pos="360"/>
          <w:tab w:val="left" w:pos="720"/>
          <w:tab w:val="left" w:pos="1080"/>
        </w:tabs>
        <w:rPr>
          <w:rFonts w:ascii="Courier New" w:eastAsia="Courier New" w:hAnsi="Courier New" w:cs="Courier New"/>
        </w:rPr>
      </w:pPr>
    </w:p>
    <w:p w:rsidR="00F42071" w14:paraId="0D52268B"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 xml:space="preserve">OMB Not to </w:t>
      </w:r>
      <w:r>
        <w:rPr>
          <w:rFonts w:ascii="Courier New" w:eastAsia="Courier New" w:hAnsi="Courier New" w:cs="Courier New"/>
          <w:u w:val="single"/>
        </w:rPr>
        <w:t>Display 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F42071" w14:paraId="239D6961" w14:textId="77777777">
      <w:pPr>
        <w:widowControl w:val="0"/>
        <w:tabs>
          <w:tab w:val="left" w:pos="360"/>
          <w:tab w:val="left" w:pos="720"/>
          <w:tab w:val="left" w:pos="1080"/>
        </w:tabs>
        <w:rPr>
          <w:rFonts w:ascii="Courier New" w:eastAsia="Courier New" w:hAnsi="Courier New" w:cs="Courier New"/>
        </w:rPr>
      </w:pPr>
    </w:p>
    <w:p w:rsidR="00F42071" w14:paraId="68E081A2"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u w:val="single"/>
        </w:rPr>
        <w:t>Exceptions to "Certification for Paperwork Reduction Submissions</w:t>
      </w:r>
      <w:r>
        <w:rPr>
          <w:rFonts w:ascii="Courier New" w:eastAsia="Courier New" w:hAnsi="Courier New" w:cs="Courier New"/>
        </w:rPr>
        <w:t>." There is no exception to the certification statement.</w:t>
      </w:r>
    </w:p>
    <w:p w:rsidR="00F42071" w14:paraId="07DA0410" w14:textId="77777777">
      <w:pPr>
        <w:widowControl w:val="0"/>
        <w:tabs>
          <w:tab w:val="left" w:pos="360"/>
          <w:tab w:val="left" w:pos="720"/>
          <w:tab w:val="left" w:pos="1080"/>
        </w:tabs>
        <w:rPr>
          <w:rFonts w:ascii="Courier New" w:eastAsia="Courier New" w:hAnsi="Courier New" w:cs="Courier New"/>
        </w:rPr>
      </w:pPr>
    </w:p>
    <w:p w:rsidR="00F42071" w14:paraId="51DA95FB"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Surveys, Censuses, and Other Collections that Employ Statistical Methods</w:t>
      </w:r>
      <w:r>
        <w:rPr>
          <w:rFonts w:ascii="Courier New" w:eastAsia="Courier New" w:hAnsi="Courier New" w:cs="Courier New"/>
        </w:rPr>
        <w:t>. Statistical methods are not used in this information collection. A Part B supporting statement is not needed, or required, and therefore was not completed.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F52A1A"/>
    <w:multiLevelType w:val="multilevel"/>
    <w:tmpl w:val="E7A06EE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667F5FBD"/>
    <w:multiLevelType w:val="multilevel"/>
    <w:tmpl w:val="5E9E68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FBE1DB9"/>
    <w:multiLevelType w:val="multilevel"/>
    <w:tmpl w:val="E914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5202028">
    <w:abstractNumId w:val="1"/>
  </w:num>
  <w:num w:numId="2" w16cid:durableId="323969778">
    <w:abstractNumId w:val="2"/>
  </w:num>
  <w:num w:numId="3" w16cid:durableId="57589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71"/>
    <w:rsid w:val="002A4E8C"/>
    <w:rsid w:val="003C2F33"/>
    <w:rsid w:val="005C50A7"/>
    <w:rsid w:val="00A13F70"/>
    <w:rsid w:val="00C4452E"/>
    <w:rsid w:val="00F420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62592"/>
  <w15:docId w15:val="{A3BBDBB6-398A-4251-875F-9A70E1F2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m.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1033</Words>
  <Characters>5889</Characters>
  <Application>Microsoft Office Word</Application>
  <DocSecurity>0</DocSecurity>
  <Lines>49</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5</cp:revision>
  <dcterms:created xsi:type="dcterms:W3CDTF">2024-03-22T23:26:00Z</dcterms:created>
  <dcterms:modified xsi:type="dcterms:W3CDTF">2024-06-24T17:39:00Z</dcterms:modified>
</cp:coreProperties>
</file>