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413E" w:rsidRPr="00020F66" w:rsidP="006622D4" w14:paraId="6330920F" w14:textId="0BAAC08F">
      <w:pPr>
        <w:jc w:val="center"/>
        <w:rPr>
          <w:b/>
          <w:sz w:val="24"/>
          <w:szCs w:val="24"/>
        </w:rPr>
      </w:pPr>
      <w:r w:rsidRPr="00020F66">
        <w:rPr>
          <w:b/>
          <w:sz w:val="24"/>
          <w:szCs w:val="24"/>
        </w:rPr>
        <w:t>20</w:t>
      </w:r>
      <w:r w:rsidR="00334C6B">
        <w:rPr>
          <w:b/>
          <w:sz w:val="24"/>
          <w:szCs w:val="24"/>
        </w:rPr>
        <w:t>2</w:t>
      </w:r>
      <w:r w:rsidR="00122EB3">
        <w:rPr>
          <w:b/>
          <w:sz w:val="24"/>
          <w:szCs w:val="24"/>
        </w:rPr>
        <w:t>4</w:t>
      </w:r>
      <w:r w:rsidRPr="00020F66">
        <w:rPr>
          <w:b/>
          <w:sz w:val="24"/>
          <w:szCs w:val="24"/>
        </w:rPr>
        <w:t xml:space="preserve"> SUPPORTING STATEMENT</w:t>
      </w:r>
    </w:p>
    <w:p w:rsidR="005E413E" w:rsidRPr="00020F66" w:rsidP="006622D4" w14:paraId="596025AF" w14:textId="77777777">
      <w:pPr>
        <w:jc w:val="center"/>
        <w:rPr>
          <w:b/>
          <w:sz w:val="24"/>
          <w:szCs w:val="24"/>
        </w:rPr>
      </w:pPr>
    </w:p>
    <w:p w:rsidR="005E413E" w:rsidRPr="00020F66" w:rsidP="006622D4" w14:paraId="58929B6A" w14:textId="21888B37">
      <w:pPr>
        <w:jc w:val="center"/>
        <w:rPr>
          <w:b/>
          <w:sz w:val="24"/>
          <w:szCs w:val="24"/>
        </w:rPr>
      </w:pPr>
      <w:r w:rsidRPr="00FC7A65">
        <w:rPr>
          <w:b/>
          <w:sz w:val="24"/>
          <w:szCs w:val="24"/>
        </w:rPr>
        <w:t>Generic Clearance for Application Information and Follow-up Information for Fellowships, Scholarships, Internships, and Training Programs</w:t>
      </w:r>
    </w:p>
    <w:p w:rsidR="005E413E" w:rsidRPr="00020F66" w:rsidP="006622D4" w14:paraId="0B61207B" w14:textId="3F89C483">
      <w:pPr>
        <w:jc w:val="center"/>
        <w:rPr>
          <w:b/>
          <w:sz w:val="24"/>
          <w:szCs w:val="24"/>
        </w:rPr>
      </w:pPr>
      <w:r w:rsidRPr="00020F66">
        <w:rPr>
          <w:b/>
          <w:sz w:val="24"/>
          <w:szCs w:val="24"/>
        </w:rPr>
        <w:t xml:space="preserve">OMB # </w:t>
      </w:r>
      <w:r w:rsidR="00D23E91">
        <w:rPr>
          <w:b/>
          <w:sz w:val="24"/>
          <w:szCs w:val="24"/>
        </w:rPr>
        <w:t>0503</w:t>
      </w:r>
      <w:r w:rsidR="00FC7A65">
        <w:rPr>
          <w:b/>
          <w:sz w:val="24"/>
          <w:szCs w:val="24"/>
        </w:rPr>
        <w:t>-NEW</w:t>
      </w:r>
    </w:p>
    <w:p w:rsidR="005E413E" w:rsidRPr="00020F66" w:rsidP="006622D4" w14:paraId="2827C289" w14:textId="77777777">
      <w:pPr>
        <w:jc w:val="both"/>
        <w:rPr>
          <w:b/>
          <w:sz w:val="24"/>
          <w:szCs w:val="24"/>
          <w:u w:val="single"/>
        </w:rPr>
      </w:pPr>
    </w:p>
    <w:p w:rsidR="005E413E" w:rsidRPr="00020F66" w:rsidP="006622D4" w14:paraId="185ECFEC" w14:textId="77777777">
      <w:pPr>
        <w:jc w:val="both"/>
        <w:rPr>
          <w:b/>
          <w:sz w:val="24"/>
          <w:szCs w:val="24"/>
          <w:u w:val="single"/>
        </w:rPr>
      </w:pPr>
    </w:p>
    <w:p w:rsidR="00071F56" w:rsidRPr="00020F66" w:rsidP="006622D4" w14:paraId="085B5586" w14:textId="77777777">
      <w:pPr>
        <w:rPr>
          <w:b/>
          <w:sz w:val="24"/>
          <w:szCs w:val="24"/>
        </w:rPr>
      </w:pPr>
      <w:r w:rsidRPr="00020F66">
        <w:rPr>
          <w:b/>
          <w:sz w:val="24"/>
          <w:szCs w:val="24"/>
          <w:u w:val="single"/>
        </w:rPr>
        <w:t>Terms of Clearance</w:t>
      </w:r>
      <w:r w:rsidRPr="00020F66">
        <w:rPr>
          <w:b/>
          <w:sz w:val="24"/>
          <w:szCs w:val="24"/>
        </w:rPr>
        <w:t>:</w:t>
      </w:r>
    </w:p>
    <w:p w:rsidR="00707851" w:rsidP="006622D4" w14:paraId="32EC9F6A" w14:textId="77777777">
      <w:pPr>
        <w:rPr>
          <w:b/>
          <w:sz w:val="24"/>
          <w:szCs w:val="24"/>
        </w:rPr>
      </w:pPr>
    </w:p>
    <w:p w:rsidR="00071F56" w:rsidP="00707851" w14:paraId="3AAC8604" w14:textId="77777777">
      <w:pPr>
        <w:numPr>
          <w:ilvl w:val="0"/>
          <w:numId w:val="24"/>
        </w:numPr>
        <w:rPr>
          <w:b/>
          <w:sz w:val="24"/>
          <w:szCs w:val="24"/>
        </w:rPr>
      </w:pPr>
      <w:r w:rsidRPr="00020F66">
        <w:rPr>
          <w:b/>
          <w:sz w:val="24"/>
          <w:szCs w:val="24"/>
        </w:rPr>
        <w:t>Justification</w:t>
      </w:r>
    </w:p>
    <w:p w:rsidR="00071F56" w:rsidRPr="00C67BEA" w:rsidP="00C67BEA" w14:paraId="079E1F7F" w14:textId="77777777">
      <w:pPr>
        <w:rPr>
          <w:bCs/>
          <w:sz w:val="24"/>
          <w:szCs w:val="24"/>
        </w:rPr>
      </w:pPr>
    </w:p>
    <w:p w:rsidR="00243432" w:rsidRPr="00A33FC8" w:rsidP="00A33FC8" w14:paraId="582B0F05" w14:textId="487E1CB7">
      <w:pPr>
        <w:pStyle w:val="ListParagraph"/>
        <w:numPr>
          <w:ilvl w:val="0"/>
          <w:numId w:val="26"/>
        </w:numPr>
        <w:rPr>
          <w:b/>
          <w:sz w:val="24"/>
          <w:szCs w:val="24"/>
        </w:rPr>
      </w:pPr>
      <w:r w:rsidRPr="00A33FC8">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33FC8">
        <w:rPr>
          <w:b/>
          <w:sz w:val="24"/>
          <w:szCs w:val="24"/>
        </w:rPr>
        <w:t>.</w:t>
      </w:r>
    </w:p>
    <w:p w:rsidR="00243432" w:rsidRPr="00020F66" w:rsidP="006622D4" w14:paraId="06EC2263" w14:textId="77777777">
      <w:pPr>
        <w:rPr>
          <w:b/>
          <w:sz w:val="24"/>
          <w:szCs w:val="24"/>
        </w:rPr>
      </w:pPr>
    </w:p>
    <w:p w:rsidR="00DD6616" w:rsidP="607EC03F" w14:paraId="2BEFF533" w14:textId="2EA991D8">
      <w:pPr>
        <w:ind w:left="720"/>
        <w:rPr>
          <w:sz w:val="24"/>
          <w:szCs w:val="24"/>
        </w:rPr>
      </w:pPr>
      <w:r w:rsidRPr="607EC03F">
        <w:rPr>
          <w:sz w:val="24"/>
          <w:szCs w:val="24"/>
        </w:rPr>
        <w:t>This is a new generic information collection request seeking approval for 3 years.  The request “</w:t>
      </w:r>
      <w:r w:rsidRPr="004E3223" w:rsidR="004E3223">
        <w:rPr>
          <w:sz w:val="24"/>
          <w:szCs w:val="24"/>
        </w:rPr>
        <w:t>Generic Clearance for Application Information and Follow-up Information for Fellowships, Scholarships, Internships, and Training Programs</w:t>
      </w:r>
      <w:r w:rsidRPr="607EC03F">
        <w:rPr>
          <w:sz w:val="24"/>
          <w:szCs w:val="24"/>
        </w:rPr>
        <w:t xml:space="preserve">” supports the Office of Partnerships and Public Engagement’s (OPPE) mission to connect rural and underserved </w:t>
      </w:r>
      <w:r w:rsidRPr="607EC03F" w:rsidR="00546523">
        <w:rPr>
          <w:sz w:val="24"/>
          <w:szCs w:val="24"/>
        </w:rPr>
        <w:t>communities to</w:t>
      </w:r>
      <w:r w:rsidRPr="607EC03F">
        <w:rPr>
          <w:sz w:val="24"/>
          <w:szCs w:val="24"/>
        </w:rPr>
        <w:t xml:space="preserve"> the education, tools, and resources available to them through Department of Agriculture programs and initiatives.  OPPE coordinates outreach activities, including fellowship programs, scholarship programs, internship programs, and new initiatives that the Secretary of Agriculture deems appropriate on behalf of the Department’s agencies, offices, divisions, and units (7 U.S.C. 6934(c)).  </w:t>
      </w:r>
    </w:p>
    <w:p w:rsidR="00C67BEA" w:rsidP="00C67BEA" w14:paraId="2F9E7913" w14:textId="77777777">
      <w:pPr>
        <w:ind w:left="720"/>
        <w:rPr>
          <w:bCs/>
          <w:sz w:val="24"/>
          <w:szCs w:val="24"/>
        </w:rPr>
      </w:pPr>
    </w:p>
    <w:p w:rsidR="00C67BEA" w:rsidP="607EC03F" w14:paraId="6D9795AE" w14:textId="0703CEE5">
      <w:pPr>
        <w:ind w:left="720"/>
        <w:rPr>
          <w:sz w:val="24"/>
          <w:szCs w:val="24"/>
        </w:rPr>
      </w:pPr>
      <w:r w:rsidRPr="607EC03F">
        <w:rPr>
          <w:sz w:val="24"/>
          <w:szCs w:val="24"/>
        </w:rPr>
        <w:t xml:space="preserve">Application and supporting documentation involving fellows, scholars, interns, and trainees are necessary for OPPE to effectively coordinate services provided by the Department.  In addition, follow-up surveys administered to fellows, scholars, interns, and trainees upon completion of their respective programs are necessary to ensure that USDA is designing and implementing these programs effectively.  </w:t>
      </w:r>
    </w:p>
    <w:p w:rsidR="00C67BEA" w:rsidP="00C67BEA" w14:paraId="6B5634DC" w14:textId="77777777">
      <w:pPr>
        <w:ind w:left="720"/>
        <w:rPr>
          <w:bCs/>
          <w:sz w:val="24"/>
          <w:szCs w:val="24"/>
        </w:rPr>
      </w:pPr>
    </w:p>
    <w:p w:rsidR="00C67BEA" w:rsidRPr="00707851" w:rsidP="607EC03F" w14:paraId="6536D77A" w14:textId="4B98AE40">
      <w:pPr>
        <w:ind w:left="720"/>
        <w:rPr>
          <w:sz w:val="24"/>
          <w:szCs w:val="24"/>
        </w:rPr>
      </w:pPr>
      <w:r w:rsidRPr="607EC03F">
        <w:rPr>
          <w:sz w:val="24"/>
          <w:szCs w:val="24"/>
        </w:rPr>
        <w:t xml:space="preserve">Applicants may possess a variety of degrees including, but not limited to, high school, post-baccalaureate, graduate, and doctorates.  Potential applicants may apply for a variety of USDA opportunities by submitting applications, resumes, curriculum vitae (CV), reference letters, and other related documentation to OPPE or directly to USDA offices.  This information is necessary to evaluate the eligibility, merits, and quality of potential candidates and will also assist in matching potential candidates to various fellowships, scholarships, internships, and training programs.  </w:t>
      </w:r>
    </w:p>
    <w:p w:rsidR="00C67BEA" w:rsidP="00561E1F" w14:paraId="03F55165" w14:textId="77777777">
      <w:pPr>
        <w:ind w:left="720"/>
        <w:rPr>
          <w:bCs/>
          <w:sz w:val="24"/>
          <w:szCs w:val="24"/>
        </w:rPr>
      </w:pPr>
    </w:p>
    <w:p w:rsidR="00086A09" w:rsidP="00C67BEA" w14:paraId="75403CA5" w14:textId="77777777">
      <w:pPr>
        <w:ind w:left="720"/>
        <w:rPr>
          <w:bCs/>
          <w:sz w:val="24"/>
          <w:szCs w:val="24"/>
        </w:rPr>
      </w:pPr>
      <w:bookmarkStart w:id="0" w:name="_Hlk158027089"/>
      <w:bookmarkStart w:id="1" w:name="_Hlk158027691"/>
      <w:r w:rsidRPr="00C67BEA">
        <w:rPr>
          <w:bCs/>
          <w:sz w:val="24"/>
          <w:szCs w:val="24"/>
        </w:rPr>
        <w:t xml:space="preserve">This proposed generic collection will allow diverse </w:t>
      </w:r>
      <w:r>
        <w:rPr>
          <w:bCs/>
          <w:sz w:val="24"/>
          <w:szCs w:val="24"/>
        </w:rPr>
        <w:t xml:space="preserve">USDA </w:t>
      </w:r>
      <w:r w:rsidRPr="00C67BEA">
        <w:rPr>
          <w:bCs/>
          <w:sz w:val="24"/>
          <w:szCs w:val="24"/>
        </w:rPr>
        <w:t>programs to mature and change the application content, while also accepting the development of ne</w:t>
      </w:r>
      <w:r w:rsidR="00ED05A1">
        <w:rPr>
          <w:bCs/>
          <w:sz w:val="24"/>
          <w:szCs w:val="24"/>
        </w:rPr>
        <w:t>w</w:t>
      </w:r>
      <w:r w:rsidRPr="00C67BEA">
        <w:rPr>
          <w:bCs/>
          <w:sz w:val="24"/>
          <w:szCs w:val="24"/>
        </w:rPr>
        <w:t xml:space="preserve"> </w:t>
      </w:r>
      <w:r w:rsidR="00ED05A1">
        <w:rPr>
          <w:bCs/>
          <w:sz w:val="24"/>
          <w:szCs w:val="24"/>
        </w:rPr>
        <w:t>fellowship, scholarship, and training programs</w:t>
      </w:r>
      <w:r>
        <w:rPr>
          <w:bCs/>
          <w:sz w:val="24"/>
          <w:szCs w:val="24"/>
        </w:rPr>
        <w:t>.</w:t>
      </w:r>
      <w:r w:rsidRPr="00C67BEA">
        <w:rPr>
          <w:bCs/>
          <w:sz w:val="24"/>
          <w:szCs w:val="24"/>
        </w:rPr>
        <w:t xml:space="preserve">  </w:t>
      </w:r>
      <w:r w:rsidR="002424A0">
        <w:rPr>
          <w:bCs/>
          <w:sz w:val="24"/>
          <w:szCs w:val="24"/>
        </w:rPr>
        <w:t xml:space="preserve">Similarly, this proposed generic collection will allow programs to tailor their </w:t>
      </w:r>
      <w:r>
        <w:rPr>
          <w:bCs/>
          <w:sz w:val="24"/>
          <w:szCs w:val="24"/>
        </w:rPr>
        <w:t xml:space="preserve">information collection instruments </w:t>
      </w:r>
      <w:r w:rsidR="002424A0">
        <w:rPr>
          <w:bCs/>
          <w:sz w:val="24"/>
          <w:szCs w:val="24"/>
        </w:rPr>
        <w:t xml:space="preserve">to </w:t>
      </w:r>
      <w:r>
        <w:rPr>
          <w:bCs/>
          <w:sz w:val="24"/>
          <w:szCs w:val="24"/>
        </w:rPr>
        <w:t xml:space="preserve">meet the needs of their respective </w:t>
      </w:r>
      <w:r w:rsidR="002424A0">
        <w:rPr>
          <w:bCs/>
          <w:sz w:val="24"/>
          <w:szCs w:val="24"/>
        </w:rPr>
        <w:t>program</w:t>
      </w:r>
      <w:r w:rsidR="00116222">
        <w:rPr>
          <w:bCs/>
          <w:sz w:val="24"/>
          <w:szCs w:val="24"/>
        </w:rPr>
        <w:t>s</w:t>
      </w:r>
      <w:r>
        <w:rPr>
          <w:bCs/>
          <w:sz w:val="24"/>
          <w:szCs w:val="24"/>
        </w:rPr>
        <w:t xml:space="preserve">.  </w:t>
      </w:r>
    </w:p>
    <w:p w:rsidR="00086A09" w:rsidP="00C67BEA" w14:paraId="3C63858B" w14:textId="77777777">
      <w:pPr>
        <w:ind w:left="720"/>
        <w:rPr>
          <w:bCs/>
          <w:sz w:val="24"/>
          <w:szCs w:val="24"/>
        </w:rPr>
      </w:pPr>
    </w:p>
    <w:bookmarkEnd w:id="0"/>
    <w:p w:rsidR="00285B63" w:rsidP="00285B63" w14:paraId="51070C39" w14:textId="77777777">
      <w:pPr>
        <w:ind w:left="720"/>
        <w:rPr>
          <w:bCs/>
          <w:sz w:val="24"/>
          <w:szCs w:val="24"/>
        </w:rPr>
      </w:pPr>
      <w:r>
        <w:rPr>
          <w:bCs/>
          <w:sz w:val="24"/>
          <w:szCs w:val="24"/>
        </w:rPr>
        <w:t xml:space="preserve">This information collection will </w:t>
      </w:r>
      <w:bookmarkStart w:id="2" w:name="_Hlk158027071"/>
      <w:r w:rsidR="008D0406">
        <w:rPr>
          <w:bCs/>
          <w:sz w:val="24"/>
          <w:szCs w:val="24"/>
        </w:rPr>
        <w:t xml:space="preserve">also </w:t>
      </w:r>
      <w:r>
        <w:rPr>
          <w:bCs/>
          <w:sz w:val="24"/>
          <w:szCs w:val="24"/>
        </w:rPr>
        <w:t xml:space="preserve">enable USDA to collect </w:t>
      </w:r>
      <w:r w:rsidRPr="00086A09">
        <w:rPr>
          <w:bCs/>
          <w:sz w:val="24"/>
          <w:szCs w:val="24"/>
        </w:rPr>
        <w:t xml:space="preserve">qualitative </w:t>
      </w:r>
      <w:r>
        <w:rPr>
          <w:bCs/>
          <w:sz w:val="24"/>
          <w:szCs w:val="24"/>
        </w:rPr>
        <w:t xml:space="preserve">participant </w:t>
      </w:r>
      <w:r w:rsidRPr="00086A09">
        <w:rPr>
          <w:bCs/>
          <w:sz w:val="24"/>
          <w:szCs w:val="24"/>
        </w:rPr>
        <w:t>feedback in an efficient, timely manner, in accordance with the Administration's commitment to</w:t>
      </w:r>
      <w:r>
        <w:rPr>
          <w:bCs/>
          <w:sz w:val="24"/>
          <w:szCs w:val="24"/>
        </w:rPr>
        <w:t xml:space="preserve"> providing career pathways to Federal positions</w:t>
      </w:r>
      <w:r w:rsidRPr="00086A09">
        <w:rPr>
          <w:bCs/>
          <w:sz w:val="24"/>
          <w:szCs w:val="24"/>
        </w:rPr>
        <w:t xml:space="preserve">. </w:t>
      </w:r>
      <w:r w:rsidR="00ED05A1">
        <w:rPr>
          <w:bCs/>
          <w:sz w:val="24"/>
          <w:szCs w:val="24"/>
        </w:rPr>
        <w:t>Participant</w:t>
      </w:r>
      <w:r>
        <w:rPr>
          <w:bCs/>
          <w:sz w:val="24"/>
          <w:szCs w:val="24"/>
        </w:rPr>
        <w:t xml:space="preserve"> feedback </w:t>
      </w:r>
      <w:r w:rsidR="00ED05A1">
        <w:rPr>
          <w:bCs/>
          <w:sz w:val="24"/>
          <w:szCs w:val="24"/>
        </w:rPr>
        <w:t xml:space="preserve">surveys </w:t>
      </w:r>
      <w:r>
        <w:rPr>
          <w:bCs/>
          <w:sz w:val="24"/>
          <w:szCs w:val="24"/>
        </w:rPr>
        <w:t>will provide</w:t>
      </w:r>
      <w:r w:rsidRPr="00086A09">
        <w:rPr>
          <w:bCs/>
          <w:sz w:val="24"/>
          <w:szCs w:val="24"/>
        </w:rPr>
        <w:t xml:space="preserve"> useful insights on perceptions and opinions but</w:t>
      </w:r>
      <w:r>
        <w:rPr>
          <w:bCs/>
          <w:sz w:val="24"/>
          <w:szCs w:val="24"/>
        </w:rPr>
        <w:t xml:space="preserve"> will not be</w:t>
      </w:r>
      <w:r w:rsidRPr="00086A09">
        <w:rPr>
          <w:bCs/>
          <w:sz w:val="24"/>
          <w:szCs w:val="24"/>
        </w:rPr>
        <w:t xml:space="preserve"> statistical surveys that yield quantitative results that can be generalized to the population of study. This feedback will provide insights into </w:t>
      </w:r>
      <w:r>
        <w:rPr>
          <w:bCs/>
          <w:sz w:val="24"/>
          <w:szCs w:val="24"/>
        </w:rPr>
        <w:t>participant</w:t>
      </w:r>
      <w:r w:rsidRPr="00086A09">
        <w:rPr>
          <w:bCs/>
          <w:sz w:val="24"/>
          <w:szCs w:val="24"/>
        </w:rPr>
        <w:t xml:space="preserve"> perceptions, experiences, and expectations; provide an early warning of issues with </w:t>
      </w:r>
      <w:r>
        <w:rPr>
          <w:bCs/>
          <w:sz w:val="24"/>
          <w:szCs w:val="24"/>
        </w:rPr>
        <w:t>participant placement</w:t>
      </w:r>
      <w:r w:rsidRPr="00086A09">
        <w:rPr>
          <w:bCs/>
          <w:sz w:val="24"/>
          <w:szCs w:val="24"/>
        </w:rPr>
        <w:t xml:space="preserve">; or focus attention on areas where communication, training, or changes, in operations might improve </w:t>
      </w:r>
      <w:r>
        <w:rPr>
          <w:bCs/>
          <w:sz w:val="24"/>
          <w:szCs w:val="24"/>
        </w:rPr>
        <w:t>program participation and conversion to Federal service.</w:t>
      </w:r>
      <w:r w:rsidRPr="00086A09">
        <w:rPr>
          <w:bCs/>
          <w:sz w:val="24"/>
          <w:szCs w:val="24"/>
        </w:rPr>
        <w:t xml:space="preserve"> </w:t>
      </w:r>
      <w:bookmarkEnd w:id="2"/>
      <w:r w:rsidRPr="00086A09">
        <w:rPr>
          <w:bCs/>
          <w:sz w:val="24"/>
          <w:szCs w:val="24"/>
        </w:rPr>
        <w:t xml:space="preserve">These collections </w:t>
      </w:r>
      <w:r>
        <w:rPr>
          <w:bCs/>
          <w:sz w:val="24"/>
          <w:szCs w:val="24"/>
        </w:rPr>
        <w:t xml:space="preserve">will </w:t>
      </w:r>
      <w:r w:rsidRPr="00086A09">
        <w:rPr>
          <w:bCs/>
          <w:sz w:val="24"/>
          <w:szCs w:val="24"/>
        </w:rPr>
        <w:t>contribute directly to the improvement of program management.</w:t>
      </w:r>
    </w:p>
    <w:p w:rsidR="00285B63" w:rsidP="00285B63" w14:paraId="166CC1AC" w14:textId="77777777">
      <w:pPr>
        <w:ind w:left="720"/>
        <w:rPr>
          <w:bCs/>
          <w:sz w:val="24"/>
          <w:szCs w:val="24"/>
        </w:rPr>
      </w:pPr>
    </w:p>
    <w:bookmarkEnd w:id="1"/>
    <w:p w:rsidR="00086A09" w:rsidP="00285B63" w14:paraId="654EAA97" w14:textId="77777777">
      <w:pPr>
        <w:ind w:left="720"/>
        <w:rPr>
          <w:bCs/>
          <w:sz w:val="24"/>
          <w:szCs w:val="24"/>
        </w:rPr>
      </w:pPr>
      <w:r>
        <w:rPr>
          <w:bCs/>
          <w:sz w:val="24"/>
          <w:szCs w:val="24"/>
        </w:rPr>
        <w:t>Finally, t</w:t>
      </w:r>
      <w:r w:rsidRPr="00086A09">
        <w:rPr>
          <w:bCs/>
          <w:sz w:val="24"/>
          <w:szCs w:val="24"/>
        </w:rPr>
        <w:t xml:space="preserve">his generic clearance process allows programs an abbreviated PRA clearance process to gather a tailored pool of candidates to meet the education needs of a rapidly changing workforce and assess the extent to which programs are meeting </w:t>
      </w:r>
      <w:r w:rsidR="00564409">
        <w:rPr>
          <w:bCs/>
          <w:sz w:val="24"/>
          <w:szCs w:val="24"/>
        </w:rPr>
        <w:t>participant</w:t>
      </w:r>
      <w:r w:rsidRPr="00086A09">
        <w:rPr>
          <w:bCs/>
          <w:sz w:val="24"/>
          <w:szCs w:val="24"/>
        </w:rPr>
        <w:t xml:space="preserve"> needs.  In addition, this clearance would allow for central administration of the PRA Clearance process, form sharing among programs, and potentially fewer online application and </w:t>
      </w:r>
      <w:r>
        <w:rPr>
          <w:bCs/>
          <w:sz w:val="24"/>
          <w:szCs w:val="24"/>
        </w:rPr>
        <w:t>participant feedback systems at</w:t>
      </w:r>
      <w:r w:rsidRPr="00086A09">
        <w:rPr>
          <w:bCs/>
          <w:sz w:val="24"/>
          <w:szCs w:val="24"/>
        </w:rPr>
        <w:t xml:space="preserve"> USDA.</w:t>
      </w:r>
    </w:p>
    <w:p w:rsidR="00C67BEA" w:rsidRPr="00C67BEA" w:rsidP="00285B63" w14:paraId="15F34B29" w14:textId="77777777">
      <w:pPr>
        <w:rPr>
          <w:bCs/>
          <w:sz w:val="24"/>
          <w:szCs w:val="24"/>
        </w:rPr>
      </w:pPr>
    </w:p>
    <w:p w:rsidR="00561E1F" w:rsidRPr="00020F66" w:rsidP="00561E1F" w14:paraId="31971161" w14:textId="77777777">
      <w:pPr>
        <w:ind w:left="720"/>
        <w:rPr>
          <w:b/>
          <w:sz w:val="24"/>
          <w:szCs w:val="24"/>
        </w:rPr>
      </w:pPr>
    </w:p>
    <w:p w:rsidR="00071F56" w:rsidRPr="00A33FC8" w:rsidP="00A33FC8" w14:paraId="0B827388" w14:textId="752834C9">
      <w:pPr>
        <w:pStyle w:val="ListParagraph"/>
        <w:numPr>
          <w:ilvl w:val="0"/>
          <w:numId w:val="26"/>
        </w:numPr>
        <w:rPr>
          <w:b/>
          <w:sz w:val="24"/>
          <w:szCs w:val="24"/>
        </w:rPr>
      </w:pPr>
      <w:r w:rsidRPr="00A33FC8">
        <w:rPr>
          <w:b/>
          <w:sz w:val="24"/>
          <w:szCs w:val="24"/>
        </w:rPr>
        <w:t>Indicate how, by whom, how frequently, and for what purpose the information is to be used.  Except for a new collection, indicate the actual use the agency has made of the information received from the current collection.</w:t>
      </w:r>
    </w:p>
    <w:p w:rsidR="00273B42" w:rsidRPr="00020F66" w:rsidP="006622D4" w14:paraId="2696F236" w14:textId="77777777">
      <w:pPr>
        <w:rPr>
          <w:b/>
          <w:sz w:val="24"/>
          <w:szCs w:val="24"/>
        </w:rPr>
      </w:pPr>
    </w:p>
    <w:p w:rsidR="00296458" w:rsidRPr="00961064" w:rsidP="00296458" w14:paraId="07D6D83D" w14:textId="77777777">
      <w:pPr>
        <w:ind w:left="720"/>
        <w:rPr>
          <w:bCs/>
          <w:sz w:val="24"/>
          <w:szCs w:val="24"/>
        </w:rPr>
      </w:pPr>
      <w:r w:rsidRPr="00961064">
        <w:rPr>
          <w:bCs/>
          <w:sz w:val="24"/>
          <w:szCs w:val="24"/>
        </w:rPr>
        <w:t xml:space="preserve">This generic clearance will permit </w:t>
      </w:r>
      <w:r w:rsidR="00AA7512">
        <w:rPr>
          <w:bCs/>
          <w:sz w:val="24"/>
          <w:szCs w:val="24"/>
        </w:rPr>
        <w:t xml:space="preserve">OPPE </w:t>
      </w:r>
      <w:r>
        <w:rPr>
          <w:bCs/>
          <w:sz w:val="24"/>
          <w:szCs w:val="24"/>
        </w:rPr>
        <w:t>to</w:t>
      </w:r>
      <w:r w:rsidRPr="00961064">
        <w:rPr>
          <w:bCs/>
          <w:sz w:val="24"/>
          <w:szCs w:val="24"/>
        </w:rPr>
        <w:t xml:space="preserve"> more efficiently collect applications and related documentation so that potential candidates may </w:t>
      </w:r>
      <w:r>
        <w:rPr>
          <w:bCs/>
          <w:sz w:val="24"/>
          <w:szCs w:val="24"/>
        </w:rPr>
        <w:t>receive consideration for</w:t>
      </w:r>
      <w:r w:rsidR="008760DB">
        <w:rPr>
          <w:bCs/>
          <w:sz w:val="24"/>
          <w:szCs w:val="24"/>
        </w:rPr>
        <w:t xml:space="preserve"> programs of their choice.  </w:t>
      </w:r>
      <w:r w:rsidRPr="00961064">
        <w:rPr>
          <w:bCs/>
          <w:sz w:val="24"/>
          <w:szCs w:val="24"/>
        </w:rPr>
        <w:t>It is important to ensure that applications are targeted</w:t>
      </w:r>
      <w:r w:rsidR="002F44C9">
        <w:rPr>
          <w:bCs/>
          <w:sz w:val="24"/>
          <w:szCs w:val="24"/>
        </w:rPr>
        <w:t>,</w:t>
      </w:r>
      <w:r w:rsidRPr="00961064">
        <w:rPr>
          <w:bCs/>
          <w:sz w:val="24"/>
          <w:szCs w:val="24"/>
        </w:rPr>
        <w:t xml:space="preserve"> streamlined, and work in conjunction with </w:t>
      </w:r>
      <w:r w:rsidR="001F0F18">
        <w:rPr>
          <w:bCs/>
          <w:sz w:val="24"/>
          <w:szCs w:val="24"/>
        </w:rPr>
        <w:t xml:space="preserve">the </w:t>
      </w:r>
      <w:r w:rsidR="00623419">
        <w:rPr>
          <w:bCs/>
          <w:sz w:val="24"/>
          <w:szCs w:val="24"/>
        </w:rPr>
        <w:t xml:space="preserve">respective </w:t>
      </w:r>
      <w:r w:rsidR="001F0F18">
        <w:rPr>
          <w:bCs/>
          <w:sz w:val="24"/>
          <w:szCs w:val="24"/>
        </w:rPr>
        <w:t xml:space="preserve">outreach </w:t>
      </w:r>
      <w:r w:rsidRPr="00961064">
        <w:rPr>
          <w:bCs/>
          <w:sz w:val="24"/>
          <w:szCs w:val="24"/>
        </w:rPr>
        <w:t xml:space="preserve">efforts of </w:t>
      </w:r>
      <w:r w:rsidR="00F063D1">
        <w:rPr>
          <w:bCs/>
          <w:sz w:val="24"/>
          <w:szCs w:val="24"/>
        </w:rPr>
        <w:t xml:space="preserve">USDA </w:t>
      </w:r>
      <w:r>
        <w:rPr>
          <w:bCs/>
          <w:sz w:val="24"/>
          <w:szCs w:val="24"/>
        </w:rPr>
        <w:t xml:space="preserve">agencies and mission areas.  </w:t>
      </w:r>
      <w:r w:rsidRPr="00961064">
        <w:rPr>
          <w:bCs/>
          <w:sz w:val="24"/>
          <w:szCs w:val="24"/>
        </w:rPr>
        <w:t xml:space="preserve">  </w:t>
      </w:r>
    </w:p>
    <w:p w:rsidR="00296458" w:rsidRPr="00961064" w:rsidP="00296458" w14:paraId="58324EBC" w14:textId="77777777">
      <w:pPr>
        <w:ind w:left="720"/>
        <w:rPr>
          <w:bCs/>
          <w:sz w:val="24"/>
          <w:szCs w:val="24"/>
        </w:rPr>
      </w:pPr>
    </w:p>
    <w:p w:rsidR="00296458" w:rsidP="00296458" w14:paraId="1D037371" w14:textId="77777777">
      <w:pPr>
        <w:ind w:left="720"/>
        <w:rPr>
          <w:bCs/>
          <w:sz w:val="24"/>
          <w:szCs w:val="24"/>
        </w:rPr>
      </w:pPr>
      <w:r w:rsidRPr="00961064">
        <w:rPr>
          <w:bCs/>
          <w:sz w:val="24"/>
          <w:szCs w:val="24"/>
        </w:rPr>
        <w:t>In addition, these generic applications would allow</w:t>
      </w:r>
      <w:r>
        <w:rPr>
          <w:bCs/>
          <w:sz w:val="24"/>
          <w:szCs w:val="24"/>
        </w:rPr>
        <w:t xml:space="preserve"> OPPE</w:t>
      </w:r>
      <w:r w:rsidRPr="00961064">
        <w:rPr>
          <w:bCs/>
          <w:sz w:val="24"/>
          <w:szCs w:val="24"/>
        </w:rPr>
        <w:t xml:space="preserve"> to make changes and modify application information and related documentation in a rapid fashion to accommodate changing needs, programs, and specialties.  The information collected </w:t>
      </w:r>
      <w:r w:rsidR="00BD3B97">
        <w:rPr>
          <w:bCs/>
          <w:sz w:val="24"/>
          <w:szCs w:val="24"/>
        </w:rPr>
        <w:t>would be used to</w:t>
      </w:r>
      <w:r w:rsidRPr="00961064">
        <w:rPr>
          <w:bCs/>
          <w:sz w:val="24"/>
          <w:szCs w:val="24"/>
        </w:rPr>
        <w:t xml:space="preserve"> assess the candidates and their potential match for the various fellowship, </w:t>
      </w:r>
      <w:r>
        <w:rPr>
          <w:bCs/>
          <w:sz w:val="24"/>
          <w:szCs w:val="24"/>
        </w:rPr>
        <w:t xml:space="preserve">scholarship, </w:t>
      </w:r>
      <w:r w:rsidR="00472EEF">
        <w:rPr>
          <w:bCs/>
          <w:sz w:val="24"/>
          <w:szCs w:val="24"/>
        </w:rPr>
        <w:t>and training</w:t>
      </w:r>
      <w:r>
        <w:rPr>
          <w:bCs/>
          <w:sz w:val="24"/>
          <w:szCs w:val="24"/>
        </w:rPr>
        <w:t xml:space="preserve"> programs.</w:t>
      </w:r>
    </w:p>
    <w:p w:rsidR="00296458" w:rsidP="00296458" w14:paraId="2870742B" w14:textId="77777777">
      <w:pPr>
        <w:ind w:left="720"/>
        <w:rPr>
          <w:bCs/>
          <w:sz w:val="24"/>
          <w:szCs w:val="24"/>
        </w:rPr>
      </w:pPr>
    </w:p>
    <w:p w:rsidR="00296458" w:rsidRPr="00961064" w:rsidP="00296458" w14:paraId="7D255F59" w14:textId="77777777">
      <w:pPr>
        <w:ind w:left="720"/>
        <w:rPr>
          <w:bCs/>
          <w:sz w:val="24"/>
          <w:szCs w:val="24"/>
        </w:rPr>
      </w:pPr>
      <w:r w:rsidRPr="00961064">
        <w:rPr>
          <w:bCs/>
          <w:sz w:val="24"/>
          <w:szCs w:val="24"/>
        </w:rPr>
        <w:t xml:space="preserve">A proposal for every </w:t>
      </w:r>
      <w:r w:rsidR="00DD4ACC">
        <w:rPr>
          <w:bCs/>
          <w:sz w:val="24"/>
          <w:szCs w:val="24"/>
        </w:rPr>
        <w:t>program application and feedback survey</w:t>
      </w:r>
      <w:r w:rsidRPr="00961064">
        <w:rPr>
          <w:bCs/>
          <w:sz w:val="24"/>
          <w:szCs w:val="24"/>
        </w:rPr>
        <w:t xml:space="preserve"> would be made through the Supporting Statement A Request Template (Attachment 1).</w:t>
      </w:r>
    </w:p>
    <w:p w:rsidR="00296458" w:rsidP="00296458" w14:paraId="1DC7CF59" w14:textId="77777777">
      <w:pPr>
        <w:ind w:left="720"/>
        <w:rPr>
          <w:bCs/>
          <w:sz w:val="24"/>
          <w:szCs w:val="24"/>
        </w:rPr>
      </w:pPr>
    </w:p>
    <w:p w:rsidR="00296458" w:rsidP="00296458" w14:paraId="156A401C" w14:textId="77777777">
      <w:pPr>
        <w:ind w:left="720"/>
        <w:rPr>
          <w:bCs/>
          <w:sz w:val="24"/>
          <w:szCs w:val="24"/>
        </w:rPr>
      </w:pPr>
      <w:r w:rsidRPr="00961064">
        <w:rPr>
          <w:bCs/>
          <w:sz w:val="24"/>
          <w:szCs w:val="24"/>
        </w:rPr>
        <w:t>The purpose of the proposed information collection activity is to:</w:t>
      </w:r>
    </w:p>
    <w:p w:rsidR="00296458" w:rsidRPr="00961064" w:rsidP="00296458" w14:paraId="282A1D2F" w14:textId="77777777">
      <w:pPr>
        <w:numPr>
          <w:ilvl w:val="0"/>
          <w:numId w:val="25"/>
        </w:numPr>
        <w:rPr>
          <w:bCs/>
          <w:sz w:val="24"/>
          <w:szCs w:val="24"/>
        </w:rPr>
      </w:pPr>
      <w:r w:rsidRPr="00961064">
        <w:rPr>
          <w:bCs/>
          <w:sz w:val="24"/>
          <w:szCs w:val="24"/>
        </w:rPr>
        <w:t xml:space="preserve">Assure that prospective candidates meet basic eligibility </w:t>
      </w:r>
      <w:r w:rsidRPr="00961064">
        <w:rPr>
          <w:bCs/>
          <w:sz w:val="24"/>
          <w:szCs w:val="24"/>
        </w:rPr>
        <w:t>requirements;</w:t>
      </w:r>
      <w:r w:rsidRPr="00961064">
        <w:rPr>
          <w:bCs/>
          <w:sz w:val="24"/>
          <w:szCs w:val="24"/>
        </w:rPr>
        <w:t xml:space="preserve"> </w:t>
      </w:r>
    </w:p>
    <w:p w:rsidR="00296458" w:rsidRPr="00961064" w:rsidP="00296458" w14:paraId="72AE5196" w14:textId="77777777">
      <w:pPr>
        <w:numPr>
          <w:ilvl w:val="0"/>
          <w:numId w:val="25"/>
        </w:numPr>
        <w:rPr>
          <w:bCs/>
          <w:sz w:val="24"/>
          <w:szCs w:val="24"/>
        </w:rPr>
      </w:pPr>
      <w:r w:rsidRPr="00961064">
        <w:rPr>
          <w:bCs/>
          <w:sz w:val="24"/>
          <w:szCs w:val="24"/>
        </w:rPr>
        <w:t xml:space="preserve">Assess their potential as future agriculture </w:t>
      </w:r>
      <w:r w:rsidRPr="00961064">
        <w:rPr>
          <w:bCs/>
          <w:sz w:val="24"/>
          <w:szCs w:val="24"/>
        </w:rPr>
        <w:t>professionals;</w:t>
      </w:r>
      <w:r w:rsidRPr="00961064">
        <w:rPr>
          <w:bCs/>
          <w:sz w:val="24"/>
          <w:szCs w:val="24"/>
        </w:rPr>
        <w:t xml:space="preserve"> </w:t>
      </w:r>
    </w:p>
    <w:p w:rsidR="00296458" w:rsidRPr="00961064" w:rsidP="00296458" w14:paraId="247CEC91" w14:textId="77777777">
      <w:pPr>
        <w:numPr>
          <w:ilvl w:val="0"/>
          <w:numId w:val="25"/>
        </w:numPr>
        <w:rPr>
          <w:bCs/>
          <w:sz w:val="24"/>
          <w:szCs w:val="24"/>
        </w:rPr>
      </w:pPr>
      <w:r w:rsidRPr="00961064">
        <w:rPr>
          <w:bCs/>
          <w:sz w:val="24"/>
          <w:szCs w:val="24"/>
        </w:rPr>
        <w:t xml:space="preserve">Determine where mutual project and program interests </w:t>
      </w:r>
      <w:r w:rsidRPr="00961064">
        <w:rPr>
          <w:bCs/>
          <w:sz w:val="24"/>
          <w:szCs w:val="24"/>
        </w:rPr>
        <w:t>exist;</w:t>
      </w:r>
      <w:r w:rsidRPr="00961064">
        <w:rPr>
          <w:bCs/>
          <w:sz w:val="24"/>
          <w:szCs w:val="24"/>
        </w:rPr>
        <w:t xml:space="preserve"> </w:t>
      </w:r>
    </w:p>
    <w:p w:rsidR="00296458" w:rsidRPr="00961064" w:rsidP="00296458" w14:paraId="678C40ED" w14:textId="77777777">
      <w:pPr>
        <w:numPr>
          <w:ilvl w:val="0"/>
          <w:numId w:val="25"/>
        </w:numPr>
        <w:rPr>
          <w:bCs/>
          <w:sz w:val="24"/>
          <w:szCs w:val="24"/>
        </w:rPr>
      </w:pPr>
      <w:r w:rsidRPr="00961064">
        <w:rPr>
          <w:bCs/>
          <w:sz w:val="24"/>
          <w:szCs w:val="24"/>
        </w:rPr>
        <w:t xml:space="preserve">Make decisions regarding which applicants will be recommended and approved for a variety of </w:t>
      </w:r>
      <w:r w:rsidR="000E1C18">
        <w:rPr>
          <w:bCs/>
          <w:sz w:val="24"/>
          <w:szCs w:val="24"/>
        </w:rPr>
        <w:t xml:space="preserve">scholarships, </w:t>
      </w:r>
      <w:r w:rsidRPr="00961064">
        <w:rPr>
          <w:bCs/>
          <w:sz w:val="24"/>
          <w:szCs w:val="24"/>
        </w:rPr>
        <w:t xml:space="preserve">fellowships, </w:t>
      </w:r>
      <w:r w:rsidR="00CE61D9">
        <w:rPr>
          <w:bCs/>
          <w:sz w:val="24"/>
          <w:szCs w:val="24"/>
        </w:rPr>
        <w:t xml:space="preserve">and </w:t>
      </w:r>
      <w:r w:rsidR="00CE61D9">
        <w:rPr>
          <w:bCs/>
          <w:sz w:val="24"/>
          <w:szCs w:val="24"/>
        </w:rPr>
        <w:t>trainings</w:t>
      </w:r>
      <w:r w:rsidRPr="00961064">
        <w:rPr>
          <w:bCs/>
          <w:sz w:val="24"/>
          <w:szCs w:val="24"/>
        </w:rPr>
        <w:t>;</w:t>
      </w:r>
      <w:r w:rsidRPr="00961064">
        <w:rPr>
          <w:bCs/>
          <w:sz w:val="24"/>
          <w:szCs w:val="24"/>
        </w:rPr>
        <w:t xml:space="preserve">     </w:t>
      </w:r>
    </w:p>
    <w:p w:rsidR="00296458" w:rsidRPr="00961064" w:rsidP="00296458" w14:paraId="0AA3C487" w14:textId="77777777">
      <w:pPr>
        <w:numPr>
          <w:ilvl w:val="0"/>
          <w:numId w:val="25"/>
        </w:numPr>
        <w:rPr>
          <w:bCs/>
          <w:sz w:val="24"/>
          <w:szCs w:val="24"/>
        </w:rPr>
      </w:pPr>
      <w:r w:rsidRPr="00961064">
        <w:rPr>
          <w:bCs/>
          <w:sz w:val="24"/>
          <w:szCs w:val="24"/>
        </w:rPr>
        <w:t>Assess the extent to which program recipients meet their intended goals and outcomes; and</w:t>
      </w:r>
    </w:p>
    <w:p w:rsidR="00296458" w:rsidRPr="00961064" w:rsidP="00296458" w14:paraId="47B72F42" w14:textId="77777777">
      <w:pPr>
        <w:numPr>
          <w:ilvl w:val="0"/>
          <w:numId w:val="25"/>
        </w:numPr>
        <w:rPr>
          <w:bCs/>
          <w:sz w:val="24"/>
          <w:szCs w:val="24"/>
        </w:rPr>
      </w:pPr>
      <w:r w:rsidRPr="00961064">
        <w:rPr>
          <w:bCs/>
          <w:sz w:val="24"/>
          <w:szCs w:val="24"/>
        </w:rPr>
        <w:t xml:space="preserve">Determine what changes may need to </w:t>
      </w:r>
      <w:r w:rsidR="002F4407">
        <w:rPr>
          <w:bCs/>
          <w:sz w:val="24"/>
          <w:szCs w:val="24"/>
        </w:rPr>
        <w:t>be made in</w:t>
      </w:r>
      <w:r w:rsidRPr="00961064">
        <w:rPr>
          <w:bCs/>
          <w:sz w:val="24"/>
          <w:szCs w:val="24"/>
        </w:rPr>
        <w:t xml:space="preserve"> designing or implementing these programs.  </w:t>
      </w:r>
    </w:p>
    <w:p w:rsidR="00296458" w:rsidRPr="00961064" w:rsidP="00296458" w14:paraId="599CC400" w14:textId="77777777">
      <w:pPr>
        <w:ind w:left="720"/>
        <w:rPr>
          <w:bCs/>
          <w:sz w:val="24"/>
          <w:szCs w:val="24"/>
        </w:rPr>
      </w:pPr>
    </w:p>
    <w:p w:rsidR="00DD4ACC" w:rsidP="00296458" w14:paraId="6E1829B6" w14:textId="77777777">
      <w:pPr>
        <w:ind w:left="720"/>
        <w:rPr>
          <w:bCs/>
          <w:sz w:val="24"/>
          <w:szCs w:val="24"/>
        </w:rPr>
      </w:pPr>
    </w:p>
    <w:p w:rsidR="00DD4ACC" w:rsidP="607EC03F" w14:paraId="300512AB" w14:textId="37099BC9">
      <w:pPr>
        <w:ind w:left="720"/>
        <w:rPr>
          <w:sz w:val="24"/>
          <w:szCs w:val="24"/>
        </w:rPr>
      </w:pPr>
      <w:r w:rsidRPr="607EC03F">
        <w:rPr>
          <w:sz w:val="24"/>
          <w:szCs w:val="24"/>
        </w:rPr>
        <w:t xml:space="preserve">Application information is for internal use to make decisions about candidates invited to visit and participate in USDA fellowships, scholarships, internships, and trainings.  Applications are accepted at various times during the fiscal year: annually, three (3) times a year, in the spring, summer, fall consistent with academic semesters, or on a rolling basis.   </w:t>
      </w:r>
    </w:p>
    <w:p w:rsidR="00DD4ACC" w:rsidP="00296458" w14:paraId="4DAA0529" w14:textId="77777777">
      <w:pPr>
        <w:ind w:left="720"/>
        <w:rPr>
          <w:bCs/>
          <w:sz w:val="24"/>
          <w:szCs w:val="24"/>
        </w:rPr>
      </w:pPr>
    </w:p>
    <w:p w:rsidR="00296458" w:rsidP="607EC03F" w14:paraId="0E94C3F9" w14:textId="2E784022">
      <w:pPr>
        <w:ind w:left="720"/>
        <w:rPr>
          <w:sz w:val="24"/>
          <w:szCs w:val="24"/>
        </w:rPr>
      </w:pPr>
      <w:r w:rsidRPr="607EC03F">
        <w:rPr>
          <w:sz w:val="24"/>
          <w:szCs w:val="24"/>
        </w:rPr>
        <w:t>Specific application information collected varies depending on the position, program, and length of the program.  Most applications collect information about personal information, citizenship information, educational history, academic or research interests, employment history and experience, and motivation in pursuing academic or career goals at USDA can assist in the review of the application.  In addition to an application, a cover letter, resume, CV, transcript, work and/or writing samples, personal statement, diversity statement, tax forms (if claiming financial disadvantage), and contact information for references may be requested.  Reference letters may be requested from academic advisors, counselors, professors, and other professionals to provide confirmation of an applicant’s degree and expected graduation date and/or previous experience.</w:t>
      </w:r>
    </w:p>
    <w:p w:rsidR="00561E1F" w:rsidP="00DD4ACC" w14:paraId="7C2EE545" w14:textId="77777777">
      <w:pPr>
        <w:rPr>
          <w:bCs/>
          <w:sz w:val="24"/>
          <w:szCs w:val="24"/>
        </w:rPr>
      </w:pPr>
    </w:p>
    <w:p w:rsidR="00086A09" w:rsidP="607EC03F" w14:paraId="2E1E82A7" w14:textId="255B38E8">
      <w:pPr>
        <w:ind w:left="720"/>
        <w:rPr>
          <w:sz w:val="24"/>
          <w:szCs w:val="24"/>
        </w:rPr>
      </w:pPr>
      <w:r w:rsidRPr="607EC03F">
        <w:rPr>
          <w:sz w:val="24"/>
          <w:szCs w:val="24"/>
        </w:rPr>
        <w:t xml:space="preserve">Feedback collected under this generic clearance is for internal use to inform future program design and assess performance.  Specific information that is collected varies depending on the position, program, and length of the applicable program.  Most participant feedback surveys collect information about the participant’s placement experience, the extent to which the program supported their respective goals, and the participant’s plans to pursue an agriculture-related career or postsecondary education.  Follow-up surveys are typically administered within 30 days of the conclusion of a fellowship, scholarship, or training program. Scholarship programs that are implemented over a 4-year period that consist of multiple internship opportunities may implement a follow-up survey one (1) year upon completion of the entire program, in addition to the surveys implemented upon completion of each year of the program, to assess participant perceptions of value and improve program operations.    </w:t>
      </w:r>
    </w:p>
    <w:p w:rsidR="00DD4ACC" w:rsidP="006622D4" w14:paraId="6386FA70" w14:textId="77777777">
      <w:pPr>
        <w:ind w:left="720"/>
        <w:rPr>
          <w:bCs/>
          <w:sz w:val="24"/>
          <w:szCs w:val="24"/>
        </w:rPr>
      </w:pPr>
    </w:p>
    <w:p w:rsidR="00DD4ACC" w:rsidP="006622D4" w14:paraId="4C427640" w14:textId="77777777">
      <w:pPr>
        <w:ind w:left="720"/>
        <w:rPr>
          <w:bCs/>
          <w:sz w:val="24"/>
          <w:szCs w:val="24"/>
        </w:rPr>
      </w:pPr>
      <w:r>
        <w:rPr>
          <w:bCs/>
          <w:sz w:val="24"/>
          <w:szCs w:val="24"/>
        </w:rPr>
        <w:t xml:space="preserve">All applications and </w:t>
      </w:r>
      <w:r w:rsidR="001845F6">
        <w:rPr>
          <w:bCs/>
          <w:sz w:val="24"/>
          <w:szCs w:val="24"/>
        </w:rPr>
        <w:t>participant feedback collections</w:t>
      </w:r>
      <w:r>
        <w:rPr>
          <w:bCs/>
          <w:sz w:val="24"/>
          <w:szCs w:val="24"/>
        </w:rPr>
        <w:t xml:space="preserve"> will be </w:t>
      </w:r>
      <w:r w:rsidRPr="00296458">
        <w:rPr>
          <w:bCs/>
          <w:sz w:val="24"/>
          <w:szCs w:val="24"/>
        </w:rPr>
        <w:t>voluntary, low-burden, non-controversial, and will not raise issues of concern to other Federal agencies.</w:t>
      </w:r>
      <w:r>
        <w:rPr>
          <w:bCs/>
          <w:sz w:val="24"/>
          <w:szCs w:val="24"/>
        </w:rPr>
        <w:t xml:space="preserve">  </w:t>
      </w:r>
    </w:p>
    <w:p w:rsidR="00C67BEA" w:rsidP="006622D4" w14:paraId="2CBF4DBE" w14:textId="77777777">
      <w:pPr>
        <w:ind w:left="720"/>
        <w:rPr>
          <w:bCs/>
          <w:sz w:val="24"/>
          <w:szCs w:val="24"/>
        </w:rPr>
      </w:pPr>
    </w:p>
    <w:p w:rsidR="00561E1F" w:rsidRPr="00020F66" w:rsidP="006622D4" w14:paraId="4216395B" w14:textId="77777777">
      <w:pPr>
        <w:ind w:left="720"/>
        <w:rPr>
          <w:b/>
          <w:sz w:val="24"/>
          <w:szCs w:val="24"/>
        </w:rPr>
      </w:pPr>
    </w:p>
    <w:p w:rsidR="00F83CCA" w:rsidRPr="00334C6B" w:rsidP="00A33FC8" w14:paraId="69A32EE6" w14:textId="77777777">
      <w:pPr>
        <w:numPr>
          <w:ilvl w:val="0"/>
          <w:numId w:val="26"/>
        </w:numPr>
        <w:rPr>
          <w:b/>
          <w:sz w:val="24"/>
          <w:szCs w:val="24"/>
        </w:rPr>
      </w:pPr>
      <w:r w:rsidRPr="00334C6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A08FD" w:rsidRPr="00020F66" w:rsidP="006622D4" w14:paraId="344B1B67" w14:textId="77777777">
      <w:pPr>
        <w:rPr>
          <w:b/>
          <w:sz w:val="24"/>
          <w:szCs w:val="24"/>
        </w:rPr>
      </w:pPr>
    </w:p>
    <w:p w:rsidR="00296458" w:rsidP="00296458" w14:paraId="4066FCD5" w14:textId="77777777">
      <w:pPr>
        <w:ind w:left="720"/>
        <w:rPr>
          <w:bCs/>
          <w:sz w:val="24"/>
          <w:szCs w:val="24"/>
        </w:rPr>
      </w:pPr>
      <w:r>
        <w:rPr>
          <w:bCs/>
          <w:sz w:val="24"/>
          <w:szCs w:val="24"/>
        </w:rPr>
        <w:t>Individuals</w:t>
      </w:r>
      <w:r>
        <w:rPr>
          <w:bCs/>
          <w:sz w:val="24"/>
          <w:szCs w:val="24"/>
        </w:rPr>
        <w:t xml:space="preserve"> can complete an application</w:t>
      </w:r>
      <w:r w:rsidR="002424A0">
        <w:rPr>
          <w:bCs/>
          <w:sz w:val="24"/>
          <w:szCs w:val="24"/>
        </w:rPr>
        <w:t xml:space="preserve"> and </w:t>
      </w:r>
      <w:r w:rsidR="001845F6">
        <w:rPr>
          <w:bCs/>
          <w:sz w:val="24"/>
          <w:szCs w:val="24"/>
        </w:rPr>
        <w:t>provide feedback</w:t>
      </w:r>
      <w:r>
        <w:rPr>
          <w:bCs/>
          <w:sz w:val="24"/>
          <w:szCs w:val="24"/>
        </w:rPr>
        <w:t xml:space="preserve"> online through an electronic </w:t>
      </w:r>
      <w:r w:rsidR="00641772">
        <w:rPr>
          <w:bCs/>
          <w:sz w:val="24"/>
          <w:szCs w:val="24"/>
        </w:rPr>
        <w:t xml:space="preserve">information collection </w:t>
      </w:r>
      <w:r>
        <w:rPr>
          <w:bCs/>
          <w:sz w:val="24"/>
          <w:szCs w:val="24"/>
        </w:rPr>
        <w:t xml:space="preserve">system, or through fillable PDFs submitted through email.  </w:t>
      </w:r>
    </w:p>
    <w:p w:rsidR="00296458" w:rsidP="00296458" w14:paraId="49FE5CFB" w14:textId="77777777">
      <w:pPr>
        <w:ind w:left="720"/>
        <w:rPr>
          <w:bCs/>
          <w:sz w:val="24"/>
          <w:szCs w:val="24"/>
        </w:rPr>
      </w:pPr>
    </w:p>
    <w:p w:rsidR="00C67BEA" w:rsidP="006622D4" w14:paraId="3E41EEB6" w14:textId="77777777">
      <w:pPr>
        <w:ind w:left="720"/>
        <w:rPr>
          <w:bCs/>
          <w:sz w:val="24"/>
          <w:szCs w:val="24"/>
        </w:rPr>
      </w:pPr>
      <w:r w:rsidRPr="00296458">
        <w:rPr>
          <w:bCs/>
          <w:sz w:val="24"/>
          <w:szCs w:val="24"/>
        </w:rPr>
        <w:t xml:space="preserve">Information collected is restricted </w:t>
      </w:r>
      <w:r>
        <w:rPr>
          <w:bCs/>
          <w:sz w:val="24"/>
          <w:szCs w:val="24"/>
        </w:rPr>
        <w:t xml:space="preserve">to USDA </w:t>
      </w:r>
      <w:r w:rsidRPr="00296458">
        <w:rPr>
          <w:bCs/>
          <w:sz w:val="24"/>
          <w:szCs w:val="24"/>
        </w:rPr>
        <w:t xml:space="preserve">account holders who are </w:t>
      </w:r>
      <w:r>
        <w:rPr>
          <w:bCs/>
          <w:sz w:val="24"/>
          <w:szCs w:val="24"/>
        </w:rPr>
        <w:t>the designated</w:t>
      </w:r>
      <w:r w:rsidRPr="00296458">
        <w:rPr>
          <w:bCs/>
          <w:sz w:val="24"/>
          <w:szCs w:val="24"/>
        </w:rPr>
        <w:t xml:space="preserve"> program officials who recommend or approve </w:t>
      </w:r>
      <w:r>
        <w:rPr>
          <w:bCs/>
          <w:sz w:val="24"/>
          <w:szCs w:val="24"/>
        </w:rPr>
        <w:t>awards</w:t>
      </w:r>
      <w:r w:rsidRPr="00296458">
        <w:rPr>
          <w:bCs/>
          <w:sz w:val="24"/>
          <w:szCs w:val="24"/>
        </w:rPr>
        <w:t xml:space="preserve"> and to administrative, human resources, and financial officials who prepare the necessary documentation to arrange for stipend payments and to activate the approved awards.  These authorized individuals will access their emails or the folders with restricted access through </w:t>
      </w:r>
      <w:r>
        <w:rPr>
          <w:bCs/>
          <w:sz w:val="24"/>
          <w:szCs w:val="24"/>
        </w:rPr>
        <w:t>USDA credentials</w:t>
      </w:r>
      <w:r w:rsidRPr="00296458">
        <w:rPr>
          <w:bCs/>
          <w:sz w:val="24"/>
          <w:szCs w:val="24"/>
        </w:rPr>
        <w:t xml:space="preserve">.  The </w:t>
      </w:r>
      <w:r w:rsidR="002424A0">
        <w:rPr>
          <w:bCs/>
          <w:sz w:val="24"/>
          <w:szCs w:val="24"/>
        </w:rPr>
        <w:t>information collected</w:t>
      </w:r>
      <w:r w:rsidRPr="00296458">
        <w:rPr>
          <w:bCs/>
          <w:sz w:val="24"/>
          <w:szCs w:val="24"/>
        </w:rPr>
        <w:t>, including the applicant</w:t>
      </w:r>
      <w:r w:rsidR="002424A0">
        <w:rPr>
          <w:bCs/>
          <w:sz w:val="24"/>
          <w:szCs w:val="24"/>
        </w:rPr>
        <w:t>/participant</w:t>
      </w:r>
      <w:r w:rsidRPr="00296458">
        <w:rPr>
          <w:bCs/>
          <w:sz w:val="24"/>
          <w:szCs w:val="24"/>
        </w:rPr>
        <w:t xml:space="preserve"> data, are stored on government-</w:t>
      </w:r>
      <w:r w:rsidRPr="00296458">
        <w:rPr>
          <w:bCs/>
          <w:sz w:val="24"/>
          <w:szCs w:val="24"/>
        </w:rPr>
        <w:t>issued desktop computers and information systems that are protected at all entry points by firewalls and intrusion detection devices.</w:t>
      </w:r>
    </w:p>
    <w:p w:rsidR="00086A09" w:rsidP="006622D4" w14:paraId="026F9AAE" w14:textId="77777777">
      <w:pPr>
        <w:ind w:left="720"/>
        <w:rPr>
          <w:bCs/>
          <w:sz w:val="24"/>
          <w:szCs w:val="24"/>
        </w:rPr>
      </w:pPr>
    </w:p>
    <w:p w:rsidR="00086A09" w:rsidP="006622D4" w14:paraId="0E8DC188" w14:textId="77777777">
      <w:pPr>
        <w:ind w:left="720"/>
        <w:rPr>
          <w:bCs/>
          <w:sz w:val="24"/>
          <w:szCs w:val="24"/>
        </w:rPr>
      </w:pPr>
      <w:r>
        <w:rPr>
          <w:bCs/>
          <w:sz w:val="24"/>
          <w:szCs w:val="24"/>
        </w:rPr>
        <w:t xml:space="preserve">USDA will make every attempt to enable applicants to submit their application and </w:t>
      </w:r>
      <w:r w:rsidR="00285B63">
        <w:rPr>
          <w:bCs/>
          <w:sz w:val="24"/>
          <w:szCs w:val="24"/>
        </w:rPr>
        <w:t xml:space="preserve">participant </w:t>
      </w:r>
      <w:r>
        <w:rPr>
          <w:bCs/>
          <w:sz w:val="24"/>
          <w:szCs w:val="24"/>
        </w:rPr>
        <w:t xml:space="preserve">feedback using </w:t>
      </w:r>
      <w:r w:rsidR="00852E50">
        <w:rPr>
          <w:bCs/>
          <w:sz w:val="24"/>
          <w:szCs w:val="24"/>
        </w:rPr>
        <w:t xml:space="preserve">up-to-date information technology to reduce burden.  </w:t>
      </w:r>
    </w:p>
    <w:p w:rsidR="00C67BEA" w:rsidP="006622D4" w14:paraId="6F463A59" w14:textId="77777777">
      <w:pPr>
        <w:ind w:left="720"/>
        <w:rPr>
          <w:bCs/>
          <w:sz w:val="24"/>
          <w:szCs w:val="24"/>
        </w:rPr>
      </w:pPr>
    </w:p>
    <w:p w:rsidR="00F83CCA" w:rsidRPr="00020F66" w:rsidP="006622D4" w14:paraId="74396529" w14:textId="77777777">
      <w:pPr>
        <w:ind w:left="1080"/>
        <w:rPr>
          <w:b/>
          <w:sz w:val="24"/>
          <w:szCs w:val="24"/>
        </w:rPr>
      </w:pPr>
    </w:p>
    <w:p w:rsidR="00071F56" w:rsidRPr="00020F66" w:rsidP="00A33FC8" w14:paraId="58EAC769" w14:textId="77777777">
      <w:pPr>
        <w:numPr>
          <w:ilvl w:val="0"/>
          <w:numId w:val="26"/>
        </w:numPr>
        <w:rPr>
          <w:b/>
          <w:sz w:val="24"/>
          <w:szCs w:val="24"/>
        </w:rPr>
      </w:pPr>
      <w:r w:rsidRPr="00020F66">
        <w:rPr>
          <w:b/>
          <w:sz w:val="24"/>
          <w:szCs w:val="24"/>
        </w:rPr>
        <w:t>Describe efforts to identify duplication.  Show specifically why any similar information already available cannot be used or modified for use for the purpose described in item 2 above.</w:t>
      </w:r>
    </w:p>
    <w:p w:rsidR="00D4649C" w:rsidRPr="00020F66" w:rsidP="006622D4" w14:paraId="41F0E82D" w14:textId="77777777">
      <w:pPr>
        <w:rPr>
          <w:b/>
          <w:sz w:val="24"/>
          <w:szCs w:val="24"/>
        </w:rPr>
      </w:pPr>
    </w:p>
    <w:p w:rsidR="00AA7512" w:rsidP="607EC03F" w14:paraId="5207E8CD" w14:textId="2C7C5051">
      <w:pPr>
        <w:ind w:left="720"/>
        <w:rPr>
          <w:sz w:val="24"/>
          <w:szCs w:val="24"/>
        </w:rPr>
      </w:pPr>
      <w:r w:rsidRPr="607EC03F">
        <w:rPr>
          <w:sz w:val="24"/>
          <w:szCs w:val="24"/>
        </w:rPr>
        <w:t xml:space="preserve">OPPE administers student fellowship, scholarship, internship, and training programs, and new initiatives and programs that the Secretary of Agriculture deems appropriate (7 U.S.C. 6934(c); 7 U.S.C. 2279c) on behalf of the Department’s agencies, offices, divisions, and units.  </w:t>
      </w:r>
    </w:p>
    <w:p w:rsidR="00AA7512" w:rsidP="00AA7512" w14:paraId="147AF43D" w14:textId="77777777">
      <w:pPr>
        <w:ind w:left="720"/>
        <w:rPr>
          <w:bCs/>
          <w:sz w:val="24"/>
          <w:szCs w:val="24"/>
        </w:rPr>
      </w:pPr>
    </w:p>
    <w:p w:rsidR="00852E50" w:rsidP="00852E50" w14:paraId="4BF893FD" w14:textId="77777777">
      <w:pPr>
        <w:ind w:left="720"/>
        <w:rPr>
          <w:bCs/>
          <w:sz w:val="24"/>
          <w:szCs w:val="24"/>
        </w:rPr>
      </w:pPr>
      <w:r>
        <w:rPr>
          <w:bCs/>
          <w:sz w:val="24"/>
          <w:szCs w:val="24"/>
        </w:rPr>
        <w:t xml:space="preserve">OPPE has consulted with several staff offices and agencies and determined that there is no approved generic information collection that could be revised to meet the purposes of this proposed collection.  </w:t>
      </w:r>
    </w:p>
    <w:p w:rsidR="00AA7512" w:rsidP="00AA7512" w14:paraId="1A5223DC" w14:textId="77777777">
      <w:pPr>
        <w:ind w:left="720"/>
        <w:rPr>
          <w:bCs/>
          <w:sz w:val="24"/>
          <w:szCs w:val="24"/>
        </w:rPr>
      </w:pPr>
    </w:p>
    <w:p w:rsidR="00071F56" w:rsidP="00AA7512" w14:paraId="5C366552" w14:textId="77777777">
      <w:pPr>
        <w:ind w:left="720"/>
        <w:rPr>
          <w:bCs/>
          <w:sz w:val="24"/>
          <w:szCs w:val="24"/>
        </w:rPr>
      </w:pPr>
      <w:r>
        <w:rPr>
          <w:bCs/>
          <w:sz w:val="24"/>
          <w:szCs w:val="24"/>
        </w:rPr>
        <w:t xml:space="preserve">This proposed generic collection </w:t>
      </w:r>
      <w:r w:rsidRPr="00AA7512">
        <w:rPr>
          <w:bCs/>
          <w:sz w:val="24"/>
          <w:szCs w:val="24"/>
        </w:rPr>
        <w:t xml:space="preserve">would cover the different programs within </w:t>
      </w:r>
      <w:r>
        <w:rPr>
          <w:bCs/>
          <w:sz w:val="24"/>
          <w:szCs w:val="24"/>
        </w:rPr>
        <w:t xml:space="preserve">USDA </w:t>
      </w:r>
      <w:r w:rsidRPr="00AA7512">
        <w:rPr>
          <w:bCs/>
          <w:sz w:val="24"/>
          <w:szCs w:val="24"/>
        </w:rPr>
        <w:t xml:space="preserve">that recruit individuals and have specific application questions, different time frames for applications, and different applicant requirements and accommodate the changing needs, programs, and specialties within the </w:t>
      </w:r>
      <w:r>
        <w:rPr>
          <w:bCs/>
          <w:sz w:val="24"/>
          <w:szCs w:val="24"/>
        </w:rPr>
        <w:t>USDA.</w:t>
      </w:r>
      <w:r w:rsidRPr="00AA7512">
        <w:rPr>
          <w:bCs/>
          <w:sz w:val="24"/>
          <w:szCs w:val="24"/>
        </w:rPr>
        <w:t xml:space="preserve">  </w:t>
      </w:r>
    </w:p>
    <w:p w:rsidR="00AA7512" w:rsidRPr="00020F66" w:rsidP="00AA7512" w14:paraId="2DD9CFAF" w14:textId="77777777">
      <w:pPr>
        <w:ind w:left="720"/>
        <w:rPr>
          <w:sz w:val="24"/>
          <w:szCs w:val="24"/>
        </w:rPr>
      </w:pPr>
    </w:p>
    <w:p w:rsidR="00071F56" w:rsidRPr="00020F66" w:rsidP="00A33FC8" w14:paraId="18013EB3" w14:textId="77777777">
      <w:pPr>
        <w:numPr>
          <w:ilvl w:val="0"/>
          <w:numId w:val="26"/>
        </w:numPr>
        <w:rPr>
          <w:b/>
          <w:sz w:val="24"/>
          <w:szCs w:val="24"/>
        </w:rPr>
      </w:pPr>
      <w:r w:rsidRPr="00020F66">
        <w:rPr>
          <w:b/>
          <w:sz w:val="24"/>
          <w:szCs w:val="24"/>
        </w:rPr>
        <w:t>If the collection of information impacts small businesses or other small entities, describe any methods used to minimize burden.</w:t>
      </w:r>
    </w:p>
    <w:p w:rsidR="005330B6" w:rsidRPr="00020F66" w:rsidP="006622D4" w14:paraId="02CF0F81" w14:textId="77777777">
      <w:pPr>
        <w:rPr>
          <w:b/>
          <w:sz w:val="24"/>
          <w:szCs w:val="24"/>
        </w:rPr>
      </w:pPr>
    </w:p>
    <w:p w:rsidR="00071F56" w:rsidP="006622D4" w14:paraId="5C927D5C" w14:textId="77777777">
      <w:pPr>
        <w:ind w:left="720"/>
        <w:rPr>
          <w:bCs/>
          <w:sz w:val="24"/>
          <w:szCs w:val="24"/>
        </w:rPr>
      </w:pPr>
      <w:r w:rsidRPr="00AA7512">
        <w:rPr>
          <w:bCs/>
          <w:sz w:val="24"/>
          <w:szCs w:val="24"/>
        </w:rPr>
        <w:t>No small businesses or other small entities will be affected by this information collection.</w:t>
      </w:r>
    </w:p>
    <w:p w:rsidR="00AA7512" w:rsidRPr="00020F66" w:rsidP="006622D4" w14:paraId="7AE026C9" w14:textId="77777777">
      <w:pPr>
        <w:ind w:left="720"/>
        <w:rPr>
          <w:sz w:val="24"/>
          <w:szCs w:val="24"/>
        </w:rPr>
      </w:pPr>
    </w:p>
    <w:p w:rsidR="0025217B" w:rsidP="00A33FC8" w14:paraId="043CE13D" w14:textId="77777777">
      <w:pPr>
        <w:numPr>
          <w:ilvl w:val="0"/>
          <w:numId w:val="26"/>
        </w:numPr>
        <w:ind w:left="810" w:hanging="450"/>
        <w:rPr>
          <w:b/>
          <w:sz w:val="24"/>
          <w:szCs w:val="24"/>
        </w:rPr>
      </w:pPr>
      <w:r>
        <w:rPr>
          <w:b/>
          <w:sz w:val="24"/>
          <w:szCs w:val="24"/>
        </w:rPr>
        <w:t xml:space="preserve">Describe the consequence to Federal program or policy activities if the </w:t>
      </w:r>
      <w:r>
        <w:rPr>
          <w:b/>
          <w:sz w:val="24"/>
          <w:szCs w:val="24"/>
        </w:rPr>
        <w:t>collection</w:t>
      </w:r>
    </w:p>
    <w:p w:rsidR="00071F56" w:rsidRPr="00020F66" w:rsidP="006622D4" w14:paraId="2E998A26" w14:textId="77777777">
      <w:pPr>
        <w:ind w:left="720"/>
        <w:rPr>
          <w:b/>
          <w:sz w:val="24"/>
          <w:szCs w:val="24"/>
        </w:rPr>
      </w:pPr>
      <w:r w:rsidRPr="00020F66">
        <w:rPr>
          <w:b/>
          <w:sz w:val="24"/>
          <w:szCs w:val="24"/>
        </w:rPr>
        <w:t>is</w:t>
      </w:r>
      <w:r w:rsidR="0025217B">
        <w:rPr>
          <w:b/>
          <w:sz w:val="24"/>
          <w:szCs w:val="24"/>
        </w:rPr>
        <w:t xml:space="preserve"> </w:t>
      </w:r>
      <w:r w:rsidRPr="00020F66">
        <w:rPr>
          <w:b/>
          <w:sz w:val="24"/>
          <w:szCs w:val="24"/>
        </w:rPr>
        <w:t>not conducted or is conducted less frequently, as well as any technical or legal obstacles to reducing burden.</w:t>
      </w:r>
    </w:p>
    <w:p w:rsidR="005330B6" w:rsidRPr="00020F66" w:rsidP="006622D4" w14:paraId="535594FE" w14:textId="77777777">
      <w:pPr>
        <w:rPr>
          <w:b/>
          <w:sz w:val="24"/>
          <w:szCs w:val="24"/>
        </w:rPr>
      </w:pPr>
    </w:p>
    <w:p w:rsidR="00071F56" w:rsidP="00AA7512" w14:paraId="1541AF2A" w14:textId="77777777">
      <w:pPr>
        <w:ind w:left="720"/>
        <w:rPr>
          <w:bCs/>
          <w:sz w:val="24"/>
          <w:szCs w:val="24"/>
        </w:rPr>
      </w:pPr>
      <w:r w:rsidRPr="00AA7512">
        <w:rPr>
          <w:bCs/>
          <w:sz w:val="24"/>
          <w:szCs w:val="24"/>
        </w:rPr>
        <w:t>Applications</w:t>
      </w:r>
      <w:r w:rsidR="00D807E2">
        <w:rPr>
          <w:bCs/>
          <w:sz w:val="24"/>
          <w:szCs w:val="24"/>
        </w:rPr>
        <w:t xml:space="preserve"> and </w:t>
      </w:r>
      <w:r w:rsidR="00285B63">
        <w:rPr>
          <w:bCs/>
          <w:sz w:val="24"/>
          <w:szCs w:val="24"/>
        </w:rPr>
        <w:t xml:space="preserve">participant feedback surveys </w:t>
      </w:r>
      <w:r w:rsidRPr="00AA7512">
        <w:rPr>
          <w:bCs/>
          <w:sz w:val="24"/>
          <w:szCs w:val="24"/>
        </w:rPr>
        <w:t xml:space="preserve">are voluntary information collections that may be completed at different times of the year, and with different frequency.  The specific generic information collection will state </w:t>
      </w:r>
      <w:r w:rsidR="00B43066">
        <w:rPr>
          <w:bCs/>
          <w:sz w:val="24"/>
          <w:szCs w:val="24"/>
        </w:rPr>
        <w:t xml:space="preserve">when the candidate may apply </w:t>
      </w:r>
      <w:r w:rsidR="00D807E2">
        <w:rPr>
          <w:bCs/>
          <w:sz w:val="24"/>
          <w:szCs w:val="24"/>
        </w:rPr>
        <w:t xml:space="preserve">and when the </w:t>
      </w:r>
      <w:r w:rsidR="000603E9">
        <w:rPr>
          <w:bCs/>
          <w:sz w:val="24"/>
          <w:szCs w:val="24"/>
        </w:rPr>
        <w:t>participant feedback</w:t>
      </w:r>
      <w:r w:rsidR="00D807E2">
        <w:rPr>
          <w:bCs/>
          <w:sz w:val="24"/>
          <w:szCs w:val="24"/>
        </w:rPr>
        <w:t xml:space="preserve"> will be </w:t>
      </w:r>
      <w:r w:rsidR="00C23398">
        <w:rPr>
          <w:bCs/>
          <w:sz w:val="24"/>
          <w:szCs w:val="24"/>
        </w:rPr>
        <w:t xml:space="preserve">collected.    </w:t>
      </w:r>
      <w:r w:rsidR="00D807E2">
        <w:rPr>
          <w:bCs/>
          <w:sz w:val="24"/>
          <w:szCs w:val="24"/>
        </w:rPr>
        <w:t xml:space="preserve">  </w:t>
      </w:r>
    </w:p>
    <w:p w:rsidR="00AA7512" w:rsidRPr="00020F66" w:rsidP="00AA7512" w14:paraId="13E99E66" w14:textId="77777777">
      <w:pPr>
        <w:ind w:left="720"/>
        <w:rPr>
          <w:sz w:val="24"/>
          <w:szCs w:val="24"/>
        </w:rPr>
      </w:pPr>
    </w:p>
    <w:p w:rsidR="00071F56" w:rsidRPr="00020F66" w:rsidP="00A33FC8" w14:paraId="046E751E" w14:textId="77777777">
      <w:pPr>
        <w:pStyle w:val="BodyTextIndent"/>
        <w:numPr>
          <w:ilvl w:val="0"/>
          <w:numId w:val="26"/>
        </w:numPr>
        <w:tabs>
          <w:tab w:val="clear" w:pos="720"/>
        </w:tabs>
        <w:ind w:left="810" w:hanging="450"/>
        <w:rPr>
          <w:szCs w:val="24"/>
        </w:rPr>
      </w:pPr>
      <w:r w:rsidRPr="00020F66">
        <w:rPr>
          <w:szCs w:val="24"/>
        </w:rPr>
        <w:t>Explain any special circumstances that would cause an information collecti</w:t>
      </w:r>
      <w:r w:rsidRPr="00020F66">
        <w:rPr>
          <w:szCs w:val="24"/>
        </w:rPr>
        <w:softHyphen/>
        <w:t>on to be conducted in a manner:</w:t>
      </w:r>
    </w:p>
    <w:p w:rsidR="00071F56" w:rsidRPr="00D807E2" w:rsidP="00D807E2" w14:paraId="1C8FAD02" w14:textId="77777777">
      <w:pPr>
        <w:ind w:left="810"/>
        <w:rPr>
          <w:sz w:val="24"/>
          <w:szCs w:val="24"/>
        </w:rPr>
      </w:pPr>
      <w:r w:rsidRPr="00D807E2">
        <w:rPr>
          <w:sz w:val="24"/>
          <w:szCs w:val="24"/>
        </w:rPr>
        <w:t>There are no special circumstances relating to the guidelines of 5 CFR 1320.5 that would impact the information collection.</w:t>
      </w:r>
    </w:p>
    <w:p w:rsidR="00D807E2" w:rsidRPr="00020F66" w:rsidP="006622D4" w14:paraId="4EECE68A" w14:textId="77777777">
      <w:pPr>
        <w:ind w:left="720" w:hanging="720"/>
        <w:rPr>
          <w:sz w:val="24"/>
          <w:szCs w:val="24"/>
        </w:rPr>
      </w:pPr>
    </w:p>
    <w:p w:rsidR="00071F56" w:rsidRPr="00A33FC8" w:rsidP="00A33FC8" w14:paraId="71551A8A" w14:textId="2CA8C991">
      <w:pPr>
        <w:pStyle w:val="ListParagraph"/>
        <w:numPr>
          <w:ilvl w:val="0"/>
          <w:numId w:val="26"/>
        </w:numPr>
        <w:rPr>
          <w:b/>
          <w:sz w:val="24"/>
          <w:szCs w:val="24"/>
        </w:rPr>
      </w:pPr>
      <w:r w:rsidRPr="00A33FC8">
        <w:rPr>
          <w:b/>
          <w:sz w:val="24"/>
          <w:szCs w:val="24"/>
        </w:rPr>
        <w:t xml:space="preserve">If applicable, provide a copy and identify the date and page number of </w:t>
      </w:r>
      <w:r w:rsidRPr="00A33FC8">
        <w:rPr>
          <w:b/>
          <w:sz w:val="24"/>
          <w:szCs w:val="24"/>
        </w:rPr>
        <w:t>publication</w:t>
      </w:r>
      <w:r w:rsidRPr="00A33FC8">
        <w:rPr>
          <w:b/>
          <w:sz w:val="24"/>
          <w:szCs w:val="24"/>
        </w:rPr>
        <w:t xml:space="preserve"> in the Federal Register of the agency's notice, soliciting comments on the information collection prior to submission to OMB.   Summarize public comments received in </w:t>
      </w:r>
      <w:r w:rsidRPr="00A33FC8">
        <w:rPr>
          <w:b/>
          <w:sz w:val="24"/>
          <w:szCs w:val="24"/>
        </w:rPr>
        <w:t>response to that notice and describe actions taken by the agency in response to these comments.</w:t>
      </w:r>
    </w:p>
    <w:p w:rsidR="001B49E0" w:rsidRPr="00020F66" w:rsidP="006622D4" w14:paraId="68E81B3D" w14:textId="77777777">
      <w:pPr>
        <w:ind w:left="720"/>
        <w:rPr>
          <w:b/>
          <w:sz w:val="24"/>
          <w:szCs w:val="24"/>
        </w:rPr>
      </w:pPr>
    </w:p>
    <w:p w:rsidR="00655FCE" w:rsidP="00655FCE" w14:paraId="2B69DDC9" w14:textId="392BF282">
      <w:pPr>
        <w:ind w:left="720"/>
        <w:rPr>
          <w:bCs/>
          <w:sz w:val="24"/>
          <w:szCs w:val="24"/>
        </w:rPr>
      </w:pPr>
      <w:r w:rsidRPr="00D550D4">
        <w:rPr>
          <w:bCs/>
          <w:sz w:val="24"/>
          <w:szCs w:val="24"/>
        </w:rPr>
        <w:t>The 60-day Federal Register notice soliciting comments was published on</w:t>
      </w:r>
      <w:r w:rsidRPr="00D550D4" w:rsidR="003F33F1">
        <w:rPr>
          <w:bCs/>
          <w:sz w:val="24"/>
          <w:szCs w:val="24"/>
        </w:rPr>
        <w:t xml:space="preserve"> April 24, 2024 (89 FR 31132). 1 </w:t>
      </w:r>
      <w:r w:rsidRPr="00D550D4">
        <w:rPr>
          <w:bCs/>
          <w:sz w:val="24"/>
          <w:szCs w:val="24"/>
        </w:rPr>
        <w:t>comment</w:t>
      </w:r>
      <w:r w:rsidRPr="00D550D4" w:rsidR="00D550D4">
        <w:rPr>
          <w:bCs/>
          <w:sz w:val="24"/>
          <w:szCs w:val="24"/>
        </w:rPr>
        <w:t xml:space="preserve"> unrelated to this information collection</w:t>
      </w:r>
      <w:r w:rsidRPr="00D550D4" w:rsidR="003F33F1">
        <w:rPr>
          <w:bCs/>
          <w:sz w:val="24"/>
          <w:szCs w:val="24"/>
        </w:rPr>
        <w:t xml:space="preserve"> </w:t>
      </w:r>
      <w:r w:rsidRPr="00D550D4">
        <w:rPr>
          <w:bCs/>
          <w:sz w:val="24"/>
          <w:szCs w:val="24"/>
        </w:rPr>
        <w:t>w</w:t>
      </w:r>
      <w:r w:rsidRPr="00D550D4" w:rsidR="003F33F1">
        <w:rPr>
          <w:bCs/>
          <w:sz w:val="24"/>
          <w:szCs w:val="24"/>
        </w:rPr>
        <w:t>as</w:t>
      </w:r>
      <w:r w:rsidRPr="00D550D4">
        <w:rPr>
          <w:bCs/>
          <w:sz w:val="24"/>
          <w:szCs w:val="24"/>
        </w:rPr>
        <w:t xml:space="preserve"> </w:t>
      </w:r>
      <w:r w:rsidRPr="00D550D4" w:rsidR="00E46FB6">
        <w:rPr>
          <w:bCs/>
          <w:sz w:val="24"/>
          <w:szCs w:val="24"/>
        </w:rPr>
        <w:t>received, and no changes were made to the Notice</w:t>
      </w:r>
      <w:r w:rsidRPr="00D550D4">
        <w:rPr>
          <w:bCs/>
          <w:sz w:val="24"/>
          <w:szCs w:val="24"/>
        </w:rPr>
        <w:t>.</w:t>
      </w:r>
      <w:r w:rsidRPr="00D807E2">
        <w:rPr>
          <w:bCs/>
          <w:sz w:val="24"/>
          <w:szCs w:val="24"/>
        </w:rPr>
        <w:t xml:space="preserve">  </w:t>
      </w:r>
    </w:p>
    <w:p w:rsidR="00655FCE" w:rsidP="00655FCE" w14:paraId="176E2DB5" w14:textId="77777777">
      <w:pPr>
        <w:ind w:left="720"/>
        <w:rPr>
          <w:bCs/>
          <w:sz w:val="24"/>
          <w:szCs w:val="24"/>
        </w:rPr>
      </w:pPr>
    </w:p>
    <w:p w:rsidR="00071F56" w:rsidP="00655FCE" w14:paraId="78DC2961" w14:textId="77777777">
      <w:pPr>
        <w:ind w:left="720"/>
        <w:rPr>
          <w:bCs/>
          <w:sz w:val="24"/>
          <w:szCs w:val="24"/>
        </w:rPr>
      </w:pPr>
      <w:r w:rsidRPr="00D807E2">
        <w:rPr>
          <w:bCs/>
          <w:sz w:val="24"/>
          <w:szCs w:val="24"/>
        </w:rPr>
        <w:t>No outside agency was consulted.</w:t>
      </w:r>
    </w:p>
    <w:p w:rsidR="00655FCE" w:rsidRPr="00D807E2" w:rsidP="00655FCE" w14:paraId="312C6A05" w14:textId="77777777">
      <w:pPr>
        <w:ind w:left="720"/>
        <w:rPr>
          <w:bCs/>
          <w:sz w:val="24"/>
          <w:szCs w:val="24"/>
        </w:rPr>
      </w:pPr>
    </w:p>
    <w:p w:rsidR="00071F56" w:rsidRPr="00020F66" w:rsidP="00A33FC8" w14:paraId="0FEC1E5B" w14:textId="77777777">
      <w:pPr>
        <w:pStyle w:val="BodyTextIndent2"/>
        <w:jc w:val="left"/>
        <w:rPr>
          <w:szCs w:val="24"/>
        </w:rPr>
      </w:pPr>
      <w:r w:rsidRPr="00020F66">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846251" w:rsidRPr="00020F66" w:rsidP="006622D4" w14:paraId="7055490B" w14:textId="77777777">
      <w:pPr>
        <w:pStyle w:val="BodyTextIndent2"/>
        <w:jc w:val="left"/>
        <w:rPr>
          <w:szCs w:val="24"/>
        </w:rPr>
      </w:pPr>
    </w:p>
    <w:p w:rsidR="00501FD1" w:rsidP="607EC03F" w14:paraId="12E02FD9" w14:textId="36E68615">
      <w:pPr>
        <w:ind w:left="720"/>
        <w:rPr>
          <w:sz w:val="24"/>
          <w:szCs w:val="24"/>
        </w:rPr>
      </w:pPr>
      <w:r w:rsidRPr="607EC03F">
        <w:rPr>
          <w:sz w:val="24"/>
          <w:szCs w:val="24"/>
        </w:rPr>
        <w:t xml:space="preserve">USDA has consulted with representatives from fellowship, scholarship, and internship programs on the continued need for streamlined applications and participant feedback.  Representatives have indicated preferences for user-friendly electronic submissions and a “one-stop shop” for application submission and participant outcomes.  USDA staff have also indicated interest in assessing participant perceptions of their experiences to improve onboarding and retention.  </w:t>
      </w:r>
    </w:p>
    <w:p w:rsidR="004A58A8" w:rsidRPr="00020F66" w:rsidP="006622D4" w14:paraId="3D984D42" w14:textId="77777777">
      <w:pPr>
        <w:ind w:left="720"/>
        <w:rPr>
          <w:sz w:val="24"/>
          <w:szCs w:val="24"/>
        </w:rPr>
      </w:pPr>
    </w:p>
    <w:p w:rsidR="00071F56" w:rsidRPr="00A33FC8" w:rsidP="00A33FC8" w14:paraId="16D8A403" w14:textId="204075C4">
      <w:pPr>
        <w:pStyle w:val="ListParagraph"/>
        <w:numPr>
          <w:ilvl w:val="0"/>
          <w:numId w:val="26"/>
        </w:numPr>
        <w:rPr>
          <w:b/>
          <w:sz w:val="24"/>
          <w:szCs w:val="24"/>
        </w:rPr>
      </w:pPr>
      <w:r w:rsidRPr="00A33FC8">
        <w:rPr>
          <w:b/>
          <w:sz w:val="24"/>
          <w:szCs w:val="24"/>
        </w:rPr>
        <w:t xml:space="preserve">Explain any decision to provide any payment or gift to respondents, other than </w:t>
      </w:r>
      <w:r w:rsidRPr="00A33FC8" w:rsidR="00664ECC">
        <w:rPr>
          <w:b/>
          <w:sz w:val="24"/>
          <w:szCs w:val="24"/>
        </w:rPr>
        <w:t>remuneration</w:t>
      </w:r>
      <w:r w:rsidRPr="00A33FC8">
        <w:rPr>
          <w:b/>
          <w:sz w:val="24"/>
          <w:szCs w:val="24"/>
        </w:rPr>
        <w:t xml:space="preserve"> of contractors or grantees.</w:t>
      </w:r>
    </w:p>
    <w:p w:rsidR="00B0284F" w:rsidRPr="00020F66" w:rsidP="006622D4" w14:paraId="1018C210" w14:textId="77777777">
      <w:pPr>
        <w:rPr>
          <w:b/>
          <w:sz w:val="24"/>
          <w:szCs w:val="24"/>
        </w:rPr>
      </w:pPr>
    </w:p>
    <w:p w:rsidR="00B0284F" w:rsidRPr="00020F66" w:rsidP="006622D4" w14:paraId="20D9916B" w14:textId="77777777">
      <w:pPr>
        <w:ind w:firstLine="720"/>
        <w:rPr>
          <w:bCs/>
          <w:sz w:val="24"/>
          <w:szCs w:val="24"/>
        </w:rPr>
      </w:pPr>
      <w:r w:rsidRPr="00020F66">
        <w:rPr>
          <w:bCs/>
          <w:sz w:val="24"/>
          <w:szCs w:val="24"/>
        </w:rPr>
        <w:t xml:space="preserve">No payments or gifts will be provided to respondents. </w:t>
      </w:r>
    </w:p>
    <w:p w:rsidR="00071F56" w:rsidRPr="00020F66" w:rsidP="006622D4" w14:paraId="55AC72C9" w14:textId="77777777">
      <w:pPr>
        <w:rPr>
          <w:sz w:val="24"/>
          <w:szCs w:val="24"/>
        </w:rPr>
      </w:pPr>
    </w:p>
    <w:p w:rsidR="00071F56" w:rsidRPr="00A33FC8" w:rsidP="00A33FC8" w14:paraId="53BC7CB5" w14:textId="3C6B90A3">
      <w:pPr>
        <w:pStyle w:val="ListParagraph"/>
        <w:numPr>
          <w:ilvl w:val="0"/>
          <w:numId w:val="26"/>
        </w:numPr>
        <w:rPr>
          <w:b/>
          <w:sz w:val="24"/>
          <w:szCs w:val="24"/>
        </w:rPr>
      </w:pPr>
      <w:r w:rsidRPr="00A33FC8">
        <w:rPr>
          <w:b/>
          <w:sz w:val="24"/>
          <w:szCs w:val="24"/>
        </w:rPr>
        <w:t>Describe any assurance of confidentiality provided to respondents and the basis for the assurance in statute, regulation, or agency policy.</w:t>
      </w:r>
    </w:p>
    <w:p w:rsidR="00B0284F" w:rsidRPr="00020F66" w:rsidP="006622D4" w14:paraId="010916FB" w14:textId="77777777">
      <w:pPr>
        <w:rPr>
          <w:b/>
          <w:sz w:val="24"/>
          <w:szCs w:val="24"/>
        </w:rPr>
      </w:pPr>
    </w:p>
    <w:p w:rsidR="00071F56" w:rsidP="0059310E" w14:paraId="54C34BE3" w14:textId="77777777">
      <w:pPr>
        <w:ind w:left="720"/>
        <w:rPr>
          <w:bCs/>
          <w:sz w:val="24"/>
          <w:szCs w:val="24"/>
        </w:rPr>
      </w:pPr>
      <w:r w:rsidRPr="0059310E">
        <w:rPr>
          <w:bCs/>
          <w:sz w:val="24"/>
          <w:szCs w:val="24"/>
        </w:rPr>
        <w:t xml:space="preserve">There is no assurance of confidentiality provided to the applicants, however their information will be kept private, to the extent provided by law.  Personal identifiable information (PII) is collected, </w:t>
      </w:r>
      <w:r w:rsidRPr="0059310E" w:rsidR="00EB0173">
        <w:rPr>
          <w:bCs/>
          <w:sz w:val="24"/>
          <w:szCs w:val="24"/>
        </w:rPr>
        <w:t>maintained,</w:t>
      </w:r>
      <w:r w:rsidRPr="0059310E">
        <w:rPr>
          <w:bCs/>
          <w:sz w:val="24"/>
          <w:szCs w:val="24"/>
        </w:rPr>
        <w:t xml:space="preserve"> and stored on secured computers requiring password entry to access.  Information collected is available only to </w:t>
      </w:r>
      <w:r>
        <w:rPr>
          <w:bCs/>
          <w:sz w:val="24"/>
          <w:szCs w:val="24"/>
        </w:rPr>
        <w:t xml:space="preserve">USDA </w:t>
      </w:r>
      <w:r w:rsidRPr="0059310E">
        <w:rPr>
          <w:bCs/>
          <w:sz w:val="24"/>
          <w:szCs w:val="24"/>
        </w:rPr>
        <w:t>program officials who recommend or approve awards and to administrative, human resources, and financial officials who prepare the necessary documentation to arrange for stipend payments and to activate, renew, and terminate approved awards. These individuals are assigned login credentials</w:t>
      </w:r>
      <w:r>
        <w:rPr>
          <w:bCs/>
          <w:sz w:val="24"/>
          <w:szCs w:val="24"/>
        </w:rPr>
        <w:t xml:space="preserve"> and </w:t>
      </w:r>
      <w:r w:rsidRPr="0059310E">
        <w:rPr>
          <w:bCs/>
          <w:sz w:val="24"/>
          <w:szCs w:val="24"/>
        </w:rPr>
        <w:t xml:space="preserve">the online tools these individuals use to access applicant data are restricted to </w:t>
      </w:r>
      <w:r>
        <w:rPr>
          <w:bCs/>
          <w:sz w:val="24"/>
          <w:szCs w:val="24"/>
        </w:rPr>
        <w:t>USDA-approved</w:t>
      </w:r>
      <w:r w:rsidRPr="0059310E">
        <w:rPr>
          <w:bCs/>
          <w:sz w:val="24"/>
          <w:szCs w:val="24"/>
        </w:rPr>
        <w:t xml:space="preserve"> users. </w:t>
      </w:r>
    </w:p>
    <w:p w:rsidR="0059310E" w:rsidRPr="00020F66" w:rsidP="0059310E" w14:paraId="63431FDA" w14:textId="77777777">
      <w:pPr>
        <w:ind w:left="720"/>
        <w:rPr>
          <w:sz w:val="24"/>
          <w:szCs w:val="24"/>
        </w:rPr>
      </w:pPr>
    </w:p>
    <w:p w:rsidR="00071F56" w:rsidRPr="00A33FC8" w:rsidP="00A33FC8" w14:paraId="2129D214" w14:textId="108FA07D">
      <w:pPr>
        <w:pStyle w:val="ListParagraph"/>
        <w:numPr>
          <w:ilvl w:val="0"/>
          <w:numId w:val="26"/>
        </w:numPr>
        <w:rPr>
          <w:b/>
          <w:sz w:val="24"/>
          <w:szCs w:val="24"/>
        </w:rPr>
      </w:pPr>
      <w:r w:rsidRPr="00A33FC8">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284F" w:rsidRPr="00020F66" w:rsidP="006622D4" w14:paraId="5C6D019C" w14:textId="77777777">
      <w:pPr>
        <w:rPr>
          <w:b/>
          <w:sz w:val="24"/>
          <w:szCs w:val="24"/>
        </w:rPr>
      </w:pPr>
    </w:p>
    <w:p w:rsidR="00B80B16" w:rsidRPr="00B80B16" w:rsidP="00140BF3" w14:paraId="5CE3AE4A" w14:textId="77777777">
      <w:pPr>
        <w:ind w:left="720"/>
        <w:rPr>
          <w:bCs/>
          <w:sz w:val="24"/>
          <w:szCs w:val="24"/>
        </w:rPr>
      </w:pPr>
      <w:r w:rsidRPr="00B80B16">
        <w:rPr>
          <w:bCs/>
          <w:sz w:val="24"/>
          <w:szCs w:val="24"/>
        </w:rPr>
        <w:t>These applications do collect Personally Identifiable Information (PII), including</w:t>
      </w:r>
      <w:r w:rsidR="00140BF3">
        <w:rPr>
          <w:bCs/>
          <w:sz w:val="24"/>
          <w:szCs w:val="24"/>
        </w:rPr>
        <w:t xml:space="preserve"> but not limited </w:t>
      </w:r>
      <w:r w:rsidR="00EB0173">
        <w:rPr>
          <w:bCs/>
          <w:sz w:val="24"/>
          <w:szCs w:val="24"/>
        </w:rPr>
        <w:t>to</w:t>
      </w:r>
      <w:r w:rsidRPr="00B80B16">
        <w:rPr>
          <w:bCs/>
          <w:sz w:val="24"/>
          <w:szCs w:val="24"/>
        </w:rPr>
        <w:t xml:space="preserve"> name,</w:t>
      </w:r>
      <w:r w:rsidR="00140BF3">
        <w:rPr>
          <w:bCs/>
          <w:sz w:val="24"/>
          <w:szCs w:val="24"/>
        </w:rPr>
        <w:t xml:space="preserve"> </w:t>
      </w:r>
      <w:r w:rsidRPr="00B80B16">
        <w:rPr>
          <w:bCs/>
          <w:sz w:val="24"/>
          <w:szCs w:val="24"/>
        </w:rPr>
        <w:t xml:space="preserve">contact information, education, socioeconomic status, and employment history.  In addition, sensitive questions are asked including race/ethnicity, gender, </w:t>
      </w:r>
      <w:r>
        <w:rPr>
          <w:bCs/>
          <w:sz w:val="24"/>
          <w:szCs w:val="24"/>
        </w:rPr>
        <w:t xml:space="preserve">sexual </w:t>
      </w:r>
      <w:r>
        <w:rPr>
          <w:bCs/>
          <w:sz w:val="24"/>
          <w:szCs w:val="24"/>
        </w:rPr>
        <w:t xml:space="preserve">orientation, </w:t>
      </w:r>
      <w:r w:rsidRPr="00B80B16">
        <w:rPr>
          <w:bCs/>
          <w:sz w:val="24"/>
          <w:szCs w:val="24"/>
        </w:rPr>
        <w:t xml:space="preserve">birth year, and disabilities.  All questions are voluntary and used to assess equitable access.  In addition, responses to these questions allows </w:t>
      </w:r>
      <w:r>
        <w:rPr>
          <w:bCs/>
          <w:sz w:val="24"/>
          <w:szCs w:val="24"/>
        </w:rPr>
        <w:t xml:space="preserve">USDA </w:t>
      </w:r>
      <w:r w:rsidRPr="00B80B16">
        <w:rPr>
          <w:bCs/>
          <w:sz w:val="24"/>
          <w:szCs w:val="24"/>
        </w:rPr>
        <w:t>offices to accommodate special needs.</w:t>
      </w:r>
    </w:p>
    <w:p w:rsidR="00071F56" w:rsidRPr="00020F66" w:rsidP="006622D4" w14:paraId="25A226F3" w14:textId="77777777">
      <w:pPr>
        <w:ind w:left="720"/>
        <w:rPr>
          <w:sz w:val="24"/>
          <w:szCs w:val="24"/>
        </w:rPr>
      </w:pPr>
    </w:p>
    <w:p w:rsidR="00071F56" w:rsidRPr="00A33FC8" w:rsidP="00A33FC8" w14:paraId="58BCF87D" w14:textId="39B15512">
      <w:pPr>
        <w:pStyle w:val="ListParagraph"/>
        <w:numPr>
          <w:ilvl w:val="0"/>
          <w:numId w:val="26"/>
        </w:numPr>
        <w:rPr>
          <w:b/>
          <w:sz w:val="24"/>
          <w:szCs w:val="24"/>
        </w:rPr>
      </w:pPr>
      <w:r w:rsidRPr="00A33FC8">
        <w:rPr>
          <w:b/>
          <w:sz w:val="24"/>
          <w:szCs w:val="24"/>
        </w:rPr>
        <w:t>Provide estimates of the hour burden of the collection of information.  The statement should:</w:t>
      </w:r>
    </w:p>
    <w:p w:rsidR="00071F56" w:rsidRPr="00020F66" w:rsidP="006622D4" w14:paraId="6495C6CC" w14:textId="77777777">
      <w:pPr>
        <w:rPr>
          <w:b/>
          <w:sz w:val="24"/>
          <w:szCs w:val="24"/>
        </w:rPr>
      </w:pPr>
    </w:p>
    <w:p w:rsidR="00071F56" w:rsidP="00A3569C" w14:paraId="60F875D2" w14:textId="77777777">
      <w:pPr>
        <w:numPr>
          <w:ilvl w:val="0"/>
          <w:numId w:val="10"/>
        </w:numPr>
        <w:ind w:left="1080"/>
        <w:rPr>
          <w:b/>
          <w:sz w:val="24"/>
          <w:szCs w:val="24"/>
        </w:rPr>
      </w:pPr>
      <w:r w:rsidRPr="006622D4">
        <w:rPr>
          <w:b/>
          <w:sz w:val="24"/>
          <w:szCs w:val="24"/>
        </w:rPr>
        <w:t>Indicate the number of respo</w:t>
      </w:r>
      <w:r w:rsidRPr="006622D4" w:rsidR="003B33B6">
        <w:rPr>
          <w:b/>
          <w:sz w:val="24"/>
          <w:szCs w:val="24"/>
        </w:rPr>
        <w:t xml:space="preserve">ndents, frequency of response, </w:t>
      </w:r>
      <w:r w:rsidRPr="006622D4">
        <w:rPr>
          <w:b/>
          <w:sz w:val="24"/>
          <w:szCs w:val="24"/>
        </w:rPr>
        <w:t>annual hour burden, and an exp</w:t>
      </w:r>
      <w:r w:rsidRPr="006622D4" w:rsidR="00B62FE5">
        <w:rPr>
          <w:b/>
          <w:sz w:val="24"/>
          <w:szCs w:val="24"/>
        </w:rPr>
        <w:t xml:space="preserve">lanation of how the burden was </w:t>
      </w:r>
      <w:r w:rsidRPr="006622D4">
        <w:rPr>
          <w:b/>
          <w:sz w:val="24"/>
          <w:szCs w:val="24"/>
        </w:rPr>
        <w:t xml:space="preserve">estimated. If this request for approval covers more than one form, provide separate hour burden estimates for each </w:t>
      </w:r>
      <w:r w:rsidRPr="006622D4">
        <w:rPr>
          <w:b/>
          <w:sz w:val="24"/>
          <w:szCs w:val="24"/>
        </w:rPr>
        <w:t>form</w:t>
      </w:r>
      <w:r w:rsidRPr="006622D4">
        <w:rPr>
          <w:b/>
          <w:sz w:val="24"/>
          <w:szCs w:val="24"/>
        </w:rPr>
        <w:t xml:space="preserve"> and aggregate the hour burdens in Item 13 of OMB Form 83-I.</w:t>
      </w:r>
    </w:p>
    <w:p w:rsidR="00C85BED" w:rsidRPr="00285B63" w:rsidP="00C85BED" w14:paraId="36CCE0D7" w14:textId="77777777">
      <w:pPr>
        <w:numPr>
          <w:ilvl w:val="0"/>
          <w:numId w:val="10"/>
        </w:numPr>
        <w:ind w:left="1080"/>
        <w:rPr>
          <w:sz w:val="24"/>
          <w:szCs w:val="24"/>
        </w:rPr>
      </w:pPr>
      <w:r w:rsidRPr="00020F66">
        <w:rPr>
          <w:b/>
          <w:sz w:val="24"/>
          <w:szCs w:val="24"/>
        </w:rPr>
        <w:t>Provide estimates of annualized cost to respondents for the hour burdens for collections of information, identifying and using appropriate wage rate categories.</w:t>
      </w:r>
    </w:p>
    <w:p w:rsidR="00C83D7D" w:rsidP="00285B63" w14:paraId="6CDA72FE" w14:textId="77777777">
      <w:pPr>
        <w:rPr>
          <w:bCs/>
          <w:sz w:val="24"/>
          <w:szCs w:val="24"/>
        </w:rPr>
      </w:pPr>
    </w:p>
    <w:p w:rsidR="00C85BED" w:rsidP="00C83D7D" w14:paraId="137A60C7" w14:textId="77777777">
      <w:pPr>
        <w:ind w:left="720"/>
        <w:rPr>
          <w:bCs/>
          <w:sz w:val="24"/>
          <w:szCs w:val="24"/>
        </w:rPr>
      </w:pPr>
      <w:r w:rsidRPr="00C85BED">
        <w:rPr>
          <w:bCs/>
          <w:sz w:val="24"/>
          <w:szCs w:val="24"/>
        </w:rPr>
        <w:t xml:space="preserve">The estimated annualized cost to the respondents (applicants, references, and participants) is </w:t>
      </w:r>
      <w:r w:rsidRPr="003F4400" w:rsidR="003F4400">
        <w:rPr>
          <w:bCs/>
          <w:sz w:val="24"/>
          <w:szCs w:val="24"/>
        </w:rPr>
        <w:t>$767,000</w:t>
      </w:r>
      <w:r w:rsidRPr="00C85BED">
        <w:rPr>
          <w:bCs/>
          <w:sz w:val="24"/>
          <w:szCs w:val="24"/>
        </w:rPr>
        <w:t xml:space="preserve">.   It is anticipated that there will be </w:t>
      </w:r>
      <w:r w:rsidR="003F4400">
        <w:rPr>
          <w:bCs/>
          <w:sz w:val="24"/>
          <w:szCs w:val="24"/>
        </w:rPr>
        <w:t>1</w:t>
      </w:r>
      <w:r w:rsidRPr="00C85BED">
        <w:rPr>
          <w:bCs/>
          <w:sz w:val="24"/>
          <w:szCs w:val="24"/>
        </w:rPr>
        <w:t xml:space="preserve">5,000 applicants and it will take approximately 1 hour to complete an application.  In addition, it is expected that applicants will obtain two reference letters and official transcripts.  </w:t>
      </w:r>
    </w:p>
    <w:p w:rsidR="00C85BED" w:rsidP="00C83D7D" w14:paraId="58DF785A" w14:textId="77777777">
      <w:pPr>
        <w:ind w:left="720"/>
        <w:rPr>
          <w:bCs/>
          <w:sz w:val="24"/>
          <w:szCs w:val="24"/>
        </w:rPr>
      </w:pPr>
    </w:p>
    <w:p w:rsidR="00C83D7D" w:rsidP="00C83D7D" w14:paraId="1018E82B" w14:textId="77777777">
      <w:pPr>
        <w:ind w:left="720"/>
        <w:rPr>
          <w:bCs/>
          <w:sz w:val="24"/>
          <w:szCs w:val="24"/>
        </w:rPr>
      </w:pPr>
      <w:r w:rsidRPr="00C83D7D">
        <w:rPr>
          <w:bCs/>
          <w:sz w:val="24"/>
          <w:szCs w:val="24"/>
        </w:rPr>
        <w:t xml:space="preserve">For applicants, the </w:t>
      </w:r>
      <w:r>
        <w:rPr>
          <w:bCs/>
          <w:sz w:val="24"/>
          <w:szCs w:val="24"/>
        </w:rPr>
        <w:t>Median Hourly Wage</w:t>
      </w:r>
      <w:r w:rsidRPr="00C83D7D">
        <w:rPr>
          <w:bCs/>
          <w:sz w:val="24"/>
          <w:szCs w:val="24"/>
        </w:rPr>
        <w:t xml:space="preserve"> Rate was obtained from Bureau of Labor Statistics (BLS), title “All-Occupations” 00-0000, </w:t>
      </w:r>
      <w:hyperlink r:id="rId7" w:anchor="00-0000" w:history="1">
        <w:r w:rsidRPr="0027188F">
          <w:rPr>
            <w:rStyle w:val="Hyperlink"/>
            <w:bCs/>
            <w:sz w:val="24"/>
            <w:szCs w:val="24"/>
          </w:rPr>
          <w:t>https://www.bls.gov/oes/current/oes_nat.htm#00-0000</w:t>
        </w:r>
      </w:hyperlink>
      <w:r>
        <w:rPr>
          <w:bCs/>
          <w:sz w:val="24"/>
          <w:szCs w:val="24"/>
        </w:rPr>
        <w:t xml:space="preserve"> </w:t>
      </w:r>
      <w:r w:rsidRPr="00C83D7D">
        <w:rPr>
          <w:bCs/>
          <w:sz w:val="24"/>
          <w:szCs w:val="24"/>
        </w:rPr>
        <w:t xml:space="preserve">since they will have various education levels.  For professional references, the </w:t>
      </w:r>
      <w:r>
        <w:rPr>
          <w:bCs/>
          <w:sz w:val="24"/>
          <w:szCs w:val="24"/>
        </w:rPr>
        <w:t>Median Hourly Wage Rate</w:t>
      </w:r>
      <w:r w:rsidRPr="00C83D7D">
        <w:rPr>
          <w:bCs/>
          <w:sz w:val="24"/>
          <w:szCs w:val="24"/>
        </w:rPr>
        <w:t xml:space="preserve"> was obtained from Occupation Title (25-</w:t>
      </w:r>
      <w:r w:rsidR="00F14182">
        <w:rPr>
          <w:bCs/>
          <w:sz w:val="24"/>
          <w:szCs w:val="24"/>
        </w:rPr>
        <w:t>0000) Educational Instruction and Library Occupations since they may be secondary or postsecondary teachers.</w:t>
      </w:r>
      <w:r w:rsidRPr="00C83D7D">
        <w:rPr>
          <w:bCs/>
          <w:sz w:val="24"/>
          <w:szCs w:val="24"/>
        </w:rPr>
        <w:t xml:space="preserve">  </w:t>
      </w:r>
    </w:p>
    <w:p w:rsidR="00D418B8" w:rsidP="00C83D7D" w14:paraId="268F7A70" w14:textId="77777777">
      <w:pPr>
        <w:ind w:left="720"/>
        <w:rPr>
          <w:bCs/>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1914"/>
        <w:gridCol w:w="1868"/>
        <w:gridCol w:w="1339"/>
        <w:gridCol w:w="1549"/>
      </w:tblGrid>
      <w:tr w14:paraId="26E39B2F" w14:textId="77777777" w:rsidTr="00E95500">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06" w:type="dxa"/>
            <w:shd w:val="clear" w:color="auto" w:fill="auto"/>
          </w:tcPr>
          <w:p w:rsidR="00D418B8" w:rsidRPr="00285B63" w:rsidP="00E95500" w14:paraId="6958D2BB" w14:textId="77777777">
            <w:pPr>
              <w:rPr>
                <w:b/>
                <w:sz w:val="24"/>
                <w:szCs w:val="24"/>
              </w:rPr>
            </w:pPr>
            <w:r w:rsidRPr="00285B63">
              <w:rPr>
                <w:b/>
                <w:sz w:val="24"/>
                <w:szCs w:val="24"/>
              </w:rPr>
              <w:t>Category of Respondents</w:t>
            </w:r>
          </w:p>
        </w:tc>
        <w:tc>
          <w:tcPr>
            <w:tcW w:w="1957" w:type="dxa"/>
            <w:shd w:val="clear" w:color="auto" w:fill="auto"/>
          </w:tcPr>
          <w:p w:rsidR="00D418B8" w:rsidRPr="00285B63" w:rsidP="00E95500" w14:paraId="0F994B0B" w14:textId="77777777">
            <w:pPr>
              <w:rPr>
                <w:b/>
                <w:sz w:val="24"/>
                <w:szCs w:val="24"/>
              </w:rPr>
            </w:pPr>
            <w:r w:rsidRPr="00285B63">
              <w:rPr>
                <w:b/>
                <w:sz w:val="24"/>
                <w:szCs w:val="24"/>
              </w:rPr>
              <w:t>Number of Respondents</w:t>
            </w:r>
          </w:p>
        </w:tc>
        <w:tc>
          <w:tcPr>
            <w:tcW w:w="1916" w:type="dxa"/>
            <w:shd w:val="clear" w:color="auto" w:fill="auto"/>
          </w:tcPr>
          <w:p w:rsidR="00D418B8" w:rsidRPr="00285B63" w:rsidP="00E95500" w14:paraId="06E0A92F" w14:textId="77777777">
            <w:pPr>
              <w:rPr>
                <w:b/>
                <w:sz w:val="24"/>
                <w:szCs w:val="24"/>
              </w:rPr>
            </w:pPr>
            <w:r w:rsidRPr="00285B63">
              <w:rPr>
                <w:b/>
                <w:sz w:val="24"/>
                <w:szCs w:val="24"/>
              </w:rPr>
              <w:t xml:space="preserve">Number of Responses per Respondent  </w:t>
            </w:r>
          </w:p>
        </w:tc>
        <w:tc>
          <w:tcPr>
            <w:tcW w:w="1357" w:type="dxa"/>
            <w:shd w:val="clear" w:color="auto" w:fill="auto"/>
          </w:tcPr>
          <w:p w:rsidR="00D418B8" w:rsidRPr="00285B63" w:rsidP="00E95500" w14:paraId="73C72EC9" w14:textId="77777777">
            <w:pPr>
              <w:rPr>
                <w:b/>
                <w:sz w:val="24"/>
                <w:szCs w:val="24"/>
              </w:rPr>
            </w:pPr>
            <w:r w:rsidRPr="00285B63">
              <w:rPr>
                <w:b/>
                <w:sz w:val="24"/>
                <w:szCs w:val="24"/>
              </w:rPr>
              <w:t xml:space="preserve">Average Time per Response in Hours </w:t>
            </w:r>
          </w:p>
        </w:tc>
        <w:tc>
          <w:tcPr>
            <w:tcW w:w="1610" w:type="dxa"/>
            <w:shd w:val="clear" w:color="auto" w:fill="auto"/>
          </w:tcPr>
          <w:p w:rsidR="00D418B8" w:rsidRPr="00285B63" w:rsidP="00E95500" w14:paraId="3B5AD67F" w14:textId="77777777">
            <w:pPr>
              <w:rPr>
                <w:b/>
                <w:sz w:val="24"/>
                <w:szCs w:val="24"/>
              </w:rPr>
            </w:pPr>
            <w:r w:rsidRPr="00285B63">
              <w:rPr>
                <w:b/>
                <w:sz w:val="24"/>
                <w:szCs w:val="24"/>
              </w:rPr>
              <w:t xml:space="preserve">Total Annual Burden Hours  </w:t>
            </w:r>
          </w:p>
        </w:tc>
      </w:tr>
      <w:tr w14:paraId="79BABDC5" w14:textId="77777777" w:rsidTr="00E95500">
        <w:tblPrEx>
          <w:tblW w:w="0" w:type="auto"/>
          <w:tblInd w:w="720" w:type="dxa"/>
          <w:tblLook w:val="04A0"/>
        </w:tblPrEx>
        <w:tc>
          <w:tcPr>
            <w:tcW w:w="2106" w:type="dxa"/>
            <w:shd w:val="clear" w:color="auto" w:fill="auto"/>
          </w:tcPr>
          <w:p w:rsidR="00D418B8" w:rsidRPr="00E95500" w:rsidP="00E95500" w14:paraId="04C513C6" w14:textId="77777777">
            <w:pPr>
              <w:rPr>
                <w:bCs/>
                <w:sz w:val="24"/>
                <w:szCs w:val="24"/>
              </w:rPr>
            </w:pPr>
            <w:r w:rsidRPr="00E95500">
              <w:rPr>
                <w:bCs/>
                <w:sz w:val="24"/>
                <w:szCs w:val="24"/>
              </w:rPr>
              <w:t>Individuals (applicant)</w:t>
            </w:r>
          </w:p>
        </w:tc>
        <w:tc>
          <w:tcPr>
            <w:tcW w:w="1957" w:type="dxa"/>
            <w:shd w:val="clear" w:color="auto" w:fill="auto"/>
          </w:tcPr>
          <w:p w:rsidR="00D418B8" w:rsidRPr="00E95500" w:rsidP="00E95500" w14:paraId="1794412A" w14:textId="77777777">
            <w:pPr>
              <w:rPr>
                <w:bCs/>
                <w:sz w:val="24"/>
                <w:szCs w:val="24"/>
              </w:rPr>
            </w:pPr>
            <w:r>
              <w:rPr>
                <w:bCs/>
                <w:sz w:val="24"/>
                <w:szCs w:val="24"/>
              </w:rPr>
              <w:t>15</w:t>
            </w:r>
            <w:r w:rsidR="000603E9">
              <w:rPr>
                <w:bCs/>
                <w:sz w:val="24"/>
                <w:szCs w:val="24"/>
              </w:rPr>
              <w:t xml:space="preserve">,000 </w:t>
            </w:r>
          </w:p>
        </w:tc>
        <w:tc>
          <w:tcPr>
            <w:tcW w:w="1916" w:type="dxa"/>
            <w:shd w:val="clear" w:color="auto" w:fill="auto"/>
          </w:tcPr>
          <w:p w:rsidR="00D418B8" w:rsidRPr="00E95500" w:rsidP="00E95500" w14:paraId="2D949E82" w14:textId="77777777">
            <w:pPr>
              <w:rPr>
                <w:bCs/>
                <w:sz w:val="24"/>
                <w:szCs w:val="24"/>
              </w:rPr>
            </w:pPr>
            <w:r w:rsidRPr="00E95500">
              <w:rPr>
                <w:bCs/>
                <w:sz w:val="24"/>
                <w:szCs w:val="24"/>
              </w:rPr>
              <w:t>1</w:t>
            </w:r>
          </w:p>
        </w:tc>
        <w:tc>
          <w:tcPr>
            <w:tcW w:w="1357" w:type="dxa"/>
            <w:shd w:val="clear" w:color="auto" w:fill="auto"/>
          </w:tcPr>
          <w:p w:rsidR="00D418B8" w:rsidRPr="00E95500" w:rsidP="00E95500" w14:paraId="3991A82F" w14:textId="3E059C34">
            <w:pPr>
              <w:rPr>
                <w:bCs/>
                <w:sz w:val="24"/>
                <w:szCs w:val="24"/>
              </w:rPr>
            </w:pPr>
            <w:r>
              <w:rPr>
                <w:bCs/>
                <w:sz w:val="24"/>
                <w:szCs w:val="24"/>
              </w:rPr>
              <w:t>1</w:t>
            </w:r>
          </w:p>
        </w:tc>
        <w:tc>
          <w:tcPr>
            <w:tcW w:w="1610" w:type="dxa"/>
            <w:shd w:val="clear" w:color="auto" w:fill="auto"/>
          </w:tcPr>
          <w:p w:rsidR="00D418B8" w:rsidRPr="00E95500" w:rsidP="00E95500" w14:paraId="23EDED71" w14:textId="77777777">
            <w:pPr>
              <w:rPr>
                <w:bCs/>
                <w:sz w:val="24"/>
                <w:szCs w:val="24"/>
              </w:rPr>
            </w:pPr>
            <w:r>
              <w:rPr>
                <w:bCs/>
                <w:sz w:val="24"/>
                <w:szCs w:val="24"/>
              </w:rPr>
              <w:t>1</w:t>
            </w:r>
            <w:r w:rsidR="000603E9">
              <w:rPr>
                <w:bCs/>
                <w:sz w:val="24"/>
                <w:szCs w:val="24"/>
              </w:rPr>
              <w:t>5,000</w:t>
            </w:r>
          </w:p>
        </w:tc>
      </w:tr>
      <w:tr w14:paraId="34FE8D10" w14:textId="77777777" w:rsidTr="00E95500">
        <w:tblPrEx>
          <w:tblW w:w="0" w:type="auto"/>
          <w:tblInd w:w="720" w:type="dxa"/>
          <w:tblLook w:val="04A0"/>
        </w:tblPrEx>
        <w:tc>
          <w:tcPr>
            <w:tcW w:w="2106" w:type="dxa"/>
            <w:shd w:val="clear" w:color="auto" w:fill="auto"/>
          </w:tcPr>
          <w:p w:rsidR="00D418B8" w:rsidRPr="00E95500" w:rsidP="00E95500" w14:paraId="0C0F37D7" w14:textId="77777777">
            <w:pPr>
              <w:rPr>
                <w:bCs/>
                <w:sz w:val="24"/>
                <w:szCs w:val="24"/>
              </w:rPr>
            </w:pPr>
            <w:r w:rsidRPr="00E95500">
              <w:rPr>
                <w:bCs/>
                <w:sz w:val="24"/>
                <w:szCs w:val="24"/>
              </w:rPr>
              <w:t xml:space="preserve">Individuals (professional reference) </w:t>
            </w:r>
          </w:p>
        </w:tc>
        <w:tc>
          <w:tcPr>
            <w:tcW w:w="1957" w:type="dxa"/>
            <w:shd w:val="clear" w:color="auto" w:fill="auto"/>
          </w:tcPr>
          <w:p w:rsidR="00D418B8" w:rsidRPr="00E95500" w:rsidP="00E95500" w14:paraId="3EDDDD97" w14:textId="77777777">
            <w:pPr>
              <w:rPr>
                <w:bCs/>
                <w:sz w:val="24"/>
                <w:szCs w:val="24"/>
              </w:rPr>
            </w:pPr>
            <w:r>
              <w:rPr>
                <w:bCs/>
                <w:sz w:val="24"/>
                <w:szCs w:val="24"/>
              </w:rPr>
              <w:t>3</w:t>
            </w:r>
            <w:r w:rsidR="00A040EA">
              <w:rPr>
                <w:bCs/>
                <w:sz w:val="24"/>
                <w:szCs w:val="24"/>
              </w:rPr>
              <w:t>0</w:t>
            </w:r>
            <w:r w:rsidR="000603E9">
              <w:rPr>
                <w:bCs/>
                <w:sz w:val="24"/>
                <w:szCs w:val="24"/>
              </w:rPr>
              <w:t xml:space="preserve">,000 </w:t>
            </w:r>
          </w:p>
        </w:tc>
        <w:tc>
          <w:tcPr>
            <w:tcW w:w="1916" w:type="dxa"/>
            <w:shd w:val="clear" w:color="auto" w:fill="auto"/>
          </w:tcPr>
          <w:p w:rsidR="00D418B8" w:rsidRPr="00E95500" w:rsidP="00E95500" w14:paraId="608AC351" w14:textId="7C879174">
            <w:pPr>
              <w:rPr>
                <w:bCs/>
                <w:sz w:val="24"/>
                <w:szCs w:val="24"/>
              </w:rPr>
            </w:pPr>
            <w:r>
              <w:rPr>
                <w:bCs/>
                <w:sz w:val="24"/>
                <w:szCs w:val="24"/>
              </w:rPr>
              <w:t>2</w:t>
            </w:r>
          </w:p>
        </w:tc>
        <w:tc>
          <w:tcPr>
            <w:tcW w:w="1357" w:type="dxa"/>
            <w:shd w:val="clear" w:color="auto" w:fill="auto"/>
          </w:tcPr>
          <w:p w:rsidR="00D418B8" w:rsidRPr="00E95500" w:rsidP="00E95500" w14:paraId="4673F5FC" w14:textId="78463D65">
            <w:pPr>
              <w:rPr>
                <w:bCs/>
                <w:sz w:val="24"/>
                <w:szCs w:val="24"/>
              </w:rPr>
            </w:pPr>
            <w:r>
              <w:rPr>
                <w:bCs/>
                <w:sz w:val="24"/>
                <w:szCs w:val="24"/>
              </w:rPr>
              <w:t>0.5</w:t>
            </w:r>
          </w:p>
        </w:tc>
        <w:tc>
          <w:tcPr>
            <w:tcW w:w="1610" w:type="dxa"/>
            <w:shd w:val="clear" w:color="auto" w:fill="auto"/>
          </w:tcPr>
          <w:p w:rsidR="00D418B8" w:rsidRPr="00E95500" w:rsidP="00E95500" w14:paraId="69B08C2D" w14:textId="77777777">
            <w:pPr>
              <w:rPr>
                <w:bCs/>
                <w:sz w:val="24"/>
                <w:szCs w:val="24"/>
              </w:rPr>
            </w:pPr>
            <w:r>
              <w:rPr>
                <w:bCs/>
                <w:sz w:val="24"/>
                <w:szCs w:val="24"/>
              </w:rPr>
              <w:t>15</w:t>
            </w:r>
            <w:r w:rsidR="000603E9">
              <w:rPr>
                <w:bCs/>
                <w:sz w:val="24"/>
                <w:szCs w:val="24"/>
              </w:rPr>
              <w:t>,000</w:t>
            </w:r>
          </w:p>
        </w:tc>
      </w:tr>
      <w:tr w14:paraId="52EF7428" w14:textId="77777777" w:rsidTr="00E95500">
        <w:tblPrEx>
          <w:tblW w:w="0" w:type="auto"/>
          <w:tblInd w:w="720" w:type="dxa"/>
          <w:tblLook w:val="04A0"/>
        </w:tblPrEx>
        <w:tc>
          <w:tcPr>
            <w:tcW w:w="2106" w:type="dxa"/>
            <w:shd w:val="clear" w:color="auto" w:fill="auto"/>
          </w:tcPr>
          <w:p w:rsidR="00D418B8" w:rsidRPr="00E95500" w:rsidP="00E95500" w14:paraId="24767C2D" w14:textId="77777777">
            <w:pPr>
              <w:rPr>
                <w:bCs/>
                <w:sz w:val="24"/>
                <w:szCs w:val="24"/>
              </w:rPr>
            </w:pPr>
            <w:r w:rsidRPr="00E95500">
              <w:rPr>
                <w:bCs/>
                <w:sz w:val="24"/>
                <w:szCs w:val="24"/>
              </w:rPr>
              <w:t xml:space="preserve">Individuals (program participant) </w:t>
            </w:r>
          </w:p>
        </w:tc>
        <w:tc>
          <w:tcPr>
            <w:tcW w:w="1957" w:type="dxa"/>
            <w:shd w:val="clear" w:color="auto" w:fill="auto"/>
          </w:tcPr>
          <w:p w:rsidR="00D418B8" w:rsidRPr="00E95500" w:rsidP="00E95500" w14:paraId="70868A42" w14:textId="77777777">
            <w:pPr>
              <w:rPr>
                <w:bCs/>
                <w:sz w:val="24"/>
                <w:szCs w:val="24"/>
              </w:rPr>
            </w:pPr>
            <w:r>
              <w:rPr>
                <w:bCs/>
                <w:sz w:val="24"/>
                <w:szCs w:val="24"/>
              </w:rPr>
              <w:t>5,000</w:t>
            </w:r>
          </w:p>
        </w:tc>
        <w:tc>
          <w:tcPr>
            <w:tcW w:w="1916" w:type="dxa"/>
            <w:shd w:val="clear" w:color="auto" w:fill="auto"/>
          </w:tcPr>
          <w:p w:rsidR="00D418B8" w:rsidRPr="00E95500" w:rsidP="00E95500" w14:paraId="747303DA" w14:textId="77777777">
            <w:pPr>
              <w:rPr>
                <w:bCs/>
                <w:sz w:val="24"/>
                <w:szCs w:val="24"/>
              </w:rPr>
            </w:pPr>
            <w:r>
              <w:rPr>
                <w:bCs/>
                <w:sz w:val="24"/>
                <w:szCs w:val="24"/>
              </w:rPr>
              <w:t>1</w:t>
            </w:r>
          </w:p>
        </w:tc>
        <w:tc>
          <w:tcPr>
            <w:tcW w:w="1357" w:type="dxa"/>
            <w:shd w:val="clear" w:color="auto" w:fill="auto"/>
          </w:tcPr>
          <w:p w:rsidR="00D418B8" w:rsidRPr="00E95500" w:rsidP="00E95500" w14:paraId="7B67C863" w14:textId="39AE48F9">
            <w:pPr>
              <w:rPr>
                <w:bCs/>
                <w:sz w:val="24"/>
                <w:szCs w:val="24"/>
              </w:rPr>
            </w:pPr>
            <w:r>
              <w:rPr>
                <w:bCs/>
                <w:sz w:val="24"/>
                <w:szCs w:val="24"/>
              </w:rPr>
              <w:t>0.1</w:t>
            </w:r>
            <w:r w:rsidR="00CF195F">
              <w:rPr>
                <w:bCs/>
                <w:sz w:val="24"/>
                <w:szCs w:val="24"/>
              </w:rPr>
              <w:t>667</w:t>
            </w:r>
          </w:p>
        </w:tc>
        <w:tc>
          <w:tcPr>
            <w:tcW w:w="1610" w:type="dxa"/>
            <w:shd w:val="clear" w:color="auto" w:fill="auto"/>
          </w:tcPr>
          <w:p w:rsidR="00D418B8" w:rsidRPr="00E95500" w:rsidP="00E95500" w14:paraId="577F8A74" w14:textId="77777777">
            <w:pPr>
              <w:rPr>
                <w:bCs/>
                <w:sz w:val="24"/>
                <w:szCs w:val="24"/>
              </w:rPr>
            </w:pPr>
            <w:r>
              <w:rPr>
                <w:bCs/>
                <w:sz w:val="24"/>
                <w:szCs w:val="24"/>
              </w:rPr>
              <w:t>833</w:t>
            </w:r>
          </w:p>
        </w:tc>
      </w:tr>
      <w:tr w14:paraId="68F461D8" w14:textId="77777777" w:rsidTr="00E95500">
        <w:tblPrEx>
          <w:tblW w:w="0" w:type="auto"/>
          <w:tblInd w:w="720" w:type="dxa"/>
          <w:tblLook w:val="04A0"/>
        </w:tblPrEx>
        <w:tc>
          <w:tcPr>
            <w:tcW w:w="2106" w:type="dxa"/>
            <w:shd w:val="clear" w:color="auto" w:fill="auto"/>
          </w:tcPr>
          <w:p w:rsidR="00D418B8" w:rsidRPr="00E95500" w:rsidP="00E95500" w14:paraId="47481193" w14:textId="77777777">
            <w:pPr>
              <w:rPr>
                <w:bCs/>
                <w:sz w:val="24"/>
                <w:szCs w:val="24"/>
              </w:rPr>
            </w:pPr>
            <w:r w:rsidRPr="00E95500">
              <w:rPr>
                <w:bCs/>
                <w:sz w:val="24"/>
                <w:szCs w:val="24"/>
              </w:rPr>
              <w:t xml:space="preserve">Total </w:t>
            </w:r>
          </w:p>
        </w:tc>
        <w:tc>
          <w:tcPr>
            <w:tcW w:w="1957" w:type="dxa"/>
            <w:shd w:val="clear" w:color="auto" w:fill="auto"/>
          </w:tcPr>
          <w:p w:rsidR="00D418B8" w:rsidRPr="00E95500" w:rsidP="00E95500" w14:paraId="32D71596" w14:textId="77777777">
            <w:pPr>
              <w:rPr>
                <w:bCs/>
                <w:sz w:val="24"/>
                <w:szCs w:val="24"/>
              </w:rPr>
            </w:pPr>
          </w:p>
        </w:tc>
        <w:tc>
          <w:tcPr>
            <w:tcW w:w="1916" w:type="dxa"/>
            <w:shd w:val="clear" w:color="auto" w:fill="auto"/>
          </w:tcPr>
          <w:p w:rsidR="00D418B8" w:rsidRPr="00E95500" w:rsidP="00E95500" w14:paraId="0063E587" w14:textId="77777777">
            <w:pPr>
              <w:rPr>
                <w:bCs/>
                <w:sz w:val="24"/>
                <w:szCs w:val="24"/>
              </w:rPr>
            </w:pPr>
          </w:p>
        </w:tc>
        <w:tc>
          <w:tcPr>
            <w:tcW w:w="1357" w:type="dxa"/>
            <w:shd w:val="clear" w:color="auto" w:fill="auto"/>
          </w:tcPr>
          <w:p w:rsidR="00D418B8" w:rsidRPr="00E95500" w:rsidP="00E95500" w14:paraId="13690AD7" w14:textId="77777777">
            <w:pPr>
              <w:rPr>
                <w:bCs/>
                <w:sz w:val="24"/>
                <w:szCs w:val="24"/>
              </w:rPr>
            </w:pPr>
          </w:p>
        </w:tc>
        <w:tc>
          <w:tcPr>
            <w:tcW w:w="1610" w:type="dxa"/>
            <w:shd w:val="clear" w:color="auto" w:fill="auto"/>
          </w:tcPr>
          <w:p w:rsidR="00D418B8" w:rsidRPr="00E95500" w:rsidP="00E95500" w14:paraId="3FD1A6AF" w14:textId="546CF336">
            <w:pPr>
              <w:rPr>
                <w:bCs/>
                <w:sz w:val="24"/>
                <w:szCs w:val="24"/>
              </w:rPr>
            </w:pPr>
            <w:r>
              <w:rPr>
                <w:bCs/>
                <w:sz w:val="24"/>
                <w:szCs w:val="24"/>
              </w:rPr>
              <w:t xml:space="preserve">30,833 </w:t>
            </w:r>
          </w:p>
        </w:tc>
      </w:tr>
    </w:tbl>
    <w:p w:rsidR="00D418B8" w:rsidP="00C83D7D" w14:paraId="025A7875" w14:textId="77777777">
      <w:pPr>
        <w:ind w:left="720"/>
        <w:rPr>
          <w:bCs/>
          <w:sz w:val="24"/>
          <w:szCs w:val="24"/>
        </w:rPr>
      </w:pPr>
    </w:p>
    <w:p w:rsidR="00C83D7D" w:rsidP="00C83D7D" w14:paraId="63CBE3F0" w14:textId="77777777">
      <w:pPr>
        <w:ind w:left="720"/>
        <w:rPr>
          <w:bCs/>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2172"/>
        <w:gridCol w:w="2158"/>
        <w:gridCol w:w="1981"/>
      </w:tblGrid>
      <w:tr w14:paraId="71EF61B2" w14:textId="77777777" w:rsidTr="00E95500">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66" w:type="dxa"/>
            <w:shd w:val="clear" w:color="auto" w:fill="auto"/>
          </w:tcPr>
          <w:p w:rsidR="00C83D7D" w:rsidRPr="00285B63" w:rsidP="00C83D7D" w14:paraId="1FF45A50" w14:textId="77777777">
            <w:pPr>
              <w:rPr>
                <w:b/>
                <w:sz w:val="24"/>
                <w:szCs w:val="24"/>
              </w:rPr>
            </w:pPr>
            <w:r w:rsidRPr="00285B63">
              <w:rPr>
                <w:b/>
                <w:sz w:val="24"/>
                <w:szCs w:val="24"/>
              </w:rPr>
              <w:t>Category of Respondents</w:t>
            </w:r>
          </w:p>
        </w:tc>
        <w:tc>
          <w:tcPr>
            <w:tcW w:w="2247" w:type="dxa"/>
            <w:shd w:val="clear" w:color="auto" w:fill="auto"/>
          </w:tcPr>
          <w:p w:rsidR="00C83D7D" w:rsidRPr="00285B63" w:rsidP="00C83D7D" w14:paraId="7C397DA9" w14:textId="77777777">
            <w:pPr>
              <w:rPr>
                <w:b/>
                <w:sz w:val="24"/>
                <w:szCs w:val="24"/>
              </w:rPr>
            </w:pPr>
            <w:r w:rsidRPr="00285B63">
              <w:rPr>
                <w:b/>
                <w:sz w:val="24"/>
                <w:szCs w:val="24"/>
              </w:rPr>
              <w:t>Total Annual Burden Hours</w:t>
            </w:r>
          </w:p>
        </w:tc>
        <w:tc>
          <w:tcPr>
            <w:tcW w:w="2235" w:type="dxa"/>
            <w:shd w:val="clear" w:color="auto" w:fill="auto"/>
          </w:tcPr>
          <w:p w:rsidR="00C83D7D" w:rsidRPr="00285B63" w:rsidP="00C83D7D" w14:paraId="4496AAFD" w14:textId="77777777">
            <w:pPr>
              <w:rPr>
                <w:b/>
                <w:sz w:val="24"/>
                <w:szCs w:val="24"/>
              </w:rPr>
            </w:pPr>
            <w:r w:rsidRPr="00285B63">
              <w:rPr>
                <w:b/>
                <w:sz w:val="24"/>
                <w:szCs w:val="24"/>
              </w:rPr>
              <w:t xml:space="preserve">Hourly Wage Rate </w:t>
            </w:r>
          </w:p>
        </w:tc>
        <w:tc>
          <w:tcPr>
            <w:tcW w:w="1998" w:type="dxa"/>
            <w:shd w:val="clear" w:color="auto" w:fill="auto"/>
          </w:tcPr>
          <w:p w:rsidR="00C83D7D" w:rsidRPr="00285B63" w:rsidP="00C83D7D" w14:paraId="632A89A5" w14:textId="77777777">
            <w:pPr>
              <w:rPr>
                <w:b/>
                <w:sz w:val="24"/>
                <w:szCs w:val="24"/>
              </w:rPr>
            </w:pPr>
            <w:r w:rsidRPr="00285B63">
              <w:rPr>
                <w:b/>
                <w:sz w:val="24"/>
                <w:szCs w:val="24"/>
              </w:rPr>
              <w:t xml:space="preserve">Respondent Cost </w:t>
            </w:r>
          </w:p>
        </w:tc>
      </w:tr>
      <w:tr w14:paraId="67E9703A" w14:textId="77777777" w:rsidTr="00E95500">
        <w:tblPrEx>
          <w:tblW w:w="0" w:type="auto"/>
          <w:tblInd w:w="720" w:type="dxa"/>
          <w:tblLook w:val="04A0"/>
        </w:tblPrEx>
        <w:tc>
          <w:tcPr>
            <w:tcW w:w="2466" w:type="dxa"/>
            <w:shd w:val="clear" w:color="auto" w:fill="auto"/>
          </w:tcPr>
          <w:p w:rsidR="00C83D7D" w:rsidRPr="00E95500" w:rsidP="00C83D7D" w14:paraId="0783D2F1" w14:textId="77777777">
            <w:pPr>
              <w:rPr>
                <w:bCs/>
                <w:sz w:val="24"/>
                <w:szCs w:val="24"/>
              </w:rPr>
            </w:pPr>
            <w:r w:rsidRPr="00E95500">
              <w:rPr>
                <w:bCs/>
                <w:sz w:val="24"/>
                <w:szCs w:val="24"/>
              </w:rPr>
              <w:t>Individuals (applicant)</w:t>
            </w:r>
          </w:p>
        </w:tc>
        <w:tc>
          <w:tcPr>
            <w:tcW w:w="2247" w:type="dxa"/>
            <w:shd w:val="clear" w:color="auto" w:fill="auto"/>
          </w:tcPr>
          <w:p w:rsidR="00C83D7D" w:rsidRPr="00E95500" w:rsidP="00C83D7D" w14:paraId="674022F8" w14:textId="77777777">
            <w:pPr>
              <w:rPr>
                <w:bCs/>
                <w:sz w:val="24"/>
                <w:szCs w:val="24"/>
              </w:rPr>
            </w:pPr>
            <w:r>
              <w:rPr>
                <w:bCs/>
                <w:sz w:val="24"/>
                <w:szCs w:val="24"/>
              </w:rPr>
              <w:t>15,000</w:t>
            </w:r>
          </w:p>
        </w:tc>
        <w:tc>
          <w:tcPr>
            <w:tcW w:w="2235" w:type="dxa"/>
            <w:shd w:val="clear" w:color="auto" w:fill="auto"/>
          </w:tcPr>
          <w:p w:rsidR="00C83D7D" w:rsidRPr="00E95500" w:rsidP="00C83D7D" w14:paraId="228A5F82" w14:textId="77777777">
            <w:pPr>
              <w:rPr>
                <w:bCs/>
                <w:sz w:val="24"/>
                <w:szCs w:val="24"/>
              </w:rPr>
            </w:pPr>
            <w:r w:rsidRPr="00E95500">
              <w:rPr>
                <w:bCs/>
                <w:sz w:val="24"/>
                <w:szCs w:val="24"/>
              </w:rPr>
              <w:t>$22.26</w:t>
            </w:r>
          </w:p>
        </w:tc>
        <w:tc>
          <w:tcPr>
            <w:tcW w:w="1998" w:type="dxa"/>
            <w:shd w:val="clear" w:color="auto" w:fill="auto"/>
          </w:tcPr>
          <w:p w:rsidR="00C83D7D" w:rsidRPr="00E95500" w:rsidP="00285B63" w14:paraId="317EC8C8" w14:textId="77777777">
            <w:pPr>
              <w:ind w:firstLine="720"/>
              <w:jc w:val="right"/>
              <w:rPr>
                <w:bCs/>
                <w:sz w:val="24"/>
                <w:szCs w:val="24"/>
              </w:rPr>
            </w:pPr>
            <w:r>
              <w:rPr>
                <w:bCs/>
                <w:sz w:val="24"/>
                <w:szCs w:val="24"/>
              </w:rPr>
              <w:t>333,900</w:t>
            </w:r>
          </w:p>
        </w:tc>
      </w:tr>
      <w:tr w14:paraId="4AC90E95" w14:textId="77777777" w:rsidTr="00E95500">
        <w:tblPrEx>
          <w:tblW w:w="0" w:type="auto"/>
          <w:tblInd w:w="720" w:type="dxa"/>
          <w:tblLook w:val="04A0"/>
        </w:tblPrEx>
        <w:tc>
          <w:tcPr>
            <w:tcW w:w="2466" w:type="dxa"/>
            <w:shd w:val="clear" w:color="auto" w:fill="auto"/>
          </w:tcPr>
          <w:p w:rsidR="00C83D7D" w:rsidRPr="00E95500" w:rsidP="00C83D7D" w14:paraId="01835D88" w14:textId="77777777">
            <w:pPr>
              <w:rPr>
                <w:bCs/>
                <w:sz w:val="24"/>
                <w:szCs w:val="24"/>
              </w:rPr>
            </w:pPr>
            <w:r w:rsidRPr="00E95500">
              <w:rPr>
                <w:bCs/>
                <w:sz w:val="24"/>
                <w:szCs w:val="24"/>
              </w:rPr>
              <w:t>Individuals (</w:t>
            </w:r>
            <w:r w:rsidRPr="00E95500" w:rsidR="00D418B8">
              <w:rPr>
                <w:bCs/>
                <w:sz w:val="24"/>
                <w:szCs w:val="24"/>
              </w:rPr>
              <w:t>professional reference</w:t>
            </w:r>
            <w:r w:rsidRPr="00E95500">
              <w:rPr>
                <w:bCs/>
                <w:sz w:val="24"/>
                <w:szCs w:val="24"/>
              </w:rPr>
              <w:t xml:space="preserve">) </w:t>
            </w:r>
          </w:p>
        </w:tc>
        <w:tc>
          <w:tcPr>
            <w:tcW w:w="2247" w:type="dxa"/>
            <w:shd w:val="clear" w:color="auto" w:fill="auto"/>
          </w:tcPr>
          <w:p w:rsidR="00C83D7D" w:rsidRPr="00E95500" w:rsidP="00C83D7D" w14:paraId="27A7D292" w14:textId="77777777">
            <w:pPr>
              <w:rPr>
                <w:bCs/>
                <w:sz w:val="24"/>
                <w:szCs w:val="24"/>
              </w:rPr>
            </w:pPr>
            <w:r>
              <w:rPr>
                <w:bCs/>
                <w:sz w:val="24"/>
                <w:szCs w:val="24"/>
              </w:rPr>
              <w:t>1</w:t>
            </w:r>
            <w:r w:rsidR="00A040EA">
              <w:rPr>
                <w:bCs/>
                <w:sz w:val="24"/>
                <w:szCs w:val="24"/>
              </w:rPr>
              <w:t>5,000</w:t>
            </w:r>
          </w:p>
        </w:tc>
        <w:tc>
          <w:tcPr>
            <w:tcW w:w="2235" w:type="dxa"/>
            <w:shd w:val="clear" w:color="auto" w:fill="auto"/>
          </w:tcPr>
          <w:p w:rsidR="00C83D7D" w:rsidRPr="00E95500" w:rsidP="00C83D7D" w14:paraId="6C45EC4D" w14:textId="77777777">
            <w:pPr>
              <w:rPr>
                <w:bCs/>
                <w:sz w:val="24"/>
                <w:szCs w:val="24"/>
              </w:rPr>
            </w:pPr>
            <w:r w:rsidRPr="00E95500">
              <w:rPr>
                <w:bCs/>
                <w:sz w:val="24"/>
                <w:szCs w:val="24"/>
              </w:rPr>
              <w:t>$2</w:t>
            </w:r>
            <w:r w:rsidR="009F3573">
              <w:rPr>
                <w:bCs/>
                <w:sz w:val="24"/>
                <w:szCs w:val="24"/>
              </w:rPr>
              <w:t>7</w:t>
            </w:r>
            <w:r w:rsidRPr="00E95500">
              <w:rPr>
                <w:bCs/>
                <w:sz w:val="24"/>
                <w:szCs w:val="24"/>
              </w:rPr>
              <w:t>.64</w:t>
            </w:r>
          </w:p>
        </w:tc>
        <w:tc>
          <w:tcPr>
            <w:tcW w:w="1998" w:type="dxa"/>
            <w:shd w:val="clear" w:color="auto" w:fill="auto"/>
          </w:tcPr>
          <w:p w:rsidR="00C83D7D" w:rsidRPr="00E95500" w:rsidP="00285B63" w14:paraId="51873354" w14:textId="77777777">
            <w:pPr>
              <w:jc w:val="right"/>
              <w:rPr>
                <w:bCs/>
                <w:sz w:val="24"/>
                <w:szCs w:val="24"/>
              </w:rPr>
            </w:pPr>
            <w:r>
              <w:rPr>
                <w:bCs/>
                <w:sz w:val="24"/>
                <w:szCs w:val="24"/>
              </w:rPr>
              <w:t>414,600</w:t>
            </w:r>
          </w:p>
        </w:tc>
      </w:tr>
      <w:tr w14:paraId="15BECD53" w14:textId="77777777" w:rsidTr="00E95500">
        <w:tblPrEx>
          <w:tblW w:w="0" w:type="auto"/>
          <w:tblInd w:w="720" w:type="dxa"/>
          <w:tblLook w:val="04A0"/>
        </w:tblPrEx>
        <w:tc>
          <w:tcPr>
            <w:tcW w:w="2466" w:type="dxa"/>
            <w:shd w:val="clear" w:color="auto" w:fill="auto"/>
          </w:tcPr>
          <w:p w:rsidR="00C83D7D" w:rsidRPr="00E95500" w:rsidP="00C83D7D" w14:paraId="1E4147A4" w14:textId="77777777">
            <w:pPr>
              <w:rPr>
                <w:bCs/>
                <w:sz w:val="24"/>
                <w:szCs w:val="24"/>
              </w:rPr>
            </w:pPr>
            <w:r w:rsidRPr="00E95500">
              <w:rPr>
                <w:bCs/>
                <w:sz w:val="24"/>
                <w:szCs w:val="24"/>
              </w:rPr>
              <w:t xml:space="preserve">Individuals (program participant) </w:t>
            </w:r>
          </w:p>
        </w:tc>
        <w:tc>
          <w:tcPr>
            <w:tcW w:w="2247" w:type="dxa"/>
            <w:shd w:val="clear" w:color="auto" w:fill="auto"/>
          </w:tcPr>
          <w:p w:rsidR="00C83D7D" w:rsidRPr="00E95500" w:rsidP="00C83D7D" w14:paraId="49662C6E" w14:textId="77777777">
            <w:pPr>
              <w:rPr>
                <w:bCs/>
                <w:sz w:val="24"/>
                <w:szCs w:val="24"/>
              </w:rPr>
            </w:pPr>
            <w:r>
              <w:rPr>
                <w:bCs/>
                <w:sz w:val="24"/>
                <w:szCs w:val="24"/>
              </w:rPr>
              <w:t>833</w:t>
            </w:r>
          </w:p>
        </w:tc>
        <w:tc>
          <w:tcPr>
            <w:tcW w:w="2235" w:type="dxa"/>
            <w:shd w:val="clear" w:color="auto" w:fill="auto"/>
          </w:tcPr>
          <w:p w:rsidR="00C83D7D" w:rsidRPr="00E95500" w:rsidP="00C83D7D" w14:paraId="6FC3473C" w14:textId="77777777">
            <w:pPr>
              <w:rPr>
                <w:bCs/>
                <w:sz w:val="24"/>
                <w:szCs w:val="24"/>
              </w:rPr>
            </w:pPr>
            <w:r w:rsidRPr="00E95500">
              <w:rPr>
                <w:bCs/>
                <w:sz w:val="24"/>
                <w:szCs w:val="24"/>
              </w:rPr>
              <w:t>$22.26</w:t>
            </w:r>
          </w:p>
        </w:tc>
        <w:tc>
          <w:tcPr>
            <w:tcW w:w="1998" w:type="dxa"/>
            <w:shd w:val="clear" w:color="auto" w:fill="auto"/>
          </w:tcPr>
          <w:p w:rsidR="00C83D7D" w:rsidRPr="00E95500" w:rsidP="00285B63" w14:paraId="3190A961" w14:textId="77777777">
            <w:pPr>
              <w:jc w:val="right"/>
              <w:rPr>
                <w:bCs/>
                <w:sz w:val="24"/>
                <w:szCs w:val="24"/>
              </w:rPr>
            </w:pPr>
            <w:r>
              <w:rPr>
                <w:bCs/>
                <w:sz w:val="24"/>
                <w:szCs w:val="24"/>
              </w:rPr>
              <w:t>$18,550</w:t>
            </w:r>
          </w:p>
        </w:tc>
      </w:tr>
      <w:tr w14:paraId="77782AF8" w14:textId="77777777" w:rsidTr="00E95500">
        <w:tblPrEx>
          <w:tblW w:w="0" w:type="auto"/>
          <w:tblInd w:w="720" w:type="dxa"/>
          <w:tblLook w:val="04A0"/>
        </w:tblPrEx>
        <w:tc>
          <w:tcPr>
            <w:tcW w:w="2466" w:type="dxa"/>
            <w:shd w:val="clear" w:color="auto" w:fill="auto"/>
          </w:tcPr>
          <w:p w:rsidR="00D418B8" w:rsidRPr="00E95500" w:rsidP="00C83D7D" w14:paraId="53D7AFE2" w14:textId="77777777">
            <w:pPr>
              <w:rPr>
                <w:bCs/>
                <w:sz w:val="24"/>
                <w:szCs w:val="24"/>
              </w:rPr>
            </w:pPr>
            <w:r w:rsidRPr="00E95500">
              <w:rPr>
                <w:bCs/>
                <w:sz w:val="24"/>
                <w:szCs w:val="24"/>
              </w:rPr>
              <w:t xml:space="preserve">Total </w:t>
            </w:r>
          </w:p>
        </w:tc>
        <w:tc>
          <w:tcPr>
            <w:tcW w:w="2247" w:type="dxa"/>
            <w:shd w:val="clear" w:color="auto" w:fill="auto"/>
          </w:tcPr>
          <w:p w:rsidR="00D418B8" w:rsidRPr="00E95500" w:rsidP="00C83D7D" w14:paraId="14835CED" w14:textId="77777777">
            <w:pPr>
              <w:rPr>
                <w:bCs/>
                <w:sz w:val="24"/>
                <w:szCs w:val="24"/>
              </w:rPr>
            </w:pPr>
          </w:p>
        </w:tc>
        <w:tc>
          <w:tcPr>
            <w:tcW w:w="2235" w:type="dxa"/>
            <w:shd w:val="clear" w:color="auto" w:fill="auto"/>
          </w:tcPr>
          <w:p w:rsidR="00D418B8" w:rsidRPr="00E95500" w:rsidP="00C83D7D" w14:paraId="0E90B230" w14:textId="77777777">
            <w:pPr>
              <w:rPr>
                <w:bCs/>
                <w:sz w:val="24"/>
                <w:szCs w:val="24"/>
              </w:rPr>
            </w:pPr>
          </w:p>
        </w:tc>
        <w:tc>
          <w:tcPr>
            <w:tcW w:w="1998" w:type="dxa"/>
            <w:shd w:val="clear" w:color="auto" w:fill="auto"/>
          </w:tcPr>
          <w:p w:rsidR="00D418B8" w:rsidRPr="00E95500" w:rsidP="00285B63" w14:paraId="601096DB" w14:textId="77777777">
            <w:pPr>
              <w:jc w:val="right"/>
              <w:rPr>
                <w:bCs/>
                <w:sz w:val="24"/>
                <w:szCs w:val="24"/>
              </w:rPr>
            </w:pPr>
            <w:r>
              <w:rPr>
                <w:bCs/>
                <w:sz w:val="24"/>
                <w:szCs w:val="24"/>
              </w:rPr>
              <w:t>$767,000</w:t>
            </w:r>
          </w:p>
        </w:tc>
      </w:tr>
    </w:tbl>
    <w:p w:rsidR="00EF0ACF" w:rsidRPr="00020F66" w:rsidP="006622D4" w14:paraId="58155D02" w14:textId="77777777">
      <w:pPr>
        <w:rPr>
          <w:b/>
          <w:sz w:val="24"/>
          <w:szCs w:val="24"/>
        </w:rPr>
      </w:pPr>
    </w:p>
    <w:p w:rsidR="00071F56" w:rsidRPr="00020F66" w:rsidP="006622D4" w14:paraId="469E0BBD" w14:textId="77777777">
      <w:pPr>
        <w:rPr>
          <w:sz w:val="24"/>
          <w:szCs w:val="24"/>
        </w:rPr>
      </w:pPr>
    </w:p>
    <w:p w:rsidR="00071F56" w:rsidRPr="00A33FC8" w:rsidP="00A33FC8" w14:paraId="38352EB9" w14:textId="62C67504">
      <w:pPr>
        <w:pStyle w:val="ListParagraph"/>
        <w:numPr>
          <w:ilvl w:val="0"/>
          <w:numId w:val="26"/>
        </w:numPr>
        <w:rPr>
          <w:b/>
          <w:sz w:val="24"/>
          <w:szCs w:val="24"/>
        </w:rPr>
      </w:pPr>
      <w:r w:rsidRPr="00A33FC8">
        <w:rPr>
          <w:b/>
          <w:sz w:val="24"/>
          <w:szCs w:val="24"/>
        </w:rPr>
        <w:t>Provide estimates of t</w:t>
      </w:r>
      <w:r w:rsidRPr="00A33FC8" w:rsidR="00CE7854">
        <w:rPr>
          <w:b/>
          <w:sz w:val="24"/>
          <w:szCs w:val="24"/>
        </w:rPr>
        <w:t xml:space="preserve">he total annual cost burden to </w:t>
      </w:r>
      <w:r w:rsidRPr="00A33FC8">
        <w:rPr>
          <w:b/>
          <w:sz w:val="24"/>
          <w:szCs w:val="24"/>
        </w:rPr>
        <w:t>respondents or record keepers resulting from the collection of information, (do not include the cost of any hour burden shown in items 12 and 14).  The cost estimates should be split into two components: (a) a t</w:t>
      </w:r>
      <w:r w:rsidRPr="00A33FC8" w:rsidR="00CE7854">
        <w:rPr>
          <w:b/>
          <w:sz w:val="24"/>
          <w:szCs w:val="24"/>
        </w:rPr>
        <w:t xml:space="preserve">otal capital and start-up cost </w:t>
      </w:r>
      <w:r w:rsidRPr="00A33FC8">
        <w:rPr>
          <w:b/>
          <w:sz w:val="24"/>
          <w:szCs w:val="24"/>
        </w:rPr>
        <w:t>component annualized over its expected useful life; and (b) a total operation and mainte</w:t>
      </w:r>
      <w:r w:rsidRPr="00A33FC8" w:rsidR="00F93B68">
        <w:rPr>
          <w:b/>
          <w:sz w:val="24"/>
          <w:szCs w:val="24"/>
        </w:rPr>
        <w:t xml:space="preserve">nance and purchase of services </w:t>
      </w:r>
      <w:r w:rsidRPr="00A33FC8">
        <w:rPr>
          <w:b/>
          <w:sz w:val="24"/>
          <w:szCs w:val="24"/>
        </w:rPr>
        <w:t>component.</w:t>
      </w:r>
    </w:p>
    <w:p w:rsidR="004729D6" w:rsidRPr="00020F66" w:rsidP="006622D4" w14:paraId="6B4E399C" w14:textId="77777777">
      <w:pPr>
        <w:rPr>
          <w:b/>
          <w:sz w:val="24"/>
          <w:szCs w:val="24"/>
        </w:rPr>
      </w:pPr>
    </w:p>
    <w:p w:rsidR="00AC09B3" w:rsidRPr="00020F66" w:rsidP="00A3569C" w14:paraId="3304FDAC" w14:textId="77777777">
      <w:pPr>
        <w:numPr>
          <w:ilvl w:val="0"/>
          <w:numId w:val="23"/>
        </w:numPr>
        <w:ind w:left="1080"/>
        <w:rPr>
          <w:bCs/>
          <w:sz w:val="24"/>
          <w:szCs w:val="24"/>
        </w:rPr>
      </w:pPr>
      <w:r w:rsidRPr="00AC09B3">
        <w:rPr>
          <w:bCs/>
          <w:sz w:val="24"/>
          <w:szCs w:val="24"/>
        </w:rPr>
        <w:t xml:space="preserve">There are no other capital or maintenance costs to respondents.  </w:t>
      </w:r>
    </w:p>
    <w:p w:rsidR="00AC09B3" w:rsidRPr="00AC09B3" w:rsidP="00AC09B3" w14:paraId="61848DD1" w14:textId="77777777">
      <w:pPr>
        <w:numPr>
          <w:ilvl w:val="0"/>
          <w:numId w:val="23"/>
        </w:numPr>
        <w:ind w:left="1080"/>
        <w:rPr>
          <w:bCs/>
          <w:sz w:val="24"/>
          <w:szCs w:val="24"/>
        </w:rPr>
      </w:pPr>
      <w:r w:rsidRPr="00020F66">
        <w:rPr>
          <w:bCs/>
          <w:sz w:val="24"/>
          <w:szCs w:val="24"/>
        </w:rPr>
        <w:t xml:space="preserve">Total operation maintenance and purchase of services: </w:t>
      </w:r>
      <w:r w:rsidR="00433CE4">
        <w:rPr>
          <w:bCs/>
          <w:sz w:val="24"/>
          <w:szCs w:val="24"/>
        </w:rPr>
        <w:t>$536,000.</w:t>
      </w:r>
    </w:p>
    <w:p w:rsidR="00071F56" w:rsidRPr="00020F66" w:rsidP="00A3569C" w14:paraId="35417F11" w14:textId="77777777">
      <w:pPr>
        <w:ind w:left="720"/>
        <w:rPr>
          <w:b/>
          <w:sz w:val="24"/>
          <w:szCs w:val="24"/>
        </w:rPr>
      </w:pPr>
    </w:p>
    <w:p w:rsidR="00071F56" w:rsidRPr="00A33FC8" w:rsidP="00A33FC8" w14:paraId="2CB4777C" w14:textId="4B37AEDA">
      <w:pPr>
        <w:pStyle w:val="ListParagraph"/>
        <w:numPr>
          <w:ilvl w:val="0"/>
          <w:numId w:val="26"/>
        </w:numPr>
        <w:rPr>
          <w:b/>
          <w:sz w:val="24"/>
          <w:szCs w:val="24"/>
        </w:rPr>
      </w:pPr>
      <w:r w:rsidRPr="00A33FC8">
        <w:rPr>
          <w:b/>
          <w:sz w:val="24"/>
          <w:szCs w:val="24"/>
        </w:rPr>
        <w:t>Provide estimates of annualized cost to the Federal government</w:t>
      </w:r>
      <w:r w:rsidRPr="00A33FC8">
        <w:rPr>
          <w:sz w:val="24"/>
          <w:szCs w:val="24"/>
        </w:rPr>
        <w:t xml:space="preserve">.  </w:t>
      </w:r>
      <w:r w:rsidRPr="00A33FC8">
        <w:rPr>
          <w:b/>
          <w:sz w:val="24"/>
          <w:szCs w:val="24"/>
        </w:rPr>
        <w:t>Also, provide a description of the method used to estimate cost and any other expense that would not have been incurred without this collection of information.</w:t>
      </w:r>
    </w:p>
    <w:p w:rsidR="00AC09B3" w:rsidP="00F80774" w14:paraId="22588E64" w14:textId="77777777">
      <w:pPr>
        <w:ind w:left="720"/>
        <w:rPr>
          <w:b/>
          <w:sz w:val="24"/>
          <w:szCs w:val="24"/>
        </w:rPr>
      </w:pPr>
    </w:p>
    <w:p w:rsidR="00AC09B3" w:rsidRPr="007B45F4" w:rsidP="00AC09B3" w14:paraId="3A5B4A9A" w14:textId="77777777">
      <w:pPr>
        <w:ind w:left="720"/>
        <w:rPr>
          <w:bCs/>
          <w:sz w:val="24"/>
          <w:szCs w:val="24"/>
        </w:rPr>
      </w:pPr>
      <w:r>
        <w:rPr>
          <w:bCs/>
          <w:sz w:val="24"/>
          <w:szCs w:val="24"/>
        </w:rPr>
        <w:t>USDA anticipates transitioning to a</w:t>
      </w:r>
      <w:r w:rsidRPr="007B45F4">
        <w:rPr>
          <w:bCs/>
          <w:sz w:val="24"/>
          <w:szCs w:val="24"/>
        </w:rPr>
        <w:t xml:space="preserve"> new technology platform, accommodating new respondents, </w:t>
      </w:r>
      <w:r w:rsidRPr="007B45F4">
        <w:rPr>
          <w:bCs/>
          <w:sz w:val="24"/>
          <w:szCs w:val="24"/>
        </w:rPr>
        <w:t>adding</w:t>
      </w:r>
      <w:r w:rsidRPr="007B45F4">
        <w:rPr>
          <w:bCs/>
          <w:sz w:val="24"/>
          <w:szCs w:val="24"/>
        </w:rPr>
        <w:t xml:space="preserve"> and deleting questions for different program needs, reformatting and modifying instructions to minimize burden, and updating and tailoring technical functions. Costs are based on </w:t>
      </w:r>
      <w:r>
        <w:rPr>
          <w:bCs/>
          <w:sz w:val="24"/>
          <w:szCs w:val="24"/>
        </w:rPr>
        <w:t>actual costs for systems development, operations, and maintenance costs to develop an application program.</w:t>
      </w:r>
      <w:r w:rsidRPr="007B45F4">
        <w:rPr>
          <w:bCs/>
          <w:sz w:val="24"/>
          <w:szCs w:val="24"/>
        </w:rPr>
        <w:t xml:space="preserve"> </w:t>
      </w:r>
      <w:r>
        <w:rPr>
          <w:bCs/>
          <w:sz w:val="24"/>
          <w:szCs w:val="24"/>
        </w:rPr>
        <w:t xml:space="preserve">The table </w:t>
      </w:r>
      <w:r w:rsidRPr="007B45F4">
        <w:rPr>
          <w:bCs/>
          <w:sz w:val="24"/>
          <w:szCs w:val="24"/>
        </w:rPr>
        <w:t xml:space="preserve">below shows the annualized cost to the federal government of developing, maintaining, and operating </w:t>
      </w:r>
      <w:r w:rsidR="00A543C8">
        <w:rPr>
          <w:bCs/>
          <w:sz w:val="24"/>
          <w:szCs w:val="24"/>
        </w:rPr>
        <w:t>the</w:t>
      </w:r>
      <w:r w:rsidR="006F74DC">
        <w:rPr>
          <w:bCs/>
          <w:sz w:val="24"/>
          <w:szCs w:val="24"/>
        </w:rPr>
        <w:t xml:space="preserve"> supporting technology</w:t>
      </w:r>
      <w:r w:rsidR="00A543C8">
        <w:rPr>
          <w:bCs/>
          <w:sz w:val="24"/>
          <w:szCs w:val="24"/>
        </w:rPr>
        <w:t xml:space="preserve"> for this collection</w:t>
      </w:r>
      <w:r w:rsidRPr="007B45F4">
        <w:rPr>
          <w:bCs/>
          <w:sz w:val="24"/>
          <w:szCs w:val="24"/>
        </w:rPr>
        <w:t>.</w:t>
      </w:r>
    </w:p>
    <w:p w:rsidR="00AC09B3" w:rsidRPr="007B45F4" w:rsidP="00AC09B3" w14:paraId="5B49B93B" w14:textId="77777777">
      <w:pPr>
        <w:ind w:left="720"/>
        <w:rPr>
          <w:bCs/>
          <w:sz w:val="24"/>
          <w:szCs w:val="24"/>
        </w:rPr>
      </w:pPr>
    </w:p>
    <w:p w:rsidR="00AC09B3" w:rsidRPr="007B45F4" w:rsidP="007B45F4" w14:paraId="3653EA9F" w14:textId="77777777">
      <w:pPr>
        <w:ind w:left="720"/>
        <w:rPr>
          <w:bCs/>
          <w:sz w:val="24"/>
          <w:szCs w:val="24"/>
        </w:rPr>
      </w:pPr>
      <w:r w:rsidRPr="007B45F4">
        <w:rPr>
          <w:bCs/>
          <w:sz w:val="24"/>
          <w:szCs w:val="24"/>
        </w:rPr>
        <w:t xml:space="preserve">The estimated annualized cost to </w:t>
      </w:r>
      <w:r>
        <w:rPr>
          <w:bCs/>
          <w:sz w:val="24"/>
          <w:szCs w:val="24"/>
        </w:rPr>
        <w:t xml:space="preserve">develop the system is $250,000.  The estimated annualized cost to operate and maintain the system is </w:t>
      </w:r>
      <w:r w:rsidR="007B45F4">
        <w:rPr>
          <w:bCs/>
          <w:sz w:val="24"/>
          <w:szCs w:val="24"/>
        </w:rPr>
        <w:t>$143,000</w:t>
      </w:r>
      <w:r w:rsidRPr="007B45F4">
        <w:rPr>
          <w:bCs/>
          <w:sz w:val="24"/>
          <w:szCs w:val="24"/>
        </w:rPr>
        <w:t xml:space="preserve">. The estimated annualized cost over the next three years </w:t>
      </w:r>
      <w:r w:rsidR="00F84BCF">
        <w:rPr>
          <w:bCs/>
          <w:sz w:val="24"/>
          <w:szCs w:val="24"/>
        </w:rPr>
        <w:t>is</w:t>
      </w:r>
      <w:r w:rsidR="00D04E10">
        <w:rPr>
          <w:bCs/>
          <w:sz w:val="24"/>
          <w:szCs w:val="24"/>
        </w:rPr>
        <w:t xml:space="preserve"> </w:t>
      </w:r>
      <w:r w:rsidRPr="007B45F4">
        <w:rPr>
          <w:bCs/>
          <w:sz w:val="24"/>
          <w:szCs w:val="24"/>
        </w:rPr>
        <w:t>$</w:t>
      </w:r>
      <w:r w:rsidR="007B45F4">
        <w:rPr>
          <w:bCs/>
          <w:sz w:val="24"/>
          <w:szCs w:val="24"/>
        </w:rPr>
        <w:t xml:space="preserve">536,000.  </w:t>
      </w:r>
    </w:p>
    <w:p w:rsidR="00071F56" w:rsidP="00B96950" w14:paraId="4C5C959A" w14:textId="77777777">
      <w:pPr>
        <w:ind w:left="180"/>
        <w:rPr>
          <w:sz w:val="24"/>
          <w:szCs w:val="24"/>
        </w:rPr>
      </w:pPr>
    </w:p>
    <w:tbl>
      <w:tblPr>
        <w:tblW w:w="9000" w:type="dxa"/>
        <w:tblInd w:w="648" w:type="dxa"/>
        <w:tblCellMar>
          <w:left w:w="0" w:type="dxa"/>
          <w:right w:w="0" w:type="dxa"/>
        </w:tblCellMar>
        <w:tblLook w:val="04A0"/>
      </w:tblPr>
      <w:tblGrid>
        <w:gridCol w:w="2700"/>
        <w:gridCol w:w="3510"/>
        <w:gridCol w:w="2790"/>
      </w:tblGrid>
      <w:tr w14:paraId="76E2B461" w14:textId="77777777" w:rsidTr="007B45F4">
        <w:tblPrEx>
          <w:tblW w:w="9000" w:type="dxa"/>
          <w:tblInd w:w="648" w:type="dxa"/>
          <w:tblCellMar>
            <w:left w:w="0" w:type="dxa"/>
            <w:right w:w="0" w:type="dxa"/>
          </w:tblCellMar>
          <w:tblLook w:val="04A0"/>
        </w:tblPrEx>
        <w:trPr>
          <w:trHeight w:val="510"/>
        </w:trPr>
        <w:tc>
          <w:tcPr>
            <w:tcW w:w="27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16E4057F" w14:textId="77777777">
            <w:pPr>
              <w:ind w:left="180"/>
              <w:rPr>
                <w:sz w:val="24"/>
                <w:szCs w:val="24"/>
              </w:rPr>
            </w:pPr>
            <w:r w:rsidRPr="00AC09B3">
              <w:rPr>
                <w:sz w:val="24"/>
                <w:szCs w:val="24"/>
              </w:rPr>
              <w:t>Item</w:t>
            </w:r>
          </w:p>
        </w:tc>
        <w:tc>
          <w:tcPr>
            <w:tcW w:w="35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44B396BA" w14:textId="77777777">
            <w:pPr>
              <w:ind w:left="180"/>
              <w:rPr>
                <w:sz w:val="24"/>
                <w:szCs w:val="24"/>
              </w:rPr>
            </w:pPr>
            <w:r w:rsidRPr="00AC09B3">
              <w:rPr>
                <w:sz w:val="24"/>
                <w:szCs w:val="24"/>
              </w:rPr>
              <w:t>Cost Categories</w:t>
            </w:r>
          </w:p>
        </w:tc>
        <w:tc>
          <w:tcPr>
            <w:tcW w:w="2790" w:type="dxa"/>
            <w:tcBorders>
              <w:top w:val="single" w:sz="8" w:space="0" w:color="auto"/>
              <w:left w:val="nil"/>
              <w:bottom w:val="single" w:sz="8" w:space="0" w:color="auto"/>
              <w:right w:val="single" w:sz="8" w:space="0" w:color="auto"/>
            </w:tcBorders>
            <w:hideMark/>
          </w:tcPr>
          <w:p w:rsidR="00AC09B3" w:rsidRPr="00AC09B3" w:rsidP="00AC09B3" w14:paraId="38AA4340" w14:textId="77777777">
            <w:pPr>
              <w:ind w:left="180"/>
              <w:rPr>
                <w:sz w:val="24"/>
                <w:szCs w:val="24"/>
              </w:rPr>
            </w:pPr>
            <w:r w:rsidRPr="00AC09B3">
              <w:rPr>
                <w:sz w:val="24"/>
                <w:szCs w:val="24"/>
              </w:rPr>
              <w:t>Annualized Cost to Federal Government</w:t>
            </w:r>
          </w:p>
        </w:tc>
      </w:tr>
      <w:tr w14:paraId="4366F231" w14:textId="77777777" w:rsidTr="007B45F4">
        <w:tblPrEx>
          <w:tblW w:w="9000" w:type="dxa"/>
          <w:tblInd w:w="648" w:type="dxa"/>
          <w:tblCellMar>
            <w:left w:w="0" w:type="dxa"/>
            <w:right w:w="0" w:type="dxa"/>
          </w:tblCellMar>
          <w:tblLook w:val="04A0"/>
        </w:tblPrEx>
        <w:trPr>
          <w:trHeight w:val="510"/>
        </w:trPr>
        <w:tc>
          <w:tcPr>
            <w:tcW w:w="270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722EEE0A" w14:textId="77777777">
            <w:pPr>
              <w:ind w:left="180"/>
              <w:rPr>
                <w:sz w:val="24"/>
                <w:szCs w:val="24"/>
              </w:rPr>
            </w:pPr>
            <w:r w:rsidRPr="00AC09B3">
              <w:rPr>
                <w:sz w:val="24"/>
                <w:szCs w:val="24"/>
              </w:rPr>
              <w:t xml:space="preserve">Operations &amp; Maintenance (O&amp;M) Cost </w:t>
            </w:r>
          </w:p>
        </w:tc>
        <w:tc>
          <w:tcPr>
            <w:tcW w:w="35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0D6ED8C4" w14:textId="77777777">
            <w:pPr>
              <w:ind w:left="180"/>
              <w:rPr>
                <w:sz w:val="24"/>
                <w:szCs w:val="24"/>
              </w:rPr>
            </w:pPr>
            <w:r w:rsidRPr="00AC09B3">
              <w:rPr>
                <w:sz w:val="24"/>
                <w:szCs w:val="24"/>
              </w:rPr>
              <w:t>Project Management</w:t>
            </w:r>
            <w:r>
              <w:rPr>
                <w:sz w:val="24"/>
                <w:szCs w:val="24"/>
              </w:rPr>
              <w:t xml:space="preserve"> (10 percent of one (1) GS-14 </w:t>
            </w:r>
            <w:r w:rsidR="007B45F4">
              <w:rPr>
                <w:sz w:val="24"/>
                <w:szCs w:val="24"/>
              </w:rPr>
              <w:t xml:space="preserve">Step 5 </w:t>
            </w:r>
            <w:r>
              <w:rPr>
                <w:sz w:val="24"/>
                <w:szCs w:val="24"/>
              </w:rPr>
              <w:t xml:space="preserve">team lead).  </w:t>
            </w:r>
          </w:p>
        </w:tc>
        <w:tc>
          <w:tcPr>
            <w:tcW w:w="2790" w:type="dxa"/>
            <w:tcBorders>
              <w:top w:val="single" w:sz="8" w:space="0" w:color="auto"/>
              <w:left w:val="nil"/>
              <w:bottom w:val="single" w:sz="8" w:space="0" w:color="auto"/>
              <w:right w:val="single" w:sz="8" w:space="0" w:color="auto"/>
            </w:tcBorders>
            <w:hideMark/>
          </w:tcPr>
          <w:p w:rsidR="00AC09B3" w:rsidRPr="00AC09B3" w:rsidP="00AC09B3" w14:paraId="707E96AA" w14:textId="77777777">
            <w:pPr>
              <w:ind w:left="180"/>
              <w:rPr>
                <w:sz w:val="24"/>
                <w:szCs w:val="24"/>
              </w:rPr>
            </w:pPr>
            <w:r>
              <w:rPr>
                <w:sz w:val="24"/>
                <w:szCs w:val="24"/>
              </w:rPr>
              <w:t xml:space="preserve">16,000 </w:t>
            </w:r>
          </w:p>
        </w:tc>
      </w:tr>
      <w:tr w14:paraId="27209187" w14:textId="77777777" w:rsidTr="007B45F4">
        <w:tblPrEx>
          <w:tblW w:w="9000" w:type="dxa"/>
          <w:tblInd w:w="648" w:type="dxa"/>
          <w:tblCellMar>
            <w:left w:w="0" w:type="dxa"/>
            <w:right w:w="0" w:type="dxa"/>
          </w:tblCellMar>
          <w:tblLook w:val="04A0"/>
        </w:tblPrEx>
        <w:trPr>
          <w:trHeight w:val="510"/>
        </w:trPr>
        <w:tc>
          <w:tcPr>
            <w:tcW w:w="2700" w:type="dxa"/>
            <w:vMerge/>
            <w:tcBorders>
              <w:top w:val="single" w:sz="8" w:space="0" w:color="auto"/>
              <w:left w:val="single" w:sz="8" w:space="0" w:color="auto"/>
              <w:bottom w:val="single" w:sz="8" w:space="0" w:color="auto"/>
              <w:right w:val="single" w:sz="8" w:space="0" w:color="auto"/>
            </w:tcBorders>
            <w:vAlign w:val="center"/>
            <w:hideMark/>
          </w:tcPr>
          <w:p w:rsidR="00AC09B3" w:rsidRPr="00AC09B3" w:rsidP="00AC09B3" w14:paraId="5F661425" w14:textId="77777777">
            <w:pPr>
              <w:ind w:left="180"/>
              <w:rPr>
                <w:sz w:val="24"/>
                <w:szCs w:val="24"/>
              </w:rPr>
            </w:pPr>
          </w:p>
        </w:tc>
        <w:tc>
          <w:tcPr>
            <w:tcW w:w="35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6A1FC12E" w14:textId="77777777">
            <w:pPr>
              <w:ind w:left="180"/>
              <w:rPr>
                <w:sz w:val="24"/>
                <w:szCs w:val="24"/>
              </w:rPr>
            </w:pPr>
            <w:r w:rsidRPr="00AC09B3">
              <w:rPr>
                <w:sz w:val="24"/>
                <w:szCs w:val="24"/>
              </w:rPr>
              <w:t>Program Staff</w:t>
            </w:r>
            <w:r>
              <w:rPr>
                <w:sz w:val="24"/>
                <w:szCs w:val="24"/>
              </w:rPr>
              <w:t xml:space="preserve"> (10 percent of two (2) GS-13 </w:t>
            </w:r>
            <w:r w:rsidR="007B45F4">
              <w:rPr>
                <w:sz w:val="24"/>
                <w:szCs w:val="24"/>
              </w:rPr>
              <w:t>Step 5</w:t>
            </w:r>
            <w:r>
              <w:rPr>
                <w:sz w:val="24"/>
                <w:szCs w:val="24"/>
              </w:rPr>
              <w:t xml:space="preserve">).  </w:t>
            </w:r>
          </w:p>
        </w:tc>
        <w:tc>
          <w:tcPr>
            <w:tcW w:w="2790" w:type="dxa"/>
            <w:tcBorders>
              <w:top w:val="single" w:sz="8" w:space="0" w:color="auto"/>
              <w:left w:val="nil"/>
              <w:bottom w:val="single" w:sz="8" w:space="0" w:color="auto"/>
              <w:right w:val="single" w:sz="8" w:space="0" w:color="auto"/>
            </w:tcBorders>
            <w:hideMark/>
          </w:tcPr>
          <w:p w:rsidR="00AC09B3" w:rsidRPr="00AC09B3" w:rsidP="00AC09B3" w14:paraId="5F42F792" w14:textId="77777777">
            <w:pPr>
              <w:ind w:left="180"/>
              <w:rPr>
                <w:sz w:val="24"/>
                <w:szCs w:val="24"/>
              </w:rPr>
            </w:pPr>
            <w:r>
              <w:rPr>
                <w:sz w:val="24"/>
                <w:szCs w:val="24"/>
              </w:rPr>
              <w:t>27,000</w:t>
            </w:r>
          </w:p>
        </w:tc>
      </w:tr>
      <w:tr w14:paraId="73B8818C" w14:textId="77777777" w:rsidTr="007B45F4">
        <w:tblPrEx>
          <w:tblW w:w="9000" w:type="dxa"/>
          <w:tblInd w:w="648" w:type="dxa"/>
          <w:tblCellMar>
            <w:left w:w="0" w:type="dxa"/>
            <w:right w:w="0" w:type="dxa"/>
          </w:tblCellMar>
          <w:tblLook w:val="04A0"/>
        </w:tblPrEx>
        <w:trPr>
          <w:trHeight w:val="510"/>
        </w:trPr>
        <w:tc>
          <w:tcPr>
            <w:tcW w:w="2700" w:type="dxa"/>
            <w:vMerge/>
            <w:tcBorders>
              <w:top w:val="single" w:sz="8" w:space="0" w:color="auto"/>
              <w:left w:val="single" w:sz="8" w:space="0" w:color="auto"/>
              <w:bottom w:val="single" w:sz="8" w:space="0" w:color="auto"/>
              <w:right w:val="single" w:sz="8" w:space="0" w:color="auto"/>
            </w:tcBorders>
            <w:vAlign w:val="center"/>
            <w:hideMark/>
          </w:tcPr>
          <w:p w:rsidR="00AC09B3" w:rsidRPr="00AC09B3" w:rsidP="00AC09B3" w14:paraId="277BBAB1" w14:textId="77777777">
            <w:pPr>
              <w:ind w:left="180"/>
              <w:rPr>
                <w:sz w:val="24"/>
                <w:szCs w:val="24"/>
              </w:rPr>
            </w:pPr>
          </w:p>
        </w:tc>
        <w:tc>
          <w:tcPr>
            <w:tcW w:w="35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50B5D930" w14:textId="77777777">
            <w:pPr>
              <w:ind w:left="180"/>
              <w:rPr>
                <w:sz w:val="24"/>
                <w:szCs w:val="24"/>
              </w:rPr>
            </w:pPr>
            <w:r w:rsidRPr="00AC09B3">
              <w:rPr>
                <w:sz w:val="24"/>
                <w:szCs w:val="24"/>
              </w:rPr>
              <w:t>System Maintenance and IT Support*</w:t>
            </w:r>
          </w:p>
        </w:tc>
        <w:tc>
          <w:tcPr>
            <w:tcW w:w="2790" w:type="dxa"/>
            <w:tcBorders>
              <w:top w:val="single" w:sz="8" w:space="0" w:color="auto"/>
              <w:left w:val="nil"/>
              <w:bottom w:val="single" w:sz="8" w:space="0" w:color="auto"/>
              <w:right w:val="single" w:sz="8" w:space="0" w:color="auto"/>
            </w:tcBorders>
            <w:hideMark/>
          </w:tcPr>
          <w:p w:rsidR="00AC09B3" w:rsidRPr="00AC09B3" w:rsidP="00AC09B3" w14:paraId="6B59EBD0" w14:textId="77777777">
            <w:pPr>
              <w:ind w:left="180"/>
              <w:rPr>
                <w:sz w:val="24"/>
                <w:szCs w:val="24"/>
              </w:rPr>
            </w:pPr>
            <w:r w:rsidRPr="00AC09B3">
              <w:rPr>
                <w:sz w:val="24"/>
                <w:szCs w:val="24"/>
              </w:rPr>
              <w:t>$</w:t>
            </w:r>
            <w:r>
              <w:rPr>
                <w:sz w:val="24"/>
                <w:szCs w:val="24"/>
              </w:rPr>
              <w:t>100,000</w:t>
            </w:r>
          </w:p>
        </w:tc>
      </w:tr>
      <w:tr w14:paraId="33516438" w14:textId="77777777" w:rsidTr="007B45F4">
        <w:tblPrEx>
          <w:tblW w:w="9000" w:type="dxa"/>
          <w:tblInd w:w="648" w:type="dxa"/>
          <w:tblCellMar>
            <w:left w:w="0" w:type="dxa"/>
            <w:right w:w="0" w:type="dxa"/>
          </w:tblCellMar>
          <w:tblLook w:val="04A0"/>
        </w:tblPrEx>
        <w:trPr>
          <w:trHeight w:val="510"/>
        </w:trPr>
        <w:tc>
          <w:tcPr>
            <w:tcW w:w="27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084EC2C9" w14:textId="77777777">
            <w:pPr>
              <w:ind w:left="180"/>
              <w:rPr>
                <w:sz w:val="24"/>
                <w:szCs w:val="24"/>
              </w:rPr>
            </w:pPr>
            <w:r w:rsidRPr="00AC09B3">
              <w:rPr>
                <w:sz w:val="24"/>
                <w:szCs w:val="24"/>
              </w:rPr>
              <w:t>Development Cost</w:t>
            </w:r>
          </w:p>
        </w:tc>
        <w:tc>
          <w:tcPr>
            <w:tcW w:w="35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5093544A" w14:textId="77777777">
            <w:pPr>
              <w:ind w:left="180"/>
              <w:rPr>
                <w:sz w:val="24"/>
                <w:szCs w:val="24"/>
              </w:rPr>
            </w:pPr>
            <w:r w:rsidRPr="00AC09B3">
              <w:rPr>
                <w:sz w:val="24"/>
                <w:szCs w:val="24"/>
              </w:rPr>
              <w:t>System Development and Implementation</w:t>
            </w:r>
          </w:p>
        </w:tc>
        <w:tc>
          <w:tcPr>
            <w:tcW w:w="2790" w:type="dxa"/>
            <w:tcBorders>
              <w:top w:val="single" w:sz="8" w:space="0" w:color="auto"/>
              <w:left w:val="nil"/>
              <w:bottom w:val="single" w:sz="8" w:space="0" w:color="auto"/>
              <w:right w:val="single" w:sz="8" w:space="0" w:color="auto"/>
            </w:tcBorders>
            <w:hideMark/>
          </w:tcPr>
          <w:p w:rsidR="00AC09B3" w:rsidRPr="00AC09B3" w:rsidP="00AC09B3" w14:paraId="3F15685C" w14:textId="77777777">
            <w:pPr>
              <w:ind w:left="180"/>
              <w:rPr>
                <w:sz w:val="24"/>
                <w:szCs w:val="24"/>
              </w:rPr>
            </w:pPr>
            <w:r w:rsidRPr="00AC09B3">
              <w:rPr>
                <w:sz w:val="24"/>
                <w:szCs w:val="24"/>
              </w:rPr>
              <w:t>$</w:t>
            </w:r>
            <w:r>
              <w:rPr>
                <w:sz w:val="24"/>
                <w:szCs w:val="24"/>
              </w:rPr>
              <w:t>250,000</w:t>
            </w:r>
          </w:p>
        </w:tc>
      </w:tr>
      <w:tr w14:paraId="2AC5C0B7" w14:textId="77777777" w:rsidTr="007B45F4">
        <w:tblPrEx>
          <w:tblW w:w="9000" w:type="dxa"/>
          <w:tblInd w:w="648" w:type="dxa"/>
          <w:tblCellMar>
            <w:left w:w="0" w:type="dxa"/>
            <w:right w:w="0" w:type="dxa"/>
          </w:tblCellMar>
          <w:tblLook w:val="04A0"/>
        </w:tblPrEx>
        <w:trPr>
          <w:trHeight w:val="510"/>
        </w:trPr>
        <w:tc>
          <w:tcPr>
            <w:tcW w:w="27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547E872B" w14:textId="77777777">
            <w:pPr>
              <w:ind w:left="180"/>
              <w:rPr>
                <w:sz w:val="24"/>
                <w:szCs w:val="24"/>
              </w:rPr>
            </w:pPr>
            <w:r w:rsidRPr="00AC09B3">
              <w:rPr>
                <w:sz w:val="24"/>
                <w:szCs w:val="24"/>
              </w:rPr>
              <w:t>Total O&amp;M Cost</w:t>
            </w:r>
          </w:p>
        </w:tc>
        <w:tc>
          <w:tcPr>
            <w:tcW w:w="35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C09B3" w:rsidRPr="00AC09B3" w:rsidP="00AC09B3" w14:paraId="151459C3" w14:textId="77777777">
            <w:pPr>
              <w:ind w:left="180"/>
              <w:rPr>
                <w:sz w:val="24"/>
                <w:szCs w:val="24"/>
              </w:rPr>
            </w:pPr>
          </w:p>
        </w:tc>
        <w:tc>
          <w:tcPr>
            <w:tcW w:w="2790" w:type="dxa"/>
            <w:tcBorders>
              <w:top w:val="single" w:sz="8" w:space="0" w:color="auto"/>
              <w:left w:val="nil"/>
              <w:bottom w:val="single" w:sz="8" w:space="0" w:color="auto"/>
              <w:right w:val="single" w:sz="8" w:space="0" w:color="auto"/>
            </w:tcBorders>
            <w:hideMark/>
          </w:tcPr>
          <w:p w:rsidR="00AC09B3" w:rsidRPr="00AC09B3" w:rsidP="00AC09B3" w14:paraId="48C438D9" w14:textId="77777777">
            <w:pPr>
              <w:ind w:left="180"/>
              <w:rPr>
                <w:sz w:val="24"/>
                <w:szCs w:val="24"/>
              </w:rPr>
            </w:pPr>
            <w:r>
              <w:rPr>
                <w:sz w:val="24"/>
                <w:szCs w:val="24"/>
              </w:rPr>
              <w:t>$143,000</w:t>
            </w:r>
          </w:p>
        </w:tc>
      </w:tr>
    </w:tbl>
    <w:p w:rsidR="00DF3393" w:rsidRPr="00020F66" w:rsidP="00B96950" w14:paraId="7F7EE4D3" w14:textId="77777777">
      <w:pPr>
        <w:ind w:left="180"/>
        <w:rPr>
          <w:sz w:val="24"/>
          <w:szCs w:val="24"/>
        </w:rPr>
      </w:pPr>
    </w:p>
    <w:p w:rsidR="00071F56" w:rsidRPr="00A33FC8" w:rsidP="00A33FC8" w14:paraId="421D6345" w14:textId="2600CD2A">
      <w:pPr>
        <w:pStyle w:val="ListParagraph"/>
        <w:numPr>
          <w:ilvl w:val="0"/>
          <w:numId w:val="26"/>
        </w:numPr>
        <w:rPr>
          <w:b/>
          <w:sz w:val="24"/>
          <w:szCs w:val="24"/>
        </w:rPr>
      </w:pPr>
      <w:r w:rsidRPr="00A33FC8">
        <w:rPr>
          <w:b/>
          <w:sz w:val="24"/>
          <w:szCs w:val="24"/>
        </w:rPr>
        <w:t>Explain the reasons for any program changes or adjustments reported in Items 13 or 14 of the OMB Form 83-1.</w:t>
      </w:r>
    </w:p>
    <w:p w:rsidR="00B0284F" w:rsidRPr="00020F66" w:rsidP="006622D4" w14:paraId="7C762834" w14:textId="77777777">
      <w:pPr>
        <w:ind w:left="720" w:hanging="720"/>
        <w:rPr>
          <w:b/>
          <w:sz w:val="24"/>
          <w:szCs w:val="24"/>
        </w:rPr>
      </w:pPr>
    </w:p>
    <w:p w:rsidR="00071F56" w:rsidP="00EE28BE" w14:paraId="5BF1406F" w14:textId="77777777">
      <w:pPr>
        <w:ind w:left="720"/>
        <w:rPr>
          <w:bCs/>
          <w:sz w:val="24"/>
          <w:szCs w:val="24"/>
        </w:rPr>
      </w:pPr>
      <w:r w:rsidRPr="00EE28BE">
        <w:rPr>
          <w:bCs/>
          <w:sz w:val="24"/>
          <w:szCs w:val="24"/>
        </w:rPr>
        <w:t>This is a new, generic application.</w:t>
      </w:r>
    </w:p>
    <w:p w:rsidR="00EE28BE" w:rsidRPr="00020F66" w:rsidP="00EE28BE" w14:paraId="5141D1BE" w14:textId="77777777">
      <w:pPr>
        <w:rPr>
          <w:sz w:val="24"/>
          <w:szCs w:val="24"/>
        </w:rPr>
      </w:pPr>
    </w:p>
    <w:p w:rsidR="00B0284F" w:rsidRPr="00A33FC8" w:rsidP="00A33FC8" w14:paraId="651843AF" w14:textId="1A77BAAB">
      <w:pPr>
        <w:pStyle w:val="ListParagraph"/>
        <w:numPr>
          <w:ilvl w:val="0"/>
          <w:numId w:val="26"/>
        </w:numPr>
        <w:rPr>
          <w:b/>
          <w:sz w:val="24"/>
          <w:szCs w:val="24"/>
        </w:rPr>
      </w:pPr>
      <w:r w:rsidRPr="00A33FC8">
        <w:rPr>
          <w:b/>
          <w:sz w:val="24"/>
          <w:szCs w:val="24"/>
        </w:rPr>
        <w:t>For collections of information whose results are planned to be published, outline plans for tabulation and publication</w:t>
      </w:r>
      <w:r w:rsidRPr="00A33FC8">
        <w:rPr>
          <w:b/>
          <w:sz w:val="24"/>
          <w:szCs w:val="24"/>
        </w:rPr>
        <w:t>.</w:t>
      </w:r>
    </w:p>
    <w:p w:rsidR="00B0284F" w:rsidRPr="00020F66" w:rsidP="006622D4" w14:paraId="6EE96C5C" w14:textId="77777777">
      <w:pPr>
        <w:ind w:left="720" w:hanging="720"/>
        <w:rPr>
          <w:b/>
          <w:sz w:val="24"/>
          <w:szCs w:val="24"/>
        </w:rPr>
      </w:pPr>
    </w:p>
    <w:p w:rsidR="00C12C5D" w:rsidRPr="00020F66" w:rsidP="00A3569C" w14:paraId="0BEEF2D2" w14:textId="77777777">
      <w:pPr>
        <w:ind w:left="720"/>
        <w:rPr>
          <w:bCs/>
          <w:sz w:val="24"/>
          <w:szCs w:val="24"/>
        </w:rPr>
      </w:pPr>
      <w:r w:rsidRPr="00C12C5D">
        <w:rPr>
          <w:bCs/>
          <w:sz w:val="24"/>
          <w:szCs w:val="24"/>
        </w:rPr>
        <w:t xml:space="preserve">There are no plans for tabulation or publication.  </w:t>
      </w:r>
    </w:p>
    <w:p w:rsidR="00071F56" w:rsidRPr="00020F66" w:rsidP="006622D4" w14:paraId="68E61D41" w14:textId="77777777">
      <w:pPr>
        <w:ind w:left="720"/>
        <w:rPr>
          <w:b/>
          <w:sz w:val="24"/>
          <w:szCs w:val="24"/>
        </w:rPr>
      </w:pPr>
    </w:p>
    <w:p w:rsidR="00071F56" w:rsidRPr="00A33FC8" w:rsidP="00A33FC8" w14:paraId="5EFD44F1" w14:textId="62090FDA">
      <w:pPr>
        <w:pStyle w:val="ListParagraph"/>
        <w:numPr>
          <w:ilvl w:val="0"/>
          <w:numId w:val="26"/>
        </w:numPr>
        <w:rPr>
          <w:b/>
          <w:sz w:val="24"/>
          <w:szCs w:val="24"/>
        </w:rPr>
      </w:pPr>
      <w:r w:rsidRPr="00A33FC8">
        <w:rPr>
          <w:b/>
          <w:sz w:val="24"/>
          <w:szCs w:val="24"/>
        </w:rPr>
        <w:t>f seeking approval to not display the expiration date for OMB approval of the information collection, explain the reasons that display would be inappropriate.</w:t>
      </w:r>
    </w:p>
    <w:p w:rsidR="0060072A" w:rsidRPr="00020F66" w:rsidP="006622D4" w14:paraId="354AB4D5" w14:textId="77777777">
      <w:pPr>
        <w:ind w:left="720" w:hanging="720"/>
        <w:rPr>
          <w:b/>
          <w:sz w:val="24"/>
          <w:szCs w:val="24"/>
        </w:rPr>
      </w:pPr>
    </w:p>
    <w:p w:rsidR="00071F56" w:rsidP="006622D4" w14:paraId="0E081CB5" w14:textId="77777777">
      <w:pPr>
        <w:ind w:left="720"/>
        <w:rPr>
          <w:bCs/>
          <w:sz w:val="24"/>
          <w:szCs w:val="24"/>
        </w:rPr>
      </w:pPr>
      <w:r w:rsidRPr="00EE28BE">
        <w:rPr>
          <w:bCs/>
          <w:sz w:val="24"/>
          <w:szCs w:val="24"/>
        </w:rPr>
        <w:t>There is no request for exemption from displaying the expiration date for OMB approval.</w:t>
      </w:r>
    </w:p>
    <w:p w:rsidR="00EE28BE" w:rsidRPr="00020F66" w:rsidP="006622D4" w14:paraId="6842109C" w14:textId="77777777">
      <w:pPr>
        <w:ind w:left="720"/>
        <w:rPr>
          <w:b/>
          <w:sz w:val="24"/>
          <w:szCs w:val="24"/>
        </w:rPr>
      </w:pPr>
    </w:p>
    <w:p w:rsidR="00071F56" w:rsidRPr="00A33FC8" w:rsidP="00A33FC8" w14:paraId="49842E1A" w14:textId="0BA417C2">
      <w:pPr>
        <w:pStyle w:val="ListParagraph"/>
        <w:numPr>
          <w:ilvl w:val="0"/>
          <w:numId w:val="26"/>
        </w:numPr>
        <w:rPr>
          <w:b/>
          <w:sz w:val="24"/>
          <w:szCs w:val="24"/>
        </w:rPr>
      </w:pPr>
      <w:r w:rsidRPr="00A33FC8">
        <w:rPr>
          <w:b/>
          <w:sz w:val="24"/>
          <w:szCs w:val="24"/>
        </w:rPr>
        <w:t>Explain each exception to the certification statement identified in Item 19 "Certification for Paperwork Reduction Act."</w:t>
      </w:r>
    </w:p>
    <w:p w:rsidR="00221CC3" w:rsidRPr="00020F66" w:rsidP="006622D4" w14:paraId="6EE977D4" w14:textId="77777777">
      <w:pPr>
        <w:ind w:left="720" w:hanging="720"/>
        <w:rPr>
          <w:b/>
          <w:sz w:val="24"/>
          <w:szCs w:val="24"/>
        </w:rPr>
      </w:pPr>
    </w:p>
    <w:p w:rsidR="00071F56" w:rsidP="00EE28BE" w14:paraId="0DA6FECC" w14:textId="77777777">
      <w:pPr>
        <w:ind w:left="720"/>
        <w:rPr>
          <w:bCs/>
          <w:sz w:val="24"/>
          <w:szCs w:val="24"/>
        </w:rPr>
      </w:pPr>
      <w:r w:rsidRPr="00EE28BE">
        <w:rPr>
          <w:bCs/>
          <w:sz w:val="24"/>
          <w:szCs w:val="24"/>
        </w:rPr>
        <w:t>There are no exceptions to the Certification for Paperwork Reduction Act Submissions.</w:t>
      </w:r>
    </w:p>
    <w:p w:rsidR="00EE28BE" w:rsidRPr="00020F66" w:rsidP="00EE28BE" w14:paraId="5A899879" w14:textId="77777777">
      <w:pPr>
        <w:ind w:left="720"/>
        <w:rPr>
          <w:sz w:val="24"/>
          <w:szCs w:val="24"/>
        </w:rPr>
      </w:pPr>
    </w:p>
    <w:p w:rsidR="00071F56" w:rsidRPr="00020F66" w:rsidP="006622D4" w14:paraId="3A23B4AC" w14:textId="77777777">
      <w:pPr>
        <w:jc w:val="both"/>
        <w:rPr>
          <w:b/>
          <w:sz w:val="24"/>
          <w:szCs w:val="24"/>
        </w:rPr>
      </w:pPr>
    </w:p>
    <w:sectPr w:rsidSect="00BB7973">
      <w:endnotePr>
        <w:numFmt w:val="decimal"/>
      </w:endnotePr>
      <w:type w:val="continuous"/>
      <w:pgSz w:w="12240" w:h="15840"/>
      <w:pgMar w:top="1296" w:right="1350" w:bottom="1008" w:left="1440" w:header="129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D62D3"/>
    <w:multiLevelType w:val="hybridMultilevel"/>
    <w:tmpl w:val="5F862D6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845A81"/>
    <w:multiLevelType w:val="multilevel"/>
    <w:tmpl w:val="B890E556"/>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BA1A8C"/>
    <w:multiLevelType w:val="hybridMultilevel"/>
    <w:tmpl w:val="CA361C9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5">
    <w:nsid w:val="5B5336C1"/>
    <w:multiLevelType w:val="singleLevel"/>
    <w:tmpl w:val="9B98B6F6"/>
    <w:lvl w:ilvl="0">
      <w:start w:val="1"/>
      <w:numFmt w:val="none"/>
      <w:lvlText w:val="3."/>
      <w:lvlJc w:val="left"/>
      <w:pPr>
        <w:tabs>
          <w:tab w:val="num" w:pos="360"/>
        </w:tabs>
        <w:ind w:left="360" w:hanging="360"/>
      </w:pPr>
    </w:lvl>
  </w:abstractNum>
  <w:abstractNum w:abstractNumId="16">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nsid w:val="60A859A2"/>
    <w:multiLevelType w:val="hybridMultilevel"/>
    <w:tmpl w:val="4F1086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5E72773"/>
    <w:multiLevelType w:val="hybridMultilevel"/>
    <w:tmpl w:val="94563C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2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F441CB8"/>
    <w:multiLevelType w:val="hybridMultilevel"/>
    <w:tmpl w:val="F3583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6366167">
    <w:abstractNumId w:val="16"/>
  </w:num>
  <w:num w:numId="2" w16cid:durableId="1168904826">
    <w:abstractNumId w:val="9"/>
  </w:num>
  <w:num w:numId="3" w16cid:durableId="1974752435">
    <w:abstractNumId w:val="6"/>
  </w:num>
  <w:num w:numId="4" w16cid:durableId="550768164">
    <w:abstractNumId w:val="24"/>
  </w:num>
  <w:num w:numId="5" w16cid:durableId="865288821">
    <w:abstractNumId w:val="23"/>
  </w:num>
  <w:num w:numId="6" w16cid:durableId="1258488011">
    <w:abstractNumId w:val="11"/>
  </w:num>
  <w:num w:numId="7" w16cid:durableId="681279267">
    <w:abstractNumId w:val="4"/>
  </w:num>
  <w:num w:numId="8" w16cid:durableId="816845294">
    <w:abstractNumId w:val="10"/>
  </w:num>
  <w:num w:numId="9" w16cid:durableId="252514152">
    <w:abstractNumId w:val="1"/>
  </w:num>
  <w:num w:numId="10" w16cid:durableId="1217467892">
    <w:abstractNumId w:val="14"/>
  </w:num>
  <w:num w:numId="11" w16cid:durableId="2018917800">
    <w:abstractNumId w:val="2"/>
  </w:num>
  <w:num w:numId="12" w16cid:durableId="342516939">
    <w:abstractNumId w:val="19"/>
  </w:num>
  <w:num w:numId="13" w16cid:durableId="437608264">
    <w:abstractNumId w:val="22"/>
  </w:num>
  <w:num w:numId="14" w16cid:durableId="87388465">
    <w:abstractNumId w:val="20"/>
  </w:num>
  <w:num w:numId="15" w16cid:durableId="1077900327">
    <w:abstractNumId w:val="7"/>
  </w:num>
  <w:num w:numId="16" w16cid:durableId="1207452140">
    <w:abstractNumId w:val="3"/>
  </w:num>
  <w:num w:numId="17" w16cid:durableId="737018264">
    <w:abstractNumId w:val="21"/>
  </w:num>
  <w:num w:numId="18" w16cid:durableId="1551770331">
    <w:abstractNumId w:val="13"/>
  </w:num>
  <w:num w:numId="19" w16cid:durableId="1638948959">
    <w:abstractNumId w:val="15"/>
  </w:num>
  <w:num w:numId="20" w16cid:durableId="2023820277">
    <w:abstractNumId w:val="8"/>
  </w:num>
  <w:num w:numId="21" w16cid:durableId="1630474651">
    <w:abstractNumId w:val="12"/>
  </w:num>
  <w:num w:numId="22" w16cid:durableId="610361871">
    <w:abstractNumId w:val="0"/>
  </w:num>
  <w:num w:numId="23" w16cid:durableId="315690061">
    <w:abstractNumId w:val="5"/>
  </w:num>
  <w:num w:numId="24" w16cid:durableId="470094577">
    <w:abstractNumId w:val="17"/>
  </w:num>
  <w:num w:numId="25" w16cid:durableId="1738943034">
    <w:abstractNumId w:val="18"/>
  </w:num>
  <w:num w:numId="26" w16cid:durableId="14511240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56CB"/>
    <w:rsid w:val="00015C69"/>
    <w:rsid w:val="00016D72"/>
    <w:rsid w:val="00020F66"/>
    <w:rsid w:val="00034A8D"/>
    <w:rsid w:val="00037CF4"/>
    <w:rsid w:val="00051674"/>
    <w:rsid w:val="00052A15"/>
    <w:rsid w:val="00056E3A"/>
    <w:rsid w:val="000603E9"/>
    <w:rsid w:val="00071A9A"/>
    <w:rsid w:val="00071F56"/>
    <w:rsid w:val="00073E47"/>
    <w:rsid w:val="000869E6"/>
    <w:rsid w:val="00086A09"/>
    <w:rsid w:val="000943E8"/>
    <w:rsid w:val="00097C1B"/>
    <w:rsid w:val="000B0148"/>
    <w:rsid w:val="000D4333"/>
    <w:rsid w:val="000E1C18"/>
    <w:rsid w:val="000E62A0"/>
    <w:rsid w:val="000F436A"/>
    <w:rsid w:val="001064B6"/>
    <w:rsid w:val="00116222"/>
    <w:rsid w:val="00122EB3"/>
    <w:rsid w:val="00123840"/>
    <w:rsid w:val="001259B7"/>
    <w:rsid w:val="001332BC"/>
    <w:rsid w:val="00140BF3"/>
    <w:rsid w:val="00140DA5"/>
    <w:rsid w:val="00150155"/>
    <w:rsid w:val="00150A5A"/>
    <w:rsid w:val="001541A0"/>
    <w:rsid w:val="001601EE"/>
    <w:rsid w:val="0016384C"/>
    <w:rsid w:val="00163CA2"/>
    <w:rsid w:val="00170205"/>
    <w:rsid w:val="0018140A"/>
    <w:rsid w:val="001834E5"/>
    <w:rsid w:val="001845F6"/>
    <w:rsid w:val="00190F08"/>
    <w:rsid w:val="001A3DFE"/>
    <w:rsid w:val="001B03CF"/>
    <w:rsid w:val="001B4534"/>
    <w:rsid w:val="001B49E0"/>
    <w:rsid w:val="001C21C3"/>
    <w:rsid w:val="001D26A1"/>
    <w:rsid w:val="001E0D6E"/>
    <w:rsid w:val="001F0F18"/>
    <w:rsid w:val="00221834"/>
    <w:rsid w:val="00221CC3"/>
    <w:rsid w:val="002302CC"/>
    <w:rsid w:val="00236B42"/>
    <w:rsid w:val="002424A0"/>
    <w:rsid w:val="00243432"/>
    <w:rsid w:val="002503D6"/>
    <w:rsid w:val="0025217B"/>
    <w:rsid w:val="0027188F"/>
    <w:rsid w:val="00273B42"/>
    <w:rsid w:val="00285B63"/>
    <w:rsid w:val="0028706A"/>
    <w:rsid w:val="00296458"/>
    <w:rsid w:val="002C1FA6"/>
    <w:rsid w:val="002C55AC"/>
    <w:rsid w:val="002E575D"/>
    <w:rsid w:val="002F198C"/>
    <w:rsid w:val="002F19E3"/>
    <w:rsid w:val="002F4407"/>
    <w:rsid w:val="002F44C9"/>
    <w:rsid w:val="003162A8"/>
    <w:rsid w:val="00334C6B"/>
    <w:rsid w:val="003353B5"/>
    <w:rsid w:val="00335E4B"/>
    <w:rsid w:val="003705E9"/>
    <w:rsid w:val="00370726"/>
    <w:rsid w:val="00372711"/>
    <w:rsid w:val="003759A0"/>
    <w:rsid w:val="00380C23"/>
    <w:rsid w:val="003B33B6"/>
    <w:rsid w:val="003F2C92"/>
    <w:rsid w:val="003F33F1"/>
    <w:rsid w:val="003F4400"/>
    <w:rsid w:val="00431A09"/>
    <w:rsid w:val="00433CE4"/>
    <w:rsid w:val="00464947"/>
    <w:rsid w:val="004706F4"/>
    <w:rsid w:val="004729D6"/>
    <w:rsid w:val="00472EEF"/>
    <w:rsid w:val="004734FA"/>
    <w:rsid w:val="00476D86"/>
    <w:rsid w:val="004A58A8"/>
    <w:rsid w:val="004C0BFD"/>
    <w:rsid w:val="004C16E6"/>
    <w:rsid w:val="004C3003"/>
    <w:rsid w:val="004C3295"/>
    <w:rsid w:val="004C649C"/>
    <w:rsid w:val="004D19E2"/>
    <w:rsid w:val="004D2EAA"/>
    <w:rsid w:val="004E3223"/>
    <w:rsid w:val="004E7700"/>
    <w:rsid w:val="00501FD1"/>
    <w:rsid w:val="00504AFA"/>
    <w:rsid w:val="005240A7"/>
    <w:rsid w:val="0053014A"/>
    <w:rsid w:val="005330B6"/>
    <w:rsid w:val="0054110F"/>
    <w:rsid w:val="00545DEC"/>
    <w:rsid w:val="00546523"/>
    <w:rsid w:val="00547029"/>
    <w:rsid w:val="00561E1F"/>
    <w:rsid w:val="00564409"/>
    <w:rsid w:val="00565072"/>
    <w:rsid w:val="00566382"/>
    <w:rsid w:val="00571D4A"/>
    <w:rsid w:val="00583182"/>
    <w:rsid w:val="0059310E"/>
    <w:rsid w:val="00595AD2"/>
    <w:rsid w:val="005A08FD"/>
    <w:rsid w:val="005E1A42"/>
    <w:rsid w:val="005E413E"/>
    <w:rsid w:val="005F0F65"/>
    <w:rsid w:val="0060072A"/>
    <w:rsid w:val="00602FCD"/>
    <w:rsid w:val="006057EC"/>
    <w:rsid w:val="00622AE3"/>
    <w:rsid w:val="00623419"/>
    <w:rsid w:val="00641772"/>
    <w:rsid w:val="006537AF"/>
    <w:rsid w:val="00653AE3"/>
    <w:rsid w:val="00655FCE"/>
    <w:rsid w:val="006622D4"/>
    <w:rsid w:val="00664ECC"/>
    <w:rsid w:val="00685674"/>
    <w:rsid w:val="00691790"/>
    <w:rsid w:val="00694172"/>
    <w:rsid w:val="006C1E69"/>
    <w:rsid w:val="006D11CA"/>
    <w:rsid w:val="006D3FD7"/>
    <w:rsid w:val="006F74DC"/>
    <w:rsid w:val="00707851"/>
    <w:rsid w:val="007150AD"/>
    <w:rsid w:val="00743494"/>
    <w:rsid w:val="007651ED"/>
    <w:rsid w:val="0078760B"/>
    <w:rsid w:val="007A3920"/>
    <w:rsid w:val="007A5FBB"/>
    <w:rsid w:val="007B45F4"/>
    <w:rsid w:val="007B558B"/>
    <w:rsid w:val="007C18CD"/>
    <w:rsid w:val="007E3237"/>
    <w:rsid w:val="007E6833"/>
    <w:rsid w:val="007F274C"/>
    <w:rsid w:val="007F5C2F"/>
    <w:rsid w:val="00803CE3"/>
    <w:rsid w:val="008065D7"/>
    <w:rsid w:val="0081320E"/>
    <w:rsid w:val="00843397"/>
    <w:rsid w:val="00846251"/>
    <w:rsid w:val="00852E50"/>
    <w:rsid w:val="008610A5"/>
    <w:rsid w:val="00872DE6"/>
    <w:rsid w:val="008760DB"/>
    <w:rsid w:val="0089590F"/>
    <w:rsid w:val="008A1851"/>
    <w:rsid w:val="008A42AF"/>
    <w:rsid w:val="008D0406"/>
    <w:rsid w:val="008D13FE"/>
    <w:rsid w:val="008E11A7"/>
    <w:rsid w:val="008E55CE"/>
    <w:rsid w:val="00914B64"/>
    <w:rsid w:val="009153F0"/>
    <w:rsid w:val="00925C89"/>
    <w:rsid w:val="00961064"/>
    <w:rsid w:val="00965678"/>
    <w:rsid w:val="00981A1C"/>
    <w:rsid w:val="009851FA"/>
    <w:rsid w:val="009A3085"/>
    <w:rsid w:val="009B1A40"/>
    <w:rsid w:val="009B6818"/>
    <w:rsid w:val="009D3530"/>
    <w:rsid w:val="009F3573"/>
    <w:rsid w:val="009F5AEC"/>
    <w:rsid w:val="009F6C09"/>
    <w:rsid w:val="00A040EA"/>
    <w:rsid w:val="00A0422D"/>
    <w:rsid w:val="00A248BC"/>
    <w:rsid w:val="00A33FC8"/>
    <w:rsid w:val="00A3569C"/>
    <w:rsid w:val="00A35CFA"/>
    <w:rsid w:val="00A473F7"/>
    <w:rsid w:val="00A543C8"/>
    <w:rsid w:val="00A60FE1"/>
    <w:rsid w:val="00AA7512"/>
    <w:rsid w:val="00AC09B3"/>
    <w:rsid w:val="00AD0515"/>
    <w:rsid w:val="00B00A75"/>
    <w:rsid w:val="00B0284F"/>
    <w:rsid w:val="00B04589"/>
    <w:rsid w:val="00B43066"/>
    <w:rsid w:val="00B47A92"/>
    <w:rsid w:val="00B56898"/>
    <w:rsid w:val="00B62FE5"/>
    <w:rsid w:val="00B71BE7"/>
    <w:rsid w:val="00B71FCF"/>
    <w:rsid w:val="00B74AD7"/>
    <w:rsid w:val="00B753E8"/>
    <w:rsid w:val="00B80B16"/>
    <w:rsid w:val="00B90E16"/>
    <w:rsid w:val="00B96950"/>
    <w:rsid w:val="00BA6E46"/>
    <w:rsid w:val="00BB67BE"/>
    <w:rsid w:val="00BB7973"/>
    <w:rsid w:val="00BC07C9"/>
    <w:rsid w:val="00BC17EB"/>
    <w:rsid w:val="00BC4C4A"/>
    <w:rsid w:val="00BD2378"/>
    <w:rsid w:val="00BD3B97"/>
    <w:rsid w:val="00BD666E"/>
    <w:rsid w:val="00BE7C78"/>
    <w:rsid w:val="00BF0E84"/>
    <w:rsid w:val="00C12C5D"/>
    <w:rsid w:val="00C20924"/>
    <w:rsid w:val="00C21A01"/>
    <w:rsid w:val="00C23398"/>
    <w:rsid w:val="00C426FB"/>
    <w:rsid w:val="00C430C8"/>
    <w:rsid w:val="00C63170"/>
    <w:rsid w:val="00C67BEA"/>
    <w:rsid w:val="00C7154D"/>
    <w:rsid w:val="00C817E0"/>
    <w:rsid w:val="00C83D7D"/>
    <w:rsid w:val="00C85BED"/>
    <w:rsid w:val="00CB520B"/>
    <w:rsid w:val="00CC7700"/>
    <w:rsid w:val="00CD1ECC"/>
    <w:rsid w:val="00CE0DB1"/>
    <w:rsid w:val="00CE61D9"/>
    <w:rsid w:val="00CE7854"/>
    <w:rsid w:val="00CF195F"/>
    <w:rsid w:val="00CF3F70"/>
    <w:rsid w:val="00D02660"/>
    <w:rsid w:val="00D035E6"/>
    <w:rsid w:val="00D04E10"/>
    <w:rsid w:val="00D147ED"/>
    <w:rsid w:val="00D20FC9"/>
    <w:rsid w:val="00D23E91"/>
    <w:rsid w:val="00D24C2A"/>
    <w:rsid w:val="00D4163D"/>
    <w:rsid w:val="00D418B8"/>
    <w:rsid w:val="00D4649C"/>
    <w:rsid w:val="00D550D4"/>
    <w:rsid w:val="00D75251"/>
    <w:rsid w:val="00D807E2"/>
    <w:rsid w:val="00D836EE"/>
    <w:rsid w:val="00D95CA6"/>
    <w:rsid w:val="00DB6F44"/>
    <w:rsid w:val="00DD4ACC"/>
    <w:rsid w:val="00DD6616"/>
    <w:rsid w:val="00DF3393"/>
    <w:rsid w:val="00E1095E"/>
    <w:rsid w:val="00E234F1"/>
    <w:rsid w:val="00E2744B"/>
    <w:rsid w:val="00E465D2"/>
    <w:rsid w:val="00E46FB6"/>
    <w:rsid w:val="00E65D30"/>
    <w:rsid w:val="00E70A91"/>
    <w:rsid w:val="00E729F6"/>
    <w:rsid w:val="00E95500"/>
    <w:rsid w:val="00EA7E44"/>
    <w:rsid w:val="00EB0173"/>
    <w:rsid w:val="00EB02A6"/>
    <w:rsid w:val="00EB527C"/>
    <w:rsid w:val="00EB7CA5"/>
    <w:rsid w:val="00EC65F3"/>
    <w:rsid w:val="00ED05A1"/>
    <w:rsid w:val="00EE28BE"/>
    <w:rsid w:val="00EF0ACF"/>
    <w:rsid w:val="00F063D1"/>
    <w:rsid w:val="00F12EFE"/>
    <w:rsid w:val="00F14182"/>
    <w:rsid w:val="00F246F8"/>
    <w:rsid w:val="00F42FCC"/>
    <w:rsid w:val="00F52FA0"/>
    <w:rsid w:val="00F65B72"/>
    <w:rsid w:val="00F7731F"/>
    <w:rsid w:val="00F77B9B"/>
    <w:rsid w:val="00F80774"/>
    <w:rsid w:val="00F83CCA"/>
    <w:rsid w:val="00F84BCF"/>
    <w:rsid w:val="00F85128"/>
    <w:rsid w:val="00F93B68"/>
    <w:rsid w:val="00FB60C4"/>
    <w:rsid w:val="00FB6B40"/>
    <w:rsid w:val="00FB71EB"/>
    <w:rsid w:val="00FC7A65"/>
    <w:rsid w:val="00FD6CFD"/>
    <w:rsid w:val="607EC0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A90A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243432"/>
    <w:rPr>
      <w:rFonts w:ascii="Segoe UI" w:hAnsi="Segoe UI" w:cs="Segoe UI"/>
      <w:sz w:val="18"/>
      <w:szCs w:val="18"/>
    </w:rPr>
  </w:style>
  <w:style w:type="character" w:customStyle="1" w:styleId="BalloonTextChar">
    <w:name w:val="Balloon Text Char"/>
    <w:link w:val="BalloonText"/>
    <w:rsid w:val="00243432"/>
    <w:rPr>
      <w:rFonts w:ascii="Segoe UI" w:hAnsi="Segoe UI" w:cs="Segoe UI"/>
      <w:sz w:val="18"/>
      <w:szCs w:val="18"/>
    </w:rPr>
  </w:style>
  <w:style w:type="character" w:styleId="CommentReference">
    <w:name w:val="annotation reference"/>
    <w:rsid w:val="00743494"/>
    <w:rPr>
      <w:sz w:val="16"/>
      <w:szCs w:val="16"/>
    </w:rPr>
  </w:style>
  <w:style w:type="paragraph" w:styleId="CommentText">
    <w:name w:val="annotation text"/>
    <w:basedOn w:val="Normal"/>
    <w:link w:val="CommentTextChar"/>
    <w:rsid w:val="00743494"/>
  </w:style>
  <w:style w:type="character" w:customStyle="1" w:styleId="CommentTextChar">
    <w:name w:val="Comment Text Char"/>
    <w:basedOn w:val="DefaultParagraphFont"/>
    <w:link w:val="CommentText"/>
    <w:rsid w:val="00743494"/>
  </w:style>
  <w:style w:type="paragraph" w:styleId="CommentSubject">
    <w:name w:val="annotation subject"/>
    <w:basedOn w:val="CommentText"/>
    <w:next w:val="CommentText"/>
    <w:link w:val="CommentSubjectChar"/>
    <w:rsid w:val="00743494"/>
    <w:rPr>
      <w:b/>
      <w:bCs/>
    </w:rPr>
  </w:style>
  <w:style w:type="character" w:customStyle="1" w:styleId="CommentSubjectChar">
    <w:name w:val="Comment Subject Char"/>
    <w:link w:val="CommentSubject"/>
    <w:rsid w:val="00743494"/>
    <w:rPr>
      <w:b/>
      <w:bCs/>
    </w:rPr>
  </w:style>
  <w:style w:type="paragraph" w:styleId="Revision">
    <w:name w:val="Revision"/>
    <w:hidden/>
    <w:uiPriority w:val="99"/>
    <w:semiHidden/>
    <w:rsid w:val="00B71FCF"/>
  </w:style>
  <w:style w:type="paragraph" w:styleId="ListParagraph">
    <w:name w:val="List Paragraph"/>
    <w:basedOn w:val="Normal"/>
    <w:uiPriority w:val="34"/>
    <w:qFormat/>
    <w:rsid w:val="00653AE3"/>
    <w:pPr>
      <w:ind w:left="720"/>
    </w:pPr>
  </w:style>
  <w:style w:type="table" w:styleId="TableGrid">
    <w:name w:val="Table Grid"/>
    <w:basedOn w:val="TableNormal"/>
    <w:rsid w:val="00C8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3D7D"/>
    <w:rPr>
      <w:color w:val="0563C1"/>
      <w:u w:val="single"/>
    </w:rPr>
  </w:style>
  <w:style w:type="character" w:styleId="UnresolvedMention">
    <w:name w:val="Unresolved Mention"/>
    <w:uiPriority w:val="99"/>
    <w:semiHidden/>
    <w:unhideWhenUsed/>
    <w:rsid w:val="00C83D7D"/>
    <w:rPr>
      <w:color w:val="605E5C"/>
      <w:shd w:val="clear" w:color="auto" w:fill="E1DFDD"/>
    </w:rPr>
  </w:style>
  <w:style w:type="paragraph" w:styleId="Header">
    <w:name w:val="header"/>
    <w:basedOn w:val="Normal"/>
    <w:link w:val="HeaderChar"/>
    <w:rsid w:val="00F80774"/>
    <w:pPr>
      <w:tabs>
        <w:tab w:val="center" w:pos="4680"/>
        <w:tab w:val="right" w:pos="9360"/>
      </w:tabs>
    </w:pPr>
  </w:style>
  <w:style w:type="character" w:customStyle="1" w:styleId="HeaderChar">
    <w:name w:val="Header Char"/>
    <w:basedOn w:val="DefaultParagraphFont"/>
    <w:link w:val="Header"/>
    <w:rsid w:val="00F80774"/>
  </w:style>
  <w:style w:type="paragraph" w:styleId="Footer">
    <w:name w:val="footer"/>
    <w:basedOn w:val="Normal"/>
    <w:link w:val="FooterChar"/>
    <w:rsid w:val="00F80774"/>
    <w:pPr>
      <w:tabs>
        <w:tab w:val="center" w:pos="4680"/>
        <w:tab w:val="right" w:pos="9360"/>
      </w:tabs>
    </w:pPr>
  </w:style>
  <w:style w:type="character" w:customStyle="1" w:styleId="FooterChar">
    <w:name w:val="Footer Char"/>
    <w:basedOn w:val="DefaultParagraphFont"/>
    <w:link w:val="Footer"/>
    <w:rsid w:val="00F8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433D1-6FE7-47A6-9CAD-0248858AA79A}">
  <ds:schemaRefs>
    <ds:schemaRef ds:uri="http://schemas.microsoft.com/sharepoint/v3/contenttype/forms"/>
  </ds:schemaRefs>
</ds:datastoreItem>
</file>

<file path=customXml/itemProps2.xml><?xml version="1.0" encoding="utf-8"?>
<ds:datastoreItem xmlns:ds="http://schemas.openxmlformats.org/officeDocument/2006/customXml" ds:itemID="{DFB832E0-ACCC-4299-8223-41E0433CC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2CA3C7-403A-4E49-9321-FE26C2080AF3}">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2703</Words>
  <Characters>16696</Characters>
  <Application>Microsoft Office Word</Application>
  <DocSecurity>0</DocSecurity>
  <Lines>139</Lines>
  <Paragraphs>38</Paragraphs>
  <ScaleCrop>false</ScaleCrop>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2024-06-18T16:51:00Z</dcterms:created>
  <dcterms:modified xsi:type="dcterms:W3CDTF">2024-07-17T23:59:00Z</dcterms:modified>
</cp:coreProperties>
</file>