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5D7B08E9" w:rsidR="005817FD" w:rsidRPr="00E016A3" w:rsidRDefault="00C72D21" w:rsidP="005817FD">
      <w:pPr>
        <w:pStyle w:val="WorksheetTitle"/>
        <w:rPr>
          <w:rFonts w:ascii="Times New Roman" w:hAnsi="Times New Roman" w:cs="Times New Roman"/>
          <w:color w:val="000000" w:themeColor="text1"/>
        </w:rPr>
      </w:pPr>
      <w:permStart w:id="711216117" w:edGrp="everyone"/>
      <w:r w:rsidRPr="00C72D21">
        <w:rPr>
          <w:rFonts w:ascii="Times New Roman" w:hAnsi="Times New Roman" w:cs="Times New Roman"/>
        </w:rPr>
        <w:t xml:space="preserve">Special Supplemental Nutrition Program for Women, Infants and Children – WIC </w:t>
      </w:r>
      <w:r w:rsidR="00044EEA">
        <w:rPr>
          <w:rFonts w:ascii="Times New Roman" w:hAnsi="Times New Roman" w:cs="Times New Roman"/>
        </w:rPr>
        <w:t>O</w:t>
      </w:r>
      <w:r w:rsidRPr="00C72D21">
        <w:rPr>
          <w:rFonts w:ascii="Times New Roman" w:hAnsi="Times New Roman" w:cs="Times New Roman"/>
        </w:rPr>
        <w:t xml:space="preserve">nline </w:t>
      </w:r>
      <w:r w:rsidR="00044EEA">
        <w:rPr>
          <w:rFonts w:ascii="Times New Roman" w:hAnsi="Times New Roman" w:cs="Times New Roman"/>
        </w:rPr>
        <w:t>S</w:t>
      </w:r>
      <w:r w:rsidRPr="00C72D21">
        <w:rPr>
          <w:rFonts w:ascii="Times New Roman" w:hAnsi="Times New Roman" w:cs="Times New Roman"/>
        </w:rPr>
        <w:t xml:space="preserve">hopping TA and </w:t>
      </w:r>
      <w:r w:rsidR="00044EEA">
        <w:rPr>
          <w:rFonts w:ascii="Times New Roman" w:hAnsi="Times New Roman" w:cs="Times New Roman"/>
        </w:rPr>
        <w:t>S</w:t>
      </w:r>
      <w:r w:rsidRPr="00C72D21">
        <w:rPr>
          <w:rFonts w:ascii="Times New Roman" w:hAnsi="Times New Roman" w:cs="Times New Roman"/>
        </w:rPr>
        <w:t xml:space="preserve">ubgrantees </w:t>
      </w:r>
      <w:r>
        <w:rPr>
          <w:rFonts w:ascii="Times New Roman" w:hAnsi="Times New Roman" w:cs="Times New Roman"/>
        </w:rPr>
        <w:t xml:space="preserve">Grants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1A81EF98" w14:textId="656C4F36" w:rsidR="00D223B5" w:rsidRDefault="00D223B5" w:rsidP="00D223B5">
      <w:pPr>
        <w:pStyle w:val="BodyText"/>
        <w:ind w:left="651" w:right="357" w:hanging="1"/>
      </w:pPr>
      <w:r>
        <w:t>OMB</w:t>
      </w:r>
      <w:r>
        <w:rPr>
          <w:spacing w:val="-7"/>
        </w:rPr>
        <w:t xml:space="preserve"> </w:t>
      </w:r>
      <w:r>
        <w:t>BURDEN</w:t>
      </w:r>
      <w:r>
        <w:rPr>
          <w:spacing w:val="-8"/>
        </w:rPr>
        <w:t xml:space="preserve"> </w:t>
      </w:r>
      <w:r>
        <w:t>STATEMENT:</w:t>
      </w:r>
      <w:r>
        <w:rPr>
          <w:spacing w:val="-7"/>
        </w:rPr>
        <w:t xml:space="preserve"> </w:t>
      </w:r>
      <w:r>
        <w:t>According</w:t>
      </w:r>
      <w:r>
        <w:rPr>
          <w:spacing w:val="-10"/>
        </w:rPr>
        <w:t xml:space="preserve"> </w:t>
      </w:r>
      <w:r>
        <w:t>to</w:t>
      </w:r>
      <w:r>
        <w:rPr>
          <w:spacing w:val="-7"/>
        </w:rPr>
        <w:t xml:space="preserve"> </w:t>
      </w:r>
      <w:r>
        <w:t>the</w:t>
      </w:r>
      <w:r>
        <w:rPr>
          <w:spacing w:val="-7"/>
        </w:rPr>
        <w:t xml:space="preserve"> </w:t>
      </w:r>
      <w:r>
        <w:t>Paperwork</w:t>
      </w:r>
      <w:r>
        <w:rPr>
          <w:spacing w:val="-7"/>
        </w:rPr>
        <w:t xml:space="preserve"> </w:t>
      </w:r>
      <w:r>
        <w:t>Reduction</w:t>
      </w:r>
      <w:r>
        <w:rPr>
          <w:spacing w:val="-7"/>
        </w:rPr>
        <w:t xml:space="preserve"> </w:t>
      </w:r>
      <w:r>
        <w:t>Act</w:t>
      </w:r>
      <w:r>
        <w:rPr>
          <w:spacing w:val="-6"/>
        </w:rPr>
        <w:t xml:space="preserve"> </w:t>
      </w:r>
      <w:r>
        <w:t>of</w:t>
      </w:r>
      <w:r>
        <w:rPr>
          <w:spacing w:val="-7"/>
        </w:rPr>
        <w:t xml:space="preserve"> </w:t>
      </w:r>
      <w:r>
        <w:t>1995,</w:t>
      </w:r>
      <w:r>
        <w:rPr>
          <w:spacing w:val="-8"/>
        </w:rPr>
        <w:t xml:space="preserve"> </w:t>
      </w:r>
      <w:r>
        <w:t>no</w:t>
      </w:r>
      <w:r>
        <w:rPr>
          <w:spacing w:val="-7"/>
        </w:rPr>
        <w:t xml:space="preserve"> </w:t>
      </w:r>
      <w:r>
        <w:t>persons</w:t>
      </w:r>
      <w:r>
        <w:rPr>
          <w:spacing w:val="-7"/>
        </w:rPr>
        <w:t xml:space="preserve"> </w:t>
      </w:r>
      <w:r>
        <w:t>are</w:t>
      </w:r>
      <w:r>
        <w:rPr>
          <w:spacing w:val="-57"/>
        </w:rPr>
        <w:t xml:space="preserve"> </w:t>
      </w:r>
      <w:r>
        <w:t>required</w:t>
      </w:r>
      <w:r>
        <w:rPr>
          <w:spacing w:val="-6"/>
        </w:rPr>
        <w:t xml:space="preserve"> </w:t>
      </w:r>
      <w:r>
        <w:t>to</w:t>
      </w:r>
      <w:r>
        <w:rPr>
          <w:spacing w:val="-5"/>
        </w:rPr>
        <w:t xml:space="preserve"> </w:t>
      </w:r>
      <w:r>
        <w:t>respond</w:t>
      </w:r>
      <w:r>
        <w:rPr>
          <w:spacing w:val="-5"/>
        </w:rPr>
        <w:t xml:space="preserve"> </w:t>
      </w:r>
      <w:r>
        <w:t>to</w:t>
      </w:r>
      <w:r>
        <w:rPr>
          <w:spacing w:val="-5"/>
        </w:rPr>
        <w:t xml:space="preserve"> </w:t>
      </w:r>
      <w:r>
        <w:t>a</w:t>
      </w:r>
      <w:r>
        <w:rPr>
          <w:spacing w:val="-7"/>
        </w:rPr>
        <w:t xml:space="preserve"> </w:t>
      </w:r>
      <w:r>
        <w:t>collection</w:t>
      </w:r>
      <w:r>
        <w:rPr>
          <w:spacing w:val="-5"/>
        </w:rPr>
        <w:t xml:space="preserve"> </w:t>
      </w:r>
      <w:r>
        <w:t>of</w:t>
      </w:r>
      <w:r>
        <w:rPr>
          <w:spacing w:val="-5"/>
        </w:rPr>
        <w:t xml:space="preserve"> </w:t>
      </w:r>
      <w:r>
        <w:t>information</w:t>
      </w:r>
      <w:r>
        <w:rPr>
          <w:spacing w:val="-7"/>
        </w:rPr>
        <w:t xml:space="preserve"> </w:t>
      </w:r>
      <w:r>
        <w:t>unless</w:t>
      </w:r>
      <w:r>
        <w:rPr>
          <w:spacing w:val="-5"/>
        </w:rPr>
        <w:t xml:space="preserve"> </w:t>
      </w:r>
      <w:r>
        <w:t>it</w:t>
      </w:r>
      <w:r>
        <w:rPr>
          <w:spacing w:val="-5"/>
        </w:rPr>
        <w:t xml:space="preserve"> </w:t>
      </w:r>
      <w:r>
        <w:t>displays</w:t>
      </w:r>
      <w:r>
        <w:rPr>
          <w:spacing w:val="-2"/>
        </w:rPr>
        <w:t xml:space="preserve"> </w:t>
      </w:r>
      <w:r>
        <w:t>a</w:t>
      </w:r>
      <w:r>
        <w:rPr>
          <w:spacing w:val="-6"/>
        </w:rPr>
        <w:t xml:space="preserve"> </w:t>
      </w:r>
      <w:r>
        <w:t>valid</w:t>
      </w:r>
      <w:r>
        <w:rPr>
          <w:spacing w:val="-4"/>
        </w:rPr>
        <w:t xml:space="preserve"> </w:t>
      </w:r>
      <w:r>
        <w:t>OMB</w:t>
      </w:r>
      <w:r>
        <w:rPr>
          <w:spacing w:val="-7"/>
        </w:rPr>
        <w:t xml:space="preserve"> </w:t>
      </w:r>
      <w:r>
        <w:t>control</w:t>
      </w:r>
      <w:r>
        <w:rPr>
          <w:spacing w:val="-5"/>
        </w:rPr>
        <w:t xml:space="preserve"> </w:t>
      </w:r>
      <w:r>
        <w:t>number.</w:t>
      </w:r>
      <w:r>
        <w:t xml:space="preserve"> </w:t>
      </w:r>
      <w:r>
        <w:t>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 xml:space="preserve">time required to complete this information collection is </w:t>
      </w:r>
      <w:r>
        <w:t>38</w:t>
      </w:r>
      <w:r>
        <w:t xml:space="preserve"> hours per response, including time for</w:t>
      </w:r>
      <w:r>
        <w:rPr>
          <w:spacing w:val="1"/>
        </w:rPr>
        <w:t xml:space="preserve"> </w:t>
      </w:r>
      <w:r>
        <w:t>reviewing instructions, searching existing data sources, gathering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006B8E0F" w14:textId="05D15F9B" w:rsidR="00786F8C" w:rsidRDefault="00786F8C" w:rsidP="00786F8C">
      <w:r>
        <w:lastRenderedPageBreak/>
        <w:t>.</w:t>
      </w: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3C803DAA" w:rsidR="00181D55" w:rsidRPr="00786F8C" w:rsidRDefault="00786F8C" w:rsidP="003F10E8">
      <w:pPr>
        <w:rPr>
          <w:color w:val="D9D9D9" w:themeColor="background1" w:themeShade="D9"/>
        </w:rPr>
      </w:pPr>
      <w:r w:rsidRPr="00786F8C">
        <w:rPr>
          <w:color w:val="D9D9D9" w:themeColor="background1" w:themeShade="D9"/>
        </w:rPr>
        <w:t>A58</w:t>
      </w:r>
    </w:p>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7D17C8">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7D17C8">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7D17C8">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7D17C8">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7D17C8">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7D17C8">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7D17C8">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7D17C8">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7D17C8">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7D17C8">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7D17C8">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7D17C8">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7D17C8">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7D17C8">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7D17C8">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7D17C8">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7D17C8">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7D17C8">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7D17C8">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7D17C8">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7D17C8">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7D17C8">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7D17C8">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7D17C8">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7D17C8">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7D17C8">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7D17C8">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7D17C8">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7D17C8">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7D17C8">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7D17C8">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7D17C8">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7D17C8">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7D17C8">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7D17C8">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7D17C8">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7D17C8">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7D17C8">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7D17C8">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7D17C8">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w:t>
      </w:r>
      <w:r w:rsidRPr="009A33A9">
        <w:rPr>
          <w:rFonts w:ascii="Times New Roman" w:hAnsi="Times New Roman"/>
          <w:szCs w:val="24"/>
        </w:rPr>
        <w:lastRenderedPageBreak/>
        <w:t xml:space="preserve">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appendices, </w:t>
      </w:r>
      <w:permStart w:id="1972259360" w:edGrp="everyone"/>
      <w:r w:rsidR="00731D9B" w:rsidRPr="009A33A9">
        <w:rPr>
          <w:rFonts w:ascii="Times New Roman" w:hAnsi="Times New Roman" w:cs="Times New Roman"/>
          <w:sz w:val="24"/>
          <w:szCs w:val="24"/>
        </w:rPr>
        <w:t xml:space="preserve">  </w:t>
      </w:r>
      <w:permEnd w:id="1972259360"/>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lastRenderedPageBreak/>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lastRenderedPageBreak/>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w:t>
      </w:r>
      <w:r w:rsidRPr="00FF4350">
        <w:rPr>
          <w:bCs/>
        </w:rPr>
        <w:lastRenderedPageBreak/>
        <w:t xml:space="preserve">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7D17C8"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w:t>
      </w:r>
      <w:r w:rsidRPr="009A33A9">
        <w:rPr>
          <w:rFonts w:ascii="Times New Roman" w:hAnsi="Times New Roman" w:cs="Times New Roman"/>
          <w:sz w:val="24"/>
          <w:szCs w:val="24"/>
        </w:rPr>
        <w:lastRenderedPageBreak/>
        <w:t xml:space="preserve">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xml:space="preserve">.  If you do not receive </w:t>
      </w:r>
      <w:r w:rsidRPr="009A33A9">
        <w:rPr>
          <w:color w:val="000000" w:themeColor="text1"/>
        </w:rPr>
        <w:lastRenderedPageBreak/>
        <w:t>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w:t>
      </w:r>
      <w:r w:rsidR="008D097C" w:rsidRPr="009A33A9">
        <w:lastRenderedPageBreak/>
        <w:t xml:space="preserve">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2975" w14:textId="77777777" w:rsidR="007D17C8" w:rsidRDefault="007D17C8" w:rsidP="007A2315">
      <w:pPr>
        <w:spacing w:after="0" w:line="240" w:lineRule="auto"/>
      </w:pPr>
      <w:r>
        <w:separator/>
      </w:r>
    </w:p>
  </w:endnote>
  <w:endnote w:type="continuationSeparator" w:id="0">
    <w:p w14:paraId="6E9E4A3D" w14:textId="77777777" w:rsidR="007D17C8" w:rsidRDefault="007D17C8"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487B" w14:textId="77777777" w:rsidR="007D17C8" w:rsidRDefault="007D17C8" w:rsidP="007A2315">
      <w:pPr>
        <w:spacing w:after="0" w:line="240" w:lineRule="auto"/>
      </w:pPr>
      <w:r>
        <w:separator/>
      </w:r>
    </w:p>
  </w:footnote>
  <w:footnote w:type="continuationSeparator" w:id="0">
    <w:p w14:paraId="0DC50C6A" w14:textId="77777777" w:rsidR="007D17C8" w:rsidRDefault="007D17C8"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9287" w14:textId="66D3FE21" w:rsidR="00DF6523" w:rsidRDefault="00DF6523">
    <w:pPr>
      <w:pStyle w:val="Header"/>
    </w:pPr>
  </w:p>
  <w:p w14:paraId="5689DA81" w14:textId="21316479" w:rsidR="00DF6523" w:rsidRDefault="00DF6523" w:rsidP="00DF6523">
    <w:pPr>
      <w:pStyle w:val="Header"/>
      <w:ind w:right="-115"/>
      <w:rPr>
        <w:rFonts w:cs="Arial"/>
      </w:rPr>
    </w:pPr>
    <w:r>
      <w:rPr>
        <w:rFonts w:cs="Arial"/>
      </w:rPr>
      <w:tab/>
    </w:r>
    <w:r>
      <w:rPr>
        <w:rFonts w:cs="Arial"/>
      </w:rPr>
      <w:tab/>
      <w:t>OMB Control Number: 0584-0512</w:t>
    </w:r>
  </w:p>
  <w:p w14:paraId="01906EA5" w14:textId="77777777" w:rsidR="00DF6523" w:rsidRDefault="00DF6523" w:rsidP="00DF6523">
    <w:pPr>
      <w:pStyle w:val="Header"/>
    </w:pPr>
    <w:r>
      <w:rPr>
        <w:rFonts w:cs="Arial"/>
      </w:rPr>
      <w:tab/>
    </w:r>
    <w:r>
      <w:rPr>
        <w:rFonts w:cs="Arial"/>
      </w:rPr>
      <w:tab/>
      <w:t>Expiration Date: xx/xx/xxxx</w:t>
    </w:r>
  </w:p>
  <w:p w14:paraId="6DC91725" w14:textId="77777777" w:rsidR="00DF6523" w:rsidRDefault="00DF6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44EEA"/>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189"/>
    <w:rsid w:val="00284782"/>
    <w:rsid w:val="00292700"/>
    <w:rsid w:val="002935A8"/>
    <w:rsid w:val="00294D9E"/>
    <w:rsid w:val="00297A1B"/>
    <w:rsid w:val="002A0A52"/>
    <w:rsid w:val="002A6217"/>
    <w:rsid w:val="002C0038"/>
    <w:rsid w:val="002D0AD2"/>
    <w:rsid w:val="002D28CB"/>
    <w:rsid w:val="002D297A"/>
    <w:rsid w:val="002D3945"/>
    <w:rsid w:val="002D71B0"/>
    <w:rsid w:val="002E35B1"/>
    <w:rsid w:val="002E3EEB"/>
    <w:rsid w:val="002E4898"/>
    <w:rsid w:val="002E60A7"/>
    <w:rsid w:val="002E65B5"/>
    <w:rsid w:val="002E7C23"/>
    <w:rsid w:val="002F0D9E"/>
    <w:rsid w:val="002F57CB"/>
    <w:rsid w:val="002F682D"/>
    <w:rsid w:val="00301BE9"/>
    <w:rsid w:val="00301D3C"/>
    <w:rsid w:val="00305B88"/>
    <w:rsid w:val="003103E1"/>
    <w:rsid w:val="00312615"/>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58A4"/>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86F8C"/>
    <w:rsid w:val="00794CF0"/>
    <w:rsid w:val="007954B8"/>
    <w:rsid w:val="007A2315"/>
    <w:rsid w:val="007A24D1"/>
    <w:rsid w:val="007A416A"/>
    <w:rsid w:val="007A6F0F"/>
    <w:rsid w:val="007A7AB9"/>
    <w:rsid w:val="007C0C13"/>
    <w:rsid w:val="007C12A2"/>
    <w:rsid w:val="007C1EE2"/>
    <w:rsid w:val="007C2EEE"/>
    <w:rsid w:val="007D1282"/>
    <w:rsid w:val="007D17C8"/>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4B5"/>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2D2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4C7D"/>
    <w:rsid w:val="00CD6C2F"/>
    <w:rsid w:val="00CE2B03"/>
    <w:rsid w:val="00CE738D"/>
    <w:rsid w:val="00CF0575"/>
    <w:rsid w:val="00CF3727"/>
    <w:rsid w:val="00D01742"/>
    <w:rsid w:val="00D048BD"/>
    <w:rsid w:val="00D04F33"/>
    <w:rsid w:val="00D1150E"/>
    <w:rsid w:val="00D1634A"/>
    <w:rsid w:val="00D223B5"/>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DF6523"/>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8519</Words>
  <Characters>48563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2022-06-23T14:06:00Z</dcterms:created>
  <dcterms:modified xsi:type="dcterms:W3CDTF">2022-06-23T14:14:00Z</dcterms:modified>
</cp:coreProperties>
</file>