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5F7F9960"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A5F26A8"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0F5AD074"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29FBA851" w14:textId="77777777">
                      <w:pPr>
                        <w:pStyle w:val="BasicParagraph"/>
                        <w:ind w:firstLine="540"/>
                        <w:rPr>
                          <w:rFonts w:ascii="Arial" w:hAnsi="Arial" w:cs="Arial"/>
                          <w:sz w:val="16"/>
                          <w:szCs w:val="16"/>
                        </w:rPr>
                      </w:pPr>
                    </w:p>
                    <w:p w:rsidR="0049775C" w:rsidP="0049775C" w14:paraId="3674EB6A"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3E781FFE"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21702EFD"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67C75FF9"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66B9B8E8"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7DF79A3B"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3D2BE6B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583E06F1"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5E9D21F1"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4D2C04F3" w14:textId="77777777">
      <w:pPr>
        <w:widowControl w:val="0"/>
        <w:autoSpaceDE w:val="0"/>
        <w:autoSpaceDN w:val="0"/>
        <w:adjustRightInd w:val="0"/>
        <w:ind w:right="-274"/>
        <w:rPr>
          <w:rFonts w:ascii="Times New Roman" w:hAnsi="Times New Roman" w:cs="Times New Roman"/>
          <w:sz w:val="24"/>
          <w:szCs w:val="24"/>
        </w:rPr>
      </w:pPr>
    </w:p>
    <w:p w:rsidR="009753E8" w:rsidP="009753E8" w14:paraId="2CC6B56C"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w:t>
      </w:r>
      <w:r w:rsidR="00862B06">
        <w:rPr>
          <w:rFonts w:ascii="Times New Roman" w:hAnsi="Times New Roman" w:cs="Times New Roman"/>
          <w:sz w:val="24"/>
          <w:szCs w:val="24"/>
        </w:rPr>
        <w:t>achelle Ragland-Greene</w:t>
      </w:r>
    </w:p>
    <w:p w:rsidR="009753E8" w:rsidRPr="009753E8" w:rsidP="009753E8" w14:paraId="5E2AAD39"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 xml:space="preserve">Acting </w:t>
      </w:r>
      <w:r w:rsidRPr="00EE52C0" w:rsidR="00EE52C0">
        <w:rPr>
          <w:rFonts w:ascii="Times New Roman" w:hAnsi="Times New Roman" w:cs="Times New Roman"/>
          <w:sz w:val="24"/>
          <w:szCs w:val="24"/>
        </w:rPr>
        <w:t>Department Clearance Officer</w:t>
      </w:r>
    </w:p>
    <w:p w:rsidR="009753E8" w:rsidRPr="009753E8" w:rsidP="009753E8" w14:paraId="26445E5E"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RPr="009753E8" w:rsidP="008D2392" w14:paraId="27E4FCE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P="009753E8" w14:paraId="16C667E9" w14:textId="77777777">
      <w:pPr>
        <w:widowControl w:val="0"/>
        <w:autoSpaceDE w:val="0"/>
        <w:autoSpaceDN w:val="0"/>
        <w:adjustRightInd w:val="0"/>
        <w:ind w:right="-274"/>
        <w:rPr>
          <w:rFonts w:ascii="Times New Roman" w:hAnsi="Times New Roman" w:cs="Times New Roman"/>
          <w:sz w:val="24"/>
          <w:szCs w:val="24"/>
        </w:rPr>
      </w:pPr>
    </w:p>
    <w:p w:rsidR="0036713B" w:rsidRPr="009753E8" w:rsidP="0036713B" w14:paraId="548D0825"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F9166C">
        <w:rPr>
          <w:rFonts w:ascii="Times New Roman" w:hAnsi="Times New Roman" w:cs="Times New Roman"/>
          <w:sz w:val="24"/>
          <w:szCs w:val="24"/>
        </w:rPr>
        <w:t>Dionne Du</w:t>
      </w:r>
      <w:r w:rsidR="00844D38">
        <w:rPr>
          <w:rFonts w:ascii="Times New Roman" w:hAnsi="Times New Roman" w:cs="Times New Roman"/>
          <w:sz w:val="24"/>
          <w:szCs w:val="24"/>
        </w:rPr>
        <w:t>ncan-Hughes</w:t>
      </w:r>
    </w:p>
    <w:p w:rsidR="0036713B" w:rsidRPr="009753E8" w:rsidP="0036713B" w14:paraId="417E5D9D"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36713B" w:rsidRPr="009753E8" w:rsidP="0036713B" w14:paraId="27DA38A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Planning and Regulatory Affairs Office</w:t>
      </w:r>
      <w:r w:rsidR="009C47D0">
        <w:rPr>
          <w:rFonts w:ascii="Times New Roman" w:hAnsi="Times New Roman" w:cs="Times New Roman"/>
          <w:sz w:val="24"/>
          <w:szCs w:val="24"/>
        </w:rPr>
        <w:t>, Office of Policy Support</w:t>
      </w:r>
    </w:p>
    <w:p w:rsidR="0036713B" w:rsidP="0036713B" w14:paraId="79BB8E91"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36713B" w14:paraId="2B594A36" w14:textId="77777777">
      <w:pPr>
        <w:widowControl w:val="0"/>
        <w:autoSpaceDE w:val="0"/>
        <w:autoSpaceDN w:val="0"/>
        <w:adjustRightInd w:val="0"/>
        <w:ind w:right="-274"/>
        <w:rPr>
          <w:rFonts w:ascii="Times New Roman" w:hAnsi="Times New Roman" w:cs="Times New Roman"/>
          <w:sz w:val="24"/>
          <w:szCs w:val="24"/>
        </w:rPr>
      </w:pPr>
    </w:p>
    <w:p w:rsidR="009753E8" w:rsidP="009753E8" w14:paraId="1B80C513" w14:textId="194A92D9">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013A98">
        <w:rPr>
          <w:rFonts w:ascii="Times New Roman" w:hAnsi="Times New Roman" w:cs="Times New Roman"/>
          <w:sz w:val="24"/>
          <w:szCs w:val="24"/>
        </w:rPr>
        <w:t>August 01</w:t>
      </w:r>
      <w:r w:rsidR="00EE52C0">
        <w:rPr>
          <w:rFonts w:ascii="Times New Roman" w:hAnsi="Times New Roman" w:cs="Times New Roman"/>
          <w:sz w:val="24"/>
          <w:szCs w:val="24"/>
        </w:rPr>
        <w:t>, 202</w:t>
      </w:r>
      <w:r w:rsidR="002B200A">
        <w:rPr>
          <w:rFonts w:ascii="Times New Roman" w:hAnsi="Times New Roman" w:cs="Times New Roman"/>
          <w:sz w:val="24"/>
          <w:szCs w:val="24"/>
        </w:rPr>
        <w:t>4</w:t>
      </w:r>
    </w:p>
    <w:p w:rsidR="00276D09" w:rsidP="002A4E2E" w14:paraId="36151A02" w14:textId="77777777">
      <w:pPr>
        <w:widowControl w:val="0"/>
        <w:autoSpaceDE w:val="0"/>
        <w:autoSpaceDN w:val="0"/>
        <w:adjustRightInd w:val="0"/>
        <w:ind w:right="-274"/>
        <w:rPr>
          <w:rFonts w:ascii="Times New Roman" w:hAnsi="Times New Roman" w:cs="Times New Roman"/>
          <w:sz w:val="24"/>
          <w:szCs w:val="24"/>
        </w:rPr>
      </w:pPr>
    </w:p>
    <w:p w:rsidR="00F47195" w:rsidRPr="00F47195" w:rsidP="00F47195" w14:paraId="629389BA" w14:textId="77777777">
      <w:pPr>
        <w:ind w:left="1440" w:hanging="1440"/>
        <w:rPr>
          <w:rFonts w:ascii="Times New Roman" w:eastAsia="Times New Roman" w:hAnsi="Times New Roman" w:cs="Times New Roman"/>
          <w:color w:val="auto"/>
          <w:sz w:val="24"/>
          <w:szCs w:val="24"/>
          <w:lang w:eastAsia="en-US"/>
        </w:rPr>
      </w:pPr>
      <w:r w:rsidRPr="00F47195">
        <w:rPr>
          <w:rFonts w:ascii="Times New Roman" w:hAnsi="Times New Roman"/>
          <w:szCs w:val="24"/>
        </w:rPr>
        <w:t>SUBJECT:</w:t>
      </w:r>
      <w:r w:rsidRPr="00F47195">
        <w:rPr>
          <w:rFonts w:ascii="Times New Roman" w:hAnsi="Times New Roman"/>
          <w:szCs w:val="24"/>
        </w:rPr>
        <w:tab/>
      </w:r>
      <w:r w:rsidRPr="00F47195" w:rsidR="0036713B">
        <w:rPr>
          <w:rFonts w:ascii="Times New Roman" w:hAnsi="Times New Roman" w:cs="Times New Roman"/>
          <w:sz w:val="24"/>
          <w:szCs w:val="24"/>
        </w:rPr>
        <w:t>Justification for No</w:t>
      </w:r>
      <w:r w:rsidRPr="00F47195" w:rsidR="00FB7B28">
        <w:rPr>
          <w:rFonts w:ascii="Times New Roman" w:hAnsi="Times New Roman" w:cs="Times New Roman"/>
          <w:sz w:val="24"/>
          <w:szCs w:val="24"/>
        </w:rPr>
        <w:t>n</w:t>
      </w:r>
      <w:r w:rsidRPr="00F47195" w:rsidR="00E52CE3">
        <w:rPr>
          <w:rFonts w:ascii="Times New Roman" w:hAnsi="Times New Roman" w:cs="Times New Roman"/>
          <w:sz w:val="24"/>
          <w:szCs w:val="24"/>
        </w:rPr>
        <w:t>-</w:t>
      </w:r>
      <w:r w:rsidRPr="00F47195" w:rsidR="0036713B">
        <w:rPr>
          <w:rFonts w:ascii="Times New Roman" w:hAnsi="Times New Roman" w:cs="Times New Roman"/>
          <w:sz w:val="24"/>
          <w:szCs w:val="24"/>
        </w:rPr>
        <w:t>Material/Non-Substantive Change to OMB Control #0584-0512</w:t>
      </w:r>
      <w:r w:rsidRPr="00F47195" w:rsidR="002C133C">
        <w:rPr>
          <w:rFonts w:ascii="Times New Roman" w:hAnsi="Times New Roman" w:cs="Times New Roman"/>
          <w:sz w:val="24"/>
          <w:szCs w:val="24"/>
        </w:rPr>
        <w:t xml:space="preserve"> regardin</w:t>
      </w:r>
      <w:r w:rsidRPr="00F47195" w:rsidR="00113F0F">
        <w:rPr>
          <w:rFonts w:ascii="Times New Roman" w:hAnsi="Times New Roman" w:cs="Times New Roman"/>
          <w:sz w:val="24"/>
          <w:szCs w:val="24"/>
        </w:rPr>
        <w:t xml:space="preserve">g </w:t>
      </w:r>
      <w:r w:rsidR="002B200A">
        <w:rPr>
          <w:rFonts w:ascii="Times New Roman" w:eastAsia="Times New Roman" w:hAnsi="Times New Roman" w:cs="Times New Roman"/>
          <w:sz w:val="24"/>
          <w:szCs w:val="24"/>
        </w:rPr>
        <w:t>Supplemental Nutrition Assistance Program (SNAP) Earnings Verification Service (EVS) Support Grants</w:t>
      </w:r>
    </w:p>
    <w:p w:rsidR="0036713B" w:rsidRPr="00F47195" w:rsidP="0036713B" w14:paraId="51179DF4" w14:textId="77777777">
      <w:pPr>
        <w:widowControl w:val="0"/>
        <w:autoSpaceDE w:val="0"/>
        <w:autoSpaceDN w:val="0"/>
        <w:adjustRightInd w:val="0"/>
        <w:ind w:left="1440" w:right="-274" w:hanging="1440"/>
        <w:rPr>
          <w:rFonts w:ascii="Times New Roman" w:hAnsi="Times New Roman" w:cs="Times New Roman"/>
          <w:sz w:val="24"/>
          <w:szCs w:val="24"/>
        </w:rPr>
      </w:pPr>
    </w:p>
    <w:p w:rsidR="0036713B" w:rsidP="00236DFB" w14:paraId="12137D60" w14:textId="77777777">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w:t>
      </w:r>
      <w:r w:rsidR="0082681C">
        <w:rPr>
          <w:rFonts w:ascii="Times New Roman" w:hAnsi="Times New Roman" w:cs="Times New Roman"/>
          <w:sz w:val="24"/>
          <w:szCs w:val="24"/>
        </w:rPr>
        <w:t xml:space="preserve">Supplemental Nutrition Assistance Program (SNAP) </w:t>
      </w:r>
      <w:r w:rsidR="002B200A">
        <w:rPr>
          <w:rFonts w:ascii="Times New Roman" w:hAnsi="Times New Roman" w:cs="Times New Roman"/>
          <w:sz w:val="24"/>
          <w:szCs w:val="24"/>
        </w:rPr>
        <w:t xml:space="preserve">requests </w:t>
      </w:r>
      <w:r w:rsidRPr="00236DFB">
        <w:rPr>
          <w:rFonts w:ascii="Times New Roman" w:hAnsi="Times New Roman" w:cs="Times New Roman"/>
          <w:sz w:val="24"/>
          <w:szCs w:val="24"/>
        </w:rPr>
        <w:t xml:space="preserve">a non-substantive change to the </w:t>
      </w:r>
      <w:r w:rsidRPr="0036713B">
        <w:rPr>
          <w:rFonts w:ascii="Times New Roman" w:hAnsi="Times New Roman" w:cs="Times New Roman"/>
          <w:sz w:val="24"/>
          <w:szCs w:val="24"/>
        </w:rPr>
        <w:t>Uniform Grant Application for Non-Entitlement Discretionary Grants</w:t>
      </w:r>
      <w:r w:rsidRPr="00236DFB">
        <w:rPr>
          <w:rFonts w:ascii="Times New Roman" w:hAnsi="Times New Roman" w:cs="Times New Roman"/>
          <w:sz w:val="24"/>
          <w:szCs w:val="24"/>
        </w:rPr>
        <w:t>, approved under OMB Control No. 0584-0</w:t>
      </w:r>
      <w:r>
        <w:rPr>
          <w:rFonts w:ascii="Times New Roman" w:hAnsi="Times New Roman" w:cs="Times New Roman"/>
          <w:sz w:val="24"/>
          <w:szCs w:val="24"/>
        </w:rPr>
        <w:t>512</w:t>
      </w:r>
      <w:r w:rsidRPr="00236DFB">
        <w:rPr>
          <w:rFonts w:ascii="Times New Roman" w:hAnsi="Times New Roman" w:cs="Times New Roman"/>
          <w:sz w:val="24"/>
          <w:szCs w:val="24"/>
        </w:rPr>
        <w:t xml:space="preserve">; expiration date of </w:t>
      </w:r>
      <w:r>
        <w:rPr>
          <w:rFonts w:ascii="Times New Roman" w:hAnsi="Times New Roman" w:cs="Times New Roman"/>
          <w:sz w:val="24"/>
          <w:szCs w:val="24"/>
        </w:rPr>
        <w:t>7/31/</w:t>
      </w:r>
      <w:r w:rsidRPr="00236DFB">
        <w:rPr>
          <w:rFonts w:ascii="Times New Roman" w:hAnsi="Times New Roman" w:cs="Times New Roman"/>
          <w:sz w:val="24"/>
          <w:szCs w:val="24"/>
        </w:rPr>
        <w:t>202</w:t>
      </w:r>
      <w:r w:rsidR="007C5449">
        <w:rPr>
          <w:rFonts w:ascii="Times New Roman" w:hAnsi="Times New Roman" w:cs="Times New Roman"/>
          <w:sz w:val="24"/>
          <w:szCs w:val="24"/>
        </w:rPr>
        <w:t>5</w:t>
      </w:r>
      <w:r>
        <w:rPr>
          <w:rFonts w:ascii="Times New Roman" w:hAnsi="Times New Roman" w:cs="Times New Roman"/>
          <w:sz w:val="24"/>
          <w:szCs w:val="24"/>
        </w:rPr>
        <w:t xml:space="preserve">. </w:t>
      </w:r>
    </w:p>
    <w:p w:rsidR="0036713B" w:rsidP="00236DFB" w14:paraId="10BD764A" w14:textId="77777777">
      <w:pPr>
        <w:widowControl w:val="0"/>
        <w:autoSpaceDE w:val="0"/>
        <w:autoSpaceDN w:val="0"/>
        <w:adjustRightInd w:val="0"/>
        <w:ind w:right="-274"/>
        <w:rPr>
          <w:rFonts w:ascii="Times New Roman" w:hAnsi="Times New Roman" w:cs="Times New Roman"/>
          <w:sz w:val="24"/>
          <w:szCs w:val="24"/>
        </w:rPr>
      </w:pPr>
    </w:p>
    <w:p w:rsidR="0053213A" w:rsidP="00236DFB" w14:paraId="4F6FA104"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this memorandum, </w:t>
      </w:r>
      <w:r w:rsidR="002B200A">
        <w:rPr>
          <w:rFonts w:ascii="Times New Roman" w:hAnsi="Times New Roman" w:cs="Times New Roman"/>
          <w:sz w:val="24"/>
          <w:szCs w:val="24"/>
        </w:rPr>
        <w:t>SNAP</w:t>
      </w:r>
      <w:r>
        <w:rPr>
          <w:rFonts w:ascii="Times New Roman" w:hAnsi="Times New Roman" w:cs="Times New Roman"/>
          <w:sz w:val="24"/>
          <w:szCs w:val="24"/>
        </w:rPr>
        <w:t xml:space="preserve"> request</w:t>
      </w:r>
      <w:r w:rsidR="002B200A">
        <w:rPr>
          <w:rFonts w:ascii="Times New Roman" w:hAnsi="Times New Roman" w:cs="Times New Roman"/>
          <w:sz w:val="24"/>
          <w:szCs w:val="24"/>
        </w:rPr>
        <w:t>s</w:t>
      </w:r>
      <w:r>
        <w:rPr>
          <w:rFonts w:ascii="Times New Roman" w:hAnsi="Times New Roman" w:cs="Times New Roman"/>
          <w:sz w:val="24"/>
          <w:szCs w:val="24"/>
        </w:rPr>
        <w:t xml:space="preserve"> approval </w:t>
      </w:r>
      <w:r w:rsidRPr="0036713B" w:rsidR="0036713B">
        <w:rPr>
          <w:rFonts w:ascii="Times New Roman" w:hAnsi="Times New Roman" w:cs="Times New Roman"/>
          <w:sz w:val="24"/>
          <w:szCs w:val="24"/>
        </w:rPr>
        <w:t xml:space="preserve">to </w:t>
      </w:r>
      <w:r w:rsidR="00B04485">
        <w:rPr>
          <w:rFonts w:ascii="Times New Roman" w:hAnsi="Times New Roman" w:cs="Times New Roman"/>
          <w:sz w:val="24"/>
          <w:szCs w:val="24"/>
        </w:rPr>
        <w:t xml:space="preserve">include the </w:t>
      </w:r>
      <w:r w:rsidR="002B200A">
        <w:rPr>
          <w:rFonts w:ascii="Times New Roman" w:eastAsia="Times New Roman" w:hAnsi="Times New Roman" w:cs="Times New Roman"/>
          <w:sz w:val="24"/>
          <w:szCs w:val="24"/>
        </w:rPr>
        <w:t>SNAP Earnings Verification Service (EVS) Support Grants</w:t>
      </w:r>
      <w:r w:rsidR="00B04485">
        <w:rPr>
          <w:rFonts w:ascii="Times New Roman" w:hAnsi="Times New Roman" w:cs="Times New Roman"/>
          <w:sz w:val="24"/>
          <w:szCs w:val="24"/>
        </w:rPr>
        <w:t xml:space="preserve"> </w:t>
      </w:r>
      <w:r w:rsidR="003B10E9">
        <w:rPr>
          <w:rFonts w:ascii="Times New Roman" w:hAnsi="Times New Roman" w:cs="Times New Roman"/>
          <w:sz w:val="24"/>
          <w:szCs w:val="24"/>
        </w:rPr>
        <w:t>in</w:t>
      </w:r>
      <w:r w:rsidRPr="0036713B" w:rsidR="0036713B">
        <w:rPr>
          <w:rFonts w:ascii="Times New Roman" w:hAnsi="Times New Roman" w:cs="Times New Roman"/>
          <w:sz w:val="24"/>
          <w:szCs w:val="24"/>
        </w:rPr>
        <w:t xml:space="preserve"> </w:t>
      </w:r>
      <w:r w:rsidR="00091F7E">
        <w:rPr>
          <w:rFonts w:ascii="Times New Roman" w:hAnsi="Times New Roman" w:cs="Times New Roman"/>
          <w:sz w:val="24"/>
          <w:szCs w:val="24"/>
        </w:rPr>
        <w:t>this OMB-approved information collection</w:t>
      </w:r>
      <w:r w:rsidR="00A50E0C">
        <w:rPr>
          <w:rFonts w:ascii="Times New Roman" w:hAnsi="Times New Roman" w:cs="Times New Roman"/>
          <w:sz w:val="24"/>
          <w:szCs w:val="24"/>
        </w:rPr>
        <w:t xml:space="preserve"> request (ICR)</w:t>
      </w:r>
      <w:r w:rsidR="003B10E9">
        <w:rPr>
          <w:rFonts w:ascii="Times New Roman" w:hAnsi="Times New Roman" w:cs="Times New Roman"/>
          <w:sz w:val="24"/>
          <w:szCs w:val="24"/>
        </w:rPr>
        <w:t xml:space="preserve"> for cooperative agreement </w:t>
      </w:r>
      <w:r w:rsidR="0018485E">
        <w:rPr>
          <w:rFonts w:ascii="Times New Roman" w:hAnsi="Times New Roman" w:cs="Times New Roman"/>
          <w:sz w:val="24"/>
          <w:szCs w:val="24"/>
        </w:rPr>
        <w:t xml:space="preserve">and grants. </w:t>
      </w:r>
      <w:r w:rsidR="002B200A">
        <w:rPr>
          <w:rFonts w:ascii="Times New Roman" w:hAnsi="Times New Roman" w:cs="Times New Roman"/>
          <w:sz w:val="24"/>
          <w:szCs w:val="24"/>
        </w:rPr>
        <w:t>FNS</w:t>
      </w:r>
      <w:r w:rsidR="00A50E0C">
        <w:rPr>
          <w:rFonts w:ascii="Times New Roman" w:hAnsi="Times New Roman" w:cs="Times New Roman"/>
          <w:sz w:val="24"/>
          <w:szCs w:val="24"/>
        </w:rPr>
        <w:t xml:space="preserve"> has</w:t>
      </w:r>
      <w:r w:rsidR="00503F35">
        <w:rPr>
          <w:rFonts w:ascii="Times New Roman" w:hAnsi="Times New Roman" w:cs="Times New Roman"/>
          <w:sz w:val="24"/>
          <w:szCs w:val="24"/>
        </w:rPr>
        <w:t xml:space="preserve"> sufficient </w:t>
      </w:r>
      <w:r w:rsidRPr="0036713B" w:rsidR="0036713B">
        <w:rPr>
          <w:rFonts w:ascii="Times New Roman" w:hAnsi="Times New Roman" w:cs="Times New Roman"/>
          <w:sz w:val="24"/>
          <w:szCs w:val="24"/>
        </w:rPr>
        <w:t>burden hours included in the ICR to cover the</w:t>
      </w:r>
      <w:r w:rsidR="00391034">
        <w:rPr>
          <w:rFonts w:ascii="Times New Roman" w:hAnsi="Times New Roman" w:cs="Times New Roman"/>
          <w:sz w:val="24"/>
          <w:szCs w:val="24"/>
        </w:rPr>
        <w:t xml:space="preserve"> work </w:t>
      </w:r>
      <w:r w:rsidR="002B200A">
        <w:rPr>
          <w:rFonts w:ascii="Times New Roman" w:hAnsi="Times New Roman" w:cs="Times New Roman"/>
          <w:sz w:val="24"/>
          <w:szCs w:val="24"/>
        </w:rPr>
        <w:t>for this grant</w:t>
      </w:r>
      <w:r w:rsidR="008A550A">
        <w:rPr>
          <w:rFonts w:ascii="Times New Roman" w:hAnsi="Times New Roman" w:cs="Times New Roman"/>
          <w:sz w:val="24"/>
          <w:szCs w:val="24"/>
        </w:rPr>
        <w:t>.</w:t>
      </w:r>
      <w:r w:rsidR="00040944">
        <w:rPr>
          <w:rFonts w:ascii="Times New Roman" w:hAnsi="Times New Roman" w:cs="Times New Roman"/>
          <w:sz w:val="24"/>
          <w:szCs w:val="24"/>
        </w:rPr>
        <w:t xml:space="preserve"> FNS set aside burden hours</w:t>
      </w:r>
      <w:r w:rsidR="00E80673">
        <w:rPr>
          <w:rFonts w:ascii="Times New Roman" w:hAnsi="Times New Roman" w:cs="Times New Roman"/>
          <w:sz w:val="24"/>
          <w:szCs w:val="24"/>
        </w:rPr>
        <w:t xml:space="preserve"> for miscellaneous grants</w:t>
      </w:r>
      <w:r w:rsidR="0077277A">
        <w:rPr>
          <w:rFonts w:ascii="Times New Roman" w:hAnsi="Times New Roman" w:cs="Times New Roman"/>
          <w:sz w:val="24"/>
          <w:szCs w:val="24"/>
        </w:rPr>
        <w:t xml:space="preserve"> in 0584-0512.</w:t>
      </w:r>
      <w:r w:rsidR="00C15290">
        <w:rPr>
          <w:rFonts w:ascii="Times New Roman" w:hAnsi="Times New Roman" w:cs="Times New Roman"/>
          <w:sz w:val="24"/>
          <w:szCs w:val="24"/>
        </w:rPr>
        <w:t xml:space="preserve"> </w:t>
      </w:r>
    </w:p>
    <w:p w:rsidR="00E5641D" w:rsidRPr="00E5641D" w:rsidP="00236DFB" w14:paraId="0880EFC5" w14:textId="77777777">
      <w:pPr>
        <w:widowControl w:val="0"/>
        <w:autoSpaceDE w:val="0"/>
        <w:autoSpaceDN w:val="0"/>
        <w:adjustRightInd w:val="0"/>
        <w:ind w:right="-274"/>
        <w:rPr>
          <w:rFonts w:ascii="Times New Roman" w:hAnsi="Times New Roman" w:cs="Times New Roman"/>
          <w:strike/>
          <w:color w:val="FF0000"/>
          <w:sz w:val="24"/>
          <w:szCs w:val="24"/>
        </w:rPr>
      </w:pPr>
    </w:p>
    <w:p w:rsidR="009E79F6" w:rsidRPr="0061338D" w:rsidP="00BB46FF" w14:paraId="557B1FD2" w14:textId="77777777">
      <w:pPr>
        <w:rPr>
          <w:rFonts w:ascii="Times New Roman" w:hAnsi="Times New Roman" w:cs="Times New Roman"/>
          <w:sz w:val="24"/>
          <w:szCs w:val="24"/>
        </w:rPr>
      </w:pPr>
      <w:r w:rsidRPr="00CA52AD">
        <w:rPr>
          <w:rFonts w:ascii="Times New Roman" w:hAnsi="Times New Roman" w:cs="Times New Roman"/>
          <w:sz w:val="24"/>
          <w:szCs w:val="24"/>
        </w:rPr>
        <w:t xml:space="preserve">The Food and Nutrition Act of 2008 (the Act) requires that SNAP State agencies verify the income of applicants at initial certification and recertification. In recent years, many States have contracted with commercial vendors to use third-party income databases (TPIDs) that provide electronic verification of employment and earnings. </w:t>
      </w:r>
      <w:r>
        <w:rPr>
          <w:rFonts w:ascii="Times New Roman" w:hAnsi="Times New Roman" w:cs="Times New Roman"/>
          <w:sz w:val="24"/>
          <w:szCs w:val="24"/>
        </w:rPr>
        <w:t xml:space="preserve">Congress authorized </w:t>
      </w:r>
      <w:r w:rsidRPr="00FC116B">
        <w:rPr>
          <w:rFonts w:ascii="Times New Roman" w:hAnsi="Times New Roman" w:cs="Times New Roman"/>
          <w:sz w:val="24"/>
          <w:szCs w:val="24"/>
        </w:rPr>
        <w:t>$38 million, via the Consolidated Appropriations Act, 2021 P.L. 116-260</w:t>
      </w:r>
      <w:r>
        <w:rPr>
          <w:rFonts w:ascii="Times New Roman" w:hAnsi="Times New Roman" w:cs="Times New Roman"/>
          <w:sz w:val="24"/>
          <w:szCs w:val="24"/>
        </w:rPr>
        <w:t xml:space="preserve">, in annual funding </w:t>
      </w:r>
      <w:r w:rsidRPr="00FC116B">
        <w:rPr>
          <w:rFonts w:ascii="Times New Roman" w:hAnsi="Times New Roman" w:cs="Times New Roman"/>
          <w:sz w:val="24"/>
          <w:szCs w:val="24"/>
        </w:rPr>
        <w:t xml:space="preserve">to support SNAP State agencies’ use of </w:t>
      </w:r>
      <w:r w:rsidR="00E638A3">
        <w:rPr>
          <w:rFonts w:ascii="Times New Roman" w:hAnsi="Times New Roman" w:cs="Times New Roman"/>
          <w:sz w:val="24"/>
          <w:szCs w:val="24"/>
        </w:rPr>
        <w:t>these</w:t>
      </w:r>
      <w:r w:rsidRPr="00FC116B">
        <w:rPr>
          <w:rFonts w:ascii="Times New Roman" w:hAnsi="Times New Roman" w:cs="Times New Roman"/>
          <w:sz w:val="24"/>
          <w:szCs w:val="24"/>
        </w:rPr>
        <w:t xml:space="preserve"> services.</w:t>
      </w:r>
      <w:r w:rsidRPr="0061338D">
        <w:rPr>
          <w:rFonts w:ascii="Times New Roman" w:hAnsi="Times New Roman" w:cs="Times New Roman"/>
          <w:sz w:val="24"/>
          <w:szCs w:val="24"/>
        </w:rPr>
        <w:t xml:space="preserve"> </w:t>
      </w:r>
      <w:r w:rsidRPr="0061338D" w:rsidR="00606190">
        <w:rPr>
          <w:rFonts w:ascii="Times New Roman" w:hAnsi="Times New Roman" w:cs="Times New Roman"/>
          <w:sz w:val="24"/>
          <w:szCs w:val="24"/>
        </w:rPr>
        <w:t xml:space="preserve">The </w:t>
      </w:r>
      <w:r w:rsidR="002B200A">
        <w:rPr>
          <w:rFonts w:ascii="Times New Roman" w:hAnsi="Times New Roman" w:cs="Times New Roman"/>
          <w:sz w:val="24"/>
          <w:szCs w:val="24"/>
        </w:rPr>
        <w:t>SNAP EVS Support Grants</w:t>
      </w:r>
      <w:r w:rsidRPr="0061338D" w:rsidR="00606190">
        <w:rPr>
          <w:rFonts w:ascii="Times New Roman" w:hAnsi="Times New Roman" w:cs="Times New Roman"/>
          <w:sz w:val="24"/>
          <w:szCs w:val="24"/>
        </w:rPr>
        <w:t xml:space="preserve"> </w:t>
      </w:r>
      <w:r w:rsidR="002B200A">
        <w:rPr>
          <w:rFonts w:ascii="Times New Roman" w:hAnsi="Times New Roman" w:cs="Times New Roman"/>
          <w:sz w:val="24"/>
          <w:szCs w:val="24"/>
        </w:rPr>
        <w:t>will provide</w:t>
      </w:r>
      <w:r w:rsidRPr="0061338D" w:rsidR="002B200A">
        <w:rPr>
          <w:rFonts w:ascii="Times New Roman" w:hAnsi="Times New Roman" w:cs="Times New Roman"/>
          <w:sz w:val="24"/>
          <w:szCs w:val="24"/>
        </w:rPr>
        <w:t xml:space="preserve"> </w:t>
      </w:r>
      <w:r w:rsidR="002B200A">
        <w:rPr>
          <w:rFonts w:ascii="Times New Roman" w:hAnsi="Times New Roman" w:cs="Times New Roman"/>
          <w:sz w:val="24"/>
          <w:szCs w:val="24"/>
        </w:rPr>
        <w:t xml:space="preserve">noncompetitive </w:t>
      </w:r>
      <w:r w:rsidRPr="0061338D" w:rsidR="00606190">
        <w:rPr>
          <w:rFonts w:ascii="Times New Roman" w:hAnsi="Times New Roman" w:cs="Times New Roman"/>
          <w:sz w:val="24"/>
          <w:szCs w:val="24"/>
        </w:rPr>
        <w:t xml:space="preserve">grant funding to </w:t>
      </w:r>
      <w:r w:rsidR="002B200A">
        <w:rPr>
          <w:rFonts w:ascii="Times New Roman" w:hAnsi="Times New Roman" w:cs="Times New Roman"/>
          <w:sz w:val="24"/>
          <w:szCs w:val="24"/>
        </w:rPr>
        <w:t>SNAP</w:t>
      </w:r>
      <w:r w:rsidRPr="0061338D" w:rsidR="00606190">
        <w:rPr>
          <w:rFonts w:ascii="Times New Roman" w:hAnsi="Times New Roman" w:cs="Times New Roman"/>
          <w:sz w:val="24"/>
          <w:szCs w:val="24"/>
        </w:rPr>
        <w:t xml:space="preserve"> State agencies</w:t>
      </w:r>
      <w:r>
        <w:rPr>
          <w:rFonts w:ascii="Times New Roman" w:hAnsi="Times New Roman" w:cs="Times New Roman"/>
          <w:sz w:val="24"/>
          <w:szCs w:val="24"/>
        </w:rPr>
        <w:t xml:space="preserve"> to assist their</w:t>
      </w:r>
      <w:r w:rsidRPr="00FC116B">
        <w:rPr>
          <w:rFonts w:ascii="Times New Roman" w:hAnsi="Times New Roman" w:cs="Times New Roman"/>
          <w:sz w:val="24"/>
          <w:szCs w:val="24"/>
        </w:rPr>
        <w:t xml:space="preserve"> use of TPID services under their own State contracts, to procure new State contracts to support electronic verification of employment and earnings, or to explore and test alternative methods to electronically verify employment and earnings.</w:t>
      </w:r>
      <w:r w:rsidRPr="0061338D" w:rsidR="00606190">
        <w:rPr>
          <w:rFonts w:ascii="Times New Roman" w:hAnsi="Times New Roman" w:cs="Times New Roman"/>
          <w:sz w:val="24"/>
          <w:szCs w:val="24"/>
        </w:rPr>
        <w:t xml:space="preserve"> </w:t>
      </w:r>
    </w:p>
    <w:p w:rsidR="00FE5F9D" w:rsidP="00BB46FF" w14:paraId="6F80B186" w14:textId="77777777"/>
    <w:p w:rsidR="00D84F43" w:rsidP="00236DFB" w14:paraId="372753A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burden hours associated with the request for applications from </w:t>
      </w:r>
      <w:r w:rsidR="002C5BC6">
        <w:rPr>
          <w:rFonts w:ascii="Times New Roman" w:hAnsi="Times New Roman" w:cs="Times New Roman"/>
          <w:sz w:val="24"/>
          <w:szCs w:val="24"/>
        </w:rPr>
        <w:t>grantees</w:t>
      </w:r>
      <w:r w:rsidR="007D6CC7">
        <w:rPr>
          <w:rFonts w:ascii="Times New Roman" w:hAnsi="Times New Roman" w:cs="Times New Roman"/>
          <w:sz w:val="24"/>
          <w:szCs w:val="24"/>
        </w:rPr>
        <w:t xml:space="preserve">, </w:t>
      </w:r>
      <w:r w:rsidR="00040944">
        <w:rPr>
          <w:rFonts w:ascii="Times New Roman" w:hAnsi="Times New Roman" w:cs="Times New Roman"/>
          <w:sz w:val="24"/>
          <w:szCs w:val="24"/>
        </w:rPr>
        <w:t>a</w:t>
      </w:r>
      <w:r w:rsidR="002073B6">
        <w:rPr>
          <w:rFonts w:ascii="Times New Roman" w:hAnsi="Times New Roman" w:cs="Times New Roman"/>
          <w:sz w:val="24"/>
          <w:szCs w:val="24"/>
        </w:rPr>
        <w:t>re</w:t>
      </w:r>
      <w:r w:rsidR="00300D58">
        <w:rPr>
          <w:rFonts w:ascii="Times New Roman" w:hAnsi="Times New Roman" w:cs="Times New Roman"/>
          <w:sz w:val="24"/>
          <w:szCs w:val="24"/>
        </w:rPr>
        <w:t xml:space="preserve"> delineated </w:t>
      </w:r>
      <w:r w:rsidR="00C87EDD">
        <w:rPr>
          <w:rFonts w:ascii="Times New Roman" w:hAnsi="Times New Roman" w:cs="Times New Roman"/>
          <w:sz w:val="24"/>
          <w:szCs w:val="24"/>
        </w:rPr>
        <w:t>below</w:t>
      </w:r>
      <w:r w:rsidR="009A4A80">
        <w:rPr>
          <w:rFonts w:ascii="Times New Roman" w:hAnsi="Times New Roman" w:cs="Times New Roman"/>
          <w:sz w:val="24"/>
          <w:szCs w:val="24"/>
        </w:rPr>
        <w:t xml:space="preserve"> and already covered under the “miscellaneous” grants portion of the </w:t>
      </w:r>
      <w:r w:rsidR="00B645BD">
        <w:rPr>
          <w:rFonts w:ascii="Times New Roman" w:hAnsi="Times New Roman" w:cs="Times New Roman"/>
          <w:sz w:val="24"/>
          <w:szCs w:val="24"/>
        </w:rPr>
        <w:t>ICR for grants not identified in the existing ICR</w:t>
      </w:r>
      <w:r w:rsidR="00300D58">
        <w:rPr>
          <w:rFonts w:ascii="Times New Roman" w:hAnsi="Times New Roman" w:cs="Times New Roman"/>
          <w:sz w:val="24"/>
          <w:szCs w:val="24"/>
        </w:rPr>
        <w:t>:</w:t>
      </w:r>
    </w:p>
    <w:p w:rsidR="00DA13AB" w:rsidP="00236DFB" w14:paraId="7AC0C56B" w14:textId="77777777">
      <w:pPr>
        <w:widowControl w:val="0"/>
        <w:autoSpaceDE w:val="0"/>
        <w:autoSpaceDN w:val="0"/>
        <w:adjustRightInd w:val="0"/>
        <w:ind w:right="-274"/>
        <w:rPr>
          <w:rFonts w:ascii="Times New Roman" w:hAnsi="Times New Roman" w:cs="Times New Roman"/>
          <w:sz w:val="24"/>
          <w:szCs w:val="24"/>
        </w:rPr>
      </w:pPr>
    </w:p>
    <w:p w:rsidR="00E13DBF" w:rsidP="00E13DBF" w14:paraId="506289F7" w14:textId="77777777">
      <w:pPr>
        <w:pStyle w:val="ListParagraph"/>
        <w:numPr>
          <w:ilvl w:val="0"/>
          <w:numId w:val="17"/>
        </w:numPr>
        <w:ind w:right="-274"/>
        <w:rPr>
          <w:rFonts w:ascii="Times New Roman" w:hAnsi="Times New Roman"/>
          <w:szCs w:val="24"/>
        </w:rPr>
      </w:pPr>
      <w:r>
        <w:rPr>
          <w:rFonts w:ascii="Times New Roman" w:hAnsi="Times New Roman"/>
          <w:szCs w:val="24"/>
        </w:rPr>
        <w:t xml:space="preserve">There are burden hours </w:t>
      </w:r>
      <w:r w:rsidRPr="003E6FB4">
        <w:rPr>
          <w:rFonts w:ascii="Times New Roman" w:hAnsi="Times New Roman"/>
          <w:szCs w:val="24"/>
        </w:rPr>
        <w:t xml:space="preserve">associated with the </w:t>
      </w:r>
      <w:r w:rsidRPr="003E6FB4" w:rsidR="00381FBD">
        <w:rPr>
          <w:rFonts w:ascii="Times New Roman" w:hAnsi="Times New Roman"/>
          <w:szCs w:val="24"/>
        </w:rPr>
        <w:t>State agency</w:t>
      </w:r>
      <w:r w:rsidRPr="003E6FB4" w:rsidR="00EC70CE">
        <w:rPr>
          <w:rFonts w:ascii="Times New Roman" w:hAnsi="Times New Roman"/>
          <w:szCs w:val="24"/>
        </w:rPr>
        <w:t xml:space="preserve"> recipient</w:t>
      </w:r>
      <w:r w:rsidRPr="003E6FB4" w:rsidR="0097159A">
        <w:rPr>
          <w:rFonts w:ascii="Times New Roman" w:hAnsi="Times New Roman"/>
          <w:szCs w:val="24"/>
        </w:rPr>
        <w:t>s for</w:t>
      </w:r>
      <w:r w:rsidRPr="003E6FB4" w:rsidR="00A119F3">
        <w:rPr>
          <w:rFonts w:ascii="Times New Roman" w:hAnsi="Times New Roman"/>
          <w:szCs w:val="24"/>
        </w:rPr>
        <w:t xml:space="preserve"> submission </w:t>
      </w:r>
      <w:r w:rsidRPr="003E6FB4" w:rsidR="0061338D">
        <w:rPr>
          <w:rFonts w:ascii="Times New Roman" w:hAnsi="Times New Roman"/>
          <w:szCs w:val="24"/>
        </w:rPr>
        <w:t xml:space="preserve">of the application to the </w:t>
      </w:r>
      <w:r w:rsidR="002071B6">
        <w:rPr>
          <w:rFonts w:ascii="Times New Roman" w:hAnsi="Times New Roman"/>
          <w:szCs w:val="24"/>
        </w:rPr>
        <w:t>National</w:t>
      </w:r>
      <w:r w:rsidRPr="003E6FB4" w:rsidR="002071B6">
        <w:rPr>
          <w:rFonts w:ascii="Times New Roman" w:hAnsi="Times New Roman"/>
          <w:szCs w:val="24"/>
        </w:rPr>
        <w:t xml:space="preserve"> </w:t>
      </w:r>
      <w:r w:rsidRPr="003E6FB4" w:rsidR="0061338D">
        <w:rPr>
          <w:rFonts w:ascii="Times New Roman" w:hAnsi="Times New Roman"/>
          <w:szCs w:val="24"/>
        </w:rPr>
        <w:t xml:space="preserve">Office and receiving </w:t>
      </w:r>
      <w:r w:rsidRPr="003E6FB4" w:rsidR="001D7E32">
        <w:rPr>
          <w:rFonts w:ascii="Times New Roman" w:hAnsi="Times New Roman"/>
          <w:szCs w:val="24"/>
        </w:rPr>
        <w:t>response</w:t>
      </w:r>
      <w:r w:rsidRPr="003E6FB4" w:rsidR="004B188E">
        <w:rPr>
          <w:rFonts w:ascii="Times New Roman" w:hAnsi="Times New Roman"/>
          <w:szCs w:val="24"/>
        </w:rPr>
        <w:t>s</w:t>
      </w:r>
      <w:r w:rsidRPr="003E6FB4" w:rsidR="0097159A">
        <w:rPr>
          <w:rFonts w:ascii="Times New Roman" w:hAnsi="Times New Roman"/>
          <w:szCs w:val="24"/>
        </w:rPr>
        <w:t xml:space="preserve"> from</w:t>
      </w:r>
      <w:r w:rsidRPr="003E6FB4" w:rsidR="001D7E32">
        <w:rPr>
          <w:rFonts w:ascii="Times New Roman" w:hAnsi="Times New Roman"/>
          <w:szCs w:val="24"/>
        </w:rPr>
        <w:t xml:space="preserve"> State agencies</w:t>
      </w:r>
      <w:r w:rsidRPr="003E6FB4" w:rsidR="00CD6B52">
        <w:rPr>
          <w:rFonts w:ascii="Times New Roman" w:hAnsi="Times New Roman"/>
          <w:szCs w:val="24"/>
        </w:rPr>
        <w:t>. T</w:t>
      </w:r>
      <w:r w:rsidRPr="003E6FB4" w:rsidR="008872BA">
        <w:rPr>
          <w:rFonts w:ascii="Times New Roman" w:hAnsi="Times New Roman"/>
          <w:szCs w:val="24"/>
        </w:rPr>
        <w:t xml:space="preserve">he estimate </w:t>
      </w:r>
      <w:r w:rsidRPr="003E6FB4" w:rsidR="008872BA">
        <w:rPr>
          <w:rFonts w:ascii="Times New Roman" w:hAnsi="Times New Roman"/>
          <w:szCs w:val="24"/>
        </w:rPr>
        <w:t>is</w:t>
      </w:r>
      <w:r w:rsidRPr="003E6FB4" w:rsidR="007602B2">
        <w:rPr>
          <w:rFonts w:ascii="Times New Roman" w:hAnsi="Times New Roman"/>
          <w:szCs w:val="24"/>
        </w:rPr>
        <w:t xml:space="preserve"> </w:t>
      </w:r>
      <w:r w:rsidRPr="003E6FB4" w:rsidR="00381FBD">
        <w:rPr>
          <w:rFonts w:ascii="Times New Roman" w:hAnsi="Times New Roman"/>
          <w:szCs w:val="24"/>
        </w:rPr>
        <w:t xml:space="preserve">2 </w:t>
      </w:r>
      <w:r w:rsidRPr="003E6FB4" w:rsidR="001D2541">
        <w:rPr>
          <w:rFonts w:ascii="Times New Roman" w:hAnsi="Times New Roman"/>
          <w:szCs w:val="24"/>
        </w:rPr>
        <w:t>hours</w:t>
      </w:r>
      <w:r w:rsidRPr="003E6FB4" w:rsidR="00E7347A">
        <w:rPr>
          <w:rFonts w:ascii="Times New Roman" w:hAnsi="Times New Roman"/>
          <w:szCs w:val="24"/>
        </w:rPr>
        <w:t xml:space="preserve"> </w:t>
      </w:r>
      <w:r w:rsidRPr="003E6FB4" w:rsidR="00EE2CFB">
        <w:rPr>
          <w:rFonts w:ascii="Times New Roman" w:hAnsi="Times New Roman"/>
          <w:szCs w:val="24"/>
        </w:rPr>
        <w:t xml:space="preserve">for each of the </w:t>
      </w:r>
      <w:r w:rsidRPr="003E6FB4" w:rsidR="0061338D">
        <w:rPr>
          <w:rFonts w:ascii="Times New Roman" w:hAnsi="Times New Roman"/>
          <w:szCs w:val="24"/>
        </w:rPr>
        <w:t>fifty-</w:t>
      </w:r>
      <w:r w:rsidR="00C971F2">
        <w:rPr>
          <w:rFonts w:ascii="Times New Roman" w:hAnsi="Times New Roman"/>
          <w:szCs w:val="24"/>
        </w:rPr>
        <w:t>three</w:t>
      </w:r>
      <w:r w:rsidRPr="003E6FB4" w:rsidR="00EE2CFB">
        <w:rPr>
          <w:rFonts w:ascii="Times New Roman" w:hAnsi="Times New Roman"/>
          <w:szCs w:val="24"/>
        </w:rPr>
        <w:t xml:space="preserve"> </w:t>
      </w:r>
      <w:r w:rsidRPr="003E6FB4" w:rsidR="00381FBD">
        <w:rPr>
          <w:rFonts w:ascii="Times New Roman" w:hAnsi="Times New Roman"/>
          <w:szCs w:val="24"/>
        </w:rPr>
        <w:t>State agencies</w:t>
      </w:r>
      <w:r w:rsidRPr="003E6FB4" w:rsidR="00EE2CFB">
        <w:rPr>
          <w:rFonts w:ascii="Times New Roman" w:hAnsi="Times New Roman"/>
          <w:szCs w:val="24"/>
        </w:rPr>
        <w:t xml:space="preserve">, for a total of </w:t>
      </w:r>
      <w:r w:rsidRPr="003E6FB4" w:rsidR="00381FBD">
        <w:rPr>
          <w:rFonts w:ascii="Times New Roman" w:hAnsi="Times New Roman"/>
          <w:szCs w:val="24"/>
        </w:rPr>
        <w:t>1</w:t>
      </w:r>
      <w:r w:rsidR="000C6C45">
        <w:rPr>
          <w:rFonts w:ascii="Times New Roman" w:hAnsi="Times New Roman"/>
          <w:szCs w:val="24"/>
        </w:rPr>
        <w:t>06</w:t>
      </w:r>
      <w:r w:rsidRPr="003E6FB4" w:rsidR="00EE2CFB">
        <w:rPr>
          <w:rFonts w:ascii="Times New Roman" w:hAnsi="Times New Roman"/>
          <w:szCs w:val="24"/>
        </w:rPr>
        <w:t xml:space="preserve"> hours</w:t>
      </w:r>
      <w:r w:rsidRPr="003E6FB4" w:rsidR="00317D17">
        <w:rPr>
          <w:rFonts w:ascii="Times New Roman" w:hAnsi="Times New Roman"/>
          <w:szCs w:val="24"/>
        </w:rPr>
        <w:t xml:space="preserve"> and </w:t>
      </w:r>
      <w:r w:rsidRPr="003E6FB4" w:rsidR="00BA5DC7">
        <w:rPr>
          <w:rFonts w:ascii="Times New Roman" w:hAnsi="Times New Roman"/>
          <w:szCs w:val="24"/>
        </w:rPr>
        <w:t>5</w:t>
      </w:r>
      <w:r w:rsidR="000C6C45">
        <w:rPr>
          <w:rFonts w:ascii="Times New Roman" w:hAnsi="Times New Roman"/>
          <w:szCs w:val="24"/>
        </w:rPr>
        <w:t>3</w:t>
      </w:r>
      <w:r w:rsidRPr="003E6FB4" w:rsidR="00317D17">
        <w:rPr>
          <w:rFonts w:ascii="Times New Roman" w:hAnsi="Times New Roman"/>
          <w:szCs w:val="24"/>
        </w:rPr>
        <w:t xml:space="preserve"> responses</w:t>
      </w:r>
      <w:r w:rsidRPr="003E6FB4" w:rsidR="00EE2CFB">
        <w:rPr>
          <w:rFonts w:ascii="Times New Roman" w:hAnsi="Times New Roman"/>
          <w:szCs w:val="24"/>
        </w:rPr>
        <w:t xml:space="preserve">. </w:t>
      </w:r>
      <w:r w:rsidR="002F1E52">
        <w:rPr>
          <w:rFonts w:ascii="Times New Roman" w:hAnsi="Times New Roman"/>
          <w:szCs w:val="24"/>
        </w:rPr>
        <w:t>There are</w:t>
      </w:r>
      <w:r w:rsidR="00D3153A">
        <w:rPr>
          <w:rFonts w:ascii="Times New Roman" w:hAnsi="Times New Roman"/>
          <w:szCs w:val="24"/>
        </w:rPr>
        <w:t xml:space="preserve"> 340 hours </w:t>
      </w:r>
      <w:r w:rsidR="00C55480">
        <w:rPr>
          <w:rFonts w:ascii="Times New Roman" w:hAnsi="Times New Roman"/>
          <w:szCs w:val="24"/>
        </w:rPr>
        <w:t>associated with the pre-award reporting forms</w:t>
      </w:r>
      <w:r w:rsidR="00D3153A">
        <w:rPr>
          <w:rFonts w:ascii="Times New Roman" w:hAnsi="Times New Roman"/>
          <w:szCs w:val="24"/>
        </w:rPr>
        <w:t>.</w:t>
      </w:r>
      <w:r w:rsidR="00C55480">
        <w:rPr>
          <w:rFonts w:ascii="Times New Roman" w:hAnsi="Times New Roman"/>
          <w:szCs w:val="24"/>
        </w:rPr>
        <w:t xml:space="preserve"> </w:t>
      </w:r>
      <w:r w:rsidRPr="003E6FB4" w:rsidR="00EE2CFB">
        <w:rPr>
          <w:rFonts w:ascii="Times New Roman" w:hAnsi="Times New Roman"/>
          <w:szCs w:val="24"/>
        </w:rPr>
        <w:t>The</w:t>
      </w:r>
      <w:r w:rsidR="00D3153A">
        <w:rPr>
          <w:rFonts w:ascii="Times New Roman" w:hAnsi="Times New Roman"/>
          <w:szCs w:val="24"/>
        </w:rPr>
        <w:t xml:space="preserve"> total pre-award hours of</w:t>
      </w:r>
      <w:r w:rsidRPr="003E6FB4" w:rsidR="00EE2CFB">
        <w:rPr>
          <w:rFonts w:ascii="Times New Roman" w:hAnsi="Times New Roman"/>
          <w:szCs w:val="24"/>
        </w:rPr>
        <w:t xml:space="preserve"> </w:t>
      </w:r>
      <w:r w:rsidR="00C45B6D">
        <w:rPr>
          <w:rFonts w:ascii="Times New Roman" w:hAnsi="Times New Roman"/>
          <w:szCs w:val="24"/>
        </w:rPr>
        <w:t>446</w:t>
      </w:r>
      <w:r w:rsidRPr="003E6FB4" w:rsidR="00EE2CFB">
        <w:rPr>
          <w:rFonts w:ascii="Times New Roman" w:hAnsi="Times New Roman"/>
          <w:szCs w:val="24"/>
        </w:rPr>
        <w:t xml:space="preserve"> hours </w:t>
      </w:r>
      <w:r w:rsidRPr="003B4665" w:rsidR="00EE2CFB">
        <w:rPr>
          <w:rFonts w:ascii="Times New Roman" w:hAnsi="Times New Roman"/>
          <w:szCs w:val="24"/>
        </w:rPr>
        <w:t xml:space="preserve">would be taken </w:t>
      </w:r>
      <w:r w:rsidRPr="003B4665" w:rsidR="00E7347A">
        <w:rPr>
          <w:rFonts w:ascii="Times New Roman" w:hAnsi="Times New Roman"/>
          <w:szCs w:val="24"/>
        </w:rPr>
        <w:t xml:space="preserve">from </w:t>
      </w:r>
      <w:r w:rsidRPr="003B4665" w:rsidR="00EE2CFB">
        <w:rPr>
          <w:rFonts w:ascii="Times New Roman" w:hAnsi="Times New Roman"/>
          <w:szCs w:val="24"/>
        </w:rPr>
        <w:t xml:space="preserve">the </w:t>
      </w:r>
      <w:r w:rsidRPr="003B4665" w:rsidR="00CD6B52">
        <w:rPr>
          <w:rFonts w:ascii="Times New Roman" w:hAnsi="Times New Roman"/>
          <w:szCs w:val="24"/>
        </w:rPr>
        <w:t xml:space="preserve">existing </w:t>
      </w:r>
      <w:r w:rsidRPr="003B4665" w:rsidR="00DB0CA9">
        <w:rPr>
          <w:rFonts w:ascii="Times New Roman" w:hAnsi="Times New Roman"/>
          <w:szCs w:val="24"/>
        </w:rPr>
        <w:t>non-</w:t>
      </w:r>
      <w:r w:rsidRPr="003B4665" w:rsidR="00694864">
        <w:rPr>
          <w:rFonts w:ascii="Times New Roman" w:hAnsi="Times New Roman"/>
          <w:szCs w:val="24"/>
        </w:rPr>
        <w:t xml:space="preserve">competitive </w:t>
      </w:r>
      <w:r w:rsidRPr="003B4665" w:rsidR="00694864">
        <w:rPr>
          <w:rFonts w:ascii="Times New Roman" w:hAnsi="Times New Roman"/>
          <w:szCs w:val="24"/>
          <w:u w:val="single"/>
        </w:rPr>
        <w:t>pre-award</w:t>
      </w:r>
      <w:r w:rsidRPr="003B4665" w:rsidR="00694864">
        <w:rPr>
          <w:rFonts w:ascii="Times New Roman" w:hAnsi="Times New Roman"/>
          <w:szCs w:val="24"/>
        </w:rPr>
        <w:t xml:space="preserve"> </w:t>
      </w:r>
      <w:r w:rsidRPr="003B4665" w:rsidR="004716F4">
        <w:rPr>
          <w:rFonts w:ascii="Times New Roman" w:hAnsi="Times New Roman"/>
          <w:szCs w:val="24"/>
        </w:rPr>
        <w:t>bu</w:t>
      </w:r>
      <w:r w:rsidRPr="003B4665" w:rsidR="00E7513C">
        <w:rPr>
          <w:rFonts w:ascii="Times New Roman" w:hAnsi="Times New Roman"/>
          <w:szCs w:val="24"/>
        </w:rPr>
        <w:t xml:space="preserve">rden hours </w:t>
      </w:r>
      <w:r w:rsidRPr="003B4665" w:rsidR="00635D14">
        <w:rPr>
          <w:rFonts w:ascii="Times New Roman" w:hAnsi="Times New Roman"/>
          <w:szCs w:val="24"/>
        </w:rPr>
        <w:t xml:space="preserve">of </w:t>
      </w:r>
      <w:r w:rsidRPr="003B4665" w:rsidR="008F1384">
        <w:rPr>
          <w:rFonts w:ascii="Times New Roman" w:hAnsi="Times New Roman"/>
          <w:szCs w:val="24"/>
        </w:rPr>
        <w:t xml:space="preserve">approximately </w:t>
      </w:r>
      <w:r w:rsidRPr="00D800E5" w:rsidR="008F3BAE">
        <w:rPr>
          <w:rFonts w:ascii="Times New Roman" w:hAnsi="Times New Roman"/>
          <w:szCs w:val="24"/>
        </w:rPr>
        <w:t>2045</w:t>
      </w:r>
      <w:r w:rsidR="00D800E5">
        <w:rPr>
          <w:rFonts w:ascii="Times New Roman" w:hAnsi="Times New Roman"/>
          <w:szCs w:val="24"/>
        </w:rPr>
        <w:t xml:space="preserve"> </w:t>
      </w:r>
      <w:r w:rsidRPr="003B4665" w:rsidR="00317D17">
        <w:rPr>
          <w:rFonts w:ascii="Times New Roman" w:hAnsi="Times New Roman"/>
          <w:szCs w:val="24"/>
        </w:rPr>
        <w:t xml:space="preserve">and </w:t>
      </w:r>
      <w:r w:rsidRPr="003B4665" w:rsidR="00BA5DC7">
        <w:rPr>
          <w:rFonts w:ascii="Times New Roman" w:hAnsi="Times New Roman"/>
          <w:szCs w:val="24"/>
        </w:rPr>
        <w:t>5</w:t>
      </w:r>
      <w:r w:rsidRPr="003B4665" w:rsidR="000C6C45">
        <w:rPr>
          <w:rFonts w:ascii="Times New Roman" w:hAnsi="Times New Roman"/>
          <w:szCs w:val="24"/>
        </w:rPr>
        <w:t>3</w:t>
      </w:r>
      <w:r w:rsidRPr="003B4665" w:rsidR="00317D17">
        <w:rPr>
          <w:rFonts w:ascii="Times New Roman" w:hAnsi="Times New Roman"/>
          <w:szCs w:val="24"/>
        </w:rPr>
        <w:t xml:space="preserve"> responses would be taken from the </w:t>
      </w:r>
      <w:r w:rsidRPr="00D800E5" w:rsidR="00317D17">
        <w:rPr>
          <w:rFonts w:ascii="Times New Roman" w:hAnsi="Times New Roman"/>
          <w:szCs w:val="24"/>
        </w:rPr>
        <w:t>125</w:t>
      </w:r>
      <w:r w:rsidRPr="003B4665" w:rsidR="00317D17">
        <w:rPr>
          <w:rFonts w:ascii="Times New Roman" w:hAnsi="Times New Roman"/>
          <w:szCs w:val="24"/>
        </w:rPr>
        <w:t xml:space="preserve"> responses </w:t>
      </w:r>
      <w:r w:rsidRPr="003B4665" w:rsidR="0022390D">
        <w:rPr>
          <w:rFonts w:ascii="Times New Roman" w:hAnsi="Times New Roman"/>
          <w:szCs w:val="24"/>
        </w:rPr>
        <w:t xml:space="preserve">already </w:t>
      </w:r>
      <w:r w:rsidRPr="003B4665" w:rsidR="002C2D2D">
        <w:rPr>
          <w:rFonts w:ascii="Times New Roman" w:hAnsi="Times New Roman"/>
          <w:szCs w:val="24"/>
        </w:rPr>
        <w:t xml:space="preserve">set aside for miscellaneous grants not explicitly identified in </w:t>
      </w:r>
      <w:r w:rsidRPr="003B4665" w:rsidR="00FB1B44">
        <w:rPr>
          <w:rFonts w:ascii="Times New Roman" w:hAnsi="Times New Roman"/>
          <w:szCs w:val="24"/>
        </w:rPr>
        <w:t>0584-0512.</w:t>
      </w:r>
    </w:p>
    <w:p w:rsidR="00DA13AB" w:rsidRPr="003E6FB4" w:rsidP="00DA13AB" w14:paraId="6F539860" w14:textId="77777777">
      <w:pPr>
        <w:pStyle w:val="ListParagraph"/>
        <w:ind w:right="-274"/>
        <w:rPr>
          <w:rFonts w:ascii="Times New Roman" w:hAnsi="Times New Roman"/>
          <w:szCs w:val="24"/>
        </w:rPr>
      </w:pPr>
    </w:p>
    <w:p w:rsidR="00065184" w:rsidP="00065184" w14:paraId="75099E4C" w14:textId="77777777">
      <w:pPr>
        <w:pStyle w:val="ListParagraph"/>
        <w:numPr>
          <w:ilvl w:val="0"/>
          <w:numId w:val="17"/>
        </w:numPr>
        <w:ind w:right="-274"/>
        <w:rPr>
          <w:rFonts w:ascii="Times New Roman" w:hAnsi="Times New Roman"/>
          <w:szCs w:val="24"/>
        </w:rPr>
      </w:pPr>
      <w:r w:rsidRPr="003E6FB4">
        <w:rPr>
          <w:rFonts w:ascii="Times New Roman" w:hAnsi="Times New Roman"/>
          <w:szCs w:val="24"/>
        </w:rPr>
        <w:t xml:space="preserve">There are burden hours </w:t>
      </w:r>
      <w:r w:rsidRPr="003E6FB4" w:rsidR="00B97D02">
        <w:rPr>
          <w:rFonts w:ascii="Times New Roman" w:hAnsi="Times New Roman"/>
          <w:szCs w:val="24"/>
        </w:rPr>
        <w:t>associated with</w:t>
      </w:r>
      <w:r w:rsidRPr="003E6FB4">
        <w:rPr>
          <w:rFonts w:ascii="Times New Roman" w:hAnsi="Times New Roman"/>
          <w:szCs w:val="24"/>
        </w:rPr>
        <w:t xml:space="preserve"> State agenc</w:t>
      </w:r>
      <w:r w:rsidRPr="003E6FB4" w:rsidR="00037C90">
        <w:rPr>
          <w:rFonts w:ascii="Times New Roman" w:hAnsi="Times New Roman"/>
          <w:szCs w:val="24"/>
        </w:rPr>
        <w:t>y</w:t>
      </w:r>
      <w:r w:rsidRPr="003E6FB4">
        <w:rPr>
          <w:rFonts w:ascii="Times New Roman" w:hAnsi="Times New Roman"/>
          <w:szCs w:val="24"/>
        </w:rPr>
        <w:t xml:space="preserve"> </w:t>
      </w:r>
      <w:r w:rsidRPr="003E6FB4" w:rsidR="00043998">
        <w:rPr>
          <w:rFonts w:ascii="Times New Roman" w:hAnsi="Times New Roman"/>
          <w:szCs w:val="24"/>
          <w:u w:val="single"/>
        </w:rPr>
        <w:t>p</w:t>
      </w:r>
      <w:r w:rsidRPr="003E6FB4" w:rsidR="00076C89">
        <w:rPr>
          <w:rFonts w:ascii="Times New Roman" w:hAnsi="Times New Roman"/>
          <w:szCs w:val="24"/>
          <w:u w:val="single"/>
        </w:rPr>
        <w:t>ost</w:t>
      </w:r>
      <w:r w:rsidRPr="003E6FB4" w:rsidR="00043998">
        <w:rPr>
          <w:rFonts w:ascii="Times New Roman" w:hAnsi="Times New Roman"/>
          <w:szCs w:val="24"/>
          <w:u w:val="single"/>
        </w:rPr>
        <w:t>-award</w:t>
      </w:r>
      <w:r w:rsidRPr="003E6FB4" w:rsidR="00043998">
        <w:rPr>
          <w:rFonts w:ascii="Times New Roman" w:hAnsi="Times New Roman"/>
          <w:szCs w:val="24"/>
        </w:rPr>
        <w:t xml:space="preserve"> </w:t>
      </w:r>
      <w:r w:rsidRPr="003E6FB4">
        <w:rPr>
          <w:rFonts w:ascii="Times New Roman" w:hAnsi="Times New Roman"/>
          <w:szCs w:val="24"/>
        </w:rPr>
        <w:t>report</w:t>
      </w:r>
      <w:r w:rsidRPr="003E6FB4" w:rsidR="00037C90">
        <w:rPr>
          <w:rFonts w:ascii="Times New Roman" w:hAnsi="Times New Roman"/>
          <w:szCs w:val="24"/>
        </w:rPr>
        <w:t>ing</w:t>
      </w:r>
      <w:r w:rsidR="00A72157">
        <w:rPr>
          <w:rFonts w:ascii="Times New Roman" w:hAnsi="Times New Roman"/>
          <w:szCs w:val="24"/>
        </w:rPr>
        <w:t xml:space="preserve"> and forms</w:t>
      </w:r>
      <w:r w:rsidRPr="003E6FB4" w:rsidR="00037C90">
        <w:rPr>
          <w:rFonts w:ascii="Times New Roman" w:hAnsi="Times New Roman"/>
          <w:szCs w:val="24"/>
        </w:rPr>
        <w:t>.</w:t>
      </w:r>
      <w:r w:rsidRPr="003E6FB4">
        <w:rPr>
          <w:rFonts w:ascii="Times New Roman" w:hAnsi="Times New Roman"/>
          <w:szCs w:val="24"/>
        </w:rPr>
        <w:t xml:space="preserve"> </w:t>
      </w:r>
      <w:r w:rsidRPr="003E6FB4" w:rsidR="00BB4828">
        <w:rPr>
          <w:rFonts w:ascii="Times New Roman" w:hAnsi="Times New Roman"/>
          <w:szCs w:val="24"/>
        </w:rPr>
        <w:t>T</w:t>
      </w:r>
      <w:r w:rsidRPr="003E6FB4" w:rsidR="00E02A98">
        <w:rPr>
          <w:rFonts w:ascii="Times New Roman" w:hAnsi="Times New Roman"/>
          <w:szCs w:val="24"/>
        </w:rPr>
        <w:t>he</w:t>
      </w:r>
      <w:r w:rsidRPr="003E6FB4">
        <w:rPr>
          <w:rFonts w:ascii="Times New Roman" w:hAnsi="Times New Roman"/>
          <w:szCs w:val="24"/>
        </w:rPr>
        <w:t xml:space="preserve"> </w:t>
      </w:r>
      <w:r w:rsidRPr="003E6FB4" w:rsidR="00BB4828">
        <w:rPr>
          <w:rFonts w:ascii="Times New Roman" w:hAnsi="Times New Roman"/>
          <w:szCs w:val="24"/>
        </w:rPr>
        <w:t>estimate is</w:t>
      </w:r>
      <w:r w:rsidRPr="003E6FB4" w:rsidR="007140D9">
        <w:rPr>
          <w:rFonts w:ascii="Times New Roman" w:hAnsi="Times New Roman"/>
          <w:szCs w:val="24"/>
        </w:rPr>
        <w:t xml:space="preserve"> </w:t>
      </w:r>
      <w:r w:rsidR="00915D96">
        <w:rPr>
          <w:rFonts w:ascii="Times New Roman" w:hAnsi="Times New Roman"/>
          <w:szCs w:val="24"/>
        </w:rPr>
        <w:t>14</w:t>
      </w:r>
      <w:r w:rsidRPr="003E6FB4" w:rsidR="00852415">
        <w:rPr>
          <w:rFonts w:ascii="Times New Roman" w:hAnsi="Times New Roman"/>
          <w:szCs w:val="24"/>
        </w:rPr>
        <w:t xml:space="preserve"> hours total for each</w:t>
      </w:r>
      <w:r w:rsidRPr="003E6FB4">
        <w:rPr>
          <w:rFonts w:ascii="Times New Roman" w:hAnsi="Times New Roman"/>
          <w:szCs w:val="24"/>
        </w:rPr>
        <w:t xml:space="preserve"> of </w:t>
      </w:r>
      <w:r w:rsidRPr="003E6FB4" w:rsidR="00E10656">
        <w:rPr>
          <w:rFonts w:ascii="Times New Roman" w:hAnsi="Times New Roman"/>
          <w:szCs w:val="24"/>
        </w:rPr>
        <w:t>fifty-</w:t>
      </w:r>
      <w:r w:rsidR="00847B5E">
        <w:rPr>
          <w:rFonts w:ascii="Times New Roman" w:hAnsi="Times New Roman"/>
          <w:szCs w:val="24"/>
        </w:rPr>
        <w:t>three</w:t>
      </w:r>
      <w:r w:rsidRPr="003E6FB4">
        <w:rPr>
          <w:rFonts w:ascii="Times New Roman" w:hAnsi="Times New Roman"/>
          <w:szCs w:val="24"/>
        </w:rPr>
        <w:t xml:space="preserve"> State agencies to submit </w:t>
      </w:r>
      <w:r w:rsidR="005B7914">
        <w:rPr>
          <w:rFonts w:ascii="Times New Roman" w:hAnsi="Times New Roman"/>
          <w:szCs w:val="24"/>
        </w:rPr>
        <w:t>6</w:t>
      </w:r>
      <w:r w:rsidR="00576250">
        <w:rPr>
          <w:rFonts w:ascii="Times New Roman" w:hAnsi="Times New Roman"/>
          <w:szCs w:val="24"/>
        </w:rPr>
        <w:t xml:space="preserve"> </w:t>
      </w:r>
      <w:r w:rsidRPr="003E6FB4" w:rsidR="00175964">
        <w:rPr>
          <w:rFonts w:ascii="Times New Roman" w:hAnsi="Times New Roman"/>
          <w:szCs w:val="24"/>
        </w:rPr>
        <w:t xml:space="preserve">post award </w:t>
      </w:r>
      <w:r w:rsidRPr="003E6FB4">
        <w:rPr>
          <w:rFonts w:ascii="Times New Roman" w:hAnsi="Times New Roman"/>
          <w:szCs w:val="24"/>
        </w:rPr>
        <w:t xml:space="preserve">report </w:t>
      </w:r>
      <w:r w:rsidRPr="003E6FB4" w:rsidR="008E7C56">
        <w:rPr>
          <w:rFonts w:ascii="Times New Roman" w:hAnsi="Times New Roman"/>
          <w:szCs w:val="24"/>
        </w:rPr>
        <w:t>responses</w:t>
      </w:r>
      <w:r w:rsidRPr="003E6FB4" w:rsidR="00153341">
        <w:rPr>
          <w:rFonts w:ascii="Times New Roman" w:hAnsi="Times New Roman"/>
          <w:szCs w:val="24"/>
        </w:rPr>
        <w:t>, for a total of</w:t>
      </w:r>
      <w:r w:rsidR="00AB2DDD">
        <w:rPr>
          <w:rFonts w:ascii="Times New Roman" w:hAnsi="Times New Roman"/>
          <w:szCs w:val="24"/>
        </w:rPr>
        <w:t xml:space="preserve"> </w:t>
      </w:r>
      <w:r w:rsidR="00A76525">
        <w:rPr>
          <w:rFonts w:ascii="Times New Roman" w:hAnsi="Times New Roman"/>
          <w:szCs w:val="24"/>
        </w:rPr>
        <w:t>742</w:t>
      </w:r>
      <w:r w:rsidRPr="003E6FB4" w:rsidR="003416FC">
        <w:rPr>
          <w:rFonts w:ascii="Times New Roman" w:hAnsi="Times New Roman"/>
          <w:szCs w:val="24"/>
        </w:rPr>
        <w:t xml:space="preserve"> </w:t>
      </w:r>
      <w:r w:rsidRPr="003E6FB4">
        <w:rPr>
          <w:rFonts w:ascii="Times New Roman" w:hAnsi="Times New Roman"/>
          <w:szCs w:val="24"/>
        </w:rPr>
        <w:t>reporting hours</w:t>
      </w:r>
      <w:r w:rsidR="00B87F2B">
        <w:rPr>
          <w:rFonts w:ascii="Times New Roman" w:hAnsi="Times New Roman"/>
          <w:szCs w:val="24"/>
        </w:rPr>
        <w:t xml:space="preserve"> and </w:t>
      </w:r>
      <w:r w:rsidR="005B7914">
        <w:rPr>
          <w:rFonts w:ascii="Times New Roman" w:hAnsi="Times New Roman"/>
          <w:szCs w:val="24"/>
        </w:rPr>
        <w:t>318</w:t>
      </w:r>
      <w:r w:rsidR="00B87F2B">
        <w:rPr>
          <w:rFonts w:ascii="Times New Roman" w:hAnsi="Times New Roman"/>
          <w:szCs w:val="24"/>
        </w:rPr>
        <w:t xml:space="preserve"> responses</w:t>
      </w:r>
      <w:r w:rsidRPr="003E6FB4">
        <w:rPr>
          <w:rFonts w:ascii="Times New Roman" w:hAnsi="Times New Roman"/>
          <w:szCs w:val="24"/>
        </w:rPr>
        <w:t xml:space="preserve">. </w:t>
      </w:r>
      <w:r w:rsidRPr="008D4B67">
        <w:rPr>
          <w:rFonts w:ascii="Times New Roman" w:hAnsi="Times New Roman"/>
          <w:szCs w:val="24"/>
        </w:rPr>
        <w:t xml:space="preserve">These </w:t>
      </w:r>
      <w:r w:rsidR="00A76525">
        <w:rPr>
          <w:rFonts w:ascii="Times New Roman" w:hAnsi="Times New Roman"/>
          <w:szCs w:val="24"/>
        </w:rPr>
        <w:t>742</w:t>
      </w:r>
      <w:r w:rsidRPr="000A3F68" w:rsidR="00276443">
        <w:rPr>
          <w:rFonts w:ascii="Times New Roman" w:hAnsi="Times New Roman"/>
          <w:szCs w:val="24"/>
        </w:rPr>
        <w:t xml:space="preserve"> </w:t>
      </w:r>
      <w:r w:rsidRPr="008D4B67">
        <w:rPr>
          <w:rFonts w:ascii="Times New Roman" w:hAnsi="Times New Roman"/>
          <w:szCs w:val="24"/>
        </w:rPr>
        <w:t xml:space="preserve">hours would be taken from the </w:t>
      </w:r>
      <w:r w:rsidRPr="008D4B67" w:rsidR="00FA78B2">
        <w:rPr>
          <w:rFonts w:ascii="Times New Roman" w:hAnsi="Times New Roman"/>
          <w:szCs w:val="24"/>
        </w:rPr>
        <w:t xml:space="preserve">total </w:t>
      </w:r>
      <w:r w:rsidRPr="008D4B67">
        <w:rPr>
          <w:rFonts w:ascii="Times New Roman" w:hAnsi="Times New Roman"/>
          <w:szCs w:val="24"/>
          <w:u w:val="single"/>
        </w:rPr>
        <w:t>post-award</w:t>
      </w:r>
      <w:r w:rsidRPr="008D4B67">
        <w:rPr>
          <w:rFonts w:ascii="Times New Roman" w:hAnsi="Times New Roman"/>
          <w:szCs w:val="24"/>
        </w:rPr>
        <w:t xml:space="preserve"> of </w:t>
      </w:r>
      <w:r w:rsidR="00013DD7">
        <w:rPr>
          <w:rFonts w:ascii="Times New Roman" w:hAnsi="Times New Roman"/>
          <w:szCs w:val="24"/>
        </w:rPr>
        <w:t>5515</w:t>
      </w:r>
      <w:r w:rsidRPr="008D4B67">
        <w:rPr>
          <w:rFonts w:ascii="Times New Roman" w:hAnsi="Times New Roman"/>
          <w:szCs w:val="24"/>
        </w:rPr>
        <w:t xml:space="preserve"> hours set aside for miscellaneous </w:t>
      </w:r>
      <w:r w:rsidRPr="008D4B67" w:rsidR="00FA78B2">
        <w:rPr>
          <w:rFonts w:ascii="Times New Roman" w:hAnsi="Times New Roman"/>
          <w:szCs w:val="24"/>
        </w:rPr>
        <w:t>non-</w:t>
      </w:r>
      <w:r w:rsidRPr="008D4B67">
        <w:rPr>
          <w:rFonts w:ascii="Times New Roman" w:hAnsi="Times New Roman"/>
          <w:szCs w:val="24"/>
        </w:rPr>
        <w:t>competitive grants not explicitly identified in 0512.</w:t>
      </w:r>
    </w:p>
    <w:p w:rsidR="00DA13AB" w:rsidRPr="00DA13AB" w:rsidP="00DA13AB" w14:paraId="0D0ABA88" w14:textId="77777777">
      <w:pPr>
        <w:pStyle w:val="ListParagraph"/>
        <w:rPr>
          <w:rFonts w:ascii="Times New Roman" w:hAnsi="Times New Roman"/>
          <w:szCs w:val="24"/>
        </w:rPr>
      </w:pPr>
    </w:p>
    <w:p w:rsidR="00AE5355" w:rsidRPr="00503A92" w:rsidP="00065184" w14:paraId="6FA29CB0" w14:textId="77777777">
      <w:pPr>
        <w:pStyle w:val="ListParagraph"/>
        <w:numPr>
          <w:ilvl w:val="0"/>
          <w:numId w:val="17"/>
        </w:numPr>
        <w:ind w:right="-274"/>
        <w:rPr>
          <w:rFonts w:ascii="Times New Roman" w:hAnsi="Times New Roman"/>
          <w:szCs w:val="24"/>
        </w:rPr>
      </w:pPr>
      <w:r w:rsidRPr="003E6FB4">
        <w:rPr>
          <w:rFonts w:ascii="Times New Roman" w:hAnsi="Times New Roman"/>
          <w:szCs w:val="24"/>
        </w:rPr>
        <w:t>There are burden hours associate</w:t>
      </w:r>
      <w:r w:rsidRPr="003E6FB4" w:rsidR="00F81421">
        <w:rPr>
          <w:rFonts w:ascii="Times New Roman" w:hAnsi="Times New Roman"/>
          <w:szCs w:val="24"/>
        </w:rPr>
        <w:t>d</w:t>
      </w:r>
      <w:r w:rsidRPr="003E6FB4">
        <w:rPr>
          <w:rFonts w:ascii="Times New Roman" w:hAnsi="Times New Roman"/>
          <w:szCs w:val="24"/>
        </w:rPr>
        <w:t xml:space="preserve"> with</w:t>
      </w:r>
      <w:r w:rsidRPr="003E6FB4" w:rsidR="001A764A">
        <w:rPr>
          <w:rFonts w:ascii="Times New Roman" w:hAnsi="Times New Roman"/>
          <w:szCs w:val="24"/>
        </w:rPr>
        <w:t xml:space="preserve"> </w:t>
      </w:r>
      <w:r w:rsidRPr="003E6FB4">
        <w:rPr>
          <w:rFonts w:ascii="Times New Roman" w:hAnsi="Times New Roman"/>
          <w:szCs w:val="24"/>
        </w:rPr>
        <w:t>recordkeeping</w:t>
      </w:r>
      <w:r w:rsidRPr="003E6FB4" w:rsidR="004F66A2">
        <w:rPr>
          <w:rFonts w:ascii="Times New Roman" w:hAnsi="Times New Roman"/>
          <w:szCs w:val="24"/>
        </w:rPr>
        <w:t xml:space="preserve">. The estimate is </w:t>
      </w:r>
      <w:r w:rsidR="00A76525">
        <w:rPr>
          <w:rFonts w:ascii="Times New Roman" w:hAnsi="Times New Roman"/>
          <w:szCs w:val="24"/>
        </w:rPr>
        <w:t>1</w:t>
      </w:r>
      <w:r w:rsidRPr="003E6FB4" w:rsidR="004F66A2">
        <w:rPr>
          <w:rFonts w:ascii="Times New Roman" w:hAnsi="Times New Roman"/>
          <w:szCs w:val="24"/>
        </w:rPr>
        <w:t xml:space="preserve"> hour </w:t>
      </w:r>
      <w:r w:rsidRPr="003E6FB4" w:rsidR="005F3FB6">
        <w:rPr>
          <w:rFonts w:ascii="Times New Roman" w:hAnsi="Times New Roman"/>
          <w:szCs w:val="24"/>
        </w:rPr>
        <w:t xml:space="preserve">per </w:t>
      </w:r>
      <w:r w:rsidRPr="003E6FB4" w:rsidR="009E2A21">
        <w:rPr>
          <w:rFonts w:ascii="Times New Roman" w:hAnsi="Times New Roman"/>
          <w:szCs w:val="24"/>
        </w:rPr>
        <w:t>each of the fifty-</w:t>
      </w:r>
      <w:r w:rsidR="00BA02DB">
        <w:rPr>
          <w:rFonts w:ascii="Times New Roman" w:hAnsi="Times New Roman"/>
          <w:szCs w:val="24"/>
        </w:rPr>
        <w:t>three</w:t>
      </w:r>
      <w:r w:rsidRPr="003E6FB4" w:rsidR="009E2A21">
        <w:rPr>
          <w:rFonts w:ascii="Times New Roman" w:hAnsi="Times New Roman"/>
          <w:szCs w:val="24"/>
        </w:rPr>
        <w:t xml:space="preserve"> </w:t>
      </w:r>
      <w:r w:rsidRPr="003E6FB4" w:rsidR="00D75498">
        <w:rPr>
          <w:rFonts w:ascii="Times New Roman" w:hAnsi="Times New Roman"/>
          <w:szCs w:val="24"/>
        </w:rPr>
        <w:t xml:space="preserve">State agency </w:t>
      </w:r>
      <w:r w:rsidRPr="003E6FB4" w:rsidR="0077660C">
        <w:rPr>
          <w:rFonts w:ascii="Times New Roman" w:hAnsi="Times New Roman"/>
          <w:szCs w:val="24"/>
        </w:rPr>
        <w:t>respondent</w:t>
      </w:r>
      <w:r w:rsidRPr="003E6FB4" w:rsidR="009E2A21">
        <w:rPr>
          <w:rFonts w:ascii="Times New Roman" w:hAnsi="Times New Roman"/>
          <w:szCs w:val="24"/>
        </w:rPr>
        <w:t>s</w:t>
      </w:r>
      <w:r w:rsidRPr="003E6FB4" w:rsidR="00F54422">
        <w:rPr>
          <w:rFonts w:ascii="Times New Roman" w:hAnsi="Times New Roman"/>
          <w:szCs w:val="24"/>
        </w:rPr>
        <w:t xml:space="preserve">, for a total </w:t>
      </w:r>
      <w:r w:rsidRPr="003E6FB4" w:rsidR="003C0FA9">
        <w:rPr>
          <w:rFonts w:ascii="Times New Roman" w:hAnsi="Times New Roman"/>
          <w:szCs w:val="24"/>
        </w:rPr>
        <w:t xml:space="preserve">of </w:t>
      </w:r>
      <w:r w:rsidR="00A76525">
        <w:rPr>
          <w:rFonts w:ascii="Times New Roman" w:hAnsi="Times New Roman"/>
          <w:szCs w:val="24"/>
        </w:rPr>
        <w:t>53</w:t>
      </w:r>
      <w:r w:rsidRPr="003E6FB4" w:rsidR="00F54422">
        <w:rPr>
          <w:rFonts w:ascii="Times New Roman" w:hAnsi="Times New Roman"/>
          <w:szCs w:val="24"/>
        </w:rPr>
        <w:t xml:space="preserve"> </w:t>
      </w:r>
      <w:r w:rsidRPr="003E6FB4" w:rsidR="00B17B40">
        <w:rPr>
          <w:rFonts w:ascii="Times New Roman" w:hAnsi="Times New Roman"/>
          <w:szCs w:val="24"/>
        </w:rPr>
        <w:t xml:space="preserve">hours </w:t>
      </w:r>
      <w:r w:rsidR="00B17B40">
        <w:rPr>
          <w:rFonts w:ascii="Times New Roman" w:hAnsi="Times New Roman"/>
          <w:szCs w:val="24"/>
        </w:rPr>
        <w:t>and</w:t>
      </w:r>
      <w:r w:rsidR="00FB0AD6">
        <w:rPr>
          <w:rFonts w:ascii="Times New Roman" w:hAnsi="Times New Roman"/>
          <w:szCs w:val="24"/>
        </w:rPr>
        <w:t xml:space="preserve"> </w:t>
      </w:r>
      <w:r w:rsidR="00A76525">
        <w:rPr>
          <w:rFonts w:ascii="Times New Roman" w:hAnsi="Times New Roman"/>
          <w:szCs w:val="24"/>
        </w:rPr>
        <w:t>318</w:t>
      </w:r>
      <w:r w:rsidR="00FB0AD6">
        <w:rPr>
          <w:rFonts w:ascii="Times New Roman" w:hAnsi="Times New Roman"/>
          <w:szCs w:val="24"/>
        </w:rPr>
        <w:t xml:space="preserve"> responses </w:t>
      </w:r>
      <w:r w:rsidRPr="003E6FB4" w:rsidR="00C440AB">
        <w:rPr>
          <w:rFonts w:ascii="Times New Roman" w:hAnsi="Times New Roman"/>
          <w:szCs w:val="24"/>
        </w:rPr>
        <w:t>(5</w:t>
      </w:r>
      <w:r w:rsidR="00613AF3">
        <w:rPr>
          <w:rFonts w:ascii="Times New Roman" w:hAnsi="Times New Roman"/>
          <w:szCs w:val="24"/>
        </w:rPr>
        <w:t>3</w:t>
      </w:r>
      <w:r w:rsidRPr="003E6FB4" w:rsidR="00C440AB">
        <w:rPr>
          <w:rFonts w:ascii="Times New Roman" w:hAnsi="Times New Roman"/>
          <w:szCs w:val="24"/>
        </w:rPr>
        <w:t xml:space="preserve"> State agencies x </w:t>
      </w:r>
      <w:r w:rsidR="00A76525">
        <w:rPr>
          <w:rFonts w:ascii="Times New Roman" w:hAnsi="Times New Roman"/>
          <w:szCs w:val="24"/>
        </w:rPr>
        <w:t>6</w:t>
      </w:r>
      <w:r w:rsidR="00FB0AD6">
        <w:rPr>
          <w:rFonts w:ascii="Times New Roman" w:hAnsi="Times New Roman"/>
          <w:szCs w:val="24"/>
        </w:rPr>
        <w:t xml:space="preserve"> r</w:t>
      </w:r>
      <w:r w:rsidRPr="003E6FB4" w:rsidR="00C440AB">
        <w:rPr>
          <w:rFonts w:ascii="Times New Roman" w:hAnsi="Times New Roman"/>
          <w:szCs w:val="24"/>
        </w:rPr>
        <w:t>esponses each)</w:t>
      </w:r>
      <w:r w:rsidRPr="003E6FB4" w:rsidR="004F66A2">
        <w:rPr>
          <w:rFonts w:ascii="Times New Roman" w:hAnsi="Times New Roman"/>
          <w:szCs w:val="24"/>
        </w:rPr>
        <w:t>.</w:t>
      </w:r>
      <w:r w:rsidRPr="003E6FB4" w:rsidR="00EC26A1">
        <w:rPr>
          <w:rFonts w:ascii="Times New Roman" w:hAnsi="Times New Roman"/>
          <w:szCs w:val="24"/>
        </w:rPr>
        <w:t xml:space="preserve"> </w:t>
      </w:r>
      <w:r w:rsidRPr="00503A92" w:rsidR="00EC26A1">
        <w:rPr>
          <w:rFonts w:ascii="Times New Roman" w:hAnsi="Times New Roman"/>
          <w:szCs w:val="24"/>
        </w:rPr>
        <w:t xml:space="preserve">These </w:t>
      </w:r>
      <w:r w:rsidR="00A76525">
        <w:rPr>
          <w:rFonts w:ascii="Times New Roman" w:hAnsi="Times New Roman"/>
          <w:szCs w:val="24"/>
        </w:rPr>
        <w:t>53</w:t>
      </w:r>
      <w:r w:rsidRPr="000A3F68" w:rsidR="003C0FA9">
        <w:rPr>
          <w:rFonts w:ascii="Times New Roman" w:hAnsi="Times New Roman"/>
          <w:szCs w:val="24"/>
        </w:rPr>
        <w:t xml:space="preserve"> </w:t>
      </w:r>
      <w:r w:rsidRPr="00503A92" w:rsidR="00F54422">
        <w:rPr>
          <w:rFonts w:ascii="Times New Roman" w:hAnsi="Times New Roman"/>
          <w:szCs w:val="24"/>
        </w:rPr>
        <w:t xml:space="preserve">hours </w:t>
      </w:r>
      <w:r w:rsidRPr="00503A92" w:rsidR="007A0C30">
        <w:rPr>
          <w:rFonts w:ascii="Times New Roman" w:hAnsi="Times New Roman"/>
          <w:szCs w:val="24"/>
        </w:rPr>
        <w:t xml:space="preserve">would be taken from the existing </w:t>
      </w:r>
      <w:r w:rsidRPr="000A3F68" w:rsidR="006E5D31">
        <w:rPr>
          <w:rFonts w:ascii="Times New Roman" w:hAnsi="Times New Roman"/>
          <w:szCs w:val="24"/>
        </w:rPr>
        <w:t>742</w:t>
      </w:r>
      <w:r w:rsidRPr="00503A92" w:rsidR="002A1AF8">
        <w:rPr>
          <w:rFonts w:ascii="Times New Roman" w:hAnsi="Times New Roman"/>
          <w:szCs w:val="24"/>
        </w:rPr>
        <w:t xml:space="preserve"> </w:t>
      </w:r>
      <w:r w:rsidRPr="00503A92" w:rsidR="007A0C30">
        <w:rPr>
          <w:rFonts w:ascii="Times New Roman" w:hAnsi="Times New Roman"/>
          <w:szCs w:val="24"/>
        </w:rPr>
        <w:t xml:space="preserve">burden hours </w:t>
      </w:r>
      <w:r w:rsidRPr="00503A92" w:rsidR="002E60B1">
        <w:rPr>
          <w:rFonts w:ascii="Times New Roman" w:hAnsi="Times New Roman"/>
          <w:szCs w:val="24"/>
        </w:rPr>
        <w:t xml:space="preserve">and </w:t>
      </w:r>
      <w:r w:rsidR="00A76525">
        <w:rPr>
          <w:rFonts w:ascii="Times New Roman" w:hAnsi="Times New Roman"/>
          <w:szCs w:val="24"/>
        </w:rPr>
        <w:t>318</w:t>
      </w:r>
      <w:r w:rsidRPr="00503A92" w:rsidR="002E60B1">
        <w:rPr>
          <w:rFonts w:ascii="Times New Roman" w:hAnsi="Times New Roman"/>
          <w:szCs w:val="24"/>
        </w:rPr>
        <w:t xml:space="preserve"> responses would be taken from the </w:t>
      </w:r>
      <w:r w:rsidR="00013DD7">
        <w:rPr>
          <w:rFonts w:ascii="Times New Roman" w:hAnsi="Times New Roman"/>
          <w:szCs w:val="24"/>
        </w:rPr>
        <w:t>318</w:t>
      </w:r>
      <w:r w:rsidRPr="00503A92" w:rsidR="00CB47C8">
        <w:rPr>
          <w:rFonts w:ascii="Times New Roman" w:hAnsi="Times New Roman"/>
          <w:szCs w:val="24"/>
        </w:rPr>
        <w:t xml:space="preserve"> responses</w:t>
      </w:r>
      <w:r w:rsidRPr="00503A92" w:rsidR="007A0C30">
        <w:rPr>
          <w:rFonts w:ascii="Times New Roman" w:hAnsi="Times New Roman"/>
          <w:szCs w:val="24"/>
        </w:rPr>
        <w:t xml:space="preserve"> already set aside for miscellaneous grants not explicitly identified in 0584-0512</w:t>
      </w:r>
      <w:r w:rsidRPr="00503A92" w:rsidR="00CB47C8">
        <w:rPr>
          <w:rFonts w:ascii="Times New Roman" w:hAnsi="Times New Roman"/>
          <w:szCs w:val="24"/>
        </w:rPr>
        <w:t>.</w:t>
      </w:r>
    </w:p>
    <w:p w:rsidR="00200A9A" w:rsidRPr="003E6FB4" w:rsidP="001C3033" w14:paraId="4C620F5C" w14:textId="77777777">
      <w:pPr>
        <w:ind w:right="-274"/>
        <w:rPr>
          <w:rFonts w:ascii="Times New Roman" w:hAnsi="Times New Roman"/>
          <w:b/>
          <w:bCs/>
          <w:color w:val="auto"/>
          <w:sz w:val="24"/>
          <w:szCs w:val="28"/>
        </w:rPr>
      </w:pPr>
    </w:p>
    <w:tbl>
      <w:tblPr>
        <w:tblW w:w="9664" w:type="dxa"/>
        <w:jc w:val="center"/>
        <w:tblCellMar>
          <w:left w:w="0" w:type="dxa"/>
          <w:right w:w="0" w:type="dxa"/>
        </w:tblCellMar>
        <w:tblLook w:val="04A0"/>
      </w:tblPr>
      <w:tblGrid>
        <w:gridCol w:w="1325"/>
        <w:gridCol w:w="1390"/>
        <w:gridCol w:w="1729"/>
        <w:gridCol w:w="1729"/>
        <w:gridCol w:w="1762"/>
        <w:gridCol w:w="1729"/>
      </w:tblGrid>
      <w:tr w14:paraId="4AD22490" w14:textId="77777777" w:rsidTr="000A3F68">
        <w:tblPrEx>
          <w:tblW w:w="9664" w:type="dxa"/>
          <w:jc w:val="center"/>
          <w:tblCellMar>
            <w:left w:w="0" w:type="dxa"/>
            <w:right w:w="0" w:type="dxa"/>
          </w:tblCellMar>
          <w:tblLook w:val="04A0"/>
        </w:tblPrEx>
        <w:trPr>
          <w:trHeight w:val="1123"/>
          <w:jc w:val="center"/>
        </w:trPr>
        <w:tc>
          <w:tcPr>
            <w:tcW w:w="1430" w:type="dxa"/>
            <w:tcBorders>
              <w:top w:val="single" w:sz="8" w:space="0" w:color="auto"/>
              <w:left w:val="single" w:sz="8" w:space="0" w:color="auto"/>
              <w:bottom w:val="single" w:sz="8" w:space="0" w:color="auto"/>
              <w:right w:val="single" w:sz="8" w:space="0" w:color="auto"/>
            </w:tcBorders>
          </w:tcPr>
          <w:p w:rsidR="007301F0" w:rsidRPr="007301F0" w:rsidP="007C6D76" w14:paraId="68F42D56" w14:textId="77777777">
            <w:pPr>
              <w:rPr>
                <w:b/>
                <w:bCs/>
              </w:rPr>
            </w:pPr>
            <w:r w:rsidRPr="007301F0">
              <w:rPr>
                <w:b/>
                <w:bCs/>
              </w:rPr>
              <w:t>Respondent Type</w:t>
            </w:r>
          </w:p>
        </w:tc>
        <w:tc>
          <w:tcPr>
            <w:tcW w:w="12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01F0" w:rsidRPr="007301F0" w:rsidP="007C6D76" w14:paraId="7A7C322D" w14:textId="77777777">
            <w:pPr>
              <w:rPr>
                <w:rFonts w:ascii="Calibri" w:eastAsia="Calibri" w:hAnsi="Calibri" w:cs="Calibri"/>
                <w:b/>
                <w:bCs/>
              </w:rPr>
            </w:pPr>
            <w:r w:rsidRPr="007301F0">
              <w:rPr>
                <w:b/>
                <w:bCs/>
              </w:rPr>
              <w:t> </w:t>
            </w:r>
            <w:r w:rsidR="00605D1D">
              <w:rPr>
                <w:b/>
                <w:bCs/>
              </w:rPr>
              <w:t>Burden Estimates</w:t>
            </w:r>
          </w:p>
        </w:tc>
        <w:tc>
          <w:tcPr>
            <w:tcW w:w="172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01F0" w:rsidRPr="007301F0" w:rsidP="007C6D76" w14:paraId="099DE4CF" w14:textId="77777777">
            <w:pPr>
              <w:rPr>
                <w:rFonts w:ascii="Calibri" w:eastAsia="Calibri" w:hAnsi="Calibri" w:cs="Calibri"/>
                <w:b/>
                <w:bCs/>
              </w:rPr>
            </w:pPr>
            <w:r w:rsidRPr="007301F0">
              <w:rPr>
                <w:b/>
                <w:bCs/>
              </w:rPr>
              <w:t>Approved</w:t>
            </w:r>
            <w:r w:rsidR="00605D1D">
              <w:rPr>
                <w:b/>
                <w:bCs/>
              </w:rPr>
              <w:t xml:space="preserve"> under SA Miscellaneous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01F0" w:rsidRPr="007301F0" w:rsidP="007C6D76" w14:paraId="095F8170" w14:textId="77777777">
            <w:pPr>
              <w:rPr>
                <w:rFonts w:ascii="Calibri" w:eastAsia="Calibri" w:hAnsi="Calibri" w:cs="Calibri"/>
                <w:b/>
                <w:bCs/>
              </w:rPr>
            </w:pPr>
            <w:r w:rsidRPr="007301F0">
              <w:rPr>
                <w:b/>
                <w:bCs/>
              </w:rPr>
              <w:t>Currently Available</w:t>
            </w:r>
            <w:r w:rsidR="00605D1D">
              <w:rPr>
                <w:b/>
                <w:bCs/>
              </w:rPr>
              <w:t xml:space="preserve"> SA Miscellaneous</w:t>
            </w:r>
          </w:p>
        </w:tc>
        <w:tc>
          <w:tcPr>
            <w:tcW w:w="17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01F0" w:rsidRPr="007301F0" w:rsidP="007C6D76" w14:paraId="2FF56DEB" w14:textId="77777777">
            <w:pPr>
              <w:rPr>
                <w:rFonts w:ascii="Calibri" w:eastAsia="Calibri" w:hAnsi="Calibri" w:cs="Calibri"/>
                <w:b/>
                <w:bCs/>
              </w:rPr>
            </w:pPr>
            <w:r w:rsidRPr="007301F0">
              <w:rPr>
                <w:b/>
                <w:bCs/>
              </w:rPr>
              <w:t>Requested for use with this IC</w:t>
            </w:r>
            <w:r w:rsidR="00605D1D">
              <w:rPr>
                <w:b/>
                <w:bCs/>
              </w:rPr>
              <w:t xml:space="preserve"> for SA Miscellaneous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01F0" w:rsidRPr="007301F0" w:rsidP="007C6D76" w14:paraId="7586AE1A" w14:textId="77777777">
            <w:pPr>
              <w:rPr>
                <w:rFonts w:ascii="Calibri" w:eastAsia="Calibri" w:hAnsi="Calibri" w:cs="Calibri"/>
                <w:b/>
                <w:bCs/>
              </w:rPr>
            </w:pPr>
            <w:r w:rsidRPr="007301F0">
              <w:rPr>
                <w:b/>
                <w:bCs/>
              </w:rPr>
              <w:t>Difference (Remaining)</w:t>
            </w:r>
            <w:r w:rsidR="00605D1D">
              <w:rPr>
                <w:b/>
                <w:bCs/>
              </w:rPr>
              <w:t xml:space="preserve"> SA Miscellaneous</w:t>
            </w:r>
          </w:p>
        </w:tc>
      </w:tr>
      <w:tr w14:paraId="24693CEC" w14:textId="77777777" w:rsidTr="00E638A3">
        <w:tblPrEx>
          <w:tblW w:w="9664" w:type="dxa"/>
          <w:jc w:val="center"/>
          <w:tblCellMar>
            <w:left w:w="0" w:type="dxa"/>
            <w:right w:w="0" w:type="dxa"/>
          </w:tblCellMar>
          <w:tblLook w:val="04A0"/>
        </w:tblPrEx>
        <w:trPr>
          <w:trHeight w:val="547"/>
          <w:jc w:val="center"/>
        </w:trPr>
        <w:tc>
          <w:tcPr>
            <w:tcW w:w="1430" w:type="dxa"/>
            <w:vMerge w:val="restart"/>
            <w:tcBorders>
              <w:top w:val="nil"/>
              <w:left w:val="single" w:sz="8" w:space="0" w:color="auto"/>
              <w:right w:val="single" w:sz="8" w:space="0" w:color="auto"/>
            </w:tcBorders>
          </w:tcPr>
          <w:p w:rsidR="007301F0" w:rsidRPr="00A47A28" w:rsidP="007C6D76" w14:paraId="7AD191BC" w14:textId="77777777">
            <w:pPr>
              <w:rPr>
                <w:b/>
                <w:bCs/>
              </w:rPr>
            </w:pPr>
            <w:r>
              <w:rPr>
                <w:b/>
                <w:bCs/>
              </w:rPr>
              <w:t>State, Local and Tribal Government</w:t>
            </w:r>
          </w:p>
        </w:tc>
        <w:tc>
          <w:tcPr>
            <w:tcW w:w="1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01F0" w:rsidRPr="00605D1D" w:rsidP="007C6D76" w14:paraId="54D0C8F0" w14:textId="77777777">
            <w:pPr>
              <w:rPr>
                <w:rFonts w:ascii="Calibri" w:eastAsia="Calibri" w:hAnsi="Calibri" w:cs="Calibri"/>
                <w:b/>
                <w:bCs/>
              </w:rPr>
            </w:pPr>
            <w:r w:rsidRPr="00605D1D">
              <w:rPr>
                <w:b/>
                <w:bCs/>
              </w:rPr>
              <w:t>Responses</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68B991E7" w14:textId="77777777">
            <w:pPr>
              <w:jc w:val="center"/>
              <w:rPr>
                <w:rFonts w:ascii="Calibri" w:hAnsi="Calibri" w:eastAsiaTheme="minorHAnsi" w:cs="Calibri"/>
                <w:sz w:val="24"/>
                <w:szCs w:val="24"/>
              </w:rPr>
            </w:pPr>
            <w:r>
              <w:rPr>
                <w:rFonts w:ascii="Calibri" w:hAnsi="Calibri" w:eastAsiaTheme="minorHAnsi" w:cs="Calibri"/>
                <w:sz w:val="24"/>
                <w:szCs w:val="24"/>
              </w:rPr>
              <w:t>1070</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321F2848" w14:textId="77777777">
            <w:pPr>
              <w:jc w:val="center"/>
              <w:rPr>
                <w:rFonts w:ascii="Calibri" w:hAnsi="Calibri" w:eastAsiaTheme="minorHAnsi" w:cs="Calibri"/>
                <w:sz w:val="24"/>
                <w:szCs w:val="24"/>
              </w:rPr>
            </w:pPr>
            <w:r>
              <w:rPr>
                <w:rFonts w:ascii="Calibri" w:hAnsi="Calibri" w:eastAsiaTheme="minorHAnsi" w:cs="Calibri"/>
                <w:sz w:val="24"/>
                <w:szCs w:val="24"/>
              </w:rPr>
              <w:t>1070</w:t>
            </w:r>
          </w:p>
        </w:tc>
        <w:tc>
          <w:tcPr>
            <w:tcW w:w="176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70591211" w14:textId="77777777">
            <w:pPr>
              <w:jc w:val="center"/>
              <w:rPr>
                <w:rFonts w:ascii="Calibri" w:hAnsi="Calibri" w:eastAsiaTheme="minorHAnsi" w:cs="Calibri"/>
                <w:sz w:val="24"/>
                <w:szCs w:val="24"/>
              </w:rPr>
            </w:pPr>
            <w:r>
              <w:rPr>
                <w:rFonts w:ascii="Calibri" w:hAnsi="Calibri" w:eastAsiaTheme="minorHAnsi" w:cs="Calibri"/>
                <w:sz w:val="24"/>
                <w:szCs w:val="24"/>
              </w:rPr>
              <w:t>689</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2417140F" w14:textId="77777777">
            <w:pPr>
              <w:jc w:val="center"/>
              <w:rPr>
                <w:rFonts w:ascii="Calibri" w:hAnsi="Calibri" w:eastAsiaTheme="minorHAnsi" w:cs="Calibri"/>
                <w:sz w:val="24"/>
                <w:szCs w:val="24"/>
              </w:rPr>
            </w:pPr>
            <w:r>
              <w:rPr>
                <w:rFonts w:ascii="Calibri" w:hAnsi="Calibri" w:eastAsiaTheme="minorHAnsi" w:cs="Calibri"/>
                <w:sz w:val="24"/>
                <w:szCs w:val="24"/>
              </w:rPr>
              <w:t>381</w:t>
            </w:r>
          </w:p>
        </w:tc>
      </w:tr>
      <w:tr w14:paraId="358BB311" w14:textId="77777777" w:rsidTr="00E638A3">
        <w:tblPrEx>
          <w:tblW w:w="9664" w:type="dxa"/>
          <w:jc w:val="center"/>
          <w:tblCellMar>
            <w:left w:w="0" w:type="dxa"/>
            <w:right w:w="0" w:type="dxa"/>
          </w:tblCellMar>
          <w:tblLook w:val="04A0"/>
        </w:tblPrEx>
        <w:trPr>
          <w:trHeight w:val="673"/>
          <w:jc w:val="center"/>
        </w:trPr>
        <w:tc>
          <w:tcPr>
            <w:tcW w:w="1430" w:type="dxa"/>
            <w:vMerge/>
            <w:tcBorders>
              <w:left w:val="single" w:sz="8" w:space="0" w:color="auto"/>
              <w:bottom w:val="single" w:sz="8" w:space="0" w:color="auto"/>
              <w:right w:val="single" w:sz="8" w:space="0" w:color="auto"/>
            </w:tcBorders>
          </w:tcPr>
          <w:p w:rsidR="007301F0" w:rsidRPr="00A47A28" w:rsidP="007C6D76" w14:paraId="7452E96C" w14:textId="77777777">
            <w:pPr>
              <w:rPr>
                <w:b/>
                <w:bCs/>
              </w:rPr>
            </w:pPr>
          </w:p>
        </w:tc>
        <w:tc>
          <w:tcPr>
            <w:tcW w:w="1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01F0" w:rsidRPr="00A47A28" w:rsidP="007C6D76" w14:paraId="2BD1BD36" w14:textId="77777777">
            <w:pPr>
              <w:rPr>
                <w:rFonts w:ascii="Calibri" w:eastAsia="Calibri" w:hAnsi="Calibri" w:cs="Calibri"/>
                <w:b/>
                <w:bCs/>
              </w:rPr>
            </w:pPr>
            <w:r w:rsidRPr="00A47A28">
              <w:rPr>
                <w:b/>
                <w:bCs/>
              </w:rPr>
              <w:t>Hours</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28548687" w14:textId="77777777">
            <w:pPr>
              <w:jc w:val="center"/>
              <w:rPr>
                <w:rFonts w:ascii="Calibri" w:hAnsi="Calibri" w:eastAsiaTheme="minorHAnsi" w:cs="Calibri"/>
                <w:sz w:val="24"/>
                <w:szCs w:val="24"/>
              </w:rPr>
            </w:pPr>
            <w:r>
              <w:rPr>
                <w:rFonts w:ascii="Calibri" w:hAnsi="Calibri" w:eastAsiaTheme="minorHAnsi" w:cs="Calibri"/>
                <w:sz w:val="24"/>
                <w:szCs w:val="24"/>
              </w:rPr>
              <w:t>5515</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4DB9AE93" w14:textId="77777777">
            <w:pPr>
              <w:jc w:val="center"/>
              <w:rPr>
                <w:rFonts w:ascii="Calibri" w:hAnsi="Calibri" w:eastAsiaTheme="minorHAnsi" w:cs="Calibri"/>
                <w:sz w:val="24"/>
                <w:szCs w:val="24"/>
              </w:rPr>
            </w:pPr>
            <w:r>
              <w:rPr>
                <w:rFonts w:ascii="Calibri" w:hAnsi="Calibri" w:eastAsiaTheme="minorHAnsi" w:cs="Calibri"/>
                <w:sz w:val="24"/>
                <w:szCs w:val="24"/>
              </w:rPr>
              <w:t>5515</w:t>
            </w:r>
          </w:p>
        </w:tc>
        <w:tc>
          <w:tcPr>
            <w:tcW w:w="176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676B2CD2" w14:textId="77777777">
            <w:pPr>
              <w:jc w:val="center"/>
              <w:rPr>
                <w:rFonts w:ascii="Calibri" w:hAnsi="Calibri" w:eastAsiaTheme="minorHAnsi" w:cs="Calibri"/>
                <w:sz w:val="24"/>
                <w:szCs w:val="24"/>
              </w:rPr>
            </w:pPr>
            <w:r>
              <w:rPr>
                <w:rFonts w:ascii="Calibri" w:hAnsi="Calibri" w:eastAsiaTheme="minorHAnsi" w:cs="Calibri"/>
                <w:sz w:val="24"/>
                <w:szCs w:val="24"/>
              </w:rPr>
              <w:t>1241</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15A351F4" w14:textId="77777777">
            <w:pPr>
              <w:jc w:val="center"/>
              <w:rPr>
                <w:rFonts w:ascii="Calibri" w:hAnsi="Calibri" w:eastAsiaTheme="minorHAnsi" w:cs="Calibri"/>
                <w:sz w:val="24"/>
                <w:szCs w:val="24"/>
              </w:rPr>
            </w:pPr>
            <w:r>
              <w:rPr>
                <w:rFonts w:ascii="Calibri" w:hAnsi="Calibri" w:eastAsiaTheme="minorHAnsi" w:cs="Calibri"/>
                <w:sz w:val="24"/>
                <w:szCs w:val="24"/>
              </w:rPr>
              <w:t>4274</w:t>
            </w:r>
          </w:p>
        </w:tc>
      </w:tr>
    </w:tbl>
    <w:p w:rsidR="007301F0" w:rsidP="001C3033" w14:paraId="4B615A35" w14:textId="77777777">
      <w:pPr>
        <w:ind w:right="-274"/>
        <w:rPr>
          <w:rFonts w:ascii="Times New Roman" w:hAnsi="Times New Roman"/>
          <w:b/>
          <w:bCs/>
          <w:color w:val="auto"/>
          <w:sz w:val="24"/>
          <w:szCs w:val="28"/>
        </w:rPr>
      </w:pPr>
    </w:p>
    <w:p w:rsidR="00E02914" w:rsidRPr="0035054A" w:rsidP="00E02914" w14:paraId="70CE8495" w14:textId="77777777">
      <w:pPr>
        <w:widowControl w:val="0"/>
        <w:autoSpaceDE w:val="0"/>
        <w:autoSpaceDN w:val="0"/>
        <w:adjustRightInd w:val="0"/>
        <w:ind w:right="-274"/>
        <w:rPr>
          <w:rFonts w:ascii="Times New Roman" w:hAnsi="Times New Roman" w:cs="Times New Roman"/>
          <w:color w:val="auto"/>
          <w:sz w:val="24"/>
          <w:szCs w:val="24"/>
        </w:rPr>
      </w:pPr>
    </w:p>
    <w:p w:rsidR="00545C57" w:rsidRPr="00FB1B44" w:rsidP="00545C57" w14:paraId="3DC14675" w14:textId="77777777">
      <w:pPr>
        <w:ind w:right="-274"/>
        <w:rPr>
          <w:rFonts w:ascii="Times New Roman" w:hAnsi="Times New Roman" w:cs="Times New Roman"/>
          <w:sz w:val="24"/>
          <w:szCs w:val="24"/>
        </w:rPr>
      </w:pPr>
      <w:r w:rsidRPr="00FB1B44">
        <w:rPr>
          <w:rFonts w:ascii="Times New Roman" w:hAnsi="Times New Roman" w:cs="Times New Roman"/>
          <w:sz w:val="24"/>
          <w:szCs w:val="24"/>
        </w:rPr>
        <w:t xml:space="preserve">If you have any questions regarding this request, please contact </w:t>
      </w:r>
      <w:r w:rsidRPr="00FB1B44" w:rsidR="00A31579">
        <w:rPr>
          <w:rFonts w:ascii="Times New Roman" w:hAnsi="Times New Roman" w:cs="Times New Roman"/>
          <w:sz w:val="24"/>
          <w:szCs w:val="24"/>
        </w:rPr>
        <w:t>Dionne Duncan-Hughes</w:t>
      </w:r>
      <w:r w:rsidRPr="00FB1B44">
        <w:rPr>
          <w:rFonts w:ascii="Times New Roman" w:hAnsi="Times New Roman" w:cs="Times New Roman"/>
          <w:sz w:val="24"/>
          <w:szCs w:val="24"/>
        </w:rPr>
        <w:t>, FNS Information Collection Clearance Officer for the Food and Nutrition Service, Planning</w:t>
      </w:r>
      <w:r w:rsidRPr="00FB1B44" w:rsidR="00224E62">
        <w:rPr>
          <w:rFonts w:ascii="Times New Roman" w:hAnsi="Times New Roman" w:cs="Times New Roman"/>
          <w:sz w:val="24"/>
          <w:szCs w:val="24"/>
        </w:rPr>
        <w:t xml:space="preserve"> and </w:t>
      </w:r>
      <w:r w:rsidRPr="00FB1B44">
        <w:rPr>
          <w:rFonts w:ascii="Times New Roman" w:hAnsi="Times New Roman" w:cs="Times New Roman"/>
          <w:sz w:val="24"/>
          <w:szCs w:val="24"/>
        </w:rPr>
        <w:t>Regulatory Affairs Office at (703) 305-2403.</w:t>
      </w:r>
    </w:p>
    <w:p w:rsidR="001A62B1" w:rsidP="00545C57" w14:paraId="3AB8D9EF" w14:textId="77777777">
      <w:pPr>
        <w:ind w:right="-274"/>
        <w:rPr>
          <w:rFonts w:ascii="Times New Roman" w:hAnsi="Times New Roman"/>
          <w:sz w:val="24"/>
          <w:szCs w:val="28"/>
        </w:rPr>
      </w:pPr>
    </w:p>
    <w:p w:rsidR="001A62B1" w:rsidP="00545C57" w14:paraId="608D8116" w14:textId="77777777">
      <w:pPr>
        <w:ind w:right="-274"/>
        <w:rPr>
          <w:rFonts w:ascii="Times New Roman" w:hAnsi="Times New Roman"/>
          <w:sz w:val="24"/>
          <w:szCs w:val="28"/>
        </w:rPr>
      </w:pPr>
    </w:p>
    <w:p w:rsidR="00545C57" w:rsidP="00545C57" w14:paraId="2F9E0BF9" w14:textId="77777777">
      <w:pPr>
        <w:ind w:right="-274"/>
        <w:rPr>
          <w:rFonts w:ascii="Times New Roman" w:hAnsi="Times New Roman"/>
          <w:sz w:val="24"/>
          <w:szCs w:val="28"/>
        </w:rPr>
      </w:pPr>
    </w:p>
    <w:p w:rsidR="00545C57" w:rsidRPr="00CB2749" w:rsidP="001C3033" w14:paraId="5D3E2746" w14:textId="77777777">
      <w:pPr>
        <w:ind w:right="-274"/>
        <w:rPr>
          <w:rFonts w:ascii="Times New Roman" w:hAnsi="Times New Roman"/>
          <w:sz w:val="24"/>
          <w:szCs w:val="28"/>
        </w:rPr>
      </w:pPr>
    </w:p>
    <w:sectPr w:rsidSect="00477B95">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604" w:rsidP="00FF216E" w14:paraId="18F6B690" w14:textId="77777777">
    <w:pPr>
      <w:pStyle w:val="Footer"/>
      <w:jc w:val="center"/>
      <w:rPr>
        <w:sz w:val="14"/>
      </w:rPr>
    </w:pPr>
  </w:p>
  <w:p w:rsidR="00E53604" w:rsidP="00FF216E" w14:paraId="4BC65F7E" w14:textId="77777777">
    <w:pPr>
      <w:pStyle w:val="Footer"/>
      <w:jc w:val="center"/>
      <w:rPr>
        <w:sz w:val="14"/>
      </w:rPr>
    </w:pPr>
    <w:r>
      <w:rPr>
        <w:sz w:val="14"/>
      </w:rPr>
      <w:t>USDA is an Equal Opportunity Provider, Employer and Lender</w:t>
    </w:r>
  </w:p>
  <w:p w:rsidR="00E53604" w:rsidP="00FF216E" w14:paraId="144A52EC" w14:textId="77777777">
    <w:pPr>
      <w:pStyle w:val="Footer"/>
      <w:jc w:val="center"/>
      <w:rPr>
        <w:sz w:val="14"/>
      </w:rPr>
    </w:pPr>
  </w:p>
  <w:p w:rsidR="00E53604" w:rsidRPr="0027535D" w:rsidP="0027535D" w14:paraId="025BDBAA"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E53604" w:rsidP="00FF216E" w14:paraId="1906B784"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6E86ABDF" w14:textId="77777777">
    <w:pPr>
      <w:pStyle w:val="Footer"/>
      <w:jc w:val="center"/>
      <w:rPr>
        <w:sz w:val="14"/>
      </w:rPr>
    </w:pPr>
    <w:r>
      <w:rPr>
        <w:sz w:val="14"/>
      </w:rPr>
      <w:t>USDA is an Equal Opportunity Provider, Employer and Lender</w:t>
    </w:r>
  </w:p>
  <w:p w:rsidR="00BC6317" w14:paraId="3F7C84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C47CA"/>
    <w:multiLevelType w:val="hybridMultilevel"/>
    <w:tmpl w:val="A5984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6F3B34"/>
    <w:multiLevelType w:val="hybridMultilevel"/>
    <w:tmpl w:val="3E64FB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814050"/>
    <w:multiLevelType w:val="hybridMultilevel"/>
    <w:tmpl w:val="DD20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BF005F"/>
    <w:multiLevelType w:val="hybridMultilevel"/>
    <w:tmpl w:val="003A26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95626B6"/>
    <w:multiLevelType w:val="hybridMultilevel"/>
    <w:tmpl w:val="1F8A6D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21924826">
    <w:abstractNumId w:val="11"/>
  </w:num>
  <w:num w:numId="2" w16cid:durableId="1306198773">
    <w:abstractNumId w:val="10"/>
  </w:num>
  <w:num w:numId="3" w16cid:durableId="1086684639">
    <w:abstractNumId w:val="0"/>
  </w:num>
  <w:num w:numId="4" w16cid:durableId="362488552">
    <w:abstractNumId w:val="14"/>
  </w:num>
  <w:num w:numId="5" w16cid:durableId="844174270">
    <w:abstractNumId w:val="8"/>
  </w:num>
  <w:num w:numId="6" w16cid:durableId="511458525">
    <w:abstractNumId w:val="9"/>
  </w:num>
  <w:num w:numId="7" w16cid:durableId="1660769117">
    <w:abstractNumId w:val="1"/>
  </w:num>
  <w:num w:numId="8" w16cid:durableId="931821605">
    <w:abstractNumId w:val="12"/>
  </w:num>
  <w:num w:numId="9" w16cid:durableId="1440030947">
    <w:abstractNumId w:val="5"/>
  </w:num>
  <w:num w:numId="10" w16cid:durableId="773016978">
    <w:abstractNumId w:val="7"/>
  </w:num>
  <w:num w:numId="11" w16cid:durableId="796487515">
    <w:abstractNumId w:val="3"/>
  </w:num>
  <w:num w:numId="12" w16cid:durableId="839393606">
    <w:abstractNumId w:val="15"/>
  </w:num>
  <w:num w:numId="13" w16cid:durableId="750927896">
    <w:abstractNumId w:val="4"/>
  </w:num>
  <w:num w:numId="14" w16cid:durableId="440733840">
    <w:abstractNumId w:val="7"/>
  </w:num>
  <w:num w:numId="15" w16cid:durableId="1891920304">
    <w:abstractNumId w:val="13"/>
  </w:num>
  <w:num w:numId="16" w16cid:durableId="8375060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444950">
    <w:abstractNumId w:val="6"/>
  </w:num>
  <w:num w:numId="18" w16cid:durableId="1632247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354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2140"/>
    <w:rsid w:val="00013A98"/>
    <w:rsid w:val="00013DD7"/>
    <w:rsid w:val="00017685"/>
    <w:rsid w:val="00025445"/>
    <w:rsid w:val="00037710"/>
    <w:rsid w:val="00037C90"/>
    <w:rsid w:val="00040944"/>
    <w:rsid w:val="00043998"/>
    <w:rsid w:val="00045876"/>
    <w:rsid w:val="000544B9"/>
    <w:rsid w:val="00054B7B"/>
    <w:rsid w:val="00065184"/>
    <w:rsid w:val="00075FB7"/>
    <w:rsid w:val="00076C89"/>
    <w:rsid w:val="00077336"/>
    <w:rsid w:val="00091F7E"/>
    <w:rsid w:val="000A22BF"/>
    <w:rsid w:val="000A3F68"/>
    <w:rsid w:val="000A4D41"/>
    <w:rsid w:val="000A6987"/>
    <w:rsid w:val="000B05BD"/>
    <w:rsid w:val="000B16EB"/>
    <w:rsid w:val="000B16EF"/>
    <w:rsid w:val="000B2F1B"/>
    <w:rsid w:val="000C6C45"/>
    <w:rsid w:val="000D4414"/>
    <w:rsid w:val="000E5253"/>
    <w:rsid w:val="000F4B1B"/>
    <w:rsid w:val="00100B1D"/>
    <w:rsid w:val="00110845"/>
    <w:rsid w:val="001131D4"/>
    <w:rsid w:val="00113BF2"/>
    <w:rsid w:val="00113F0F"/>
    <w:rsid w:val="00114200"/>
    <w:rsid w:val="00116688"/>
    <w:rsid w:val="0012227E"/>
    <w:rsid w:val="00122677"/>
    <w:rsid w:val="00124E23"/>
    <w:rsid w:val="00146B29"/>
    <w:rsid w:val="001476A8"/>
    <w:rsid w:val="00153341"/>
    <w:rsid w:val="00175964"/>
    <w:rsid w:val="0018485E"/>
    <w:rsid w:val="001875A9"/>
    <w:rsid w:val="00187D67"/>
    <w:rsid w:val="001929BA"/>
    <w:rsid w:val="00192F0E"/>
    <w:rsid w:val="001971D1"/>
    <w:rsid w:val="001A62B1"/>
    <w:rsid w:val="001A764A"/>
    <w:rsid w:val="001B0234"/>
    <w:rsid w:val="001B5ADE"/>
    <w:rsid w:val="001C3033"/>
    <w:rsid w:val="001C46E7"/>
    <w:rsid w:val="001D2541"/>
    <w:rsid w:val="001D4A49"/>
    <w:rsid w:val="001D789E"/>
    <w:rsid w:val="001D7E32"/>
    <w:rsid w:val="001E2D0D"/>
    <w:rsid w:val="001E2E86"/>
    <w:rsid w:val="001E3E1B"/>
    <w:rsid w:val="001E76D0"/>
    <w:rsid w:val="001F1F63"/>
    <w:rsid w:val="001F4E76"/>
    <w:rsid w:val="002003A4"/>
    <w:rsid w:val="00200A9A"/>
    <w:rsid w:val="00203466"/>
    <w:rsid w:val="0020417F"/>
    <w:rsid w:val="002071B6"/>
    <w:rsid w:val="002073B6"/>
    <w:rsid w:val="00210404"/>
    <w:rsid w:val="002107BE"/>
    <w:rsid w:val="00215DAA"/>
    <w:rsid w:val="00221456"/>
    <w:rsid w:val="0022390D"/>
    <w:rsid w:val="00223FD2"/>
    <w:rsid w:val="00224E62"/>
    <w:rsid w:val="00236DFB"/>
    <w:rsid w:val="00240C5F"/>
    <w:rsid w:val="00240FA2"/>
    <w:rsid w:val="00246AA9"/>
    <w:rsid w:val="0027535D"/>
    <w:rsid w:val="00276443"/>
    <w:rsid w:val="00276D09"/>
    <w:rsid w:val="00280DF3"/>
    <w:rsid w:val="002837B2"/>
    <w:rsid w:val="00292C84"/>
    <w:rsid w:val="002A1AF8"/>
    <w:rsid w:val="002A4E2E"/>
    <w:rsid w:val="002A5A4E"/>
    <w:rsid w:val="002B200A"/>
    <w:rsid w:val="002B2A41"/>
    <w:rsid w:val="002B440D"/>
    <w:rsid w:val="002C08A3"/>
    <w:rsid w:val="002C133C"/>
    <w:rsid w:val="002C2D2D"/>
    <w:rsid w:val="002C5BC6"/>
    <w:rsid w:val="002D1D41"/>
    <w:rsid w:val="002D2A7C"/>
    <w:rsid w:val="002E60B1"/>
    <w:rsid w:val="002E6B18"/>
    <w:rsid w:val="002F1E52"/>
    <w:rsid w:val="00300D58"/>
    <w:rsid w:val="00303850"/>
    <w:rsid w:val="00310D3F"/>
    <w:rsid w:val="00314646"/>
    <w:rsid w:val="00317D17"/>
    <w:rsid w:val="00320FF0"/>
    <w:rsid w:val="00324E8A"/>
    <w:rsid w:val="003303E7"/>
    <w:rsid w:val="0033440E"/>
    <w:rsid w:val="003416FC"/>
    <w:rsid w:val="0035054A"/>
    <w:rsid w:val="0035225D"/>
    <w:rsid w:val="003545A5"/>
    <w:rsid w:val="00364FAE"/>
    <w:rsid w:val="0036713B"/>
    <w:rsid w:val="003726F0"/>
    <w:rsid w:val="00381FBD"/>
    <w:rsid w:val="00384C42"/>
    <w:rsid w:val="00385EEF"/>
    <w:rsid w:val="00391034"/>
    <w:rsid w:val="0039281C"/>
    <w:rsid w:val="00397530"/>
    <w:rsid w:val="003B10E9"/>
    <w:rsid w:val="003B4665"/>
    <w:rsid w:val="003B49FA"/>
    <w:rsid w:val="003B5987"/>
    <w:rsid w:val="003C0FA9"/>
    <w:rsid w:val="003C226F"/>
    <w:rsid w:val="003C69B0"/>
    <w:rsid w:val="003D12DB"/>
    <w:rsid w:val="003D58EA"/>
    <w:rsid w:val="003D7B09"/>
    <w:rsid w:val="003E2FC2"/>
    <w:rsid w:val="003E6FB4"/>
    <w:rsid w:val="003F229A"/>
    <w:rsid w:val="003F3FF7"/>
    <w:rsid w:val="004223D7"/>
    <w:rsid w:val="0042378F"/>
    <w:rsid w:val="0042788C"/>
    <w:rsid w:val="00431843"/>
    <w:rsid w:val="00431F7C"/>
    <w:rsid w:val="00440D3A"/>
    <w:rsid w:val="00443B3F"/>
    <w:rsid w:val="00447EC0"/>
    <w:rsid w:val="00451E21"/>
    <w:rsid w:val="00461964"/>
    <w:rsid w:val="004716F4"/>
    <w:rsid w:val="0047411D"/>
    <w:rsid w:val="0047551A"/>
    <w:rsid w:val="00477B95"/>
    <w:rsid w:val="00480EC5"/>
    <w:rsid w:val="004813EB"/>
    <w:rsid w:val="00486DC3"/>
    <w:rsid w:val="00493B42"/>
    <w:rsid w:val="00496565"/>
    <w:rsid w:val="0049775C"/>
    <w:rsid w:val="004A5DF3"/>
    <w:rsid w:val="004A6118"/>
    <w:rsid w:val="004B0291"/>
    <w:rsid w:val="004B188E"/>
    <w:rsid w:val="004B340C"/>
    <w:rsid w:val="004D0799"/>
    <w:rsid w:val="004D357E"/>
    <w:rsid w:val="004D7012"/>
    <w:rsid w:val="004D7762"/>
    <w:rsid w:val="004F4EC5"/>
    <w:rsid w:val="004F66A2"/>
    <w:rsid w:val="00503A92"/>
    <w:rsid w:val="00503F35"/>
    <w:rsid w:val="005105D2"/>
    <w:rsid w:val="005144C3"/>
    <w:rsid w:val="0053213A"/>
    <w:rsid w:val="00545C57"/>
    <w:rsid w:val="0055625B"/>
    <w:rsid w:val="00565245"/>
    <w:rsid w:val="00565302"/>
    <w:rsid w:val="00571132"/>
    <w:rsid w:val="00571F03"/>
    <w:rsid w:val="00576250"/>
    <w:rsid w:val="005769F5"/>
    <w:rsid w:val="00582693"/>
    <w:rsid w:val="005B1DD7"/>
    <w:rsid w:val="005B3307"/>
    <w:rsid w:val="005B3708"/>
    <w:rsid w:val="005B7914"/>
    <w:rsid w:val="005E4AA1"/>
    <w:rsid w:val="005E620D"/>
    <w:rsid w:val="005E7AE7"/>
    <w:rsid w:val="005F3FB6"/>
    <w:rsid w:val="00604D90"/>
    <w:rsid w:val="00605D1D"/>
    <w:rsid w:val="00606190"/>
    <w:rsid w:val="0060707D"/>
    <w:rsid w:val="0061338D"/>
    <w:rsid w:val="00613AF3"/>
    <w:rsid w:val="0061570D"/>
    <w:rsid w:val="00615BE7"/>
    <w:rsid w:val="00635D14"/>
    <w:rsid w:val="00643C24"/>
    <w:rsid w:val="0065016D"/>
    <w:rsid w:val="00650574"/>
    <w:rsid w:val="00657F16"/>
    <w:rsid w:val="00663FC5"/>
    <w:rsid w:val="00664246"/>
    <w:rsid w:val="00664498"/>
    <w:rsid w:val="00673582"/>
    <w:rsid w:val="006775F6"/>
    <w:rsid w:val="006811D8"/>
    <w:rsid w:val="00684A42"/>
    <w:rsid w:val="00694864"/>
    <w:rsid w:val="006B0073"/>
    <w:rsid w:val="006B08B9"/>
    <w:rsid w:val="006B4216"/>
    <w:rsid w:val="006B4D80"/>
    <w:rsid w:val="006B552A"/>
    <w:rsid w:val="006C4099"/>
    <w:rsid w:val="006C54AE"/>
    <w:rsid w:val="006D61BF"/>
    <w:rsid w:val="006D6A10"/>
    <w:rsid w:val="006E4CD9"/>
    <w:rsid w:val="006E5D31"/>
    <w:rsid w:val="006E6F54"/>
    <w:rsid w:val="00700D2D"/>
    <w:rsid w:val="00706B0E"/>
    <w:rsid w:val="00706C66"/>
    <w:rsid w:val="00711BC7"/>
    <w:rsid w:val="007140D9"/>
    <w:rsid w:val="00716CB0"/>
    <w:rsid w:val="007208F9"/>
    <w:rsid w:val="00724337"/>
    <w:rsid w:val="00727908"/>
    <w:rsid w:val="007301F0"/>
    <w:rsid w:val="007308DD"/>
    <w:rsid w:val="00734860"/>
    <w:rsid w:val="00736331"/>
    <w:rsid w:val="00741D63"/>
    <w:rsid w:val="00742C6F"/>
    <w:rsid w:val="00743353"/>
    <w:rsid w:val="00746F42"/>
    <w:rsid w:val="00747E98"/>
    <w:rsid w:val="00751263"/>
    <w:rsid w:val="007546D3"/>
    <w:rsid w:val="007601EB"/>
    <w:rsid w:val="007602B2"/>
    <w:rsid w:val="00761168"/>
    <w:rsid w:val="007625C1"/>
    <w:rsid w:val="00765586"/>
    <w:rsid w:val="00765920"/>
    <w:rsid w:val="0077277A"/>
    <w:rsid w:val="0077660C"/>
    <w:rsid w:val="0078410A"/>
    <w:rsid w:val="00786410"/>
    <w:rsid w:val="0078748E"/>
    <w:rsid w:val="00792E91"/>
    <w:rsid w:val="0079593F"/>
    <w:rsid w:val="007A0C30"/>
    <w:rsid w:val="007A1869"/>
    <w:rsid w:val="007A66F1"/>
    <w:rsid w:val="007B2764"/>
    <w:rsid w:val="007C0070"/>
    <w:rsid w:val="007C5449"/>
    <w:rsid w:val="007C6D76"/>
    <w:rsid w:val="007D6CC7"/>
    <w:rsid w:val="007D7142"/>
    <w:rsid w:val="007F4330"/>
    <w:rsid w:val="00806E59"/>
    <w:rsid w:val="008079D3"/>
    <w:rsid w:val="00811E88"/>
    <w:rsid w:val="00816153"/>
    <w:rsid w:val="008229E0"/>
    <w:rsid w:val="0082641F"/>
    <w:rsid w:val="0082681C"/>
    <w:rsid w:val="0082781A"/>
    <w:rsid w:val="008302C4"/>
    <w:rsid w:val="00833791"/>
    <w:rsid w:val="00833F27"/>
    <w:rsid w:val="0084392E"/>
    <w:rsid w:val="00844B76"/>
    <w:rsid w:val="00844D38"/>
    <w:rsid w:val="00847B5E"/>
    <w:rsid w:val="008522B6"/>
    <w:rsid w:val="00852415"/>
    <w:rsid w:val="00862B06"/>
    <w:rsid w:val="00877193"/>
    <w:rsid w:val="00880DF9"/>
    <w:rsid w:val="008872BA"/>
    <w:rsid w:val="00890BBC"/>
    <w:rsid w:val="008A05D8"/>
    <w:rsid w:val="008A550A"/>
    <w:rsid w:val="008C0EB5"/>
    <w:rsid w:val="008D2392"/>
    <w:rsid w:val="008D2411"/>
    <w:rsid w:val="008D276D"/>
    <w:rsid w:val="008D3DA8"/>
    <w:rsid w:val="008D4B67"/>
    <w:rsid w:val="008E68CE"/>
    <w:rsid w:val="008E7C56"/>
    <w:rsid w:val="008F1384"/>
    <w:rsid w:val="008F3BAE"/>
    <w:rsid w:val="008F7377"/>
    <w:rsid w:val="00915D96"/>
    <w:rsid w:val="009209D8"/>
    <w:rsid w:val="00927211"/>
    <w:rsid w:val="00933B39"/>
    <w:rsid w:val="0093536F"/>
    <w:rsid w:val="00940AE2"/>
    <w:rsid w:val="00946D3B"/>
    <w:rsid w:val="00951A19"/>
    <w:rsid w:val="0095782A"/>
    <w:rsid w:val="0097159A"/>
    <w:rsid w:val="009753E8"/>
    <w:rsid w:val="00980C52"/>
    <w:rsid w:val="00991E2E"/>
    <w:rsid w:val="00992153"/>
    <w:rsid w:val="009941A4"/>
    <w:rsid w:val="009A4A80"/>
    <w:rsid w:val="009C47D0"/>
    <w:rsid w:val="009C6137"/>
    <w:rsid w:val="009E2A21"/>
    <w:rsid w:val="009E654F"/>
    <w:rsid w:val="009E79F6"/>
    <w:rsid w:val="00A119F3"/>
    <w:rsid w:val="00A11C47"/>
    <w:rsid w:val="00A20DF2"/>
    <w:rsid w:val="00A26AC3"/>
    <w:rsid w:val="00A31579"/>
    <w:rsid w:val="00A40365"/>
    <w:rsid w:val="00A40D76"/>
    <w:rsid w:val="00A47A28"/>
    <w:rsid w:val="00A47B39"/>
    <w:rsid w:val="00A50E0C"/>
    <w:rsid w:val="00A527E6"/>
    <w:rsid w:val="00A72157"/>
    <w:rsid w:val="00A736B5"/>
    <w:rsid w:val="00A76525"/>
    <w:rsid w:val="00A77F00"/>
    <w:rsid w:val="00A82D38"/>
    <w:rsid w:val="00A835B4"/>
    <w:rsid w:val="00A839B5"/>
    <w:rsid w:val="00A91823"/>
    <w:rsid w:val="00AA0F4E"/>
    <w:rsid w:val="00AA13B0"/>
    <w:rsid w:val="00AB2DDD"/>
    <w:rsid w:val="00AB4804"/>
    <w:rsid w:val="00AB5C3C"/>
    <w:rsid w:val="00AB63F2"/>
    <w:rsid w:val="00AB7728"/>
    <w:rsid w:val="00AC1376"/>
    <w:rsid w:val="00AC3733"/>
    <w:rsid w:val="00AE5355"/>
    <w:rsid w:val="00AF4B9B"/>
    <w:rsid w:val="00B01C4E"/>
    <w:rsid w:val="00B04485"/>
    <w:rsid w:val="00B058BD"/>
    <w:rsid w:val="00B07603"/>
    <w:rsid w:val="00B1165B"/>
    <w:rsid w:val="00B17B40"/>
    <w:rsid w:val="00B27F8D"/>
    <w:rsid w:val="00B33B43"/>
    <w:rsid w:val="00B33F90"/>
    <w:rsid w:val="00B34212"/>
    <w:rsid w:val="00B36729"/>
    <w:rsid w:val="00B51A2D"/>
    <w:rsid w:val="00B539D8"/>
    <w:rsid w:val="00B55738"/>
    <w:rsid w:val="00B645BD"/>
    <w:rsid w:val="00B6715E"/>
    <w:rsid w:val="00B7158F"/>
    <w:rsid w:val="00B72093"/>
    <w:rsid w:val="00B734AB"/>
    <w:rsid w:val="00B868DC"/>
    <w:rsid w:val="00B87F2B"/>
    <w:rsid w:val="00B97D02"/>
    <w:rsid w:val="00BA02DB"/>
    <w:rsid w:val="00BA2227"/>
    <w:rsid w:val="00BA2C45"/>
    <w:rsid w:val="00BA40F7"/>
    <w:rsid w:val="00BA5DC7"/>
    <w:rsid w:val="00BB46FF"/>
    <w:rsid w:val="00BB4828"/>
    <w:rsid w:val="00BC6317"/>
    <w:rsid w:val="00BD29B1"/>
    <w:rsid w:val="00BD3B50"/>
    <w:rsid w:val="00BE1112"/>
    <w:rsid w:val="00BE24AA"/>
    <w:rsid w:val="00BE6E68"/>
    <w:rsid w:val="00BF194D"/>
    <w:rsid w:val="00C10C38"/>
    <w:rsid w:val="00C15290"/>
    <w:rsid w:val="00C1775A"/>
    <w:rsid w:val="00C31E54"/>
    <w:rsid w:val="00C3256B"/>
    <w:rsid w:val="00C401CF"/>
    <w:rsid w:val="00C4045C"/>
    <w:rsid w:val="00C4071E"/>
    <w:rsid w:val="00C40D16"/>
    <w:rsid w:val="00C440AB"/>
    <w:rsid w:val="00C45B6D"/>
    <w:rsid w:val="00C55480"/>
    <w:rsid w:val="00C60A89"/>
    <w:rsid w:val="00C642E0"/>
    <w:rsid w:val="00C75315"/>
    <w:rsid w:val="00C75AE6"/>
    <w:rsid w:val="00C8006D"/>
    <w:rsid w:val="00C83E0A"/>
    <w:rsid w:val="00C87EDD"/>
    <w:rsid w:val="00C91099"/>
    <w:rsid w:val="00C9183C"/>
    <w:rsid w:val="00C971F2"/>
    <w:rsid w:val="00C97F68"/>
    <w:rsid w:val="00CA52AD"/>
    <w:rsid w:val="00CA6C90"/>
    <w:rsid w:val="00CB01CF"/>
    <w:rsid w:val="00CB2749"/>
    <w:rsid w:val="00CB47C8"/>
    <w:rsid w:val="00CC510E"/>
    <w:rsid w:val="00CD38E3"/>
    <w:rsid w:val="00CD3A01"/>
    <w:rsid w:val="00CD6B52"/>
    <w:rsid w:val="00CE3AE6"/>
    <w:rsid w:val="00CF7E35"/>
    <w:rsid w:val="00D03234"/>
    <w:rsid w:val="00D16FC0"/>
    <w:rsid w:val="00D219DD"/>
    <w:rsid w:val="00D3033C"/>
    <w:rsid w:val="00D3153A"/>
    <w:rsid w:val="00D37ED8"/>
    <w:rsid w:val="00D47BF7"/>
    <w:rsid w:val="00D75498"/>
    <w:rsid w:val="00D800E5"/>
    <w:rsid w:val="00D837F1"/>
    <w:rsid w:val="00D84F43"/>
    <w:rsid w:val="00D854AE"/>
    <w:rsid w:val="00DA13AB"/>
    <w:rsid w:val="00DA6AA0"/>
    <w:rsid w:val="00DB0CA9"/>
    <w:rsid w:val="00DD138F"/>
    <w:rsid w:val="00DD4FDC"/>
    <w:rsid w:val="00DE033D"/>
    <w:rsid w:val="00DE0F31"/>
    <w:rsid w:val="00DF2B2C"/>
    <w:rsid w:val="00E0123F"/>
    <w:rsid w:val="00E02914"/>
    <w:rsid w:val="00E02A98"/>
    <w:rsid w:val="00E05314"/>
    <w:rsid w:val="00E05EA2"/>
    <w:rsid w:val="00E10656"/>
    <w:rsid w:val="00E13DBF"/>
    <w:rsid w:val="00E153A3"/>
    <w:rsid w:val="00E15F8B"/>
    <w:rsid w:val="00E260F2"/>
    <w:rsid w:val="00E45CCF"/>
    <w:rsid w:val="00E474D9"/>
    <w:rsid w:val="00E50076"/>
    <w:rsid w:val="00E52CE3"/>
    <w:rsid w:val="00E53604"/>
    <w:rsid w:val="00E544BA"/>
    <w:rsid w:val="00E5641D"/>
    <w:rsid w:val="00E61140"/>
    <w:rsid w:val="00E613DF"/>
    <w:rsid w:val="00E638A3"/>
    <w:rsid w:val="00E72548"/>
    <w:rsid w:val="00E7347A"/>
    <w:rsid w:val="00E73C3B"/>
    <w:rsid w:val="00E7513C"/>
    <w:rsid w:val="00E75B5C"/>
    <w:rsid w:val="00E7728B"/>
    <w:rsid w:val="00E80673"/>
    <w:rsid w:val="00E96388"/>
    <w:rsid w:val="00E96576"/>
    <w:rsid w:val="00EC26A1"/>
    <w:rsid w:val="00EC3F00"/>
    <w:rsid w:val="00EC6112"/>
    <w:rsid w:val="00EC70CE"/>
    <w:rsid w:val="00ED4CCC"/>
    <w:rsid w:val="00ED6B3D"/>
    <w:rsid w:val="00EE2CFB"/>
    <w:rsid w:val="00EE52C0"/>
    <w:rsid w:val="00EE5E20"/>
    <w:rsid w:val="00EF79D6"/>
    <w:rsid w:val="00F17DCA"/>
    <w:rsid w:val="00F20FF5"/>
    <w:rsid w:val="00F2368B"/>
    <w:rsid w:val="00F457A7"/>
    <w:rsid w:val="00F4715A"/>
    <w:rsid w:val="00F47195"/>
    <w:rsid w:val="00F54009"/>
    <w:rsid w:val="00F54422"/>
    <w:rsid w:val="00F63E21"/>
    <w:rsid w:val="00F650E6"/>
    <w:rsid w:val="00F766B4"/>
    <w:rsid w:val="00F81421"/>
    <w:rsid w:val="00F9166C"/>
    <w:rsid w:val="00F91FA1"/>
    <w:rsid w:val="00F920B9"/>
    <w:rsid w:val="00F926B2"/>
    <w:rsid w:val="00FA5E13"/>
    <w:rsid w:val="00FA78B2"/>
    <w:rsid w:val="00FA7F9B"/>
    <w:rsid w:val="00FB02EE"/>
    <w:rsid w:val="00FB0AD6"/>
    <w:rsid w:val="00FB1B44"/>
    <w:rsid w:val="00FB7B28"/>
    <w:rsid w:val="00FC116B"/>
    <w:rsid w:val="00FC2F52"/>
    <w:rsid w:val="00FD539C"/>
    <w:rsid w:val="00FE212B"/>
    <w:rsid w:val="00FE3224"/>
    <w:rsid w:val="00FE5F9D"/>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17B6DD"/>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13B"/>
    <w:pPr>
      <w:spacing w:after="0" w:line="240" w:lineRule="auto"/>
    </w:pPr>
    <w:rPr>
      <w:rFonts w:ascii="Arial" w:hAnsi="Arial" w:eastAsiaTheme="minorEastAsia"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table" w:styleId="TableGrid">
    <w:name w:val="Table Grid"/>
    <w:basedOn w:val="TableNormal"/>
    <w:uiPriority w:val="39"/>
    <w:rsid w:val="00A4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410A"/>
    <w:rPr>
      <w:sz w:val="20"/>
      <w:szCs w:val="20"/>
    </w:rPr>
  </w:style>
  <w:style w:type="character" w:customStyle="1" w:styleId="FootnoteTextChar">
    <w:name w:val="Footnote Text Char"/>
    <w:basedOn w:val="DefaultParagraphFont"/>
    <w:link w:val="FootnoteText"/>
    <w:uiPriority w:val="99"/>
    <w:semiHidden/>
    <w:rsid w:val="0078410A"/>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78410A"/>
    <w:rPr>
      <w:vertAlign w:val="superscript"/>
    </w:rPr>
  </w:style>
  <w:style w:type="paragraph" w:styleId="Revision">
    <w:name w:val="Revision"/>
    <w:hidden/>
    <w:uiPriority w:val="99"/>
    <w:semiHidden/>
    <w:rsid w:val="00317D17"/>
    <w:pPr>
      <w:spacing w:after="0" w:line="240" w:lineRule="auto"/>
    </w:pPr>
    <w:rPr>
      <w:rFonts w:ascii="Arial" w:hAnsi="Arial" w:eastAsiaTheme="minorEastAsia"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2.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3.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Duncan-Hughes, Dionne - FNS</cp:lastModifiedBy>
  <cp:revision>2</cp:revision>
  <dcterms:created xsi:type="dcterms:W3CDTF">2024-08-01T13:57:00Z</dcterms:created>
  <dcterms:modified xsi:type="dcterms:W3CDTF">2024-08-01T13:57:00Z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