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7FE8" w:rsidRPr="00DD473D" w:rsidP="006F3E97" w14:paraId="0F2D0D95" w14:textId="77777777">
      <w:pPr>
        <w:spacing w:before="360" w:after="144" w:line="312" w:lineRule="auto"/>
        <w:ind w:left="5112" w:right="360" w:firstLine="0"/>
        <w:jc w:val="left"/>
        <w:rPr>
          <w:rFonts w:ascii="Arial" w:hAnsi="Arial" w:cs="Arial"/>
          <w:b/>
          <w:sz w:val="28"/>
          <w:szCs w:val="28"/>
        </w:rPr>
      </w:pPr>
      <w:r w:rsidRPr="0F8B622B">
        <w:rPr>
          <w:rFonts w:ascii="Arial" w:hAnsi="Arial" w:cs="Arial"/>
          <w:b/>
          <w:sz w:val="28"/>
          <w:szCs w:val="28"/>
        </w:rPr>
        <w:t>2024–2025 National School Foods Study</w:t>
      </w:r>
    </w:p>
    <w:p w:rsidR="00687FE8" w:rsidP="006F3E97" w14:paraId="4E6EC986" w14:textId="77777777">
      <w:pPr>
        <w:spacing w:before="360" w:after="144" w:line="312" w:lineRule="auto"/>
        <w:ind w:left="5112" w:right="360" w:firstLine="0"/>
        <w:jc w:val="left"/>
        <w:rPr>
          <w:rFonts w:ascii="Arial" w:hAnsi="Arial" w:cs="Arial"/>
          <w:b/>
        </w:rPr>
      </w:pPr>
    </w:p>
    <w:p w:rsidR="00687FE8" w:rsidRPr="00916C49" w:rsidP="006F3E97" w14:paraId="0B35E818" w14:textId="77777777">
      <w:pPr>
        <w:spacing w:before="360" w:after="144" w:line="312" w:lineRule="auto"/>
        <w:ind w:left="5112" w:right="360" w:firstLine="0"/>
        <w:jc w:val="left"/>
        <w:rPr>
          <w:rFonts w:ascii="Arial" w:hAnsi="Arial" w:cs="Arial"/>
          <w:b/>
        </w:rPr>
      </w:pPr>
      <w:r w:rsidRPr="00916C49">
        <w:rPr>
          <w:rFonts w:ascii="Arial" w:hAnsi="Arial" w:cs="Arial"/>
          <w:b/>
        </w:rPr>
        <w:t>OMB Supporting Statement</w:t>
      </w:r>
      <w:r w:rsidRPr="00916C49">
        <w:rPr>
          <w:rFonts w:ascii="Arial" w:hAnsi="Arial" w:cs="Arial"/>
          <w:b/>
        </w:rPr>
        <w:br/>
      </w:r>
      <w:r w:rsidRPr="00916C49">
        <w:rPr>
          <w:rFonts w:ascii="Arial" w:hAnsi="Arial" w:cs="Arial"/>
          <w:b/>
          <w:color w:val="C00000"/>
        </w:rPr>
        <w:t xml:space="preserve">Part </w:t>
      </w:r>
      <w:r>
        <w:rPr>
          <w:rFonts w:ascii="Arial" w:hAnsi="Arial" w:cs="Arial"/>
          <w:b/>
          <w:color w:val="C00000"/>
        </w:rPr>
        <w:t>B</w:t>
      </w:r>
    </w:p>
    <w:p w:rsidR="00687FE8" w:rsidP="006F3E97" w14:paraId="2E15AAC0" w14:textId="77777777">
      <w:pPr>
        <w:spacing w:before="144" w:after="288" w:line="360" w:lineRule="exact"/>
        <w:ind w:left="5112" w:right="360" w:firstLine="0"/>
        <w:rPr>
          <w:rFonts w:ascii="Arial" w:hAnsi="Arial" w:cs="Arial"/>
        </w:rPr>
      </w:pPr>
    </w:p>
    <w:p w:rsidR="00687FE8" w:rsidP="006F3E97" w14:paraId="10444CE9" w14:textId="77777777">
      <w:pPr>
        <w:spacing w:before="144" w:after="288" w:line="360" w:lineRule="exact"/>
        <w:ind w:left="5112" w:right="360" w:firstLine="0"/>
        <w:rPr>
          <w:rFonts w:ascii="Arial" w:hAnsi="Arial" w:cs="Arial"/>
        </w:rPr>
      </w:pPr>
      <w:r>
        <w:rPr>
          <w:rFonts w:ascii="Arial" w:hAnsi="Arial" w:cs="Arial"/>
        </w:rPr>
        <w:t>February 28, 2024</w:t>
      </w:r>
    </w:p>
    <w:p w:rsidR="00687FE8" w:rsidP="006F3E97" w14:paraId="27475339" w14:textId="77777777">
      <w:pPr>
        <w:spacing w:before="144" w:after="288" w:line="360" w:lineRule="exact"/>
        <w:ind w:left="5112" w:right="360" w:firstLine="0"/>
        <w:rPr>
          <w:rFonts w:ascii="Arial" w:hAnsi="Arial" w:cs="Arial"/>
        </w:rPr>
      </w:pPr>
    </w:p>
    <w:p w:rsidR="00687FE8" w:rsidRPr="00371DF5" w:rsidP="00950051" w14:paraId="76507D9B" w14:textId="77777777">
      <w:pPr>
        <w:spacing w:line="240" w:lineRule="auto"/>
        <w:ind w:left="5112" w:right="360" w:firstLine="0"/>
        <w:jc w:val="left"/>
        <w:rPr>
          <w:rFonts w:ascii="Arial" w:hAnsi="Arial" w:cs="Arial"/>
        </w:rPr>
      </w:pPr>
      <w:r w:rsidRPr="00371DF5">
        <w:rPr>
          <w:rFonts w:ascii="Arial" w:hAnsi="Arial" w:cs="Arial"/>
        </w:rPr>
        <w:t xml:space="preserve">Project Officer: </w:t>
      </w:r>
      <w:r>
        <w:rPr>
          <w:rFonts w:ascii="Arial" w:hAnsi="Arial" w:cs="Arial"/>
        </w:rPr>
        <w:t>Ashley Chaifetz</w:t>
      </w:r>
    </w:p>
    <w:p w:rsidR="00687FE8" w:rsidRPr="00371DF5" w:rsidP="00726CB1" w14:paraId="08EFA397" w14:textId="77777777">
      <w:pPr>
        <w:spacing w:line="240" w:lineRule="auto"/>
        <w:ind w:left="5112" w:right="360" w:firstLine="0"/>
        <w:jc w:val="left"/>
        <w:rPr>
          <w:rFonts w:ascii="Arial" w:hAnsi="Arial" w:cs="Arial"/>
        </w:rPr>
      </w:pPr>
    </w:p>
    <w:p w:rsidR="00687FE8" w:rsidRPr="00371DF5" w:rsidP="00726CB1" w14:paraId="6C638A21" w14:textId="77777777">
      <w:pPr>
        <w:spacing w:line="240" w:lineRule="auto"/>
        <w:ind w:left="5112" w:right="360" w:firstLine="0"/>
        <w:rPr>
          <w:rFonts w:ascii="Arial" w:hAnsi="Arial" w:cs="Arial"/>
        </w:rPr>
      </w:pPr>
      <w:r w:rsidRPr="00371DF5">
        <w:rPr>
          <w:rFonts w:ascii="Arial" w:hAnsi="Arial" w:cs="Arial"/>
        </w:rPr>
        <w:t>USDA/FNS Office of Policy Support</w:t>
      </w:r>
    </w:p>
    <w:p w:rsidR="00687FE8" w:rsidRPr="0052707C" w:rsidP="00726CB1" w14:paraId="41B70F9F" w14:textId="77777777">
      <w:pPr>
        <w:spacing w:line="240" w:lineRule="auto"/>
        <w:ind w:left="5112" w:right="360" w:firstLine="0"/>
        <w:rPr>
          <w:rFonts w:ascii="Arial" w:hAnsi="Arial" w:cs="Arial"/>
          <w:lang w:val="fr-FR"/>
        </w:rPr>
      </w:pPr>
      <w:r w:rsidRPr="0052707C">
        <w:rPr>
          <w:rFonts w:ascii="Arial" w:hAnsi="Arial" w:cs="Arial"/>
          <w:lang w:val="fr-FR"/>
        </w:rPr>
        <w:t xml:space="preserve">1320 Braddock Place </w:t>
      </w:r>
    </w:p>
    <w:p w:rsidR="00687FE8" w:rsidRPr="0052707C" w:rsidP="00726CB1" w14:paraId="26DF1583" w14:textId="77777777">
      <w:pPr>
        <w:spacing w:line="240" w:lineRule="auto"/>
        <w:ind w:left="5112" w:right="360" w:firstLine="0"/>
        <w:rPr>
          <w:rFonts w:ascii="Arial" w:hAnsi="Arial" w:cs="Arial"/>
          <w:lang w:val="fr-FR"/>
        </w:rPr>
      </w:pPr>
      <w:r w:rsidRPr="0052707C">
        <w:rPr>
          <w:rFonts w:ascii="Arial" w:hAnsi="Arial" w:cs="Arial"/>
          <w:lang w:val="fr-FR"/>
        </w:rPr>
        <w:t>Alexandria, VA 22314</w:t>
      </w:r>
    </w:p>
    <w:p w:rsidR="00687FE8" w:rsidRPr="0052707C" w:rsidP="00950051" w14:paraId="574918C2" w14:textId="77777777">
      <w:pPr>
        <w:spacing w:line="240" w:lineRule="auto"/>
        <w:ind w:left="5112" w:right="360" w:firstLine="0"/>
        <w:rPr>
          <w:rFonts w:ascii="Arial" w:hAnsi="Arial" w:cs="Arial"/>
          <w:lang w:val="fr-FR"/>
        </w:rPr>
      </w:pPr>
      <w:r w:rsidRPr="0052707C">
        <w:rPr>
          <w:rFonts w:ascii="Arial" w:hAnsi="Arial" w:cs="Arial"/>
          <w:lang w:val="fr-FR"/>
        </w:rPr>
        <w:t>Phone:</w:t>
      </w:r>
      <w:r w:rsidRPr="0052707C">
        <w:rPr>
          <w:rFonts w:ascii="Arial" w:hAnsi="Arial" w:cs="Arial"/>
          <w:lang w:val="fr-FR"/>
        </w:rPr>
        <w:t xml:space="preserve"> (470) 528-7717</w:t>
      </w:r>
    </w:p>
    <w:p w:rsidR="00687FE8" w:rsidRPr="00C029BF" w:rsidP="00950051" w14:paraId="2A479FF9" w14:textId="77777777">
      <w:pPr>
        <w:spacing w:line="240" w:lineRule="auto"/>
        <w:ind w:left="5112" w:right="360" w:firstLine="0"/>
        <w:rPr>
          <w:rFonts w:ascii="Arial" w:hAnsi="Arial" w:cs="Arial"/>
        </w:rPr>
      </w:pPr>
      <w:r w:rsidRPr="00C029BF">
        <w:rPr>
          <w:rFonts w:ascii="Arial" w:hAnsi="Arial" w:cs="Arial"/>
        </w:rPr>
        <w:t xml:space="preserve">Email: Ashley.Chaifetz@usda.gov </w:t>
      </w:r>
    </w:p>
    <w:p w:rsidR="00687FE8" w:rsidRPr="00C029BF" w:rsidP="006F3E97" w14:paraId="18D0D09A" w14:textId="77777777">
      <w:pPr>
        <w:spacing w:line="280" w:lineRule="exact"/>
        <w:ind w:firstLine="0"/>
        <w:rPr>
          <w:rFonts w:ascii="Arial" w:hAnsi="Arial" w:cs="Arial"/>
          <w:sz w:val="20"/>
          <w:szCs w:val="20"/>
        </w:rPr>
      </w:pPr>
    </w:p>
    <w:p w:rsidR="00687FE8" w:rsidRPr="00C029BF" w:rsidP="00742990" w14:paraId="1DDF5FD1" w14:textId="77777777">
      <w:pPr>
        <w:spacing w:line="264" w:lineRule="auto"/>
        <w:ind w:left="5040" w:firstLine="0"/>
        <w:rPr>
          <w:rFonts w:ascii="Arial" w:hAnsi="Arial" w:cs="Arial"/>
          <w:sz w:val="20"/>
          <w:szCs w:val="20"/>
        </w:rPr>
        <w:sectPr w:rsidSect="00800423">
          <w:footerReference w:type="default" r:id="rId7"/>
          <w:endnotePr>
            <w:numFmt w:val="decimal"/>
          </w:endnotePr>
          <w:pgSz w:w="12240" w:h="15840" w:code="1"/>
          <w:pgMar w:top="2592" w:right="1440" w:bottom="576" w:left="1440" w:header="720" w:footer="576" w:gutter="0"/>
          <w:pgNumType w:start="1"/>
          <w:cols w:space="720"/>
          <w:docGrid w:linePitch="150"/>
        </w:sectPr>
      </w:pPr>
    </w:p>
    <w:p w:rsidR="00687FE8" w:rsidP="006A053E" w14:paraId="1D6B8D6D" w14:textId="77777777">
      <w:pPr>
        <w:pStyle w:val="TOC1"/>
        <w:rPr>
          <w:rFonts w:asciiTheme="minorHAnsi" w:eastAsiaTheme="minorEastAsia" w:hAnsiTheme="minorHAnsi" w:cstheme="minorBidi"/>
        </w:rPr>
      </w:pPr>
      <w:r w:rsidRPr="007B330A">
        <w:t>PART B. STATISTICAL METHODS</w:t>
      </w:r>
    </w:p>
    <w:p w:rsidR="00687FE8" w:rsidP="005F0835" w14:paraId="421D406D" w14:textId="77777777">
      <w:pPr>
        <w:pStyle w:val="TOC2"/>
        <w:rPr>
          <w:rFonts w:asciiTheme="minorHAnsi" w:eastAsiaTheme="minorEastAsia" w:hAnsiTheme="minorHAnsi" w:cstheme="minorBidi"/>
          <w:noProof/>
          <w:sz w:val="22"/>
          <w:szCs w:val="22"/>
        </w:rPr>
      </w:pPr>
      <w:r w:rsidRPr="007B330A">
        <w:rPr>
          <w:noProof/>
        </w:rPr>
        <w:t>B.1.</w:t>
      </w:r>
      <w:r>
        <w:rPr>
          <w:rFonts w:asciiTheme="minorHAnsi" w:eastAsiaTheme="minorEastAsia" w:hAnsiTheme="minorHAnsi" w:cstheme="minorBidi"/>
          <w:noProof/>
          <w:sz w:val="22"/>
          <w:szCs w:val="22"/>
        </w:rPr>
        <w:tab/>
      </w:r>
      <w:r w:rsidRPr="001A2D4D">
        <w:rPr>
          <w:noProof/>
        </w:rPr>
        <w:t>Respondent Universe and Sampling Methods</w:t>
      </w:r>
      <w:r w:rsidRPr="007B330A">
        <w:rPr>
          <w:noProof/>
        </w:rPr>
        <w:t>.</w:t>
      </w:r>
      <w:r>
        <w:rPr>
          <w:noProof/>
        </w:rPr>
        <w:tab/>
      </w:r>
      <w:r w:rsidR="00B74101">
        <w:rPr>
          <w:noProof/>
        </w:rPr>
        <w:t>8</w:t>
      </w:r>
    </w:p>
    <w:p w:rsidR="00687FE8" w:rsidP="005F0835" w14:paraId="773D676B" w14:textId="77777777">
      <w:pPr>
        <w:pStyle w:val="TOC2"/>
        <w:rPr>
          <w:rFonts w:asciiTheme="minorHAnsi" w:eastAsiaTheme="minorEastAsia" w:hAnsiTheme="minorHAnsi" w:cstheme="minorBidi"/>
          <w:noProof/>
          <w:sz w:val="22"/>
          <w:szCs w:val="22"/>
        </w:rPr>
      </w:pPr>
      <w:r>
        <w:rPr>
          <w:noProof/>
        </w:rPr>
        <w:t>B.2.</w:t>
      </w:r>
      <w:r>
        <w:rPr>
          <w:rFonts w:asciiTheme="minorHAnsi" w:eastAsiaTheme="minorEastAsia" w:hAnsiTheme="minorHAnsi" w:cstheme="minorBidi"/>
          <w:noProof/>
          <w:sz w:val="22"/>
          <w:szCs w:val="22"/>
        </w:rPr>
        <w:tab/>
      </w:r>
      <w:r w:rsidRPr="001A2D4D">
        <w:rPr>
          <w:noProof/>
        </w:rPr>
        <w:t>Procedures for the Collection of Information</w:t>
      </w:r>
      <w:r>
        <w:rPr>
          <w:noProof/>
        </w:rPr>
        <w:tab/>
      </w:r>
      <w:r w:rsidR="00B74101">
        <w:rPr>
          <w:noProof/>
        </w:rPr>
        <w:t>13</w:t>
      </w:r>
    </w:p>
    <w:p w:rsidR="00687FE8" w:rsidP="005F0835" w14:paraId="09B55B33" w14:textId="77777777">
      <w:pPr>
        <w:pStyle w:val="TOC2"/>
        <w:rPr>
          <w:rFonts w:asciiTheme="minorHAnsi" w:eastAsiaTheme="minorEastAsia" w:hAnsiTheme="minorHAnsi" w:cstheme="minorBidi"/>
          <w:noProof/>
          <w:sz w:val="22"/>
          <w:szCs w:val="22"/>
        </w:rPr>
      </w:pPr>
      <w:r>
        <w:rPr>
          <w:noProof/>
        </w:rPr>
        <w:t>B.3.</w:t>
      </w:r>
      <w:r>
        <w:rPr>
          <w:rFonts w:asciiTheme="minorHAnsi" w:eastAsiaTheme="minorEastAsia" w:hAnsiTheme="minorHAnsi" w:cstheme="minorBidi"/>
          <w:noProof/>
          <w:sz w:val="22"/>
          <w:szCs w:val="22"/>
        </w:rPr>
        <w:tab/>
      </w:r>
      <w:r w:rsidRPr="001A2D4D">
        <w:rPr>
          <w:noProof/>
        </w:rPr>
        <w:t>Methods to Maximize Response Rates and to Deal with Non</w:t>
      </w:r>
      <w:r>
        <w:rPr>
          <w:noProof/>
        </w:rPr>
        <w:t>r</w:t>
      </w:r>
      <w:r w:rsidRPr="001A2D4D">
        <w:rPr>
          <w:noProof/>
        </w:rPr>
        <w:t>esponse</w:t>
      </w:r>
      <w:r>
        <w:rPr>
          <w:noProof/>
        </w:rPr>
        <w:t>.</w:t>
      </w:r>
      <w:r>
        <w:rPr>
          <w:noProof/>
        </w:rPr>
        <w:tab/>
      </w:r>
      <w:r w:rsidR="00B74101">
        <w:rPr>
          <w:noProof/>
        </w:rPr>
        <w:t>23</w:t>
      </w:r>
    </w:p>
    <w:p w:rsidR="00687FE8" w:rsidP="005F0835" w14:paraId="0D787997" w14:textId="77777777">
      <w:pPr>
        <w:pStyle w:val="TOC2"/>
        <w:rPr>
          <w:rFonts w:asciiTheme="minorHAnsi" w:eastAsiaTheme="minorEastAsia" w:hAnsiTheme="minorHAnsi" w:cstheme="minorBidi"/>
          <w:noProof/>
          <w:sz w:val="22"/>
          <w:szCs w:val="22"/>
        </w:rPr>
      </w:pPr>
      <w:r>
        <w:rPr>
          <w:noProof/>
        </w:rPr>
        <w:t>B.4.</w:t>
      </w:r>
      <w:r>
        <w:rPr>
          <w:rFonts w:asciiTheme="minorHAnsi" w:eastAsiaTheme="minorEastAsia" w:hAnsiTheme="minorHAnsi" w:cstheme="minorBidi"/>
          <w:noProof/>
          <w:sz w:val="22"/>
          <w:szCs w:val="22"/>
        </w:rPr>
        <w:tab/>
      </w:r>
      <w:r w:rsidRPr="001A2D4D">
        <w:rPr>
          <w:noProof/>
        </w:rPr>
        <w:t>Tests of Procedures or Methods to Be Undertaken</w:t>
      </w:r>
      <w:r>
        <w:rPr>
          <w:noProof/>
        </w:rPr>
        <w:t>.</w:t>
      </w:r>
      <w:r>
        <w:rPr>
          <w:noProof/>
        </w:rPr>
        <w:tab/>
      </w:r>
      <w:r w:rsidR="00B74101">
        <w:rPr>
          <w:noProof/>
        </w:rPr>
        <w:t>27</w:t>
      </w:r>
    </w:p>
    <w:p w:rsidR="00687FE8" w:rsidP="005F0835" w14:paraId="61DD42F6" w14:textId="77777777">
      <w:pPr>
        <w:pStyle w:val="TOC2"/>
        <w:rPr>
          <w:rFonts w:asciiTheme="minorHAnsi" w:eastAsiaTheme="minorEastAsia" w:hAnsiTheme="minorHAnsi" w:cstheme="minorBidi"/>
          <w:noProof/>
          <w:sz w:val="22"/>
          <w:szCs w:val="22"/>
        </w:rPr>
      </w:pPr>
      <w:r>
        <w:rPr>
          <w:noProof/>
        </w:rPr>
        <w:t>B.5.</w:t>
      </w:r>
      <w:r>
        <w:rPr>
          <w:rFonts w:asciiTheme="minorHAnsi" w:eastAsiaTheme="minorEastAsia" w:hAnsiTheme="minorHAnsi" w:cstheme="minorBidi"/>
          <w:noProof/>
          <w:sz w:val="22"/>
          <w:szCs w:val="22"/>
        </w:rPr>
        <w:tab/>
      </w:r>
      <w:r w:rsidRPr="001A2D4D">
        <w:rPr>
          <w:noProof/>
        </w:rPr>
        <w:t>Individuals Consulted on Statistical Aspects and Individuals Collecting and/or Analyzing Data</w:t>
      </w:r>
      <w:r>
        <w:rPr>
          <w:noProof/>
        </w:rPr>
        <w:t>.</w:t>
      </w:r>
      <w:r>
        <w:rPr>
          <w:noProof/>
        </w:rPr>
        <w:tab/>
      </w:r>
      <w:r w:rsidR="00B74101">
        <w:rPr>
          <w:noProof/>
        </w:rPr>
        <w:t>27</w:t>
      </w:r>
    </w:p>
    <w:p w:rsidR="00687FE8" w14:paraId="005EBE8C" w14:textId="77777777">
      <w:pPr>
        <w:tabs>
          <w:tab w:val="clear" w:pos="432"/>
        </w:tabs>
        <w:spacing w:line="240" w:lineRule="auto"/>
        <w:ind w:firstLine="0"/>
        <w:jc w:val="left"/>
        <w:rPr>
          <w:rFonts w:ascii="Arial" w:hAnsi="Arial"/>
          <w:b/>
          <w:sz w:val="22"/>
        </w:rPr>
      </w:pPr>
    </w:p>
    <w:p w:rsidR="00687FE8" w:rsidRPr="00551CBF" w:rsidP="00250E30" w14:paraId="4DC0B8E8" w14:textId="77777777">
      <w:pPr>
        <w:pStyle w:val="Heading2BlackNoTOC"/>
        <w:spacing w:before="240"/>
        <w:rPr>
          <w:sz w:val="22"/>
        </w:rPr>
      </w:pPr>
      <w:r w:rsidRPr="00551CBF">
        <w:rPr>
          <w:sz w:val="22"/>
        </w:rPr>
        <w:t>TABLES</w:t>
      </w:r>
    </w:p>
    <w:p w:rsidR="00687FE8" w14:paraId="75827106" w14:textId="77777777">
      <w:pPr>
        <w:pStyle w:val="TableofFigures"/>
        <w:rPr>
          <w:rFonts w:asciiTheme="minorHAnsi" w:eastAsiaTheme="minorEastAsia" w:hAnsiTheme="minorHAnsi" w:cstheme="minorBidi"/>
          <w:noProof/>
          <w:sz w:val="22"/>
          <w:szCs w:val="22"/>
        </w:rPr>
      </w:pPr>
      <w:r>
        <w:rPr>
          <w:noProof/>
        </w:rPr>
        <w:t>Table B.1.1. Respondent universe for SNMCS-II component and expected and SNMCS-I response rates</w:t>
      </w:r>
      <w:r>
        <w:rPr>
          <w:noProof/>
        </w:rPr>
        <w:tab/>
      </w:r>
      <w:r w:rsidR="00B74101">
        <w:rPr>
          <w:noProof/>
        </w:rPr>
        <w:t>11</w:t>
      </w:r>
    </w:p>
    <w:p w:rsidR="00687FE8" w14:paraId="2836EC1E" w14:textId="77777777">
      <w:pPr>
        <w:pStyle w:val="TableofFigures"/>
        <w:rPr>
          <w:rFonts w:asciiTheme="minorHAnsi" w:eastAsiaTheme="minorEastAsia" w:hAnsiTheme="minorHAnsi" w:cstheme="minorBidi"/>
          <w:noProof/>
          <w:sz w:val="22"/>
          <w:szCs w:val="22"/>
        </w:rPr>
      </w:pPr>
      <w:r>
        <w:rPr>
          <w:noProof/>
        </w:rPr>
        <w:t>Table B.1.2. Respondent universe for SFPS-IV component and expected and SFPS-III response rates</w:t>
      </w:r>
      <w:r>
        <w:rPr>
          <w:noProof/>
        </w:rPr>
        <w:tab/>
      </w:r>
      <w:r w:rsidR="00B74101">
        <w:rPr>
          <w:noProof/>
        </w:rPr>
        <w:t>12</w:t>
      </w:r>
    </w:p>
    <w:p w:rsidR="00687FE8" w14:paraId="5E0CF4F7" w14:textId="77777777">
      <w:pPr>
        <w:pStyle w:val="TableofFigures"/>
        <w:rPr>
          <w:rFonts w:asciiTheme="minorHAnsi" w:eastAsiaTheme="minorEastAsia" w:hAnsiTheme="minorHAnsi" w:cstheme="minorBidi"/>
          <w:noProof/>
          <w:sz w:val="22"/>
          <w:szCs w:val="22"/>
        </w:rPr>
      </w:pPr>
      <w:r>
        <w:rPr>
          <w:noProof/>
        </w:rPr>
        <w:t>Table B.1.3. Respondent universe for FFVP-II component and expected and FFVP response rates</w:t>
      </w:r>
      <w:r>
        <w:rPr>
          <w:noProof/>
        </w:rPr>
        <w:tab/>
      </w:r>
      <w:r w:rsidR="00B74101">
        <w:rPr>
          <w:noProof/>
        </w:rPr>
        <w:t>12</w:t>
      </w:r>
    </w:p>
    <w:p w:rsidR="00687FE8" w14:paraId="321E9F2B" w14:textId="77777777">
      <w:pPr>
        <w:pStyle w:val="TableofFigures"/>
        <w:rPr>
          <w:rFonts w:asciiTheme="minorHAnsi" w:eastAsiaTheme="minorEastAsia" w:hAnsiTheme="minorHAnsi" w:cstheme="minorBidi"/>
          <w:noProof/>
          <w:sz w:val="22"/>
          <w:szCs w:val="22"/>
        </w:rPr>
      </w:pPr>
      <w:r>
        <w:rPr>
          <w:noProof/>
        </w:rPr>
        <w:t>Table B.1.4. Respondent universe and sampling plan for each outlying area</w:t>
      </w:r>
      <w:r>
        <w:rPr>
          <w:noProof/>
        </w:rPr>
        <w:tab/>
      </w:r>
      <w:r w:rsidR="00B74101">
        <w:rPr>
          <w:noProof/>
        </w:rPr>
        <w:t>13</w:t>
      </w:r>
    </w:p>
    <w:p w:rsidR="00687FE8" w14:paraId="5BCCFCA0" w14:textId="77777777">
      <w:pPr>
        <w:pStyle w:val="TableofFigures"/>
        <w:rPr>
          <w:rFonts w:asciiTheme="minorHAnsi" w:eastAsiaTheme="minorEastAsia" w:hAnsiTheme="minorHAnsi" w:cstheme="minorBidi"/>
          <w:noProof/>
          <w:sz w:val="22"/>
          <w:szCs w:val="22"/>
        </w:rPr>
      </w:pPr>
      <w:r w:rsidRPr="00BD5986">
        <w:rPr>
          <w:rFonts w:cs="Arial"/>
          <w:noProof/>
        </w:rPr>
        <w:t>Table B.2.1. Average SFA and school-level design effects and completed sample sizes</w:t>
      </w:r>
      <w:r>
        <w:rPr>
          <w:noProof/>
        </w:rPr>
        <w:tab/>
      </w:r>
      <w:r w:rsidR="00B74101">
        <w:rPr>
          <w:noProof/>
        </w:rPr>
        <w:t>15</w:t>
      </w:r>
    </w:p>
    <w:p w:rsidR="00687FE8" w14:paraId="62047551" w14:textId="77777777">
      <w:pPr>
        <w:pStyle w:val="TableofFigures"/>
        <w:rPr>
          <w:rFonts w:asciiTheme="minorHAnsi" w:eastAsiaTheme="minorEastAsia" w:hAnsiTheme="minorHAnsi" w:cstheme="minorBidi"/>
          <w:noProof/>
          <w:sz w:val="22"/>
          <w:szCs w:val="22"/>
        </w:rPr>
      </w:pPr>
      <w:r w:rsidRPr="00BD5986">
        <w:rPr>
          <w:rFonts w:cs="Arial"/>
          <w:noProof/>
        </w:rPr>
        <w:t>Table B.2.2. Expected precision levels for SFA-level estimates for SFPS-IV</w:t>
      </w:r>
      <w:r>
        <w:rPr>
          <w:noProof/>
        </w:rPr>
        <w:tab/>
      </w:r>
      <w:r w:rsidR="00B74101">
        <w:rPr>
          <w:noProof/>
        </w:rPr>
        <w:t>15</w:t>
      </w:r>
    </w:p>
    <w:p w:rsidR="00687FE8" w14:paraId="6015938B" w14:textId="77777777">
      <w:pPr>
        <w:pStyle w:val="TableofFigures"/>
        <w:rPr>
          <w:rFonts w:asciiTheme="minorHAnsi" w:eastAsiaTheme="minorEastAsia" w:hAnsiTheme="minorHAnsi" w:cstheme="minorBidi"/>
          <w:noProof/>
          <w:sz w:val="22"/>
          <w:szCs w:val="22"/>
        </w:rPr>
      </w:pPr>
      <w:r>
        <w:rPr>
          <w:noProof/>
        </w:rPr>
        <w:t>Table B.2.3. Expected precision levels for SFA-level estimates for SNMCS-II</w:t>
      </w:r>
      <w:r>
        <w:rPr>
          <w:noProof/>
        </w:rPr>
        <w:tab/>
      </w:r>
      <w:r w:rsidR="00B74101">
        <w:rPr>
          <w:noProof/>
        </w:rPr>
        <w:t>18</w:t>
      </w:r>
    </w:p>
    <w:p w:rsidR="00687FE8" w14:paraId="36CA23A6" w14:textId="77777777">
      <w:pPr>
        <w:pStyle w:val="TableofFigures"/>
        <w:rPr>
          <w:rFonts w:asciiTheme="minorHAnsi" w:eastAsiaTheme="minorEastAsia" w:hAnsiTheme="minorHAnsi" w:cstheme="minorBidi"/>
          <w:noProof/>
          <w:sz w:val="22"/>
          <w:szCs w:val="22"/>
        </w:rPr>
      </w:pPr>
      <w:r>
        <w:rPr>
          <w:noProof/>
        </w:rPr>
        <w:t>Table B.2.4. Expected precision levels for school-level estimates</w:t>
      </w:r>
      <w:r>
        <w:rPr>
          <w:noProof/>
        </w:rPr>
        <w:tab/>
      </w:r>
      <w:r w:rsidR="00B74101">
        <w:rPr>
          <w:noProof/>
        </w:rPr>
        <w:t>19</w:t>
      </w:r>
    </w:p>
    <w:p w:rsidR="00687FE8" w14:paraId="03C65D37" w14:textId="77777777">
      <w:pPr>
        <w:pStyle w:val="TableofFigures"/>
        <w:rPr>
          <w:rFonts w:asciiTheme="minorHAnsi" w:eastAsiaTheme="minorEastAsia" w:hAnsiTheme="minorHAnsi" w:cstheme="minorBidi"/>
          <w:noProof/>
          <w:sz w:val="22"/>
          <w:szCs w:val="22"/>
        </w:rPr>
      </w:pPr>
      <w:r>
        <w:rPr>
          <w:noProof/>
        </w:rPr>
        <w:t>Table B.2.5. Expected precision levels for student- and tray-level estimates for Groups 2a and 3</w:t>
      </w:r>
      <w:r>
        <w:rPr>
          <w:noProof/>
        </w:rPr>
        <w:tab/>
      </w:r>
      <w:r w:rsidR="00B74101">
        <w:rPr>
          <w:noProof/>
        </w:rPr>
        <w:t>21</w:t>
      </w:r>
    </w:p>
    <w:p w:rsidR="00687FE8" w14:paraId="6BF2CC83" w14:textId="77777777">
      <w:pPr>
        <w:pStyle w:val="TableofFigures"/>
        <w:rPr>
          <w:rFonts w:asciiTheme="minorHAnsi" w:eastAsiaTheme="minorEastAsia" w:hAnsiTheme="minorHAnsi" w:cstheme="minorBidi"/>
          <w:noProof/>
          <w:sz w:val="22"/>
          <w:szCs w:val="22"/>
        </w:rPr>
      </w:pPr>
      <w:r>
        <w:rPr>
          <w:noProof/>
        </w:rPr>
        <w:t>Table B.5.1. Individuals consulted on data collection or analysis</w:t>
      </w:r>
      <w:r>
        <w:rPr>
          <w:noProof/>
        </w:rPr>
        <w:tab/>
        <w:t>27</w:t>
      </w:r>
    </w:p>
    <w:p w:rsidR="00687FE8" w:rsidRPr="00384DF7" w:rsidP="0084622E" w14:paraId="5C9CAD02" w14:textId="77777777">
      <w:pPr>
        <w:pStyle w:val="TableofFigures"/>
        <w:tabs>
          <w:tab w:val="clear" w:pos="1008"/>
          <w:tab w:val="left" w:pos="1440"/>
        </w:tabs>
        <w:ind w:left="1440" w:hanging="720"/>
        <w:rPr>
          <w:rFonts w:eastAsiaTheme="minorHAnsi"/>
          <w:noProof/>
        </w:rPr>
      </w:pPr>
    </w:p>
    <w:p w:rsidR="00687FE8" w:rsidRPr="00551CBF" w:rsidP="00E10DC4" w14:paraId="01A60377" w14:textId="77777777">
      <w:pPr>
        <w:pStyle w:val="Heading2BlackNoTOC"/>
        <w:rPr>
          <w:sz w:val="22"/>
        </w:rPr>
      </w:pPr>
      <w:r w:rsidRPr="00551CBF">
        <w:rPr>
          <w:sz w:val="22"/>
        </w:rPr>
        <w:t>FIGURE</w:t>
      </w:r>
    </w:p>
    <w:p w:rsidR="00687FE8" w:rsidP="005F0835" w14:paraId="58DFA89F" w14:textId="77777777">
      <w:pPr>
        <w:pStyle w:val="TOC2"/>
        <w:rPr>
          <w:rFonts w:asciiTheme="minorHAnsi" w:eastAsiaTheme="minorEastAsia" w:hAnsiTheme="minorHAnsi" w:cstheme="minorBidi"/>
          <w:noProof/>
          <w:sz w:val="22"/>
          <w:szCs w:val="22"/>
        </w:rPr>
      </w:pPr>
      <w:r w:rsidRPr="00B74101">
        <w:rPr>
          <w:noProof/>
        </w:rPr>
        <w:t>Figure B.1. Summary of the sample design</w:t>
      </w:r>
      <w:r>
        <w:rPr>
          <w:noProof/>
          <w:webHidden/>
        </w:rPr>
        <w:tab/>
      </w:r>
      <w:r>
        <w:rPr>
          <w:noProof/>
          <w:webHidden/>
        </w:rPr>
        <w:fldChar w:fldCharType="begin"/>
      </w:r>
      <w:r>
        <w:rPr>
          <w:noProof/>
          <w:webHidden/>
        </w:rPr>
        <w:instrText xml:space="preserve"> PAGEREF _Toc155172058 \h </w:instrText>
      </w:r>
      <w:r>
        <w:rPr>
          <w:noProof/>
          <w:webHidden/>
        </w:rPr>
        <w:fldChar w:fldCharType="separate"/>
      </w:r>
      <w:r>
        <w:rPr>
          <w:noProof/>
          <w:webHidden/>
        </w:rPr>
        <w:t>10</w:t>
      </w:r>
      <w:r>
        <w:rPr>
          <w:noProof/>
          <w:webHidden/>
        </w:rPr>
        <w:fldChar w:fldCharType="end"/>
      </w:r>
    </w:p>
    <w:p w:rsidR="00687FE8" w:rsidRPr="00E10DC4" w:rsidP="00E10DC4" w14:paraId="1754C50A" w14:textId="77777777"/>
    <w:p w:rsidR="00687FE8" w:rsidP="0017349F" w14:paraId="2A17D771" w14:textId="77777777">
      <w:pPr>
        <w:rPr>
          <w:rFonts w:ascii="Arial" w:hAnsi="Arial" w:cs="Arial"/>
          <w:sz w:val="23"/>
          <w:szCs w:val="23"/>
        </w:rPr>
      </w:pPr>
    </w:p>
    <w:p w:rsidR="00687FE8" w:rsidRPr="0017349F" w:rsidP="0017349F" w14:paraId="6FB0D67A" w14:textId="77777777">
      <w:pPr>
        <w:rPr>
          <w:rFonts w:ascii="Arial" w:hAnsi="Arial" w:cs="Arial"/>
          <w:sz w:val="23"/>
          <w:szCs w:val="23"/>
        </w:rPr>
        <w:sectPr w:rsidSect="00800423">
          <w:headerReference w:type="default" r:id="rId8"/>
          <w:footerReference w:type="default" r:id="rId9"/>
          <w:endnotePr>
            <w:numFmt w:val="decimal"/>
          </w:endnotePr>
          <w:pgSz w:w="12240" w:h="15840" w:code="1"/>
          <w:pgMar w:top="1440" w:right="1440" w:bottom="576" w:left="1440" w:header="720" w:footer="576" w:gutter="0"/>
          <w:pgNumType w:fmt="lowerRoman"/>
          <w:cols w:space="720"/>
          <w:docGrid w:linePitch="326"/>
        </w:sectPr>
      </w:pPr>
    </w:p>
    <w:p w:rsidR="00687FE8" w:rsidRPr="008A0543" w:rsidP="00DA68A7" w14:paraId="6E20EAA6" w14:textId="77777777">
      <w:pPr>
        <w:spacing w:after="240" w:line="240" w:lineRule="auto"/>
        <w:ind w:firstLine="0"/>
        <w:jc w:val="center"/>
        <w:outlineLvl w:val="0"/>
        <w:rPr>
          <w:rFonts w:ascii="Arial" w:eastAsia="Arial" w:hAnsi="Arial"/>
          <w:b/>
          <w:caps/>
        </w:rPr>
      </w:pPr>
      <w:r w:rsidRPr="008A0543">
        <w:rPr>
          <w:rFonts w:ascii="Arial" w:eastAsia="Arial" w:hAnsi="Arial"/>
          <w:b/>
          <w:caps/>
        </w:rPr>
        <w:t>APPENDICES</w:t>
      </w:r>
    </w:p>
    <w:p w:rsidR="00C029BF" w:rsidRPr="00371DF5" w:rsidP="005F0835" w14:paraId="7FD6C488" w14:textId="77777777">
      <w:pPr>
        <w:pStyle w:val="TOC8"/>
      </w:pPr>
      <w:r>
        <w:t xml:space="preserve">A. </w:t>
      </w:r>
      <w:bookmarkStart w:id="0" w:name="_Hlk160538601"/>
      <w:r>
        <w:t>National School Lunch Act, Sections</w:t>
      </w:r>
      <w:r w:rsidR="005F0835">
        <w:t xml:space="preserve"> 12(f),</w:t>
      </w:r>
      <w:r>
        <w:t xml:space="preserve"> 19(h)</w:t>
      </w:r>
      <w:r w:rsidR="005F0835">
        <w:t>,</w:t>
      </w:r>
      <w:r>
        <w:t xml:space="preserve"> and 28</w:t>
      </w:r>
      <w:bookmarkEnd w:id="0"/>
    </w:p>
    <w:p w:rsidR="00C029BF" w:rsidRPr="00371DF5" w:rsidP="005F0835" w14:paraId="6D3E9AB4" w14:textId="77777777">
      <w:pPr>
        <w:pStyle w:val="TOC8"/>
      </w:pPr>
      <w:r w:rsidRPr="00371DF5">
        <w:t xml:space="preserve">B. Summary of </w:t>
      </w:r>
      <w:r>
        <w:t>THE</w:t>
      </w:r>
      <w:r w:rsidRPr="00371DF5">
        <w:t xml:space="preserve"> Data Collection Plan</w:t>
      </w:r>
      <w:r>
        <w:t>S</w:t>
      </w:r>
      <w:r w:rsidRPr="00371DF5">
        <w:t xml:space="preserve"> </w:t>
      </w:r>
    </w:p>
    <w:p w:rsidR="00C029BF" w:rsidRPr="00371DF5" w:rsidP="005F0835" w14:paraId="15C1CAA1" w14:textId="77777777">
      <w:pPr>
        <w:pStyle w:val="TOC8"/>
      </w:pPr>
      <w:r w:rsidRPr="00371DF5">
        <w:t>C. SFA and School Recruitment Materials</w:t>
      </w:r>
    </w:p>
    <w:p w:rsidR="00C029BF" w:rsidRPr="00371DF5" w:rsidP="005F0835" w14:paraId="468730DE" w14:textId="77777777">
      <w:pPr>
        <w:pStyle w:val="TOC2"/>
        <w:rPr>
          <w:rFonts w:eastAsia="Arial"/>
        </w:rPr>
      </w:pPr>
      <w:r w:rsidRPr="00371DF5">
        <w:rPr>
          <w:rFonts w:eastAsia="Arial"/>
        </w:rPr>
        <w:t>C</w:t>
      </w:r>
      <w:r>
        <w:rPr>
          <w:rFonts w:eastAsia="Arial"/>
        </w:rPr>
        <w:t>0</w:t>
      </w:r>
      <w:r w:rsidRPr="00371DF5">
        <w:rPr>
          <w:rFonts w:eastAsia="Arial"/>
        </w:rPr>
        <w:t xml:space="preserve">1. </w:t>
      </w:r>
      <w:r w:rsidRPr="00371DF5">
        <w:rPr>
          <w:rFonts w:eastAsia="Arial"/>
        </w:rPr>
        <w:tab/>
        <w:t>IRB Approval Letter</w:t>
      </w:r>
    </w:p>
    <w:p w:rsidR="00C029BF" w:rsidP="005F0835" w14:paraId="4B6A9F32" w14:textId="77777777">
      <w:pPr>
        <w:pStyle w:val="TOC2"/>
        <w:rPr>
          <w:rFonts w:eastAsia="Arial"/>
        </w:rPr>
      </w:pPr>
      <w:r w:rsidRPr="00371DF5">
        <w:rPr>
          <w:rFonts w:eastAsia="Arial"/>
          <w:spacing w:val="-1"/>
        </w:rPr>
        <w:t>C</w:t>
      </w:r>
      <w:r>
        <w:rPr>
          <w:rFonts w:eastAsia="Arial"/>
          <w:spacing w:val="-1"/>
        </w:rPr>
        <w:t>02.</w:t>
      </w:r>
      <w:r w:rsidRPr="00371DF5">
        <w:rPr>
          <w:rFonts w:eastAsia="Arial"/>
        </w:rPr>
        <w:t xml:space="preserve"> </w:t>
      </w:r>
      <w:r w:rsidRPr="00371DF5">
        <w:rPr>
          <w:rFonts w:eastAsia="Arial"/>
        </w:rPr>
        <w:tab/>
      </w:r>
      <w:r>
        <w:rPr>
          <w:rFonts w:eastAsia="Arial"/>
        </w:rPr>
        <w:t>Notification to Regional Offices</w:t>
      </w:r>
    </w:p>
    <w:p w:rsidR="00C029BF" w:rsidRPr="00DC76BB" w:rsidP="005F0835" w14:paraId="546A263E" w14:textId="77777777">
      <w:pPr>
        <w:pStyle w:val="TOC2"/>
        <w:rPr>
          <w:rFonts w:eastAsia="Arial"/>
        </w:rPr>
      </w:pPr>
      <w:r>
        <w:rPr>
          <w:rFonts w:eastAsia="Arial"/>
          <w:spacing w:val="-1"/>
        </w:rPr>
        <w:t>C03</w:t>
      </w:r>
      <w:r>
        <w:rPr>
          <w:rFonts w:eastAsia="Arial"/>
        </w:rPr>
        <w:t>.</w:t>
      </w:r>
      <w:r>
        <w:rPr>
          <w:rFonts w:eastAsia="Arial"/>
        </w:rPr>
        <w:tab/>
      </w:r>
      <w:r w:rsidRPr="00371DF5">
        <w:rPr>
          <w:rFonts w:eastAsia="Arial"/>
        </w:rPr>
        <w:t xml:space="preserve">Study </w:t>
      </w:r>
      <w:r>
        <w:rPr>
          <w:rFonts w:eastAsia="Arial"/>
        </w:rPr>
        <w:t>Overview</w:t>
      </w:r>
      <w:r w:rsidRPr="00371DF5">
        <w:rPr>
          <w:rFonts w:eastAsia="Arial"/>
        </w:rPr>
        <w:t xml:space="preserve"> (Groups 1</w:t>
      </w:r>
      <w:r>
        <w:rPr>
          <w:rFonts w:eastAsia="Arial"/>
        </w:rPr>
        <w:t>a</w:t>
      </w:r>
      <w:r w:rsidRPr="00371DF5">
        <w:rPr>
          <w:rFonts w:eastAsia="Arial"/>
        </w:rPr>
        <w:t xml:space="preserve">, </w:t>
      </w:r>
      <w:r>
        <w:rPr>
          <w:rFonts w:eastAsia="Arial"/>
        </w:rPr>
        <w:t xml:space="preserve">1b, </w:t>
      </w:r>
      <w:r w:rsidRPr="00371DF5">
        <w:rPr>
          <w:rFonts w:eastAsia="Arial"/>
        </w:rPr>
        <w:t>2</w:t>
      </w:r>
      <w:r>
        <w:rPr>
          <w:rFonts w:eastAsia="Arial"/>
        </w:rPr>
        <w:t>a, 2b</w:t>
      </w:r>
      <w:r w:rsidRPr="00371DF5">
        <w:rPr>
          <w:rFonts w:eastAsia="Arial"/>
        </w:rPr>
        <w:t xml:space="preserve">, </w:t>
      </w:r>
      <w:r>
        <w:rPr>
          <w:rFonts w:eastAsia="Arial"/>
        </w:rPr>
        <w:t>and</w:t>
      </w:r>
      <w:r w:rsidRPr="00371DF5">
        <w:rPr>
          <w:rFonts w:eastAsia="Arial"/>
        </w:rPr>
        <w:t xml:space="preserve"> 3)</w:t>
      </w:r>
    </w:p>
    <w:p w:rsidR="00C029BF" w:rsidP="005F0835" w14:paraId="0749F3A4" w14:textId="77777777">
      <w:pPr>
        <w:pStyle w:val="TOC2"/>
        <w:rPr>
          <w:rFonts w:eastAsia="Arial"/>
        </w:rPr>
      </w:pPr>
      <w:r w:rsidRPr="00371DF5">
        <w:rPr>
          <w:rFonts w:eastAsia="Arial"/>
        </w:rPr>
        <w:t>C</w:t>
      </w:r>
      <w:r>
        <w:rPr>
          <w:rFonts w:eastAsia="Arial"/>
        </w:rPr>
        <w:t>04.</w:t>
      </w:r>
      <w:r>
        <w:rPr>
          <w:rFonts w:eastAsia="Arial"/>
        </w:rPr>
        <w:tab/>
      </w:r>
      <w:r w:rsidRPr="00952902">
        <w:rPr>
          <w:rFonts w:eastAsia="Arial"/>
        </w:rPr>
        <w:t>SFPS Brochure</w:t>
      </w:r>
      <w:r>
        <w:rPr>
          <w:rFonts w:eastAsia="Arial"/>
        </w:rPr>
        <w:t xml:space="preserve"> (Groups 1a and 1b)</w:t>
      </w:r>
    </w:p>
    <w:p w:rsidR="00C029BF" w:rsidP="005F0835" w14:paraId="3B148942" w14:textId="77777777">
      <w:pPr>
        <w:pStyle w:val="TOC2"/>
        <w:rPr>
          <w:rFonts w:eastAsia="Arial"/>
        </w:rPr>
      </w:pPr>
      <w:r w:rsidRPr="13CDF779">
        <w:rPr>
          <w:rFonts w:eastAsia="Arial"/>
        </w:rPr>
        <w:t>C05.</w:t>
      </w:r>
      <w:r>
        <w:tab/>
      </w:r>
      <w:r w:rsidRPr="13CDF779">
        <w:rPr>
          <w:rFonts w:eastAsia="Arial"/>
        </w:rPr>
        <w:t>Sample Notification Email from Regional Offices to State Child Nutrition Directors</w:t>
      </w:r>
      <w:r w:rsidRPr="668CD848">
        <w:rPr>
          <w:rFonts w:eastAsia="Arial"/>
        </w:rPr>
        <w:t xml:space="preserve"> (Groups 1a, 1b, 1c, 2a, 2b, 3, and Full and Limited Outlying Areas)</w:t>
      </w:r>
    </w:p>
    <w:p w:rsidR="00C029BF" w:rsidP="005F0835" w14:paraId="1DE28909" w14:textId="77777777">
      <w:pPr>
        <w:pStyle w:val="TOC2"/>
        <w:rPr>
          <w:rFonts w:eastAsia="Arial"/>
        </w:rPr>
      </w:pPr>
      <w:r>
        <w:rPr>
          <w:rFonts w:eastAsia="Arial"/>
        </w:rPr>
        <w:t xml:space="preserve">C06. </w:t>
      </w:r>
      <w:r>
        <w:rPr>
          <w:rFonts w:eastAsia="Arial"/>
        </w:rPr>
        <w:tab/>
      </w:r>
      <w:r w:rsidRPr="00970B23">
        <w:rPr>
          <w:rFonts w:eastAsia="Arial"/>
        </w:rPr>
        <w:t>State CN Director Study Introduction and Data Request Email</w:t>
      </w:r>
      <w:r>
        <w:rPr>
          <w:rFonts w:eastAsia="Arial"/>
        </w:rPr>
        <w:t xml:space="preserve"> (Groups 1a, 1b, 2a, 2b, and 3)</w:t>
      </w:r>
    </w:p>
    <w:p w:rsidR="00C029BF" w:rsidP="005F0835" w14:paraId="16AFF2DE" w14:textId="77777777">
      <w:pPr>
        <w:pStyle w:val="TOC2"/>
        <w:rPr>
          <w:rFonts w:eastAsia="Arial" w:cs="Arial"/>
          <w:szCs w:val="20"/>
        </w:rPr>
      </w:pPr>
      <w:r>
        <w:rPr>
          <w:rFonts w:eastAsia="Arial"/>
        </w:rPr>
        <w:t>C07.</w:t>
      </w:r>
      <w:r>
        <w:rPr>
          <w:rFonts w:eastAsia="Arial"/>
        </w:rPr>
        <w:tab/>
      </w:r>
      <w:r w:rsidRPr="00B71ED0">
        <w:rPr>
          <w:rFonts w:eastAsia="Arial"/>
        </w:rPr>
        <w:t>SFA Director Sample Notification Email from State CN Director</w:t>
      </w:r>
      <w:r>
        <w:rPr>
          <w:rFonts w:eastAsia="Arial"/>
        </w:rPr>
        <w:t xml:space="preserve"> </w:t>
      </w:r>
      <w:r>
        <w:rPr>
          <w:rFonts w:eastAsia="Arial" w:cs="Arial"/>
          <w:szCs w:val="20"/>
        </w:rPr>
        <w:t>(Groups 1a, 1b, 2a, 2b, and 3)</w:t>
      </w:r>
    </w:p>
    <w:p w:rsidR="00C029BF" w:rsidP="005F0835" w14:paraId="7704E4E5" w14:textId="77777777">
      <w:pPr>
        <w:pStyle w:val="TOC2"/>
        <w:rPr>
          <w:rFonts w:eastAsia="Arial"/>
        </w:rPr>
      </w:pPr>
      <w:r>
        <w:rPr>
          <w:rFonts w:eastAsia="Arial"/>
        </w:rPr>
        <w:t xml:space="preserve">C08. </w:t>
      </w:r>
      <w:r>
        <w:rPr>
          <w:rFonts w:eastAsia="Arial"/>
        </w:rPr>
        <w:tab/>
      </w:r>
      <w:r w:rsidRPr="00DE2B11">
        <w:rPr>
          <w:rFonts w:eastAsia="Arial"/>
        </w:rPr>
        <w:t>FSMC/Distributor Recruitment Letter/Email</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Outlying Areas</w:t>
      </w:r>
      <w:r>
        <w:rPr>
          <w:rFonts w:eastAsia="Arial"/>
        </w:rPr>
        <w:t>)</w:t>
      </w:r>
    </w:p>
    <w:p w:rsidR="00C029BF" w:rsidP="005F0835" w14:paraId="11CE1284" w14:textId="77777777">
      <w:pPr>
        <w:pStyle w:val="TOC2"/>
        <w:rPr>
          <w:rFonts w:eastAsia="Arial"/>
        </w:rPr>
      </w:pPr>
      <w:r>
        <w:rPr>
          <w:rFonts w:eastAsia="Arial"/>
        </w:rPr>
        <w:t xml:space="preserve">C09. </w:t>
      </w:r>
      <w:r>
        <w:rPr>
          <w:rFonts w:eastAsia="Arial"/>
        </w:rPr>
        <w:tab/>
      </w:r>
      <w:r w:rsidRPr="00C40560">
        <w:rPr>
          <w:rFonts w:eastAsia="Arial"/>
        </w:rPr>
        <w:t>Endorsement Letters Template</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w:t>
      </w:r>
      <w:r>
        <w:rPr>
          <w:rFonts w:eastAsia="Arial"/>
        </w:rPr>
        <w:t xml:space="preserve">and Limited </w:t>
      </w:r>
      <w:r w:rsidRPr="00371DF5">
        <w:rPr>
          <w:rFonts w:eastAsia="Arial"/>
        </w:rPr>
        <w:t>Outlying Areas</w:t>
      </w:r>
      <w:r>
        <w:rPr>
          <w:rFonts w:eastAsia="Arial"/>
        </w:rPr>
        <w:t>)</w:t>
      </w:r>
    </w:p>
    <w:p w:rsidR="00C029BF" w:rsidP="005F0835" w14:paraId="29A90608" w14:textId="77777777">
      <w:pPr>
        <w:pStyle w:val="TOC2"/>
        <w:rPr>
          <w:rFonts w:eastAsia="Arial"/>
        </w:rPr>
      </w:pPr>
      <w:r>
        <w:rPr>
          <w:rFonts w:eastAsia="Arial"/>
        </w:rPr>
        <w:t>C10.</w:t>
      </w:r>
      <w:r>
        <w:rPr>
          <w:rFonts w:eastAsia="Arial"/>
        </w:rPr>
        <w:tab/>
      </w:r>
      <w:r w:rsidRPr="004351B4">
        <w:rPr>
          <w:rFonts w:eastAsia="Arial"/>
        </w:rPr>
        <w:t>FSMC/Distributor Recruitment Call Script</w:t>
      </w:r>
      <w:r>
        <w:rPr>
          <w:rFonts w:eastAsia="Arial"/>
        </w:rPr>
        <w:t xml:space="preserve"> (</w:t>
      </w:r>
      <w:r w:rsidRPr="00371DF5">
        <w:rPr>
          <w:rFonts w:eastAsia="Arial"/>
        </w:rPr>
        <w:t>Groups</w:t>
      </w:r>
      <w:r>
        <w:rPr>
          <w:rFonts w:eastAsia="Arial"/>
        </w:rPr>
        <w:t xml:space="preserve"> 1a, 1b,</w:t>
      </w:r>
      <w:r w:rsidRPr="00371DF5">
        <w:rPr>
          <w:rFonts w:eastAsia="Arial"/>
        </w:rPr>
        <w:t xml:space="preserve"> 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Outlying Areas</w:t>
      </w:r>
      <w:r>
        <w:rPr>
          <w:rFonts w:eastAsia="Arial"/>
        </w:rPr>
        <w:t>)</w:t>
      </w:r>
    </w:p>
    <w:p w:rsidR="00C029BF" w:rsidP="005F0835" w14:paraId="54591D99" w14:textId="77777777">
      <w:pPr>
        <w:pStyle w:val="TOC2"/>
        <w:rPr>
          <w:rFonts w:eastAsia="Arial"/>
        </w:rPr>
      </w:pPr>
      <w:r>
        <w:rPr>
          <w:rFonts w:eastAsia="Arial"/>
        </w:rPr>
        <w:t>C11.</w:t>
      </w:r>
      <w:r>
        <w:rPr>
          <w:rFonts w:eastAsia="Arial"/>
        </w:rPr>
        <w:tab/>
        <w:t>St</w:t>
      </w:r>
      <w:r w:rsidRPr="00D37658">
        <w:rPr>
          <w:rFonts w:eastAsia="Arial"/>
        </w:rPr>
        <w:t>udy Webinar Invitation and Webinar</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w:t>
      </w:r>
      <w:r>
        <w:rPr>
          <w:rFonts w:eastAsia="Arial"/>
        </w:rPr>
        <w:t xml:space="preserve">and Limited </w:t>
      </w:r>
      <w:r w:rsidRPr="00371DF5">
        <w:rPr>
          <w:rFonts w:eastAsia="Arial"/>
        </w:rPr>
        <w:t>Outlying Areas</w:t>
      </w:r>
      <w:r>
        <w:rPr>
          <w:rFonts w:eastAsia="Arial"/>
        </w:rPr>
        <w:t>)</w:t>
      </w:r>
    </w:p>
    <w:p w:rsidR="00C029BF" w:rsidP="005F0835" w14:paraId="79D1555D" w14:textId="77777777">
      <w:pPr>
        <w:pStyle w:val="TOC2"/>
        <w:rPr>
          <w:rFonts w:eastAsia="Arial"/>
        </w:rPr>
      </w:pPr>
      <w:r>
        <w:rPr>
          <w:rFonts w:eastAsia="Arial"/>
        </w:rPr>
        <w:t>C12.</w:t>
      </w:r>
      <w:r>
        <w:rPr>
          <w:rFonts w:eastAsia="Arial"/>
        </w:rPr>
        <w:tab/>
        <w:t>S</w:t>
      </w:r>
      <w:r w:rsidRPr="00A40897">
        <w:rPr>
          <w:rFonts w:eastAsia="Arial"/>
        </w:rPr>
        <w:t>FA Director Recruitment Advance Letter/Email</w:t>
      </w:r>
      <w:r>
        <w:rPr>
          <w:rFonts w:eastAsia="Arial"/>
        </w:rPr>
        <w:t xml:space="preserve"> </w:t>
      </w:r>
      <w:r w:rsidRPr="00371DF5">
        <w:rPr>
          <w:rFonts w:eastAsia="Arial"/>
        </w:rPr>
        <w:t>(Groups 1</w:t>
      </w:r>
      <w:r>
        <w:rPr>
          <w:rFonts w:eastAsia="Arial"/>
        </w:rPr>
        <w:t>a</w:t>
      </w:r>
      <w:r w:rsidRPr="00371DF5">
        <w:rPr>
          <w:rFonts w:eastAsia="Arial"/>
        </w:rPr>
        <w:t xml:space="preserve">, </w:t>
      </w:r>
      <w:r>
        <w:rPr>
          <w:rFonts w:eastAsia="Arial"/>
        </w:rPr>
        <w:t xml:space="preserve">1b, </w:t>
      </w:r>
      <w:r w:rsidRPr="00371DF5">
        <w:rPr>
          <w:rFonts w:eastAsia="Arial"/>
        </w:rPr>
        <w:t>2</w:t>
      </w:r>
      <w:r>
        <w:rPr>
          <w:rFonts w:eastAsia="Arial"/>
        </w:rPr>
        <w:t>a, 2b</w:t>
      </w:r>
      <w:r w:rsidRPr="00371DF5">
        <w:rPr>
          <w:rFonts w:eastAsia="Arial"/>
        </w:rPr>
        <w:t xml:space="preserve">, </w:t>
      </w:r>
      <w:r>
        <w:rPr>
          <w:rFonts w:eastAsia="Arial"/>
        </w:rPr>
        <w:t>and</w:t>
      </w:r>
      <w:r w:rsidRPr="00371DF5">
        <w:rPr>
          <w:rFonts w:eastAsia="Arial"/>
        </w:rPr>
        <w:t xml:space="preserve"> 3)</w:t>
      </w:r>
    </w:p>
    <w:p w:rsidR="00C029BF" w:rsidP="005F0835" w14:paraId="6EC4C85E" w14:textId="77777777">
      <w:pPr>
        <w:pStyle w:val="TOC2"/>
        <w:rPr>
          <w:rFonts w:eastAsia="Arial"/>
        </w:rPr>
      </w:pPr>
      <w:r>
        <w:rPr>
          <w:rFonts w:eastAsia="Arial"/>
        </w:rPr>
        <w:t>C13.</w:t>
      </w:r>
      <w:r>
        <w:rPr>
          <w:rFonts w:eastAsia="Arial"/>
        </w:rPr>
        <w:tab/>
      </w:r>
      <w:r w:rsidRPr="0002108E">
        <w:rPr>
          <w:rFonts w:eastAsia="Arial"/>
        </w:rPr>
        <w:t>Recruiting Call Script</w:t>
      </w:r>
      <w:r>
        <w:rPr>
          <w:rFonts w:eastAsia="Arial"/>
        </w:rPr>
        <w:t xml:space="preserve"> (</w:t>
      </w:r>
      <w:r w:rsidRPr="00371DF5">
        <w:rPr>
          <w:rFonts w:eastAsia="Arial"/>
        </w:rPr>
        <w:t>Groups</w:t>
      </w:r>
      <w:r>
        <w:rPr>
          <w:rFonts w:eastAsia="Arial"/>
        </w:rPr>
        <w:t xml:space="preserve"> 1a,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w:t>
      </w:r>
      <w:r>
        <w:rPr>
          <w:rFonts w:eastAsia="Arial"/>
        </w:rPr>
        <w:t xml:space="preserve">and Limited </w:t>
      </w:r>
      <w:r w:rsidRPr="00371DF5">
        <w:rPr>
          <w:rFonts w:eastAsia="Arial"/>
        </w:rPr>
        <w:t>Outlying Areas</w:t>
      </w:r>
      <w:r>
        <w:rPr>
          <w:rFonts w:eastAsia="Arial"/>
        </w:rPr>
        <w:t>)</w:t>
      </w:r>
    </w:p>
    <w:p w:rsidR="00C029BF" w:rsidP="005F0835" w14:paraId="0E47BA75" w14:textId="77777777">
      <w:pPr>
        <w:pStyle w:val="TOC2"/>
        <w:rPr>
          <w:rFonts w:eastAsia="Arial"/>
        </w:rPr>
      </w:pPr>
      <w:r>
        <w:rPr>
          <w:rFonts w:eastAsia="Arial"/>
        </w:rPr>
        <w:t>C14.</w:t>
      </w:r>
      <w:r>
        <w:rPr>
          <w:rFonts w:eastAsia="Arial"/>
        </w:rPr>
        <w:tab/>
      </w:r>
      <w:r w:rsidRPr="002E5FAD">
        <w:rPr>
          <w:rFonts w:eastAsia="Arial"/>
        </w:rPr>
        <w:t>SFPS Food Purchase Planning Interview</w:t>
      </w:r>
      <w:r>
        <w:rPr>
          <w:rFonts w:eastAsia="Arial"/>
        </w:rPr>
        <w:t xml:space="preserve"> (Groups 1a and 1b)</w:t>
      </w:r>
    </w:p>
    <w:p w:rsidR="00C029BF" w:rsidP="005F0835" w14:paraId="70C8DB2A" w14:textId="77777777">
      <w:pPr>
        <w:pStyle w:val="TOC2"/>
        <w:rPr>
          <w:rFonts w:eastAsia="Arial"/>
        </w:rPr>
      </w:pPr>
      <w:r w:rsidRPr="7A0BA077">
        <w:rPr>
          <w:rFonts w:eastAsia="Arial"/>
        </w:rPr>
        <w:t>C15.</w:t>
      </w:r>
      <w:r>
        <w:rPr>
          <w:rFonts w:eastAsia="Arial"/>
        </w:rPr>
        <w:tab/>
      </w:r>
      <w:r w:rsidRPr="7A0BA077">
        <w:rPr>
          <w:rFonts w:eastAsia="Arial"/>
        </w:rPr>
        <w:t>SFPS Purchase Data Webinar Invitation and Webinar (Groups 1a and 1b)</w:t>
      </w:r>
    </w:p>
    <w:p w:rsidR="00C029BF" w:rsidP="005F0835" w14:paraId="648CD118" w14:textId="77777777">
      <w:pPr>
        <w:pStyle w:val="TOC2"/>
        <w:rPr>
          <w:rFonts w:eastAsia="Arial"/>
        </w:rPr>
      </w:pPr>
      <w:r w:rsidRPr="13CDF779">
        <w:rPr>
          <w:rFonts w:eastAsia="Arial"/>
        </w:rPr>
        <w:t>C16.</w:t>
      </w:r>
      <w:r>
        <w:tab/>
      </w:r>
      <w:r w:rsidRPr="13CDF779">
        <w:rPr>
          <w:rFonts w:eastAsia="Arial"/>
        </w:rPr>
        <w:t>SFA Director Planning Interview (Groups 2a, 2b, 3, and Full and Limited Outlying Areas)</w:t>
      </w:r>
    </w:p>
    <w:p w:rsidR="00C029BF" w:rsidRPr="002659CE" w:rsidP="005F0835" w14:paraId="093E62DC" w14:textId="77777777">
      <w:pPr>
        <w:pStyle w:val="TOC2"/>
        <w:rPr>
          <w:rFonts w:eastAsia="Arial"/>
        </w:rPr>
      </w:pPr>
      <w:r>
        <w:rPr>
          <w:rFonts w:eastAsia="Arial"/>
        </w:rPr>
        <w:t>C17.</w:t>
      </w:r>
      <w:r>
        <w:rPr>
          <w:rFonts w:eastAsia="Arial"/>
        </w:rPr>
        <w:tab/>
      </w:r>
      <w:r w:rsidRPr="004730A0">
        <w:rPr>
          <w:rFonts w:eastAsia="Arial"/>
        </w:rPr>
        <w:t>SFA Post-Planning Email</w:t>
      </w:r>
      <w:r>
        <w:rPr>
          <w:rFonts w:eastAsia="Arial"/>
        </w:rPr>
        <w:t xml:space="preserve"> (Groups 2a, 2b, and 3)</w:t>
      </w:r>
    </w:p>
    <w:p w:rsidR="00C029BF" w:rsidP="005F0835" w14:paraId="39633CEE" w14:textId="77777777">
      <w:pPr>
        <w:pStyle w:val="TOC2"/>
        <w:rPr>
          <w:rFonts w:eastAsia="Arial"/>
        </w:rPr>
      </w:pPr>
      <w:r>
        <w:rPr>
          <w:rFonts w:eastAsia="Arial"/>
        </w:rPr>
        <w:t>C18.</w:t>
      </w:r>
      <w:r>
        <w:rPr>
          <w:rFonts w:eastAsia="Arial"/>
        </w:rPr>
        <w:tab/>
      </w:r>
      <w:r w:rsidRPr="002631E0">
        <w:rPr>
          <w:rFonts w:eastAsia="Arial"/>
        </w:rPr>
        <w:t>Data Collection Activities and Respondents</w:t>
      </w:r>
      <w:r>
        <w:rPr>
          <w:rFonts w:eastAsia="Arial"/>
        </w:rPr>
        <w:t xml:space="preserve"> (Groups 3 and </w:t>
      </w:r>
      <w:r w:rsidRPr="00371DF5">
        <w:rPr>
          <w:rFonts w:eastAsia="Arial"/>
        </w:rPr>
        <w:t xml:space="preserve">Full </w:t>
      </w:r>
      <w:r>
        <w:rPr>
          <w:rFonts w:eastAsia="Arial"/>
        </w:rPr>
        <w:t xml:space="preserve">and Limited </w:t>
      </w:r>
      <w:r w:rsidRPr="00371DF5">
        <w:rPr>
          <w:rFonts w:eastAsia="Arial"/>
        </w:rPr>
        <w:t>Outlying Areas</w:t>
      </w:r>
      <w:r>
        <w:rPr>
          <w:rFonts w:eastAsia="Arial"/>
        </w:rPr>
        <w:t>)</w:t>
      </w:r>
    </w:p>
    <w:p w:rsidR="00C029BF" w:rsidP="005F0835" w14:paraId="2F255A57" w14:textId="77777777">
      <w:pPr>
        <w:pStyle w:val="TOC2"/>
        <w:rPr>
          <w:rFonts w:eastAsia="Arial"/>
        </w:rPr>
      </w:pPr>
      <w:r>
        <w:rPr>
          <w:rFonts w:eastAsia="Arial"/>
        </w:rPr>
        <w:t>C19.</w:t>
      </w:r>
      <w:r>
        <w:rPr>
          <w:rFonts w:eastAsia="Arial"/>
        </w:rPr>
        <w:tab/>
      </w:r>
      <w:r w:rsidRPr="00B21A1C">
        <w:rPr>
          <w:rFonts w:eastAsia="Arial"/>
        </w:rPr>
        <w:t>Principal Introduction Email to Schools</w:t>
      </w:r>
      <w:r>
        <w:rPr>
          <w:rFonts w:eastAsia="Arial"/>
        </w:rPr>
        <w:t xml:space="preserve"> (Groups 2a, 2b, and 3)</w:t>
      </w:r>
    </w:p>
    <w:p w:rsidR="00C029BF" w:rsidP="005F0835" w14:paraId="47079A51" w14:textId="77777777">
      <w:pPr>
        <w:pStyle w:val="TOC2"/>
        <w:rPr>
          <w:rFonts w:eastAsia="Arial"/>
        </w:rPr>
      </w:pPr>
      <w:r w:rsidRPr="13CDF779">
        <w:rPr>
          <w:rFonts w:eastAsia="Arial"/>
        </w:rPr>
        <w:t>C20.</w:t>
      </w:r>
      <w:r>
        <w:tab/>
      </w:r>
      <w:r w:rsidRPr="13CDF779">
        <w:rPr>
          <w:rFonts w:eastAsia="Arial"/>
        </w:rPr>
        <w:t>SNM Introduction Email (Groups 2a, 2b, and 3)</w:t>
      </w:r>
    </w:p>
    <w:p w:rsidR="00C029BF" w:rsidP="005F0835" w14:paraId="09B7DFAF" w14:textId="77777777">
      <w:pPr>
        <w:pStyle w:val="TOC2"/>
        <w:rPr>
          <w:rFonts w:eastAsia="Arial"/>
        </w:rPr>
      </w:pPr>
      <w:r>
        <w:rPr>
          <w:rFonts w:eastAsia="Arial"/>
        </w:rPr>
        <w:t>C21.</w:t>
      </w:r>
      <w:r>
        <w:rPr>
          <w:rFonts w:eastAsia="Arial"/>
        </w:rPr>
        <w:tab/>
      </w:r>
      <w:r w:rsidRPr="00DE7291">
        <w:rPr>
          <w:rFonts w:eastAsia="Arial"/>
        </w:rPr>
        <w:t>Next Steps for Principals Email</w:t>
      </w:r>
      <w:r>
        <w:rPr>
          <w:rFonts w:eastAsia="Arial"/>
        </w:rPr>
        <w:t xml:space="preserve"> (Groups 2a and 2b)</w:t>
      </w:r>
    </w:p>
    <w:p w:rsidR="00C029BF" w:rsidP="005F0835" w14:paraId="6E0CF046" w14:textId="77777777">
      <w:pPr>
        <w:pStyle w:val="TOC2"/>
        <w:rPr>
          <w:rFonts w:eastAsia="Arial"/>
        </w:rPr>
      </w:pPr>
      <w:r>
        <w:rPr>
          <w:rFonts w:eastAsia="Arial"/>
        </w:rPr>
        <w:t>C22.</w:t>
      </w:r>
      <w:r>
        <w:rPr>
          <w:rFonts w:eastAsia="Arial"/>
        </w:rPr>
        <w:tab/>
      </w:r>
      <w:r w:rsidRPr="001F2F29">
        <w:rPr>
          <w:rFonts w:eastAsia="Arial"/>
        </w:rPr>
        <w:t>School Planning Interview</w:t>
      </w:r>
      <w:r>
        <w:rPr>
          <w:rFonts w:eastAsia="Arial"/>
        </w:rPr>
        <w:t xml:space="preserve"> (</w:t>
      </w:r>
      <w:r w:rsidRPr="00371DF5">
        <w:rPr>
          <w:rFonts w:eastAsia="Arial"/>
        </w:rPr>
        <w:t>Groups</w:t>
      </w:r>
      <w:r>
        <w:rPr>
          <w:rFonts w:eastAsia="Arial"/>
        </w:rPr>
        <w:t xml:space="preserve"> </w:t>
      </w:r>
      <w:r w:rsidRPr="00371DF5">
        <w:rPr>
          <w:rFonts w:eastAsia="Arial"/>
        </w:rPr>
        <w:t>2</w:t>
      </w:r>
      <w:r>
        <w:rPr>
          <w:rFonts w:eastAsia="Arial"/>
        </w:rPr>
        <w:t>a</w:t>
      </w:r>
      <w:r w:rsidRPr="00371DF5">
        <w:rPr>
          <w:rFonts w:eastAsia="Arial"/>
        </w:rPr>
        <w:t>,</w:t>
      </w:r>
      <w:r>
        <w:rPr>
          <w:rFonts w:eastAsia="Arial"/>
        </w:rPr>
        <w:t xml:space="preserve"> 2b, </w:t>
      </w:r>
      <w:r w:rsidRPr="00371DF5">
        <w:rPr>
          <w:rFonts w:eastAsia="Arial"/>
        </w:rPr>
        <w:t xml:space="preserve">3, </w:t>
      </w:r>
      <w:r>
        <w:rPr>
          <w:rFonts w:eastAsia="Arial"/>
        </w:rPr>
        <w:t>and</w:t>
      </w:r>
      <w:r w:rsidRPr="00371DF5">
        <w:rPr>
          <w:rFonts w:eastAsia="Arial"/>
        </w:rPr>
        <w:t xml:space="preserve"> Full Outlying Areas</w:t>
      </w:r>
      <w:r>
        <w:rPr>
          <w:rFonts w:eastAsia="Arial"/>
        </w:rPr>
        <w:t>)</w:t>
      </w:r>
    </w:p>
    <w:p w:rsidR="00C029BF" w:rsidP="005F0835" w14:paraId="016A9403" w14:textId="77777777">
      <w:pPr>
        <w:pStyle w:val="TOC2"/>
        <w:rPr>
          <w:rFonts w:eastAsia="Arial"/>
        </w:rPr>
      </w:pPr>
      <w:r>
        <w:rPr>
          <w:rFonts w:eastAsia="Arial"/>
        </w:rPr>
        <w:t>C23.</w:t>
      </w:r>
      <w:r>
        <w:rPr>
          <w:rFonts w:eastAsia="Arial"/>
        </w:rPr>
        <w:tab/>
      </w:r>
      <w:r w:rsidRPr="00224938">
        <w:rPr>
          <w:rFonts w:eastAsia="Arial"/>
        </w:rPr>
        <w:t>Pre-Visit Reminder Email</w:t>
      </w:r>
      <w:r>
        <w:rPr>
          <w:rFonts w:eastAsia="Arial"/>
        </w:rPr>
        <w:t xml:space="preserve"> (Groups 2a, 2b, and 3)</w:t>
      </w:r>
    </w:p>
    <w:p w:rsidR="00C029BF" w:rsidRPr="00371DF5" w:rsidP="005F0835" w14:paraId="70BCDDD3" w14:textId="77777777">
      <w:pPr>
        <w:pStyle w:val="TOC8"/>
      </w:pPr>
      <w:r w:rsidRPr="00371DF5">
        <w:t>D. Parent and Student Recruitment Materials</w:t>
      </w:r>
    </w:p>
    <w:p w:rsidR="00C029BF" w:rsidRPr="00371DF5" w:rsidP="005F0835" w14:paraId="1896E456" w14:textId="77777777">
      <w:pPr>
        <w:pStyle w:val="TOC2"/>
        <w:rPr>
          <w:rFonts w:eastAsia="Arial"/>
        </w:rPr>
      </w:pPr>
      <w:r w:rsidRPr="00371DF5">
        <w:rPr>
          <w:rFonts w:eastAsia="Arial"/>
          <w:spacing w:val="-1"/>
        </w:rPr>
        <w:t>D</w:t>
      </w:r>
      <w:r>
        <w:rPr>
          <w:rFonts w:eastAsia="Arial"/>
          <w:spacing w:val="-1"/>
        </w:rPr>
        <w:t>0</w:t>
      </w:r>
      <w:r w:rsidRPr="00371DF5">
        <w:rPr>
          <w:rFonts w:eastAsia="Arial"/>
          <w:spacing w:val="-1"/>
        </w:rPr>
        <w:t>1</w:t>
      </w:r>
      <w:r w:rsidRPr="00371DF5">
        <w:rPr>
          <w:rFonts w:eastAsia="Arial"/>
        </w:rPr>
        <w:t xml:space="preserve">. </w:t>
      </w:r>
      <w:r w:rsidRPr="00371DF5">
        <w:rPr>
          <w:rFonts w:eastAsia="Arial"/>
        </w:rPr>
        <w:tab/>
        <w:t>School Roster Data Request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6FC27FD8" w14:textId="77777777">
      <w:pPr>
        <w:pStyle w:val="TOC2"/>
        <w:rPr>
          <w:rFonts w:eastAsia="Arial"/>
        </w:rPr>
      </w:pPr>
      <w:r w:rsidRPr="00371DF5">
        <w:rPr>
          <w:rFonts w:eastAsia="Arial"/>
        </w:rPr>
        <w:t>D</w:t>
      </w:r>
      <w:r>
        <w:rPr>
          <w:rFonts w:eastAsia="Arial"/>
        </w:rPr>
        <w:t>0</w:t>
      </w:r>
      <w:r w:rsidRPr="00371DF5">
        <w:rPr>
          <w:rFonts w:eastAsia="Arial"/>
        </w:rPr>
        <w:t xml:space="preserve">2. </w:t>
      </w:r>
      <w:r w:rsidRPr="00371DF5">
        <w:rPr>
          <w:rFonts w:eastAsia="Arial"/>
        </w:rPr>
        <w:tab/>
        <w:t>School Endorsement Letter</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13AF820C" w14:textId="77777777">
      <w:pPr>
        <w:pStyle w:val="TOC2"/>
        <w:rPr>
          <w:rFonts w:eastAsia="Arial"/>
        </w:rPr>
      </w:pPr>
      <w:r w:rsidRPr="00371DF5">
        <w:rPr>
          <w:rFonts w:eastAsia="Arial"/>
        </w:rPr>
        <w:t>D</w:t>
      </w:r>
      <w:r>
        <w:rPr>
          <w:rFonts w:eastAsia="Arial"/>
        </w:rPr>
        <w:t>0</w:t>
      </w:r>
      <w:r w:rsidRPr="00371DF5">
        <w:rPr>
          <w:rFonts w:eastAsia="Arial"/>
        </w:rPr>
        <w:t xml:space="preserve">3. </w:t>
      </w:r>
      <w:r w:rsidRPr="00371DF5">
        <w:rPr>
          <w:rFonts w:eastAsia="Arial"/>
        </w:rPr>
        <w:tab/>
        <w:t>School Endorsement Letter</w:t>
      </w:r>
      <w:bookmarkStart w:id="1" w:name="_Hlk154670198"/>
      <w:r>
        <w:rPr>
          <w:rFonts w:eastAsia="Arial"/>
        </w:rPr>
        <w:t>–</w:t>
      </w:r>
      <w:bookmarkEnd w:id="1"/>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4F1CD482" w14:textId="77777777">
      <w:pPr>
        <w:pStyle w:val="TOC2"/>
        <w:rPr>
          <w:rFonts w:eastAsia="Arial"/>
        </w:rPr>
      </w:pPr>
      <w:r w:rsidRPr="00371DF5">
        <w:rPr>
          <w:rFonts w:eastAsia="Arial"/>
        </w:rPr>
        <w:t>D</w:t>
      </w:r>
      <w:r>
        <w:rPr>
          <w:rFonts w:eastAsia="Arial"/>
        </w:rPr>
        <w:t>0</w:t>
      </w:r>
      <w:r w:rsidRPr="00371DF5">
        <w:rPr>
          <w:rFonts w:eastAsia="Arial"/>
        </w:rPr>
        <w:t xml:space="preserve">4. </w:t>
      </w:r>
      <w:r w:rsidRPr="00371DF5">
        <w:rPr>
          <w:rFonts w:eastAsia="Arial"/>
        </w:rPr>
        <w:tab/>
        <w:t>Parent (Household) Advance Letter</w:t>
      </w:r>
      <w:r>
        <w:rPr>
          <w:rFonts w:eastAsia="Arial"/>
        </w:rPr>
        <w:t>–</w:t>
      </w:r>
      <w:r w:rsidRPr="00371DF5">
        <w:rPr>
          <w:rFonts w:eastAsia="Arial"/>
        </w:rPr>
        <w:t>English</w:t>
      </w:r>
      <w:r>
        <w:rPr>
          <w:rFonts w:eastAsia="Arial"/>
        </w:rPr>
        <w:t xml:space="preserve"> </w:t>
      </w:r>
      <w:r w:rsidRPr="00371DF5">
        <w:rPr>
          <w:rFonts w:eastAsia="Arial"/>
        </w:rPr>
        <w:t>(Group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20116A60" w14:textId="77777777">
      <w:pPr>
        <w:pStyle w:val="TOC2"/>
        <w:rPr>
          <w:rFonts w:eastAsia="Arial"/>
        </w:rPr>
      </w:pPr>
      <w:r w:rsidRPr="00371DF5">
        <w:rPr>
          <w:rFonts w:eastAsia="Arial"/>
        </w:rPr>
        <w:t>D</w:t>
      </w:r>
      <w:r>
        <w:rPr>
          <w:rFonts w:eastAsia="Arial"/>
        </w:rPr>
        <w:t>0</w:t>
      </w:r>
      <w:r w:rsidRPr="00371DF5">
        <w:rPr>
          <w:rFonts w:eastAsia="Arial"/>
        </w:rPr>
        <w:t xml:space="preserve">5. </w:t>
      </w:r>
      <w:r w:rsidRPr="00371DF5">
        <w:rPr>
          <w:rFonts w:eastAsia="Arial"/>
        </w:rPr>
        <w:tab/>
        <w:t>Parent (Household) Advance Letter</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572AB4F9" w14:textId="77777777">
      <w:pPr>
        <w:pStyle w:val="TOC2"/>
      </w:pPr>
      <w:r w:rsidRPr="00371DF5">
        <w:rPr>
          <w:rFonts w:eastAsia="Arial"/>
        </w:rPr>
        <w:t>D</w:t>
      </w:r>
      <w:r>
        <w:rPr>
          <w:rFonts w:eastAsia="Arial"/>
        </w:rPr>
        <w:t>0</w:t>
      </w:r>
      <w:r w:rsidRPr="00371DF5">
        <w:rPr>
          <w:rFonts w:eastAsia="Arial"/>
        </w:rPr>
        <w:t xml:space="preserve">6. </w:t>
      </w:r>
      <w:r w:rsidRPr="00371DF5">
        <w:rPr>
          <w:rFonts w:eastAsia="Arial"/>
        </w:rPr>
        <w:tab/>
        <w:t>Household Brochure</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1C6D94F8" w14:textId="77777777">
      <w:pPr>
        <w:pStyle w:val="TOC2"/>
      </w:pPr>
      <w:r w:rsidRPr="00371DF5">
        <w:rPr>
          <w:rFonts w:eastAsia="Arial"/>
        </w:rPr>
        <w:t>D</w:t>
      </w:r>
      <w:r>
        <w:rPr>
          <w:rFonts w:eastAsia="Arial"/>
        </w:rPr>
        <w:t>0</w:t>
      </w:r>
      <w:r w:rsidRPr="00371DF5">
        <w:rPr>
          <w:rFonts w:eastAsia="Arial"/>
        </w:rPr>
        <w:t xml:space="preserve">7. </w:t>
      </w:r>
      <w:r w:rsidRPr="00371DF5">
        <w:rPr>
          <w:rFonts w:eastAsia="Arial"/>
        </w:rPr>
        <w:tab/>
        <w:t>Household Brochure</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32F89FC6" w14:textId="77777777">
      <w:pPr>
        <w:pStyle w:val="TOC2"/>
        <w:rPr>
          <w:rFonts w:eastAsia="Arial"/>
        </w:rPr>
      </w:pPr>
      <w:r w:rsidRPr="00371DF5">
        <w:rPr>
          <w:rFonts w:eastAsia="Arial"/>
        </w:rPr>
        <w:t>D</w:t>
      </w:r>
      <w:r>
        <w:rPr>
          <w:rFonts w:eastAsia="Arial"/>
        </w:rPr>
        <w:t>0</w:t>
      </w:r>
      <w:r w:rsidRPr="00371DF5">
        <w:rPr>
          <w:rFonts w:eastAsia="Arial"/>
        </w:rPr>
        <w:t xml:space="preserve">8. </w:t>
      </w:r>
      <w:r w:rsidRPr="00371DF5">
        <w:rPr>
          <w:rFonts w:eastAsia="Arial"/>
        </w:rPr>
        <w:tab/>
        <w:t>Parent Passive Consent Form</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071632D2" w14:textId="77777777">
      <w:pPr>
        <w:pStyle w:val="TOC2"/>
        <w:rPr>
          <w:rFonts w:eastAsia="Arial"/>
        </w:rPr>
      </w:pPr>
      <w:r w:rsidRPr="00371DF5">
        <w:rPr>
          <w:rFonts w:eastAsia="Arial"/>
        </w:rPr>
        <w:t>D</w:t>
      </w:r>
      <w:r>
        <w:rPr>
          <w:rFonts w:eastAsia="Arial"/>
        </w:rPr>
        <w:t>0</w:t>
      </w:r>
      <w:r w:rsidRPr="00371DF5">
        <w:rPr>
          <w:rFonts w:eastAsia="Arial"/>
        </w:rPr>
        <w:t xml:space="preserve">9. </w:t>
      </w:r>
      <w:r w:rsidRPr="00371DF5">
        <w:rPr>
          <w:rFonts w:eastAsia="Arial"/>
        </w:rPr>
        <w:tab/>
        <w:t>Parent Passive Consent Form</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79A84521" w14:textId="77777777">
      <w:pPr>
        <w:pStyle w:val="TOC2"/>
        <w:rPr>
          <w:rFonts w:eastAsia="Arial"/>
        </w:rPr>
      </w:pPr>
      <w:r w:rsidRPr="00371DF5">
        <w:rPr>
          <w:rFonts w:eastAsia="Arial"/>
        </w:rPr>
        <w:t xml:space="preserve">D10. </w:t>
      </w:r>
      <w:r w:rsidRPr="00371DF5">
        <w:rPr>
          <w:rFonts w:eastAsia="Arial"/>
        </w:rPr>
        <w:tab/>
        <w:t>Parent Active Consent Form</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4770EE96" w14:textId="77777777">
      <w:pPr>
        <w:pStyle w:val="TOC2"/>
        <w:rPr>
          <w:rFonts w:eastAsia="Arial"/>
        </w:rPr>
      </w:pPr>
      <w:r w:rsidRPr="00371DF5">
        <w:rPr>
          <w:rFonts w:eastAsia="Arial"/>
        </w:rPr>
        <w:t xml:space="preserve">D11. </w:t>
      </w:r>
      <w:r w:rsidRPr="00371DF5">
        <w:rPr>
          <w:rFonts w:eastAsia="Arial"/>
        </w:rPr>
        <w:tab/>
        <w:t>Parent Active Consent Form</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527DC409" w14:textId="77777777">
      <w:pPr>
        <w:pStyle w:val="TOC2"/>
        <w:rPr>
          <w:rFonts w:eastAsia="Arial"/>
        </w:rPr>
      </w:pPr>
      <w:r w:rsidRPr="00371DF5">
        <w:rPr>
          <w:rFonts w:eastAsia="Arial"/>
        </w:rPr>
        <w:t xml:space="preserve">D12. </w:t>
      </w:r>
      <w:r w:rsidRPr="00371DF5">
        <w:rPr>
          <w:rFonts w:eastAsia="Arial"/>
        </w:rPr>
        <w:tab/>
        <w:t>Student Assent Form</w:t>
      </w:r>
      <w:r>
        <w:rPr>
          <w:rFonts w:eastAsia="Arial"/>
        </w:rPr>
        <w:t>–</w:t>
      </w:r>
      <w:r w:rsidRPr="00371DF5">
        <w:rPr>
          <w:rFonts w:eastAsia="Arial"/>
        </w:rPr>
        <w:t>English (Group</w:t>
      </w:r>
      <w:r>
        <w:rPr>
          <w:rFonts w:eastAsia="Arial"/>
        </w:rPr>
        <w:t>s</w:t>
      </w:r>
      <w:r w:rsidRPr="00371DF5">
        <w:rPr>
          <w:rFonts w:eastAsia="Arial"/>
        </w:rPr>
        <w:t xml:space="preserve"> 2</w:t>
      </w:r>
      <w:r>
        <w:rPr>
          <w:rFonts w:eastAsia="Arial"/>
        </w:rPr>
        <w:t>a and 2b</w:t>
      </w:r>
      <w:r w:rsidRPr="00371DF5">
        <w:rPr>
          <w:rFonts w:eastAsia="Arial"/>
        </w:rPr>
        <w:t>)</w:t>
      </w:r>
    </w:p>
    <w:p w:rsidR="00C029BF" w:rsidP="005F0835" w14:paraId="3DD67B6A" w14:textId="77777777">
      <w:pPr>
        <w:pStyle w:val="TOC2"/>
        <w:rPr>
          <w:rFonts w:eastAsia="Arial"/>
        </w:rPr>
      </w:pPr>
      <w:r w:rsidRPr="00371DF5">
        <w:rPr>
          <w:rFonts w:eastAsia="Arial"/>
        </w:rPr>
        <w:t xml:space="preserve">D13. </w:t>
      </w:r>
      <w:r w:rsidRPr="00371DF5">
        <w:rPr>
          <w:rFonts w:eastAsia="Arial"/>
        </w:rPr>
        <w:tab/>
        <w:t>Student Assent Form</w:t>
      </w:r>
      <w:r>
        <w:rPr>
          <w:rFonts w:eastAsia="Arial"/>
        </w:rPr>
        <w:t>–</w:t>
      </w:r>
      <w:r w:rsidRPr="00371DF5">
        <w:rPr>
          <w:rFonts w:eastAsia="Arial"/>
        </w:rPr>
        <w:t>Spanish (Group</w:t>
      </w:r>
      <w:r>
        <w:rPr>
          <w:rFonts w:eastAsia="Arial"/>
        </w:rPr>
        <w:t>s</w:t>
      </w:r>
      <w:r w:rsidRPr="00371DF5">
        <w:rPr>
          <w:rFonts w:eastAsia="Arial"/>
        </w:rPr>
        <w:t xml:space="preserve"> 2</w:t>
      </w:r>
      <w:r>
        <w:rPr>
          <w:rFonts w:eastAsia="Arial"/>
        </w:rPr>
        <w:t>a and 2b</w:t>
      </w:r>
      <w:r w:rsidRPr="00371DF5">
        <w:rPr>
          <w:rFonts w:eastAsia="Arial"/>
        </w:rPr>
        <w:t>)</w:t>
      </w:r>
    </w:p>
    <w:p w:rsidR="00C029BF" w:rsidRPr="00371DF5" w:rsidP="005F0835" w14:paraId="68496BCB" w14:textId="77777777">
      <w:pPr>
        <w:pStyle w:val="TOC8"/>
      </w:pPr>
      <w:r>
        <w:t xml:space="preserve">E. outlying areas recruitment </w:t>
      </w:r>
      <w:r w:rsidRPr="00371DF5">
        <w:t xml:space="preserve">Materials </w:t>
      </w:r>
    </w:p>
    <w:p w:rsidR="00C029BF" w:rsidP="005F0835" w14:paraId="63B9463A" w14:textId="77777777">
      <w:pPr>
        <w:pStyle w:val="TOC2"/>
      </w:pPr>
      <w:r>
        <w:t>E01.</w:t>
      </w:r>
      <w:r>
        <w:tab/>
        <w:t>Outlying Areas</w:t>
      </w:r>
      <w:r w:rsidRPr="009D2E8A">
        <w:t xml:space="preserve"> Overview</w:t>
      </w:r>
      <w:r>
        <w:t xml:space="preserve"> (</w:t>
      </w:r>
      <w:r w:rsidRPr="00A30BC8">
        <w:t>Full and Limited Outlying Areas)</w:t>
      </w:r>
    </w:p>
    <w:p w:rsidR="00C029BF" w:rsidP="005F0835" w14:paraId="55C80619" w14:textId="77777777">
      <w:pPr>
        <w:pStyle w:val="TOC2"/>
      </w:pPr>
      <w:r>
        <w:t>E02.</w:t>
      </w:r>
      <w:r>
        <w:tab/>
        <w:t>S</w:t>
      </w:r>
      <w:r w:rsidRPr="00D943D6">
        <w:t>tate CN Director Study Introduction and Data Request Email</w:t>
      </w:r>
      <w:r>
        <w:t xml:space="preserve"> (</w:t>
      </w:r>
      <w:r w:rsidRPr="00A30BC8">
        <w:t>Full and Limited Outlying Areas)</w:t>
      </w:r>
    </w:p>
    <w:p w:rsidR="00C029BF" w:rsidP="005F0835" w14:paraId="759EBD8D" w14:textId="77777777">
      <w:pPr>
        <w:pStyle w:val="TOC2"/>
      </w:pPr>
      <w:r>
        <w:t xml:space="preserve">E03. </w:t>
      </w:r>
      <w:r>
        <w:tab/>
      </w:r>
      <w:r w:rsidRPr="00A31B79">
        <w:t xml:space="preserve">SFA Director Sample Notification Email from State CN Director </w:t>
      </w:r>
      <w:r>
        <w:t>(</w:t>
      </w:r>
      <w:r w:rsidRPr="00A30BC8">
        <w:t>Full and Limited Outlying Areas)</w:t>
      </w:r>
    </w:p>
    <w:p w:rsidR="00C029BF" w:rsidP="005F0835" w14:paraId="65DACD92" w14:textId="77777777">
      <w:pPr>
        <w:pStyle w:val="TOC2"/>
      </w:pPr>
      <w:r>
        <w:t xml:space="preserve">E04. </w:t>
      </w:r>
      <w:r>
        <w:tab/>
      </w:r>
      <w:r w:rsidRPr="00352CC3">
        <w:t>SFA Director Recruitment Advance Letter</w:t>
      </w:r>
      <w:r>
        <w:t>/Email</w:t>
      </w:r>
      <w:r w:rsidRPr="00352CC3">
        <w:t xml:space="preserve"> </w:t>
      </w:r>
      <w:r>
        <w:t>(</w:t>
      </w:r>
      <w:r w:rsidRPr="00A30BC8">
        <w:t>Full and Limited Outlying Areas)</w:t>
      </w:r>
    </w:p>
    <w:p w:rsidR="00C029BF" w:rsidP="005F0835" w14:paraId="160D43EA" w14:textId="77777777">
      <w:pPr>
        <w:pStyle w:val="TOC2"/>
      </w:pPr>
      <w:r>
        <w:t>E05.</w:t>
      </w:r>
      <w:r w:rsidRPr="00770599">
        <w:t xml:space="preserve"> </w:t>
      </w:r>
      <w:r>
        <w:tab/>
      </w:r>
      <w:r w:rsidRPr="00B95154">
        <w:t xml:space="preserve">SFA Post-Planning Email </w:t>
      </w:r>
      <w:r>
        <w:t>(</w:t>
      </w:r>
      <w:r w:rsidRPr="00A30BC8">
        <w:t>Full and Limited Outlying Areas)</w:t>
      </w:r>
    </w:p>
    <w:p w:rsidR="00C029BF" w:rsidP="005F0835" w14:paraId="15F334BD" w14:textId="77777777">
      <w:pPr>
        <w:pStyle w:val="TOC2"/>
      </w:pPr>
      <w:r>
        <w:t>E06.</w:t>
      </w:r>
      <w:r>
        <w:tab/>
      </w:r>
      <w:r w:rsidRPr="00526261">
        <w:t>Principal Introduction Letter to Schools</w:t>
      </w:r>
      <w:r>
        <w:t xml:space="preserve"> (</w:t>
      </w:r>
      <w:r w:rsidRPr="00A30BC8">
        <w:t>Full Outlying Areas)</w:t>
      </w:r>
    </w:p>
    <w:p w:rsidR="00C029BF" w:rsidP="005F0835" w14:paraId="2E3AEA23" w14:textId="77777777">
      <w:pPr>
        <w:pStyle w:val="TOC2"/>
      </w:pPr>
      <w:r>
        <w:t>E07.</w:t>
      </w:r>
      <w:r>
        <w:tab/>
      </w:r>
      <w:r w:rsidRPr="007C5DAC">
        <w:t>SNM Introduction Letter</w:t>
      </w:r>
      <w:r>
        <w:t xml:space="preserve"> (</w:t>
      </w:r>
      <w:r w:rsidRPr="00A30BC8">
        <w:t>Full Outlying Areas)</w:t>
      </w:r>
    </w:p>
    <w:p w:rsidR="00C029BF" w:rsidP="005F0835" w14:paraId="25351263" w14:textId="77777777">
      <w:pPr>
        <w:pStyle w:val="TOC2"/>
      </w:pPr>
      <w:r>
        <w:t>E08.</w:t>
      </w:r>
      <w:r>
        <w:tab/>
      </w:r>
      <w:r w:rsidRPr="00603644">
        <w:t>Pre-Target Week Reminder Email</w:t>
      </w:r>
      <w:r>
        <w:t xml:space="preserve"> (</w:t>
      </w:r>
      <w:r w:rsidRPr="00A30BC8">
        <w:t>Full and Limited Outlying Areas)</w:t>
      </w:r>
    </w:p>
    <w:p w:rsidR="00C029BF" w:rsidP="005F0835" w14:paraId="000F395C" w14:textId="77777777">
      <w:pPr>
        <w:pStyle w:val="TOC2"/>
      </w:pPr>
      <w:r>
        <w:t>E09.</w:t>
      </w:r>
      <w:r>
        <w:tab/>
      </w:r>
      <w:r w:rsidRPr="00FB3D9B">
        <w:t>Recruiting Call Script</w:t>
      </w:r>
      <w:r>
        <w:t>–Spanish (</w:t>
      </w:r>
      <w:r w:rsidRPr="00CC5FFB">
        <w:t>Limited Outlying Areas)</w:t>
      </w:r>
    </w:p>
    <w:p w:rsidR="00C029BF" w:rsidRPr="000B3B09" w:rsidP="005F0835" w14:paraId="63182648" w14:textId="77777777">
      <w:pPr>
        <w:pStyle w:val="TOC2"/>
      </w:pPr>
      <w:r>
        <w:t>E10.</w:t>
      </w:r>
      <w:r>
        <w:tab/>
      </w:r>
      <w:r w:rsidRPr="000E1159">
        <w:t>Study Webinar Invitation and Webinar</w:t>
      </w:r>
      <w:r>
        <w:t>–Spanish (</w:t>
      </w:r>
      <w:r w:rsidRPr="00CC5FFB">
        <w:t>Limited Outlying Areas)</w:t>
      </w:r>
    </w:p>
    <w:p w:rsidR="00C029BF" w:rsidP="005F0835" w14:paraId="30818A46" w14:textId="77777777">
      <w:pPr>
        <w:pStyle w:val="TOC2"/>
      </w:pPr>
      <w:r>
        <w:t>E11.</w:t>
      </w:r>
      <w:r>
        <w:tab/>
      </w:r>
      <w:r w:rsidRPr="00596BE3">
        <w:t>SFA Director Planning Interview</w:t>
      </w:r>
      <w:r>
        <w:t>–Spanish (</w:t>
      </w:r>
      <w:r w:rsidRPr="00CC5FFB">
        <w:t>Limited Outlying Areas)</w:t>
      </w:r>
    </w:p>
    <w:p w:rsidR="00C029BF" w:rsidP="005F0835" w14:paraId="74A2790B" w14:textId="77777777">
      <w:pPr>
        <w:pStyle w:val="TOC2"/>
      </w:pPr>
      <w:r>
        <w:t>E12.</w:t>
      </w:r>
      <w:r>
        <w:tab/>
      </w:r>
      <w:r w:rsidRPr="00A91B09">
        <w:t>Data Collection Activities and Respondents</w:t>
      </w:r>
      <w:r>
        <w:t>–Spanish (</w:t>
      </w:r>
      <w:r w:rsidRPr="00CC5FFB">
        <w:t>Limited Outlying Areas)</w:t>
      </w:r>
    </w:p>
    <w:p w:rsidR="00C029BF" w:rsidP="005F0835" w14:paraId="180A7E21" w14:textId="77777777">
      <w:pPr>
        <w:pStyle w:val="TOC2"/>
      </w:pPr>
      <w:r>
        <w:t>E13.</w:t>
      </w:r>
      <w:r>
        <w:tab/>
      </w:r>
      <w:r w:rsidRPr="00C272DC">
        <w:t>State CN Director Study Introduction and Data Request Email</w:t>
      </w:r>
      <w:r>
        <w:t>–Spanish (</w:t>
      </w:r>
      <w:r w:rsidRPr="00CC5FFB">
        <w:t>Limited Outlying Areas)</w:t>
      </w:r>
    </w:p>
    <w:p w:rsidR="00C029BF" w:rsidP="005F0835" w14:paraId="65957773" w14:textId="77777777">
      <w:pPr>
        <w:pStyle w:val="TOC2"/>
      </w:pPr>
      <w:r>
        <w:t>E14.</w:t>
      </w:r>
      <w:r>
        <w:tab/>
        <w:t>Outlying Areas</w:t>
      </w:r>
      <w:r w:rsidRPr="00DA7961">
        <w:t xml:space="preserve"> Overview</w:t>
      </w:r>
      <w:r>
        <w:t>–Spanish (</w:t>
      </w:r>
      <w:r w:rsidRPr="00CC5FFB">
        <w:t>Limited Outlying Areas)</w:t>
      </w:r>
    </w:p>
    <w:p w:rsidR="00C029BF" w:rsidP="005F0835" w14:paraId="32147136" w14:textId="77777777">
      <w:pPr>
        <w:pStyle w:val="TOC2"/>
      </w:pPr>
      <w:r>
        <w:t>E15.</w:t>
      </w:r>
      <w:r>
        <w:tab/>
      </w:r>
      <w:r w:rsidRPr="0050507E">
        <w:t>SFA Director Sample Notification Email from State CN Director</w:t>
      </w:r>
      <w:r>
        <w:t>–Spanish (</w:t>
      </w:r>
      <w:r w:rsidRPr="00CC5FFB">
        <w:t>Limited Outlying Areas)</w:t>
      </w:r>
    </w:p>
    <w:p w:rsidR="00C029BF" w:rsidP="005F0835" w14:paraId="5547F6D0" w14:textId="77777777">
      <w:pPr>
        <w:pStyle w:val="TOC2"/>
      </w:pPr>
      <w:r>
        <w:t>E16.</w:t>
      </w:r>
      <w:r>
        <w:tab/>
      </w:r>
      <w:r w:rsidRPr="004B259E">
        <w:t>SFA Director Recruitment Advance Letter</w:t>
      </w:r>
      <w:r>
        <w:t>/Email–Spanish (</w:t>
      </w:r>
      <w:r w:rsidRPr="00CC5FFB">
        <w:t>Limited Outlying Areas)</w:t>
      </w:r>
    </w:p>
    <w:p w:rsidR="00C029BF" w:rsidP="005F0835" w14:paraId="44D46D5E" w14:textId="77777777">
      <w:pPr>
        <w:pStyle w:val="TOC2"/>
      </w:pPr>
      <w:r>
        <w:t>E17.</w:t>
      </w:r>
      <w:r>
        <w:tab/>
      </w:r>
      <w:r w:rsidRPr="00254E29">
        <w:t>Pre-Target Week Reminder Email</w:t>
      </w:r>
      <w:r>
        <w:t>–Spanish (</w:t>
      </w:r>
      <w:r w:rsidRPr="00CC5FFB">
        <w:t>Limited Outlying Areas)</w:t>
      </w:r>
    </w:p>
    <w:p w:rsidR="00C029BF" w:rsidRPr="003B3177" w:rsidP="005F0835" w14:paraId="247486E4" w14:textId="77777777">
      <w:pPr>
        <w:pStyle w:val="TOC2"/>
      </w:pPr>
      <w:r>
        <w:t>E18.</w:t>
      </w:r>
      <w:r>
        <w:tab/>
      </w:r>
      <w:r w:rsidRPr="0063029A">
        <w:t>SFA Post-Planning Email</w:t>
      </w:r>
      <w:r>
        <w:t>–Spanish (</w:t>
      </w:r>
      <w:r w:rsidRPr="00CC5FFB">
        <w:t>Limited Outlying Areas)</w:t>
      </w:r>
    </w:p>
    <w:p w:rsidR="00C029BF" w:rsidP="005F0835" w14:paraId="2567A734" w14:textId="77777777">
      <w:pPr>
        <w:pStyle w:val="TOC8"/>
      </w:pPr>
      <w:r>
        <w:t>F</w:t>
      </w:r>
      <w:r w:rsidRPr="00371DF5">
        <w:t>.</w:t>
      </w:r>
      <w:r>
        <w:t xml:space="preserve"> survey instruments and contact materials</w:t>
      </w:r>
    </w:p>
    <w:p w:rsidR="00C029BF" w:rsidP="005F0835" w14:paraId="14864F95" w14:textId="77777777">
      <w:pPr>
        <w:pStyle w:val="TOC2"/>
      </w:pPr>
      <w:r>
        <w:t>F01.01</w:t>
      </w:r>
      <w:r>
        <w:tab/>
      </w:r>
      <w:r w:rsidRPr="00B17149">
        <w:t>SFPS Quarterly Program Data Form and Food Purchase Data Request Email</w:t>
      </w:r>
      <w:r>
        <w:t xml:space="preserve"> (Groups 1a and 1b)</w:t>
      </w:r>
    </w:p>
    <w:p w:rsidR="00C029BF" w:rsidP="005F0835" w14:paraId="7FA7CADC" w14:textId="77777777">
      <w:pPr>
        <w:pStyle w:val="TOC2"/>
      </w:pPr>
      <w:r>
        <w:t>F01.02</w:t>
      </w:r>
      <w:r>
        <w:tab/>
      </w:r>
      <w:r w:rsidRPr="00771EA0">
        <w:t>SFPS Food Purchase Data Checklist</w:t>
      </w:r>
      <w:r>
        <w:t xml:space="preserve"> (Groups 1a and 1b)</w:t>
      </w:r>
    </w:p>
    <w:p w:rsidR="00C029BF" w:rsidP="005F0835" w14:paraId="631E61EA" w14:textId="77777777">
      <w:pPr>
        <w:pStyle w:val="TOC2"/>
      </w:pPr>
      <w:r>
        <w:t>F01.03</w:t>
      </w:r>
      <w:r>
        <w:tab/>
      </w:r>
      <w:r w:rsidRPr="00203C98">
        <w:t>SFPS Quarterly Program Data Form</w:t>
      </w:r>
      <w:r>
        <w:t xml:space="preserve"> (Groups 1a and 1b)</w:t>
      </w:r>
    </w:p>
    <w:p w:rsidR="00C029BF" w:rsidP="005F0835" w14:paraId="1F9F41ED" w14:textId="77777777">
      <w:pPr>
        <w:pStyle w:val="TOC2"/>
      </w:pPr>
      <w:r>
        <w:t>F01.04</w:t>
      </w:r>
      <w:r>
        <w:tab/>
      </w:r>
      <w:r w:rsidRPr="00F07971">
        <w:t>SFPS SFA Year-End Follow-Up Survey Specifications</w:t>
      </w:r>
      <w:r>
        <w:t xml:space="preserve"> (Groups 1a and 1b)</w:t>
      </w:r>
    </w:p>
    <w:p w:rsidR="00C029BF" w:rsidP="005F0835" w14:paraId="3BB0D480" w14:textId="77777777">
      <w:pPr>
        <w:pStyle w:val="TOC2"/>
      </w:pPr>
      <w:r>
        <w:t>F01.05</w:t>
      </w:r>
      <w:r>
        <w:tab/>
      </w:r>
      <w:r w:rsidRPr="00447F9D">
        <w:t>Request to SDAs to Submit USDA Foods Data</w:t>
      </w:r>
      <w:r>
        <w:t xml:space="preserve"> (Groups 1a, 1b, and 3)</w:t>
      </w:r>
    </w:p>
    <w:p w:rsidR="00C029BF" w:rsidP="005F0835" w14:paraId="09D4FD35" w14:textId="77777777">
      <w:pPr>
        <w:pStyle w:val="TOC2"/>
      </w:pPr>
      <w:r>
        <w:t>F01.06  SFPS</w:t>
      </w:r>
      <w:r>
        <w:t xml:space="preserve"> Quarterly Reminder Email (Groups 1a and 1b)</w:t>
      </w:r>
    </w:p>
    <w:p w:rsidR="00C029BF" w:rsidP="005F0835" w14:paraId="4B029167" w14:textId="77777777">
      <w:pPr>
        <w:pStyle w:val="TOC2"/>
      </w:pPr>
      <w:r>
        <w:t>F01.07</w:t>
      </w:r>
      <w:r>
        <w:tab/>
        <w:t>SFPS Telephone Script for Quarterly Data Clarifications and Confirmation (Groups 1a and 1b)</w:t>
      </w:r>
    </w:p>
    <w:p w:rsidR="00C029BF" w:rsidP="005F0835" w14:paraId="3C90EA45" w14:textId="77777777">
      <w:pPr>
        <w:pStyle w:val="TOC2"/>
      </w:pPr>
      <w:r>
        <w:t>F01.08</w:t>
      </w:r>
      <w:r>
        <w:tab/>
      </w:r>
      <w:r w:rsidRPr="00F74BF5">
        <w:t>SFPS Reminder Call Scripts to Collect Quarterly and Program Data</w:t>
      </w:r>
      <w:r>
        <w:t xml:space="preserve"> (Groups 1a and 1b)</w:t>
      </w:r>
    </w:p>
    <w:p w:rsidR="00C029BF" w:rsidP="005F0835" w14:paraId="1E782858" w14:textId="77777777">
      <w:pPr>
        <w:pStyle w:val="TOC2"/>
      </w:pPr>
      <w:r>
        <w:t>F01.09</w:t>
      </w:r>
      <w:r>
        <w:tab/>
        <w:t>S</w:t>
      </w:r>
      <w:r w:rsidRPr="00D826BD">
        <w:t>FPS SFA Year-End Follow-Up Survey Invitation</w:t>
      </w:r>
      <w:r>
        <w:t xml:space="preserve"> (Groups 1a and 1b)</w:t>
      </w:r>
    </w:p>
    <w:p w:rsidR="00C029BF" w:rsidP="005F0835" w14:paraId="02B07231" w14:textId="77777777">
      <w:pPr>
        <w:pStyle w:val="TOC2"/>
      </w:pPr>
      <w:r>
        <w:t>F01.10</w:t>
      </w:r>
      <w:r>
        <w:tab/>
      </w:r>
      <w:r w:rsidRPr="00604E39">
        <w:t>SFPS Overview of USDA Foods Data</w:t>
      </w:r>
      <w:r>
        <w:t xml:space="preserve"> (Groups 1a and 1b)</w:t>
      </w:r>
    </w:p>
    <w:p w:rsidR="00C029BF" w:rsidP="005F0835" w14:paraId="46197A72" w14:textId="77777777">
      <w:pPr>
        <w:pStyle w:val="TOC2"/>
      </w:pPr>
      <w:r>
        <w:t>F01.11</w:t>
      </w:r>
      <w:r>
        <w:tab/>
      </w:r>
      <w:r w:rsidRPr="003534AD">
        <w:t>SFPS Reminder Email for USDA Foods Data</w:t>
      </w:r>
      <w:r>
        <w:t xml:space="preserve"> (Groups 1a and 1b)</w:t>
      </w:r>
    </w:p>
    <w:p w:rsidR="00C029BF" w:rsidP="005F0835" w14:paraId="5A7B4D8B" w14:textId="77777777">
      <w:pPr>
        <w:pStyle w:val="TOC2"/>
      </w:pPr>
      <w:r>
        <w:t>F01.12</w:t>
      </w:r>
      <w:r>
        <w:tab/>
      </w:r>
      <w:r w:rsidRPr="00C40508">
        <w:t>SFPS Reminder Script to Collect USDA Foods Data</w:t>
      </w:r>
      <w:r>
        <w:t xml:space="preserve"> (Groups 1a and 1b)</w:t>
      </w:r>
    </w:p>
    <w:p w:rsidR="00C029BF" w:rsidRPr="00A967E9" w:rsidP="005F0835" w14:paraId="475AAE14" w14:textId="77777777">
      <w:pPr>
        <w:pStyle w:val="TOC2"/>
      </w:pPr>
      <w:r>
        <w:t>F02.01</w:t>
      </w:r>
      <w:r>
        <w:tab/>
        <w:t xml:space="preserve">Menu Survey (Groups 2a, 3, and </w:t>
      </w:r>
      <w:r w:rsidRPr="00A30BC8">
        <w:t>Full Outlying Areas)</w:t>
      </w:r>
    </w:p>
    <w:p w:rsidR="00C029BF" w:rsidRPr="002E1B00" w:rsidP="00CE7E37" w14:paraId="7CD51445" w14:textId="77777777">
      <w:pPr>
        <w:spacing w:line="360" w:lineRule="auto"/>
        <w:ind w:left="810" w:hanging="90"/>
        <w:rPr>
          <w:rFonts w:ascii="Arial" w:eastAsia="Arial" w:hAnsi="Arial" w:cs="Arial"/>
          <w:sz w:val="20"/>
          <w:szCs w:val="20"/>
        </w:rPr>
      </w:pPr>
      <w:r w:rsidRPr="46CD267E">
        <w:rPr>
          <w:rFonts w:ascii="Arial" w:eastAsia="Arial" w:hAnsi="Arial" w:cs="Arial"/>
          <w:sz w:val="20"/>
          <w:szCs w:val="20"/>
        </w:rPr>
        <w:t>F02.</w:t>
      </w:r>
      <w:r w:rsidRPr="0A2DF053">
        <w:rPr>
          <w:rFonts w:ascii="Arial" w:eastAsia="Arial" w:hAnsi="Arial" w:cs="Arial"/>
          <w:sz w:val="20"/>
          <w:szCs w:val="20"/>
        </w:rPr>
        <w:t>02</w:t>
      </w:r>
      <w:r w:rsidRPr="46CD267E">
        <w:rPr>
          <w:rFonts w:ascii="Arial" w:eastAsia="Arial" w:hAnsi="Arial" w:cs="Arial"/>
          <w:sz w:val="20"/>
          <w:szCs w:val="20"/>
        </w:rPr>
        <w:t xml:space="preserve"> Menu Survey (Group Limited Outlying Areas)</w:t>
      </w:r>
    </w:p>
    <w:p w:rsidR="00C029BF" w:rsidP="005F0835" w14:paraId="1577A78F" w14:textId="77777777">
      <w:pPr>
        <w:pStyle w:val="TOC2"/>
      </w:pPr>
      <w:r>
        <w:t>F02.03</w:t>
      </w:r>
      <w:r>
        <w:tab/>
      </w:r>
      <w:r w:rsidRPr="002326D5">
        <w:t>Fruit and Vegetable Questions and Meal Pattern Crediting Report</w:t>
      </w:r>
      <w:r>
        <w:t xml:space="preserve"> (Groups 2a and 3)</w:t>
      </w:r>
    </w:p>
    <w:p w:rsidR="00C029BF" w:rsidP="005F0835" w14:paraId="2A63E29B" w14:textId="77777777">
      <w:pPr>
        <w:pStyle w:val="TOC2"/>
      </w:pPr>
      <w:r>
        <w:t>F02.04</w:t>
      </w:r>
      <w:r>
        <w:tab/>
      </w:r>
      <w:r w:rsidRPr="00817535">
        <w:t>F</w:t>
      </w:r>
      <w:r>
        <w:t>F</w:t>
      </w:r>
      <w:r w:rsidRPr="00817535">
        <w:t>VP Menu Survey</w:t>
      </w:r>
      <w:r>
        <w:t xml:space="preserve"> (Group 2b)</w:t>
      </w:r>
    </w:p>
    <w:p w:rsidR="00C029BF" w:rsidP="005F0835" w14:paraId="54F91CFD" w14:textId="77777777">
      <w:pPr>
        <w:pStyle w:val="TOC2"/>
        <w:rPr>
          <w:rFonts w:eastAsia="Arial"/>
        </w:rPr>
      </w:pPr>
      <w:r>
        <w:t>F03.01</w:t>
      </w:r>
      <w:r>
        <w:tab/>
        <w:t xml:space="preserve">SFA Director Survey </w:t>
      </w:r>
      <w:r w:rsidRPr="216D72E0">
        <w:rPr>
          <w:rFonts w:eastAsia="Arial"/>
        </w:rPr>
        <w:t>(Groups 1a, 1b, 1c, 2a, and 3)</w:t>
      </w:r>
    </w:p>
    <w:p w:rsidR="00C029BF" w:rsidP="005F0835" w14:paraId="73D9F717" w14:textId="77777777">
      <w:pPr>
        <w:pStyle w:val="TOC2"/>
      </w:pPr>
      <w:r>
        <w:t>F03.02</w:t>
      </w:r>
      <w:r>
        <w:tab/>
        <w:t>S</w:t>
      </w:r>
      <w:r w:rsidRPr="00A81520">
        <w:t>FA Director Survey Advance Letter</w:t>
      </w:r>
      <w:r>
        <w:t>/Email (Group 1c)</w:t>
      </w:r>
    </w:p>
    <w:p w:rsidR="00C029BF" w:rsidP="005F0835" w14:paraId="0BE91DC0" w14:textId="77777777">
      <w:pPr>
        <w:pStyle w:val="TOC2"/>
      </w:pPr>
      <w:r>
        <w:t>F03.03</w:t>
      </w:r>
      <w:r>
        <w:tab/>
      </w:r>
      <w:r w:rsidRPr="009C63A4">
        <w:t>SFA Director and Principal Email Invitation</w:t>
      </w:r>
      <w:r>
        <w:t xml:space="preserve"> </w:t>
      </w:r>
      <w:r w:rsidRPr="00371DF5">
        <w:rPr>
          <w:rFonts w:eastAsia="Arial"/>
        </w:rPr>
        <w:t>(Groups 1</w:t>
      </w:r>
      <w:r>
        <w:rPr>
          <w:rFonts w:eastAsia="Arial"/>
        </w:rPr>
        <w:t>a</w:t>
      </w:r>
      <w:r w:rsidRPr="00371DF5">
        <w:rPr>
          <w:rFonts w:eastAsia="Arial"/>
        </w:rPr>
        <w:t xml:space="preserve">, </w:t>
      </w:r>
      <w:r>
        <w:rPr>
          <w:rFonts w:eastAsia="Arial"/>
        </w:rPr>
        <w:t xml:space="preserve">1b, </w:t>
      </w:r>
      <w:r w:rsidRPr="00371DF5">
        <w:rPr>
          <w:rFonts w:eastAsia="Arial"/>
        </w:rPr>
        <w:t>2</w:t>
      </w:r>
      <w:r>
        <w:rPr>
          <w:rFonts w:eastAsia="Arial"/>
        </w:rPr>
        <w:t>a,</w:t>
      </w:r>
      <w:r w:rsidRPr="00371DF5">
        <w:rPr>
          <w:rFonts w:eastAsia="Arial"/>
        </w:rPr>
        <w:t xml:space="preserve"> </w:t>
      </w:r>
      <w:r>
        <w:rPr>
          <w:rFonts w:eastAsia="Arial"/>
        </w:rPr>
        <w:t>and</w:t>
      </w:r>
      <w:r w:rsidRPr="00371DF5">
        <w:rPr>
          <w:rFonts w:eastAsia="Arial"/>
        </w:rPr>
        <w:t xml:space="preserve"> 3)</w:t>
      </w:r>
    </w:p>
    <w:p w:rsidR="00C029BF" w:rsidP="005F0835" w14:paraId="092713EA" w14:textId="77777777">
      <w:pPr>
        <w:pStyle w:val="TOC2"/>
      </w:pPr>
      <w:r>
        <w:t>F03.04</w:t>
      </w:r>
      <w:r>
        <w:tab/>
      </w:r>
      <w:r w:rsidRPr="00BA7F36">
        <w:t>SFA Director Survey Email Invitation</w:t>
      </w:r>
      <w:r>
        <w:t xml:space="preserve"> (Group 1c)</w:t>
      </w:r>
    </w:p>
    <w:p w:rsidR="00C029BF" w:rsidP="005F0835" w14:paraId="3B339E39" w14:textId="77777777">
      <w:pPr>
        <w:pStyle w:val="TOC2"/>
      </w:pPr>
      <w:r>
        <w:t>F03.05</w:t>
      </w:r>
      <w:r>
        <w:tab/>
        <w:t>S</w:t>
      </w:r>
      <w:r w:rsidRPr="00036D36">
        <w:t>FA Director and Principal Surveys Follow-Up Email</w:t>
      </w:r>
      <w:r>
        <w:t xml:space="preserve"> </w:t>
      </w:r>
      <w:r w:rsidRPr="00371DF5">
        <w:rPr>
          <w:rFonts w:eastAsia="Arial"/>
        </w:rPr>
        <w:t>(Groups 1</w:t>
      </w:r>
      <w:r>
        <w:rPr>
          <w:rFonts w:eastAsia="Arial"/>
        </w:rPr>
        <w:t>a</w:t>
      </w:r>
      <w:r w:rsidRPr="00371DF5">
        <w:rPr>
          <w:rFonts w:eastAsia="Arial"/>
        </w:rPr>
        <w:t xml:space="preserve">, </w:t>
      </w:r>
      <w:r>
        <w:rPr>
          <w:rFonts w:eastAsia="Arial"/>
        </w:rPr>
        <w:t xml:space="preserve">1b, 1c, </w:t>
      </w:r>
      <w:r w:rsidRPr="00371DF5">
        <w:rPr>
          <w:rFonts w:eastAsia="Arial"/>
        </w:rPr>
        <w:t>2</w:t>
      </w:r>
      <w:r>
        <w:rPr>
          <w:rFonts w:eastAsia="Arial"/>
        </w:rPr>
        <w:t>a,</w:t>
      </w:r>
      <w:r w:rsidRPr="00371DF5">
        <w:rPr>
          <w:rFonts w:eastAsia="Arial"/>
        </w:rPr>
        <w:t xml:space="preserve"> </w:t>
      </w:r>
      <w:r>
        <w:rPr>
          <w:rFonts w:eastAsia="Arial"/>
        </w:rPr>
        <w:t>and</w:t>
      </w:r>
      <w:r w:rsidRPr="00371DF5">
        <w:rPr>
          <w:rFonts w:eastAsia="Arial"/>
        </w:rPr>
        <w:t xml:space="preserve"> 3)</w:t>
      </w:r>
    </w:p>
    <w:p w:rsidR="00C029BF" w:rsidP="005F0835" w14:paraId="4649BC9C" w14:textId="77777777">
      <w:pPr>
        <w:pStyle w:val="TOC2"/>
      </w:pPr>
      <w:r>
        <w:t>F03.06</w:t>
      </w:r>
      <w:r>
        <w:tab/>
      </w:r>
      <w:r w:rsidRPr="0081670E">
        <w:t>SFA Director Survey Reminder Call Script</w:t>
      </w:r>
      <w:r>
        <w:t xml:space="preserve"> </w:t>
      </w:r>
      <w:r w:rsidRPr="00371DF5">
        <w:rPr>
          <w:rFonts w:eastAsia="Arial"/>
        </w:rPr>
        <w:t>(Groups 1</w:t>
      </w:r>
      <w:r>
        <w:rPr>
          <w:rFonts w:eastAsia="Arial"/>
        </w:rPr>
        <w:t>a</w:t>
      </w:r>
      <w:r w:rsidRPr="00371DF5">
        <w:rPr>
          <w:rFonts w:eastAsia="Arial"/>
        </w:rPr>
        <w:t xml:space="preserve">, </w:t>
      </w:r>
      <w:r>
        <w:rPr>
          <w:rFonts w:eastAsia="Arial"/>
        </w:rPr>
        <w:t xml:space="preserve">1b, 1c, </w:t>
      </w:r>
      <w:r w:rsidRPr="00371DF5">
        <w:rPr>
          <w:rFonts w:eastAsia="Arial"/>
        </w:rPr>
        <w:t>2</w:t>
      </w:r>
      <w:r>
        <w:rPr>
          <w:rFonts w:eastAsia="Arial"/>
        </w:rPr>
        <w:t>a,</w:t>
      </w:r>
      <w:r w:rsidRPr="00371DF5">
        <w:rPr>
          <w:rFonts w:eastAsia="Arial"/>
        </w:rPr>
        <w:t xml:space="preserve"> </w:t>
      </w:r>
      <w:r>
        <w:rPr>
          <w:rFonts w:eastAsia="Arial"/>
        </w:rPr>
        <w:t>and</w:t>
      </w:r>
      <w:r w:rsidRPr="00371DF5">
        <w:rPr>
          <w:rFonts w:eastAsia="Arial"/>
        </w:rPr>
        <w:t xml:space="preserve"> 3)</w:t>
      </w:r>
    </w:p>
    <w:p w:rsidR="00C029BF" w:rsidP="005F0835" w14:paraId="15D58697" w14:textId="77777777">
      <w:pPr>
        <w:pStyle w:val="TOC2"/>
      </w:pPr>
      <w:r>
        <w:t>F03.07</w:t>
      </w:r>
      <w:r>
        <w:tab/>
        <w:t>Principal Survey (Groups 2a and 3)</w:t>
      </w:r>
    </w:p>
    <w:p w:rsidR="00C029BF" w:rsidP="005F0835" w14:paraId="3B990122" w14:textId="77777777">
      <w:pPr>
        <w:pStyle w:val="TOC2"/>
      </w:pPr>
      <w:r>
        <w:t>F03.08</w:t>
      </w:r>
      <w:r>
        <w:tab/>
      </w:r>
      <w:r w:rsidRPr="00080C4F">
        <w:t>Principal Survey Reminder Call Script</w:t>
      </w:r>
      <w:r>
        <w:t xml:space="preserve"> (Groups 2a and 3)</w:t>
      </w:r>
    </w:p>
    <w:p w:rsidR="00C029BF" w:rsidP="005F0835" w14:paraId="77CD4A9E" w14:textId="77777777">
      <w:pPr>
        <w:pStyle w:val="TOC2"/>
      </w:pPr>
      <w:r>
        <w:t>F04.01</w:t>
      </w:r>
      <w:r>
        <w:tab/>
      </w:r>
      <w:r w:rsidRPr="0025794C">
        <w:t>SNM Survey</w:t>
      </w:r>
      <w:r>
        <w:t xml:space="preserve"> (Groups 2a and 3)</w:t>
      </w:r>
    </w:p>
    <w:p w:rsidR="00C029BF" w:rsidP="005F0835" w14:paraId="19B4845D" w14:textId="77777777">
      <w:pPr>
        <w:pStyle w:val="TOC2"/>
      </w:pPr>
      <w:r>
        <w:t>F04.02</w:t>
      </w:r>
      <w:r>
        <w:tab/>
        <w:t>F</w:t>
      </w:r>
      <w:r w:rsidRPr="001C7152">
        <w:t xml:space="preserve">FVP SNM Survey </w:t>
      </w:r>
      <w:r>
        <w:t>(Group 2b)</w:t>
      </w:r>
    </w:p>
    <w:p w:rsidR="00C029BF" w:rsidP="005F0835" w14:paraId="3D46AC17" w14:textId="77777777">
      <w:pPr>
        <w:pStyle w:val="TOC2"/>
      </w:pPr>
      <w:r>
        <w:t>F05.01</w:t>
      </w:r>
      <w:r>
        <w:tab/>
      </w:r>
      <w:r w:rsidRPr="00903865">
        <w:t xml:space="preserve">State Agency Indirect Cost Survey </w:t>
      </w:r>
      <w:r>
        <w:t xml:space="preserve">(Groups 3 and </w:t>
      </w:r>
      <w:r w:rsidRPr="00A30BC8">
        <w:t>Full Outlying Areas)</w:t>
      </w:r>
    </w:p>
    <w:p w:rsidR="00C029BF" w:rsidP="005F0835" w14:paraId="5B44D30F" w14:textId="77777777">
      <w:pPr>
        <w:pStyle w:val="TOC2"/>
      </w:pPr>
      <w:r>
        <w:t xml:space="preserve">F05.02  </w:t>
      </w:r>
      <w:r w:rsidRPr="003410DA">
        <w:t>SFA</w:t>
      </w:r>
      <w:r w:rsidRPr="003410DA">
        <w:t xml:space="preserve"> On-Site Cost Interview with Reference Guide</w:t>
      </w:r>
      <w:r>
        <w:t xml:space="preserve"> (Groups 3 and </w:t>
      </w:r>
      <w:r w:rsidRPr="00A30BC8">
        <w:t>Full and Limited Outlying Areas)</w:t>
      </w:r>
    </w:p>
    <w:p w:rsidR="00C029BF" w:rsidP="005F0835" w14:paraId="7A61C515" w14:textId="77777777">
      <w:pPr>
        <w:pStyle w:val="TOC2"/>
      </w:pPr>
      <w:r>
        <w:t>F05.03</w:t>
      </w:r>
      <w:r>
        <w:tab/>
      </w:r>
      <w:r w:rsidRPr="00653812">
        <w:t>SFA On-Site Cost Interview with Reference Guide</w:t>
      </w:r>
      <w:r>
        <w:t>–</w:t>
      </w:r>
      <w:r w:rsidRPr="00653812">
        <w:t>Spanish</w:t>
      </w:r>
      <w:r>
        <w:t xml:space="preserve"> (</w:t>
      </w:r>
      <w:r w:rsidRPr="00A30BC8">
        <w:t>Limited Outlying Areas)</w:t>
      </w:r>
    </w:p>
    <w:p w:rsidR="00C029BF" w:rsidP="005F0835" w14:paraId="13D2A048" w14:textId="77777777">
      <w:pPr>
        <w:pStyle w:val="TOC2"/>
      </w:pPr>
      <w:r>
        <w:t>F05.04</w:t>
      </w:r>
      <w:r>
        <w:tab/>
      </w:r>
      <w:r w:rsidRPr="00E97028">
        <w:t>Food Cost Worksheet</w:t>
      </w:r>
      <w:r>
        <w:t xml:space="preserve"> </w:t>
      </w:r>
      <w:r w:rsidRPr="00AA2388">
        <w:t xml:space="preserve">(Groups 3 </w:t>
      </w:r>
      <w:r>
        <w:t>and</w:t>
      </w:r>
      <w:r w:rsidRPr="00AA2388">
        <w:t xml:space="preserve"> Full and Limited Outlying Areas)</w:t>
      </w:r>
    </w:p>
    <w:p w:rsidR="00C029BF" w:rsidP="005F0835" w14:paraId="125BA221" w14:textId="77777777">
      <w:pPr>
        <w:pStyle w:val="TOC2"/>
      </w:pPr>
      <w:r>
        <w:t xml:space="preserve">F05.05 </w:t>
      </w:r>
      <w:r w:rsidRPr="0096436E">
        <w:t>Food Cost Worksheet</w:t>
      </w:r>
      <w:r>
        <w:t>–Spanish (</w:t>
      </w:r>
      <w:r w:rsidRPr="00AA2388">
        <w:t>Limited Outlying Areas</w:t>
      </w:r>
      <w:r>
        <w:t>)</w:t>
      </w:r>
    </w:p>
    <w:p w:rsidR="00C029BF" w:rsidP="005F0835" w14:paraId="606799C3" w14:textId="77777777">
      <w:pPr>
        <w:pStyle w:val="TOC2"/>
      </w:pPr>
      <w:r>
        <w:t>F05.06</w:t>
      </w:r>
      <w:r>
        <w:tab/>
        <w:t>SFA Follow-Up Web Survey (Groups 3 and Full and Limited Outlying Areas)</w:t>
      </w:r>
    </w:p>
    <w:p w:rsidR="00C029BF" w:rsidP="005F0835" w14:paraId="0182BC83" w14:textId="77777777">
      <w:pPr>
        <w:pStyle w:val="TOC2"/>
      </w:pPr>
      <w:r>
        <w:t>F05.07</w:t>
      </w:r>
      <w:r>
        <w:tab/>
        <w:t>SFA Follow-Up Web Survey –Spanish (Limited Outlying Areas)</w:t>
      </w:r>
    </w:p>
    <w:p w:rsidR="00C029BF" w:rsidP="005F0835" w14:paraId="0F86ABEF" w14:textId="77777777">
      <w:pPr>
        <w:pStyle w:val="TOC2"/>
      </w:pPr>
      <w:r>
        <w:t>F05.08</w:t>
      </w:r>
      <w:r>
        <w:tab/>
        <w:t>S</w:t>
      </w:r>
      <w:r w:rsidRPr="00EE33A1">
        <w:t>FA Follow-Up Cost Interview with Reference Guide</w:t>
      </w:r>
      <w:r>
        <w:t xml:space="preserve"> </w:t>
      </w:r>
      <w:r w:rsidRPr="00AA2388">
        <w:t xml:space="preserve">(Groups 3 </w:t>
      </w:r>
      <w:r>
        <w:t>and</w:t>
      </w:r>
      <w:r w:rsidRPr="00AA2388">
        <w:t xml:space="preserve"> Full and Limited Outlying Areas)</w:t>
      </w:r>
    </w:p>
    <w:p w:rsidR="00C029BF" w:rsidP="005F0835" w14:paraId="3C7EA819" w14:textId="77777777">
      <w:pPr>
        <w:pStyle w:val="TOC2"/>
      </w:pPr>
      <w:r>
        <w:t>F05.09</w:t>
      </w:r>
      <w:r>
        <w:tab/>
        <w:t>S</w:t>
      </w:r>
      <w:r w:rsidRPr="00EE1C22">
        <w:t>FA Follow-Up Cost Interview with Reference Guide</w:t>
      </w:r>
      <w:r>
        <w:t>–Spanish (</w:t>
      </w:r>
      <w:r w:rsidRPr="00AA2388">
        <w:t>Limited Outlying Areas)</w:t>
      </w:r>
    </w:p>
    <w:p w:rsidR="00C029BF" w:rsidP="005F0835" w14:paraId="620395DE" w14:textId="77777777">
      <w:pPr>
        <w:pStyle w:val="TOC2"/>
      </w:pPr>
      <w:r>
        <w:t>F05.10</w:t>
      </w:r>
      <w:r>
        <w:tab/>
        <w:t>S</w:t>
      </w:r>
      <w:r w:rsidRPr="00A86BA5">
        <w:t>chool Nutrition Manager Cost Interview with Reference Guide</w:t>
      </w:r>
      <w:r>
        <w:t xml:space="preserve"> </w:t>
      </w:r>
      <w:r w:rsidRPr="00AA2388">
        <w:t xml:space="preserve">(Groups 3 </w:t>
      </w:r>
      <w:r>
        <w:t>and</w:t>
      </w:r>
      <w:r w:rsidRPr="00AA2388">
        <w:t xml:space="preserve"> Full </w:t>
      </w:r>
      <w:r>
        <w:t xml:space="preserve">Outlying </w:t>
      </w:r>
      <w:r w:rsidRPr="00AA2388">
        <w:t>Areas)</w:t>
      </w:r>
    </w:p>
    <w:p w:rsidR="00C029BF" w:rsidP="005F0835" w14:paraId="3E995272" w14:textId="77777777">
      <w:pPr>
        <w:pStyle w:val="TOC2"/>
      </w:pPr>
      <w:r>
        <w:t>F05.11</w:t>
      </w:r>
      <w:r>
        <w:tab/>
      </w:r>
      <w:r w:rsidRPr="00E00590">
        <w:t>State Agency Indirect Cost Survey Invitation Letter/Email</w:t>
      </w:r>
      <w:r>
        <w:t xml:space="preserve"> (</w:t>
      </w:r>
      <w:r w:rsidRPr="00AA2388">
        <w:t xml:space="preserve">Groups 3 </w:t>
      </w:r>
      <w:r>
        <w:t>and</w:t>
      </w:r>
      <w:r w:rsidRPr="00AA2388">
        <w:t xml:space="preserve"> Full </w:t>
      </w:r>
      <w:r>
        <w:t xml:space="preserve">Outlying </w:t>
      </w:r>
      <w:r w:rsidRPr="00AA2388">
        <w:t>Areas)</w:t>
      </w:r>
    </w:p>
    <w:p w:rsidR="00C029BF" w:rsidP="005F0835" w14:paraId="1AFCAF5D" w14:textId="77777777">
      <w:pPr>
        <w:pStyle w:val="TOC2"/>
      </w:pPr>
      <w:r>
        <w:t>F05.12</w:t>
      </w:r>
      <w:r>
        <w:tab/>
      </w:r>
      <w:r w:rsidRPr="004400CF">
        <w:t>Principal Cost Interview with Reference Guide</w:t>
      </w:r>
      <w:r>
        <w:t xml:space="preserve"> (</w:t>
      </w:r>
      <w:r w:rsidRPr="00AA2388">
        <w:t xml:space="preserve">Groups 3 </w:t>
      </w:r>
      <w:r>
        <w:t>and</w:t>
      </w:r>
      <w:r w:rsidRPr="00AA2388">
        <w:t xml:space="preserve"> Full</w:t>
      </w:r>
      <w:r>
        <w:t xml:space="preserve"> Outlying</w:t>
      </w:r>
      <w:r w:rsidRPr="00AA2388">
        <w:t xml:space="preserve"> Areas)</w:t>
      </w:r>
    </w:p>
    <w:p w:rsidR="00C029BF" w:rsidP="005F0835" w14:paraId="6AE0555B" w14:textId="77777777">
      <w:pPr>
        <w:pStyle w:val="TOC2"/>
      </w:pPr>
      <w:r>
        <w:t>F05.13</w:t>
      </w:r>
      <w:r>
        <w:tab/>
      </w:r>
      <w:r w:rsidRPr="008F50D2">
        <w:t>On-Site SS/MTO Bar Form</w:t>
      </w:r>
      <w:r>
        <w:t xml:space="preserve"> (Group 3)</w:t>
      </w:r>
    </w:p>
    <w:p w:rsidR="00C029BF" w:rsidP="005F0835" w14:paraId="3B376458" w14:textId="77777777">
      <w:pPr>
        <w:pStyle w:val="TOC2"/>
      </w:pPr>
      <w:r>
        <w:t>F05.14</w:t>
      </w:r>
      <w:r>
        <w:tab/>
      </w:r>
      <w:r w:rsidRPr="005B7E32">
        <w:t>SFA Follow-Up Web Survey and Interview Planning Email</w:t>
      </w:r>
      <w:r>
        <w:t xml:space="preserve"> </w:t>
      </w:r>
      <w:r w:rsidRPr="00AA2388">
        <w:t xml:space="preserve">(Groups 3 </w:t>
      </w:r>
      <w:r>
        <w:t>and</w:t>
      </w:r>
      <w:r w:rsidRPr="00AA2388">
        <w:t xml:space="preserve"> Full and Limited Outlying Areas)</w:t>
      </w:r>
    </w:p>
    <w:p w:rsidR="00C029BF" w:rsidP="005F0835" w14:paraId="5711472E" w14:textId="77777777">
      <w:pPr>
        <w:pStyle w:val="TOC2"/>
      </w:pPr>
      <w:r>
        <w:t>F05.15</w:t>
      </w:r>
      <w:r>
        <w:tab/>
      </w:r>
      <w:r w:rsidRPr="00791DE9">
        <w:t>SFA Follow-Up Web Survey and Interview Planning Email</w:t>
      </w:r>
      <w:r>
        <w:t>–S</w:t>
      </w:r>
      <w:r w:rsidRPr="00791DE9">
        <w:t>panish</w:t>
      </w:r>
      <w:r>
        <w:t xml:space="preserve"> (</w:t>
      </w:r>
      <w:r w:rsidRPr="00AA2388">
        <w:t>Limited Outlying Areas)</w:t>
      </w:r>
    </w:p>
    <w:p w:rsidR="00C029BF" w:rsidP="005F0835" w14:paraId="4CE486ED" w14:textId="77777777">
      <w:pPr>
        <w:pStyle w:val="TOC2"/>
      </w:pPr>
      <w:r>
        <w:t>F06.</w:t>
      </w:r>
      <w:r>
        <w:tab/>
      </w:r>
      <w:r w:rsidRPr="002C6EDB">
        <w:t>Reimbursable Meal Sale Data Request Form</w:t>
      </w:r>
      <w:r>
        <w:t xml:space="preserve"> (Groups 2a and 2b)</w:t>
      </w:r>
    </w:p>
    <w:p w:rsidR="00C029BF" w:rsidP="005F0835" w14:paraId="76191C6B" w14:textId="77777777">
      <w:pPr>
        <w:pStyle w:val="TOC2"/>
      </w:pPr>
      <w:r>
        <w:t>F07.</w:t>
      </w:r>
      <w:r>
        <w:tab/>
      </w:r>
      <w:r w:rsidRPr="00C03520">
        <w:t>Observation Guide</w:t>
      </w:r>
      <w:r>
        <w:t xml:space="preserve"> (Groups 2a, 2b, and 3)</w:t>
      </w:r>
    </w:p>
    <w:p w:rsidR="00C029BF" w:rsidP="005F0835" w14:paraId="3C642B69" w14:textId="77777777">
      <w:pPr>
        <w:pStyle w:val="TOC2"/>
      </w:pPr>
      <w:r>
        <w:t>F08.01</w:t>
      </w:r>
      <w:r>
        <w:tab/>
      </w:r>
      <w:r w:rsidRPr="00622009">
        <w:t>Student Interview</w:t>
      </w:r>
      <w:r>
        <w:t>–English/Spanish (Groups 2a and 2b)</w:t>
      </w:r>
    </w:p>
    <w:p w:rsidR="00C029BF" w:rsidP="005F0835" w14:paraId="69E21C68" w14:textId="77777777">
      <w:pPr>
        <w:pStyle w:val="TOC2"/>
      </w:pPr>
      <w:r>
        <w:t>F08.02</w:t>
      </w:r>
      <w:r>
        <w:tab/>
        <w:t>A</w:t>
      </w:r>
      <w:r w:rsidRPr="008A7C7A">
        <w:t>MPM (24-Hour Dietary Recall) Day 1</w:t>
      </w:r>
      <w:r>
        <w:t xml:space="preserve"> (Group 2a) and </w:t>
      </w:r>
      <w:r w:rsidRPr="00B92187">
        <w:t>AMPM (In-</w:t>
      </w:r>
      <w:r>
        <w:t>S</w:t>
      </w:r>
      <w:r w:rsidRPr="00B92187">
        <w:t>chool Intake Dietary</w:t>
      </w:r>
      <w:r>
        <w:t xml:space="preserve"> Recall) (Groups 2b) </w:t>
      </w:r>
    </w:p>
    <w:p w:rsidR="00C029BF" w:rsidP="005F0835" w14:paraId="2268A3A4" w14:textId="77777777">
      <w:pPr>
        <w:pStyle w:val="TOC2"/>
      </w:pPr>
      <w:r>
        <w:t>F08.03</w:t>
      </w:r>
      <w:r>
        <w:tab/>
      </w:r>
      <w:r w:rsidRPr="001305B4">
        <w:t>School Sources of Food Form</w:t>
      </w:r>
      <w:r>
        <w:t xml:space="preserve"> (Groups 2a and 2b)</w:t>
      </w:r>
    </w:p>
    <w:p w:rsidR="00C029BF" w:rsidP="005F0835" w14:paraId="235A8699" w14:textId="77777777">
      <w:pPr>
        <w:pStyle w:val="TOC2"/>
      </w:pPr>
      <w:r>
        <w:t>F08.04</w:t>
      </w:r>
      <w:r>
        <w:tab/>
        <w:t>Parent Interview –English/Spanish (Group 2a)</w:t>
      </w:r>
    </w:p>
    <w:p w:rsidR="00C029BF" w:rsidP="005F0835" w14:paraId="62EA6203" w14:textId="77777777">
      <w:pPr>
        <w:pStyle w:val="TOC2"/>
      </w:pPr>
      <w:r>
        <w:t>F08.05</w:t>
      </w:r>
      <w:r>
        <w:tab/>
      </w:r>
      <w:r w:rsidRPr="00FB6AC8">
        <w:t>Food Diary</w:t>
      </w:r>
      <w:r>
        <w:t xml:space="preserve"> (Group 2a)</w:t>
      </w:r>
    </w:p>
    <w:p w:rsidR="00C029BF" w:rsidP="005F0835" w14:paraId="54BF0367" w14:textId="77777777">
      <w:pPr>
        <w:pStyle w:val="TOC2"/>
      </w:pPr>
      <w:r>
        <w:t>F08.06</w:t>
      </w:r>
      <w:r>
        <w:tab/>
      </w:r>
      <w:r w:rsidRPr="00FB6AC8">
        <w:t>Food Diary</w:t>
      </w:r>
      <w:r>
        <w:t>–Spanish (Group 2a)</w:t>
      </w:r>
    </w:p>
    <w:p w:rsidR="00C029BF" w:rsidP="005F0835" w14:paraId="3EF258FD" w14:textId="77777777">
      <w:pPr>
        <w:pStyle w:val="TOC2"/>
      </w:pPr>
      <w:r>
        <w:t>F08.07</w:t>
      </w:r>
      <w:r>
        <w:tab/>
      </w:r>
      <w:r w:rsidRPr="00C751D5">
        <w:t>Student Interview Reminder Flyer</w:t>
      </w:r>
      <w:r>
        <w:t xml:space="preserve"> (Groups 2a and 2b)</w:t>
      </w:r>
    </w:p>
    <w:p w:rsidR="00C029BF" w:rsidP="005F0835" w14:paraId="724CC231" w14:textId="77777777">
      <w:pPr>
        <w:pStyle w:val="TOC2"/>
      </w:pPr>
      <w:r>
        <w:t>F08.08</w:t>
      </w:r>
      <w:r>
        <w:tab/>
      </w:r>
      <w:r w:rsidRPr="00C751D5">
        <w:t>Student Interview Reminder Flyer</w:t>
      </w:r>
      <w:r>
        <w:t>–Spanish (Groups 2a and 2b)</w:t>
      </w:r>
    </w:p>
    <w:p w:rsidR="00C029BF" w:rsidP="005F0835" w14:paraId="05C2BB4E" w14:textId="77777777">
      <w:pPr>
        <w:pStyle w:val="TOC2"/>
      </w:pPr>
      <w:r>
        <w:t>F08.09</w:t>
      </w:r>
      <w:r>
        <w:tab/>
        <w:t>D</w:t>
      </w:r>
      <w:r w:rsidRPr="00165E66">
        <w:t>ietary Recall Reminders</w:t>
      </w:r>
      <w:r>
        <w:t xml:space="preserve"> (Group 2a)</w:t>
      </w:r>
    </w:p>
    <w:p w:rsidR="00C029BF" w:rsidP="005F0835" w14:paraId="1A984939" w14:textId="77777777">
      <w:pPr>
        <w:pStyle w:val="TOC2"/>
      </w:pPr>
      <w:r>
        <w:t>F08.10</w:t>
      </w:r>
      <w:r>
        <w:tab/>
        <w:t>D</w:t>
      </w:r>
      <w:r w:rsidRPr="00165E66">
        <w:t>ietary Recall Reminders</w:t>
      </w:r>
      <w:r>
        <w:t>–Spanish (Group 2a)</w:t>
      </w:r>
    </w:p>
    <w:p w:rsidR="00C029BF" w:rsidP="005F0835" w14:paraId="5F3DD7C9" w14:textId="77777777">
      <w:pPr>
        <w:pStyle w:val="TOC2"/>
      </w:pPr>
      <w:r>
        <w:t>F08.11</w:t>
      </w:r>
      <w:r>
        <w:tab/>
      </w:r>
      <w:r w:rsidRPr="00CD40F2">
        <w:t>Parent Interview Invitation</w:t>
      </w:r>
      <w:r>
        <w:t xml:space="preserve"> (Group 2a)</w:t>
      </w:r>
    </w:p>
    <w:p w:rsidR="00C029BF" w:rsidP="005F0835" w14:paraId="628C302E" w14:textId="77777777">
      <w:pPr>
        <w:pStyle w:val="TOC2"/>
      </w:pPr>
      <w:r>
        <w:t>F08.12</w:t>
      </w:r>
      <w:r>
        <w:tab/>
      </w:r>
      <w:r w:rsidRPr="00CD40F2">
        <w:t>Parent Interview Invitation</w:t>
      </w:r>
      <w:r>
        <w:t>–Spanish (Group 2a)</w:t>
      </w:r>
    </w:p>
    <w:p w:rsidR="00C029BF" w:rsidP="005F0835" w14:paraId="37213FB6" w14:textId="77777777">
      <w:pPr>
        <w:pStyle w:val="TOC2"/>
      </w:pPr>
      <w:r>
        <w:t>F09.</w:t>
      </w:r>
      <w:r>
        <w:tab/>
      </w:r>
      <w:r w:rsidRPr="00DB6365">
        <w:t>Plate Waste Observation Booklet</w:t>
      </w:r>
      <w:r>
        <w:t xml:space="preserve"> (Group 3)</w:t>
      </w:r>
    </w:p>
    <w:p w:rsidR="00C029BF" w:rsidRPr="00D9687E" w:rsidP="005F0835" w14:paraId="1195EB48" w14:textId="77777777">
      <w:pPr>
        <w:pStyle w:val="TOC8"/>
      </w:pPr>
      <w:r>
        <w:t>G</w:t>
      </w:r>
      <w:r w:rsidRPr="00371DF5">
        <w:t xml:space="preserve">. </w:t>
      </w:r>
      <w:r>
        <w:t xml:space="preserve">study data collection plans </w:t>
      </w:r>
    </w:p>
    <w:p w:rsidR="00C029BF" w:rsidRPr="00A22DAE" w:rsidP="005F0835" w14:paraId="3F6FEB8B" w14:textId="77777777">
      <w:pPr>
        <w:pStyle w:val="TOC8"/>
      </w:pPr>
      <w:r>
        <w:t>H</w:t>
      </w:r>
      <w:r w:rsidRPr="00371DF5">
        <w:t>.</w:t>
      </w:r>
      <w:r>
        <w:t xml:space="preserve"> Burden Table </w:t>
      </w:r>
    </w:p>
    <w:p w:rsidR="00C029BF" w:rsidP="005F0835" w14:paraId="43AC0ACA" w14:textId="77777777">
      <w:pPr>
        <w:pStyle w:val="TOC8"/>
      </w:pPr>
      <w:r>
        <w:t>I. Public Comments and Responses</w:t>
      </w:r>
    </w:p>
    <w:p w:rsidR="00C029BF" w:rsidRPr="007C6AC8" w:rsidP="005F0835" w14:paraId="3A26B250" w14:textId="77777777">
      <w:pPr>
        <w:pStyle w:val="TOC2"/>
      </w:pPr>
      <w:r>
        <w:t xml:space="preserve">I01.  Public </w:t>
      </w:r>
      <w:r w:rsidRPr="668CD848">
        <w:rPr>
          <w:rFonts w:eastAsia="Arial"/>
        </w:rPr>
        <w:t>Comments</w:t>
      </w:r>
    </w:p>
    <w:p w:rsidR="005F0835" w:rsidP="005F0835" w14:paraId="7993731D" w14:textId="77777777">
      <w:pPr>
        <w:pStyle w:val="TOC2"/>
      </w:pPr>
      <w:r>
        <w:t xml:space="preserve">I02. </w:t>
      </w:r>
      <w:r w:rsidRPr="668CD848">
        <w:t xml:space="preserve"> Response to Public Comments</w:t>
      </w:r>
    </w:p>
    <w:p w:rsidR="00C029BF" w:rsidP="005F0835" w14:paraId="28B40763" w14:textId="77777777">
      <w:pPr>
        <w:pStyle w:val="TOC8"/>
      </w:pPr>
      <w:r>
        <w:t xml:space="preserve">j. </w:t>
      </w:r>
      <w:r w:rsidRPr="00D1224B">
        <w:t>Incentives</w:t>
      </w:r>
      <w:r>
        <w:t>,</w:t>
      </w:r>
      <w:r w:rsidRPr="00D1224B">
        <w:t xml:space="preserve"> Response Rates</w:t>
      </w:r>
      <w:r>
        <w:t>, and nonresponse bias</w:t>
      </w:r>
    </w:p>
    <w:p w:rsidR="00C029BF" w:rsidRPr="00371DF5" w:rsidP="005F0835" w14:paraId="1D8C3184" w14:textId="77777777">
      <w:pPr>
        <w:pStyle w:val="TOC8"/>
      </w:pPr>
      <w:r>
        <w:t>k.</w:t>
      </w:r>
      <w:r w:rsidRPr="00371DF5">
        <w:t xml:space="preserve"> Confidentiality Agreements</w:t>
      </w:r>
    </w:p>
    <w:p w:rsidR="00C029BF" w:rsidRPr="00371DF5" w:rsidP="005F0835" w14:paraId="2654528C" w14:textId="77777777">
      <w:pPr>
        <w:pStyle w:val="TOC2"/>
        <w:rPr>
          <w:rFonts w:eastAsia="Arial"/>
        </w:rPr>
      </w:pPr>
      <w:r>
        <w:rPr>
          <w:rFonts w:eastAsia="Arial"/>
        </w:rPr>
        <w:t>K0</w:t>
      </w:r>
      <w:r w:rsidRPr="00371DF5">
        <w:rPr>
          <w:rFonts w:eastAsia="Arial"/>
        </w:rPr>
        <w:t xml:space="preserve">1. </w:t>
      </w:r>
      <w:r w:rsidRPr="00371DF5">
        <w:rPr>
          <w:rFonts w:eastAsia="Arial"/>
        </w:rPr>
        <w:tab/>
        <w:t>Confidentiality Agreement–</w:t>
      </w:r>
      <w:r>
        <w:rPr>
          <w:rFonts w:eastAsia="Arial"/>
        </w:rPr>
        <w:t>Mathematica</w:t>
      </w:r>
    </w:p>
    <w:p w:rsidR="00C029BF" w:rsidRPr="00371DF5" w:rsidP="005F0835" w14:paraId="0BEF842D" w14:textId="77777777">
      <w:pPr>
        <w:pStyle w:val="TOC2"/>
        <w:rPr>
          <w:rFonts w:eastAsia="Arial"/>
        </w:rPr>
      </w:pPr>
      <w:r>
        <w:rPr>
          <w:rFonts w:eastAsia="Arial"/>
        </w:rPr>
        <w:t>K0</w:t>
      </w:r>
      <w:r w:rsidRPr="00371DF5">
        <w:rPr>
          <w:rFonts w:eastAsia="Arial"/>
        </w:rPr>
        <w:t xml:space="preserve">2. </w:t>
      </w:r>
      <w:r w:rsidRPr="00371DF5">
        <w:rPr>
          <w:rFonts w:eastAsia="Arial"/>
        </w:rPr>
        <w:tab/>
        <w:t>Confidentiality Agreement–</w:t>
      </w:r>
      <w:r>
        <w:rPr>
          <w:rFonts w:eastAsia="Arial"/>
        </w:rPr>
        <w:t>Subcontractors</w:t>
      </w:r>
    </w:p>
    <w:p w:rsidR="00C029BF" w:rsidP="005F0835" w14:paraId="7EAE787A" w14:textId="77777777">
      <w:pPr>
        <w:pStyle w:val="TOC8"/>
      </w:pPr>
      <w:r>
        <w:t>L. SAMPLING PLANS</w:t>
      </w:r>
    </w:p>
    <w:p w:rsidR="00C029BF" w:rsidP="005F0835" w14:paraId="0650E120" w14:textId="77777777">
      <w:pPr>
        <w:pStyle w:val="TOC8"/>
      </w:pPr>
      <w:r>
        <w:t>M. PRE-TEST Memo</w:t>
      </w:r>
    </w:p>
    <w:p w:rsidR="00C029BF" w:rsidP="005F0835" w14:paraId="67D94564" w14:textId="77777777">
      <w:pPr>
        <w:pStyle w:val="TOC8"/>
      </w:pPr>
      <w:r>
        <w:t>N</w:t>
      </w:r>
      <w:r w:rsidRPr="00371DF5">
        <w:t xml:space="preserve">. </w:t>
      </w:r>
      <w:r>
        <w:t xml:space="preserve">NASS </w:t>
      </w:r>
      <w:r w:rsidRPr="00371DF5">
        <w:t>Comments</w:t>
      </w:r>
      <w:r>
        <w:t xml:space="preserve"> and responses</w:t>
      </w:r>
    </w:p>
    <w:p w:rsidR="00687FE8" w:rsidP="003F1EBF" w14:paraId="1547F315" w14:textId="77777777">
      <w:pPr>
        <w:spacing w:after="480" w:line="240" w:lineRule="auto"/>
        <w:ind w:firstLine="0"/>
        <w:jc w:val="left"/>
        <w:rPr>
          <w:rFonts w:ascii="Arial" w:hAnsi="Arial" w:cs="Arial"/>
          <w:b/>
          <w:sz w:val="23"/>
          <w:szCs w:val="23"/>
        </w:rPr>
      </w:pPr>
    </w:p>
    <w:p w:rsidR="00687FE8" w:rsidP="003F1EBF" w14:paraId="044539BC" w14:textId="77777777">
      <w:pPr>
        <w:spacing w:after="480" w:line="240" w:lineRule="auto"/>
        <w:ind w:firstLine="0"/>
        <w:jc w:val="left"/>
        <w:rPr>
          <w:rFonts w:ascii="Arial" w:hAnsi="Arial" w:cs="Arial"/>
          <w:b/>
          <w:sz w:val="23"/>
          <w:szCs w:val="23"/>
        </w:rPr>
        <w:sectPr w:rsidSect="00800423">
          <w:headerReference w:type="default" r:id="rId10"/>
          <w:footerReference w:type="default" r:id="rId11"/>
          <w:endnotePr>
            <w:numFmt w:val="decimal"/>
          </w:endnotePr>
          <w:pgSz w:w="12240" w:h="15840" w:code="1"/>
          <w:pgMar w:top="1440" w:right="1440" w:bottom="576" w:left="1440" w:header="720" w:footer="576" w:gutter="0"/>
          <w:pgNumType w:fmt="lowerRoman"/>
          <w:cols w:space="720"/>
          <w:docGrid w:linePitch="326"/>
        </w:sectPr>
      </w:pPr>
    </w:p>
    <w:p w:rsidR="00687FE8" w:rsidP="0018424A" w14:paraId="6EC49140" w14:textId="77777777">
      <w:pPr>
        <w:pStyle w:val="Heading1Black"/>
        <w:rPr>
          <w:caps w:val="0"/>
        </w:rPr>
      </w:pPr>
      <w:r>
        <w:rPr>
          <w:caps w:val="0"/>
        </w:rPr>
        <w:t>PART B. STATISTICAL METHODS</w:t>
      </w:r>
    </w:p>
    <w:p w:rsidR="00687FE8" w:rsidP="0018424A" w14:paraId="060527AF" w14:textId="77777777">
      <w:r>
        <w:t>The 2024–2025 National School Foods Study (hereafter referred to as “the study”) includes three components: the second School Nutrition and Meal Cost Study (SNMCS-II), the fourth School Food Purchase Study (SFPS-IV), and an updated evaluation of the Fresh Fruit and Vegetable Program (FFVP). A key goal of the study is minimizing data collection costs and respondent burden while facilitating comparisons within and across the three study components (SNMCS-II, SFPS-IV, and FFVP). The sampling plan will provide nationally representative estimates of school food authorities (SFAs), schools, students (and their parents), and meals in SY</w:t>
      </w:r>
      <w:r w:rsidRPr="29D101F8">
        <w:rPr>
          <w:rFonts w:ascii="Times New Roman" w:hAnsi="Times New Roman"/>
        </w:rPr>
        <w:t> </w:t>
      </w:r>
      <w:r>
        <w:t xml:space="preserve">2024–2025. In addition, the sample is designed to lead to estimates that are as comparable as possible with the estimates from SNMCS-I (OMB Control Number 0584-0596, expired 07/31/2017), SFPS-III (OMB Control Number 0584-0471, expired 3/31/2012), and, to a certain extent, FFVP-I (OMB Control Number 0584-0556, expired 06/15/2010) with the required levels of statistical precision. It is also designed to incorporate the Outlying Areas component (Alaska, Guam, Hawaii, Puerto Rico, and USVI) as part of the SNMCS-II study component. Two expanding policy-relevant subgroups are also incorporated into the design: SFAs and schools that are in States with funded Healthy School Meals for All (HSMFA, formerly referred to as Universal School Meals) programs and those that participate in the Community Eligibility Provision (CEP) option. </w:t>
      </w:r>
    </w:p>
    <w:p w:rsidR="00687FE8" w:rsidRPr="00F04262" w:rsidP="004F4D24" w14:paraId="0ED0198D" w14:textId="77777777">
      <w:pPr>
        <w:pStyle w:val="Heading2Black"/>
        <w:keepNext w:val="0"/>
        <w:tabs>
          <w:tab w:val="clear" w:pos="288"/>
        </w:tabs>
        <w:spacing w:line="264" w:lineRule="auto"/>
        <w:ind w:left="720" w:hanging="720"/>
        <w:rPr>
          <w:rFonts w:cs="Arial"/>
          <w:spacing w:val="-2"/>
        </w:rPr>
      </w:pPr>
      <w:r w:rsidRPr="00F04262">
        <w:rPr>
          <w:rFonts w:cs="Arial"/>
          <w:spacing w:val="-2"/>
        </w:rPr>
        <w:t>B.1.</w:t>
      </w:r>
      <w:r w:rsidRPr="00F04262">
        <w:rPr>
          <w:rFonts w:cs="Arial"/>
          <w:spacing w:val="-2"/>
        </w:rPr>
        <w:tab/>
        <w:t xml:space="preserve">Describe (including a numerical estimate) the potential respondent universe and any sampling or other respondent selection method to be used. </w:t>
      </w:r>
      <w:r w:rsidRPr="008D014C">
        <w:rPr>
          <w:rFonts w:cs="Arial"/>
          <w:spacing w:val="-2"/>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r w:rsidRPr="00F04262">
        <w:rPr>
          <w:rFonts w:cs="Arial"/>
          <w:spacing w:val="-2"/>
        </w:rPr>
        <w:t xml:space="preserve"> Indicate expected response rates for the </w:t>
      </w:r>
      <w:r w:rsidRPr="00F04262">
        <w:rPr>
          <w:rFonts w:cs="Arial"/>
          <w:spacing w:val="-2"/>
        </w:rPr>
        <w:t>collection as a whole</w:t>
      </w:r>
      <w:r w:rsidRPr="00F04262">
        <w:rPr>
          <w:rFonts w:cs="Arial"/>
          <w:spacing w:val="-2"/>
        </w:rPr>
        <w:t>. If the collection had been conducted previously, include the actual response rate achieved during the last collection.</w:t>
      </w:r>
    </w:p>
    <w:p w:rsidR="00687FE8" w:rsidRPr="002210BA" w:rsidP="000B3901" w14:paraId="6070F9CE" w14:textId="77777777">
      <w:r>
        <w:t>The universe for SNMCS-II includes public school and charter-only SFAs (SFAs that serve only charter schools) in the contiguous 48 States and the District of Columbia plus five States and Territories in the Outlying Areas. SFPS-IV includes only public school SFAs in the contiguous 48 States and the District of Columbia. The FFVP evaluation starts with a sample of SFAs (in the 48 contiguous States plus the District of Columbia) that have at least one elementary school participating in that program.</w:t>
      </w:r>
    </w:p>
    <w:p w:rsidR="00687FE8" w:rsidRPr="002210BA" w:rsidP="00621C82" w14:paraId="692C4DE4" w14:textId="77777777">
      <w:r w:rsidRPr="002210BA">
        <w:t>Selecting the samples requires high-quality sampling frames at each stage. The SFA sampling frame for the SNMCS and SFPS study components will be constructed by combining the most recent data from the SFA Verification Collection Report (FNS-742), the U.S. Department of Education’s (ED) Common Core of Data (CCD) “Local Education Agency (LEA or school district) Universe Survey” collected annually by the ED’s National Center for Education Statistics, and a Census file from the Small Area Income and Poverty Estimates Program with school district</w:t>
      </w:r>
      <w:r>
        <w:t>–</w:t>
      </w:r>
      <w:r w:rsidRPr="002210BA">
        <w:t>level estimates of school-age children in poverty. As there is no unique identifier to easily link these files, we will use linkage methods to do so. To select the FFVP SFAs, we will obtain from FNS a list of elementary schools participating in the FFVP in 2023</w:t>
      </w:r>
      <w:r>
        <w:t>–</w:t>
      </w:r>
      <w:r w:rsidRPr="002210BA">
        <w:t>2024 and deduplicate it to generate an SFA</w:t>
      </w:r>
      <w:r>
        <w:t>-</w:t>
      </w:r>
      <w:r w:rsidRPr="002210BA">
        <w:t xml:space="preserve"> level file for sampling. </w:t>
      </w:r>
    </w:p>
    <w:p w:rsidR="00687FE8" w:rsidRPr="002210BA" w:rsidP="003D24C3" w14:paraId="63B51FE8" w14:textId="77777777">
      <w:pPr>
        <w:rPr>
          <w:rFonts w:eastAsia="Calibri"/>
          <w:color w:val="000000" w:themeColor="text1"/>
        </w:rPr>
      </w:pPr>
      <w:r w:rsidRPr="002210BA">
        <w:rPr>
          <w:rFonts w:eastAsia="Calibri"/>
          <w:color w:val="000000"/>
          <w:shd w:val="clear" w:color="auto" w:fill="FFFFFF"/>
        </w:rPr>
        <w:t xml:space="preserve">The study sample is designed to yield data from 810 SFAs, 1,061 schools, and 3,302 students, and </w:t>
      </w:r>
      <w:r w:rsidRPr="1A8A9254">
        <w:rPr>
          <w:rFonts w:eastAsia="Calibri"/>
          <w:color w:val="000000" w:themeColor="text1"/>
        </w:rPr>
        <w:t xml:space="preserve">1,800 </w:t>
      </w:r>
      <w:r w:rsidRPr="002210BA">
        <w:rPr>
          <w:rFonts w:eastAsia="Calibri"/>
          <w:color w:val="000000"/>
          <w:shd w:val="clear" w:color="auto" w:fill="FFFFFF"/>
        </w:rPr>
        <w:t xml:space="preserve">parents. In addition, the study will collect plate waste data to yield a sample of 4,140 reimbursable lunch trays and 2,120 reimbursable breakfast trays. For the SNMCS </w:t>
      </w:r>
      <w:r>
        <w:rPr>
          <w:rFonts w:eastAsia="Calibri"/>
          <w:color w:val="000000"/>
          <w:shd w:val="clear" w:color="auto" w:fill="FFFFFF"/>
        </w:rPr>
        <w:t xml:space="preserve">(Mainland) </w:t>
      </w:r>
      <w:r w:rsidRPr="002210BA">
        <w:rPr>
          <w:rFonts w:eastAsia="Calibri"/>
          <w:color w:val="000000"/>
          <w:shd w:val="clear" w:color="auto" w:fill="FFFFFF"/>
        </w:rPr>
        <w:t>and SFPS components, the universe of SFAs will be</w:t>
      </w:r>
      <w:r>
        <w:rPr>
          <w:rFonts w:eastAsia="Calibri"/>
          <w:color w:val="000000"/>
          <w:shd w:val="clear" w:color="auto" w:fill="FFFFFF"/>
        </w:rPr>
        <w:t xml:space="preserve"> randomly</w:t>
      </w:r>
      <w:r w:rsidRPr="002210BA">
        <w:rPr>
          <w:rFonts w:eastAsia="Calibri"/>
          <w:color w:val="000000"/>
          <w:shd w:val="clear" w:color="auto" w:fill="FFFFFF"/>
        </w:rPr>
        <w:t xml:space="preserve"> divided into </w:t>
      </w:r>
      <w:r>
        <w:rPr>
          <w:rFonts w:eastAsia="Calibri"/>
          <w:color w:val="000000"/>
          <w:shd w:val="clear" w:color="auto" w:fill="FFFFFF"/>
        </w:rPr>
        <w:t xml:space="preserve">three </w:t>
      </w:r>
      <w:r w:rsidRPr="002210BA">
        <w:rPr>
          <w:rFonts w:eastAsia="Calibri"/>
          <w:color w:val="000000"/>
          <w:shd w:val="clear" w:color="auto" w:fill="FFFFFF"/>
        </w:rPr>
        <w:t xml:space="preserve">mutually exclusive sampling groups each serving different study objectives. SFAs </w:t>
      </w:r>
      <w:r>
        <w:rPr>
          <w:rFonts w:eastAsia="Calibri"/>
          <w:color w:val="000000"/>
          <w:shd w:val="clear" w:color="auto" w:fill="FFFFFF"/>
        </w:rPr>
        <w:t xml:space="preserve">sampled </w:t>
      </w:r>
      <w:r w:rsidRPr="002210BA">
        <w:rPr>
          <w:rFonts w:eastAsia="Calibri"/>
          <w:color w:val="000000"/>
          <w:shd w:val="clear" w:color="auto" w:fill="FFFFFF"/>
        </w:rPr>
        <w:t xml:space="preserve">in Group 1 will </w:t>
      </w:r>
      <w:r>
        <w:rPr>
          <w:rFonts w:eastAsia="Calibri"/>
          <w:color w:val="000000"/>
          <w:shd w:val="clear" w:color="auto" w:fill="FFFFFF"/>
        </w:rPr>
        <w:t xml:space="preserve">participate </w:t>
      </w:r>
      <w:r w:rsidRPr="002210BA">
        <w:rPr>
          <w:rFonts w:eastAsia="Calibri"/>
          <w:color w:val="000000"/>
          <w:shd w:val="clear" w:color="auto" w:fill="FFFFFF"/>
        </w:rPr>
        <w:t>only at the SFA level and will provide data for both the SNMCS-II and the SFPS-IV. SFA</w:t>
      </w:r>
      <w:r>
        <w:rPr>
          <w:rFonts w:eastAsia="Calibri"/>
          <w:color w:val="000000"/>
          <w:shd w:val="clear" w:color="auto" w:fill="FFFFFF"/>
        </w:rPr>
        <w:t>-</w:t>
      </w:r>
      <w:r w:rsidRPr="002210BA">
        <w:rPr>
          <w:rFonts w:eastAsia="Calibri"/>
          <w:color w:val="000000"/>
          <w:shd w:val="clear" w:color="auto" w:fill="FFFFFF"/>
        </w:rPr>
        <w:t>, school</w:t>
      </w:r>
      <w:r>
        <w:rPr>
          <w:rFonts w:eastAsia="Calibri"/>
          <w:color w:val="000000"/>
          <w:shd w:val="clear" w:color="auto" w:fill="FFFFFF"/>
        </w:rPr>
        <w:t>-</w:t>
      </w:r>
      <w:r w:rsidRPr="002210BA">
        <w:rPr>
          <w:rFonts w:eastAsia="Calibri"/>
          <w:color w:val="000000"/>
          <w:shd w:val="clear" w:color="auto" w:fill="FFFFFF"/>
        </w:rPr>
        <w:t>, and student</w:t>
      </w:r>
      <w:r>
        <w:rPr>
          <w:rFonts w:eastAsia="Calibri"/>
          <w:color w:val="000000"/>
          <w:shd w:val="clear" w:color="auto" w:fill="FFFFFF"/>
        </w:rPr>
        <w:t>-</w:t>
      </w:r>
      <w:r w:rsidRPr="002210BA">
        <w:rPr>
          <w:rFonts w:eastAsia="Calibri"/>
          <w:color w:val="000000"/>
          <w:shd w:val="clear" w:color="auto" w:fill="FFFFFF"/>
        </w:rPr>
        <w:t xml:space="preserve">level data will be collected from </w:t>
      </w:r>
      <w:r>
        <w:rPr>
          <w:rFonts w:eastAsia="Calibri"/>
          <w:color w:val="000000"/>
          <w:shd w:val="clear" w:color="auto" w:fill="FFFFFF"/>
        </w:rPr>
        <w:t xml:space="preserve">sampled </w:t>
      </w:r>
      <w:r w:rsidRPr="002210BA">
        <w:rPr>
          <w:rFonts w:eastAsia="Calibri"/>
          <w:color w:val="000000"/>
          <w:shd w:val="clear" w:color="auto" w:fill="FFFFFF"/>
        </w:rPr>
        <w:t xml:space="preserve">SFAs assigned to Group 2a and will provide data for the SNMCS-II. </w:t>
      </w:r>
      <w:r>
        <w:rPr>
          <w:rFonts w:eastAsia="Calibri"/>
          <w:color w:val="000000"/>
          <w:shd w:val="clear" w:color="auto" w:fill="FFFFFF"/>
        </w:rPr>
        <w:t xml:space="preserve">Sampled </w:t>
      </w:r>
      <w:r w:rsidRPr="002210BA">
        <w:rPr>
          <w:rFonts w:eastAsia="Calibri"/>
          <w:color w:val="000000"/>
          <w:shd w:val="clear" w:color="auto" w:fill="FFFFFF"/>
        </w:rPr>
        <w:t>SFAs assigned to Group 3 will provide school data</w:t>
      </w:r>
      <w:r>
        <w:rPr>
          <w:rFonts w:eastAsia="Calibri"/>
          <w:color w:val="000000"/>
          <w:shd w:val="clear" w:color="auto" w:fill="FFFFFF"/>
        </w:rPr>
        <w:t>,</w:t>
      </w:r>
      <w:r w:rsidRPr="002210BA">
        <w:rPr>
          <w:rFonts w:eastAsia="Calibri"/>
          <w:color w:val="000000"/>
          <w:shd w:val="clear" w:color="auto" w:fill="FFFFFF"/>
        </w:rPr>
        <w:t xml:space="preserve"> and a </w:t>
      </w:r>
      <w:r>
        <w:rPr>
          <w:rFonts w:eastAsia="Calibri"/>
          <w:color w:val="000000"/>
          <w:shd w:val="clear" w:color="auto" w:fill="FFFFFF"/>
        </w:rPr>
        <w:t xml:space="preserve">random </w:t>
      </w:r>
      <w:r w:rsidRPr="002210BA">
        <w:rPr>
          <w:rFonts w:eastAsia="Calibri"/>
          <w:color w:val="000000"/>
          <w:shd w:val="clear" w:color="auto" w:fill="FFFFFF"/>
        </w:rPr>
        <w:t>subset will provide plate waste data for</w:t>
      </w:r>
      <w:r>
        <w:rPr>
          <w:rFonts w:eastAsia="Calibri"/>
          <w:color w:val="000000"/>
          <w:shd w:val="clear" w:color="auto" w:fill="FFFFFF"/>
        </w:rPr>
        <w:t xml:space="preserve"> both</w:t>
      </w:r>
      <w:r w:rsidRPr="002210BA">
        <w:rPr>
          <w:rFonts w:eastAsia="Calibri"/>
          <w:color w:val="000000"/>
          <w:shd w:val="clear" w:color="auto" w:fill="FFFFFF"/>
        </w:rPr>
        <w:t xml:space="preserve"> lunches and breakfast</w:t>
      </w:r>
      <w:r>
        <w:rPr>
          <w:rFonts w:eastAsia="Calibri"/>
          <w:color w:val="000000"/>
          <w:shd w:val="clear" w:color="auto" w:fill="FFFFFF"/>
        </w:rPr>
        <w:t>–</w:t>
      </w:r>
      <w:r w:rsidRPr="002210BA">
        <w:rPr>
          <w:rFonts w:eastAsia="Calibri"/>
          <w:color w:val="000000"/>
          <w:shd w:val="clear" w:color="auto" w:fill="FFFFFF"/>
        </w:rPr>
        <w:t xml:space="preserve">all for the SNMCS-II. Group 2b SFAs will be selected from a separate (overlapping) sampling frame that will be derived from a list of all elementary schools participating in the FFVP. The very large SFAs (referred to as the “certainty” SFAs) are included in Groups 1a, 2a, and 3 (and in 2b if they include at least one FFVP elementary school). The </w:t>
      </w:r>
      <w:r w:rsidRPr="13646570">
        <w:rPr>
          <w:rFonts w:eastAsia="Calibri"/>
          <w:color w:val="000000" w:themeColor="text1"/>
        </w:rPr>
        <w:t xml:space="preserve">Outlying Areas </w:t>
      </w:r>
      <w:r w:rsidRPr="002210BA">
        <w:rPr>
          <w:rFonts w:eastAsia="Calibri"/>
          <w:color w:val="000000"/>
          <w:shd w:val="clear" w:color="auto" w:fill="FFFFFF"/>
        </w:rPr>
        <w:t xml:space="preserve">sample will provide data to support the SNMCS-II only. For Puerto Rico and </w:t>
      </w:r>
      <w:r w:rsidRPr="002210BA" w:rsidR="4F544FCF">
        <w:rPr>
          <w:rFonts w:eastAsia="Calibri"/>
          <w:color w:val="000000"/>
          <w:shd w:val="clear" w:color="auto" w:fill="FFFFFF"/>
        </w:rPr>
        <w:t>U.S. Virgin Islands (</w:t>
      </w:r>
      <w:r w:rsidRPr="002210BA">
        <w:rPr>
          <w:rFonts w:eastAsia="Calibri"/>
          <w:color w:val="000000"/>
          <w:shd w:val="clear" w:color="auto" w:fill="FFFFFF"/>
        </w:rPr>
        <w:t>USVI</w:t>
      </w:r>
      <w:r w:rsidRPr="002210BA" w:rsidR="237D1B4C">
        <w:rPr>
          <w:rFonts w:eastAsia="Calibri"/>
          <w:color w:val="000000"/>
          <w:shd w:val="clear" w:color="auto" w:fill="FFFFFF"/>
        </w:rPr>
        <w:t>)</w:t>
      </w:r>
      <w:r w:rsidRPr="002210BA">
        <w:rPr>
          <w:rFonts w:eastAsia="Calibri"/>
          <w:color w:val="000000"/>
          <w:shd w:val="clear" w:color="auto" w:fill="FFFFFF"/>
        </w:rPr>
        <w:t xml:space="preserve">, we will do a more </w:t>
      </w:r>
      <w:r w:rsidRPr="002210BA">
        <w:rPr>
          <w:rFonts w:eastAsia="Calibri"/>
          <w:color w:val="000000"/>
        </w:rPr>
        <w:t>limited</w:t>
      </w:r>
      <w:r w:rsidRPr="002210BA">
        <w:rPr>
          <w:rFonts w:eastAsia="Calibri"/>
          <w:color w:val="000000"/>
          <w:shd w:val="clear" w:color="auto" w:fill="FFFFFF"/>
        </w:rPr>
        <w:t xml:space="preserve"> data collection at the SFA level only, including all three SFAs in these two </w:t>
      </w:r>
      <w:r>
        <w:rPr>
          <w:rFonts w:eastAsia="Calibri"/>
          <w:color w:val="000000"/>
          <w:shd w:val="clear" w:color="auto" w:fill="FFFFFF"/>
        </w:rPr>
        <w:t>T</w:t>
      </w:r>
      <w:r w:rsidRPr="002210BA">
        <w:rPr>
          <w:rFonts w:eastAsia="Calibri"/>
          <w:color w:val="000000"/>
          <w:shd w:val="clear" w:color="auto" w:fill="FFFFFF"/>
        </w:rPr>
        <w:t>erritories.</w:t>
      </w:r>
    </w:p>
    <w:p w:rsidR="00687FE8" w:rsidRPr="002210BA" w:rsidP="003D24C3" w14:paraId="3695FFB1" w14:textId="77777777">
      <w:pPr>
        <w:rPr>
          <w:sz w:val="18"/>
          <w:szCs w:val="18"/>
        </w:rPr>
      </w:pPr>
      <w:r w:rsidRPr="002210BA">
        <w:rPr>
          <w:rFonts w:eastAsia="Calibri"/>
          <w:shd w:val="clear" w:color="auto" w:fill="FFFFFF"/>
        </w:rPr>
        <w:t xml:space="preserve">Figure B.1 provides an overview of the sample design. The full sample design can be found in </w:t>
      </w:r>
      <w:r>
        <w:t xml:space="preserve">Appendix </w:t>
      </w:r>
      <w:r w:rsidRPr="00BD3BF3">
        <w:rPr>
          <w:rFonts w:eastAsia="Calibri"/>
          <w:noProof/>
          <w:shd w:val="clear" w:color="auto" w:fill="FFFFFF"/>
        </w:rPr>
        <w:t>L</w:t>
      </w:r>
      <w:r>
        <w:rPr>
          <w:rFonts w:eastAsia="Calibri"/>
          <w:shd w:val="clear" w:color="auto" w:fill="FFFFFF"/>
        </w:rPr>
        <w:t>.</w:t>
      </w:r>
    </w:p>
    <w:p w:rsidR="00687FE8" w:rsidRPr="002210BA" w:rsidP="002210BA" w14:paraId="337EFF2B" w14:textId="77777777">
      <w:pPr>
        <w:tabs>
          <w:tab w:val="clear" w:pos="432"/>
        </w:tabs>
        <w:spacing w:line="240" w:lineRule="auto"/>
        <w:ind w:firstLine="0"/>
        <w:jc w:val="left"/>
        <w:textAlignment w:val="baseline"/>
        <w:rPr>
          <w:rFonts w:ascii="Segoe UI" w:hAnsi="Segoe UI" w:cs="Segoe UI"/>
          <w:sz w:val="20"/>
          <w:szCs w:val="20"/>
        </w:rPr>
      </w:pPr>
    </w:p>
    <w:p w:rsidR="00687FE8" w:rsidRPr="004F4D24" w:rsidP="004F4D24" w14:paraId="2A0FF49B" w14:textId="77777777">
      <w:pPr>
        <w:pStyle w:val="MarkforFigureHeading"/>
        <w:rPr>
          <w:szCs w:val="18"/>
        </w:rPr>
      </w:pPr>
      <w:r w:rsidRPr="004F4D24">
        <w:t>Figure B.1</w:t>
      </w:r>
      <w:r>
        <w:t>.</w:t>
      </w:r>
      <w:r w:rsidRPr="004F4D24">
        <w:t xml:space="preserve"> Summary of the sample design </w:t>
      </w:r>
    </w:p>
    <w:p w:rsidR="00687FE8" w:rsidP="00C816BE" w14:paraId="4127ABEF" w14:textId="77777777">
      <w:pPr>
        <w:pStyle w:val="TableSourceCaption"/>
      </w:pPr>
      <w:r w:rsidRPr="00D33D83">
        <w:rPr>
          <w:noProof/>
        </w:rPr>
        <w:drawing>
          <wp:inline distT="0" distB="0" distL="0" distR="0">
            <wp:extent cx="5943600" cy="2314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2314575"/>
                    </a:xfrm>
                    <a:prstGeom prst="rect">
                      <a:avLst/>
                    </a:prstGeom>
                    <a:noFill/>
                    <a:ln>
                      <a:noFill/>
                    </a:ln>
                  </pic:spPr>
                </pic:pic>
              </a:graphicData>
            </a:graphic>
          </wp:inline>
        </w:drawing>
      </w:r>
    </w:p>
    <w:p w:rsidR="00687FE8" w:rsidRPr="002210BA" w:rsidP="00C816BE" w14:paraId="29FBD08F" w14:textId="77777777">
      <w:pPr>
        <w:pStyle w:val="TableSourceCaption"/>
        <w:rPr>
          <w:szCs w:val="18"/>
        </w:rPr>
      </w:pPr>
      <w:r w:rsidRPr="002210BA">
        <w:t xml:space="preserve">Notes: </w:t>
      </w:r>
      <w:r>
        <w:tab/>
      </w:r>
      <w:r w:rsidRPr="002210BA">
        <w:t>Sample sizes show target number of completes</w:t>
      </w:r>
      <w:r>
        <w:t xml:space="preserve">. </w:t>
      </w:r>
    </w:p>
    <w:p w:rsidR="00687FE8" w:rsidP="00C816BE" w14:paraId="3C7CC488" w14:textId="77777777">
      <w:pPr>
        <w:pStyle w:val="TableFootnoteCaption"/>
      </w:pPr>
      <w:r w:rsidRPr="002210BA">
        <w:t>Each of the certainty SFAs will be included in Groups 1a, 2a, 2b (if they have at least one FFVP school), and 3. They will participate in all data collection activities for these groups. </w:t>
      </w:r>
    </w:p>
    <w:p w:rsidR="00687FE8" w:rsidRPr="002210BA" w:rsidP="00C816BE" w14:paraId="198C734B" w14:textId="77777777">
      <w:pPr>
        <w:pStyle w:val="TableFootnoteCaption"/>
        <w:rPr>
          <w:sz w:val="20"/>
          <w:szCs w:val="20"/>
        </w:rPr>
      </w:pPr>
      <w:r w:rsidRPr="002210BA">
        <w:rPr>
          <w:rFonts w:eastAsia="Calibri"/>
        </w:rPr>
        <w:t>FFVP = Fresh Fruit and Vegetable Program; SFA = school food authority; SFPS = School Food Purchase Study; SNMCS= School Nutrition and Meal Cost Study</w:t>
      </w:r>
      <w:r>
        <w:rPr>
          <w:rFonts w:eastAsia="Calibri"/>
        </w:rPr>
        <w:t xml:space="preserve">. </w:t>
      </w:r>
    </w:p>
    <w:p w:rsidR="00687FE8" w:rsidRPr="002210BA" w:rsidP="002210BA" w14:paraId="3C2FCE93" w14:textId="77777777">
      <w:pPr>
        <w:tabs>
          <w:tab w:val="clear" w:pos="432"/>
        </w:tabs>
        <w:spacing w:line="240" w:lineRule="auto"/>
        <w:ind w:firstLine="0"/>
        <w:jc w:val="left"/>
        <w:textAlignment w:val="baseline"/>
        <w:rPr>
          <w:rFonts w:ascii="Segoe UI" w:hAnsi="Segoe UI" w:cs="Segoe UI"/>
          <w:sz w:val="18"/>
          <w:szCs w:val="18"/>
        </w:rPr>
      </w:pPr>
    </w:p>
    <w:p w:rsidR="00687FE8" w:rsidRPr="002210BA" w:rsidP="002210BA" w14:paraId="1114BE70" w14:textId="77777777">
      <w:pPr>
        <w:tabs>
          <w:tab w:val="clear" w:pos="432"/>
        </w:tabs>
        <w:spacing w:line="240" w:lineRule="auto"/>
        <w:ind w:firstLine="0"/>
        <w:jc w:val="left"/>
        <w:textAlignment w:val="baseline"/>
        <w:rPr>
          <w:rFonts w:cs="Segoe UI"/>
          <w:b/>
          <w:bCs/>
        </w:rPr>
      </w:pPr>
      <w:r w:rsidRPr="002210BA">
        <w:rPr>
          <w:rFonts w:cs="Segoe UI"/>
          <w:b/>
          <w:bCs/>
        </w:rPr>
        <w:t xml:space="preserve">B.1.1. </w:t>
      </w:r>
      <w:r w:rsidRPr="002210BA">
        <w:rPr>
          <w:rFonts w:ascii="Calibri" w:hAnsi="Calibri" w:cs="Calibri"/>
        </w:rPr>
        <w:tab/>
      </w:r>
      <w:r w:rsidRPr="002210BA">
        <w:rPr>
          <w:rFonts w:cs="Segoe UI"/>
          <w:b/>
          <w:bCs/>
        </w:rPr>
        <w:t>Mainland study: Contiguous 48 States and DC </w:t>
      </w:r>
    </w:p>
    <w:p w:rsidR="00687FE8" w:rsidRPr="002210BA" w:rsidP="002210BA" w14:paraId="63DA8AC7" w14:textId="77777777">
      <w:pPr>
        <w:tabs>
          <w:tab w:val="clear" w:pos="432"/>
        </w:tabs>
        <w:spacing w:line="240" w:lineRule="auto"/>
        <w:ind w:firstLine="0"/>
        <w:jc w:val="left"/>
        <w:textAlignment w:val="baseline"/>
        <w:rPr>
          <w:rFonts w:ascii="Segoe UI" w:hAnsi="Segoe UI" w:cs="Segoe UI"/>
          <w:sz w:val="18"/>
          <w:szCs w:val="18"/>
        </w:rPr>
      </w:pPr>
    </w:p>
    <w:p w:rsidR="00687FE8" w:rsidRPr="002210BA" w:rsidP="00CF199E" w14:paraId="520AE80E" w14:textId="77777777">
      <w:r w:rsidRPr="002210BA">
        <w:t>The sampling frame for selecting schools within sampled SFAs will be the most recent available CCD school-level file. The CCD file contains more detailed information than the FNS-742 and has information that allows the elimination of some types of ineligible schools (such as charter schools and those serving institutional populations). The CCD file also contains enrollment figures, grades served, and demographic information that may be useful for stratification or weighting. For the FFVP</w:t>
      </w:r>
      <w:r>
        <w:t xml:space="preserve"> </w:t>
      </w:r>
      <w:r w:rsidRPr="002210BA">
        <w:t>school sample, we will use the FNS-provided list of schools offering the FFVP to sample one participating school per sampled SFA.</w:t>
      </w:r>
      <w:r>
        <w:t xml:space="preserve"> </w:t>
      </w:r>
      <w:r w:rsidRPr="002210BA">
        <w:t xml:space="preserve">The sampling frames for students will be lists of </w:t>
      </w:r>
      <w:r>
        <w:t xml:space="preserve">enrolled </w:t>
      </w:r>
      <w:r w:rsidRPr="002210BA">
        <w:t xml:space="preserve">students </w:t>
      </w:r>
      <w:r>
        <w:t xml:space="preserve">obtained from sampled </w:t>
      </w:r>
      <w:r w:rsidRPr="002210BA">
        <w:t xml:space="preserve">schools. </w:t>
      </w:r>
    </w:p>
    <w:p w:rsidR="00687FE8" w:rsidRPr="002210BA" w:rsidP="0017071A" w14:paraId="07755348" w14:textId="73E52CBC">
      <w:r w:rsidRPr="002210BA">
        <w:t>From the universe of SFAs in the contiguous 48 States and DC, we will select nationally</w:t>
      </w:r>
      <w:r>
        <w:t xml:space="preserve"> </w:t>
      </w:r>
      <w:r w:rsidRPr="002210BA">
        <w:t xml:space="preserve">representative samples that provide unbiased and precise estimates at each level of analysis (SFAs, schools, students </w:t>
      </w:r>
      <w:r>
        <w:t>[</w:t>
      </w:r>
      <w:r w:rsidRPr="002210BA">
        <w:t>and their parents</w:t>
      </w:r>
      <w:r>
        <w:t>]</w:t>
      </w:r>
      <w:r w:rsidRPr="002210BA">
        <w:t xml:space="preserve">, and meals) for the population and unbiased and precise </w:t>
      </w:r>
      <w:r w:rsidRPr="002210BA">
        <w:t>estimates</w:t>
      </w:r>
      <w:r w:rsidRPr="002210BA">
        <w:t xml:space="preserve"> for key subgroups. Key subgroups will be defined by SFA and school size (enrollment), </w:t>
      </w:r>
      <w:r w:rsidRPr="002210BA">
        <w:rPr>
          <w:rFonts w:eastAsia="Calibri"/>
          <w:color w:val="000000"/>
          <w:shd w:val="clear" w:color="auto" w:fill="FFFFFF"/>
        </w:rPr>
        <w:t>H</w:t>
      </w:r>
      <w:r>
        <w:rPr>
          <w:rFonts w:eastAsia="Calibri"/>
          <w:color w:val="000000"/>
          <w:shd w:val="clear" w:color="auto" w:fill="FFFFFF"/>
        </w:rPr>
        <w:t>SMFA</w:t>
      </w:r>
      <w:r w:rsidRPr="002210BA">
        <w:t xml:space="preserve"> and CEP status of school, poverty level, urbanicity, FNS region, school type (elementary, middle, high), and school meal participants</w:t>
      </w:r>
      <w:r>
        <w:t xml:space="preserve"> and </w:t>
      </w:r>
      <w:r w:rsidRPr="002210BA">
        <w:t>nonparticipants.</w:t>
      </w:r>
    </w:p>
    <w:p w:rsidR="00687FE8" w:rsidRPr="00F0326A" w:rsidP="00F0326A" w14:paraId="3B089DBD" w14:textId="77777777">
      <w:r>
        <w:t xml:space="preserve">The estimated size of the respondent universe, along with target completed sample sizes and previous response rates, are presented in Tables B.1.1, B.1.2, and B.1.3. </w:t>
      </w:r>
    </w:p>
    <w:p w:rsidR="00687FE8" w:rsidRPr="00C816BE" w:rsidP="00DA79BF" w14:paraId="5498386C" w14:textId="77777777">
      <w:pPr>
        <w:pStyle w:val="MarkforTableHeading"/>
        <w:rPr>
          <w:sz w:val="20"/>
          <w:szCs w:val="20"/>
        </w:rPr>
      </w:pPr>
      <w:r w:rsidRPr="29D101F8">
        <w:rPr>
          <w:sz w:val="20"/>
          <w:szCs w:val="20"/>
        </w:rPr>
        <w:t xml:space="preserve">Table B.1.1. Respondent universe for SNMCS-II component and expected and SNMCS-I response </w:t>
      </w:r>
      <w:r w:rsidRPr="29D101F8">
        <w:rPr>
          <w:sz w:val="20"/>
          <w:szCs w:val="20"/>
        </w:rPr>
        <w:t>rates</w:t>
      </w:r>
      <w:r>
        <w:rPr>
          <w:sz w:val="20"/>
          <w:szCs w:val="20"/>
        </w:rPr>
        <w:t xml:space="preserve"> </w:t>
      </w:r>
    </w:p>
    <w:tbl>
      <w:tblPr>
        <w:tblStyle w:val="SMPRTableBlack"/>
        <w:tblW w:w="5000" w:type="pct"/>
        <w:tblInd w:w="0" w:type="dxa"/>
        <w:tblLayout w:type="fixed"/>
        <w:tblLook w:val="04A0"/>
      </w:tblPr>
      <w:tblGrid>
        <w:gridCol w:w="3331"/>
        <w:gridCol w:w="1315"/>
        <w:gridCol w:w="1179"/>
        <w:gridCol w:w="1179"/>
        <w:gridCol w:w="1179"/>
        <w:gridCol w:w="1177"/>
      </w:tblGrid>
      <w:tr w14:paraId="745D915E" w14:textId="77777777" w:rsidTr="001E2EA9">
        <w:tblPrEx>
          <w:tblW w:w="5000" w:type="pct"/>
          <w:tblInd w:w="0" w:type="dxa"/>
          <w:tblLayout w:type="fixed"/>
          <w:tblLook w:val="04A0"/>
        </w:tblPrEx>
        <w:tc>
          <w:tcPr>
            <w:tcW w:w="1779" w:type="pct"/>
            <w:tcBorders>
              <w:top w:val="nil"/>
              <w:bottom w:val="single" w:sz="4" w:space="0" w:color="auto"/>
              <w:right w:val="single" w:sz="4" w:space="0" w:color="FFFFFF" w:themeColor="background1"/>
            </w:tcBorders>
            <w:shd w:val="clear" w:color="auto" w:fill="6C6F70"/>
          </w:tcPr>
          <w:p w:rsidR="00687FE8" w:rsidRPr="007B106E" w14:paraId="6EB95C20" w14:textId="77777777">
            <w:pPr>
              <w:pStyle w:val="TableHeaderLeft"/>
              <w:rPr>
                <w:rFonts w:cs="Arial"/>
                <w:szCs w:val="18"/>
              </w:rPr>
            </w:pPr>
            <w:r w:rsidRPr="007B106E">
              <w:rPr>
                <w:rFonts w:cs="Arial"/>
                <w:szCs w:val="18"/>
              </w:rPr>
              <w:t>Sample group</w:t>
            </w:r>
          </w:p>
        </w:tc>
        <w:tc>
          <w:tcPr>
            <w:tcW w:w="702"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5810301C" w14:textId="77777777">
            <w:pPr>
              <w:pStyle w:val="TableHeaderCenter"/>
              <w:rPr>
                <w:rFonts w:cs="Arial"/>
                <w:szCs w:val="18"/>
              </w:rPr>
            </w:pPr>
            <w:r w:rsidRPr="007B106E">
              <w:rPr>
                <w:rFonts w:cs="Arial"/>
                <w:szCs w:val="18"/>
              </w:rPr>
              <w:t>Estimated size of respondent universe</w:t>
            </w:r>
          </w:p>
        </w:tc>
        <w:tc>
          <w:tcPr>
            <w:tcW w:w="630"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00127F03" w14:textId="77777777">
            <w:pPr>
              <w:pStyle w:val="TableHeaderCenter"/>
              <w:rPr>
                <w:rFonts w:cs="Arial"/>
                <w:szCs w:val="18"/>
              </w:rPr>
            </w:pPr>
            <w:r w:rsidRPr="007B106E">
              <w:rPr>
                <w:rFonts w:cs="Arial"/>
                <w:szCs w:val="18"/>
              </w:rPr>
              <w:t xml:space="preserve">Initial </w:t>
            </w:r>
            <w:r>
              <w:rPr>
                <w:rFonts w:cs="Arial"/>
                <w:szCs w:val="18"/>
              </w:rPr>
              <w:t>s</w:t>
            </w:r>
            <w:r w:rsidRPr="007B106E">
              <w:rPr>
                <w:rFonts w:cs="Arial"/>
                <w:szCs w:val="18"/>
              </w:rPr>
              <w:t>ample</w:t>
            </w:r>
          </w:p>
        </w:tc>
        <w:tc>
          <w:tcPr>
            <w:tcW w:w="0"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14:paraId="609F4B96" w14:textId="77777777">
            <w:pPr>
              <w:pStyle w:val="TableHeaderCenter"/>
              <w:rPr>
                <w:rFonts w:cs="Arial"/>
                <w:szCs w:val="18"/>
              </w:rPr>
            </w:pPr>
            <w:r>
              <w:rPr>
                <w:rFonts w:cs="Arial"/>
                <w:szCs w:val="18"/>
              </w:rPr>
              <w:t>Target Complete</w:t>
            </w:r>
          </w:p>
        </w:tc>
        <w:tc>
          <w:tcPr>
            <w:tcW w:w="630"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5A23ADDB" w14:textId="77777777">
            <w:pPr>
              <w:pStyle w:val="TableHeaderCenter"/>
              <w:rPr>
                <w:rFonts w:cs="Arial"/>
                <w:szCs w:val="18"/>
              </w:rPr>
            </w:pPr>
            <w:r w:rsidRPr="007B106E">
              <w:rPr>
                <w:rFonts w:cs="Arial"/>
                <w:szCs w:val="18"/>
              </w:rPr>
              <w:t xml:space="preserve">Expected </w:t>
            </w:r>
            <w:r>
              <w:rPr>
                <w:rFonts w:cs="Arial"/>
                <w:szCs w:val="18"/>
              </w:rPr>
              <w:t>r</w:t>
            </w:r>
            <w:r w:rsidRPr="007B106E">
              <w:rPr>
                <w:rFonts w:cs="Arial"/>
                <w:szCs w:val="18"/>
              </w:rPr>
              <w:t xml:space="preserve">esponse </w:t>
            </w:r>
            <w:r>
              <w:rPr>
                <w:rFonts w:cs="Arial"/>
                <w:szCs w:val="18"/>
              </w:rPr>
              <w:t>r</w:t>
            </w:r>
            <w:r w:rsidRPr="007B106E">
              <w:rPr>
                <w:rFonts w:cs="Arial"/>
                <w:szCs w:val="18"/>
              </w:rPr>
              <w:t>ate (</w:t>
            </w:r>
            <w:r w:rsidRPr="007B106E">
              <w:rPr>
                <w:rFonts w:cs="Arial"/>
                <w:szCs w:val="18"/>
              </w:rPr>
              <w:t>%)</w:t>
            </w:r>
            <w:r w:rsidRPr="00150703">
              <w:rPr>
                <w:rFonts w:cs="Arial"/>
                <w:szCs w:val="18"/>
                <w:vertAlign w:val="superscript"/>
              </w:rPr>
              <w:t>a</w:t>
            </w:r>
          </w:p>
        </w:tc>
        <w:tc>
          <w:tcPr>
            <w:tcW w:w="629" w:type="pct"/>
            <w:tcBorders>
              <w:top w:val="nil"/>
              <w:left w:val="single" w:sz="4" w:space="0" w:color="FFFFFF" w:themeColor="background1"/>
              <w:bottom w:val="single" w:sz="4" w:space="0" w:color="auto"/>
            </w:tcBorders>
            <w:shd w:val="clear" w:color="auto" w:fill="6C6F70"/>
          </w:tcPr>
          <w:p w:rsidR="00687FE8" w:rsidRPr="007B106E" w14:paraId="25D19569" w14:textId="77777777">
            <w:pPr>
              <w:pStyle w:val="TableHeaderCenter"/>
              <w:rPr>
                <w:rFonts w:cs="Arial"/>
                <w:szCs w:val="18"/>
              </w:rPr>
            </w:pPr>
            <w:r w:rsidRPr="007B106E">
              <w:rPr>
                <w:rFonts w:cs="Arial"/>
                <w:szCs w:val="18"/>
              </w:rPr>
              <w:t xml:space="preserve">SNMCS-I </w:t>
            </w:r>
            <w:r>
              <w:rPr>
                <w:rFonts w:cs="Arial"/>
                <w:szCs w:val="18"/>
              </w:rPr>
              <w:t>r</w:t>
            </w:r>
            <w:r w:rsidRPr="007B106E">
              <w:rPr>
                <w:rFonts w:cs="Arial"/>
                <w:szCs w:val="18"/>
              </w:rPr>
              <w:t xml:space="preserve">esponse </w:t>
            </w:r>
            <w:r>
              <w:rPr>
                <w:rFonts w:cs="Arial"/>
                <w:szCs w:val="18"/>
              </w:rPr>
              <w:t>r</w:t>
            </w:r>
            <w:r w:rsidRPr="007B106E">
              <w:rPr>
                <w:rFonts w:cs="Arial"/>
                <w:szCs w:val="18"/>
              </w:rPr>
              <w:t>ate</w:t>
            </w:r>
            <w:r>
              <w:rPr>
                <w:rFonts w:cs="Arial"/>
                <w:szCs w:val="18"/>
              </w:rPr>
              <w:t xml:space="preserve"> </w:t>
            </w:r>
            <w:r w:rsidRPr="007B106E">
              <w:rPr>
                <w:rFonts w:cs="Arial"/>
                <w:szCs w:val="18"/>
              </w:rPr>
              <w:t>(</w:t>
            </w:r>
            <w:r w:rsidRPr="007B106E">
              <w:rPr>
                <w:rFonts w:cs="Arial"/>
                <w:szCs w:val="18"/>
              </w:rPr>
              <w:t>%)</w:t>
            </w:r>
            <w:r w:rsidRPr="007B106E">
              <w:rPr>
                <w:rFonts w:cs="Arial"/>
                <w:szCs w:val="18"/>
                <w:vertAlign w:val="superscript"/>
              </w:rPr>
              <w:t>b</w:t>
            </w:r>
            <w:r>
              <w:rPr>
                <w:rFonts w:cs="Arial"/>
                <w:szCs w:val="18"/>
                <w:vertAlign w:val="superscript"/>
              </w:rPr>
              <w:t>,c</w:t>
            </w:r>
          </w:p>
        </w:tc>
      </w:tr>
      <w:tr w14:paraId="68A14691" w14:textId="77777777" w:rsidTr="001E2EA9">
        <w:tblPrEx>
          <w:tblW w:w="5000" w:type="pct"/>
          <w:tblInd w:w="0" w:type="dxa"/>
          <w:tblLayout w:type="fixed"/>
          <w:tblLook w:val="04A0"/>
        </w:tblPrEx>
        <w:tc>
          <w:tcPr>
            <w:tcW w:w="1779" w:type="pct"/>
            <w:tcBorders>
              <w:top w:val="single" w:sz="4" w:space="0" w:color="auto"/>
              <w:left w:val="single" w:sz="4" w:space="0" w:color="auto"/>
              <w:bottom w:val="single" w:sz="4" w:space="0" w:color="auto"/>
              <w:right w:val="single" w:sz="4" w:space="0" w:color="auto"/>
            </w:tcBorders>
            <w:vAlign w:val="top"/>
          </w:tcPr>
          <w:p w:rsidR="00687FE8" w:rsidRPr="007B106E" w14:paraId="449EB424" w14:textId="77777777">
            <w:pPr>
              <w:pStyle w:val="TableText"/>
              <w:spacing w:before="40" w:after="40"/>
              <w:rPr>
                <w:rFonts w:cs="Arial"/>
                <w:szCs w:val="18"/>
              </w:rPr>
            </w:pPr>
            <w:r w:rsidRPr="007B106E">
              <w:rPr>
                <w:rFonts w:cs="Arial"/>
                <w:szCs w:val="18"/>
              </w:rPr>
              <w:t>States</w:t>
            </w:r>
          </w:p>
        </w:tc>
        <w:tc>
          <w:tcPr>
            <w:tcW w:w="702" w:type="pct"/>
            <w:tcBorders>
              <w:top w:val="single" w:sz="4" w:space="0" w:color="auto"/>
              <w:left w:val="single" w:sz="4" w:space="0" w:color="auto"/>
              <w:bottom w:val="single" w:sz="4" w:space="0" w:color="auto"/>
              <w:right w:val="single" w:sz="4" w:space="0" w:color="auto"/>
            </w:tcBorders>
            <w:vAlign w:val="top"/>
          </w:tcPr>
          <w:p w:rsidR="00687FE8" w:rsidRPr="007B106E" w:rsidP="00DD099A" w14:paraId="17719FA0" w14:textId="77777777">
            <w:pPr>
              <w:pStyle w:val="TableTextDecimal"/>
              <w:tabs>
                <w:tab w:val="clear" w:pos="576"/>
                <w:tab w:val="decimal" w:pos="973"/>
              </w:tabs>
            </w:pPr>
            <w:r>
              <w:t>49</w:t>
            </w:r>
          </w:p>
        </w:tc>
        <w:tc>
          <w:tcPr>
            <w:tcW w:w="630" w:type="pct"/>
            <w:tcBorders>
              <w:top w:val="single" w:sz="4" w:space="0" w:color="auto"/>
              <w:left w:val="single" w:sz="4" w:space="0" w:color="auto"/>
              <w:bottom w:val="single" w:sz="4" w:space="0" w:color="auto"/>
              <w:right w:val="single" w:sz="4" w:space="0" w:color="auto"/>
            </w:tcBorders>
            <w:vAlign w:val="top"/>
          </w:tcPr>
          <w:p w:rsidR="00687FE8" w:rsidRPr="007B106E" w:rsidP="00DD099A" w14:paraId="7D0568BB" w14:textId="77777777">
            <w:pPr>
              <w:pStyle w:val="TableTextDecimal"/>
              <w:tabs>
                <w:tab w:val="clear" w:pos="576"/>
                <w:tab w:val="decimal" w:pos="791"/>
              </w:tabs>
            </w:pPr>
            <w:r w:rsidRPr="675EF24B">
              <w:t>4</w:t>
            </w:r>
            <w:r>
              <w:t>9</w:t>
            </w:r>
          </w:p>
        </w:tc>
        <w:tc>
          <w:tcPr>
            <w:tcW w:w="0" w:type="pct"/>
            <w:tcBorders>
              <w:top w:val="single" w:sz="4" w:space="0" w:color="auto"/>
              <w:left w:val="single" w:sz="4" w:space="0" w:color="auto"/>
              <w:bottom w:val="single" w:sz="4" w:space="0" w:color="auto"/>
              <w:right w:val="single" w:sz="4" w:space="0" w:color="auto"/>
            </w:tcBorders>
          </w:tcPr>
          <w:p w:rsidR="00687FE8" w14:paraId="538FC332" w14:textId="77777777">
            <w:pPr>
              <w:pStyle w:val="TableTextDecimal"/>
              <w:jc w:val="center"/>
            </w:pPr>
            <w:r>
              <w:t>47</w:t>
            </w:r>
          </w:p>
        </w:tc>
        <w:tc>
          <w:tcPr>
            <w:tcW w:w="630" w:type="pct"/>
            <w:tcBorders>
              <w:top w:val="single" w:sz="4" w:space="0" w:color="auto"/>
              <w:left w:val="single" w:sz="4" w:space="0" w:color="auto"/>
              <w:bottom w:val="single" w:sz="4" w:space="0" w:color="auto"/>
              <w:right w:val="single" w:sz="4" w:space="0" w:color="auto"/>
            </w:tcBorders>
            <w:vAlign w:val="top"/>
          </w:tcPr>
          <w:p w:rsidR="00687FE8" w:rsidRPr="005E623D" w:rsidP="00DF196B" w14:paraId="4D403958" w14:textId="77777777">
            <w:pPr>
              <w:pStyle w:val="TableTextDecimal"/>
              <w:rPr>
                <w:highlight w:val="yellow"/>
              </w:rPr>
            </w:pPr>
            <w:r w:rsidRPr="00545AA0">
              <w:t>96</w:t>
            </w:r>
          </w:p>
        </w:tc>
        <w:tc>
          <w:tcPr>
            <w:tcW w:w="629"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33E4B930" w14:textId="77777777">
            <w:pPr>
              <w:pStyle w:val="TableTextDecimal"/>
              <w:tabs>
                <w:tab w:val="clear" w:pos="576"/>
              </w:tabs>
              <w:jc w:val="center"/>
            </w:pPr>
            <w:r>
              <w:t>n.a.</w:t>
            </w:r>
          </w:p>
        </w:tc>
      </w:tr>
      <w:tr w14:paraId="55AAD983" w14:textId="77777777" w:rsidTr="001E2EA9">
        <w:tblPrEx>
          <w:tblW w:w="5000" w:type="pct"/>
          <w:tblInd w:w="0" w:type="dxa"/>
          <w:tblLayout w:type="fixed"/>
          <w:tblLook w:val="04A0"/>
        </w:tblPrEx>
        <w:tc>
          <w:tcPr>
            <w:tcW w:w="1779" w:type="pct"/>
            <w:tcBorders>
              <w:top w:val="single" w:sz="4" w:space="0" w:color="auto"/>
              <w:left w:val="single" w:sz="4" w:space="0" w:color="auto"/>
              <w:bottom w:val="single" w:sz="4" w:space="0" w:color="auto"/>
              <w:right w:val="single" w:sz="4" w:space="0" w:color="auto"/>
            </w:tcBorders>
            <w:vAlign w:val="top"/>
          </w:tcPr>
          <w:p w:rsidR="00687FE8" w:rsidRPr="007B106E" w14:paraId="0E1D2A9B" w14:textId="77777777">
            <w:pPr>
              <w:pStyle w:val="TableText"/>
              <w:spacing w:before="40" w:after="40"/>
              <w:rPr>
                <w:rFonts w:cs="Arial"/>
                <w:szCs w:val="18"/>
              </w:rPr>
            </w:pPr>
            <w:r w:rsidRPr="007B106E">
              <w:rPr>
                <w:rFonts w:cs="Arial"/>
                <w:szCs w:val="18"/>
              </w:rPr>
              <w:t>Public SFAs</w:t>
            </w:r>
          </w:p>
        </w:tc>
        <w:tc>
          <w:tcPr>
            <w:tcW w:w="702" w:type="pct"/>
            <w:tcBorders>
              <w:top w:val="single" w:sz="4" w:space="0" w:color="auto"/>
              <w:left w:val="single" w:sz="4" w:space="0" w:color="auto"/>
              <w:bottom w:val="single" w:sz="4" w:space="0" w:color="auto"/>
              <w:right w:val="single" w:sz="4" w:space="0" w:color="auto"/>
            </w:tcBorders>
            <w:vAlign w:val="top"/>
          </w:tcPr>
          <w:p w:rsidR="00687FE8" w:rsidRPr="007B106E" w:rsidP="00DD099A" w14:paraId="0FF82E70" w14:textId="77777777">
            <w:pPr>
              <w:pStyle w:val="TableTextDecimal"/>
              <w:tabs>
                <w:tab w:val="clear" w:pos="576"/>
                <w:tab w:val="decimal" w:pos="973"/>
              </w:tabs>
            </w:pPr>
            <w:r w:rsidRPr="007B106E">
              <w:t>14,675</w:t>
            </w:r>
          </w:p>
        </w:tc>
        <w:tc>
          <w:tcPr>
            <w:tcW w:w="630" w:type="pct"/>
            <w:tcBorders>
              <w:top w:val="single" w:sz="4" w:space="0" w:color="auto"/>
              <w:left w:val="single" w:sz="4" w:space="0" w:color="auto"/>
              <w:bottom w:val="single" w:sz="4" w:space="0" w:color="auto"/>
              <w:right w:val="single" w:sz="4" w:space="0" w:color="auto"/>
            </w:tcBorders>
            <w:vAlign w:val="top"/>
          </w:tcPr>
          <w:p w:rsidR="00687FE8" w:rsidRPr="007B106E" w:rsidP="00DD099A" w14:paraId="3F1A4605" w14:textId="77777777">
            <w:pPr>
              <w:pStyle w:val="TableTextDecimal"/>
              <w:tabs>
                <w:tab w:val="clear" w:pos="576"/>
                <w:tab w:val="decimal" w:pos="791"/>
              </w:tabs>
            </w:pPr>
            <w:r>
              <w:t>887</w:t>
            </w:r>
            <w:r>
              <w:rPr>
                <w:vertAlign w:val="superscript"/>
              </w:rPr>
              <w:t>d</w:t>
            </w:r>
          </w:p>
        </w:tc>
        <w:tc>
          <w:tcPr>
            <w:tcW w:w="0" w:type="pct"/>
            <w:tcBorders>
              <w:top w:val="single" w:sz="4" w:space="0" w:color="auto"/>
              <w:left w:val="single" w:sz="4" w:space="0" w:color="auto"/>
              <w:bottom w:val="single" w:sz="4" w:space="0" w:color="auto"/>
              <w:right w:val="single" w:sz="4" w:space="0" w:color="auto"/>
            </w:tcBorders>
          </w:tcPr>
          <w:p w:rsidR="00687FE8" w:rsidRPr="00887F7A" w14:paraId="6DFD04A8" w14:textId="77777777">
            <w:pPr>
              <w:pStyle w:val="TableTextDecimal"/>
              <w:jc w:val="center"/>
              <w:rPr>
                <w:vertAlign w:val="superscript"/>
              </w:rPr>
            </w:pPr>
            <w:r>
              <w:t>522</w:t>
            </w:r>
            <w:r>
              <w:rPr>
                <w:vertAlign w:val="superscript"/>
              </w:rPr>
              <w:t>e</w:t>
            </w:r>
          </w:p>
        </w:tc>
        <w:tc>
          <w:tcPr>
            <w:tcW w:w="630" w:type="pct"/>
            <w:tcBorders>
              <w:top w:val="single" w:sz="4" w:space="0" w:color="auto"/>
              <w:left w:val="single" w:sz="4" w:space="0" w:color="auto"/>
              <w:bottom w:val="single" w:sz="4" w:space="0" w:color="auto"/>
              <w:right w:val="single" w:sz="4" w:space="0" w:color="auto"/>
            </w:tcBorders>
            <w:vAlign w:val="top"/>
          </w:tcPr>
          <w:p w:rsidR="00687FE8" w:rsidRPr="005E623D" w:rsidP="00DF196B" w14:paraId="1EA88EE1" w14:textId="77777777">
            <w:pPr>
              <w:pStyle w:val="TableTextDecimal"/>
              <w:rPr>
                <w:highlight w:val="yellow"/>
              </w:rPr>
            </w:pPr>
            <w:r>
              <w:t>60</w:t>
            </w:r>
            <w:r>
              <w:rPr>
                <w:vertAlign w:val="superscript"/>
              </w:rPr>
              <w:t>d</w:t>
            </w:r>
            <w:r>
              <w:t xml:space="preserve"> </w:t>
            </w:r>
          </w:p>
        </w:tc>
        <w:tc>
          <w:tcPr>
            <w:tcW w:w="629" w:type="pct"/>
            <w:tcBorders>
              <w:top w:val="single" w:sz="4" w:space="0" w:color="auto"/>
              <w:left w:val="single" w:sz="4" w:space="0" w:color="auto"/>
              <w:bottom w:val="single" w:sz="4" w:space="0" w:color="auto"/>
              <w:right w:val="single" w:sz="4" w:space="0" w:color="auto"/>
            </w:tcBorders>
            <w:vAlign w:val="top"/>
          </w:tcPr>
          <w:p w:rsidR="00687FE8" w:rsidRPr="007B106E" w:rsidP="00DF196B" w14:paraId="437E0C4E" w14:textId="77777777">
            <w:pPr>
              <w:pStyle w:val="TableTextDecimal"/>
            </w:pPr>
            <w:r>
              <w:t>82</w:t>
            </w:r>
          </w:p>
        </w:tc>
      </w:tr>
      <w:tr w14:paraId="5C23CA17" w14:textId="77777777" w:rsidTr="001E2EA9">
        <w:tblPrEx>
          <w:tblW w:w="5000" w:type="pct"/>
          <w:tblInd w:w="0" w:type="dxa"/>
          <w:tblLayout w:type="fixed"/>
          <w:tblLook w:val="04A0"/>
        </w:tblPrEx>
        <w:tc>
          <w:tcPr>
            <w:tcW w:w="1779" w:type="pct"/>
            <w:tcBorders>
              <w:top w:val="single" w:sz="4" w:space="0" w:color="auto"/>
              <w:left w:val="single" w:sz="4" w:space="0" w:color="auto"/>
              <w:bottom w:val="single" w:sz="4" w:space="0" w:color="auto"/>
              <w:right w:val="single" w:sz="4" w:space="0" w:color="auto"/>
            </w:tcBorders>
            <w:vAlign w:val="top"/>
          </w:tcPr>
          <w:p w:rsidR="00687FE8" w:rsidRPr="007B106E" w14:paraId="166753E1" w14:textId="77777777">
            <w:pPr>
              <w:pStyle w:val="TableText"/>
              <w:spacing w:before="40" w:after="40"/>
              <w:rPr>
                <w:rFonts w:cs="Arial"/>
                <w:szCs w:val="18"/>
              </w:rPr>
            </w:pPr>
            <w:r w:rsidRPr="007B106E">
              <w:rPr>
                <w:rFonts w:cs="Arial"/>
                <w:szCs w:val="18"/>
              </w:rPr>
              <w:t>Schools (K–12)</w:t>
            </w:r>
          </w:p>
        </w:tc>
        <w:tc>
          <w:tcPr>
            <w:tcW w:w="702" w:type="pct"/>
            <w:tcBorders>
              <w:top w:val="single" w:sz="4" w:space="0" w:color="auto"/>
              <w:left w:val="single" w:sz="4" w:space="0" w:color="auto"/>
              <w:bottom w:val="single" w:sz="4" w:space="0" w:color="auto"/>
              <w:right w:val="single" w:sz="4" w:space="0" w:color="auto"/>
            </w:tcBorders>
            <w:vAlign w:val="top"/>
          </w:tcPr>
          <w:p w:rsidR="00687FE8" w:rsidRPr="007B106E" w:rsidP="00DD099A" w14:paraId="150997B0" w14:textId="77777777">
            <w:pPr>
              <w:pStyle w:val="TableTextDecimal"/>
              <w:tabs>
                <w:tab w:val="clear" w:pos="576"/>
                <w:tab w:val="decimal" w:pos="973"/>
              </w:tabs>
            </w:pPr>
            <w:r w:rsidRPr="007B106E">
              <w:t>92</w:t>
            </w:r>
            <w:r>
              <w:t>,</w:t>
            </w:r>
            <w:r w:rsidRPr="007B106E">
              <w:t>714</w:t>
            </w:r>
          </w:p>
        </w:tc>
        <w:tc>
          <w:tcPr>
            <w:tcW w:w="630" w:type="pct"/>
            <w:tcBorders>
              <w:top w:val="single" w:sz="4" w:space="0" w:color="auto"/>
              <w:left w:val="single" w:sz="4" w:space="0" w:color="auto"/>
              <w:bottom w:val="single" w:sz="4" w:space="0" w:color="auto"/>
              <w:right w:val="single" w:sz="4" w:space="0" w:color="auto"/>
            </w:tcBorders>
            <w:vAlign w:val="top"/>
          </w:tcPr>
          <w:p w:rsidR="00687FE8" w:rsidRPr="007B106E" w:rsidP="00DD099A" w14:paraId="2C0CF037" w14:textId="77777777">
            <w:pPr>
              <w:pStyle w:val="TableTextDecimal"/>
              <w:tabs>
                <w:tab w:val="clear" w:pos="576"/>
                <w:tab w:val="decimal" w:pos="791"/>
              </w:tabs>
            </w:pPr>
            <w:r w:rsidRPr="007B106E">
              <w:t>1,117</w:t>
            </w:r>
            <w:r>
              <w:rPr>
                <w:vertAlign w:val="superscript"/>
              </w:rPr>
              <w:t>d</w:t>
            </w:r>
          </w:p>
        </w:tc>
        <w:tc>
          <w:tcPr>
            <w:tcW w:w="0" w:type="pct"/>
            <w:tcBorders>
              <w:top w:val="single" w:sz="4" w:space="0" w:color="auto"/>
              <w:left w:val="single" w:sz="4" w:space="0" w:color="auto"/>
              <w:bottom w:val="single" w:sz="4" w:space="0" w:color="auto"/>
              <w:right w:val="single" w:sz="4" w:space="0" w:color="auto"/>
            </w:tcBorders>
          </w:tcPr>
          <w:p w:rsidR="00687FE8" w14:paraId="07682714" w14:textId="77777777">
            <w:pPr>
              <w:pStyle w:val="TableTextDecimal"/>
              <w:jc w:val="center"/>
            </w:pPr>
            <w:r>
              <w:t>1,061</w:t>
            </w:r>
          </w:p>
        </w:tc>
        <w:tc>
          <w:tcPr>
            <w:tcW w:w="630" w:type="pct"/>
            <w:tcBorders>
              <w:top w:val="single" w:sz="4" w:space="0" w:color="auto"/>
              <w:left w:val="single" w:sz="4" w:space="0" w:color="auto"/>
              <w:bottom w:val="single" w:sz="4" w:space="0" w:color="auto"/>
              <w:right w:val="single" w:sz="4" w:space="0" w:color="auto"/>
            </w:tcBorders>
            <w:vAlign w:val="top"/>
          </w:tcPr>
          <w:p w:rsidR="00687FE8" w:rsidRPr="00150703" w:rsidP="00DF196B" w14:paraId="41AFED7A" w14:textId="77777777">
            <w:pPr>
              <w:pStyle w:val="TableTextDecimal"/>
              <w:rPr>
                <w:highlight w:val="yellow"/>
                <w:vertAlign w:val="superscript"/>
              </w:rPr>
            </w:pPr>
            <w:r w:rsidRPr="00301FE7">
              <w:t>95</w:t>
            </w:r>
            <w:r>
              <w:rPr>
                <w:vertAlign w:val="superscript"/>
              </w:rPr>
              <w:t>d</w:t>
            </w:r>
          </w:p>
        </w:tc>
        <w:tc>
          <w:tcPr>
            <w:tcW w:w="629" w:type="pct"/>
            <w:tcBorders>
              <w:top w:val="single" w:sz="4" w:space="0" w:color="auto"/>
              <w:left w:val="single" w:sz="4" w:space="0" w:color="auto"/>
              <w:bottom w:val="single" w:sz="4" w:space="0" w:color="auto"/>
              <w:right w:val="single" w:sz="4" w:space="0" w:color="auto"/>
            </w:tcBorders>
            <w:vAlign w:val="top"/>
          </w:tcPr>
          <w:p w:rsidR="00687FE8" w:rsidRPr="007B106E" w:rsidP="00DF196B" w14:paraId="1536388A" w14:textId="77777777">
            <w:pPr>
              <w:pStyle w:val="TableTextDecimal"/>
            </w:pPr>
            <w:r w:rsidRPr="007B106E">
              <w:t>9</w:t>
            </w:r>
            <w:r>
              <w:t>4</w:t>
            </w:r>
          </w:p>
        </w:tc>
      </w:tr>
      <w:tr w14:paraId="3A9E2649" w14:textId="77777777" w:rsidTr="001E2EA9">
        <w:tblPrEx>
          <w:tblW w:w="5000" w:type="pct"/>
          <w:tblInd w:w="0" w:type="dxa"/>
          <w:tblLayout w:type="fixed"/>
          <w:tblLook w:val="04A0"/>
        </w:tblPrEx>
        <w:tc>
          <w:tcPr>
            <w:tcW w:w="1779" w:type="pct"/>
            <w:tcBorders>
              <w:top w:val="single" w:sz="4" w:space="0" w:color="auto"/>
              <w:left w:val="single" w:sz="4" w:space="0" w:color="auto"/>
              <w:bottom w:val="single" w:sz="4" w:space="0" w:color="auto"/>
              <w:right w:val="single" w:sz="4" w:space="0" w:color="auto"/>
            </w:tcBorders>
            <w:vAlign w:val="top"/>
          </w:tcPr>
          <w:p w:rsidR="00687FE8" w:rsidRPr="007B106E" w14:paraId="640CCAE4" w14:textId="77777777">
            <w:pPr>
              <w:pStyle w:val="TableText"/>
              <w:spacing w:before="40" w:after="40"/>
              <w:rPr>
                <w:rFonts w:cs="Arial"/>
                <w:szCs w:val="18"/>
              </w:rPr>
            </w:pPr>
            <w:r w:rsidRPr="007B106E">
              <w:rPr>
                <w:rFonts w:cs="Arial"/>
                <w:szCs w:val="18"/>
              </w:rPr>
              <w:t>Enrolled students (within schools participating in the National School Lunch Program)</w:t>
            </w:r>
          </w:p>
        </w:tc>
        <w:tc>
          <w:tcPr>
            <w:tcW w:w="702"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59D0744E" w14:textId="77777777">
            <w:pPr>
              <w:pStyle w:val="TableTextDecimal"/>
              <w:tabs>
                <w:tab w:val="clear" w:pos="576"/>
                <w:tab w:val="decimal" w:pos="973"/>
              </w:tabs>
            </w:pPr>
            <w:r w:rsidRPr="002B06B4">
              <w:t>48,719,713</w:t>
            </w:r>
          </w:p>
        </w:tc>
        <w:tc>
          <w:tcPr>
            <w:tcW w:w="630" w:type="pct"/>
            <w:tcBorders>
              <w:top w:val="single" w:sz="4" w:space="0" w:color="auto"/>
              <w:left w:val="single" w:sz="4" w:space="0" w:color="auto"/>
              <w:bottom w:val="single" w:sz="4" w:space="0" w:color="auto"/>
              <w:right w:val="single" w:sz="4" w:space="0" w:color="auto"/>
            </w:tcBorders>
            <w:vAlign w:val="center"/>
          </w:tcPr>
          <w:p w:rsidR="00687FE8" w:rsidRPr="007B106E" w:rsidP="00477A76" w14:paraId="2D0AA842" w14:textId="77777777">
            <w:pPr>
              <w:pStyle w:val="TableTextDecimal"/>
              <w:tabs>
                <w:tab w:val="clear" w:pos="576"/>
                <w:tab w:val="decimal" w:pos="791"/>
              </w:tabs>
              <w:jc w:val="center"/>
            </w:pPr>
            <w:r>
              <w:t>6,604</w:t>
            </w:r>
          </w:p>
        </w:tc>
        <w:tc>
          <w:tcPr>
            <w:tcW w:w="630" w:type="pct"/>
            <w:tcBorders>
              <w:top w:val="single" w:sz="4" w:space="0" w:color="auto"/>
              <w:left w:val="single" w:sz="4" w:space="0" w:color="auto"/>
              <w:bottom w:val="single" w:sz="4" w:space="0" w:color="auto"/>
              <w:right w:val="single" w:sz="4" w:space="0" w:color="auto"/>
            </w:tcBorders>
            <w:vAlign w:val="center"/>
          </w:tcPr>
          <w:p w:rsidR="00687FE8" w:rsidP="003C5A5E" w14:paraId="0CE5B03D" w14:textId="77777777">
            <w:pPr>
              <w:pStyle w:val="TableTextDecimal"/>
              <w:jc w:val="center"/>
            </w:pPr>
            <w:r>
              <w:t>3,302</w:t>
            </w:r>
          </w:p>
        </w:tc>
        <w:tc>
          <w:tcPr>
            <w:tcW w:w="630" w:type="pct"/>
            <w:tcBorders>
              <w:top w:val="single" w:sz="4" w:space="0" w:color="auto"/>
              <w:left w:val="single" w:sz="4" w:space="0" w:color="auto"/>
              <w:bottom w:val="single" w:sz="4" w:space="0" w:color="auto"/>
              <w:right w:val="single" w:sz="4" w:space="0" w:color="auto"/>
            </w:tcBorders>
            <w:vAlign w:val="center"/>
          </w:tcPr>
          <w:p w:rsidR="00687FE8" w:rsidRPr="005E623D" w:rsidP="00477A76" w14:paraId="62A6D9D7" w14:textId="77777777">
            <w:pPr>
              <w:pStyle w:val="TableTextDecimal"/>
              <w:tabs>
                <w:tab w:val="clear" w:pos="576"/>
              </w:tabs>
              <w:jc w:val="center"/>
              <w:rPr>
                <w:highlight w:val="yellow"/>
              </w:rPr>
            </w:pPr>
            <w:r>
              <w:t>50</w:t>
            </w:r>
          </w:p>
        </w:tc>
        <w:tc>
          <w:tcPr>
            <w:tcW w:w="629" w:type="pct"/>
            <w:tcBorders>
              <w:top w:val="single" w:sz="4" w:space="0" w:color="auto"/>
              <w:left w:val="single" w:sz="4" w:space="0" w:color="auto"/>
              <w:bottom w:val="single" w:sz="4" w:space="0" w:color="auto"/>
              <w:right w:val="single" w:sz="4" w:space="0" w:color="auto"/>
            </w:tcBorders>
            <w:vAlign w:val="center"/>
          </w:tcPr>
          <w:p w:rsidR="00687FE8" w:rsidRPr="007B106E" w:rsidP="00477A76" w14:paraId="36000A76" w14:textId="77777777">
            <w:pPr>
              <w:pStyle w:val="TableTextDecimal"/>
              <w:tabs>
                <w:tab w:val="clear" w:pos="576"/>
              </w:tabs>
              <w:jc w:val="center"/>
            </w:pPr>
            <w:r>
              <w:t>43</w:t>
            </w:r>
          </w:p>
        </w:tc>
      </w:tr>
      <w:tr w14:paraId="02FAAECB" w14:textId="77777777" w:rsidTr="001E2EA9">
        <w:tblPrEx>
          <w:tblW w:w="5000" w:type="pct"/>
          <w:tblInd w:w="0" w:type="dxa"/>
          <w:tblLayout w:type="fixed"/>
          <w:tblLook w:val="04A0"/>
        </w:tblPrEx>
        <w:tc>
          <w:tcPr>
            <w:tcW w:w="1779" w:type="pct"/>
            <w:tcBorders>
              <w:top w:val="single" w:sz="4" w:space="0" w:color="auto"/>
              <w:left w:val="single" w:sz="4" w:space="0" w:color="auto"/>
              <w:bottom w:val="single" w:sz="4" w:space="0" w:color="auto"/>
              <w:right w:val="single" w:sz="4" w:space="0" w:color="auto"/>
            </w:tcBorders>
            <w:vAlign w:val="top"/>
          </w:tcPr>
          <w:p w:rsidR="00687FE8" w:rsidRPr="007B106E" w14:paraId="602F9B0E" w14:textId="77777777">
            <w:pPr>
              <w:pStyle w:val="TableText"/>
              <w:spacing w:before="40" w:after="40"/>
              <w:rPr>
                <w:rFonts w:cs="Arial"/>
                <w:szCs w:val="18"/>
              </w:rPr>
            </w:pPr>
            <w:r w:rsidRPr="007B106E">
              <w:rPr>
                <w:rFonts w:cs="Arial"/>
                <w:szCs w:val="18"/>
              </w:rPr>
              <w:t>Parents and guardians of enrolled students</w:t>
            </w:r>
          </w:p>
        </w:tc>
        <w:tc>
          <w:tcPr>
            <w:tcW w:w="702" w:type="pct"/>
            <w:tcBorders>
              <w:top w:val="single" w:sz="4" w:space="0" w:color="auto"/>
              <w:left w:val="single" w:sz="4" w:space="0" w:color="auto"/>
              <w:bottom w:val="single" w:sz="4" w:space="0" w:color="auto"/>
              <w:right w:val="single" w:sz="4" w:space="0" w:color="auto"/>
            </w:tcBorders>
            <w:vAlign w:val="center"/>
          </w:tcPr>
          <w:p w:rsidR="00687FE8" w:rsidRPr="001A2D4D" w:rsidP="00226EF5" w14:paraId="1D5C4E71" w14:textId="77777777">
            <w:pPr>
              <w:pStyle w:val="TableTextDecimal"/>
              <w:tabs>
                <w:tab w:val="clear" w:pos="576"/>
                <w:tab w:val="decimal" w:pos="973"/>
              </w:tabs>
              <w:rPr>
                <w:vertAlign w:val="superscript"/>
              </w:rPr>
            </w:pPr>
            <w:r w:rsidRPr="007B106E">
              <w:t>83,026,207</w:t>
            </w:r>
            <w:r>
              <w:rPr>
                <w:vertAlign w:val="superscript"/>
              </w:rPr>
              <w:t>f</w:t>
            </w:r>
          </w:p>
        </w:tc>
        <w:tc>
          <w:tcPr>
            <w:tcW w:w="630" w:type="pct"/>
            <w:tcBorders>
              <w:top w:val="single" w:sz="4" w:space="0" w:color="auto"/>
              <w:left w:val="single" w:sz="4" w:space="0" w:color="auto"/>
              <w:bottom w:val="single" w:sz="4" w:space="0" w:color="auto"/>
              <w:right w:val="single" w:sz="4" w:space="0" w:color="auto"/>
            </w:tcBorders>
            <w:vAlign w:val="center"/>
          </w:tcPr>
          <w:p w:rsidR="00687FE8" w:rsidRPr="007B106E" w:rsidP="00477A76" w14:paraId="7939FD2B" w14:textId="77777777">
            <w:pPr>
              <w:pStyle w:val="TableTextDecimal"/>
              <w:tabs>
                <w:tab w:val="clear" w:pos="576"/>
                <w:tab w:val="decimal" w:pos="791"/>
              </w:tabs>
              <w:jc w:val="center"/>
            </w:pPr>
            <w:r>
              <w:t>3,302</w:t>
            </w:r>
          </w:p>
        </w:tc>
        <w:tc>
          <w:tcPr>
            <w:tcW w:w="630" w:type="pct"/>
            <w:tcBorders>
              <w:top w:val="single" w:sz="4" w:space="0" w:color="auto"/>
              <w:left w:val="single" w:sz="4" w:space="0" w:color="auto"/>
              <w:bottom w:val="single" w:sz="4" w:space="0" w:color="auto"/>
              <w:right w:val="single" w:sz="4" w:space="0" w:color="auto"/>
            </w:tcBorders>
            <w:vAlign w:val="center"/>
          </w:tcPr>
          <w:p w:rsidR="00687FE8" w:rsidP="003C5A5E" w14:paraId="40B25CB2" w14:textId="77777777">
            <w:pPr>
              <w:pStyle w:val="TableTextDecimal"/>
              <w:jc w:val="center"/>
            </w:pPr>
            <w:r>
              <w:t>1,800</w:t>
            </w:r>
          </w:p>
        </w:tc>
        <w:tc>
          <w:tcPr>
            <w:tcW w:w="630" w:type="pct"/>
            <w:tcBorders>
              <w:top w:val="single" w:sz="4" w:space="0" w:color="auto"/>
              <w:left w:val="single" w:sz="4" w:space="0" w:color="auto"/>
              <w:bottom w:val="single" w:sz="4" w:space="0" w:color="auto"/>
              <w:right w:val="single" w:sz="4" w:space="0" w:color="auto"/>
            </w:tcBorders>
            <w:vAlign w:val="center"/>
          </w:tcPr>
          <w:p w:rsidR="00687FE8" w:rsidRPr="005E623D" w:rsidP="00477A76" w14:paraId="159AFF18" w14:textId="77777777">
            <w:pPr>
              <w:pStyle w:val="TableTextDecimal"/>
              <w:tabs>
                <w:tab w:val="clear" w:pos="576"/>
              </w:tabs>
              <w:jc w:val="center"/>
              <w:rPr>
                <w:highlight w:val="yellow"/>
              </w:rPr>
            </w:pPr>
            <w:r>
              <w:t>55</w:t>
            </w:r>
          </w:p>
        </w:tc>
        <w:tc>
          <w:tcPr>
            <w:tcW w:w="629" w:type="pct"/>
            <w:tcBorders>
              <w:top w:val="single" w:sz="4" w:space="0" w:color="auto"/>
              <w:left w:val="single" w:sz="4" w:space="0" w:color="auto"/>
              <w:bottom w:val="single" w:sz="4" w:space="0" w:color="auto"/>
              <w:right w:val="single" w:sz="4" w:space="0" w:color="auto"/>
            </w:tcBorders>
            <w:vAlign w:val="center"/>
          </w:tcPr>
          <w:p w:rsidR="00687FE8" w:rsidRPr="007B106E" w:rsidP="00477A76" w14:paraId="7638FACE" w14:textId="77777777">
            <w:pPr>
              <w:pStyle w:val="TableTextDecimal"/>
              <w:tabs>
                <w:tab w:val="clear" w:pos="576"/>
              </w:tabs>
              <w:jc w:val="center"/>
            </w:pPr>
            <w:r w:rsidRPr="007B106E">
              <w:t>8</w:t>
            </w:r>
            <w:r>
              <w:t>6</w:t>
            </w:r>
          </w:p>
        </w:tc>
      </w:tr>
      <w:tr w14:paraId="36438BF8" w14:textId="77777777" w:rsidTr="001E2EA9">
        <w:tblPrEx>
          <w:tblW w:w="5000" w:type="pct"/>
          <w:tblInd w:w="0" w:type="dxa"/>
          <w:tblLayout w:type="fixed"/>
          <w:tblLook w:val="04A0"/>
        </w:tblPrEx>
        <w:tc>
          <w:tcPr>
            <w:tcW w:w="1779" w:type="pct"/>
            <w:tcBorders>
              <w:top w:val="single" w:sz="4" w:space="0" w:color="auto"/>
              <w:left w:val="single" w:sz="4" w:space="0" w:color="auto"/>
              <w:bottom w:val="single" w:sz="4" w:space="0" w:color="auto"/>
              <w:right w:val="single" w:sz="4" w:space="0" w:color="auto"/>
            </w:tcBorders>
            <w:vAlign w:val="top"/>
          </w:tcPr>
          <w:p w:rsidR="00687FE8" w:rsidRPr="007B106E" w14:paraId="66106242" w14:textId="77777777">
            <w:pPr>
              <w:pStyle w:val="TableText"/>
              <w:spacing w:before="40" w:after="40"/>
              <w:rPr>
                <w:rFonts w:cs="Arial"/>
                <w:szCs w:val="18"/>
              </w:rPr>
            </w:pPr>
            <w:r w:rsidRPr="007B106E">
              <w:rPr>
                <w:rFonts w:cs="Arial"/>
                <w:szCs w:val="18"/>
              </w:rPr>
              <w:t>Total</w:t>
            </w:r>
          </w:p>
        </w:tc>
        <w:tc>
          <w:tcPr>
            <w:tcW w:w="702"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1D9666E2" w14:textId="77777777">
            <w:pPr>
              <w:pStyle w:val="TableTextDecimal"/>
              <w:tabs>
                <w:tab w:val="clear" w:pos="576"/>
                <w:tab w:val="decimal" w:pos="973"/>
              </w:tabs>
              <w:jc w:val="center"/>
            </w:pPr>
            <w:r>
              <w:t>131,853,358</w:t>
            </w:r>
          </w:p>
        </w:tc>
        <w:tc>
          <w:tcPr>
            <w:tcW w:w="630"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2DF59B9C" w14:textId="77777777">
            <w:pPr>
              <w:pStyle w:val="TableTextDecimal"/>
              <w:tabs>
                <w:tab w:val="clear" w:pos="576"/>
                <w:tab w:val="decimal" w:pos="791"/>
              </w:tabs>
              <w:jc w:val="center"/>
            </w:pPr>
            <w:r w:rsidRPr="00A4756E">
              <w:t>11</w:t>
            </w:r>
            <w:r>
              <w:t>,</w:t>
            </w:r>
            <w:r w:rsidRPr="00A4756E">
              <w:t>95</w:t>
            </w:r>
            <w:r>
              <w:t>9</w:t>
            </w:r>
          </w:p>
        </w:tc>
        <w:tc>
          <w:tcPr>
            <w:tcW w:w="0" w:type="pct"/>
            <w:tcBorders>
              <w:top w:val="single" w:sz="4" w:space="0" w:color="auto"/>
              <w:left w:val="single" w:sz="4" w:space="0" w:color="auto"/>
              <w:bottom w:val="single" w:sz="4" w:space="0" w:color="auto"/>
              <w:right w:val="single" w:sz="4" w:space="0" w:color="auto"/>
            </w:tcBorders>
            <w:vAlign w:val="center"/>
          </w:tcPr>
          <w:p w:rsidR="00687FE8" w:rsidP="00226EF5" w14:paraId="425F694B" w14:textId="77777777">
            <w:pPr>
              <w:pStyle w:val="TableTextDecimal"/>
              <w:jc w:val="center"/>
            </w:pPr>
            <w:r>
              <w:t>6,732</w:t>
            </w:r>
          </w:p>
        </w:tc>
        <w:tc>
          <w:tcPr>
            <w:tcW w:w="630" w:type="pct"/>
            <w:tcBorders>
              <w:top w:val="single" w:sz="4" w:space="0" w:color="auto"/>
              <w:left w:val="single" w:sz="4" w:space="0" w:color="auto"/>
              <w:bottom w:val="single" w:sz="4" w:space="0" w:color="auto"/>
              <w:right w:val="single" w:sz="4" w:space="0" w:color="auto"/>
            </w:tcBorders>
            <w:vAlign w:val="center"/>
          </w:tcPr>
          <w:p w:rsidR="00687FE8" w:rsidRPr="005E623D" w:rsidP="00226EF5" w14:paraId="61572FDF" w14:textId="77777777">
            <w:pPr>
              <w:pStyle w:val="TableTextDecimal"/>
              <w:tabs>
                <w:tab w:val="clear" w:pos="576"/>
              </w:tabs>
              <w:jc w:val="center"/>
              <w:rPr>
                <w:highlight w:val="yellow"/>
              </w:rPr>
            </w:pPr>
            <w:r>
              <w:t>16</w:t>
            </w:r>
            <w:r>
              <w:rPr>
                <w:vertAlign w:val="superscript"/>
              </w:rPr>
              <w:t>g</w:t>
            </w:r>
          </w:p>
        </w:tc>
        <w:tc>
          <w:tcPr>
            <w:tcW w:w="629"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68D45EBE" w14:textId="77777777">
            <w:pPr>
              <w:pStyle w:val="TableTextDecimal"/>
              <w:tabs>
                <w:tab w:val="clear" w:pos="576"/>
              </w:tabs>
              <w:jc w:val="center"/>
            </w:pPr>
            <w:r>
              <w:t>29</w:t>
            </w:r>
            <w:r>
              <w:rPr>
                <w:vertAlign w:val="superscript"/>
              </w:rPr>
              <w:t>g</w:t>
            </w:r>
          </w:p>
        </w:tc>
      </w:tr>
    </w:tbl>
    <w:p w:rsidR="00687FE8" w:rsidRPr="00C25857" w:rsidP="00C25857" w14:paraId="585D86FA" w14:textId="77777777">
      <w:pPr>
        <w:pStyle w:val="TableSourceCaption"/>
        <w:spacing w:after="0"/>
        <w:rPr>
          <w:sz w:val="15"/>
          <w:szCs w:val="15"/>
        </w:rPr>
      </w:pPr>
      <w:r w:rsidRPr="00C816BE">
        <w:rPr>
          <w:sz w:val="15"/>
          <w:szCs w:val="15"/>
        </w:rPr>
        <w:t>Source:</w:t>
      </w:r>
      <w:r w:rsidRPr="00C25857">
        <w:rPr>
          <w:sz w:val="15"/>
          <w:szCs w:val="15"/>
        </w:rPr>
        <w:tab/>
        <w:t>Common Core of Data file (CCD) 2017</w:t>
      </w:r>
      <w:r>
        <w:rPr>
          <w:sz w:val="15"/>
          <w:szCs w:val="15"/>
        </w:rPr>
        <w:t>–</w:t>
      </w:r>
      <w:r w:rsidRPr="00C25857">
        <w:rPr>
          <w:sz w:val="15"/>
          <w:szCs w:val="15"/>
        </w:rPr>
        <w:t>2018 for the school and student counts and SFA Verification Collection Report (FNS-742), school year 2018</w:t>
      </w:r>
      <w:r>
        <w:rPr>
          <w:sz w:val="15"/>
          <w:szCs w:val="15"/>
        </w:rPr>
        <w:t>–</w:t>
      </w:r>
      <w:r w:rsidRPr="00C25857">
        <w:rPr>
          <w:sz w:val="15"/>
          <w:szCs w:val="15"/>
        </w:rPr>
        <w:t xml:space="preserve">2019 for the SFA counts. These counts will be updated at the time of sampling using the latest versions of both the FNS-742 file and the CCD file. Zeidman et al. </w:t>
      </w:r>
      <w:r>
        <w:rPr>
          <w:sz w:val="15"/>
          <w:szCs w:val="15"/>
        </w:rPr>
        <w:t>(</w:t>
      </w:r>
      <w:r w:rsidRPr="00C25857">
        <w:rPr>
          <w:sz w:val="15"/>
          <w:szCs w:val="15"/>
        </w:rPr>
        <w:t>2019</w:t>
      </w:r>
      <w:r>
        <w:rPr>
          <w:sz w:val="15"/>
          <w:szCs w:val="15"/>
        </w:rPr>
        <w:t>)</w:t>
      </w:r>
      <w:r>
        <w:rPr>
          <w:rStyle w:val="FootnoteReference"/>
          <w:sz w:val="15"/>
          <w:szCs w:val="15"/>
        </w:rPr>
        <w:footnoteReference w:id="3"/>
      </w:r>
      <w:r w:rsidRPr="00C25857">
        <w:rPr>
          <w:sz w:val="15"/>
          <w:szCs w:val="15"/>
        </w:rPr>
        <w:t xml:space="preserve"> for the SNMCS-I weighted response rates.</w:t>
      </w:r>
    </w:p>
    <w:p w:rsidR="00687FE8" w:rsidRPr="00C25857" w:rsidP="00C25857" w14:paraId="17101584" w14:textId="77777777">
      <w:pPr>
        <w:pStyle w:val="TableSourceCaption"/>
        <w:spacing w:after="0"/>
        <w:rPr>
          <w:iCs/>
          <w:sz w:val="15"/>
          <w:szCs w:val="15"/>
        </w:rPr>
      </w:pPr>
      <w:r w:rsidRPr="00C816BE">
        <w:rPr>
          <w:sz w:val="15"/>
          <w:szCs w:val="15"/>
        </w:rPr>
        <w:t>Notes:</w:t>
      </w:r>
      <w:r w:rsidRPr="00C25857">
        <w:rPr>
          <w:i/>
          <w:sz w:val="15"/>
          <w:szCs w:val="15"/>
        </w:rPr>
        <w:t xml:space="preserve"> </w:t>
      </w:r>
      <w:r w:rsidRPr="00C25857">
        <w:rPr>
          <w:i/>
          <w:sz w:val="15"/>
          <w:szCs w:val="15"/>
        </w:rPr>
        <w:tab/>
      </w:r>
      <w:r w:rsidRPr="00C25857">
        <w:rPr>
          <w:iCs/>
          <w:sz w:val="15"/>
          <w:szCs w:val="15"/>
        </w:rPr>
        <w:t xml:space="preserve">Expected response rates reflect the percentage of eligible SFAs, schools, students, or parents/guardians. </w:t>
      </w:r>
    </w:p>
    <w:p w:rsidR="00687FE8" w:rsidRPr="00C25857" w:rsidP="00C25857" w14:paraId="5F16239F" w14:textId="77777777">
      <w:pPr>
        <w:pStyle w:val="TableSourceCaption"/>
        <w:spacing w:before="0" w:after="0"/>
        <w:ind w:firstLine="0"/>
        <w:rPr>
          <w:iCs/>
          <w:sz w:val="15"/>
          <w:szCs w:val="15"/>
        </w:rPr>
      </w:pPr>
      <w:r>
        <w:rPr>
          <w:iCs/>
          <w:sz w:val="15"/>
          <w:szCs w:val="15"/>
        </w:rPr>
        <w:t>n.a.</w:t>
      </w:r>
      <w:r w:rsidRPr="00C25857">
        <w:rPr>
          <w:iCs/>
          <w:sz w:val="15"/>
          <w:szCs w:val="15"/>
        </w:rPr>
        <w:t xml:space="preserve"> = not applicable</w:t>
      </w:r>
      <w:r>
        <w:rPr>
          <w:iCs/>
          <w:sz w:val="15"/>
          <w:szCs w:val="15"/>
        </w:rPr>
        <w:t>.</w:t>
      </w:r>
    </w:p>
    <w:p w:rsidR="00687FE8" w:rsidP="00DA79BF" w14:paraId="6F616D37" w14:textId="77777777">
      <w:pPr>
        <w:pStyle w:val="TableSourceCaption"/>
        <w:spacing w:after="0"/>
        <w:ind w:left="86" w:hanging="86"/>
      </w:pPr>
      <w:r>
        <w:rPr>
          <w:sz w:val="15"/>
          <w:szCs w:val="15"/>
          <w:vertAlign w:val="superscript"/>
        </w:rPr>
        <w:t xml:space="preserve">a </w:t>
      </w:r>
      <w:r w:rsidRPr="00150703">
        <w:rPr>
          <w:sz w:val="15"/>
          <w:szCs w:val="15"/>
        </w:rPr>
        <w:t xml:space="preserve">Calculated by dividing the target number of completes by the </w:t>
      </w:r>
      <w:r>
        <w:rPr>
          <w:sz w:val="15"/>
          <w:szCs w:val="15"/>
        </w:rPr>
        <w:t>initial sample</w:t>
      </w:r>
      <w:r w:rsidRPr="00150703">
        <w:rPr>
          <w:sz w:val="15"/>
          <w:szCs w:val="15"/>
        </w:rPr>
        <w:t>.</w:t>
      </w:r>
      <w:r>
        <w:t xml:space="preserve"> </w:t>
      </w:r>
    </w:p>
    <w:p w:rsidR="00687FE8" w:rsidRPr="00150703" w:rsidP="00DA79BF" w14:paraId="07A7CAC0" w14:textId="77777777">
      <w:pPr>
        <w:pStyle w:val="TableSourceCaption"/>
        <w:spacing w:after="0"/>
        <w:ind w:left="86" w:hanging="86"/>
        <w:rPr>
          <w:sz w:val="15"/>
          <w:szCs w:val="15"/>
        </w:rPr>
      </w:pPr>
      <w:r w:rsidRPr="00150703">
        <w:rPr>
          <w:sz w:val="15"/>
          <w:szCs w:val="15"/>
          <w:vertAlign w:val="superscript"/>
        </w:rPr>
        <w:t>b</w:t>
      </w:r>
      <w:r w:rsidRPr="0096546E">
        <w:rPr>
          <w:iCs/>
          <w:sz w:val="15"/>
          <w:szCs w:val="15"/>
        </w:rPr>
        <w:t xml:space="preserve"> </w:t>
      </w:r>
      <w:r w:rsidRPr="00C25857">
        <w:rPr>
          <w:iCs/>
          <w:sz w:val="15"/>
          <w:szCs w:val="15"/>
        </w:rPr>
        <w:t>Expected response rates reflect the percentage of eligible SFAs, schools, students, or parents/guardians.</w:t>
      </w:r>
    </w:p>
    <w:p w:rsidR="00687FE8" w:rsidP="00DA79BF" w14:paraId="4B19CD4A" w14:textId="77777777">
      <w:pPr>
        <w:pStyle w:val="TableSourceCaption"/>
        <w:spacing w:after="0"/>
        <w:ind w:left="86" w:hanging="86"/>
        <w:rPr>
          <w:sz w:val="15"/>
          <w:szCs w:val="15"/>
        </w:rPr>
      </w:pPr>
      <w:r w:rsidRPr="00150703">
        <w:rPr>
          <w:sz w:val="15"/>
          <w:szCs w:val="15"/>
          <w:vertAlign w:val="superscript"/>
        </w:rPr>
        <w:t>c</w:t>
      </w:r>
      <w:r w:rsidRPr="00C25857">
        <w:rPr>
          <w:sz w:val="15"/>
          <w:szCs w:val="15"/>
        </w:rPr>
        <w:t>All sample groups are asked to participate in multiple data collection activities for SNMCS-II. The reported response rate from SNMCS-I reflects the primary data collection activity for the sample group. For SFAs, this is the SFA Director Survey; for schools, the Menu Survey; for students, the Student Interview; for parents, the Parent Interview.</w:t>
      </w:r>
    </w:p>
    <w:p w:rsidR="00687FE8" w:rsidP="00B55D3F" w14:paraId="37E569CC" w14:textId="77777777">
      <w:pPr>
        <w:pStyle w:val="TableSourceCaption"/>
        <w:spacing w:after="0"/>
        <w:ind w:left="86" w:hanging="86"/>
        <w:rPr>
          <w:sz w:val="15"/>
          <w:szCs w:val="15"/>
        </w:rPr>
      </w:pPr>
      <w:r>
        <w:rPr>
          <w:sz w:val="15"/>
          <w:szCs w:val="15"/>
          <w:vertAlign w:val="superscript"/>
        </w:rPr>
        <w:t xml:space="preserve">d </w:t>
      </w:r>
      <w:r>
        <w:rPr>
          <w:sz w:val="15"/>
          <w:szCs w:val="15"/>
        </w:rPr>
        <w:t xml:space="preserve">Does not include the </w:t>
      </w:r>
      <w:r w:rsidRPr="003961A8">
        <w:rPr>
          <w:sz w:val="15"/>
          <w:szCs w:val="15"/>
        </w:rPr>
        <w:t>Outlying Areas</w:t>
      </w:r>
      <w:r>
        <w:rPr>
          <w:sz w:val="15"/>
          <w:szCs w:val="15"/>
        </w:rPr>
        <w:t>, for comparability with SNMCS-I.</w:t>
      </w:r>
    </w:p>
    <w:p w:rsidR="00687FE8" w:rsidRPr="00C25857" w:rsidP="00B55D3F" w14:paraId="77188FBF" w14:textId="77777777">
      <w:pPr>
        <w:pStyle w:val="TableSourceCaption"/>
        <w:spacing w:after="0"/>
        <w:ind w:left="86" w:hanging="86"/>
        <w:rPr>
          <w:sz w:val="15"/>
          <w:szCs w:val="15"/>
        </w:rPr>
      </w:pPr>
      <w:r w:rsidRPr="00887F7A">
        <w:rPr>
          <w:sz w:val="15"/>
          <w:szCs w:val="15"/>
          <w:vertAlign w:val="superscript"/>
        </w:rPr>
        <w:t>e</w:t>
      </w:r>
      <w:r>
        <w:rPr>
          <w:sz w:val="15"/>
          <w:szCs w:val="15"/>
        </w:rPr>
        <w:t xml:space="preserve"> </w:t>
      </w:r>
      <w:r>
        <w:rPr>
          <w:sz w:val="15"/>
          <w:szCs w:val="15"/>
        </w:rPr>
        <w:t>T</w:t>
      </w:r>
      <w:r w:rsidRPr="001D6B97">
        <w:rPr>
          <w:sz w:val="15"/>
          <w:szCs w:val="15"/>
        </w:rPr>
        <w:t>he</w:t>
      </w:r>
      <w:r w:rsidRPr="001D6B97">
        <w:rPr>
          <w:sz w:val="15"/>
          <w:szCs w:val="15"/>
        </w:rPr>
        <w:t xml:space="preserve"> certainty SFAs are included in Groups 1a, 2a, and 3 but are only counted once to get a unique number of SFAs equal to 522.</w:t>
      </w:r>
    </w:p>
    <w:p w:rsidR="00687FE8" w:rsidRPr="00C25857" w:rsidP="00C25857" w14:paraId="044F8E06" w14:textId="77777777">
      <w:pPr>
        <w:pStyle w:val="TableSourceCaption"/>
        <w:spacing w:after="0"/>
        <w:ind w:left="86" w:hanging="86"/>
        <w:rPr>
          <w:sz w:val="15"/>
          <w:szCs w:val="15"/>
        </w:rPr>
      </w:pPr>
      <w:r>
        <w:rPr>
          <w:sz w:val="15"/>
          <w:szCs w:val="15"/>
          <w:vertAlign w:val="superscript"/>
        </w:rPr>
        <w:t xml:space="preserve">f </w:t>
      </w:r>
      <w:r w:rsidRPr="00C25857">
        <w:rPr>
          <w:sz w:val="15"/>
          <w:szCs w:val="15"/>
        </w:rPr>
        <w:t>This estimate assumes approximately 70 percent of children are in two-parent households.</w:t>
      </w:r>
      <w:r>
        <w:rPr>
          <w:rStyle w:val="FootnoteReference"/>
          <w:sz w:val="15"/>
          <w:szCs w:val="15"/>
        </w:rPr>
        <w:footnoteReference w:id="4"/>
      </w:r>
    </w:p>
    <w:p w:rsidR="00687FE8" w:rsidRPr="00C25857" w:rsidP="00C25857" w14:paraId="7B082490" w14:textId="77777777">
      <w:pPr>
        <w:pStyle w:val="TableSourceCaption"/>
        <w:spacing w:after="0"/>
        <w:ind w:left="86" w:hanging="86"/>
        <w:rPr>
          <w:sz w:val="15"/>
          <w:szCs w:val="15"/>
        </w:rPr>
      </w:pPr>
      <w:r>
        <w:rPr>
          <w:sz w:val="15"/>
          <w:szCs w:val="15"/>
          <w:vertAlign w:val="superscript"/>
        </w:rPr>
        <w:t xml:space="preserve">g </w:t>
      </w:r>
      <w:r w:rsidRPr="00C25857">
        <w:rPr>
          <w:sz w:val="15"/>
          <w:szCs w:val="15"/>
        </w:rPr>
        <w:t>The</w:t>
      </w:r>
      <w:r w:rsidRPr="00C25857">
        <w:rPr>
          <w:sz w:val="15"/>
          <w:szCs w:val="15"/>
        </w:rPr>
        <w:t xml:space="preserve"> overall response rates were estimated by multiplying the expected and prior response rates for the </w:t>
      </w:r>
      <w:r>
        <w:rPr>
          <w:sz w:val="15"/>
          <w:szCs w:val="15"/>
        </w:rPr>
        <w:t>SFAs, schools, students, and parents.</w:t>
      </w:r>
    </w:p>
    <w:p w:rsidR="00687FE8" w:rsidP="00DA79BF" w14:paraId="026FA4D9" w14:textId="77777777">
      <w:pPr>
        <w:pStyle w:val="TableSourceCaption"/>
        <w:spacing w:after="0"/>
        <w:ind w:left="86" w:hanging="86"/>
        <w:rPr>
          <w:sz w:val="15"/>
          <w:szCs w:val="15"/>
        </w:rPr>
      </w:pPr>
      <w:r>
        <w:rPr>
          <w:sz w:val="15"/>
          <w:szCs w:val="15"/>
        </w:rPr>
        <w:br w:type="page"/>
      </w:r>
    </w:p>
    <w:p w:rsidR="00687FE8" w:rsidRPr="00C816BE" w:rsidP="00F0326A" w14:paraId="1013C81D" w14:textId="77777777">
      <w:pPr>
        <w:pStyle w:val="MarkforTableHeading"/>
        <w:rPr>
          <w:sz w:val="20"/>
          <w:szCs w:val="20"/>
        </w:rPr>
      </w:pPr>
      <w:r w:rsidRPr="29D101F8">
        <w:rPr>
          <w:sz w:val="20"/>
          <w:szCs w:val="20"/>
        </w:rPr>
        <w:t xml:space="preserve">Table B.1.2. Respondent universe for SFPS-IV component and expected and SFPS-III response </w:t>
      </w:r>
      <w:r w:rsidRPr="29D101F8">
        <w:rPr>
          <w:sz w:val="20"/>
          <w:szCs w:val="20"/>
        </w:rPr>
        <w:t>rates</w:t>
      </w:r>
    </w:p>
    <w:tbl>
      <w:tblPr>
        <w:tblStyle w:val="SMPRTableBlack"/>
        <w:tblW w:w="5000" w:type="pct"/>
        <w:tblInd w:w="0" w:type="dxa"/>
        <w:tblLayout w:type="fixed"/>
        <w:tblLook w:val="04A0"/>
      </w:tblPr>
      <w:tblGrid>
        <w:gridCol w:w="2430"/>
        <w:gridCol w:w="1260"/>
        <w:gridCol w:w="1350"/>
        <w:gridCol w:w="1265"/>
        <w:gridCol w:w="1301"/>
        <w:gridCol w:w="1754"/>
      </w:tblGrid>
      <w:tr w14:paraId="040F81F9" w14:textId="77777777" w:rsidTr="001E2EA9">
        <w:tblPrEx>
          <w:tblW w:w="5000" w:type="pct"/>
          <w:tblInd w:w="0" w:type="dxa"/>
          <w:tblLayout w:type="fixed"/>
          <w:tblLook w:val="04A0"/>
        </w:tblPrEx>
        <w:tc>
          <w:tcPr>
            <w:tcW w:w="1298" w:type="pct"/>
            <w:tcBorders>
              <w:top w:val="nil"/>
              <w:bottom w:val="single" w:sz="4" w:space="0" w:color="auto"/>
              <w:right w:val="single" w:sz="4" w:space="0" w:color="FFFFFF" w:themeColor="background1"/>
            </w:tcBorders>
            <w:shd w:val="clear" w:color="auto" w:fill="6C6F70"/>
          </w:tcPr>
          <w:p w:rsidR="00687FE8" w:rsidRPr="007B106E" w14:paraId="61F0CB9D" w14:textId="77777777">
            <w:pPr>
              <w:pStyle w:val="TableHeaderLeft"/>
              <w:rPr>
                <w:rFonts w:cs="Arial"/>
                <w:szCs w:val="18"/>
              </w:rPr>
            </w:pPr>
            <w:r w:rsidRPr="007B106E">
              <w:rPr>
                <w:rFonts w:cs="Arial"/>
                <w:szCs w:val="18"/>
              </w:rPr>
              <w:t>Sample group</w:t>
            </w:r>
          </w:p>
        </w:tc>
        <w:tc>
          <w:tcPr>
            <w:tcW w:w="673"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6DC03706" w14:textId="77777777">
            <w:pPr>
              <w:pStyle w:val="TableHeaderCenter"/>
              <w:rPr>
                <w:rFonts w:cs="Arial"/>
                <w:szCs w:val="18"/>
              </w:rPr>
            </w:pPr>
            <w:r w:rsidRPr="007B106E">
              <w:rPr>
                <w:rFonts w:cs="Arial"/>
                <w:szCs w:val="18"/>
              </w:rPr>
              <w:t>Estimated size of respondent universe</w:t>
            </w:r>
          </w:p>
        </w:tc>
        <w:tc>
          <w:tcPr>
            <w:tcW w:w="721"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020BDE17" w14:textId="77777777">
            <w:pPr>
              <w:pStyle w:val="TableHeaderCenter"/>
              <w:rPr>
                <w:rFonts w:cs="Arial"/>
                <w:szCs w:val="18"/>
              </w:rPr>
            </w:pPr>
            <w:r w:rsidRPr="007B106E">
              <w:rPr>
                <w:rFonts w:cs="Arial"/>
                <w:szCs w:val="18"/>
              </w:rPr>
              <w:t xml:space="preserve">Initial </w:t>
            </w:r>
            <w:r>
              <w:rPr>
                <w:rFonts w:cs="Arial"/>
                <w:szCs w:val="18"/>
              </w:rPr>
              <w:t>s</w:t>
            </w:r>
            <w:r w:rsidRPr="007B106E">
              <w:rPr>
                <w:rFonts w:cs="Arial"/>
                <w:szCs w:val="18"/>
              </w:rPr>
              <w:t>ample</w:t>
            </w:r>
          </w:p>
        </w:tc>
        <w:tc>
          <w:tcPr>
            <w:tcW w:w="676"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14:paraId="1C53C40B" w14:textId="77777777">
            <w:pPr>
              <w:pStyle w:val="TableHeaderCenter"/>
              <w:rPr>
                <w:rFonts w:cs="Arial"/>
                <w:szCs w:val="18"/>
              </w:rPr>
            </w:pPr>
            <w:r>
              <w:rPr>
                <w:rFonts w:cs="Arial"/>
                <w:szCs w:val="18"/>
              </w:rPr>
              <w:t>Target Complete</w:t>
            </w:r>
          </w:p>
        </w:tc>
        <w:tc>
          <w:tcPr>
            <w:tcW w:w="695"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54948981" w14:textId="77777777">
            <w:pPr>
              <w:pStyle w:val="TableHeaderCenter"/>
              <w:rPr>
                <w:rFonts w:cs="Arial"/>
                <w:szCs w:val="18"/>
              </w:rPr>
            </w:pPr>
            <w:r w:rsidRPr="007B106E">
              <w:rPr>
                <w:rFonts w:cs="Arial"/>
                <w:szCs w:val="18"/>
              </w:rPr>
              <w:t xml:space="preserve">Expected </w:t>
            </w:r>
            <w:r>
              <w:rPr>
                <w:rFonts w:cs="Arial"/>
                <w:szCs w:val="18"/>
              </w:rPr>
              <w:t>r</w:t>
            </w:r>
            <w:r w:rsidRPr="007B106E">
              <w:rPr>
                <w:rFonts w:cs="Arial"/>
                <w:szCs w:val="18"/>
              </w:rPr>
              <w:t xml:space="preserve">esponse </w:t>
            </w:r>
            <w:r>
              <w:rPr>
                <w:rFonts w:cs="Arial"/>
                <w:szCs w:val="18"/>
              </w:rPr>
              <w:t>r</w:t>
            </w:r>
            <w:r w:rsidRPr="007B106E">
              <w:rPr>
                <w:rFonts w:cs="Arial"/>
                <w:szCs w:val="18"/>
              </w:rPr>
              <w:t>ate (%)</w:t>
            </w:r>
          </w:p>
        </w:tc>
        <w:tc>
          <w:tcPr>
            <w:tcW w:w="937" w:type="pct"/>
            <w:tcBorders>
              <w:top w:val="nil"/>
              <w:left w:val="single" w:sz="4" w:space="0" w:color="FFFFFF" w:themeColor="background1"/>
              <w:bottom w:val="single" w:sz="4" w:space="0" w:color="auto"/>
            </w:tcBorders>
            <w:shd w:val="clear" w:color="auto" w:fill="6C6F70"/>
          </w:tcPr>
          <w:p w:rsidR="00687FE8" w:rsidRPr="007B106E" w14:paraId="616BEA7C" w14:textId="77777777">
            <w:pPr>
              <w:pStyle w:val="TableHeaderCenter"/>
              <w:rPr>
                <w:rFonts w:cs="Arial"/>
                <w:szCs w:val="18"/>
              </w:rPr>
            </w:pPr>
            <w:r>
              <w:rPr>
                <w:rFonts w:cs="Arial"/>
                <w:szCs w:val="18"/>
              </w:rPr>
              <w:t>SFPS-III</w:t>
            </w:r>
            <w:r w:rsidRPr="007B106E">
              <w:rPr>
                <w:rFonts w:cs="Arial"/>
                <w:szCs w:val="18"/>
              </w:rPr>
              <w:t xml:space="preserve"> </w:t>
            </w:r>
            <w:r>
              <w:rPr>
                <w:rFonts w:cs="Arial"/>
                <w:szCs w:val="18"/>
              </w:rPr>
              <w:t>r</w:t>
            </w:r>
            <w:r w:rsidRPr="007B106E">
              <w:rPr>
                <w:rFonts w:cs="Arial"/>
                <w:szCs w:val="18"/>
              </w:rPr>
              <w:t xml:space="preserve">esponse </w:t>
            </w:r>
            <w:r>
              <w:rPr>
                <w:rFonts w:cs="Arial"/>
                <w:szCs w:val="18"/>
              </w:rPr>
              <w:t>r</w:t>
            </w:r>
            <w:r w:rsidRPr="007B106E">
              <w:rPr>
                <w:rFonts w:cs="Arial"/>
                <w:szCs w:val="18"/>
              </w:rPr>
              <w:t>ate</w:t>
            </w:r>
            <w:r>
              <w:rPr>
                <w:rFonts w:cs="Arial"/>
                <w:szCs w:val="18"/>
              </w:rPr>
              <w:t xml:space="preserve">, </w:t>
            </w:r>
            <w:r w:rsidRPr="007B106E">
              <w:rPr>
                <w:rFonts w:cs="Arial"/>
                <w:szCs w:val="18"/>
              </w:rPr>
              <w:t xml:space="preserve"> (</w:t>
            </w:r>
            <w:r w:rsidRPr="007B106E">
              <w:rPr>
                <w:rFonts w:cs="Arial"/>
                <w:szCs w:val="18"/>
              </w:rPr>
              <w:t>%)</w:t>
            </w:r>
            <w:r w:rsidRPr="007B106E">
              <w:rPr>
                <w:rFonts w:cs="Arial"/>
                <w:szCs w:val="18"/>
                <w:vertAlign w:val="superscript"/>
              </w:rPr>
              <w:t>a</w:t>
            </w:r>
          </w:p>
        </w:tc>
      </w:tr>
      <w:tr w14:paraId="19807F7F" w14:textId="77777777" w:rsidTr="001E2EA9">
        <w:tblPrEx>
          <w:tblW w:w="5000" w:type="pct"/>
          <w:tblInd w:w="0" w:type="dxa"/>
          <w:tblLayout w:type="fixed"/>
          <w:tblLook w:val="04A0"/>
        </w:tblPrEx>
        <w:tc>
          <w:tcPr>
            <w:tcW w:w="1298" w:type="pct"/>
            <w:tcBorders>
              <w:top w:val="single" w:sz="4" w:space="0" w:color="auto"/>
              <w:left w:val="single" w:sz="4" w:space="0" w:color="auto"/>
              <w:bottom w:val="single" w:sz="4" w:space="0" w:color="auto"/>
              <w:right w:val="single" w:sz="4" w:space="0" w:color="auto"/>
            </w:tcBorders>
            <w:vAlign w:val="top"/>
          </w:tcPr>
          <w:p w:rsidR="00687FE8" w:rsidRPr="007B106E" w14:paraId="61F9E8A6" w14:textId="77777777">
            <w:pPr>
              <w:pStyle w:val="TableText"/>
              <w:spacing w:before="40" w:after="40"/>
              <w:rPr>
                <w:rFonts w:cs="Arial"/>
                <w:szCs w:val="18"/>
              </w:rPr>
            </w:pPr>
            <w:r w:rsidRPr="007B106E">
              <w:rPr>
                <w:rFonts w:cs="Arial"/>
                <w:szCs w:val="18"/>
              </w:rPr>
              <w:t>States</w:t>
            </w:r>
          </w:p>
        </w:tc>
        <w:tc>
          <w:tcPr>
            <w:tcW w:w="673" w:type="pct"/>
            <w:tcBorders>
              <w:top w:val="single" w:sz="4" w:space="0" w:color="auto"/>
              <w:left w:val="single" w:sz="4" w:space="0" w:color="auto"/>
              <w:bottom w:val="single" w:sz="4" w:space="0" w:color="auto"/>
              <w:right w:val="single" w:sz="4" w:space="0" w:color="auto"/>
            </w:tcBorders>
            <w:vAlign w:val="center"/>
          </w:tcPr>
          <w:p w:rsidR="00687FE8" w:rsidRPr="00B62C3C" w:rsidP="00226EF5" w14:paraId="4B5F152D" w14:textId="77777777">
            <w:pPr>
              <w:pStyle w:val="TableText"/>
              <w:tabs>
                <w:tab w:val="decimal" w:pos="877"/>
              </w:tabs>
              <w:spacing w:before="40" w:after="40"/>
              <w:jc w:val="center"/>
              <w:rPr>
                <w:rFonts w:cs="Arial"/>
                <w:szCs w:val="18"/>
              </w:rPr>
            </w:pPr>
            <w:r w:rsidRPr="00B62C3C">
              <w:rPr>
                <w:rFonts w:cs="Arial"/>
                <w:szCs w:val="18"/>
              </w:rPr>
              <w:t>49</w:t>
            </w:r>
          </w:p>
        </w:tc>
        <w:tc>
          <w:tcPr>
            <w:tcW w:w="721" w:type="pct"/>
            <w:tcBorders>
              <w:top w:val="single" w:sz="4" w:space="0" w:color="auto"/>
              <w:left w:val="single" w:sz="4" w:space="0" w:color="auto"/>
              <w:bottom w:val="single" w:sz="4" w:space="0" w:color="auto"/>
              <w:right w:val="single" w:sz="4" w:space="0" w:color="auto"/>
            </w:tcBorders>
            <w:vAlign w:val="center"/>
          </w:tcPr>
          <w:p w:rsidR="00687FE8" w:rsidRPr="00B62C3C" w:rsidP="00226EF5" w14:paraId="19BC3644" w14:textId="77777777">
            <w:pPr>
              <w:pStyle w:val="TableText"/>
              <w:tabs>
                <w:tab w:val="decimal" w:pos="697"/>
              </w:tabs>
              <w:spacing w:before="40" w:after="40"/>
              <w:jc w:val="center"/>
              <w:rPr>
                <w:rFonts w:cs="Arial"/>
                <w:szCs w:val="18"/>
              </w:rPr>
            </w:pPr>
            <w:r w:rsidRPr="00B62C3C">
              <w:rPr>
                <w:rFonts w:cs="Arial"/>
                <w:szCs w:val="18"/>
              </w:rPr>
              <w:t>49</w:t>
            </w:r>
          </w:p>
        </w:tc>
        <w:tc>
          <w:tcPr>
            <w:tcW w:w="676" w:type="pct"/>
            <w:tcBorders>
              <w:top w:val="single" w:sz="4" w:space="0" w:color="auto"/>
              <w:left w:val="single" w:sz="4" w:space="0" w:color="auto"/>
              <w:bottom w:val="single" w:sz="4" w:space="0" w:color="auto"/>
              <w:right w:val="single" w:sz="4" w:space="0" w:color="auto"/>
            </w:tcBorders>
            <w:vAlign w:val="center"/>
          </w:tcPr>
          <w:p w:rsidR="00687FE8" w:rsidP="00226EF5" w14:paraId="647A9D27" w14:textId="77777777">
            <w:pPr>
              <w:pStyle w:val="TableText"/>
              <w:tabs>
                <w:tab w:val="decimal" w:pos="697"/>
              </w:tabs>
              <w:spacing w:before="40" w:after="40"/>
              <w:jc w:val="center"/>
              <w:rPr>
                <w:rFonts w:cs="Arial"/>
                <w:szCs w:val="18"/>
              </w:rPr>
            </w:pPr>
            <w:r>
              <w:rPr>
                <w:rFonts w:cs="Arial"/>
                <w:szCs w:val="18"/>
              </w:rPr>
              <w:t>49</w:t>
            </w:r>
          </w:p>
        </w:tc>
        <w:tc>
          <w:tcPr>
            <w:tcW w:w="695" w:type="pct"/>
            <w:tcBorders>
              <w:top w:val="single" w:sz="4" w:space="0" w:color="auto"/>
              <w:left w:val="single" w:sz="4" w:space="0" w:color="auto"/>
              <w:bottom w:val="single" w:sz="4" w:space="0" w:color="auto"/>
              <w:right w:val="single" w:sz="4" w:space="0" w:color="auto"/>
            </w:tcBorders>
            <w:vAlign w:val="center"/>
          </w:tcPr>
          <w:p w:rsidR="00687FE8" w:rsidRPr="00B62C3C" w:rsidP="00226EF5" w14:paraId="4EEBC1D3" w14:textId="77777777">
            <w:pPr>
              <w:pStyle w:val="TableText"/>
              <w:tabs>
                <w:tab w:val="decimal" w:pos="697"/>
              </w:tabs>
              <w:spacing w:before="40" w:after="40"/>
              <w:jc w:val="center"/>
              <w:rPr>
                <w:rFonts w:cs="Arial"/>
                <w:szCs w:val="18"/>
              </w:rPr>
            </w:pPr>
            <w:r w:rsidRPr="00B62C3C">
              <w:rPr>
                <w:rFonts w:cs="Arial"/>
                <w:szCs w:val="18"/>
              </w:rPr>
              <w:t>100</w:t>
            </w:r>
          </w:p>
        </w:tc>
        <w:tc>
          <w:tcPr>
            <w:tcW w:w="937" w:type="pct"/>
            <w:tcBorders>
              <w:top w:val="single" w:sz="4" w:space="0" w:color="auto"/>
              <w:left w:val="single" w:sz="4" w:space="0" w:color="auto"/>
              <w:bottom w:val="single" w:sz="4" w:space="0" w:color="auto"/>
              <w:right w:val="single" w:sz="4" w:space="0" w:color="auto"/>
            </w:tcBorders>
            <w:vAlign w:val="center"/>
          </w:tcPr>
          <w:p w:rsidR="00687FE8" w:rsidRPr="007E2911" w:rsidP="00226EF5" w14:paraId="4577A1A1" w14:textId="77777777">
            <w:pPr>
              <w:pStyle w:val="TableText"/>
              <w:spacing w:before="40" w:after="40"/>
              <w:jc w:val="center"/>
              <w:rPr>
                <w:rFonts w:cs="Arial"/>
                <w:szCs w:val="18"/>
              </w:rPr>
            </w:pPr>
            <w:r>
              <w:rPr>
                <w:rFonts w:cs="Arial"/>
                <w:szCs w:val="18"/>
              </w:rPr>
              <w:t>n.a</w:t>
            </w:r>
            <w:r w:rsidRPr="007E2911">
              <w:rPr>
                <w:rFonts w:cs="Arial"/>
                <w:szCs w:val="18"/>
              </w:rPr>
              <w:t>.</w:t>
            </w:r>
          </w:p>
        </w:tc>
      </w:tr>
      <w:tr w14:paraId="373B32A7" w14:textId="77777777" w:rsidTr="001E2EA9">
        <w:tblPrEx>
          <w:tblW w:w="5000" w:type="pct"/>
          <w:tblInd w:w="0" w:type="dxa"/>
          <w:tblLayout w:type="fixed"/>
          <w:tblLook w:val="04A0"/>
        </w:tblPrEx>
        <w:tc>
          <w:tcPr>
            <w:tcW w:w="1298" w:type="pct"/>
            <w:tcBorders>
              <w:top w:val="single" w:sz="4" w:space="0" w:color="auto"/>
              <w:left w:val="single" w:sz="4" w:space="0" w:color="auto"/>
              <w:bottom w:val="single" w:sz="4" w:space="0" w:color="auto"/>
              <w:right w:val="single" w:sz="4" w:space="0" w:color="auto"/>
            </w:tcBorders>
            <w:vAlign w:val="top"/>
          </w:tcPr>
          <w:p w:rsidR="00687FE8" w:rsidRPr="007B106E" w14:paraId="71A7F517" w14:textId="77777777">
            <w:pPr>
              <w:pStyle w:val="TableText"/>
              <w:spacing w:before="40" w:after="40"/>
              <w:rPr>
                <w:rFonts w:cs="Arial"/>
                <w:szCs w:val="18"/>
              </w:rPr>
            </w:pPr>
            <w:r w:rsidRPr="007B106E">
              <w:rPr>
                <w:rFonts w:cs="Arial"/>
                <w:szCs w:val="18"/>
              </w:rPr>
              <w:t>Public SFAs</w:t>
            </w:r>
          </w:p>
        </w:tc>
        <w:tc>
          <w:tcPr>
            <w:tcW w:w="673"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537257E9" w14:textId="77777777">
            <w:pPr>
              <w:pStyle w:val="TableText"/>
              <w:tabs>
                <w:tab w:val="decimal" w:pos="877"/>
              </w:tabs>
              <w:spacing w:before="40" w:after="40"/>
              <w:jc w:val="center"/>
              <w:rPr>
                <w:rFonts w:cs="Arial"/>
                <w:szCs w:val="18"/>
              </w:rPr>
            </w:pPr>
            <w:r>
              <w:rPr>
                <w:rFonts w:cs="Arial"/>
                <w:szCs w:val="18"/>
              </w:rPr>
              <w:t>12,635</w:t>
            </w:r>
          </w:p>
        </w:tc>
        <w:tc>
          <w:tcPr>
            <w:tcW w:w="721"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64A3567E" w14:textId="77777777">
            <w:pPr>
              <w:pStyle w:val="TableText"/>
              <w:tabs>
                <w:tab w:val="decimal" w:pos="697"/>
              </w:tabs>
              <w:spacing w:before="40" w:after="40"/>
              <w:jc w:val="center"/>
              <w:rPr>
                <w:rFonts w:cs="Arial"/>
                <w:szCs w:val="18"/>
              </w:rPr>
            </w:pPr>
            <w:r>
              <w:rPr>
                <w:rFonts w:cs="Arial"/>
                <w:szCs w:val="18"/>
              </w:rPr>
              <w:t>683</w:t>
            </w:r>
          </w:p>
        </w:tc>
        <w:tc>
          <w:tcPr>
            <w:tcW w:w="676" w:type="pct"/>
            <w:tcBorders>
              <w:top w:val="single" w:sz="4" w:space="0" w:color="auto"/>
              <w:left w:val="single" w:sz="4" w:space="0" w:color="auto"/>
              <w:bottom w:val="single" w:sz="4" w:space="0" w:color="auto"/>
              <w:right w:val="single" w:sz="4" w:space="0" w:color="auto"/>
            </w:tcBorders>
            <w:vAlign w:val="center"/>
          </w:tcPr>
          <w:p w:rsidR="00687FE8" w:rsidP="00226EF5" w14:paraId="6939F93C" w14:textId="77777777">
            <w:pPr>
              <w:pStyle w:val="TableText"/>
              <w:tabs>
                <w:tab w:val="decimal" w:pos="697"/>
              </w:tabs>
              <w:spacing w:before="40" w:after="40"/>
              <w:jc w:val="center"/>
              <w:rPr>
                <w:rFonts w:cs="Arial"/>
                <w:szCs w:val="18"/>
              </w:rPr>
            </w:pPr>
            <w:r>
              <w:rPr>
                <w:rFonts w:cs="Arial"/>
                <w:szCs w:val="18"/>
              </w:rPr>
              <w:t>364</w:t>
            </w:r>
          </w:p>
        </w:tc>
        <w:tc>
          <w:tcPr>
            <w:tcW w:w="695" w:type="pct"/>
            <w:tcBorders>
              <w:top w:val="single" w:sz="4" w:space="0" w:color="auto"/>
              <w:left w:val="single" w:sz="4" w:space="0" w:color="auto"/>
              <w:bottom w:val="single" w:sz="4" w:space="0" w:color="auto"/>
              <w:right w:val="single" w:sz="4" w:space="0" w:color="auto"/>
            </w:tcBorders>
            <w:vAlign w:val="center"/>
          </w:tcPr>
          <w:p w:rsidR="00687FE8" w:rsidRPr="005E623D" w:rsidP="00226EF5" w14:paraId="701B6E5A" w14:textId="77777777">
            <w:pPr>
              <w:pStyle w:val="TableText"/>
              <w:tabs>
                <w:tab w:val="decimal" w:pos="697"/>
              </w:tabs>
              <w:spacing w:before="40" w:after="40"/>
              <w:jc w:val="center"/>
              <w:rPr>
                <w:rFonts w:cs="Arial"/>
                <w:szCs w:val="18"/>
                <w:highlight w:val="yellow"/>
              </w:rPr>
            </w:pPr>
            <w:r>
              <w:rPr>
                <w:rFonts w:cs="Arial"/>
                <w:szCs w:val="18"/>
              </w:rPr>
              <w:t>53</w:t>
            </w:r>
          </w:p>
        </w:tc>
        <w:tc>
          <w:tcPr>
            <w:tcW w:w="937" w:type="pct"/>
            <w:tcBorders>
              <w:top w:val="single" w:sz="4" w:space="0" w:color="auto"/>
              <w:left w:val="single" w:sz="4" w:space="0" w:color="auto"/>
              <w:bottom w:val="single" w:sz="4" w:space="0" w:color="auto"/>
              <w:right w:val="single" w:sz="4" w:space="0" w:color="auto"/>
            </w:tcBorders>
            <w:vAlign w:val="center"/>
          </w:tcPr>
          <w:p w:rsidR="00687FE8" w:rsidRPr="007B106E" w:rsidP="00226EF5" w14:paraId="676560B0" w14:textId="77777777">
            <w:pPr>
              <w:pStyle w:val="TableText"/>
              <w:spacing w:before="40" w:after="40"/>
              <w:jc w:val="center"/>
              <w:rPr>
                <w:rFonts w:cs="Arial"/>
                <w:szCs w:val="18"/>
              </w:rPr>
            </w:pPr>
            <w:r>
              <w:rPr>
                <w:rFonts w:cs="Arial"/>
                <w:szCs w:val="18"/>
              </w:rPr>
              <w:t>67</w:t>
            </w:r>
          </w:p>
        </w:tc>
      </w:tr>
    </w:tbl>
    <w:p w:rsidR="00687FE8" w:rsidRPr="00C25857" w:rsidP="00785E16" w14:paraId="75130E07" w14:textId="77777777">
      <w:pPr>
        <w:pStyle w:val="TableSourceCaption"/>
        <w:spacing w:after="0"/>
        <w:ind w:left="1070" w:hanging="1070"/>
        <w:rPr>
          <w:sz w:val="15"/>
          <w:szCs w:val="15"/>
        </w:rPr>
      </w:pPr>
      <w:r w:rsidRPr="00C816BE">
        <w:rPr>
          <w:sz w:val="15"/>
          <w:szCs w:val="15"/>
        </w:rPr>
        <w:t xml:space="preserve">Source: </w:t>
      </w:r>
      <w:r w:rsidRPr="00C816BE">
        <w:rPr>
          <w:sz w:val="15"/>
          <w:szCs w:val="15"/>
        </w:rPr>
        <w:tab/>
      </w:r>
      <w:r w:rsidRPr="00CE235E">
        <w:rPr>
          <w:sz w:val="15"/>
          <w:szCs w:val="15"/>
        </w:rPr>
        <w:t>SFA Verification Collection Report (FNS-742), school year 2018</w:t>
      </w:r>
      <w:r>
        <w:rPr>
          <w:sz w:val="15"/>
          <w:szCs w:val="15"/>
        </w:rPr>
        <w:t>–</w:t>
      </w:r>
      <w:r w:rsidRPr="00CE235E">
        <w:rPr>
          <w:sz w:val="15"/>
          <w:szCs w:val="15"/>
        </w:rPr>
        <w:t>2019 for the SFA counts. SFPS</w:t>
      </w:r>
      <w:r>
        <w:rPr>
          <w:sz w:val="15"/>
          <w:szCs w:val="15"/>
        </w:rPr>
        <w:t xml:space="preserve">-III response rates reported in the </w:t>
      </w:r>
      <w:r w:rsidRPr="00535196">
        <w:rPr>
          <w:sz w:val="15"/>
          <w:szCs w:val="15"/>
        </w:rPr>
        <w:t>School Food Purchase Study-III Final Report, March 2012</w:t>
      </w:r>
      <w:r>
        <w:rPr>
          <w:sz w:val="15"/>
          <w:szCs w:val="15"/>
        </w:rPr>
        <w:t>.</w:t>
      </w:r>
      <w:r>
        <w:rPr>
          <w:rStyle w:val="FootnoteReference"/>
          <w:sz w:val="15"/>
          <w:szCs w:val="15"/>
        </w:rPr>
        <w:footnoteReference w:id="5"/>
      </w:r>
    </w:p>
    <w:p w:rsidR="00687FE8" w:rsidRPr="00C25857" w:rsidP="00371202" w14:paraId="770E08D1" w14:textId="77777777">
      <w:pPr>
        <w:pStyle w:val="TableSourceCaption"/>
        <w:spacing w:after="0"/>
        <w:rPr>
          <w:iCs/>
          <w:sz w:val="15"/>
          <w:szCs w:val="15"/>
        </w:rPr>
      </w:pPr>
      <w:r w:rsidRPr="00C816BE">
        <w:rPr>
          <w:sz w:val="15"/>
          <w:szCs w:val="15"/>
        </w:rPr>
        <w:t>Notes:</w:t>
      </w:r>
      <w:r w:rsidRPr="00C25857">
        <w:rPr>
          <w:i/>
          <w:sz w:val="15"/>
          <w:szCs w:val="15"/>
        </w:rPr>
        <w:t xml:space="preserve"> </w:t>
      </w:r>
      <w:r w:rsidRPr="00C25857">
        <w:rPr>
          <w:i/>
          <w:sz w:val="15"/>
          <w:szCs w:val="15"/>
        </w:rPr>
        <w:tab/>
      </w:r>
      <w:r w:rsidRPr="00C25857">
        <w:rPr>
          <w:iCs/>
          <w:sz w:val="15"/>
          <w:szCs w:val="15"/>
        </w:rPr>
        <w:t xml:space="preserve"> </w:t>
      </w:r>
    </w:p>
    <w:p w:rsidR="00687FE8" w:rsidRPr="00C25857" w:rsidP="00371202" w14:paraId="707537E1" w14:textId="77777777">
      <w:pPr>
        <w:pStyle w:val="TableSourceCaption"/>
        <w:spacing w:before="0" w:after="0"/>
        <w:ind w:firstLine="0"/>
        <w:rPr>
          <w:iCs/>
          <w:sz w:val="15"/>
          <w:szCs w:val="15"/>
        </w:rPr>
      </w:pPr>
      <w:r>
        <w:rPr>
          <w:iCs/>
          <w:sz w:val="15"/>
          <w:szCs w:val="15"/>
        </w:rPr>
        <w:t>n.a.</w:t>
      </w:r>
      <w:r w:rsidRPr="00C25857">
        <w:rPr>
          <w:iCs/>
          <w:sz w:val="15"/>
          <w:szCs w:val="15"/>
        </w:rPr>
        <w:t xml:space="preserve"> = not applicable</w:t>
      </w:r>
      <w:r>
        <w:rPr>
          <w:iCs/>
          <w:sz w:val="15"/>
          <w:szCs w:val="15"/>
        </w:rPr>
        <w:t>.</w:t>
      </w:r>
    </w:p>
    <w:p w:rsidR="00687FE8" w:rsidP="0080127F" w14:paraId="5BED999D" w14:textId="77777777">
      <w:pPr>
        <w:pStyle w:val="TableSourceCaption"/>
        <w:spacing w:after="0"/>
        <w:ind w:left="86" w:hanging="86"/>
        <w:rPr>
          <w:sz w:val="15"/>
          <w:szCs w:val="15"/>
        </w:rPr>
      </w:pPr>
      <w:r>
        <w:rPr>
          <w:sz w:val="15"/>
          <w:szCs w:val="15"/>
          <w:vertAlign w:val="superscript"/>
        </w:rPr>
        <w:t>a</w:t>
      </w:r>
      <w:r>
        <w:rPr>
          <w:sz w:val="15"/>
          <w:szCs w:val="15"/>
        </w:rPr>
        <w:t xml:space="preserve"> SFAs</w:t>
      </w:r>
      <w:r w:rsidRPr="00C25857">
        <w:rPr>
          <w:sz w:val="15"/>
          <w:szCs w:val="15"/>
        </w:rPr>
        <w:t xml:space="preserve"> are asked to participate in multiple data collection activities for </w:t>
      </w:r>
      <w:r>
        <w:rPr>
          <w:sz w:val="15"/>
          <w:szCs w:val="15"/>
        </w:rPr>
        <w:t>SFPS-IV</w:t>
      </w:r>
      <w:r w:rsidRPr="00C25857">
        <w:rPr>
          <w:sz w:val="15"/>
          <w:szCs w:val="15"/>
        </w:rPr>
        <w:t xml:space="preserve">. </w:t>
      </w:r>
      <w:r w:rsidRPr="006A49B6">
        <w:rPr>
          <w:sz w:val="15"/>
          <w:szCs w:val="15"/>
        </w:rPr>
        <w:t>The reported response rate from SFPS-III reflects the complet</w:t>
      </w:r>
      <w:r>
        <w:rPr>
          <w:sz w:val="15"/>
          <w:szCs w:val="15"/>
        </w:rPr>
        <w:t>ion of both the procurement practices and food purchase surveys. For this study, these components together are analogous to completion of the SFA Director Survey (SFPS-IV component) and Quarterly Program Data Form and Food Purchase Request.</w:t>
      </w:r>
    </w:p>
    <w:p w:rsidR="00687FE8" w:rsidP="002210BA" w14:paraId="452B0502" w14:textId="77777777">
      <w:pPr>
        <w:tabs>
          <w:tab w:val="clear" w:pos="432"/>
        </w:tabs>
        <w:spacing w:line="240" w:lineRule="auto"/>
        <w:ind w:firstLine="0"/>
        <w:jc w:val="left"/>
        <w:textAlignment w:val="baseline"/>
        <w:rPr>
          <w:rFonts w:ascii="Segoe UI" w:hAnsi="Segoe UI" w:cs="Segoe UI"/>
          <w:color w:val="0B2949"/>
          <w:sz w:val="22"/>
          <w:szCs w:val="22"/>
        </w:rPr>
      </w:pPr>
    </w:p>
    <w:p w:rsidR="00687FE8" w:rsidRPr="00C816BE" w:rsidP="00AC397C" w14:paraId="1E6C09ED" w14:textId="77777777">
      <w:pPr>
        <w:pStyle w:val="MarkforTableHeading"/>
        <w:rPr>
          <w:sz w:val="20"/>
          <w:szCs w:val="20"/>
        </w:rPr>
      </w:pPr>
      <w:r w:rsidRPr="29D101F8">
        <w:rPr>
          <w:sz w:val="20"/>
          <w:szCs w:val="20"/>
        </w:rPr>
        <w:t xml:space="preserve">Table B.1.3. Respondent universe for FFVP </w:t>
      </w:r>
      <w:r>
        <w:rPr>
          <w:sz w:val="20"/>
          <w:szCs w:val="20"/>
        </w:rPr>
        <w:t xml:space="preserve">evaluation </w:t>
      </w:r>
      <w:r w:rsidRPr="29D101F8">
        <w:rPr>
          <w:sz w:val="20"/>
          <w:szCs w:val="20"/>
        </w:rPr>
        <w:t>component and expected and FFVP</w:t>
      </w:r>
      <w:r>
        <w:rPr>
          <w:sz w:val="20"/>
          <w:szCs w:val="20"/>
        </w:rPr>
        <w:t>-I</w:t>
      </w:r>
      <w:r w:rsidRPr="29D101F8">
        <w:rPr>
          <w:sz w:val="20"/>
          <w:szCs w:val="20"/>
        </w:rPr>
        <w:t xml:space="preserve"> response </w:t>
      </w:r>
      <w:r w:rsidRPr="29D101F8">
        <w:rPr>
          <w:sz w:val="20"/>
          <w:szCs w:val="20"/>
        </w:rPr>
        <w:t>rates</w:t>
      </w:r>
    </w:p>
    <w:tbl>
      <w:tblPr>
        <w:tblStyle w:val="SMPRTableBlack"/>
        <w:tblW w:w="5000" w:type="pct"/>
        <w:tblInd w:w="0" w:type="dxa"/>
        <w:tblLayout w:type="fixed"/>
        <w:tblLook w:val="04A0"/>
      </w:tblPr>
      <w:tblGrid>
        <w:gridCol w:w="2654"/>
        <w:gridCol w:w="1404"/>
        <w:gridCol w:w="1325"/>
        <w:gridCol w:w="1249"/>
        <w:gridCol w:w="1249"/>
        <w:gridCol w:w="1479"/>
      </w:tblGrid>
      <w:tr w14:paraId="4022B5E5" w14:textId="77777777" w:rsidTr="001E2EA9">
        <w:tblPrEx>
          <w:tblW w:w="5000" w:type="pct"/>
          <w:tblInd w:w="0" w:type="dxa"/>
          <w:tblLayout w:type="fixed"/>
          <w:tblLook w:val="04A0"/>
        </w:tblPrEx>
        <w:tc>
          <w:tcPr>
            <w:tcW w:w="1418" w:type="pct"/>
            <w:tcBorders>
              <w:top w:val="nil"/>
              <w:bottom w:val="single" w:sz="4" w:space="0" w:color="auto"/>
              <w:right w:val="single" w:sz="4" w:space="0" w:color="FFFFFF" w:themeColor="background1"/>
            </w:tcBorders>
            <w:shd w:val="clear" w:color="auto" w:fill="6C6F70"/>
          </w:tcPr>
          <w:p w:rsidR="00687FE8" w:rsidRPr="007B106E" w14:paraId="31C587AA" w14:textId="77777777">
            <w:pPr>
              <w:pStyle w:val="TableHeaderLeft"/>
              <w:rPr>
                <w:rFonts w:cs="Arial"/>
                <w:szCs w:val="18"/>
              </w:rPr>
            </w:pPr>
            <w:r w:rsidRPr="007B106E">
              <w:rPr>
                <w:rFonts w:cs="Arial"/>
                <w:szCs w:val="18"/>
              </w:rPr>
              <w:t>Sample group</w:t>
            </w:r>
          </w:p>
        </w:tc>
        <w:tc>
          <w:tcPr>
            <w:tcW w:w="750"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01F251F0" w14:textId="77777777">
            <w:pPr>
              <w:pStyle w:val="TableHeaderCenter"/>
              <w:rPr>
                <w:rFonts w:cs="Arial"/>
                <w:szCs w:val="18"/>
              </w:rPr>
            </w:pPr>
            <w:r>
              <w:rPr>
                <w:rFonts w:cs="Arial"/>
                <w:szCs w:val="18"/>
              </w:rPr>
              <w:t>Estimated size of respondent universe</w:t>
            </w:r>
          </w:p>
        </w:tc>
        <w:tc>
          <w:tcPr>
            <w:tcW w:w="708"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483E1B1C" w14:textId="77777777">
            <w:pPr>
              <w:pStyle w:val="TableHeaderCenter"/>
              <w:rPr>
                <w:rFonts w:cs="Arial"/>
                <w:szCs w:val="18"/>
              </w:rPr>
            </w:pPr>
            <w:r w:rsidRPr="007B106E">
              <w:rPr>
                <w:rFonts w:cs="Arial"/>
                <w:szCs w:val="18"/>
              </w:rPr>
              <w:t xml:space="preserve">Initial </w:t>
            </w:r>
            <w:r>
              <w:rPr>
                <w:rFonts w:cs="Arial"/>
                <w:szCs w:val="18"/>
              </w:rPr>
              <w:t>s</w:t>
            </w:r>
            <w:r w:rsidRPr="007B106E">
              <w:rPr>
                <w:rFonts w:cs="Arial"/>
                <w:szCs w:val="18"/>
              </w:rPr>
              <w:t>ample</w:t>
            </w:r>
          </w:p>
        </w:tc>
        <w:tc>
          <w:tcPr>
            <w:tcW w:w="0"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14:paraId="11A2E07C" w14:textId="77777777">
            <w:pPr>
              <w:pStyle w:val="TableHeaderCenter"/>
              <w:rPr>
                <w:rFonts w:cs="Arial"/>
                <w:szCs w:val="18"/>
              </w:rPr>
            </w:pPr>
            <w:r>
              <w:rPr>
                <w:rFonts w:cs="Arial"/>
                <w:szCs w:val="18"/>
              </w:rPr>
              <w:t>Target Complete</w:t>
            </w:r>
          </w:p>
        </w:tc>
        <w:tc>
          <w:tcPr>
            <w:tcW w:w="667" w:type="pct"/>
            <w:tcBorders>
              <w:top w:val="nil"/>
              <w:left w:val="single" w:sz="4" w:space="0" w:color="FFFFFF" w:themeColor="background1"/>
              <w:bottom w:val="single" w:sz="4" w:space="0" w:color="auto"/>
              <w:right w:val="single" w:sz="4" w:space="0" w:color="FFFFFF" w:themeColor="background1"/>
            </w:tcBorders>
            <w:shd w:val="clear" w:color="auto" w:fill="6C6F70"/>
          </w:tcPr>
          <w:p w:rsidR="00687FE8" w:rsidRPr="007B106E" w14:paraId="308AC153" w14:textId="77777777">
            <w:pPr>
              <w:pStyle w:val="TableHeaderCenter"/>
              <w:rPr>
                <w:rFonts w:cs="Arial"/>
                <w:szCs w:val="18"/>
              </w:rPr>
            </w:pPr>
            <w:r w:rsidRPr="007B106E">
              <w:rPr>
                <w:rFonts w:cs="Arial"/>
                <w:szCs w:val="18"/>
              </w:rPr>
              <w:t xml:space="preserve">Expected </w:t>
            </w:r>
            <w:r>
              <w:rPr>
                <w:rFonts w:cs="Arial"/>
                <w:szCs w:val="18"/>
              </w:rPr>
              <w:t>r</w:t>
            </w:r>
            <w:r w:rsidRPr="007B106E">
              <w:rPr>
                <w:rFonts w:cs="Arial"/>
                <w:szCs w:val="18"/>
              </w:rPr>
              <w:t xml:space="preserve">esponse </w:t>
            </w:r>
            <w:r>
              <w:rPr>
                <w:rFonts w:cs="Arial"/>
                <w:szCs w:val="18"/>
              </w:rPr>
              <w:t>r</w:t>
            </w:r>
            <w:r w:rsidRPr="007B106E">
              <w:rPr>
                <w:rFonts w:cs="Arial"/>
                <w:szCs w:val="18"/>
              </w:rPr>
              <w:t>ate (%)</w:t>
            </w:r>
          </w:p>
        </w:tc>
        <w:tc>
          <w:tcPr>
            <w:tcW w:w="790" w:type="pct"/>
            <w:tcBorders>
              <w:top w:val="nil"/>
              <w:left w:val="single" w:sz="4" w:space="0" w:color="FFFFFF" w:themeColor="background1"/>
              <w:bottom w:val="single" w:sz="4" w:space="0" w:color="auto"/>
            </w:tcBorders>
            <w:shd w:val="clear" w:color="auto" w:fill="6C6F70"/>
          </w:tcPr>
          <w:p w:rsidR="00687FE8" w:rsidRPr="007B106E" w:rsidP="29D101F8" w14:paraId="5627638B" w14:textId="77777777">
            <w:pPr>
              <w:pStyle w:val="TableHeaderCenter"/>
              <w:rPr>
                <w:rFonts w:cs="Arial"/>
              </w:rPr>
            </w:pPr>
            <w:r w:rsidRPr="29D101F8">
              <w:rPr>
                <w:rFonts w:cs="Arial"/>
              </w:rPr>
              <w:t>FFVP</w:t>
            </w:r>
            <w:r>
              <w:rPr>
                <w:rFonts w:cs="Arial"/>
              </w:rPr>
              <w:t>-I</w:t>
            </w:r>
            <w:r w:rsidRPr="29D101F8">
              <w:rPr>
                <w:rFonts w:cs="Arial"/>
              </w:rPr>
              <w:t xml:space="preserve"> response </w:t>
            </w:r>
            <w:r w:rsidRPr="29D101F8">
              <w:rPr>
                <w:rFonts w:cs="Arial"/>
              </w:rPr>
              <w:t>rate(</w:t>
            </w:r>
            <w:r w:rsidRPr="29D101F8">
              <w:rPr>
                <w:rFonts w:cs="Arial"/>
              </w:rPr>
              <w:t>%)</w:t>
            </w:r>
          </w:p>
        </w:tc>
      </w:tr>
      <w:tr w14:paraId="736AD8BC" w14:textId="77777777" w:rsidTr="001E2EA9">
        <w:tblPrEx>
          <w:tblW w:w="5000" w:type="pct"/>
          <w:tblInd w:w="0" w:type="dxa"/>
          <w:tblLayout w:type="fixed"/>
          <w:tblLook w:val="04A0"/>
        </w:tblPrEx>
        <w:tc>
          <w:tcPr>
            <w:tcW w:w="1418" w:type="pct"/>
            <w:tcBorders>
              <w:top w:val="single" w:sz="4" w:space="0" w:color="auto"/>
              <w:left w:val="single" w:sz="4" w:space="0" w:color="auto"/>
              <w:bottom w:val="single" w:sz="4" w:space="0" w:color="auto"/>
              <w:right w:val="single" w:sz="4" w:space="0" w:color="auto"/>
            </w:tcBorders>
            <w:vAlign w:val="top"/>
          </w:tcPr>
          <w:p w:rsidR="00687FE8" w:rsidRPr="007B106E" w14:paraId="0EA8E956" w14:textId="77777777">
            <w:pPr>
              <w:pStyle w:val="TableText"/>
              <w:spacing w:before="40" w:after="40"/>
              <w:rPr>
                <w:rFonts w:cs="Arial"/>
                <w:szCs w:val="18"/>
              </w:rPr>
            </w:pPr>
            <w:r w:rsidRPr="007B106E">
              <w:rPr>
                <w:rFonts w:cs="Arial"/>
                <w:szCs w:val="18"/>
              </w:rPr>
              <w:t>Public SFAs</w:t>
            </w:r>
          </w:p>
        </w:tc>
        <w:tc>
          <w:tcPr>
            <w:tcW w:w="750" w:type="pct"/>
            <w:tcBorders>
              <w:top w:val="single" w:sz="4" w:space="0" w:color="auto"/>
              <w:left w:val="single" w:sz="4" w:space="0" w:color="auto"/>
              <w:bottom w:val="single" w:sz="4" w:space="0" w:color="auto"/>
              <w:right w:val="single" w:sz="4" w:space="0" w:color="auto"/>
            </w:tcBorders>
            <w:vAlign w:val="center"/>
          </w:tcPr>
          <w:p w:rsidR="00687FE8" w:rsidRPr="00C816BE" w:rsidP="00EA541D" w14:paraId="010C453D" w14:textId="77777777">
            <w:pPr>
              <w:pStyle w:val="TableText"/>
              <w:tabs>
                <w:tab w:val="decimal" w:pos="923"/>
              </w:tabs>
              <w:spacing w:before="40" w:after="40"/>
              <w:jc w:val="center"/>
              <w:rPr>
                <w:rFonts w:cs="Arial"/>
                <w:szCs w:val="18"/>
                <w:highlight w:val="yellow"/>
              </w:rPr>
            </w:pPr>
            <w:r w:rsidRPr="00C816BE">
              <w:rPr>
                <w:rFonts w:cs="Arial"/>
                <w:szCs w:val="18"/>
              </w:rPr>
              <w:t>See note</w:t>
            </w:r>
          </w:p>
        </w:tc>
        <w:tc>
          <w:tcPr>
            <w:tcW w:w="708" w:type="pct"/>
            <w:tcBorders>
              <w:top w:val="single" w:sz="4" w:space="0" w:color="auto"/>
              <w:left w:val="single" w:sz="4" w:space="0" w:color="auto"/>
              <w:bottom w:val="single" w:sz="4" w:space="0" w:color="auto"/>
              <w:right w:val="single" w:sz="4" w:space="0" w:color="auto"/>
            </w:tcBorders>
            <w:vAlign w:val="center"/>
          </w:tcPr>
          <w:p w:rsidR="00687FE8" w:rsidRPr="00684201" w:rsidP="00EA541D" w14:paraId="4EC8E317" w14:textId="77777777">
            <w:pPr>
              <w:pStyle w:val="TableText"/>
              <w:tabs>
                <w:tab w:val="decimal" w:pos="789"/>
              </w:tabs>
              <w:spacing w:before="40" w:after="40"/>
              <w:jc w:val="center"/>
              <w:rPr>
                <w:rFonts w:cs="Arial"/>
                <w:szCs w:val="18"/>
              </w:rPr>
            </w:pPr>
            <w:r w:rsidRPr="00684201">
              <w:rPr>
                <w:rFonts w:cs="Arial"/>
                <w:szCs w:val="18"/>
              </w:rPr>
              <w:t>159</w:t>
            </w:r>
          </w:p>
        </w:tc>
        <w:tc>
          <w:tcPr>
            <w:tcW w:w="0" w:type="pct"/>
            <w:tcBorders>
              <w:top w:val="single" w:sz="4" w:space="0" w:color="auto"/>
              <w:left w:val="single" w:sz="4" w:space="0" w:color="auto"/>
              <w:bottom w:val="single" w:sz="4" w:space="0" w:color="auto"/>
              <w:right w:val="single" w:sz="4" w:space="0" w:color="auto"/>
            </w:tcBorders>
            <w:vAlign w:val="center"/>
          </w:tcPr>
          <w:p w:rsidR="00687FE8" w:rsidP="00EA541D" w14:paraId="0BBCD076" w14:textId="77777777">
            <w:pPr>
              <w:pStyle w:val="TableText"/>
              <w:spacing w:before="40" w:after="40"/>
              <w:jc w:val="center"/>
              <w:rPr>
                <w:rFonts w:cs="Arial"/>
                <w:szCs w:val="18"/>
              </w:rPr>
            </w:pPr>
            <w:r>
              <w:rPr>
                <w:rFonts w:cs="Arial"/>
                <w:szCs w:val="18"/>
              </w:rPr>
              <w:t>100</w:t>
            </w:r>
          </w:p>
        </w:tc>
        <w:tc>
          <w:tcPr>
            <w:tcW w:w="667" w:type="pct"/>
            <w:tcBorders>
              <w:top w:val="single" w:sz="4" w:space="0" w:color="auto"/>
              <w:left w:val="single" w:sz="4" w:space="0" w:color="auto"/>
              <w:bottom w:val="single" w:sz="4" w:space="0" w:color="auto"/>
              <w:right w:val="single" w:sz="4" w:space="0" w:color="auto"/>
            </w:tcBorders>
            <w:vAlign w:val="center"/>
          </w:tcPr>
          <w:p w:rsidR="00687FE8" w:rsidRPr="005E623D" w:rsidP="00EA541D" w14:paraId="6595FB68" w14:textId="77777777">
            <w:pPr>
              <w:pStyle w:val="TableText"/>
              <w:spacing w:before="40" w:after="40"/>
              <w:jc w:val="center"/>
              <w:rPr>
                <w:rFonts w:cs="Arial"/>
                <w:szCs w:val="18"/>
                <w:highlight w:val="yellow"/>
              </w:rPr>
            </w:pPr>
            <w:r>
              <w:rPr>
                <w:rFonts w:cs="Arial"/>
                <w:szCs w:val="18"/>
              </w:rPr>
              <w:t>63</w:t>
            </w:r>
          </w:p>
        </w:tc>
        <w:tc>
          <w:tcPr>
            <w:tcW w:w="790" w:type="pct"/>
            <w:tcBorders>
              <w:top w:val="single" w:sz="4" w:space="0" w:color="auto"/>
              <w:left w:val="single" w:sz="4" w:space="0" w:color="auto"/>
              <w:bottom w:val="single" w:sz="4" w:space="0" w:color="auto"/>
              <w:right w:val="single" w:sz="4" w:space="0" w:color="auto"/>
            </w:tcBorders>
            <w:vAlign w:val="center"/>
          </w:tcPr>
          <w:p w:rsidR="00687FE8" w:rsidRPr="00684201" w:rsidP="00EA541D" w14:paraId="45DABBFE" w14:textId="77777777">
            <w:pPr>
              <w:pStyle w:val="TableText"/>
              <w:tabs>
                <w:tab w:val="decimal" w:pos="656"/>
              </w:tabs>
              <w:spacing w:before="40" w:after="40"/>
              <w:jc w:val="center"/>
              <w:rPr>
                <w:rFonts w:cs="Arial"/>
                <w:szCs w:val="18"/>
              </w:rPr>
            </w:pPr>
            <w:r w:rsidRPr="00C816BE">
              <w:rPr>
                <w:rFonts w:cs="Arial"/>
                <w:szCs w:val="18"/>
              </w:rPr>
              <w:t>Not reported</w:t>
            </w:r>
            <w:r w:rsidRPr="00C816BE">
              <w:rPr>
                <w:rFonts w:cs="Arial"/>
                <w:szCs w:val="18"/>
                <w:vertAlign w:val="superscript"/>
              </w:rPr>
              <w:t>a</w:t>
            </w:r>
          </w:p>
        </w:tc>
      </w:tr>
      <w:tr w14:paraId="4F4BD213" w14:textId="77777777" w:rsidTr="001E2EA9">
        <w:tblPrEx>
          <w:tblW w:w="5000" w:type="pct"/>
          <w:tblInd w:w="0" w:type="dxa"/>
          <w:tblLayout w:type="fixed"/>
          <w:tblLook w:val="04A0"/>
        </w:tblPrEx>
        <w:tc>
          <w:tcPr>
            <w:tcW w:w="1418" w:type="pct"/>
            <w:tcBorders>
              <w:top w:val="single" w:sz="4" w:space="0" w:color="auto"/>
              <w:left w:val="single" w:sz="4" w:space="0" w:color="auto"/>
              <w:bottom w:val="single" w:sz="4" w:space="0" w:color="auto"/>
              <w:right w:val="single" w:sz="4" w:space="0" w:color="auto"/>
            </w:tcBorders>
            <w:vAlign w:val="top"/>
          </w:tcPr>
          <w:p w:rsidR="00687FE8" w:rsidRPr="007B106E" w:rsidP="00294BC9" w14:paraId="65099FDA" w14:textId="77777777">
            <w:pPr>
              <w:pStyle w:val="TableText"/>
              <w:spacing w:before="40" w:after="40"/>
              <w:rPr>
                <w:rFonts w:cs="Arial"/>
                <w:szCs w:val="18"/>
              </w:rPr>
            </w:pPr>
            <w:r w:rsidRPr="007B106E">
              <w:rPr>
                <w:rFonts w:cs="Arial"/>
                <w:szCs w:val="18"/>
              </w:rPr>
              <w:t>Schools (K–12)</w:t>
            </w:r>
          </w:p>
        </w:tc>
        <w:tc>
          <w:tcPr>
            <w:tcW w:w="750" w:type="pct"/>
            <w:tcBorders>
              <w:top w:val="single" w:sz="4" w:space="0" w:color="auto"/>
              <w:left w:val="single" w:sz="4" w:space="0" w:color="auto"/>
              <w:bottom w:val="single" w:sz="4" w:space="0" w:color="auto"/>
              <w:right w:val="single" w:sz="4" w:space="0" w:color="auto"/>
            </w:tcBorders>
            <w:vAlign w:val="center"/>
          </w:tcPr>
          <w:p w:rsidR="00687FE8" w:rsidRPr="00C816BE" w:rsidP="00EA541D" w14:paraId="3D465C44" w14:textId="77777777">
            <w:pPr>
              <w:pStyle w:val="TableText"/>
              <w:tabs>
                <w:tab w:val="decimal" w:pos="923"/>
              </w:tabs>
              <w:spacing w:before="40" w:after="40"/>
              <w:jc w:val="center"/>
              <w:rPr>
                <w:rFonts w:cs="Arial"/>
                <w:szCs w:val="18"/>
              </w:rPr>
            </w:pPr>
            <w:r w:rsidRPr="00C816BE">
              <w:rPr>
                <w:rFonts w:cs="Arial"/>
                <w:szCs w:val="18"/>
              </w:rPr>
              <w:t>7,499</w:t>
            </w:r>
          </w:p>
        </w:tc>
        <w:tc>
          <w:tcPr>
            <w:tcW w:w="708" w:type="pct"/>
            <w:tcBorders>
              <w:top w:val="single" w:sz="4" w:space="0" w:color="auto"/>
              <w:left w:val="single" w:sz="4" w:space="0" w:color="auto"/>
              <w:bottom w:val="single" w:sz="4" w:space="0" w:color="auto"/>
              <w:right w:val="single" w:sz="4" w:space="0" w:color="auto"/>
            </w:tcBorders>
            <w:vAlign w:val="center"/>
          </w:tcPr>
          <w:p w:rsidR="00687FE8" w:rsidP="00EA541D" w14:paraId="4F4E7006" w14:textId="77777777">
            <w:pPr>
              <w:pStyle w:val="TableText"/>
              <w:tabs>
                <w:tab w:val="decimal" w:pos="789"/>
              </w:tabs>
              <w:spacing w:before="40" w:after="40"/>
              <w:jc w:val="center"/>
              <w:rPr>
                <w:rFonts w:cs="Arial"/>
                <w:szCs w:val="18"/>
              </w:rPr>
            </w:pPr>
            <w:r>
              <w:rPr>
                <w:rFonts w:cs="Arial"/>
                <w:szCs w:val="18"/>
              </w:rPr>
              <w:t>111</w:t>
            </w:r>
          </w:p>
        </w:tc>
        <w:tc>
          <w:tcPr>
            <w:tcW w:w="0" w:type="pct"/>
            <w:tcBorders>
              <w:top w:val="single" w:sz="4" w:space="0" w:color="auto"/>
              <w:left w:val="single" w:sz="4" w:space="0" w:color="auto"/>
              <w:bottom w:val="single" w:sz="4" w:space="0" w:color="auto"/>
              <w:right w:val="single" w:sz="4" w:space="0" w:color="auto"/>
            </w:tcBorders>
            <w:vAlign w:val="center"/>
          </w:tcPr>
          <w:p w:rsidR="00687FE8" w:rsidP="00EA541D" w14:paraId="0F2C6F6C" w14:textId="77777777">
            <w:pPr>
              <w:pStyle w:val="TableText"/>
              <w:spacing w:before="40" w:after="40"/>
              <w:jc w:val="center"/>
            </w:pPr>
            <w:r>
              <w:t>100</w:t>
            </w:r>
          </w:p>
        </w:tc>
        <w:tc>
          <w:tcPr>
            <w:tcW w:w="667" w:type="pct"/>
            <w:tcBorders>
              <w:top w:val="single" w:sz="4" w:space="0" w:color="auto"/>
              <w:left w:val="single" w:sz="4" w:space="0" w:color="auto"/>
              <w:bottom w:val="single" w:sz="4" w:space="0" w:color="auto"/>
              <w:right w:val="single" w:sz="4" w:space="0" w:color="auto"/>
            </w:tcBorders>
            <w:vAlign w:val="center"/>
          </w:tcPr>
          <w:p w:rsidR="00687FE8" w:rsidP="00EA541D" w14:paraId="36BB4286" w14:textId="77777777">
            <w:pPr>
              <w:pStyle w:val="TableText"/>
              <w:spacing w:before="40" w:after="40"/>
              <w:jc w:val="center"/>
              <w:rPr>
                <w:rFonts w:cs="Arial"/>
                <w:szCs w:val="18"/>
                <w:highlight w:val="yellow"/>
              </w:rPr>
            </w:pPr>
            <w:r w:rsidRPr="00657346">
              <w:t>90</w:t>
            </w:r>
          </w:p>
        </w:tc>
        <w:tc>
          <w:tcPr>
            <w:tcW w:w="790" w:type="pct"/>
            <w:tcBorders>
              <w:top w:val="single" w:sz="4" w:space="0" w:color="auto"/>
              <w:left w:val="single" w:sz="4" w:space="0" w:color="auto"/>
              <w:bottom w:val="single" w:sz="4" w:space="0" w:color="auto"/>
              <w:right w:val="single" w:sz="4" w:space="0" w:color="auto"/>
            </w:tcBorders>
            <w:vAlign w:val="center"/>
          </w:tcPr>
          <w:p w:rsidR="00687FE8" w:rsidRPr="009C7A1D" w:rsidP="00EA541D" w14:paraId="48F3E2AD" w14:textId="77777777">
            <w:pPr>
              <w:pStyle w:val="TableText"/>
              <w:spacing w:before="40" w:after="40"/>
              <w:jc w:val="center"/>
              <w:rPr>
                <w:rFonts w:cs="Arial"/>
                <w:szCs w:val="18"/>
                <w:highlight w:val="yellow"/>
              </w:rPr>
            </w:pPr>
            <w:r w:rsidRPr="009E3DA8">
              <w:rPr>
                <w:rFonts w:cs="Arial"/>
                <w:szCs w:val="18"/>
              </w:rPr>
              <w:t>86</w:t>
            </w:r>
            <w:r>
              <w:rPr>
                <w:rFonts w:cs="Arial"/>
                <w:szCs w:val="18"/>
                <w:vertAlign w:val="superscript"/>
              </w:rPr>
              <w:t>b</w:t>
            </w:r>
          </w:p>
        </w:tc>
      </w:tr>
      <w:tr w14:paraId="208F33D7" w14:textId="77777777" w:rsidTr="001E2EA9">
        <w:tblPrEx>
          <w:tblW w:w="5000" w:type="pct"/>
          <w:tblInd w:w="0" w:type="dxa"/>
          <w:tblLayout w:type="fixed"/>
          <w:tblLook w:val="04A0"/>
        </w:tblPrEx>
        <w:tc>
          <w:tcPr>
            <w:tcW w:w="1418" w:type="pct"/>
            <w:tcBorders>
              <w:top w:val="single" w:sz="4" w:space="0" w:color="auto"/>
              <w:left w:val="single" w:sz="4" w:space="0" w:color="auto"/>
              <w:bottom w:val="single" w:sz="4" w:space="0" w:color="auto"/>
              <w:right w:val="single" w:sz="4" w:space="0" w:color="auto"/>
            </w:tcBorders>
            <w:vAlign w:val="top"/>
          </w:tcPr>
          <w:p w:rsidR="00687FE8" w:rsidRPr="007B106E" w14:paraId="2AC70AD4" w14:textId="77777777">
            <w:pPr>
              <w:pStyle w:val="TableText"/>
              <w:spacing w:before="40" w:after="40"/>
              <w:rPr>
                <w:rFonts w:cs="Arial"/>
                <w:szCs w:val="18"/>
              </w:rPr>
            </w:pPr>
            <w:r>
              <w:rPr>
                <w:rFonts w:cs="Arial"/>
                <w:szCs w:val="18"/>
              </w:rPr>
              <w:t>Enrolled students (within schools participating in the FFVP)</w:t>
            </w:r>
          </w:p>
        </w:tc>
        <w:tc>
          <w:tcPr>
            <w:tcW w:w="750" w:type="pct"/>
            <w:tcBorders>
              <w:top w:val="single" w:sz="4" w:space="0" w:color="auto"/>
              <w:left w:val="single" w:sz="4" w:space="0" w:color="auto"/>
              <w:bottom w:val="single" w:sz="4" w:space="0" w:color="auto"/>
              <w:right w:val="single" w:sz="4" w:space="0" w:color="auto"/>
            </w:tcBorders>
            <w:vAlign w:val="center"/>
          </w:tcPr>
          <w:p w:rsidR="00687FE8" w:rsidRPr="00C816BE" w:rsidP="00EA541D" w14:paraId="30F73E62" w14:textId="77777777">
            <w:pPr>
              <w:pStyle w:val="TableText"/>
              <w:tabs>
                <w:tab w:val="decimal" w:pos="923"/>
              </w:tabs>
              <w:spacing w:before="40" w:after="40"/>
              <w:jc w:val="center"/>
              <w:rPr>
                <w:rFonts w:cs="Arial"/>
                <w:szCs w:val="18"/>
              </w:rPr>
            </w:pPr>
            <w:r w:rsidRPr="00C816BE">
              <w:rPr>
                <w:rFonts w:cs="Arial"/>
                <w:szCs w:val="18"/>
              </w:rPr>
              <w:t>2,417,338</w:t>
            </w:r>
          </w:p>
        </w:tc>
        <w:tc>
          <w:tcPr>
            <w:tcW w:w="708" w:type="pct"/>
            <w:tcBorders>
              <w:top w:val="single" w:sz="4" w:space="0" w:color="auto"/>
              <w:left w:val="single" w:sz="4" w:space="0" w:color="auto"/>
              <w:bottom w:val="single" w:sz="4" w:space="0" w:color="auto"/>
              <w:right w:val="single" w:sz="4" w:space="0" w:color="auto"/>
            </w:tcBorders>
            <w:vAlign w:val="center"/>
          </w:tcPr>
          <w:p w:rsidR="00687FE8" w:rsidP="00EA541D" w14:paraId="18210780" w14:textId="77777777">
            <w:pPr>
              <w:pStyle w:val="TableText"/>
              <w:tabs>
                <w:tab w:val="decimal" w:pos="789"/>
              </w:tabs>
              <w:spacing w:before="40" w:after="40"/>
              <w:jc w:val="center"/>
              <w:rPr>
                <w:rFonts w:cs="Arial"/>
                <w:szCs w:val="18"/>
              </w:rPr>
            </w:pPr>
            <w:r>
              <w:rPr>
                <w:rFonts w:cs="Arial"/>
                <w:szCs w:val="18"/>
              </w:rPr>
              <w:t>1,600</w:t>
            </w:r>
          </w:p>
        </w:tc>
        <w:tc>
          <w:tcPr>
            <w:tcW w:w="0" w:type="pct"/>
            <w:tcBorders>
              <w:top w:val="single" w:sz="4" w:space="0" w:color="auto"/>
              <w:left w:val="single" w:sz="4" w:space="0" w:color="auto"/>
              <w:bottom w:val="single" w:sz="4" w:space="0" w:color="auto"/>
              <w:right w:val="single" w:sz="4" w:space="0" w:color="auto"/>
            </w:tcBorders>
            <w:vAlign w:val="center"/>
          </w:tcPr>
          <w:p w:rsidR="00687FE8" w:rsidP="00EA541D" w14:paraId="4629816E" w14:textId="77777777">
            <w:pPr>
              <w:pStyle w:val="TableText"/>
              <w:spacing w:before="40" w:after="40"/>
              <w:jc w:val="center"/>
              <w:rPr>
                <w:rFonts w:cs="Arial"/>
                <w:szCs w:val="18"/>
              </w:rPr>
            </w:pPr>
            <w:r>
              <w:rPr>
                <w:rFonts w:cs="Arial"/>
                <w:szCs w:val="18"/>
              </w:rPr>
              <w:t>800</w:t>
            </w:r>
          </w:p>
        </w:tc>
        <w:tc>
          <w:tcPr>
            <w:tcW w:w="667" w:type="pct"/>
            <w:tcBorders>
              <w:top w:val="single" w:sz="4" w:space="0" w:color="auto"/>
              <w:left w:val="single" w:sz="4" w:space="0" w:color="auto"/>
              <w:bottom w:val="single" w:sz="4" w:space="0" w:color="auto"/>
              <w:right w:val="single" w:sz="4" w:space="0" w:color="auto"/>
            </w:tcBorders>
            <w:vAlign w:val="center"/>
          </w:tcPr>
          <w:p w:rsidR="00687FE8" w:rsidP="00EA541D" w14:paraId="41574130" w14:textId="77777777">
            <w:pPr>
              <w:pStyle w:val="TableText"/>
              <w:spacing w:before="40" w:after="40"/>
              <w:jc w:val="center"/>
              <w:rPr>
                <w:rFonts w:cs="Arial"/>
                <w:szCs w:val="18"/>
                <w:highlight w:val="yellow"/>
              </w:rPr>
            </w:pPr>
            <w:r>
              <w:rPr>
                <w:rFonts w:cs="Arial"/>
                <w:szCs w:val="18"/>
              </w:rPr>
              <w:t>5</w:t>
            </w:r>
            <w:r w:rsidRPr="00657346">
              <w:rPr>
                <w:rFonts w:cs="Arial"/>
                <w:szCs w:val="18"/>
              </w:rPr>
              <w:t>0</w:t>
            </w:r>
          </w:p>
        </w:tc>
        <w:tc>
          <w:tcPr>
            <w:tcW w:w="790" w:type="pct"/>
            <w:tcBorders>
              <w:top w:val="single" w:sz="4" w:space="0" w:color="auto"/>
              <w:left w:val="single" w:sz="4" w:space="0" w:color="auto"/>
              <w:bottom w:val="single" w:sz="4" w:space="0" w:color="auto"/>
              <w:right w:val="single" w:sz="4" w:space="0" w:color="auto"/>
            </w:tcBorders>
            <w:vAlign w:val="center"/>
          </w:tcPr>
          <w:p w:rsidR="00687FE8" w:rsidRPr="009C7A1D" w:rsidP="00EA541D" w14:paraId="4B6C9B50" w14:textId="77777777">
            <w:pPr>
              <w:pStyle w:val="TableText"/>
              <w:spacing w:before="40" w:after="40"/>
              <w:jc w:val="center"/>
              <w:rPr>
                <w:rFonts w:cs="Arial"/>
                <w:szCs w:val="18"/>
                <w:highlight w:val="yellow"/>
              </w:rPr>
            </w:pPr>
            <w:r w:rsidRPr="00320DBD">
              <w:rPr>
                <w:rFonts w:cs="Arial"/>
                <w:szCs w:val="18"/>
              </w:rPr>
              <w:t>80</w:t>
            </w:r>
            <w:r>
              <w:rPr>
                <w:rFonts w:cs="Arial"/>
                <w:szCs w:val="18"/>
                <w:vertAlign w:val="superscript"/>
              </w:rPr>
              <w:t>c</w:t>
            </w:r>
          </w:p>
        </w:tc>
      </w:tr>
      <w:tr w14:paraId="34E29633" w14:textId="77777777" w:rsidTr="001E2EA9">
        <w:tblPrEx>
          <w:tblW w:w="5000" w:type="pct"/>
          <w:tblInd w:w="0" w:type="dxa"/>
          <w:tblLayout w:type="fixed"/>
          <w:tblLook w:val="04A0"/>
        </w:tblPrEx>
        <w:tc>
          <w:tcPr>
            <w:tcW w:w="1418" w:type="pct"/>
            <w:tcBorders>
              <w:top w:val="single" w:sz="4" w:space="0" w:color="auto"/>
              <w:left w:val="single" w:sz="4" w:space="0" w:color="auto"/>
              <w:bottom w:val="single" w:sz="4" w:space="0" w:color="auto"/>
              <w:right w:val="single" w:sz="4" w:space="0" w:color="auto"/>
            </w:tcBorders>
            <w:vAlign w:val="top"/>
          </w:tcPr>
          <w:p w:rsidR="00687FE8" w14:paraId="30C48889" w14:textId="77777777">
            <w:pPr>
              <w:pStyle w:val="TableText"/>
              <w:spacing w:before="40" w:after="40"/>
              <w:rPr>
                <w:rFonts w:cs="Arial"/>
                <w:szCs w:val="18"/>
              </w:rPr>
            </w:pPr>
            <w:r>
              <w:rPr>
                <w:rFonts w:cs="Arial"/>
                <w:szCs w:val="18"/>
              </w:rPr>
              <w:t>Total</w:t>
            </w:r>
          </w:p>
        </w:tc>
        <w:tc>
          <w:tcPr>
            <w:tcW w:w="750" w:type="pct"/>
            <w:tcBorders>
              <w:top w:val="single" w:sz="4" w:space="0" w:color="auto"/>
              <w:left w:val="single" w:sz="4" w:space="0" w:color="auto"/>
              <w:bottom w:val="single" w:sz="4" w:space="0" w:color="auto"/>
              <w:right w:val="single" w:sz="4" w:space="0" w:color="auto"/>
            </w:tcBorders>
            <w:vAlign w:val="center"/>
          </w:tcPr>
          <w:p w:rsidR="00687FE8" w:rsidP="00EA541D" w14:paraId="7EB6C9E8" w14:textId="77777777">
            <w:pPr>
              <w:pStyle w:val="TableText"/>
              <w:tabs>
                <w:tab w:val="decimal" w:pos="923"/>
              </w:tabs>
              <w:spacing w:before="40" w:after="40"/>
              <w:jc w:val="center"/>
              <w:rPr>
                <w:rFonts w:cs="Arial"/>
                <w:szCs w:val="18"/>
              </w:rPr>
            </w:pPr>
            <w:r>
              <w:rPr>
                <w:rFonts w:cs="Arial"/>
                <w:szCs w:val="18"/>
              </w:rPr>
              <w:t>2,424,837</w:t>
            </w:r>
          </w:p>
        </w:tc>
        <w:tc>
          <w:tcPr>
            <w:tcW w:w="708" w:type="pct"/>
            <w:tcBorders>
              <w:top w:val="single" w:sz="4" w:space="0" w:color="auto"/>
              <w:left w:val="single" w:sz="4" w:space="0" w:color="auto"/>
              <w:bottom w:val="single" w:sz="4" w:space="0" w:color="auto"/>
              <w:right w:val="single" w:sz="4" w:space="0" w:color="auto"/>
            </w:tcBorders>
            <w:vAlign w:val="center"/>
          </w:tcPr>
          <w:p w:rsidR="00687FE8" w:rsidP="00EA541D" w14:paraId="456CB6D4" w14:textId="77777777">
            <w:pPr>
              <w:pStyle w:val="TableText"/>
              <w:tabs>
                <w:tab w:val="decimal" w:pos="789"/>
              </w:tabs>
              <w:spacing w:before="40" w:after="40"/>
              <w:jc w:val="center"/>
              <w:rPr>
                <w:rFonts w:cs="Arial"/>
                <w:szCs w:val="18"/>
              </w:rPr>
            </w:pPr>
            <w:r>
              <w:rPr>
                <w:rFonts w:cs="Arial"/>
                <w:szCs w:val="18"/>
              </w:rPr>
              <w:t>1,870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687FE8" w:rsidRPr="00EC0D0F" w:rsidP="00EA541D" w14:paraId="76AEAC11" w14:textId="77777777">
            <w:pPr>
              <w:pStyle w:val="TableText"/>
              <w:tabs>
                <w:tab w:val="decimal" w:pos="696"/>
              </w:tabs>
              <w:spacing w:before="40" w:after="40"/>
              <w:jc w:val="center"/>
              <w:rPr>
                <w:rFonts w:cs="Arial"/>
                <w:szCs w:val="18"/>
              </w:rPr>
            </w:pPr>
            <w:r>
              <w:rPr>
                <w:rFonts w:cs="Arial"/>
                <w:szCs w:val="18"/>
              </w:rPr>
              <w:t>1,000</w:t>
            </w:r>
          </w:p>
        </w:tc>
        <w:tc>
          <w:tcPr>
            <w:tcW w:w="667" w:type="pct"/>
            <w:tcBorders>
              <w:top w:val="single" w:sz="4" w:space="0" w:color="auto"/>
              <w:left w:val="single" w:sz="4" w:space="0" w:color="auto"/>
              <w:bottom w:val="single" w:sz="4" w:space="0" w:color="auto"/>
              <w:right w:val="single" w:sz="4" w:space="0" w:color="auto"/>
            </w:tcBorders>
            <w:shd w:val="clear" w:color="auto" w:fill="auto"/>
            <w:vAlign w:val="center"/>
          </w:tcPr>
          <w:p w:rsidR="00687FE8" w:rsidP="00EA541D" w14:paraId="260C0C34" w14:textId="77777777">
            <w:pPr>
              <w:pStyle w:val="TableText"/>
              <w:spacing w:before="40" w:after="40"/>
              <w:jc w:val="center"/>
              <w:rPr>
                <w:rFonts w:cs="Arial"/>
                <w:szCs w:val="18"/>
                <w:highlight w:val="yellow"/>
              </w:rPr>
            </w:pPr>
            <w:r>
              <w:rPr>
                <w:rFonts w:cs="Arial"/>
                <w:szCs w:val="18"/>
              </w:rPr>
              <w:t>4</w:t>
            </w:r>
            <w:r w:rsidRPr="00EC0D0F">
              <w:rPr>
                <w:rFonts w:cs="Arial"/>
                <w:szCs w:val="18"/>
              </w:rPr>
              <w:t>5</w:t>
            </w:r>
            <w:r w:rsidRPr="00C25857">
              <w:rPr>
                <w:sz w:val="15"/>
                <w:szCs w:val="15"/>
                <w:vertAlign w:val="superscript"/>
              </w:rPr>
              <w:t>d</w:t>
            </w:r>
          </w:p>
        </w:tc>
        <w:tc>
          <w:tcPr>
            <w:tcW w:w="790" w:type="pct"/>
            <w:tcBorders>
              <w:top w:val="single" w:sz="4" w:space="0" w:color="auto"/>
              <w:left w:val="single" w:sz="4" w:space="0" w:color="auto"/>
              <w:bottom w:val="single" w:sz="4" w:space="0" w:color="auto"/>
              <w:right w:val="single" w:sz="4" w:space="0" w:color="auto"/>
            </w:tcBorders>
            <w:vAlign w:val="center"/>
          </w:tcPr>
          <w:p w:rsidR="00687FE8" w:rsidRPr="00320DBD" w:rsidP="00EA541D" w14:paraId="373CDC77" w14:textId="77777777">
            <w:pPr>
              <w:pStyle w:val="TableText"/>
              <w:spacing w:before="40" w:after="40"/>
              <w:jc w:val="center"/>
              <w:rPr>
                <w:rFonts w:cs="Arial"/>
                <w:szCs w:val="18"/>
              </w:rPr>
            </w:pPr>
            <w:r>
              <w:rPr>
                <w:rFonts w:cs="Arial"/>
                <w:szCs w:val="18"/>
              </w:rPr>
              <w:t>69</w:t>
            </w:r>
            <w:r w:rsidRPr="00C25857">
              <w:rPr>
                <w:sz w:val="15"/>
                <w:szCs w:val="15"/>
                <w:vertAlign w:val="superscript"/>
              </w:rPr>
              <w:t>d</w:t>
            </w:r>
          </w:p>
        </w:tc>
      </w:tr>
    </w:tbl>
    <w:p w:rsidR="00687FE8" w:rsidRPr="003B6ABE" w:rsidP="00C816BE" w14:paraId="73A8FB9D" w14:textId="77777777">
      <w:pPr>
        <w:pStyle w:val="TableSourceCaption"/>
        <w:rPr>
          <w:rFonts w:cs="Arial"/>
          <w:sz w:val="15"/>
          <w:szCs w:val="15"/>
        </w:rPr>
      </w:pPr>
      <w:r w:rsidRPr="003B6ABE">
        <w:rPr>
          <w:sz w:val="15"/>
          <w:szCs w:val="15"/>
        </w:rPr>
        <w:t>Source</w:t>
      </w:r>
      <w:r w:rsidRPr="29D101F8">
        <w:rPr>
          <w:sz w:val="15"/>
          <w:szCs w:val="15"/>
        </w:rPr>
        <w:t>:</w:t>
      </w:r>
      <w:r w:rsidRPr="003B6ABE">
        <w:rPr>
          <w:sz w:val="15"/>
          <w:szCs w:val="15"/>
        </w:rPr>
        <w:tab/>
        <w:t>FFVP respondent universe</w:t>
      </w:r>
      <w:r>
        <w:rPr>
          <w:sz w:val="15"/>
          <w:szCs w:val="15"/>
        </w:rPr>
        <w:t xml:space="preserve"> i</w:t>
      </w:r>
      <w:r w:rsidRPr="003B6ABE">
        <w:rPr>
          <w:sz w:val="15"/>
          <w:szCs w:val="15"/>
        </w:rPr>
        <w:t xml:space="preserve">s </w:t>
      </w:r>
      <w:r>
        <w:rPr>
          <w:sz w:val="15"/>
          <w:szCs w:val="15"/>
        </w:rPr>
        <w:t xml:space="preserve">estimated based on data reported in the </w:t>
      </w:r>
      <w:r w:rsidRPr="003B6ABE">
        <w:rPr>
          <w:sz w:val="15"/>
          <w:szCs w:val="15"/>
        </w:rPr>
        <w:t>School Meals Operations Study, State Agency Survey, SY 2022–2023. FFVP</w:t>
      </w:r>
      <w:r>
        <w:rPr>
          <w:sz w:val="15"/>
          <w:szCs w:val="15"/>
        </w:rPr>
        <w:t>-I</w:t>
      </w:r>
      <w:r w:rsidRPr="003B6ABE">
        <w:rPr>
          <w:sz w:val="15"/>
          <w:szCs w:val="15"/>
        </w:rPr>
        <w:t xml:space="preserve"> response rates </w:t>
      </w:r>
      <w:r>
        <w:rPr>
          <w:sz w:val="15"/>
          <w:szCs w:val="15"/>
        </w:rPr>
        <w:t xml:space="preserve">are </w:t>
      </w:r>
      <w:r w:rsidRPr="003B6ABE">
        <w:rPr>
          <w:sz w:val="15"/>
          <w:szCs w:val="15"/>
        </w:rPr>
        <w:t>from the Evaluation of the Fresh Fruit and Vegetable Program (FFVP) Final Evaluation Report, March 2013</w:t>
      </w:r>
      <w:r w:rsidRPr="003B6ABE">
        <w:rPr>
          <w:rFonts w:cs="Arial"/>
          <w:sz w:val="15"/>
          <w:szCs w:val="15"/>
        </w:rPr>
        <w:t>.</w:t>
      </w:r>
      <w:r>
        <w:rPr>
          <w:rStyle w:val="FootnoteReference"/>
          <w:rFonts w:cs="Arial"/>
          <w:sz w:val="15"/>
          <w:szCs w:val="15"/>
        </w:rPr>
        <w:footnoteReference w:id="6"/>
      </w:r>
    </w:p>
    <w:p w:rsidR="00687FE8" w:rsidRPr="003B6ABE" w:rsidP="00C816BE" w14:paraId="34C9B51D" w14:textId="77777777">
      <w:pPr>
        <w:pStyle w:val="TableSourceCaption"/>
        <w:rPr>
          <w:i/>
          <w:sz w:val="15"/>
          <w:szCs w:val="15"/>
        </w:rPr>
      </w:pPr>
      <w:r w:rsidRPr="003B6ABE">
        <w:rPr>
          <w:sz w:val="15"/>
          <w:szCs w:val="15"/>
        </w:rPr>
        <w:t>Notes:</w:t>
      </w:r>
      <w:r w:rsidRPr="003B6ABE">
        <w:rPr>
          <w:sz w:val="15"/>
          <w:szCs w:val="15"/>
        </w:rPr>
        <w:tab/>
        <w:t xml:space="preserve">Note that the size of the SFA respondent universe participating in FFVP is currently unknown at the national level but will be generated as part of the frame development process for </w:t>
      </w:r>
      <w:r>
        <w:rPr>
          <w:sz w:val="15"/>
          <w:szCs w:val="15"/>
        </w:rPr>
        <w:t xml:space="preserve">the </w:t>
      </w:r>
      <w:r w:rsidRPr="003B6ABE">
        <w:rPr>
          <w:sz w:val="15"/>
          <w:szCs w:val="15"/>
        </w:rPr>
        <w:t>FFVP</w:t>
      </w:r>
      <w:r>
        <w:rPr>
          <w:sz w:val="15"/>
          <w:szCs w:val="15"/>
        </w:rPr>
        <w:t xml:space="preserve"> evaluation component</w:t>
      </w:r>
      <w:r w:rsidRPr="003B6ABE">
        <w:rPr>
          <w:sz w:val="15"/>
          <w:szCs w:val="15"/>
        </w:rPr>
        <w:t xml:space="preserve">, using data from States that are administering the program. </w:t>
      </w:r>
    </w:p>
    <w:p w:rsidR="00687FE8" w:rsidRPr="003B6ABE" w:rsidP="003B6ABE" w14:paraId="3935F5C6" w14:textId="77777777">
      <w:pPr>
        <w:pStyle w:val="TableFootnoteCaption"/>
        <w:spacing w:after="60"/>
        <w:ind w:left="1080"/>
        <w:rPr>
          <w:sz w:val="15"/>
          <w:szCs w:val="15"/>
        </w:rPr>
      </w:pPr>
      <w:r w:rsidRPr="003B6ABE">
        <w:rPr>
          <w:sz w:val="15"/>
          <w:szCs w:val="15"/>
        </w:rPr>
        <w:t>Expected response rates reflect the percentage of eligible SFAs, schools, or students. Students are eligible if the student was present at school on the target day and case was pursued (that is, not part of unattempted backup student sample).</w:t>
      </w:r>
    </w:p>
    <w:p w:rsidR="00687FE8" w:rsidRPr="003B6ABE" w:rsidP="00C0709D" w14:paraId="66227768" w14:textId="77777777">
      <w:pPr>
        <w:pStyle w:val="TableFootnoteCaption"/>
        <w:spacing w:after="60"/>
        <w:rPr>
          <w:sz w:val="15"/>
          <w:szCs w:val="15"/>
        </w:rPr>
      </w:pPr>
      <w:r w:rsidRPr="003B6ABE">
        <w:rPr>
          <w:sz w:val="15"/>
          <w:szCs w:val="15"/>
          <w:vertAlign w:val="superscript"/>
        </w:rPr>
        <w:t xml:space="preserve">a </w:t>
      </w:r>
      <w:r w:rsidRPr="003B6ABE">
        <w:rPr>
          <w:sz w:val="15"/>
          <w:szCs w:val="15"/>
        </w:rPr>
        <w:t xml:space="preserve">There is no response rate from the FFVP Final Evaluation Report that is comparable for the current study, which includes no SFA-level data collection. The expected response rate reflects eligible SFAs recruited for the study. The prior FFVP evaluation reported an 88 percent response rate for the district-level data of the SFA Director Web Survey and an 86 percent response rate for the school-level data of the SFA Director Web Survey. </w:t>
      </w:r>
    </w:p>
    <w:p w:rsidR="00687FE8" w:rsidRPr="003B6ABE" w:rsidP="00C0709D" w14:paraId="534BBFC0" w14:textId="77777777">
      <w:pPr>
        <w:pStyle w:val="TableFootnoteCaption"/>
        <w:spacing w:after="60"/>
        <w:rPr>
          <w:sz w:val="15"/>
          <w:szCs w:val="15"/>
        </w:rPr>
      </w:pPr>
      <w:r w:rsidRPr="003B6ABE">
        <w:rPr>
          <w:sz w:val="15"/>
          <w:szCs w:val="15"/>
          <w:vertAlign w:val="superscript"/>
        </w:rPr>
        <w:t xml:space="preserve">b </w:t>
      </w:r>
      <w:r w:rsidRPr="003B6ABE">
        <w:rPr>
          <w:sz w:val="15"/>
          <w:szCs w:val="15"/>
        </w:rPr>
        <w:t>The</w:t>
      </w:r>
      <w:r w:rsidRPr="003B6ABE">
        <w:rPr>
          <w:sz w:val="15"/>
          <w:szCs w:val="15"/>
        </w:rPr>
        <w:t xml:space="preserve"> reported response rate for schools reflects the percentage of schools that agreed to participate in the study, excluding the schools that were found to be ineligible for the study.</w:t>
      </w:r>
    </w:p>
    <w:p w:rsidR="00687FE8" w:rsidRPr="003B6ABE" w:rsidP="00C0709D" w14:paraId="1C0802F7" w14:textId="77777777">
      <w:pPr>
        <w:pStyle w:val="TableFootnoteCaption"/>
        <w:spacing w:after="60"/>
        <w:rPr>
          <w:sz w:val="15"/>
          <w:szCs w:val="15"/>
        </w:rPr>
      </w:pPr>
      <w:r w:rsidRPr="003B6ABE">
        <w:rPr>
          <w:sz w:val="15"/>
          <w:szCs w:val="15"/>
          <w:vertAlign w:val="superscript"/>
        </w:rPr>
        <w:t xml:space="preserve">c </w:t>
      </w:r>
      <w:r w:rsidRPr="003B6ABE">
        <w:rPr>
          <w:sz w:val="15"/>
          <w:szCs w:val="15"/>
        </w:rPr>
        <w:t>The</w:t>
      </w:r>
      <w:r w:rsidRPr="003B6ABE">
        <w:rPr>
          <w:sz w:val="15"/>
          <w:szCs w:val="15"/>
        </w:rPr>
        <w:t xml:space="preserve"> reported response rate for the enrolled students reflects the number of students who completed both the student survey and 24-hour dietary recall.</w:t>
      </w:r>
    </w:p>
    <w:p w:rsidR="00687FE8" w:rsidRPr="003B6ABE" w:rsidP="00C0709D" w14:paraId="7A668BE1" w14:textId="77777777">
      <w:pPr>
        <w:pStyle w:val="TableFootnoteCaption"/>
        <w:spacing w:after="60"/>
        <w:rPr>
          <w:sz w:val="15"/>
          <w:szCs w:val="15"/>
        </w:rPr>
      </w:pPr>
      <w:r w:rsidRPr="003B6ABE">
        <w:rPr>
          <w:sz w:val="15"/>
          <w:szCs w:val="15"/>
          <w:vertAlign w:val="superscript"/>
        </w:rPr>
        <w:t>d</w:t>
      </w:r>
      <w:r>
        <w:rPr>
          <w:sz w:val="15"/>
          <w:szCs w:val="15"/>
          <w:vertAlign w:val="superscript"/>
        </w:rPr>
        <w:t xml:space="preserve"> </w:t>
      </w:r>
      <w:r w:rsidRPr="003B6ABE">
        <w:rPr>
          <w:sz w:val="15"/>
          <w:szCs w:val="15"/>
        </w:rPr>
        <w:t>The</w:t>
      </w:r>
      <w:r w:rsidRPr="003B6ABE">
        <w:rPr>
          <w:sz w:val="15"/>
          <w:szCs w:val="15"/>
        </w:rPr>
        <w:t xml:space="preserve"> overall response rates were estimated by multiplying the expected and prior response rates for schools and students. </w:t>
      </w:r>
    </w:p>
    <w:p w:rsidR="00687FE8" w:rsidRPr="00672B1F" w:rsidP="009E3DA8" w14:paraId="4B1121E3" w14:textId="77777777">
      <w:pPr>
        <w:pStyle w:val="TableSourceCaption"/>
        <w:spacing w:after="0"/>
        <w:ind w:left="86" w:hanging="86"/>
        <w:rPr>
          <w:sz w:val="14"/>
          <w:szCs w:val="20"/>
        </w:rPr>
      </w:pPr>
    </w:p>
    <w:p w:rsidR="00687FE8" w:rsidRPr="00583BC4" w14:paraId="6B4DD1B6" w14:textId="77777777">
      <w:pPr>
        <w:tabs>
          <w:tab w:val="clear" w:pos="432"/>
        </w:tabs>
        <w:spacing w:line="240" w:lineRule="auto"/>
        <w:ind w:firstLine="0"/>
        <w:jc w:val="left"/>
        <w:rPr>
          <w:rFonts w:cs="Segoe UI"/>
          <w:b/>
          <w:bCs/>
        </w:rPr>
      </w:pPr>
      <w:r w:rsidRPr="00583BC4">
        <w:rPr>
          <w:rFonts w:cs="Segoe UI"/>
          <w:b/>
          <w:bCs/>
        </w:rPr>
        <w:br w:type="page"/>
      </w:r>
    </w:p>
    <w:p w:rsidR="00687FE8" w:rsidRPr="00583BC4" w:rsidP="29D101F8" w14:paraId="23732190" w14:textId="77777777">
      <w:pPr>
        <w:tabs>
          <w:tab w:val="clear" w:pos="432"/>
        </w:tabs>
        <w:spacing w:line="240" w:lineRule="auto"/>
        <w:ind w:left="720" w:hanging="720"/>
        <w:textAlignment w:val="baseline"/>
        <w:rPr>
          <w:rFonts w:ascii="Segoe UI" w:hAnsi="Segoe UI" w:cs="Segoe UI"/>
          <w:b/>
          <w:bCs/>
          <w:sz w:val="18"/>
          <w:szCs w:val="18"/>
        </w:rPr>
      </w:pPr>
      <w:r w:rsidRPr="00583BC4">
        <w:rPr>
          <w:rFonts w:cs="Segoe UI"/>
          <w:b/>
          <w:bCs/>
        </w:rPr>
        <w:t xml:space="preserve">B.1.2. </w:t>
      </w:r>
      <w:r>
        <w:tab/>
      </w:r>
      <w:r w:rsidRPr="00583BC4">
        <w:rPr>
          <w:rFonts w:cs="Segoe UI"/>
          <w:b/>
          <w:bCs/>
        </w:rPr>
        <w:t>Outlying Areas</w:t>
      </w:r>
      <w:r w:rsidRPr="003961A8">
        <w:t xml:space="preserve"> </w:t>
      </w:r>
      <w:r w:rsidRPr="00583BC4">
        <w:rPr>
          <w:rFonts w:cs="Segoe UI"/>
          <w:b/>
          <w:bCs/>
        </w:rPr>
        <w:t>Component: Alaska, Guam, Hawái, Puerto Rico, and USVI </w:t>
      </w:r>
    </w:p>
    <w:p w:rsidR="00687FE8" w:rsidRPr="00583BC4" w:rsidP="002210BA" w14:paraId="12DB6144" w14:textId="77777777">
      <w:pPr>
        <w:tabs>
          <w:tab w:val="clear" w:pos="432"/>
        </w:tabs>
        <w:spacing w:line="240" w:lineRule="auto"/>
        <w:ind w:left="720" w:hanging="720"/>
        <w:textAlignment w:val="baseline"/>
        <w:rPr>
          <w:rFonts w:ascii="Segoe UI" w:hAnsi="Segoe UI" w:cs="Segoe UI"/>
          <w:sz w:val="20"/>
          <w:szCs w:val="20"/>
        </w:rPr>
      </w:pPr>
    </w:p>
    <w:p w:rsidR="00687FE8" w:rsidRPr="00D90F21" w:rsidP="00D90F21" w14:paraId="052F19EA" w14:textId="77777777">
      <w:r w:rsidRPr="002210BA">
        <w:t xml:space="preserve">The </w:t>
      </w:r>
      <w:r>
        <w:rPr>
          <w:rFonts w:eastAsia="Calibri"/>
          <w:color w:val="000000"/>
          <w:shd w:val="clear" w:color="auto" w:fill="FFFFFF"/>
        </w:rPr>
        <w:t>Outlying Areas</w:t>
      </w:r>
      <w:r w:rsidRPr="002210BA">
        <w:rPr>
          <w:rFonts w:eastAsia="Calibri"/>
          <w:color w:val="000000"/>
          <w:shd w:val="clear" w:color="auto" w:fill="FFFFFF"/>
        </w:rPr>
        <w:t xml:space="preserve"> </w:t>
      </w:r>
      <w:r>
        <w:t xml:space="preserve">component </w:t>
      </w:r>
      <w:r w:rsidRPr="002210BA">
        <w:t>respondent universe includes public SFAs and schools in Alaska, Guam, Hawaii, Puerto Rico, and USVI. The universe will be based on the combined</w:t>
      </w:r>
      <w:r w:rsidRPr="002210BA">
        <w:rPr>
          <w:rFonts w:ascii="Times New Roman" w:hAnsi="Times New Roman"/>
        </w:rPr>
        <w:t xml:space="preserve"> </w:t>
      </w:r>
      <w:r w:rsidRPr="002210BA">
        <w:t xml:space="preserve">FNS-742 and CCD. The estimated size of the respondent universe, along with the target completed sample sizes, </w:t>
      </w:r>
      <w:r>
        <w:t xml:space="preserve">is </w:t>
      </w:r>
      <w:r w:rsidRPr="002210BA">
        <w:t xml:space="preserve">in </w:t>
      </w:r>
      <w:r>
        <w:t>Table B.1.4</w:t>
      </w:r>
      <w:r w:rsidRPr="002210BA">
        <w:t>.</w:t>
      </w:r>
    </w:p>
    <w:p w:rsidR="00687FE8" w:rsidRPr="00317496" w:rsidP="00EC3972" w14:paraId="7B01DFED" w14:textId="77777777">
      <w:pPr>
        <w:pStyle w:val="MarkforTableHeading"/>
        <w:rPr>
          <w:szCs w:val="18"/>
        </w:rPr>
      </w:pPr>
      <w:r w:rsidRPr="00317496">
        <w:rPr>
          <w:szCs w:val="18"/>
        </w:rPr>
        <w:t xml:space="preserve">Table B.1.4. Respondent universe and sampling plan for each </w:t>
      </w:r>
      <w:r>
        <w:rPr>
          <w:szCs w:val="18"/>
        </w:rPr>
        <w:t>O</w:t>
      </w:r>
      <w:r w:rsidRPr="00317496">
        <w:rPr>
          <w:szCs w:val="18"/>
        </w:rPr>
        <w:t xml:space="preserve">utlying </w:t>
      </w:r>
      <w:r>
        <w:rPr>
          <w:szCs w:val="18"/>
        </w:rPr>
        <w:t>A</w:t>
      </w:r>
      <w:r w:rsidRPr="00317496">
        <w:rPr>
          <w:szCs w:val="18"/>
        </w:rPr>
        <w:t>rea </w:t>
      </w:r>
    </w:p>
    <w:tbl>
      <w:tblPr>
        <w:tblW w:w="5132" w:type="pct"/>
        <w:tblLayout w:type="fixed"/>
        <w:tblLook w:val="04A0"/>
      </w:tblPr>
      <w:tblGrid>
        <w:gridCol w:w="898"/>
        <w:gridCol w:w="1173"/>
        <w:gridCol w:w="899"/>
        <w:gridCol w:w="1170"/>
        <w:gridCol w:w="991"/>
        <w:gridCol w:w="1170"/>
        <w:gridCol w:w="899"/>
        <w:gridCol w:w="1308"/>
        <w:gridCol w:w="1089"/>
        <w:gridCol w:w="10"/>
      </w:tblGrid>
      <w:tr w14:paraId="12E01AAC" w14:textId="77777777" w:rsidTr="006951CB">
        <w:tblPrEx>
          <w:tblW w:w="5132" w:type="pct"/>
          <w:tblLayout w:type="fixed"/>
          <w:tblLook w:val="04A0"/>
        </w:tblPrEx>
        <w:trPr>
          <w:trHeight w:val="600"/>
        </w:trPr>
        <w:tc>
          <w:tcPr>
            <w:tcW w:w="467" w:type="pct"/>
            <w:tcBorders>
              <w:top w:val="nil"/>
              <w:left w:val="nil"/>
              <w:bottom w:val="single" w:sz="4" w:space="0" w:color="FFFFFF" w:themeColor="background1"/>
              <w:right w:val="single" w:sz="4" w:space="0" w:color="FFFFFF" w:themeColor="background1"/>
            </w:tcBorders>
            <w:shd w:val="clear" w:color="auto" w:fill="6C6F70"/>
            <w:vAlign w:val="bottom"/>
            <w:hideMark/>
          </w:tcPr>
          <w:p w:rsidR="00687FE8" w:rsidRPr="00317496" w:rsidP="00317496" w14:paraId="11F8709A" w14:textId="77777777">
            <w:pPr>
              <w:pStyle w:val="TableHeaderCenter"/>
              <w:rPr>
                <w:rFonts w:cs="Arial"/>
                <w:szCs w:val="18"/>
              </w:rPr>
            </w:pPr>
          </w:p>
        </w:tc>
        <w:tc>
          <w:tcPr>
            <w:tcW w:w="2203" w:type="pct"/>
            <w:gridSpan w:val="4"/>
            <w:tcBorders>
              <w:top w:val="nil"/>
              <w:left w:val="single" w:sz="4" w:space="0" w:color="FFFFFF" w:themeColor="background1"/>
              <w:bottom w:val="single" w:sz="4" w:space="0" w:color="FFFFFF" w:themeColor="background1"/>
              <w:right w:val="single" w:sz="4" w:space="0" w:color="FFFFFF" w:themeColor="background1"/>
            </w:tcBorders>
            <w:shd w:val="clear" w:color="auto" w:fill="6C6F70"/>
            <w:vAlign w:val="bottom"/>
            <w:hideMark/>
          </w:tcPr>
          <w:p w:rsidR="00687FE8" w:rsidRPr="00317496" w:rsidP="29D101F8" w14:paraId="03046DD6" w14:textId="77777777">
            <w:pPr>
              <w:pStyle w:val="TableHeaderCenter"/>
              <w:rPr>
                <w:rFonts w:cs="Arial"/>
              </w:rPr>
            </w:pPr>
            <w:r w:rsidRPr="29D101F8">
              <w:rPr>
                <w:rFonts w:cs="Arial"/>
              </w:rPr>
              <w:t xml:space="preserve">Full </w:t>
            </w:r>
            <w:r>
              <w:rPr>
                <w:rFonts w:cs="Arial"/>
              </w:rPr>
              <w:t>O</w:t>
            </w:r>
            <w:r w:rsidRPr="29D101F8">
              <w:rPr>
                <w:rFonts w:cs="Arial"/>
              </w:rPr>
              <w:t xml:space="preserve">utlying </w:t>
            </w:r>
            <w:r>
              <w:rPr>
                <w:rFonts w:cs="Arial"/>
              </w:rPr>
              <w:t>A</w:t>
            </w:r>
            <w:r w:rsidRPr="29D101F8">
              <w:rPr>
                <w:rFonts w:cs="Arial"/>
              </w:rPr>
              <w:t xml:space="preserve">reas approach (Alaska, Guam, Hawaii) </w:t>
            </w:r>
          </w:p>
        </w:tc>
        <w:tc>
          <w:tcPr>
            <w:tcW w:w="2330" w:type="pct"/>
            <w:gridSpan w:val="5"/>
            <w:tcBorders>
              <w:top w:val="nil"/>
              <w:left w:val="single" w:sz="4" w:space="0" w:color="FFFFFF" w:themeColor="background1"/>
              <w:bottom w:val="single" w:sz="4" w:space="0" w:color="FFFFFF" w:themeColor="background1"/>
              <w:right w:val="nil"/>
            </w:tcBorders>
            <w:shd w:val="clear" w:color="auto" w:fill="6C6F70"/>
            <w:vAlign w:val="bottom"/>
            <w:hideMark/>
          </w:tcPr>
          <w:p w:rsidR="00687FE8" w:rsidRPr="00317496" w:rsidP="29D101F8" w14:paraId="5BF64C75" w14:textId="77777777">
            <w:pPr>
              <w:pStyle w:val="TableHeaderCenter"/>
              <w:rPr>
                <w:rFonts w:cs="Arial"/>
              </w:rPr>
            </w:pPr>
            <w:r w:rsidRPr="29D101F8">
              <w:rPr>
                <w:rFonts w:cs="Arial"/>
              </w:rPr>
              <w:t xml:space="preserve">Limited </w:t>
            </w:r>
            <w:r>
              <w:rPr>
                <w:rFonts w:cs="Arial"/>
              </w:rPr>
              <w:t>O</w:t>
            </w:r>
            <w:r w:rsidRPr="29D101F8">
              <w:rPr>
                <w:rFonts w:cs="Arial"/>
              </w:rPr>
              <w:t xml:space="preserve">utlying </w:t>
            </w:r>
            <w:r>
              <w:rPr>
                <w:rFonts w:cs="Arial"/>
              </w:rPr>
              <w:t>A</w:t>
            </w:r>
            <w:r w:rsidRPr="29D101F8">
              <w:rPr>
                <w:rFonts w:cs="Arial"/>
              </w:rPr>
              <w:t>reas approach (Puerto Rico, U.S. Virgin Islands)</w:t>
            </w:r>
          </w:p>
        </w:tc>
      </w:tr>
      <w:tr w14:paraId="0797C735" w14:textId="77777777" w:rsidTr="006951CB">
        <w:tblPrEx>
          <w:tblW w:w="5132" w:type="pct"/>
          <w:tblLayout w:type="fixed"/>
          <w:tblLook w:val="04A0"/>
        </w:tblPrEx>
        <w:trPr>
          <w:gridAfter w:val="1"/>
          <w:wAfter w:w="5" w:type="dxa"/>
          <w:trHeight w:val="783"/>
        </w:trPr>
        <w:tc>
          <w:tcPr>
            <w:tcW w:w="467" w:type="pct"/>
            <w:tcBorders>
              <w:top w:val="single" w:sz="4" w:space="0" w:color="FFFFFF" w:themeColor="background1"/>
              <w:left w:val="nil"/>
              <w:bottom w:val="single" w:sz="4" w:space="0" w:color="auto"/>
              <w:right w:val="single" w:sz="4" w:space="0" w:color="FFFFFF" w:themeColor="background1"/>
            </w:tcBorders>
            <w:shd w:val="clear" w:color="auto" w:fill="6C6F70"/>
            <w:vAlign w:val="bottom"/>
            <w:hideMark/>
          </w:tcPr>
          <w:p w:rsidR="00687FE8" w:rsidRPr="006951CB" w:rsidP="00DF196B" w14:paraId="3A6BEDC2" w14:textId="77777777">
            <w:pPr>
              <w:pStyle w:val="TableHeaderLeft"/>
              <w:rPr>
                <w:sz w:val="16"/>
                <w:szCs w:val="22"/>
              </w:rPr>
            </w:pPr>
            <w:r w:rsidRPr="006951CB">
              <w:rPr>
                <w:sz w:val="16"/>
                <w:szCs w:val="22"/>
              </w:rPr>
              <w:t>Sample group</w:t>
            </w:r>
          </w:p>
        </w:tc>
        <w:tc>
          <w:tcPr>
            <w:tcW w:w="610"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598D0AEF" w14:textId="77777777">
            <w:pPr>
              <w:pStyle w:val="TableHeaderCenter"/>
              <w:rPr>
                <w:sz w:val="16"/>
                <w:szCs w:val="22"/>
              </w:rPr>
            </w:pPr>
            <w:r w:rsidRPr="006951CB">
              <w:rPr>
                <w:sz w:val="16"/>
                <w:szCs w:val="22"/>
              </w:rPr>
              <w:t>Estimated size of respondent universe</w:t>
            </w:r>
          </w:p>
        </w:tc>
        <w:tc>
          <w:tcPr>
            <w:tcW w:w="46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12E95C67" w14:textId="77777777">
            <w:pPr>
              <w:pStyle w:val="TableHeaderCenter"/>
              <w:rPr>
                <w:sz w:val="16"/>
                <w:szCs w:val="22"/>
              </w:rPr>
            </w:pPr>
            <w:r w:rsidRPr="006951CB">
              <w:rPr>
                <w:sz w:val="16"/>
                <w:szCs w:val="22"/>
              </w:rPr>
              <w:t>Initial sample</w:t>
            </w:r>
          </w:p>
        </w:tc>
        <w:tc>
          <w:tcPr>
            <w:tcW w:w="60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1D8A8C46" w14:textId="77777777">
            <w:pPr>
              <w:pStyle w:val="TableHeaderCenter"/>
              <w:rPr>
                <w:sz w:val="16"/>
                <w:szCs w:val="22"/>
              </w:rPr>
            </w:pPr>
            <w:r w:rsidRPr="006951CB">
              <w:rPr>
                <w:sz w:val="16"/>
                <w:szCs w:val="22"/>
              </w:rPr>
              <w:t xml:space="preserve">Expected response rate (%)  </w:t>
            </w:r>
          </w:p>
        </w:tc>
        <w:tc>
          <w:tcPr>
            <w:tcW w:w="516"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67341D63" w14:textId="77777777">
            <w:pPr>
              <w:pStyle w:val="TableHeaderCenter"/>
              <w:rPr>
                <w:sz w:val="16"/>
                <w:szCs w:val="22"/>
              </w:rPr>
            </w:pPr>
            <w:r w:rsidRPr="006951CB">
              <w:rPr>
                <w:sz w:val="16"/>
                <w:szCs w:val="22"/>
              </w:rPr>
              <w:t>Target Complete</w:t>
            </w:r>
          </w:p>
        </w:tc>
        <w:tc>
          <w:tcPr>
            <w:tcW w:w="609"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55585580" w14:textId="77777777">
            <w:pPr>
              <w:pStyle w:val="TableHeaderCenter"/>
              <w:rPr>
                <w:sz w:val="16"/>
                <w:szCs w:val="22"/>
              </w:rPr>
            </w:pPr>
            <w:r w:rsidRPr="006951CB">
              <w:rPr>
                <w:sz w:val="16"/>
                <w:szCs w:val="22"/>
              </w:rPr>
              <w:t>Estimated size of respondent universe</w:t>
            </w:r>
          </w:p>
        </w:tc>
        <w:tc>
          <w:tcPr>
            <w:tcW w:w="468"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38D4F6FA" w14:textId="77777777">
            <w:pPr>
              <w:pStyle w:val="TableHeaderCenter"/>
              <w:rPr>
                <w:sz w:val="16"/>
                <w:szCs w:val="22"/>
              </w:rPr>
            </w:pPr>
            <w:r w:rsidRPr="006951CB">
              <w:rPr>
                <w:sz w:val="16"/>
                <w:szCs w:val="22"/>
              </w:rPr>
              <w:t>Initial sample</w:t>
            </w:r>
          </w:p>
        </w:tc>
        <w:tc>
          <w:tcPr>
            <w:tcW w:w="681" w:type="pct"/>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6951CB" w:rsidP="00DF196B" w14:paraId="5D13A8BD" w14:textId="77777777">
            <w:pPr>
              <w:pStyle w:val="TableHeaderCenter"/>
              <w:rPr>
                <w:sz w:val="16"/>
                <w:szCs w:val="22"/>
              </w:rPr>
            </w:pPr>
            <w:r w:rsidRPr="006951CB">
              <w:rPr>
                <w:sz w:val="16"/>
                <w:szCs w:val="22"/>
              </w:rPr>
              <w:t xml:space="preserve">Expected response rate (%) </w:t>
            </w:r>
          </w:p>
        </w:tc>
        <w:tc>
          <w:tcPr>
            <w:tcW w:w="567" w:type="pct"/>
            <w:tcBorders>
              <w:top w:val="single" w:sz="4" w:space="0" w:color="FFFFFF" w:themeColor="background1"/>
              <w:left w:val="single" w:sz="4" w:space="0" w:color="FFFFFF" w:themeColor="background1"/>
              <w:bottom w:val="single" w:sz="4" w:space="0" w:color="auto"/>
              <w:right w:val="nil"/>
            </w:tcBorders>
            <w:shd w:val="clear" w:color="auto" w:fill="6C6F70"/>
            <w:vAlign w:val="bottom"/>
            <w:hideMark/>
          </w:tcPr>
          <w:p w:rsidR="00687FE8" w:rsidRPr="006951CB" w:rsidP="00DF196B" w14:paraId="563D4548" w14:textId="77777777">
            <w:pPr>
              <w:pStyle w:val="TableHeaderCenter"/>
              <w:rPr>
                <w:sz w:val="16"/>
                <w:szCs w:val="22"/>
              </w:rPr>
            </w:pPr>
            <w:r w:rsidRPr="006951CB">
              <w:rPr>
                <w:sz w:val="16"/>
                <w:szCs w:val="22"/>
              </w:rPr>
              <w:t>Target Complete</w:t>
            </w:r>
          </w:p>
        </w:tc>
      </w:tr>
      <w:tr w14:paraId="6BE4D112" w14:textId="77777777" w:rsidTr="006951CB">
        <w:tblPrEx>
          <w:tblW w:w="5132" w:type="pct"/>
          <w:tblLayout w:type="fixed"/>
          <w:tblLook w:val="04A0"/>
        </w:tblPrEx>
        <w:trPr>
          <w:gridAfter w:val="1"/>
          <w:wAfter w:w="5" w:type="dxa"/>
          <w:trHeight w:val="3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210BA" w:rsidP="002210BA" w14:paraId="64C1ECE1" w14:textId="77777777">
            <w:pPr>
              <w:tabs>
                <w:tab w:val="clear" w:pos="432"/>
              </w:tabs>
              <w:spacing w:line="240" w:lineRule="auto"/>
              <w:ind w:firstLine="0"/>
              <w:jc w:val="left"/>
              <w:rPr>
                <w:rFonts w:ascii="Arial" w:hAnsi="Arial" w:cs="Arial"/>
                <w:color w:val="000000"/>
                <w:sz w:val="18"/>
                <w:szCs w:val="18"/>
              </w:rPr>
            </w:pPr>
            <w:r w:rsidRPr="002210BA">
              <w:rPr>
                <w:rFonts w:ascii="Arial" w:hAnsi="Arial" w:cs="Arial"/>
                <w:color w:val="000000"/>
                <w:sz w:val="18"/>
                <w:szCs w:val="18"/>
              </w:rPr>
              <w:t xml:space="preserve">Public </w:t>
            </w:r>
            <w:r w:rsidRPr="00317496">
              <w:rPr>
                <w:rFonts w:ascii="Arial" w:hAnsi="Arial" w:cs="Arial"/>
                <w:color w:val="000000"/>
                <w:sz w:val="18"/>
                <w:szCs w:val="18"/>
              </w:rPr>
              <w:t>SFAs</w:t>
            </w:r>
            <w:r w:rsidRPr="002210BA">
              <w:rPr>
                <w:rFonts w:ascii="Arial" w:hAnsi="Arial" w:cs="Arial"/>
                <w:color w:val="000000"/>
                <w:sz w:val="18"/>
                <w:szCs w:val="18"/>
              </w:rPr>
              <w:t> </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7EA96F84" w14:textId="77777777">
            <w:pPr>
              <w:pStyle w:val="TableTextDecimal"/>
            </w:pPr>
            <w:r w:rsidRPr="00DF196B">
              <w:t>45</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45281DDA" w14:textId="77777777">
            <w:pPr>
              <w:pStyle w:val="TableTextDecimal"/>
            </w:pPr>
            <w:r w:rsidRPr="00DF196B">
              <w:t>3</w:t>
            </w:r>
            <w:r>
              <w:t>4</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2F0E1AA0" w14:textId="77777777">
            <w:pPr>
              <w:pStyle w:val="TableTextDecimal"/>
            </w:pPr>
            <w:r w:rsidRPr="00DF196B">
              <w:t>9</w:t>
            </w:r>
            <w:r>
              <w:t>1</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87FE8" w:rsidRPr="00DF196B" w:rsidP="00DF196B" w14:paraId="4B202B37" w14:textId="77777777">
            <w:pPr>
              <w:pStyle w:val="TableTextDecimal"/>
            </w:pPr>
            <w:r w:rsidRPr="00DF196B">
              <w:t>31</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2C26B493" w14:textId="77777777">
            <w:pPr>
              <w:pStyle w:val="TableTextDecimal"/>
            </w:pPr>
            <w:r w:rsidRPr="00DF196B">
              <w:t>3</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63EA2BD7" w14:textId="77777777">
            <w:pPr>
              <w:pStyle w:val="TableTextDecimal"/>
            </w:pPr>
            <w:r w:rsidRPr="00DF196B">
              <w:t>3</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29A0B90A" w14:textId="77777777">
            <w:pPr>
              <w:pStyle w:val="TableTextDecimal"/>
            </w:pPr>
            <w:r w:rsidRPr="00DF196B">
              <w:t>100</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15E7779F" w14:textId="77777777">
            <w:pPr>
              <w:pStyle w:val="TableTextDecimal"/>
            </w:pPr>
            <w:r w:rsidRPr="00DF196B">
              <w:t>3</w:t>
            </w:r>
          </w:p>
        </w:tc>
      </w:tr>
      <w:tr w14:paraId="02C5B414" w14:textId="77777777" w:rsidTr="006951CB">
        <w:tblPrEx>
          <w:tblW w:w="5132" w:type="pct"/>
          <w:tblLayout w:type="fixed"/>
          <w:tblLook w:val="04A0"/>
        </w:tblPrEx>
        <w:trPr>
          <w:gridAfter w:val="1"/>
          <w:wAfter w:w="5" w:type="dxa"/>
          <w:trHeight w:val="3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210BA" w:rsidP="002210BA" w14:paraId="4435963A" w14:textId="77777777">
            <w:pPr>
              <w:tabs>
                <w:tab w:val="clear" w:pos="432"/>
              </w:tabs>
              <w:spacing w:line="240" w:lineRule="auto"/>
              <w:ind w:firstLine="0"/>
              <w:jc w:val="left"/>
              <w:rPr>
                <w:rFonts w:ascii="Arial" w:hAnsi="Arial" w:cs="Arial"/>
                <w:color w:val="000000"/>
                <w:sz w:val="18"/>
                <w:szCs w:val="18"/>
              </w:rPr>
            </w:pPr>
            <w:r w:rsidRPr="002210BA">
              <w:rPr>
                <w:rFonts w:ascii="Arial" w:hAnsi="Arial" w:cs="Arial"/>
                <w:color w:val="000000"/>
                <w:sz w:val="18"/>
                <w:szCs w:val="18"/>
              </w:rPr>
              <w:t>Schools (K–12) </w:t>
            </w:r>
          </w:p>
        </w:tc>
        <w:tc>
          <w:tcPr>
            <w:tcW w:w="6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56D0FE1E" w14:textId="77777777">
            <w:pPr>
              <w:pStyle w:val="TableTextDecimal"/>
            </w:pPr>
            <w:r w:rsidRPr="00DF196B">
              <w:t>727</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2AB1B6F1" w14:textId="77777777">
            <w:pPr>
              <w:pStyle w:val="TableTextDecimal"/>
            </w:pPr>
            <w:r>
              <w:t>242</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7EC4008E" w14:textId="77777777">
            <w:pPr>
              <w:pStyle w:val="TableTextDecimal"/>
            </w:pPr>
            <w:r>
              <w:t>57</w:t>
            </w:r>
          </w:p>
        </w:tc>
        <w:tc>
          <w:tcPr>
            <w:tcW w:w="516" w:type="pct"/>
            <w:tcBorders>
              <w:top w:val="single" w:sz="4" w:space="0" w:color="auto"/>
              <w:left w:val="single" w:sz="4" w:space="0" w:color="auto"/>
              <w:bottom w:val="single" w:sz="4" w:space="0" w:color="auto"/>
              <w:right w:val="single" w:sz="4" w:space="0" w:color="auto"/>
            </w:tcBorders>
            <w:shd w:val="clear" w:color="auto" w:fill="auto"/>
            <w:noWrap/>
            <w:vAlign w:val="bottom"/>
          </w:tcPr>
          <w:p w:rsidR="00687FE8" w:rsidRPr="00DF196B" w:rsidP="00DF196B" w14:paraId="405652F4" w14:textId="77777777">
            <w:pPr>
              <w:pStyle w:val="TableTextDecimal"/>
            </w:pPr>
            <w:r>
              <w:t>138</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4AB92EC9" w14:textId="77777777">
            <w:pPr>
              <w:pStyle w:val="TableTextDecimal"/>
            </w:pPr>
            <w:r w:rsidRPr="00DF196B">
              <w:t>--</w:t>
            </w:r>
          </w:p>
        </w:tc>
        <w:tc>
          <w:tcPr>
            <w:tcW w:w="46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3D44AE2F" w14:textId="77777777">
            <w:pPr>
              <w:pStyle w:val="TableTextDecimal"/>
            </w:pPr>
            <w:r w:rsidRPr="00DF196B">
              <w:t>--</w:t>
            </w:r>
          </w:p>
        </w:tc>
        <w:tc>
          <w:tcPr>
            <w:tcW w:w="68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0EDB20C3" w14:textId="77777777">
            <w:pPr>
              <w:pStyle w:val="TableTextDecimal"/>
            </w:pPr>
            <w:r w:rsidRPr="00DF196B">
              <w:t>--</w:t>
            </w:r>
          </w:p>
        </w:tc>
        <w:tc>
          <w:tcPr>
            <w:tcW w:w="56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87FE8" w:rsidRPr="00DF196B" w:rsidP="00DF196B" w14:paraId="07848A99" w14:textId="77777777">
            <w:pPr>
              <w:pStyle w:val="TableTextDecimal"/>
            </w:pPr>
            <w:r w:rsidRPr="00DF196B">
              <w:t>--</w:t>
            </w:r>
          </w:p>
        </w:tc>
      </w:tr>
    </w:tbl>
    <w:p w:rsidR="00687FE8" w:rsidRPr="003B6ABE" w:rsidP="00DF196B" w14:paraId="759A01FC" w14:textId="77777777">
      <w:pPr>
        <w:pStyle w:val="TableSourceCaption"/>
        <w:rPr>
          <w:rFonts w:eastAsiaTheme="minorEastAsia"/>
          <w:sz w:val="15"/>
          <w:szCs w:val="15"/>
        </w:rPr>
      </w:pPr>
      <w:r w:rsidRPr="003B6ABE">
        <w:rPr>
          <w:sz w:val="15"/>
          <w:szCs w:val="15"/>
        </w:rPr>
        <w:t>Source:</w:t>
      </w:r>
      <w:r w:rsidRPr="003B6ABE">
        <w:rPr>
          <w:sz w:val="15"/>
          <w:szCs w:val="15"/>
        </w:rPr>
        <w:tab/>
        <w:t>Simulations from the 2018–2019 FNS-742 file and 2017–2018 CCD file, with some data coming from the 2016–2017 CCD file except for sample sizes for Puerto Rico and USVI. The numbers in the table will be updated during sampling, using the most recent data available.</w:t>
      </w:r>
    </w:p>
    <w:p w:rsidR="00687FE8" w:rsidRPr="002210BA" w:rsidP="002210BA" w14:paraId="304B0C86" w14:textId="77777777">
      <w:pPr>
        <w:tabs>
          <w:tab w:val="clear" w:pos="432"/>
        </w:tabs>
        <w:spacing w:line="240" w:lineRule="auto"/>
        <w:ind w:left="720" w:hanging="720"/>
        <w:textAlignment w:val="baseline"/>
        <w:rPr>
          <w:rFonts w:ascii="Segoe UI" w:hAnsi="Segoe UI" w:cs="Segoe UI"/>
          <w:b/>
          <w:sz w:val="18"/>
          <w:szCs w:val="18"/>
        </w:rPr>
      </w:pPr>
    </w:p>
    <w:p w:rsidR="00687FE8" w:rsidP="003D0003" w14:paraId="4A2C3158" w14:textId="77777777">
      <w:pPr>
        <w:pStyle w:val="Heading2Black"/>
        <w:spacing w:after="120"/>
        <w:ind w:left="720" w:hanging="720"/>
      </w:pPr>
      <w:r>
        <w:t>B.2.</w:t>
      </w:r>
      <w:r>
        <w:tab/>
        <w:t xml:space="preserve">Describe the procedures for the collection of information including: </w:t>
      </w:r>
    </w:p>
    <w:p w:rsidR="00687FE8" w:rsidRPr="00317496" w:rsidP="008A6A7A" w14:paraId="1C6DCD72" w14:textId="77777777">
      <w:pPr>
        <w:pStyle w:val="BulletBlack"/>
        <w:ind w:left="1008" w:right="0"/>
        <w:rPr>
          <w:rFonts w:ascii="Arial" w:hAnsi="Arial"/>
          <w:b/>
          <w:sz w:val="20"/>
          <w:szCs w:val="20"/>
        </w:rPr>
      </w:pPr>
      <w:r w:rsidRPr="00317496">
        <w:rPr>
          <w:rFonts w:ascii="Arial" w:hAnsi="Arial"/>
          <w:b/>
          <w:sz w:val="20"/>
          <w:szCs w:val="20"/>
        </w:rPr>
        <w:t xml:space="preserve">Statistical methodology for stratification and sample selection, </w:t>
      </w:r>
    </w:p>
    <w:p w:rsidR="00687FE8" w:rsidRPr="00317496" w:rsidP="008A6A7A" w14:paraId="3B6F450A" w14:textId="77777777">
      <w:pPr>
        <w:pStyle w:val="BulletBlack"/>
        <w:ind w:left="1008" w:right="0"/>
        <w:rPr>
          <w:rFonts w:ascii="Arial" w:hAnsi="Arial"/>
          <w:b/>
          <w:sz w:val="20"/>
          <w:szCs w:val="20"/>
        </w:rPr>
      </w:pPr>
      <w:r w:rsidRPr="00317496">
        <w:rPr>
          <w:rFonts w:ascii="Arial" w:hAnsi="Arial"/>
          <w:b/>
          <w:sz w:val="20"/>
          <w:szCs w:val="20"/>
        </w:rPr>
        <w:t xml:space="preserve">Estimation procedure, </w:t>
      </w:r>
    </w:p>
    <w:p w:rsidR="00687FE8" w:rsidRPr="00317496" w:rsidP="008A6A7A" w14:paraId="36B85412" w14:textId="77777777">
      <w:pPr>
        <w:pStyle w:val="BulletBlack"/>
        <w:ind w:left="1008" w:right="0"/>
        <w:rPr>
          <w:rFonts w:ascii="Arial" w:hAnsi="Arial"/>
          <w:b/>
          <w:sz w:val="20"/>
          <w:szCs w:val="20"/>
        </w:rPr>
      </w:pPr>
      <w:r w:rsidRPr="00317496">
        <w:rPr>
          <w:rFonts w:ascii="Arial" w:hAnsi="Arial"/>
          <w:b/>
          <w:sz w:val="20"/>
          <w:szCs w:val="20"/>
        </w:rPr>
        <w:t xml:space="preserve">Degree of accuracy needed for the purpose described in the justification, </w:t>
      </w:r>
    </w:p>
    <w:p w:rsidR="00687FE8" w:rsidRPr="00317496" w:rsidP="008A6A7A" w14:paraId="587DFC4C" w14:textId="77777777">
      <w:pPr>
        <w:pStyle w:val="BulletBlack"/>
        <w:ind w:left="1008" w:right="0"/>
        <w:rPr>
          <w:rFonts w:ascii="Arial" w:hAnsi="Arial"/>
          <w:b/>
          <w:sz w:val="20"/>
          <w:szCs w:val="20"/>
        </w:rPr>
      </w:pPr>
      <w:r w:rsidRPr="00317496">
        <w:rPr>
          <w:rFonts w:ascii="Arial" w:hAnsi="Arial"/>
          <w:b/>
          <w:sz w:val="20"/>
          <w:szCs w:val="20"/>
        </w:rPr>
        <w:t xml:space="preserve">Unusual problems requiring specialized sampling procedures, and </w:t>
      </w:r>
    </w:p>
    <w:p w:rsidR="00687FE8" w:rsidRPr="00317496" w:rsidP="00D71770" w14:paraId="7444CD91" w14:textId="77777777">
      <w:pPr>
        <w:pStyle w:val="BulletBlackLastSS"/>
        <w:spacing w:after="120"/>
        <w:ind w:left="1008" w:right="0"/>
        <w:rPr>
          <w:sz w:val="20"/>
          <w:szCs w:val="20"/>
        </w:rPr>
      </w:pPr>
      <w:r w:rsidRPr="00317496">
        <w:rPr>
          <w:rFonts w:ascii="Arial" w:hAnsi="Arial"/>
          <w:b/>
          <w:sz w:val="20"/>
          <w:szCs w:val="20"/>
        </w:rPr>
        <w:t xml:space="preserve">Any use of periodic (less frequent than annual) data collection cycles to reduce burden. </w:t>
      </w:r>
    </w:p>
    <w:p w:rsidR="00687FE8" w:rsidP="006E22CA" w14:paraId="0E8F2B57" w14:textId="77777777">
      <w:pPr>
        <w:pStyle w:val="Heading3"/>
        <w:keepNext w:val="0"/>
      </w:pPr>
      <w:r>
        <w:t>B.2.1.</w:t>
      </w:r>
      <w:r>
        <w:tab/>
        <w:t xml:space="preserve">Statistical methodology for stratification and sample selection </w:t>
      </w:r>
    </w:p>
    <w:p w:rsidR="00687FE8" w:rsidP="004231F6" w14:paraId="257E5F3B" w14:textId="77777777">
      <w:r>
        <w:t xml:space="preserve">The sampling plan is shown in detail in Appendix </w:t>
      </w:r>
      <w:r>
        <w:rPr>
          <w:noProof/>
        </w:rPr>
        <w:t>L</w:t>
      </w:r>
      <w:r>
        <w:t>. The sampling plan will provide nationally representative estimates of SFAs, schools, students (and their parents), and meals in SY</w:t>
      </w:r>
      <w:r w:rsidRPr="29D101F8">
        <w:rPr>
          <w:rFonts w:ascii="Times New Roman" w:hAnsi="Times New Roman"/>
        </w:rPr>
        <w:t> </w:t>
      </w:r>
      <w:r>
        <w:t>2024-2025.</w:t>
      </w:r>
      <w:r w:rsidRPr="29D101F8">
        <w:rPr>
          <w:vertAlign w:val="superscript"/>
        </w:rPr>
        <w:t xml:space="preserve"> </w:t>
      </w:r>
      <w:r>
        <w:t>In addition, the sample is designed to lead to estimates that are as comparable as possible with the estimates from SNMCS-I, SFPS-III, and, to a certain extent, FFVP-I, with the required levels of statistical precision. It is also designed to incorporate the Outlying Areas (Alaska, Guam, Hawaii, Puerto Rico, and USVI) as part of the SNMCS-II study component. Two expanding policy-relevant subgroups are also incorporated into the design: SFAs and schools that are in States with Healthy School Meals for All (formerly referred to as Universal School Meals) and those that participate in the CEP option.</w:t>
      </w:r>
    </w:p>
    <w:p w:rsidR="00687FE8" w:rsidP="00A07743" w14:paraId="7C181DDE" w14:textId="77777777">
      <w:pPr>
        <w:pStyle w:val="Heading3"/>
        <w:keepNext w:val="0"/>
      </w:pPr>
      <w:r>
        <w:t>B.2.2.</w:t>
      </w:r>
      <w:r>
        <w:tab/>
        <w:t xml:space="preserve">Estimation procedure </w:t>
      </w:r>
    </w:p>
    <w:p w:rsidR="00687FE8" w:rsidRPr="00FC023E" w:rsidP="008E797C" w14:paraId="443EB9C5" w14:textId="77777777">
      <w:pPr>
        <w:rPr>
          <w:rFonts w:ascii="Segoe UI" w:hAnsi="Segoe UI"/>
          <w:sz w:val="18"/>
          <w:szCs w:val="18"/>
        </w:rPr>
      </w:pPr>
      <w:r w:rsidRPr="00FC023E">
        <w:t xml:space="preserve">The weights will account for the probabilities of selection and observed differential response rates across various subgroups. We will also post-stratify weights so that they total benchmarks obtained from the most recent CCD and FNS-742 data by school-level characteristics. We will identify the specific variables used for post-stratification in consultation with FNS. However, </w:t>
      </w:r>
      <w:r>
        <w:t xml:space="preserve">potential </w:t>
      </w:r>
      <w:r w:rsidRPr="00FC023E">
        <w:t>post-stratification benchmark counts for both levels (SFA and school) could include attributes associated with the geographic location and characteristics of the SFA and school (such as FNS region and urbanicity), categorical representations of SFA and school size, a</w:t>
      </w:r>
      <w:r>
        <w:t>nd</w:t>
      </w:r>
      <w:r w:rsidRPr="00FC023E">
        <w:t xml:space="preserve"> number of CEP schools, number of each school type (elementary, middle, and high), and categories for the percentage of students approved for free or reduced-price meals. Detailed descriptions of the weighting </w:t>
      </w:r>
      <w:r>
        <w:t>are</w:t>
      </w:r>
      <w:r w:rsidRPr="00FC023E">
        <w:t xml:space="preserve"> also provided in Appendix </w:t>
      </w:r>
      <w:r>
        <w:rPr>
          <w:noProof/>
        </w:rPr>
        <w:t>L</w:t>
      </w:r>
      <w:r w:rsidRPr="00FC023E">
        <w:t>. </w:t>
      </w:r>
    </w:p>
    <w:p w:rsidR="00687FE8" w:rsidP="008E797C" w14:paraId="3569989A" w14:textId="77777777">
      <w:r>
        <w:t>For all samples in this study, standard errors of estimates must account for the complex sample design. When making estimates, we will use statistical software that accounts for the sample design, using appropriate techniques to estimate the standard errors.</w:t>
      </w:r>
      <w:r w:rsidRPr="00733BD3">
        <w:t> </w:t>
      </w:r>
    </w:p>
    <w:p w:rsidR="00687FE8" w:rsidRPr="00733BD3" w:rsidP="008E797C" w14:paraId="2F102436" w14:textId="77777777">
      <w:pPr>
        <w:spacing w:line="240" w:lineRule="auto"/>
        <w:ind w:firstLine="420"/>
        <w:textAlignment w:val="baseline"/>
        <w:rPr>
          <w:rFonts w:ascii="Segoe UI" w:hAnsi="Segoe UI" w:cs="Segoe UI"/>
          <w:sz w:val="18"/>
          <w:szCs w:val="18"/>
        </w:rPr>
      </w:pPr>
    </w:p>
    <w:p w:rsidR="00687FE8" w:rsidRPr="00733BD3" w:rsidP="0090281E" w14:paraId="194A0469" w14:textId="77777777">
      <w:pPr>
        <w:pStyle w:val="Heading3"/>
        <w:rPr>
          <w:rFonts w:ascii="Segoe UI" w:hAnsi="Segoe UI"/>
          <w:sz w:val="18"/>
          <w:szCs w:val="18"/>
        </w:rPr>
      </w:pPr>
      <w:r w:rsidRPr="00733BD3">
        <w:t>B.2.3.</w:t>
      </w:r>
      <w:r w:rsidRPr="00733BD3">
        <w:rPr>
          <w:rFonts w:ascii="Calibri" w:hAnsi="Calibri" w:cs="Calibri"/>
        </w:rPr>
        <w:tab/>
      </w:r>
      <w:r w:rsidRPr="00733BD3">
        <w:t xml:space="preserve">Degree of accuracy needed for the purpose described in </w:t>
      </w:r>
      <w:r w:rsidRPr="00733BD3">
        <w:t>justification</w:t>
      </w:r>
      <w:r w:rsidRPr="00733BD3">
        <w:rPr>
          <w:bCs/>
        </w:rPr>
        <w:t>  </w:t>
      </w:r>
    </w:p>
    <w:p w:rsidR="00687FE8" w:rsidP="008E797C" w14:paraId="4797ECFC" w14:textId="77777777">
      <w:r w:rsidRPr="00292462">
        <w:t xml:space="preserve">This section presents the design effects and expected precision levels for SFA-, school-, and student-level estimates based on the target completed sample sizes for SNMCS-II and SFPS-IV. </w:t>
      </w:r>
      <w:r>
        <w:t>Table B.2.1</w:t>
      </w:r>
      <w:r w:rsidRPr="00292462">
        <w:t xml:space="preserve"> lists the expected design effects for the SFAs for both </w:t>
      </w:r>
      <w:r>
        <w:t>study components and for the FFVP evaluation component</w:t>
      </w:r>
      <w:r w:rsidRPr="00292462">
        <w:t>. </w:t>
      </w:r>
    </w:p>
    <w:p w:rsidR="00687FE8" w14:paraId="2A6B6C45" w14:textId="77777777">
      <w:pPr>
        <w:tabs>
          <w:tab w:val="clear" w:pos="432"/>
        </w:tabs>
        <w:spacing w:line="240" w:lineRule="auto"/>
        <w:ind w:firstLine="0"/>
        <w:jc w:val="left"/>
        <w:rPr>
          <w:rFonts w:ascii="Arial" w:hAnsi="Arial"/>
          <w:b/>
          <w:sz w:val="18"/>
        </w:rPr>
      </w:pPr>
      <w:r>
        <w:br w:type="page"/>
      </w:r>
    </w:p>
    <w:p w:rsidR="00687FE8" w:rsidRPr="0090281E" w:rsidP="0090281E" w14:paraId="76255C0B" w14:textId="77777777">
      <w:pPr>
        <w:pStyle w:val="MarkforTableHeading"/>
      </w:pPr>
      <w:r w:rsidRPr="0090281E">
        <w:t xml:space="preserve">Table B.2.1. Average SFA and school-level design effects and completed sample </w:t>
      </w:r>
      <w:r w:rsidRPr="0090281E">
        <w:t>sizes</w:t>
      </w:r>
      <w:r w:rsidRPr="0090281E">
        <w:t xml:space="preserve">  </w:t>
      </w:r>
    </w:p>
    <w:tbl>
      <w:tblPr>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00"/>
        <w:gridCol w:w="2025"/>
        <w:gridCol w:w="1875"/>
        <w:gridCol w:w="1470"/>
        <w:gridCol w:w="2880"/>
      </w:tblGrid>
      <w:tr w14:paraId="6BE31F84" w14:textId="77777777" w:rsidTr="29D101F8">
        <w:tblPrEx>
          <w:tblW w:w="9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blHeader/>
        </w:trPr>
        <w:tc>
          <w:tcPr>
            <w:tcW w:w="1200" w:type="dxa"/>
            <w:tcBorders>
              <w:top w:val="nil"/>
              <w:left w:val="nil"/>
              <w:bottom w:val="single" w:sz="4" w:space="0" w:color="auto"/>
              <w:right w:val="single" w:sz="4" w:space="0" w:color="FFFFFF" w:themeColor="background1"/>
            </w:tcBorders>
            <w:shd w:val="clear" w:color="auto" w:fill="6C6F70"/>
            <w:vAlign w:val="bottom"/>
            <w:hideMark/>
          </w:tcPr>
          <w:p w:rsidR="00687FE8" w:rsidRPr="00DF196B" w:rsidP="00DD099A" w14:paraId="12490F0E" w14:textId="77777777">
            <w:pPr>
              <w:pStyle w:val="TableHeaderLeft"/>
            </w:pPr>
            <w:r w:rsidRPr="00DF196B">
              <w:t>Study</w:t>
            </w:r>
            <w:r w:rsidRPr="00292462">
              <w:rPr>
                <w:rFonts w:ascii="Segoe UI" w:hAnsi="Segoe UI" w:cs="Segoe UI"/>
                <w:color w:val="FFFFFF"/>
                <w:szCs w:val="18"/>
              </w:rPr>
              <w:t> </w:t>
            </w:r>
          </w:p>
        </w:tc>
        <w:tc>
          <w:tcPr>
            <w:tcW w:w="2025" w:type="dxa"/>
            <w:tcBorders>
              <w:top w:val="nil"/>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DF196B" w:rsidP="00DF196B" w14:paraId="17D345B5" w14:textId="77777777">
            <w:pPr>
              <w:pStyle w:val="TableHeaderCenter"/>
            </w:pPr>
            <w:r w:rsidRPr="00DF196B">
              <w:t>Sampling unit</w:t>
            </w:r>
            <w:r w:rsidRPr="00292462">
              <w:rPr>
                <w:rFonts w:ascii="Segoe UI" w:hAnsi="Segoe UI" w:cs="Segoe UI"/>
                <w:color w:val="FFFFFF"/>
                <w:szCs w:val="18"/>
              </w:rPr>
              <w:t> </w:t>
            </w:r>
          </w:p>
        </w:tc>
        <w:tc>
          <w:tcPr>
            <w:tcW w:w="1875" w:type="dxa"/>
            <w:tcBorders>
              <w:top w:val="nil"/>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DF196B" w:rsidP="00DF196B" w14:paraId="1F25FE62" w14:textId="77777777">
            <w:pPr>
              <w:pStyle w:val="TableHeaderCenter"/>
            </w:pPr>
            <w:r w:rsidRPr="00DF196B">
              <w:t>Average design effect (deff)</w:t>
            </w:r>
            <w:r w:rsidRPr="00292462">
              <w:rPr>
                <w:rFonts w:ascii="Segoe UI" w:hAnsi="Segoe UI" w:cs="Segoe UI"/>
                <w:color w:val="FFFFFF"/>
                <w:szCs w:val="18"/>
              </w:rPr>
              <w:t> </w:t>
            </w:r>
          </w:p>
        </w:tc>
        <w:tc>
          <w:tcPr>
            <w:tcW w:w="1470" w:type="dxa"/>
            <w:tcBorders>
              <w:top w:val="nil"/>
              <w:left w:val="single" w:sz="4" w:space="0" w:color="FFFFFF" w:themeColor="background1"/>
              <w:bottom w:val="single" w:sz="4" w:space="0" w:color="auto"/>
              <w:right w:val="single" w:sz="4" w:space="0" w:color="FFFFFF" w:themeColor="background1"/>
            </w:tcBorders>
            <w:shd w:val="clear" w:color="auto" w:fill="6C6F70"/>
            <w:vAlign w:val="bottom"/>
            <w:hideMark/>
          </w:tcPr>
          <w:p w:rsidR="00687FE8" w:rsidRPr="00DF196B" w:rsidP="00DF196B" w14:paraId="0F9CAFF9" w14:textId="77777777">
            <w:pPr>
              <w:pStyle w:val="TableHeaderCenter"/>
            </w:pPr>
            <w:r w:rsidRPr="00DF196B">
              <w:t>Sample size</w:t>
            </w:r>
            <w:r w:rsidRPr="00292462">
              <w:rPr>
                <w:rFonts w:ascii="Segoe UI" w:hAnsi="Segoe UI" w:cs="Segoe UI"/>
                <w:color w:val="FFFFFF"/>
                <w:szCs w:val="18"/>
              </w:rPr>
              <w:t> </w:t>
            </w:r>
          </w:p>
        </w:tc>
        <w:tc>
          <w:tcPr>
            <w:tcW w:w="2880" w:type="dxa"/>
            <w:tcBorders>
              <w:top w:val="nil"/>
              <w:left w:val="single" w:sz="4" w:space="0" w:color="FFFFFF" w:themeColor="background1"/>
              <w:bottom w:val="single" w:sz="4" w:space="0" w:color="auto"/>
              <w:right w:val="nil"/>
            </w:tcBorders>
            <w:shd w:val="clear" w:color="auto" w:fill="6C6F70"/>
            <w:vAlign w:val="bottom"/>
            <w:hideMark/>
          </w:tcPr>
          <w:p w:rsidR="00687FE8" w:rsidRPr="00DF196B" w:rsidP="00DF196B" w14:paraId="0917AA0B" w14:textId="77777777">
            <w:pPr>
              <w:pStyle w:val="TableHeaderCenter"/>
            </w:pPr>
            <w:r w:rsidRPr="00DF196B">
              <w:t>Source</w:t>
            </w:r>
            <w:r w:rsidRPr="00292462">
              <w:rPr>
                <w:rFonts w:ascii="Segoe UI" w:hAnsi="Segoe UI" w:cs="Segoe UI"/>
                <w:color w:val="FFFFFF"/>
                <w:szCs w:val="18"/>
              </w:rPr>
              <w:t> </w:t>
            </w:r>
          </w:p>
        </w:tc>
      </w:tr>
      <w:tr w14:paraId="22018BEA"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033CFBA6" w14:textId="77777777">
            <w:pPr>
              <w:pStyle w:val="TableTextLeft"/>
            </w:pPr>
            <w:r w:rsidRPr="00DF196B">
              <w:t>SFPS-IV</w:t>
            </w:r>
            <w:r w:rsidRPr="00174AB1">
              <w:rPr>
                <w:rFonts w:ascii="Segoe UI" w:hAnsi="Segoe UI" w:cs="Segoe UI"/>
                <w:color w:val="000000"/>
                <w:szCs w:val="18"/>
              </w:rPr>
              <w:t> </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558EC9F9" w14:textId="77777777">
            <w:pPr>
              <w:pStyle w:val="TableTextLeft"/>
            </w:pPr>
            <w:r w:rsidRPr="00DF196B">
              <w:t>SFA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61E737EA" w14:textId="77777777">
            <w:pPr>
              <w:pStyle w:val="TableTextDecimal"/>
            </w:pPr>
            <w:r w:rsidRPr="00DF196B">
              <w:t>1.26 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E58F069" w14:textId="77777777">
            <w:pPr>
              <w:pStyle w:val="TableTextDecimal"/>
            </w:pPr>
            <w:r w:rsidRPr="00DF196B">
              <w:t>364 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350BD545" w14:textId="77777777">
            <w:pPr>
              <w:pStyle w:val="TableTextLeft"/>
            </w:pPr>
            <w:r w:rsidRPr="00DF196B">
              <w:t>Groups 1a and 1b </w:t>
            </w:r>
          </w:p>
        </w:tc>
      </w:tr>
      <w:tr w14:paraId="7B92BB8B"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30614D4D" w14:textId="77777777">
            <w:pPr>
              <w:pStyle w:val="TableTextLeft"/>
            </w:pPr>
            <w:r w:rsidRPr="00DF196B">
              <w:t>SNMCS-II</w:t>
            </w:r>
            <w:r w:rsidRPr="00174AB1">
              <w:rPr>
                <w:rFonts w:ascii="Segoe UI" w:hAnsi="Segoe UI" w:cs="Segoe UI"/>
                <w:color w:val="000000"/>
                <w:szCs w:val="18"/>
              </w:rPr>
              <w:t> </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1FDF4CC8" w14:textId="77777777">
            <w:pPr>
              <w:pStyle w:val="TableTextLeft"/>
            </w:pPr>
            <w:r w:rsidRPr="00DF196B">
              <w:t>SFA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549144E9" w14:textId="77777777">
            <w:pPr>
              <w:pStyle w:val="TableTextDecimal"/>
            </w:pPr>
            <w:r w:rsidRPr="00DF196B">
              <w:t>1.38 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640D7795" w14:textId="77777777">
            <w:pPr>
              <w:pStyle w:val="TableTextDecimal"/>
            </w:pPr>
            <w:r w:rsidRPr="00DF196B">
              <w:t>522</w:t>
            </w:r>
            <w:r w:rsidRPr="006578AD">
              <w:rPr>
                <w:vertAlign w:val="superscript"/>
              </w:rPr>
              <w:t>a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3B18045" w14:textId="77777777">
            <w:pPr>
              <w:pStyle w:val="TableTextLeft"/>
            </w:pPr>
            <w:r w:rsidRPr="00DF196B">
              <w:t>Groups 1a, 1c, 2a, and 3 </w:t>
            </w:r>
          </w:p>
        </w:tc>
      </w:tr>
      <w:tr w14:paraId="49F47F42"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4731B3AA" w14:textId="77777777">
            <w:pPr>
              <w:pStyle w:val="TableTextLeft"/>
            </w:pPr>
            <w:r w:rsidRPr="00DF196B">
              <w:t> </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58C65773" w14:textId="77777777">
            <w:pPr>
              <w:pStyle w:val="TableTextLeft"/>
            </w:pPr>
            <w:r w:rsidRPr="00DF196B">
              <w:t>School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4C15B6AF" w14:textId="77777777">
            <w:pPr>
              <w:pStyle w:val="TableTextDecimal"/>
            </w:pPr>
            <w:r w:rsidRPr="00DF196B">
              <w:t>2.23 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80E4497" w14:textId="77777777">
            <w:pPr>
              <w:pStyle w:val="TableTextDecimal"/>
            </w:pPr>
            <w:r w:rsidRPr="00DF196B">
              <w:t>796 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566A6012" w14:textId="77777777">
            <w:pPr>
              <w:pStyle w:val="TableTextLeft"/>
            </w:pPr>
            <w:r w:rsidRPr="00DF196B">
              <w:t>Group 3 </w:t>
            </w:r>
          </w:p>
        </w:tc>
      </w:tr>
      <w:tr w14:paraId="3F9294A4"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43C2F652" w14:textId="77777777">
            <w:pPr>
              <w:pStyle w:val="TableTextLeft"/>
            </w:pPr>
            <w:r w:rsidRPr="00DF196B">
              <w:t> </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29707E7C" w14:textId="77777777">
            <w:pPr>
              <w:pStyle w:val="TableTextLeft"/>
            </w:pPr>
            <w:r w:rsidRPr="00DF196B">
              <w:t>School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5BB11497" w14:textId="77777777">
            <w:pPr>
              <w:pStyle w:val="TableTextDecimal"/>
            </w:pPr>
            <w:r w:rsidRPr="00DF196B">
              <w:t>2.83 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336FD1E1" w14:textId="77777777">
            <w:pPr>
              <w:pStyle w:val="TableTextDecimal"/>
            </w:pPr>
            <w:r w:rsidRPr="00DF196B">
              <w:t>1,061 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63D3633A" w14:textId="77777777">
            <w:pPr>
              <w:pStyle w:val="TableTextLeft"/>
            </w:pPr>
            <w:r w:rsidRPr="00DF196B">
              <w:t>Groups 2a and 3 </w:t>
            </w:r>
          </w:p>
        </w:tc>
      </w:tr>
      <w:tr w14:paraId="4A4BFEE4" w14:textId="77777777" w:rsidTr="009B1596">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55D38FB" w14:textId="77777777">
            <w:pPr>
              <w:pStyle w:val="TableTextLeft"/>
            </w:pPr>
            <w:r w:rsidRPr="00DF196B">
              <w:t> </w:t>
            </w:r>
          </w:p>
        </w:tc>
        <w:tc>
          <w:tcPr>
            <w:tcW w:w="2025" w:type="dxa"/>
            <w:tcBorders>
              <w:top w:val="single" w:sz="4" w:space="0" w:color="auto"/>
              <w:left w:val="single" w:sz="4" w:space="0" w:color="auto"/>
              <w:bottom w:val="single" w:sz="4" w:space="0" w:color="auto"/>
              <w:right w:val="single" w:sz="4" w:space="0" w:color="auto"/>
            </w:tcBorders>
            <w:shd w:val="clear" w:color="auto" w:fill="auto"/>
            <w:hideMark/>
          </w:tcPr>
          <w:p w:rsidR="00687FE8" w:rsidRPr="00DF196B" w:rsidP="009B1596" w14:paraId="145FFA7C" w14:textId="77777777">
            <w:pPr>
              <w:pStyle w:val="TableTextLeft"/>
            </w:pPr>
            <w:r w:rsidRPr="00DF196B">
              <w:t>Student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41191FEB" w14:textId="77777777">
            <w:pPr>
              <w:pStyle w:val="TableTextDecimal"/>
            </w:pPr>
            <w:r w:rsidRPr="00DF196B">
              <w:t>5.20 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BEA4F09" w14:textId="77777777">
            <w:pPr>
              <w:pStyle w:val="TableTextDecimal"/>
            </w:pPr>
            <w:r>
              <w:t>3,302</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66E71636" w14:textId="77777777">
            <w:pPr>
              <w:pStyle w:val="TableTextLeft"/>
            </w:pPr>
            <w:r w:rsidRPr="00DF196B">
              <w:t>Group 2a </w:t>
            </w:r>
          </w:p>
        </w:tc>
      </w:tr>
      <w:tr w14:paraId="4E481A7D" w14:textId="77777777" w:rsidTr="41996ABD">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P="00887F7A" w14:paraId="607E5288" w14:textId="77777777">
            <w:pPr>
              <w:pStyle w:val="TableTextLeft"/>
            </w:pP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P="00887F7A" w14:paraId="69312636" w14:textId="77777777">
            <w:pPr>
              <w:pStyle w:val="TableTextLeft"/>
            </w:pPr>
            <w:r>
              <w:t>Parent</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P="00887F7A" w14:paraId="1D93DAA8" w14:textId="77777777">
            <w:pPr>
              <w:pStyle w:val="TableTextDecimal"/>
            </w:pPr>
            <w:r>
              <w:t>5.20</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P="00887F7A" w14:paraId="4C382E3B" w14:textId="77777777">
            <w:pPr>
              <w:pStyle w:val="TableTextDecimal"/>
            </w:pPr>
            <w:r>
              <w:t>1,800</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P="00887F7A" w14:paraId="2252670D" w14:textId="77777777">
            <w:pPr>
              <w:pStyle w:val="TableTextLeft"/>
            </w:pPr>
            <w:r>
              <w:t>Group 2a</w:t>
            </w:r>
          </w:p>
        </w:tc>
      </w:tr>
      <w:tr w14:paraId="10623962"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3F2D132A" w14:textId="77777777">
            <w:pPr>
              <w:pStyle w:val="TableTextLeft"/>
            </w:pPr>
            <w:r w:rsidRPr="00DF196B">
              <w:t> </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6578AD" w:rsidP="00DF196B" w14:paraId="3F44FF5C" w14:textId="77777777">
            <w:pPr>
              <w:pStyle w:val="TableTextLeft"/>
            </w:pPr>
            <w:r w:rsidRPr="006578AD">
              <w:t>Lunch/</w:t>
            </w:r>
            <w:r w:rsidRPr="006578AD">
              <w:rPr>
                <w:color w:val="000000"/>
                <w:szCs w:val="18"/>
              </w:rPr>
              <w:t>breakfast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550542BD" w14:textId="77777777">
            <w:pPr>
              <w:pStyle w:val="TableTextDecimal"/>
            </w:pPr>
            <w:r w:rsidRPr="00DF196B">
              <w:t>5.00 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45DE3017" w14:textId="77777777">
            <w:pPr>
              <w:pStyle w:val="TableTextDecimal"/>
            </w:pPr>
            <w:r w:rsidRPr="00DF196B">
              <w:t>4,140/2,120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7E7BD9D" w14:textId="77777777">
            <w:pPr>
              <w:pStyle w:val="TableTextLeft"/>
            </w:pPr>
            <w:r w:rsidRPr="00DF196B">
              <w:t>Group 3 </w:t>
            </w:r>
          </w:p>
        </w:tc>
      </w:tr>
      <w:tr w14:paraId="16DF6DB8"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23401622" w14:textId="77777777">
            <w:pPr>
              <w:pStyle w:val="TableTextLeft"/>
            </w:pPr>
            <w:r>
              <w:t>FFVP evaluation</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6C9DCC4C" w14:textId="77777777">
            <w:pPr>
              <w:pStyle w:val="TableTextLeft"/>
            </w:pPr>
            <w:r w:rsidRPr="00DF196B">
              <w:t>School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CB3776B" w14:textId="77777777">
            <w:pPr>
              <w:pStyle w:val="TableTextDecimal"/>
            </w:pPr>
            <w:r w:rsidRPr="00DF196B">
              <w:t>1.20 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0BF92ECC" w14:textId="77777777">
            <w:pPr>
              <w:pStyle w:val="TableTextDecimal"/>
            </w:pPr>
            <w:r w:rsidRPr="00DF196B">
              <w:t>100 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71850360" w14:textId="77777777">
            <w:pPr>
              <w:pStyle w:val="TableTextLeft"/>
            </w:pPr>
            <w:r w:rsidRPr="00DF196B">
              <w:t>Group 2b </w:t>
            </w:r>
          </w:p>
        </w:tc>
      </w:tr>
      <w:tr w14:paraId="13A6E087" w14:textId="77777777" w:rsidTr="29D101F8">
        <w:tblPrEx>
          <w:tblW w:w="9450" w:type="dxa"/>
          <w:tblCellMar>
            <w:left w:w="0" w:type="dxa"/>
            <w:right w:w="0" w:type="dxa"/>
          </w:tblCellMar>
          <w:tblLook w:val="04A0"/>
        </w:tblPrEx>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1480D86E" w14:textId="77777777">
            <w:pPr>
              <w:pStyle w:val="TableTextLeft"/>
            </w:pPr>
            <w:r w:rsidRPr="00DF196B">
              <w:t> </w:t>
            </w:r>
          </w:p>
        </w:tc>
        <w:tc>
          <w:tcPr>
            <w:tcW w:w="20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2DFBAA5C" w14:textId="77777777">
            <w:pPr>
              <w:pStyle w:val="TableTextLeft"/>
            </w:pPr>
            <w:r w:rsidRPr="00DF196B">
              <w:t>Student </w:t>
            </w:r>
          </w:p>
        </w:tc>
        <w:tc>
          <w:tcPr>
            <w:tcW w:w="18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2AC36051" w14:textId="77777777">
            <w:pPr>
              <w:pStyle w:val="TableTextDecimal"/>
            </w:pPr>
            <w:r w:rsidRPr="00DF196B">
              <w:t>2.50 </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2452D58D" w14:textId="77777777">
            <w:pPr>
              <w:pStyle w:val="TableTextDecimal"/>
            </w:pPr>
            <w:r w:rsidRPr="00DF196B">
              <w:t>800 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DF196B" w:rsidP="00DF196B" w14:paraId="18D738B3" w14:textId="77777777">
            <w:pPr>
              <w:pStyle w:val="TableTextLeft"/>
            </w:pPr>
            <w:r w:rsidRPr="00DF196B">
              <w:t>Group 2b </w:t>
            </w:r>
          </w:p>
        </w:tc>
      </w:tr>
    </w:tbl>
    <w:p w:rsidR="00687FE8" w:rsidRPr="0090281E" w:rsidP="00DF196B" w14:paraId="0400690C" w14:textId="77777777">
      <w:pPr>
        <w:pStyle w:val="TableFootnoteCaption"/>
        <w:rPr>
          <w:rFonts w:ascii="Segoe UI" w:hAnsi="Segoe UI" w:cs="Segoe UI"/>
          <w:color w:val="000000"/>
          <w:sz w:val="15"/>
          <w:szCs w:val="15"/>
        </w:rPr>
      </w:pPr>
      <w:r w:rsidRPr="0090281E">
        <w:rPr>
          <w:sz w:val="15"/>
          <w:szCs w:val="15"/>
          <w:vertAlign w:val="superscript"/>
        </w:rPr>
        <w:t>a</w:t>
      </w:r>
      <w:r w:rsidRPr="0090281E">
        <w:rPr>
          <w:sz w:val="15"/>
          <w:szCs w:val="15"/>
        </w:rPr>
        <w:t xml:space="preserve"> </w:t>
      </w:r>
      <w:r w:rsidRPr="0090281E">
        <w:rPr>
          <w:sz w:val="15"/>
          <w:szCs w:val="15"/>
        </w:rPr>
        <w:t>The</w:t>
      </w:r>
      <w:r w:rsidRPr="0090281E">
        <w:rPr>
          <w:sz w:val="15"/>
          <w:szCs w:val="15"/>
        </w:rPr>
        <w:t xml:space="preserve"> certainty SFAs are included in Groups 1a, 2a, and 3 but are counted only once to get a unique number of SFAs equal to 522. </w:t>
      </w:r>
    </w:p>
    <w:p w:rsidR="00687FE8" w:rsidP="008E797C" w14:paraId="1ECAA836" w14:textId="77777777">
      <w:pPr>
        <w:spacing w:line="240" w:lineRule="auto"/>
        <w:textAlignment w:val="baseline"/>
        <w:rPr>
          <w:rFonts w:ascii="Segoe UI" w:hAnsi="Segoe UI" w:cs="Segoe UI"/>
          <w:sz w:val="20"/>
          <w:szCs w:val="20"/>
        </w:rPr>
      </w:pPr>
    </w:p>
    <w:p w:rsidR="00687FE8" w:rsidP="00432327" w14:paraId="5FA3D198" w14:textId="77777777">
      <w:r>
        <w:t>The sample size of 364 SFAs for SFPS-IV was designed to meet the precision of national estimates for population proportions of 50 percent and a difference of ±5 percentage points with a 90 percent confidence level for the overall estimates. This sample reflects the precision losses from using a complex design (e.g., unequal weighting and stratification of SFAs in Groups 1a and 1b). This sample size meets the precision target for a subpopulation of at least 25</w:t>
      </w:r>
      <w:r w:rsidRPr="3A7B9A2E">
        <w:rPr>
          <w:rFonts w:ascii="Times New Roman" w:hAnsi="Times New Roman"/>
        </w:rPr>
        <w:t> </w:t>
      </w:r>
      <w:r>
        <w:t xml:space="preserve">percent of the total population with a proportion of 30 percent and a difference of ±10 percentage points with a 90 percent confidence level, shown in Table B.2.2. </w:t>
      </w:r>
    </w:p>
    <w:p w:rsidR="00687FE8" w:rsidRPr="00DF196B" w:rsidP="00EC3972" w14:paraId="2AAC93FB" w14:textId="77777777">
      <w:pPr>
        <w:pStyle w:val="MarkforTableHeading"/>
        <w:rPr>
          <w:rFonts w:cs="Arial"/>
          <w:szCs w:val="18"/>
        </w:rPr>
      </w:pPr>
      <w:r w:rsidRPr="00DF196B">
        <w:rPr>
          <w:rFonts w:cs="Arial"/>
          <w:szCs w:val="18"/>
        </w:rPr>
        <w:t>Table B.2.2. Expected precision levels for SFA-level estimates for SFPS-IV</w:t>
      </w:r>
    </w:p>
    <w:tbl>
      <w:tblPr>
        <w:tblW w:w="0" w:type="auto"/>
        <w:tblLook w:val="04A0"/>
      </w:tblPr>
      <w:tblGrid>
        <w:gridCol w:w="3945"/>
        <w:gridCol w:w="2835"/>
        <w:gridCol w:w="2580"/>
      </w:tblGrid>
      <w:tr w14:paraId="215EC819" w14:textId="77777777" w:rsidTr="29D101F8">
        <w:tblPrEx>
          <w:tblW w:w="0" w:type="auto"/>
          <w:tblLook w:val="04A0"/>
        </w:tblPrEx>
        <w:trPr>
          <w:trHeight w:val="15"/>
          <w:tblHeader/>
        </w:trPr>
        <w:tc>
          <w:tcPr>
            <w:tcW w:w="3945" w:type="dxa"/>
            <w:tcBorders>
              <w:bottom w:val="single" w:sz="4" w:space="0" w:color="auto"/>
              <w:right w:val="single" w:sz="4" w:space="0" w:color="FFFFFF" w:themeColor="background1"/>
            </w:tcBorders>
            <w:shd w:val="clear" w:color="auto" w:fill="6C6F70"/>
            <w:vAlign w:val="bottom"/>
          </w:tcPr>
          <w:p w:rsidR="00687FE8" w:rsidRPr="00DF196B" w:rsidP="009B5450" w14:paraId="39B5BCE8" w14:textId="77777777">
            <w:pPr>
              <w:pStyle w:val="TableHeaderLeft"/>
            </w:pPr>
            <w:r w:rsidRPr="00DF196B">
              <w:t>Subgroups </w:t>
            </w:r>
          </w:p>
        </w:tc>
        <w:tc>
          <w:tcPr>
            <w:tcW w:w="2835" w:type="dxa"/>
            <w:tcBorders>
              <w:left w:val="single" w:sz="4" w:space="0" w:color="FFFFFF" w:themeColor="background1"/>
              <w:bottom w:val="single" w:sz="4" w:space="0" w:color="auto"/>
              <w:right w:val="single" w:sz="4" w:space="0" w:color="FFFFFF" w:themeColor="background1"/>
            </w:tcBorders>
            <w:shd w:val="clear" w:color="auto" w:fill="6C6F70"/>
            <w:vAlign w:val="center"/>
          </w:tcPr>
          <w:p w:rsidR="00687FE8" w:rsidRPr="00DF196B" w:rsidP="00DF196B" w14:paraId="0C1CD704" w14:textId="77777777">
            <w:pPr>
              <w:pStyle w:val="TableHeaderCenter"/>
            </w:pPr>
            <w:r w:rsidRPr="00DF196B">
              <w:t>Target completed  </w:t>
            </w:r>
            <w:r>
              <w:br/>
            </w:r>
            <w:r w:rsidRPr="00DF196B">
              <w:t>sample sizes </w:t>
            </w:r>
          </w:p>
        </w:tc>
        <w:tc>
          <w:tcPr>
            <w:tcW w:w="2580" w:type="dxa"/>
            <w:tcBorders>
              <w:left w:val="single" w:sz="4" w:space="0" w:color="FFFFFF" w:themeColor="background1"/>
              <w:bottom w:val="single" w:sz="4" w:space="0" w:color="auto"/>
            </w:tcBorders>
            <w:shd w:val="clear" w:color="auto" w:fill="6C6F70"/>
            <w:vAlign w:val="center"/>
          </w:tcPr>
          <w:p w:rsidR="00687FE8" w:rsidRPr="00DF196B" w:rsidP="00DF196B" w14:paraId="497179E9" w14:textId="77777777">
            <w:pPr>
              <w:pStyle w:val="TableHeaderCenter"/>
            </w:pPr>
            <w:r w:rsidRPr="00DF196B">
              <w:t>90 percent CI half interval  </w:t>
            </w:r>
            <w:r>
              <w:br/>
            </w:r>
            <w:r w:rsidRPr="00DF196B">
              <w:t>(</w:t>
            </w:r>
            <w:r>
              <w:t>percentage points</w:t>
            </w:r>
            <w:r w:rsidRPr="00DF196B">
              <w:t>) </w:t>
            </w:r>
          </w:p>
        </w:tc>
      </w:tr>
      <w:tr w14:paraId="474B63EA"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9B5450" w:rsidP="009B5450" w14:paraId="4C2F2280" w14:textId="77777777">
            <w:pPr>
              <w:spacing w:before="60" w:after="60" w:line="240" w:lineRule="auto"/>
              <w:ind w:firstLine="0"/>
              <w:rPr>
                <w:rFonts w:ascii="Arial" w:hAnsi="Arial" w:cs="Arial"/>
                <w:b/>
                <w:sz w:val="18"/>
                <w:szCs w:val="18"/>
              </w:rPr>
            </w:pPr>
            <w:r w:rsidRPr="009B5450">
              <w:rPr>
                <w:rFonts w:ascii="Arial" w:hAnsi="Arial" w:cs="Arial"/>
                <w:b/>
                <w:sz w:val="18"/>
                <w:szCs w:val="18"/>
              </w:rPr>
              <w:t>Number of schools </w:t>
            </w:r>
          </w:p>
        </w:tc>
      </w:tr>
      <w:tr w14:paraId="53024379"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3244D290" w14:textId="77777777">
            <w:pPr>
              <w:pStyle w:val="TableTextIndent"/>
            </w:pPr>
            <w:r w:rsidRPr="00DF196B">
              <w:t>1–2</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154EADE4" w14:textId="77777777">
            <w:pPr>
              <w:pStyle w:val="TableTextDecimal"/>
              <w:tabs>
                <w:tab w:val="clear" w:pos="576"/>
                <w:tab w:val="decimal" w:pos="1260"/>
              </w:tabs>
            </w:pPr>
            <w:r w:rsidRPr="00DF196B">
              <w:t>125 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0671B390" w14:textId="77777777">
            <w:pPr>
              <w:pStyle w:val="TableTextDecimal"/>
              <w:tabs>
                <w:tab w:val="clear" w:pos="576"/>
                <w:tab w:val="decimal" w:pos="1035"/>
              </w:tabs>
            </w:pPr>
            <w:r w:rsidRPr="00DF196B">
              <w:t>7.6 </w:t>
            </w:r>
          </w:p>
        </w:tc>
      </w:tr>
      <w:tr w14:paraId="184ADEE5"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18E36096" w14:textId="77777777">
            <w:pPr>
              <w:pStyle w:val="TableTextIndent"/>
            </w:pPr>
            <w:r w:rsidRPr="00DF196B">
              <w:t>3–4</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65FD15FC" w14:textId="77777777">
            <w:pPr>
              <w:pStyle w:val="TableTextDecimal"/>
              <w:tabs>
                <w:tab w:val="clear" w:pos="576"/>
                <w:tab w:val="decimal" w:pos="1260"/>
              </w:tabs>
            </w:pPr>
            <w:r w:rsidRPr="00DF196B">
              <w:t>110 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394146EE" w14:textId="77777777">
            <w:pPr>
              <w:pStyle w:val="TableTextDecimal"/>
              <w:tabs>
                <w:tab w:val="clear" w:pos="576"/>
                <w:tab w:val="decimal" w:pos="1035"/>
              </w:tabs>
            </w:pPr>
            <w:r w:rsidRPr="00DF196B">
              <w:t>8.1 </w:t>
            </w:r>
          </w:p>
        </w:tc>
      </w:tr>
      <w:tr w14:paraId="10673612"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0B55C725" w14:textId="77777777">
            <w:pPr>
              <w:pStyle w:val="TableTextIndent"/>
            </w:pPr>
            <w:r w:rsidRPr="00DF196B">
              <w:t>5 or more</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74C582A5" w14:textId="77777777">
            <w:pPr>
              <w:pStyle w:val="TableTextDecimal"/>
              <w:tabs>
                <w:tab w:val="clear" w:pos="576"/>
                <w:tab w:val="decimal" w:pos="1260"/>
              </w:tabs>
            </w:pPr>
            <w:r w:rsidRPr="00DF196B">
              <w:t>129 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5831FA96" w14:textId="77777777">
            <w:pPr>
              <w:pStyle w:val="TableTextDecimal"/>
              <w:tabs>
                <w:tab w:val="clear" w:pos="576"/>
                <w:tab w:val="decimal" w:pos="1035"/>
              </w:tabs>
            </w:pPr>
            <w:r w:rsidRPr="00DF196B">
              <w:t>7.4 </w:t>
            </w:r>
          </w:p>
        </w:tc>
      </w:tr>
      <w:tr w14:paraId="164C43A7"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DF196B" w:rsidP="009B5450" w14:paraId="62920164" w14:textId="77777777">
            <w:pPr>
              <w:spacing w:before="60" w:after="60" w:line="240" w:lineRule="auto"/>
              <w:ind w:firstLine="0"/>
              <w:rPr>
                <w:rFonts w:ascii="Arial" w:hAnsi="Arial" w:cs="Arial"/>
                <w:b/>
                <w:sz w:val="18"/>
                <w:szCs w:val="18"/>
              </w:rPr>
            </w:pPr>
            <w:r w:rsidRPr="00DF196B">
              <w:rPr>
                <w:rFonts w:ascii="Arial" w:hAnsi="Arial" w:cs="Arial"/>
                <w:b/>
                <w:sz w:val="18"/>
                <w:szCs w:val="18"/>
              </w:rPr>
              <w:t>Number of students </w:t>
            </w:r>
          </w:p>
        </w:tc>
      </w:tr>
      <w:tr w14:paraId="323976FC"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06CC2DD8" w14:textId="77777777">
            <w:pPr>
              <w:pStyle w:val="TableTextIndent"/>
            </w:pPr>
            <w:r w:rsidRPr="00DF196B">
              <w:t>1–350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2077894" w14:textId="77777777">
            <w:pPr>
              <w:pStyle w:val="TableTextDecimal"/>
              <w:tabs>
                <w:tab w:val="clear" w:pos="576"/>
                <w:tab w:val="decimal" w:pos="1260"/>
              </w:tabs>
            </w:pPr>
            <w:r w:rsidRPr="009B5450">
              <w:t>89 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9B5450" w14:paraId="53A9C00C" w14:textId="77777777">
            <w:pPr>
              <w:pStyle w:val="TableTextDecimal"/>
              <w:tabs>
                <w:tab w:val="clear" w:pos="576"/>
                <w:tab w:val="decimal" w:pos="1035"/>
              </w:tabs>
              <w:rPr>
                <w:szCs w:val="18"/>
              </w:rPr>
            </w:pPr>
            <w:r w:rsidRPr="00DF196B">
              <w:rPr>
                <w:szCs w:val="18"/>
              </w:rPr>
              <w:t>9.0 </w:t>
            </w:r>
          </w:p>
        </w:tc>
      </w:tr>
      <w:tr w14:paraId="2DEBB5FE"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196673A" w14:textId="77777777">
            <w:pPr>
              <w:pStyle w:val="TableTextIndent"/>
            </w:pPr>
            <w:r w:rsidRPr="00DF196B">
              <w:t>351–1,200</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203196C" w14:textId="77777777">
            <w:pPr>
              <w:pStyle w:val="TableTextDecimal"/>
              <w:tabs>
                <w:tab w:val="clear" w:pos="576"/>
                <w:tab w:val="decimal" w:pos="1260"/>
              </w:tabs>
            </w:pPr>
            <w:r w:rsidRPr="009B5450">
              <w:t>105 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BF34004" w14:textId="77777777">
            <w:pPr>
              <w:pStyle w:val="TableTextDecimal"/>
              <w:tabs>
                <w:tab w:val="clear" w:pos="576"/>
                <w:tab w:val="decimal" w:pos="1035"/>
              </w:tabs>
            </w:pPr>
            <w:r w:rsidRPr="009B5450">
              <w:t>8.3 </w:t>
            </w:r>
          </w:p>
        </w:tc>
      </w:tr>
      <w:tr w14:paraId="78632536"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46B19143" w14:textId="77777777">
            <w:pPr>
              <w:pStyle w:val="TableTextIndent"/>
            </w:pPr>
            <w:r w:rsidRPr="00DF196B">
              <w:t>More than 1,200</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51E95D4" w14:textId="77777777">
            <w:pPr>
              <w:pStyle w:val="TableTextDecimal"/>
              <w:tabs>
                <w:tab w:val="clear" w:pos="576"/>
                <w:tab w:val="decimal" w:pos="1260"/>
              </w:tabs>
            </w:pPr>
            <w:r w:rsidRPr="009B5450">
              <w:t>170 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1669B5E" w14:textId="77777777">
            <w:pPr>
              <w:pStyle w:val="TableTextDecimal"/>
              <w:tabs>
                <w:tab w:val="clear" w:pos="576"/>
                <w:tab w:val="decimal" w:pos="1035"/>
              </w:tabs>
            </w:pPr>
            <w:r w:rsidRPr="009B5450">
              <w:t>6.5 </w:t>
            </w:r>
          </w:p>
        </w:tc>
      </w:tr>
      <w:tr w14:paraId="62668047"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DF196B" w:rsidP="009B5450" w14:paraId="0E976E13" w14:textId="77777777">
            <w:pPr>
              <w:spacing w:before="60" w:after="60" w:line="240" w:lineRule="auto"/>
              <w:ind w:firstLine="0"/>
              <w:rPr>
                <w:rFonts w:ascii="Arial" w:hAnsi="Arial" w:cs="Arial"/>
                <w:b/>
                <w:sz w:val="18"/>
                <w:szCs w:val="18"/>
              </w:rPr>
            </w:pPr>
            <w:r w:rsidRPr="00DF196B">
              <w:rPr>
                <w:rFonts w:ascii="Arial" w:hAnsi="Arial" w:cs="Arial"/>
                <w:b/>
                <w:sz w:val="18"/>
                <w:szCs w:val="18"/>
              </w:rPr>
              <w:t>Urbanicity </w:t>
            </w:r>
          </w:p>
        </w:tc>
      </w:tr>
      <w:tr w14:paraId="0F823890"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11541889" w14:textId="77777777">
            <w:pPr>
              <w:pStyle w:val="TableTextIndent"/>
            </w:pPr>
            <w:r w:rsidRPr="00DF196B">
              <w:t>Urban</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23DF318" w14:textId="77777777">
            <w:pPr>
              <w:pStyle w:val="TableTextDecimal"/>
              <w:tabs>
                <w:tab w:val="clear" w:pos="576"/>
                <w:tab w:val="decimal" w:pos="1260"/>
              </w:tabs>
            </w:pPr>
            <w:r w:rsidRPr="009B5450">
              <w:t>140 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7DA3C9D0" w14:textId="77777777">
            <w:pPr>
              <w:pStyle w:val="TableTextDecimal"/>
              <w:tabs>
                <w:tab w:val="clear" w:pos="576"/>
                <w:tab w:val="decimal" w:pos="1035"/>
              </w:tabs>
            </w:pPr>
            <w:r w:rsidRPr="009B5450">
              <w:t>7.2 </w:t>
            </w:r>
          </w:p>
        </w:tc>
      </w:tr>
      <w:tr w14:paraId="3A60C94B"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11C09381" w14:textId="77777777">
            <w:pPr>
              <w:pStyle w:val="TableTextIndent"/>
            </w:pPr>
            <w:r w:rsidRPr="00DF196B">
              <w:t>Rural</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3E76F44" w14:textId="77777777">
            <w:pPr>
              <w:pStyle w:val="TableTextDecimal"/>
              <w:tabs>
                <w:tab w:val="clear" w:pos="576"/>
                <w:tab w:val="decimal" w:pos="1260"/>
              </w:tabs>
            </w:pPr>
            <w:r w:rsidRPr="009B5450">
              <w:t>224 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00A44E69" w14:textId="77777777">
            <w:pPr>
              <w:pStyle w:val="TableTextDecimal"/>
              <w:tabs>
                <w:tab w:val="clear" w:pos="576"/>
                <w:tab w:val="decimal" w:pos="1035"/>
              </w:tabs>
            </w:pPr>
            <w:r w:rsidRPr="009B5450">
              <w:t>5.6 </w:t>
            </w:r>
          </w:p>
        </w:tc>
      </w:tr>
      <w:tr w14:paraId="45D169D2"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DF196B" w:rsidP="009B5450" w14:paraId="2E171019" w14:textId="77777777">
            <w:pPr>
              <w:spacing w:before="60" w:after="60" w:line="240" w:lineRule="auto"/>
              <w:ind w:firstLine="0"/>
              <w:rPr>
                <w:rFonts w:ascii="Arial" w:hAnsi="Arial" w:cs="Arial"/>
                <w:b/>
                <w:sz w:val="18"/>
                <w:szCs w:val="18"/>
              </w:rPr>
            </w:pPr>
            <w:r w:rsidRPr="00DF196B">
              <w:rPr>
                <w:rFonts w:ascii="Arial" w:hAnsi="Arial" w:cs="Arial"/>
                <w:b/>
                <w:sz w:val="18"/>
                <w:szCs w:val="18"/>
              </w:rPr>
              <w:t xml:space="preserve">Percentage of students in </w:t>
            </w:r>
            <w:r w:rsidRPr="00DF196B">
              <w:rPr>
                <w:rFonts w:ascii="Arial" w:hAnsi="Arial" w:cs="Arial"/>
                <w:b/>
                <w:bCs/>
                <w:sz w:val="18"/>
                <w:szCs w:val="18"/>
              </w:rPr>
              <w:t>poverty</w:t>
            </w:r>
          </w:p>
        </w:tc>
      </w:tr>
      <w:tr w14:paraId="648C03CC"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0DD575DC" w14:textId="77777777">
            <w:pPr>
              <w:pStyle w:val="TableTextIndent"/>
            </w:pPr>
            <w:r w:rsidRPr="00DF196B">
              <w:t>0 –17 percent</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511720DC" w14:textId="77777777">
            <w:pPr>
              <w:pStyle w:val="TableTextDecimal"/>
              <w:tabs>
                <w:tab w:val="clear" w:pos="576"/>
                <w:tab w:val="decimal" w:pos="1260"/>
              </w:tabs>
            </w:pPr>
            <w:r w:rsidRPr="009B5450">
              <w:t>117 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7F546AA4" w14:textId="77777777">
            <w:pPr>
              <w:pStyle w:val="TableTextDecimal"/>
              <w:tabs>
                <w:tab w:val="clear" w:pos="576"/>
                <w:tab w:val="decimal" w:pos="1035"/>
              </w:tabs>
            </w:pPr>
            <w:r w:rsidRPr="009B5450">
              <w:t>7.8 </w:t>
            </w:r>
          </w:p>
        </w:tc>
      </w:tr>
      <w:tr w14:paraId="3CF7F6B3"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A7A8A70" w14:textId="77777777">
            <w:pPr>
              <w:pStyle w:val="TableTextIndent"/>
            </w:pPr>
            <w:r w:rsidRPr="00DF196B">
              <w:t>17–35 percent</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7A1DE903" w14:textId="77777777">
            <w:pPr>
              <w:pStyle w:val="TableTextDecimal"/>
              <w:tabs>
                <w:tab w:val="clear" w:pos="576"/>
                <w:tab w:val="decimal" w:pos="1260"/>
              </w:tabs>
            </w:pPr>
            <w:r w:rsidRPr="009B5450">
              <w:t>207 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88121BB" w14:textId="77777777">
            <w:pPr>
              <w:pStyle w:val="TableTextDecimal"/>
              <w:tabs>
                <w:tab w:val="clear" w:pos="576"/>
                <w:tab w:val="decimal" w:pos="1035"/>
              </w:tabs>
            </w:pPr>
            <w:r w:rsidRPr="009B5450">
              <w:t>5.9 </w:t>
            </w:r>
          </w:p>
        </w:tc>
      </w:tr>
      <w:tr w14:paraId="21A64C05"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0FBFFCDC" w14:textId="77777777">
            <w:pPr>
              <w:pStyle w:val="TableTextIndent"/>
            </w:pPr>
            <w:r w:rsidRPr="00DF196B">
              <w:t>More than 35 percent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53543081" w14:textId="77777777">
            <w:pPr>
              <w:pStyle w:val="TableTextDecimal"/>
              <w:tabs>
                <w:tab w:val="clear" w:pos="576"/>
                <w:tab w:val="decimal" w:pos="1260"/>
              </w:tabs>
            </w:pPr>
            <w:r w:rsidRPr="009B5450">
              <w:t>39 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5FD5A19F" w14:textId="77777777">
            <w:pPr>
              <w:pStyle w:val="TableTextDecimal"/>
              <w:tabs>
                <w:tab w:val="clear" w:pos="576"/>
                <w:tab w:val="decimal" w:pos="1035"/>
              </w:tabs>
            </w:pPr>
            <w:r w:rsidRPr="009B5450">
              <w:t>13.5 </w:t>
            </w:r>
          </w:p>
        </w:tc>
      </w:tr>
      <w:tr w14:paraId="58522D06"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DF196B" w:rsidP="29D101F8" w14:paraId="03BF2DF1" w14:textId="77777777">
            <w:pPr>
              <w:spacing w:before="60" w:after="60" w:line="240" w:lineRule="auto"/>
              <w:ind w:firstLine="0"/>
              <w:rPr>
                <w:rFonts w:ascii="Arial" w:hAnsi="Arial" w:cs="Arial"/>
                <w:b/>
                <w:bCs/>
                <w:sz w:val="18"/>
                <w:szCs w:val="18"/>
              </w:rPr>
            </w:pPr>
            <w:r w:rsidRPr="29D101F8">
              <w:rPr>
                <w:rFonts w:ascii="Arial" w:hAnsi="Arial" w:cs="Arial"/>
                <w:b/>
                <w:bCs/>
                <w:sz w:val="18"/>
                <w:szCs w:val="18"/>
              </w:rPr>
              <w:t>FNS Region </w:t>
            </w:r>
          </w:p>
        </w:tc>
      </w:tr>
      <w:tr w14:paraId="3FD3162C"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3961B0A" w14:textId="77777777">
            <w:pPr>
              <w:pStyle w:val="TableTextIndent"/>
            </w:pPr>
            <w:r w:rsidRPr="00DF196B">
              <w:t>Mid-Atlantic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10984300" w14:textId="77777777">
            <w:pPr>
              <w:pStyle w:val="TableTextDecimal"/>
              <w:tabs>
                <w:tab w:val="clear" w:pos="576"/>
                <w:tab w:val="decimal" w:pos="1260"/>
              </w:tabs>
            </w:pPr>
            <w:r w:rsidRPr="009B5450">
              <w:t>34 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3C4F0DD9" w14:textId="77777777">
            <w:pPr>
              <w:pStyle w:val="TableTextDecimal"/>
              <w:tabs>
                <w:tab w:val="clear" w:pos="576"/>
                <w:tab w:val="decimal" w:pos="1035"/>
              </w:tabs>
            </w:pPr>
            <w:r w:rsidRPr="009B5450">
              <w:t>14.5 </w:t>
            </w:r>
          </w:p>
        </w:tc>
      </w:tr>
      <w:tr w14:paraId="112002BE"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200675BF" w14:textId="77777777">
            <w:pPr>
              <w:pStyle w:val="TableTextIndent"/>
            </w:pPr>
            <w:r w:rsidRPr="00DF196B">
              <w:t>Midwest</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32DFD91C" w14:textId="77777777">
            <w:pPr>
              <w:pStyle w:val="TableTextDecimal"/>
              <w:tabs>
                <w:tab w:val="clear" w:pos="576"/>
                <w:tab w:val="decimal" w:pos="1260"/>
              </w:tabs>
            </w:pPr>
            <w:r w:rsidRPr="009B5450">
              <w:t>76 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5098CDE7" w14:textId="77777777">
            <w:pPr>
              <w:pStyle w:val="TableTextDecimal"/>
              <w:tabs>
                <w:tab w:val="clear" w:pos="576"/>
                <w:tab w:val="decimal" w:pos="1035"/>
              </w:tabs>
            </w:pPr>
            <w:r w:rsidRPr="009B5450">
              <w:t>9.7 </w:t>
            </w:r>
          </w:p>
        </w:tc>
      </w:tr>
      <w:tr w14:paraId="554FD3A3"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1415F51D" w14:textId="77777777">
            <w:pPr>
              <w:pStyle w:val="TableTextIndent"/>
            </w:pPr>
            <w:r w:rsidRPr="00DF196B">
              <w:t>Mountain </w:t>
            </w:r>
            <w:r>
              <w:t>Plains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96914F4" w14:textId="77777777">
            <w:pPr>
              <w:pStyle w:val="TableTextDecimal"/>
              <w:tabs>
                <w:tab w:val="clear" w:pos="576"/>
                <w:tab w:val="decimal" w:pos="1260"/>
              </w:tabs>
            </w:pPr>
            <w:r w:rsidRPr="009B5450">
              <w:t>51 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3F55B00E" w14:textId="77777777">
            <w:pPr>
              <w:pStyle w:val="TableTextDecimal"/>
              <w:tabs>
                <w:tab w:val="clear" w:pos="576"/>
                <w:tab w:val="decimal" w:pos="1035"/>
              </w:tabs>
            </w:pPr>
            <w:r w:rsidRPr="009B5450">
              <w:t>11.8 </w:t>
            </w:r>
          </w:p>
        </w:tc>
      </w:tr>
      <w:tr w14:paraId="2ED12DC8"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72770A26" w14:textId="77777777">
            <w:pPr>
              <w:pStyle w:val="TableTextIndent"/>
            </w:pPr>
            <w:r w:rsidRPr="00DF196B">
              <w:t>Northeast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5BCD5042" w14:textId="77777777">
            <w:pPr>
              <w:pStyle w:val="TableTextDecimal"/>
              <w:tabs>
                <w:tab w:val="clear" w:pos="576"/>
                <w:tab w:val="decimal" w:pos="1260"/>
              </w:tabs>
            </w:pPr>
            <w:r w:rsidRPr="009B5450">
              <w:t>40 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E8CE8F0" w14:textId="77777777">
            <w:pPr>
              <w:pStyle w:val="TableTextDecimal"/>
              <w:tabs>
                <w:tab w:val="clear" w:pos="576"/>
                <w:tab w:val="decimal" w:pos="1035"/>
              </w:tabs>
            </w:pPr>
            <w:r w:rsidRPr="009B5450">
              <w:t>13.3 </w:t>
            </w:r>
          </w:p>
        </w:tc>
      </w:tr>
      <w:tr w14:paraId="7284979F"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29D62F65" w14:textId="77777777">
            <w:pPr>
              <w:pStyle w:val="TableTextIndent"/>
            </w:pPr>
            <w:r w:rsidRPr="00DF196B">
              <w:t>Southeast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18E4F216" w14:textId="77777777">
            <w:pPr>
              <w:pStyle w:val="TableTextDecimal"/>
              <w:tabs>
                <w:tab w:val="clear" w:pos="576"/>
                <w:tab w:val="decimal" w:pos="1260"/>
              </w:tabs>
            </w:pPr>
            <w:r w:rsidRPr="009B5450">
              <w:t>47 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227F8E8" w14:textId="77777777">
            <w:pPr>
              <w:pStyle w:val="TableTextDecimal"/>
              <w:tabs>
                <w:tab w:val="clear" w:pos="576"/>
                <w:tab w:val="decimal" w:pos="1035"/>
              </w:tabs>
            </w:pPr>
            <w:r w:rsidRPr="009B5450">
              <w:t>12.3 </w:t>
            </w:r>
          </w:p>
        </w:tc>
      </w:tr>
      <w:tr w14:paraId="23E379B8"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3B9A991" w14:textId="77777777">
            <w:pPr>
              <w:pStyle w:val="TableTextIndent"/>
            </w:pPr>
            <w:r w:rsidRPr="00DF196B">
              <w:t>Southwest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4AB14C9" w14:textId="77777777">
            <w:pPr>
              <w:pStyle w:val="TableTextDecimal"/>
              <w:tabs>
                <w:tab w:val="clear" w:pos="576"/>
                <w:tab w:val="decimal" w:pos="1260"/>
              </w:tabs>
            </w:pPr>
            <w:r w:rsidRPr="009B5450">
              <w:t>64 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12495F8E" w14:textId="77777777">
            <w:pPr>
              <w:pStyle w:val="TableTextDecimal"/>
              <w:tabs>
                <w:tab w:val="clear" w:pos="576"/>
                <w:tab w:val="decimal" w:pos="1035"/>
              </w:tabs>
            </w:pPr>
            <w:r w:rsidRPr="009B5450">
              <w:t>10.6 </w:t>
            </w:r>
          </w:p>
        </w:tc>
      </w:tr>
      <w:tr w14:paraId="3E55DE5C"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8C144FC" w14:textId="77777777">
            <w:pPr>
              <w:pStyle w:val="TableTextIndent"/>
            </w:pPr>
            <w:r w:rsidRPr="00DF196B">
              <w:t>West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598059C7" w14:textId="77777777">
            <w:pPr>
              <w:pStyle w:val="TableTextDecimal"/>
              <w:tabs>
                <w:tab w:val="clear" w:pos="576"/>
                <w:tab w:val="decimal" w:pos="1260"/>
              </w:tabs>
            </w:pPr>
            <w:r w:rsidRPr="009B5450">
              <w:t>51 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C010627" w14:textId="77777777">
            <w:pPr>
              <w:pStyle w:val="TableTextDecimal"/>
              <w:tabs>
                <w:tab w:val="clear" w:pos="576"/>
                <w:tab w:val="decimal" w:pos="1035"/>
              </w:tabs>
            </w:pPr>
            <w:r w:rsidRPr="009B5450">
              <w:t>11.8 </w:t>
            </w:r>
          </w:p>
        </w:tc>
      </w:tr>
      <w:tr w14:paraId="5F13CED9"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DF196B" w:rsidP="009B5450" w14:paraId="7F40413D" w14:textId="77777777">
            <w:pPr>
              <w:spacing w:before="60" w:after="60" w:line="240" w:lineRule="auto"/>
              <w:ind w:firstLine="0"/>
              <w:rPr>
                <w:rFonts w:ascii="Arial" w:hAnsi="Arial" w:cs="Arial"/>
                <w:b/>
                <w:sz w:val="18"/>
                <w:szCs w:val="18"/>
              </w:rPr>
            </w:pPr>
            <w:r w:rsidRPr="00DF196B">
              <w:rPr>
                <w:rFonts w:ascii="Arial" w:hAnsi="Arial" w:cs="Arial"/>
                <w:b/>
                <w:sz w:val="18"/>
                <w:szCs w:val="18"/>
              </w:rPr>
              <w:t>Percentage of students approved for free/reduced-price meals </w:t>
            </w:r>
          </w:p>
        </w:tc>
      </w:tr>
      <w:tr w14:paraId="70C5553E"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15F34742" w14:textId="77777777">
            <w:pPr>
              <w:pStyle w:val="TableTextIndent"/>
            </w:pPr>
            <w:r w:rsidRPr="00DF196B">
              <w:t>0–45 percent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31015C16" w14:textId="77777777">
            <w:pPr>
              <w:pStyle w:val="TableTextDecimal"/>
              <w:tabs>
                <w:tab w:val="clear" w:pos="576"/>
                <w:tab w:val="decimal" w:pos="1260"/>
              </w:tabs>
            </w:pPr>
            <w:r w:rsidRPr="009B5450">
              <w:t>221 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1C3678CF" w14:textId="77777777">
            <w:pPr>
              <w:pStyle w:val="TableTextDecimal"/>
              <w:tabs>
                <w:tab w:val="clear" w:pos="576"/>
                <w:tab w:val="decimal" w:pos="1035"/>
              </w:tabs>
            </w:pPr>
            <w:r w:rsidRPr="009B5450">
              <w:t>5.7 </w:t>
            </w:r>
          </w:p>
        </w:tc>
      </w:tr>
      <w:tr w14:paraId="3B9A8256"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5D6426A1" w14:textId="77777777">
            <w:pPr>
              <w:pStyle w:val="TableTextIndent"/>
            </w:pPr>
            <w:r w:rsidRPr="00DF196B">
              <w:t>46–63 percent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62AD91C" w14:textId="77777777">
            <w:pPr>
              <w:pStyle w:val="TableTextDecimal"/>
              <w:tabs>
                <w:tab w:val="clear" w:pos="576"/>
                <w:tab w:val="decimal" w:pos="1260"/>
              </w:tabs>
            </w:pPr>
            <w:r w:rsidRPr="009B5450">
              <w:t>84 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14D7F339" w14:textId="77777777">
            <w:pPr>
              <w:pStyle w:val="TableTextDecimal"/>
              <w:tabs>
                <w:tab w:val="clear" w:pos="576"/>
                <w:tab w:val="decimal" w:pos="1035"/>
              </w:tabs>
            </w:pPr>
            <w:r w:rsidRPr="009B5450">
              <w:t>9.2 </w:t>
            </w:r>
          </w:p>
        </w:tc>
      </w:tr>
      <w:tr w14:paraId="1E90FB0D"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3186F2A9" w14:textId="77777777">
            <w:pPr>
              <w:pStyle w:val="TableTextIndent"/>
            </w:pPr>
            <w:r w:rsidRPr="00DF196B">
              <w:t>64 percent or more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11819EF" w14:textId="77777777">
            <w:pPr>
              <w:pStyle w:val="TableTextDecimal"/>
              <w:tabs>
                <w:tab w:val="clear" w:pos="576"/>
                <w:tab w:val="decimal" w:pos="1260"/>
              </w:tabs>
            </w:pPr>
            <w:r w:rsidRPr="009B5450">
              <w:t>59 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34A7A5D0" w14:textId="77777777">
            <w:pPr>
              <w:pStyle w:val="TableTextDecimal"/>
              <w:tabs>
                <w:tab w:val="clear" w:pos="576"/>
                <w:tab w:val="decimal" w:pos="1035"/>
              </w:tabs>
            </w:pPr>
            <w:r w:rsidRPr="009B5450">
              <w:t>11.1 </w:t>
            </w:r>
          </w:p>
        </w:tc>
      </w:tr>
      <w:tr w14:paraId="6A76B3F7" w14:textId="77777777" w:rsidTr="29D101F8">
        <w:tblPrEx>
          <w:tblW w:w="0" w:type="auto"/>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87FE8" w:rsidRPr="00DF196B" w:rsidP="29D101F8" w14:paraId="3AFBD712" w14:textId="77777777">
            <w:pPr>
              <w:keepNext/>
              <w:spacing w:before="60" w:after="60" w:line="240" w:lineRule="auto"/>
              <w:ind w:firstLine="0"/>
              <w:rPr>
                <w:rFonts w:ascii="Arial" w:hAnsi="Arial" w:cs="Arial"/>
                <w:b/>
                <w:bCs/>
                <w:sz w:val="18"/>
                <w:szCs w:val="18"/>
              </w:rPr>
            </w:pPr>
            <w:r w:rsidRPr="29D101F8">
              <w:rPr>
                <w:rFonts w:ascii="Arial" w:hAnsi="Arial" w:cs="Arial"/>
                <w:b/>
                <w:bCs/>
                <w:sz w:val="18"/>
                <w:szCs w:val="18"/>
              </w:rPr>
              <w:t>HSMFA/CEP status</w:t>
            </w:r>
            <w:r>
              <w:rPr>
                <w:rFonts w:ascii="Arial" w:hAnsi="Arial" w:cs="Arial"/>
                <w:b/>
                <w:bCs/>
                <w:sz w:val="18"/>
                <w:szCs w:val="18"/>
                <w:vertAlign w:val="superscript"/>
              </w:rPr>
              <w:t>b</w:t>
            </w:r>
            <w:r w:rsidRPr="29D101F8">
              <w:rPr>
                <w:rFonts w:ascii="Arial" w:hAnsi="Arial" w:cs="Arial"/>
                <w:b/>
                <w:bCs/>
                <w:sz w:val="18"/>
                <w:szCs w:val="18"/>
              </w:rPr>
              <w:t> </w:t>
            </w:r>
          </w:p>
        </w:tc>
      </w:tr>
      <w:tr w14:paraId="56B851E1"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6E2F02E" w14:textId="77777777">
            <w:pPr>
              <w:pStyle w:val="TableTextIndent"/>
            </w:pPr>
            <w:r w:rsidRPr="00DF196B">
              <w:t>SFAs in HSMFA States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B2512AB" w14:textId="77777777">
            <w:pPr>
              <w:pStyle w:val="TableTextDecimal"/>
              <w:tabs>
                <w:tab w:val="clear" w:pos="576"/>
                <w:tab w:val="decimal" w:pos="1260"/>
              </w:tabs>
            </w:pPr>
            <w:r w:rsidRPr="009B5450">
              <w:t>76 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4849EA8F" w14:textId="77777777">
            <w:pPr>
              <w:pStyle w:val="TableTextDecimal"/>
              <w:tabs>
                <w:tab w:val="clear" w:pos="576"/>
                <w:tab w:val="decimal" w:pos="1035"/>
              </w:tabs>
            </w:pPr>
            <w:r w:rsidRPr="009B5450">
              <w:t>9.7 </w:t>
            </w:r>
          </w:p>
        </w:tc>
      </w:tr>
      <w:tr w14:paraId="6C968E55"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782A0E16" w14:textId="77777777">
            <w:pPr>
              <w:pStyle w:val="TableTextIndent"/>
            </w:pPr>
            <w:r w:rsidRPr="00DF196B">
              <w:t>Non-HSMFA SFAs with all CEP schools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006B4AAC" w14:textId="77777777">
            <w:pPr>
              <w:pStyle w:val="TableTextDecimal"/>
              <w:tabs>
                <w:tab w:val="clear" w:pos="576"/>
                <w:tab w:val="decimal" w:pos="1260"/>
              </w:tabs>
            </w:pPr>
            <w:r w:rsidRPr="009B5450">
              <w:t>110 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2F1C5285" w14:textId="77777777">
            <w:pPr>
              <w:pStyle w:val="TableTextDecimal"/>
              <w:tabs>
                <w:tab w:val="clear" w:pos="576"/>
                <w:tab w:val="decimal" w:pos="1035"/>
              </w:tabs>
            </w:pPr>
            <w:r w:rsidRPr="009B5450">
              <w:t>8.1 </w:t>
            </w:r>
          </w:p>
        </w:tc>
      </w:tr>
      <w:tr w14:paraId="02B08780" w14:textId="77777777" w:rsidTr="29D101F8">
        <w:tblPrEx>
          <w:tblW w:w="0" w:type="auto"/>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DF196B" w:rsidP="00E40D5C" w14:paraId="66DF4C4C" w14:textId="77777777">
            <w:pPr>
              <w:pStyle w:val="TableTextIndent"/>
            </w:pPr>
            <w:r w:rsidRPr="00DF196B">
              <w:t>All other SFAs</w:t>
            </w:r>
            <w:r w:rsidRPr="00DF196B">
              <w:rPr>
                <w:vertAlign w:val="superscript"/>
              </w:rPr>
              <w:t>a</w:t>
            </w:r>
            <w:r w:rsidRPr="00DF196B">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1F7EFA1F" w14:textId="77777777">
            <w:pPr>
              <w:pStyle w:val="TableTextDecimal"/>
              <w:tabs>
                <w:tab w:val="clear" w:pos="576"/>
                <w:tab w:val="decimal" w:pos="1260"/>
              </w:tabs>
            </w:pPr>
            <w:r w:rsidRPr="009B5450">
              <w:t>178 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9B5450" w:rsidP="009B5450" w14:paraId="654E2A10" w14:textId="77777777">
            <w:pPr>
              <w:pStyle w:val="TableTextDecimal"/>
              <w:tabs>
                <w:tab w:val="clear" w:pos="576"/>
                <w:tab w:val="decimal" w:pos="1035"/>
              </w:tabs>
            </w:pPr>
            <w:r w:rsidRPr="009B5450">
              <w:t>6.3 </w:t>
            </w:r>
          </w:p>
        </w:tc>
      </w:tr>
      <w:tr w14:paraId="0F6C701F" w14:textId="77777777" w:rsidTr="29D101F8">
        <w:tblPrEx>
          <w:tblW w:w="0" w:type="auto"/>
          <w:tblLook w:val="04A0"/>
        </w:tblPrEx>
        <w:trPr>
          <w:trHeight w:val="13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887F7A" w:rsidP="00887F7A" w14:paraId="494AEB41" w14:textId="77777777">
            <w:pPr>
              <w:pStyle w:val="TableTextIndent"/>
              <w:ind w:left="0"/>
              <w:rPr>
                <w:b/>
                <w:bCs/>
              </w:rPr>
            </w:pPr>
            <w:r w:rsidRPr="00887F7A">
              <w:rPr>
                <w:b/>
                <w:bCs/>
              </w:rPr>
              <w:t>Total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887F7A" w:rsidP="009B5450" w14:paraId="5A2FE778" w14:textId="77777777">
            <w:pPr>
              <w:pStyle w:val="TableTextDecimal"/>
              <w:tabs>
                <w:tab w:val="clear" w:pos="576"/>
                <w:tab w:val="decimal" w:pos="1260"/>
              </w:tabs>
              <w:rPr>
                <w:b/>
                <w:bCs/>
              </w:rPr>
            </w:pPr>
            <w:r w:rsidRPr="00887F7A">
              <w:rPr>
                <w:b/>
                <w:bCs/>
              </w:rPr>
              <w:t>364 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tcPr>
          <w:p w:rsidR="00687FE8" w:rsidRPr="00887F7A" w:rsidP="009B5450" w14:paraId="7ACFC2AD" w14:textId="77777777">
            <w:pPr>
              <w:pStyle w:val="TableTextDecimal"/>
              <w:tabs>
                <w:tab w:val="clear" w:pos="576"/>
                <w:tab w:val="decimal" w:pos="1035"/>
              </w:tabs>
              <w:rPr>
                <w:b/>
                <w:bCs/>
              </w:rPr>
            </w:pPr>
            <w:r w:rsidRPr="00887F7A">
              <w:rPr>
                <w:b/>
                <w:bCs/>
              </w:rPr>
              <w:t>4.4 </w:t>
            </w:r>
          </w:p>
        </w:tc>
      </w:tr>
    </w:tbl>
    <w:p w:rsidR="00687FE8" w:rsidRPr="00A362D6" w:rsidP="00E40D5C" w14:paraId="4E15FFBF" w14:textId="77777777">
      <w:pPr>
        <w:pStyle w:val="TableSourceCaption"/>
        <w:spacing w:after="60"/>
        <w:rPr>
          <w:rFonts w:eastAsia="Segoe UI"/>
          <w:sz w:val="15"/>
          <w:szCs w:val="15"/>
        </w:rPr>
      </w:pPr>
      <w:r w:rsidRPr="00A362D6">
        <w:rPr>
          <w:sz w:val="15"/>
          <w:szCs w:val="15"/>
        </w:rPr>
        <w:t xml:space="preserve">Source: </w:t>
      </w:r>
      <w:r w:rsidRPr="00A362D6">
        <w:rPr>
          <w:sz w:val="15"/>
          <w:szCs w:val="15"/>
        </w:rPr>
        <w:tab/>
        <w:t xml:space="preserve">Simulations from the first iteration of SNMCS-II, using the 2018–2019 FNS-742 file and 2017–2018 CCD file, with some data coming from the 2016–2017 CCD file. </w:t>
      </w:r>
    </w:p>
    <w:p w:rsidR="00687FE8" w:rsidP="00E40D5C" w14:paraId="3D011BDA" w14:textId="77777777">
      <w:pPr>
        <w:pStyle w:val="TableSourceCaption"/>
        <w:spacing w:after="60"/>
        <w:rPr>
          <w:sz w:val="15"/>
          <w:szCs w:val="15"/>
        </w:rPr>
      </w:pPr>
      <w:r w:rsidRPr="00A362D6">
        <w:rPr>
          <w:sz w:val="15"/>
          <w:szCs w:val="15"/>
        </w:rPr>
        <w:t xml:space="preserve">Notes: </w:t>
      </w:r>
      <w:r w:rsidRPr="00A362D6">
        <w:rPr>
          <w:sz w:val="15"/>
          <w:szCs w:val="15"/>
        </w:rPr>
        <w:tab/>
        <w:t xml:space="preserve">Confidence intervals (CI) are based on a 30 percent outcome. Charter SFAs are excluded from Objective 5. </w:t>
      </w:r>
    </w:p>
    <w:p w:rsidR="00687FE8" w:rsidP="00E40D5C" w14:paraId="6E964F63" w14:textId="77777777">
      <w:pPr>
        <w:pStyle w:val="TableFootnoteCaption"/>
        <w:spacing w:after="60"/>
        <w:rPr>
          <w:sz w:val="15"/>
          <w:szCs w:val="15"/>
        </w:rPr>
      </w:pPr>
      <w:r w:rsidRPr="00A362D6">
        <w:rPr>
          <w:sz w:val="15"/>
          <w:szCs w:val="15"/>
          <w:vertAlign w:val="superscript"/>
        </w:rPr>
        <w:t>a</w:t>
      </w:r>
      <w:r w:rsidRPr="00A362D6">
        <w:rPr>
          <w:sz w:val="15"/>
          <w:szCs w:val="15"/>
        </w:rPr>
        <w:t xml:space="preserve"> Subgroup represents 25 percent or more of the population.</w:t>
      </w:r>
    </w:p>
    <w:p w:rsidR="00687FE8" w:rsidRPr="00EF2A43" w:rsidP="00E40D5C" w14:paraId="177076F6" w14:textId="77777777">
      <w:pPr>
        <w:pStyle w:val="TableFootnoteCaption"/>
        <w:spacing w:after="60"/>
        <w:rPr>
          <w:sz w:val="15"/>
          <w:szCs w:val="15"/>
        </w:rPr>
      </w:pPr>
      <w:r>
        <w:rPr>
          <w:sz w:val="15"/>
          <w:szCs w:val="15"/>
          <w:vertAlign w:val="superscript"/>
        </w:rPr>
        <w:t xml:space="preserve">b </w:t>
      </w:r>
      <w:r>
        <w:rPr>
          <w:sz w:val="15"/>
          <w:szCs w:val="15"/>
        </w:rPr>
        <w:t>Nine states (California, Colorado, Maine, Massachusetts, Michigan, Minnesota, Nevada, New Mexico, and Vermont) currently have HSMFA</w:t>
      </w:r>
      <w:r w:rsidRPr="0F8B622B">
        <w:rPr>
          <w:sz w:val="15"/>
          <w:szCs w:val="15"/>
        </w:rPr>
        <w:t>; eight have permanent policies</w:t>
      </w:r>
      <w:r>
        <w:rPr>
          <w:sz w:val="15"/>
          <w:szCs w:val="15"/>
        </w:rPr>
        <w:t>.</w:t>
      </w:r>
      <w:r>
        <w:rPr>
          <w:rStyle w:val="FootnoteReference"/>
          <w:sz w:val="15"/>
          <w:szCs w:val="15"/>
        </w:rPr>
        <w:footnoteReference w:id="7"/>
      </w:r>
      <w:r>
        <w:rPr>
          <w:sz w:val="15"/>
          <w:szCs w:val="15"/>
        </w:rPr>
        <w:t xml:space="preserve"> We will update our estimates if this number changes before school year 2024-2025.</w:t>
      </w:r>
    </w:p>
    <w:p w:rsidR="00687FE8" w:rsidRPr="001D0225" w:rsidP="001D0225" w14:paraId="509087B8" w14:textId="77777777">
      <w:pPr>
        <w:pStyle w:val="TableFootnoteCaption"/>
        <w:spacing w:after="240"/>
        <w:rPr>
          <w:rFonts w:eastAsia="Segoe UI"/>
          <w:sz w:val="15"/>
          <w:szCs w:val="15"/>
        </w:rPr>
      </w:pPr>
      <w:r w:rsidRPr="00A362D6">
        <w:rPr>
          <w:sz w:val="15"/>
          <w:szCs w:val="15"/>
        </w:rPr>
        <w:t>CEP = Community Eligibility Provision; CI = confidence interval; HSMFA = Healthy School Meals for All; SFA = school food authority</w:t>
      </w:r>
    </w:p>
    <w:p w:rsidR="00687FE8" w:rsidRPr="00A362D6" w:rsidP="00E40D5C" w14:paraId="53B37B34" w14:textId="77777777">
      <w:pPr>
        <w:pStyle w:val="TableFootnoteCaption"/>
        <w:spacing w:after="60"/>
        <w:rPr>
          <w:rFonts w:eastAsia="Segoe UI"/>
          <w:sz w:val="15"/>
          <w:szCs w:val="15"/>
        </w:rPr>
      </w:pPr>
    </w:p>
    <w:p w:rsidR="00687FE8" w:rsidP="00432327" w14:paraId="278A602B" w14:textId="77777777">
      <w:r>
        <w:t>The sample size of 100 elementary schools participating in the FFVP evaluation component was designed to meet the precision of national estimates for population proportions of 30 percent and a difference of ±10 percentage points with a 95 percent confidence level for schools. The eight participating students per school will yield precision of ±5 percentage points. These precision estimates assume a design effect of 1.2 at the school level and 2.5 at the student level. </w:t>
      </w:r>
    </w:p>
    <w:p w:rsidR="00687FE8" w:rsidP="00432327" w14:paraId="02982924" w14:textId="77777777">
      <w:r w:rsidRPr="00292462">
        <w:t xml:space="preserve">The expected SFA-level precision levels for SNMCS-I are </w:t>
      </w:r>
      <w:r>
        <w:t>shown</w:t>
      </w:r>
      <w:r w:rsidRPr="00292462">
        <w:t xml:space="preserve"> in </w:t>
      </w:r>
      <w:r>
        <w:t>Table B.2.3</w:t>
      </w:r>
      <w:r w:rsidRPr="00292462">
        <w:t xml:space="preserve"> with the </w:t>
      </w:r>
      <w:r>
        <w:t>95</w:t>
      </w:r>
      <w:r w:rsidRPr="1DCDE289">
        <w:rPr>
          <w:rFonts w:ascii="Times New Roman" w:hAnsi="Times New Roman"/>
        </w:rPr>
        <w:t> </w:t>
      </w:r>
      <w:r>
        <w:t>percent</w:t>
      </w:r>
      <w:r w:rsidRPr="00292462">
        <w:t xml:space="preserve"> confidence interval</w:t>
      </w:r>
      <w:r>
        <w:t xml:space="preserve"> (CI)</w:t>
      </w:r>
      <w:r w:rsidRPr="00292462">
        <w:t xml:space="preserve"> for 522 SFAs for a 30 percent population characteristic for SFA-level estimates</w:t>
      </w:r>
      <w:r>
        <w:t xml:space="preserve"> for each subgroup</w:t>
      </w:r>
      <w:r w:rsidRPr="00292462">
        <w:t>, which is typical of outcomes observed in SNMCS-I. Precision calculations assuming a more conservative 50 percent population characteristic (not shown) are a bit larger but still within the desired precision for subgroup estimates of at least 25 percent of the population for nearly all subgroups. As shown, the sample design results in an expected precision level of ±</w:t>
      </w:r>
      <w:r>
        <w:t>4.6 percentage points</w:t>
      </w:r>
      <w:r w:rsidRPr="00292462">
        <w:t xml:space="preserve"> for the overall sample of 522 SFAs and achieves precision levels of ±10 </w:t>
      </w:r>
      <w:r>
        <w:t>percentage points</w:t>
      </w:r>
      <w:r w:rsidRPr="00292462">
        <w:t xml:space="preserve"> (or better) for any subgroups that make up 25 percent or more of the population. Based on results from SNMCS-I, the SNMCS-II study plan estimated (not shown) the average design effect of 1.38 from the </w:t>
      </w:r>
      <w:r>
        <w:t>probability proportion to size</w:t>
      </w:r>
      <w:r w:rsidRPr="00292462">
        <w:t xml:space="preserve"> selection and the expected nonresponse adjustments for SFA-level estimates. </w:t>
      </w:r>
    </w:p>
    <w:p w:rsidR="00687FE8" w14:paraId="226F038D" w14:textId="77777777">
      <w:pPr>
        <w:tabs>
          <w:tab w:val="clear" w:pos="432"/>
        </w:tabs>
        <w:spacing w:line="240" w:lineRule="auto"/>
        <w:ind w:firstLine="0"/>
        <w:jc w:val="left"/>
        <w:rPr>
          <w:rFonts w:ascii="Arial" w:hAnsi="Arial"/>
          <w:b/>
          <w:sz w:val="18"/>
        </w:rPr>
      </w:pPr>
      <w:r>
        <w:br w:type="page"/>
      </w:r>
    </w:p>
    <w:p w:rsidR="00687FE8" w:rsidRPr="001D0225" w:rsidP="001D0225" w14:paraId="17E7F7EB" w14:textId="77777777">
      <w:pPr>
        <w:pStyle w:val="MarkforTableHeading"/>
      </w:pPr>
      <w:r w:rsidRPr="001D0225">
        <w:t>Table B.2.3. Expected precision levels for SFA-level estimates for SNMCS-II</w:t>
      </w:r>
    </w:p>
    <w:tbl>
      <w:tblPr>
        <w:tblW w:w="9360" w:type="dxa"/>
        <w:tblCellMar>
          <w:left w:w="0" w:type="dxa"/>
          <w:right w:w="0" w:type="dxa"/>
        </w:tblCellMar>
        <w:tblLook w:val="04A0"/>
      </w:tblPr>
      <w:tblGrid>
        <w:gridCol w:w="3945"/>
        <w:gridCol w:w="2835"/>
        <w:gridCol w:w="2580"/>
      </w:tblGrid>
      <w:tr w14:paraId="394E103B" w14:textId="77777777" w:rsidTr="00A25221">
        <w:tblPrEx>
          <w:tblW w:w="9360" w:type="dxa"/>
          <w:tblCellMar>
            <w:left w:w="0" w:type="dxa"/>
            <w:right w:w="0" w:type="dxa"/>
          </w:tblCellMar>
          <w:tblLook w:val="04A0"/>
        </w:tblPrEx>
        <w:trPr>
          <w:trHeight w:val="15"/>
        </w:trPr>
        <w:tc>
          <w:tcPr>
            <w:tcW w:w="3945" w:type="dxa"/>
            <w:tcBorders>
              <w:bottom w:val="single" w:sz="4" w:space="0" w:color="auto"/>
              <w:right w:val="single" w:sz="4" w:space="0" w:color="FFFFFF" w:themeColor="background1"/>
            </w:tcBorders>
            <w:shd w:val="clear" w:color="auto" w:fill="6C6F70"/>
            <w:vAlign w:val="bottom"/>
            <w:hideMark/>
          </w:tcPr>
          <w:p w:rsidR="00687FE8" w:rsidRPr="009B5450" w:rsidP="009B5450" w14:paraId="391EA59F" w14:textId="77777777">
            <w:pPr>
              <w:pStyle w:val="TableHeaderLeft"/>
              <w:rPr>
                <w:rFonts w:cs="Arial"/>
                <w:szCs w:val="18"/>
              </w:rPr>
            </w:pPr>
            <w:r w:rsidRPr="009B5450">
              <w:rPr>
                <w:rFonts w:cs="Arial"/>
                <w:szCs w:val="18"/>
              </w:rPr>
              <w:t>Subgroups </w:t>
            </w:r>
          </w:p>
        </w:tc>
        <w:tc>
          <w:tcPr>
            <w:tcW w:w="2835" w:type="dxa"/>
            <w:tcBorders>
              <w:left w:val="single" w:sz="4" w:space="0" w:color="FFFFFF" w:themeColor="background1"/>
              <w:bottom w:val="single" w:sz="4" w:space="0" w:color="auto"/>
              <w:right w:val="single" w:sz="4" w:space="0" w:color="FFFFFF" w:themeColor="background1"/>
            </w:tcBorders>
            <w:shd w:val="clear" w:color="auto" w:fill="6C6F70"/>
            <w:vAlign w:val="center"/>
            <w:hideMark/>
          </w:tcPr>
          <w:p w:rsidR="00687FE8" w:rsidRPr="009B5450" w:rsidP="009B5450" w14:paraId="67C4A7E4" w14:textId="77777777">
            <w:pPr>
              <w:pStyle w:val="TableHeaderCenter"/>
              <w:rPr>
                <w:rFonts w:cs="Arial"/>
                <w:szCs w:val="18"/>
              </w:rPr>
            </w:pPr>
            <w:r w:rsidRPr="009B5450">
              <w:rPr>
                <w:rFonts w:cs="Arial"/>
                <w:szCs w:val="18"/>
              </w:rPr>
              <w:t>Target completed  </w:t>
            </w:r>
            <w:r w:rsidRPr="009B5450">
              <w:rPr>
                <w:rFonts w:cs="Arial"/>
                <w:szCs w:val="18"/>
              </w:rPr>
              <w:br/>
              <w:t>sample sizes </w:t>
            </w:r>
          </w:p>
        </w:tc>
        <w:tc>
          <w:tcPr>
            <w:tcW w:w="2580" w:type="dxa"/>
            <w:tcBorders>
              <w:left w:val="single" w:sz="4" w:space="0" w:color="FFFFFF" w:themeColor="background1"/>
              <w:bottom w:val="single" w:sz="4" w:space="0" w:color="auto"/>
            </w:tcBorders>
            <w:shd w:val="clear" w:color="auto" w:fill="6C6F70"/>
            <w:vAlign w:val="center"/>
            <w:hideMark/>
          </w:tcPr>
          <w:p w:rsidR="00687FE8" w:rsidRPr="009B5450" w:rsidP="009B5450" w14:paraId="7E69BB94" w14:textId="77777777">
            <w:pPr>
              <w:pStyle w:val="TableHeaderCenter"/>
              <w:rPr>
                <w:rFonts w:cs="Arial"/>
                <w:szCs w:val="18"/>
              </w:rPr>
            </w:pPr>
            <w:r w:rsidRPr="009B5450">
              <w:rPr>
                <w:rFonts w:cs="Arial"/>
                <w:szCs w:val="18"/>
              </w:rPr>
              <w:t>95% CI half interval  </w:t>
            </w:r>
            <w:r w:rsidRPr="009B5450">
              <w:rPr>
                <w:rFonts w:cs="Arial"/>
                <w:szCs w:val="18"/>
              </w:rPr>
              <w:br/>
              <w:t>(</w:t>
            </w:r>
            <w:r>
              <w:rPr>
                <w:rFonts w:cs="Arial"/>
                <w:szCs w:val="18"/>
              </w:rPr>
              <w:t>percentage points</w:t>
            </w:r>
            <w:r w:rsidRPr="009B5450">
              <w:rPr>
                <w:rFonts w:cs="Arial"/>
                <w:szCs w:val="18"/>
              </w:rPr>
              <w:t>) </w:t>
            </w:r>
          </w:p>
        </w:tc>
      </w:tr>
      <w:tr w14:paraId="39D4F20D"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02D17DD4"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Number of schools </w:t>
            </w:r>
          </w:p>
        </w:tc>
      </w:tr>
      <w:tr w14:paraId="33E5018C"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3956B3DE" w14:textId="77777777">
            <w:pPr>
              <w:pStyle w:val="TableTextIndent"/>
            </w:pPr>
            <w:r w:rsidRPr="009B5450">
              <w:t>1–2</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4E3F1FA4" w14:textId="77777777">
            <w:pPr>
              <w:pStyle w:val="TableTextDecimal"/>
              <w:tabs>
                <w:tab w:val="clear" w:pos="576"/>
                <w:tab w:val="decimal" w:pos="1545"/>
              </w:tabs>
            </w:pPr>
            <w:r w:rsidRPr="009B5450">
              <w:t>168 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66ADC82B" w14:textId="77777777">
            <w:pPr>
              <w:pStyle w:val="TableTextDecimal"/>
              <w:tabs>
                <w:tab w:val="clear" w:pos="576"/>
                <w:tab w:val="decimal" w:pos="1140"/>
              </w:tabs>
            </w:pPr>
            <w:r w:rsidRPr="009B5450">
              <w:t>8.8 </w:t>
            </w:r>
          </w:p>
        </w:tc>
      </w:tr>
      <w:tr w14:paraId="34149547"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3792F39" w14:textId="77777777">
            <w:pPr>
              <w:pStyle w:val="TableTextIndent"/>
            </w:pPr>
            <w:r w:rsidRPr="009B5450">
              <w:t>3–4</w:t>
            </w:r>
            <w:r w:rsidRPr="009B5450">
              <w:rPr>
                <w:vertAlign w:val="superscript"/>
              </w:rPr>
              <w:t>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0B1595F8" w14:textId="77777777">
            <w:pPr>
              <w:pStyle w:val="TableTextDecimal"/>
              <w:tabs>
                <w:tab w:val="clear" w:pos="576"/>
                <w:tab w:val="decimal" w:pos="1545"/>
              </w:tabs>
            </w:pPr>
            <w:r w:rsidRPr="009B5450">
              <w:t>148 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56271319" w14:textId="77777777">
            <w:pPr>
              <w:pStyle w:val="TableTextDecimal"/>
              <w:tabs>
                <w:tab w:val="clear" w:pos="576"/>
                <w:tab w:val="decimal" w:pos="1140"/>
              </w:tabs>
            </w:pPr>
            <w:r w:rsidRPr="009B5450">
              <w:t>9.4 </w:t>
            </w:r>
          </w:p>
        </w:tc>
      </w:tr>
      <w:tr w14:paraId="59187688"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14AF8D8D" w14:textId="77777777">
            <w:pPr>
              <w:pStyle w:val="TableTextIndent"/>
            </w:pPr>
            <w:r w:rsidRPr="009B5450">
              <w:t>5 or more</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2DD61C03" w14:textId="77777777">
            <w:pPr>
              <w:pStyle w:val="TableTextDecimal"/>
              <w:tabs>
                <w:tab w:val="clear" w:pos="576"/>
                <w:tab w:val="decimal" w:pos="1545"/>
              </w:tabs>
            </w:pPr>
            <w:r w:rsidRPr="009B5450">
              <w:t>174 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09FD6500" w14:textId="77777777">
            <w:pPr>
              <w:pStyle w:val="TableTextDecimal"/>
              <w:tabs>
                <w:tab w:val="clear" w:pos="576"/>
                <w:tab w:val="decimal" w:pos="1140"/>
              </w:tabs>
            </w:pPr>
            <w:r w:rsidRPr="009B5450">
              <w:t>8.7 </w:t>
            </w:r>
          </w:p>
        </w:tc>
      </w:tr>
      <w:tr w14:paraId="7579324F"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1A882ED4"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Number of students </w:t>
            </w:r>
          </w:p>
        </w:tc>
      </w:tr>
      <w:tr w14:paraId="69094746"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458C02DA" w14:textId="77777777">
            <w:pPr>
              <w:pStyle w:val="TableTextIndent"/>
            </w:pPr>
            <w:r w:rsidRPr="009B5450">
              <w:t>1–350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7562C4E" w14:textId="77777777">
            <w:pPr>
              <w:pStyle w:val="TableTextDecimal"/>
              <w:tabs>
                <w:tab w:val="clear" w:pos="576"/>
                <w:tab w:val="decimal" w:pos="1545"/>
              </w:tabs>
            </w:pPr>
            <w:r w:rsidRPr="00E40D5C">
              <w:t>121 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FEE6E46" w14:textId="77777777">
            <w:pPr>
              <w:pStyle w:val="TableTextDecimal"/>
              <w:tabs>
                <w:tab w:val="clear" w:pos="576"/>
                <w:tab w:val="decimal" w:pos="1140"/>
              </w:tabs>
            </w:pPr>
            <w:r w:rsidRPr="00E40D5C">
              <w:t>10.0 </w:t>
            </w:r>
          </w:p>
        </w:tc>
      </w:tr>
      <w:tr w14:paraId="4FDFD982"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24002C16" w14:textId="77777777">
            <w:pPr>
              <w:pStyle w:val="TableTextIndent"/>
            </w:pPr>
            <w:r w:rsidRPr="009B5450">
              <w:t>351–1,200</w:t>
            </w:r>
            <w:r w:rsidRPr="009B5450">
              <w:rPr>
                <w:vertAlign w:val="superscript"/>
              </w:rPr>
              <w:t>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35A811CC" w14:textId="77777777">
            <w:pPr>
              <w:pStyle w:val="TableTextDecimal"/>
              <w:tabs>
                <w:tab w:val="clear" w:pos="576"/>
                <w:tab w:val="decimal" w:pos="1545"/>
              </w:tabs>
            </w:pPr>
            <w:r w:rsidRPr="00E40D5C">
              <w:t>142 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BBF95BB" w14:textId="77777777">
            <w:pPr>
              <w:pStyle w:val="TableTextDecimal"/>
              <w:tabs>
                <w:tab w:val="clear" w:pos="576"/>
                <w:tab w:val="decimal" w:pos="1140"/>
              </w:tabs>
            </w:pPr>
            <w:r w:rsidRPr="00E40D5C">
              <w:t>9.3 </w:t>
            </w:r>
          </w:p>
        </w:tc>
      </w:tr>
      <w:tr w14:paraId="710BC4FD"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59A8415E" w14:textId="77777777">
            <w:pPr>
              <w:pStyle w:val="TableTextIndent"/>
            </w:pPr>
            <w:r w:rsidRPr="009B5450">
              <w:t>More than 1,200</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6E097A1" w14:textId="77777777">
            <w:pPr>
              <w:pStyle w:val="TableTextDecimal"/>
              <w:tabs>
                <w:tab w:val="clear" w:pos="576"/>
                <w:tab w:val="decimal" w:pos="1545"/>
              </w:tabs>
            </w:pPr>
            <w:r w:rsidRPr="00E40D5C">
              <w:t>231 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125C539" w14:textId="77777777">
            <w:pPr>
              <w:pStyle w:val="TableTextDecimal"/>
              <w:tabs>
                <w:tab w:val="clear" w:pos="576"/>
                <w:tab w:val="decimal" w:pos="1140"/>
              </w:tabs>
            </w:pPr>
            <w:r w:rsidRPr="00E40D5C">
              <w:t>7.3 </w:t>
            </w:r>
          </w:p>
        </w:tc>
      </w:tr>
      <w:tr w14:paraId="39B8AACC"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6B912155"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Urbanicity </w:t>
            </w:r>
          </w:p>
        </w:tc>
      </w:tr>
      <w:tr w14:paraId="13491D84"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C7D23C1" w14:textId="77777777">
            <w:pPr>
              <w:pStyle w:val="TableTextIndent"/>
            </w:pPr>
            <w:r w:rsidRPr="009B5450">
              <w:t>Urban</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67D1A689" w14:textId="77777777">
            <w:pPr>
              <w:pStyle w:val="TableTextDecimal"/>
              <w:tabs>
                <w:tab w:val="clear" w:pos="576"/>
                <w:tab w:val="decimal" w:pos="1545"/>
              </w:tabs>
            </w:pPr>
            <w:r w:rsidRPr="00E40D5C">
              <w:t>205 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0EEC6AF" w14:textId="77777777">
            <w:pPr>
              <w:pStyle w:val="TableTextDecimal"/>
              <w:tabs>
                <w:tab w:val="clear" w:pos="576"/>
                <w:tab w:val="decimal" w:pos="1140"/>
              </w:tabs>
            </w:pPr>
            <w:r w:rsidRPr="00E40D5C">
              <w:t>7.7 </w:t>
            </w:r>
          </w:p>
        </w:tc>
      </w:tr>
      <w:tr w14:paraId="4CF9F7C2"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6FE00D4" w14:textId="77777777">
            <w:pPr>
              <w:pStyle w:val="TableTextIndent"/>
            </w:pPr>
            <w:r w:rsidRPr="009B5450">
              <w:t>Rural</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972C7D8" w14:textId="77777777">
            <w:pPr>
              <w:pStyle w:val="TableTextDecimal"/>
              <w:tabs>
                <w:tab w:val="clear" w:pos="576"/>
                <w:tab w:val="decimal" w:pos="1545"/>
              </w:tabs>
            </w:pPr>
            <w:r w:rsidRPr="00E40D5C">
              <w:t>329 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36962A4" w14:textId="77777777">
            <w:pPr>
              <w:pStyle w:val="TableTextDecimal"/>
              <w:tabs>
                <w:tab w:val="clear" w:pos="576"/>
                <w:tab w:val="decimal" w:pos="1140"/>
              </w:tabs>
            </w:pPr>
            <w:r w:rsidRPr="00E40D5C">
              <w:t>6.1 </w:t>
            </w:r>
          </w:p>
        </w:tc>
      </w:tr>
      <w:tr w14:paraId="75F6EBBC"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2CA2A093"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Percentage of students in poverty</w:t>
            </w:r>
            <w:r w:rsidRPr="001C59E3">
              <w:rPr>
                <w:rFonts w:ascii="Arial" w:hAnsi="Arial" w:cs="Arial"/>
                <w:b/>
                <w:sz w:val="18"/>
                <w:szCs w:val="18"/>
                <w:vertAlign w:val="superscript"/>
              </w:rPr>
              <w:t>b </w:t>
            </w:r>
          </w:p>
        </w:tc>
      </w:tr>
      <w:tr w14:paraId="67313B4D"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1CBE7E50" w14:textId="77777777">
            <w:pPr>
              <w:pStyle w:val="TableTextIndent"/>
            </w:pPr>
            <w:r w:rsidRPr="009B5450">
              <w:t>0–17 percent</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3009602" w14:textId="77777777">
            <w:pPr>
              <w:pStyle w:val="TableTextDecimal"/>
              <w:tabs>
                <w:tab w:val="clear" w:pos="576"/>
                <w:tab w:val="decimal" w:pos="1545"/>
              </w:tabs>
            </w:pPr>
            <w:r w:rsidRPr="00E40D5C">
              <w:t>170 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887A77D" w14:textId="77777777">
            <w:pPr>
              <w:pStyle w:val="TableTextDecimal"/>
              <w:tabs>
                <w:tab w:val="clear" w:pos="576"/>
                <w:tab w:val="decimal" w:pos="1140"/>
              </w:tabs>
            </w:pPr>
            <w:r w:rsidRPr="00E40D5C">
              <w:t>8.5 </w:t>
            </w:r>
          </w:p>
        </w:tc>
      </w:tr>
      <w:tr w14:paraId="22EBFCBF"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66BCF175" w14:textId="77777777">
            <w:pPr>
              <w:pStyle w:val="TableTextIndent"/>
            </w:pPr>
            <w:r w:rsidRPr="009B5450">
              <w:t>17–35 percent</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987F256" w14:textId="77777777">
            <w:pPr>
              <w:pStyle w:val="TableTextDecimal"/>
              <w:tabs>
                <w:tab w:val="clear" w:pos="576"/>
                <w:tab w:val="decimal" w:pos="1545"/>
              </w:tabs>
            </w:pPr>
            <w:r w:rsidRPr="00E40D5C">
              <w:t>300 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6F68CF77" w14:textId="77777777">
            <w:pPr>
              <w:pStyle w:val="TableTextDecimal"/>
              <w:tabs>
                <w:tab w:val="clear" w:pos="576"/>
                <w:tab w:val="decimal" w:pos="1140"/>
              </w:tabs>
            </w:pPr>
            <w:r w:rsidRPr="00E40D5C">
              <w:t>6.4 </w:t>
            </w:r>
          </w:p>
        </w:tc>
      </w:tr>
      <w:tr w14:paraId="4114ECF5"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524BF03F" w14:textId="77777777">
            <w:pPr>
              <w:pStyle w:val="TableTextIndent"/>
            </w:pPr>
            <w:r w:rsidRPr="009B5450">
              <w:t>More than 35 percent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464C77F4" w14:textId="77777777">
            <w:pPr>
              <w:pStyle w:val="TableTextDecimal"/>
              <w:tabs>
                <w:tab w:val="clear" w:pos="576"/>
                <w:tab w:val="decimal" w:pos="1545"/>
              </w:tabs>
            </w:pPr>
            <w:r w:rsidRPr="00E40D5C">
              <w:t>57 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EA2A806" w14:textId="77777777">
            <w:pPr>
              <w:pStyle w:val="TableTextDecimal"/>
              <w:tabs>
                <w:tab w:val="clear" w:pos="576"/>
                <w:tab w:val="decimal" w:pos="1140"/>
              </w:tabs>
            </w:pPr>
            <w:r w:rsidRPr="00E40D5C">
              <w:t>14.6 </w:t>
            </w:r>
          </w:p>
        </w:tc>
      </w:tr>
      <w:tr w14:paraId="792635E5"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5AD359BB"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FNS region </w:t>
            </w:r>
          </w:p>
        </w:tc>
      </w:tr>
      <w:tr w14:paraId="453416C6"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49EE7FA9" w14:textId="77777777">
            <w:pPr>
              <w:pStyle w:val="TableTextIndent"/>
            </w:pPr>
            <w:r w:rsidRPr="009B5450">
              <w:t>Mid-Atlantic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DA45EC5" w14:textId="77777777">
            <w:pPr>
              <w:pStyle w:val="TableTextDecimal"/>
              <w:tabs>
                <w:tab w:val="clear" w:pos="576"/>
                <w:tab w:val="decimal" w:pos="1545"/>
              </w:tabs>
            </w:pPr>
            <w:r w:rsidRPr="00E40D5C">
              <w:t>50 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5D48662" w14:textId="77777777">
            <w:pPr>
              <w:pStyle w:val="TableTextDecimal"/>
              <w:tabs>
                <w:tab w:val="clear" w:pos="576"/>
                <w:tab w:val="decimal" w:pos="1140"/>
              </w:tabs>
            </w:pPr>
            <w:r w:rsidRPr="00E40D5C">
              <w:t>15.6 </w:t>
            </w:r>
          </w:p>
        </w:tc>
      </w:tr>
      <w:tr w14:paraId="16F81C05"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A5A741B" w14:textId="77777777">
            <w:pPr>
              <w:pStyle w:val="TableTextIndent"/>
            </w:pPr>
            <w:r w:rsidRPr="009B5450">
              <w:t>Midwest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B252944" w14:textId="77777777">
            <w:pPr>
              <w:pStyle w:val="TableTextDecimal"/>
              <w:tabs>
                <w:tab w:val="clear" w:pos="576"/>
                <w:tab w:val="decimal" w:pos="1545"/>
              </w:tabs>
            </w:pPr>
            <w:r w:rsidRPr="00E40D5C">
              <w:t>112 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BAD0079" w14:textId="77777777">
            <w:pPr>
              <w:pStyle w:val="TableTextDecimal"/>
              <w:tabs>
                <w:tab w:val="clear" w:pos="576"/>
                <w:tab w:val="decimal" w:pos="1140"/>
              </w:tabs>
            </w:pPr>
            <w:r w:rsidRPr="00E40D5C">
              <w:t>10.4 </w:t>
            </w:r>
          </w:p>
        </w:tc>
      </w:tr>
      <w:tr w14:paraId="48C1B4EA"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47579B2C" w14:textId="77777777">
            <w:pPr>
              <w:pStyle w:val="TableTextIndent"/>
            </w:pPr>
            <w:r w:rsidRPr="009B5450">
              <w:t>Mountain </w:t>
            </w:r>
            <w:r>
              <w:t>Plains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6E8B909" w14:textId="77777777">
            <w:pPr>
              <w:pStyle w:val="TableTextDecimal"/>
              <w:tabs>
                <w:tab w:val="clear" w:pos="576"/>
                <w:tab w:val="decimal" w:pos="1545"/>
              </w:tabs>
            </w:pPr>
            <w:r w:rsidRPr="00E40D5C">
              <w:t>75 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90F3DC7" w14:textId="77777777">
            <w:pPr>
              <w:pStyle w:val="TableTextDecimal"/>
              <w:tabs>
                <w:tab w:val="clear" w:pos="576"/>
                <w:tab w:val="decimal" w:pos="1140"/>
              </w:tabs>
            </w:pPr>
            <w:r w:rsidRPr="00E40D5C">
              <w:t>12.8 </w:t>
            </w:r>
          </w:p>
        </w:tc>
      </w:tr>
      <w:tr w14:paraId="466A3CCA"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4A4642A2" w14:textId="77777777">
            <w:pPr>
              <w:pStyle w:val="TableTextIndent"/>
            </w:pPr>
            <w:r w:rsidRPr="009B5450">
              <w:t>Northeast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4772197" w14:textId="77777777">
            <w:pPr>
              <w:pStyle w:val="TableTextDecimal"/>
              <w:tabs>
                <w:tab w:val="clear" w:pos="576"/>
                <w:tab w:val="decimal" w:pos="1545"/>
              </w:tabs>
            </w:pPr>
            <w:r w:rsidRPr="00E40D5C">
              <w:t>59 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69503E13" w14:textId="77777777">
            <w:pPr>
              <w:pStyle w:val="TableTextDecimal"/>
              <w:tabs>
                <w:tab w:val="clear" w:pos="576"/>
                <w:tab w:val="decimal" w:pos="1140"/>
              </w:tabs>
            </w:pPr>
            <w:r w:rsidRPr="00E40D5C">
              <w:t>14.3 </w:t>
            </w:r>
          </w:p>
        </w:tc>
      </w:tr>
      <w:tr w14:paraId="0691619E"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4AADBB5" w14:textId="77777777">
            <w:pPr>
              <w:pStyle w:val="TableTextIndent"/>
            </w:pPr>
            <w:r w:rsidRPr="009B5450">
              <w:t>Southeast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9BBB626" w14:textId="77777777">
            <w:pPr>
              <w:pStyle w:val="TableTextDecimal"/>
              <w:tabs>
                <w:tab w:val="clear" w:pos="576"/>
                <w:tab w:val="decimal" w:pos="1545"/>
              </w:tabs>
            </w:pPr>
            <w:r w:rsidRPr="00E40D5C">
              <w:t>69 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147B257" w14:textId="77777777">
            <w:pPr>
              <w:pStyle w:val="TableTextDecimal"/>
              <w:tabs>
                <w:tab w:val="clear" w:pos="576"/>
                <w:tab w:val="decimal" w:pos="1140"/>
              </w:tabs>
            </w:pPr>
            <w:r w:rsidRPr="00E40D5C">
              <w:t>13.3 </w:t>
            </w:r>
          </w:p>
        </w:tc>
      </w:tr>
      <w:tr w14:paraId="7EC57FE7"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125A8BBF" w14:textId="77777777">
            <w:pPr>
              <w:pStyle w:val="TableTextIndent"/>
            </w:pPr>
            <w:r w:rsidRPr="009B5450">
              <w:t>Southwest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36AFCB58" w14:textId="77777777">
            <w:pPr>
              <w:pStyle w:val="TableTextDecimal"/>
              <w:tabs>
                <w:tab w:val="clear" w:pos="576"/>
                <w:tab w:val="decimal" w:pos="1545"/>
              </w:tabs>
            </w:pPr>
            <w:r w:rsidRPr="00E40D5C">
              <w:t>93 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118C836" w14:textId="77777777">
            <w:pPr>
              <w:pStyle w:val="TableTextDecimal"/>
              <w:tabs>
                <w:tab w:val="clear" w:pos="576"/>
                <w:tab w:val="decimal" w:pos="1140"/>
              </w:tabs>
            </w:pPr>
            <w:r w:rsidRPr="00E40D5C">
              <w:t>11.4 </w:t>
            </w:r>
          </w:p>
        </w:tc>
      </w:tr>
      <w:tr w14:paraId="1B8F1327"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9C8BB46" w14:textId="77777777">
            <w:pPr>
              <w:pStyle w:val="TableTextIndent"/>
            </w:pPr>
            <w:r w:rsidRPr="009B5450">
              <w:t>West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4C55E19" w14:textId="77777777">
            <w:pPr>
              <w:pStyle w:val="TableTextDecimal"/>
              <w:tabs>
                <w:tab w:val="clear" w:pos="576"/>
                <w:tab w:val="decimal" w:pos="1545"/>
              </w:tabs>
            </w:pPr>
            <w:r w:rsidRPr="00E40D5C">
              <w:t>75 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42B7ADB0" w14:textId="77777777">
            <w:pPr>
              <w:pStyle w:val="TableTextDecimal"/>
              <w:tabs>
                <w:tab w:val="clear" w:pos="576"/>
                <w:tab w:val="decimal" w:pos="1140"/>
              </w:tabs>
            </w:pPr>
            <w:r w:rsidRPr="00E40D5C">
              <w:t>12.8 </w:t>
            </w:r>
          </w:p>
        </w:tc>
      </w:tr>
      <w:tr w14:paraId="3634E902"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5ADE8D51"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Charter SFA </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26E04793"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 </w:t>
            </w:r>
          </w:p>
        </w:tc>
        <w:tc>
          <w:tcPr>
            <w:tcW w:w="2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0526A281"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 </w:t>
            </w:r>
          </w:p>
        </w:tc>
      </w:tr>
      <w:tr w14:paraId="14DCF892"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26DBC9C5" w14:textId="77777777">
            <w:pPr>
              <w:pStyle w:val="TableTextIndent"/>
            </w:pPr>
            <w:r w:rsidRPr="009B5450">
              <w:t>Yes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58D84E73" w14:textId="77777777">
            <w:pPr>
              <w:pStyle w:val="TableTextDecimal"/>
              <w:tabs>
                <w:tab w:val="clear" w:pos="576"/>
                <w:tab w:val="decimal" w:pos="1545"/>
              </w:tabs>
              <w:rPr>
                <w:color w:val="000000"/>
                <w:szCs w:val="18"/>
              </w:rPr>
            </w:pPr>
            <w:r w:rsidRPr="009B5450">
              <w:rPr>
                <w:color w:val="000000"/>
                <w:szCs w:val="18"/>
              </w:rPr>
              <w:t>48 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7D468158" w14:textId="77777777">
            <w:pPr>
              <w:pStyle w:val="TableTextDecimal"/>
              <w:tabs>
                <w:tab w:val="clear" w:pos="576"/>
                <w:tab w:val="decimal" w:pos="1140"/>
              </w:tabs>
              <w:rPr>
                <w:color w:val="000000"/>
                <w:szCs w:val="18"/>
              </w:rPr>
            </w:pPr>
            <w:r w:rsidRPr="009B5450">
              <w:rPr>
                <w:color w:val="000000"/>
                <w:szCs w:val="18"/>
              </w:rPr>
              <w:t>15.9 </w:t>
            </w:r>
          </w:p>
        </w:tc>
      </w:tr>
      <w:tr w14:paraId="244DA07E"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7C38A638"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Percentage of students approved for free/reduced-price meals </w:t>
            </w:r>
          </w:p>
        </w:tc>
      </w:tr>
      <w:tr w14:paraId="0747477A"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5112B5D9" w14:textId="77777777">
            <w:pPr>
              <w:pStyle w:val="TableTextIndent"/>
              <w:rPr>
                <w:color w:val="000000"/>
              </w:rPr>
            </w:pPr>
            <w:r w:rsidRPr="009B5450">
              <w:t>0–45 percent</w:t>
            </w:r>
            <w:r w:rsidRPr="009B5450">
              <w:rPr>
                <w:vertAlign w:val="superscript"/>
              </w:rPr>
              <w: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5D728E3" w14:textId="77777777">
            <w:pPr>
              <w:pStyle w:val="TableTextDecimal"/>
              <w:tabs>
                <w:tab w:val="clear" w:pos="576"/>
                <w:tab w:val="decimal" w:pos="1545"/>
              </w:tabs>
            </w:pPr>
            <w:r w:rsidRPr="00E40D5C">
              <w:t>325 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3A486B40" w14:textId="77777777">
            <w:pPr>
              <w:pStyle w:val="TableTextDecimal"/>
              <w:tabs>
                <w:tab w:val="clear" w:pos="576"/>
                <w:tab w:val="decimal" w:pos="1140"/>
              </w:tabs>
            </w:pPr>
            <w:r w:rsidRPr="00E40D5C">
              <w:t>6.1 </w:t>
            </w:r>
          </w:p>
        </w:tc>
      </w:tr>
      <w:tr w14:paraId="7EE5330A"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548DC2E6" w14:textId="77777777">
            <w:pPr>
              <w:pStyle w:val="TableTextIndent"/>
              <w:rPr>
                <w:color w:val="000000"/>
              </w:rPr>
            </w:pPr>
            <w:r w:rsidRPr="009B5450">
              <w:rPr>
                <w:color w:val="000000"/>
              </w:rPr>
              <w:t>46–63 percent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D7AD881" w14:textId="77777777">
            <w:pPr>
              <w:pStyle w:val="TableTextDecimal"/>
              <w:tabs>
                <w:tab w:val="clear" w:pos="576"/>
                <w:tab w:val="decimal" w:pos="1545"/>
              </w:tabs>
            </w:pPr>
            <w:r w:rsidRPr="00E40D5C">
              <w:t>123 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4CD0BCBB" w14:textId="77777777">
            <w:pPr>
              <w:pStyle w:val="TableTextDecimal"/>
              <w:tabs>
                <w:tab w:val="clear" w:pos="576"/>
                <w:tab w:val="decimal" w:pos="1140"/>
              </w:tabs>
            </w:pPr>
            <w:r w:rsidRPr="00E40D5C">
              <w:t>10.0 </w:t>
            </w:r>
          </w:p>
        </w:tc>
      </w:tr>
      <w:tr w14:paraId="4B01BA2E"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39E3F00F" w14:textId="77777777">
            <w:pPr>
              <w:pStyle w:val="TableTextIndent"/>
              <w:rPr>
                <w:color w:val="000000"/>
              </w:rPr>
            </w:pPr>
            <w:r w:rsidRPr="009B5450">
              <w:rPr>
                <w:color w:val="000000"/>
              </w:rPr>
              <w:t>64 percent or more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87D38CD" w14:textId="77777777">
            <w:pPr>
              <w:pStyle w:val="TableTextDecimal"/>
              <w:tabs>
                <w:tab w:val="clear" w:pos="576"/>
                <w:tab w:val="decimal" w:pos="1545"/>
              </w:tabs>
            </w:pPr>
            <w:r w:rsidRPr="00E40D5C">
              <w:t>80 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6F90A01" w14:textId="77777777">
            <w:pPr>
              <w:pStyle w:val="TableTextDecimal"/>
              <w:tabs>
                <w:tab w:val="clear" w:pos="576"/>
                <w:tab w:val="decimal" w:pos="1140"/>
              </w:tabs>
            </w:pPr>
            <w:r w:rsidRPr="00E40D5C">
              <w:t>11.9 </w:t>
            </w:r>
          </w:p>
        </w:tc>
      </w:tr>
      <w:tr w14:paraId="4FB08896" w14:textId="77777777" w:rsidTr="00A25221">
        <w:tblPrEx>
          <w:tblW w:w="9360" w:type="dxa"/>
          <w:tblCellMar>
            <w:left w:w="0" w:type="dxa"/>
            <w:right w:w="0" w:type="dxa"/>
          </w:tblCellMar>
          <w:tblLook w:val="04A0"/>
        </w:tblPrEx>
        <w:trPr>
          <w:trHeight w:val="15"/>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1C504D41"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HSMFA/CEP status</w:t>
            </w:r>
            <w:r w:rsidRPr="001C59E3">
              <w:rPr>
                <w:rFonts w:ascii="Arial" w:hAnsi="Arial" w:cs="Arial"/>
                <w:b/>
                <w:sz w:val="18"/>
                <w:szCs w:val="18"/>
                <w:vertAlign w:val="superscript"/>
              </w:rPr>
              <w:t>c</w:t>
            </w:r>
            <w:r w:rsidRPr="009B5450">
              <w:rPr>
                <w:rFonts w:ascii="Arial" w:hAnsi="Arial" w:cs="Arial"/>
                <w:b/>
                <w:sz w:val="18"/>
                <w:szCs w:val="18"/>
              </w:rPr>
              <w:t> </w:t>
            </w:r>
          </w:p>
        </w:tc>
      </w:tr>
      <w:tr w14:paraId="2A2093A8"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4274B164" w14:textId="77777777">
            <w:pPr>
              <w:pStyle w:val="TableTextIndent"/>
            </w:pPr>
            <w:r w:rsidRPr="009B5450">
              <w:t>SFAs in HSMFA States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1C62D6F" w14:textId="77777777">
            <w:pPr>
              <w:pStyle w:val="TableTextDecimal"/>
              <w:tabs>
                <w:tab w:val="clear" w:pos="576"/>
                <w:tab w:val="decimal" w:pos="1545"/>
              </w:tabs>
            </w:pPr>
            <w:r w:rsidRPr="00E40D5C">
              <w:t>112 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AC9C892" w14:textId="77777777">
            <w:pPr>
              <w:pStyle w:val="TableTextDecimal"/>
              <w:tabs>
                <w:tab w:val="clear" w:pos="576"/>
                <w:tab w:val="decimal" w:pos="1140"/>
              </w:tabs>
            </w:pPr>
            <w:r w:rsidRPr="00E40D5C">
              <w:t>10.0 </w:t>
            </w:r>
          </w:p>
        </w:tc>
      </w:tr>
      <w:tr w14:paraId="52C9DD03"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3ECD6F5F" w14:textId="77777777">
            <w:pPr>
              <w:pStyle w:val="TableTextIndent"/>
            </w:pPr>
            <w:r w:rsidRPr="009B5450">
              <w:t>Non-HSMFA SFAs with all CEP schools</w:t>
            </w:r>
            <w:r w:rsidRPr="009B5450">
              <w:rPr>
                <w:vertAlign w:val="superscript"/>
              </w:rPr>
              <w:t>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6A365318" w14:textId="77777777">
            <w:pPr>
              <w:pStyle w:val="TableTextDecimal"/>
              <w:tabs>
                <w:tab w:val="clear" w:pos="576"/>
                <w:tab w:val="decimal" w:pos="1545"/>
              </w:tabs>
            </w:pPr>
            <w:r w:rsidRPr="00E40D5C">
              <w:t>161 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411EB9C7" w14:textId="77777777">
            <w:pPr>
              <w:pStyle w:val="TableTextDecimal"/>
              <w:tabs>
                <w:tab w:val="clear" w:pos="576"/>
                <w:tab w:val="decimal" w:pos="1140"/>
              </w:tabs>
            </w:pPr>
            <w:r w:rsidRPr="00E40D5C">
              <w:t>8.3 </w:t>
            </w:r>
          </w:p>
        </w:tc>
      </w:tr>
      <w:tr w14:paraId="696B8429" w14:textId="77777777" w:rsidTr="00A25221">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9B5450" w:rsidP="00E40D5C" w14:paraId="25308E23" w14:textId="77777777">
            <w:pPr>
              <w:pStyle w:val="TableTextIndent"/>
            </w:pPr>
            <w:r w:rsidRPr="009B5450">
              <w:t>All other SFAs</w:t>
            </w:r>
            <w:r w:rsidRPr="009B5450">
              <w:rPr>
                <w:vertAlign w:val="superscript"/>
              </w:rPr>
              <w:t>a</w:t>
            </w:r>
            <w:r w:rsidRPr="009B5450">
              <w:t>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2C9AA95" w14:textId="77777777">
            <w:pPr>
              <w:pStyle w:val="TableTextDecimal"/>
              <w:tabs>
                <w:tab w:val="clear" w:pos="576"/>
                <w:tab w:val="decimal" w:pos="1545"/>
              </w:tabs>
            </w:pPr>
            <w:r w:rsidRPr="00E40D5C">
              <w:t>261 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DA1F61D" w14:textId="77777777">
            <w:pPr>
              <w:pStyle w:val="TableTextDecimal"/>
              <w:tabs>
                <w:tab w:val="clear" w:pos="576"/>
                <w:tab w:val="decimal" w:pos="1140"/>
              </w:tabs>
            </w:pPr>
            <w:r w:rsidRPr="00E40D5C">
              <w:t>6.5 </w:t>
            </w:r>
          </w:p>
        </w:tc>
      </w:tr>
      <w:tr w14:paraId="7BD2ABEC" w14:textId="77777777" w:rsidTr="00D04A6D">
        <w:tblPrEx>
          <w:tblW w:w="9360" w:type="dxa"/>
          <w:tblCellMar>
            <w:left w:w="0" w:type="dxa"/>
            <w:right w:w="0" w:type="dxa"/>
          </w:tblCellMar>
          <w:tblLook w:val="04A0"/>
        </w:tblPrEx>
        <w:trPr>
          <w:trHeight w:val="15"/>
        </w:trPr>
        <w:tc>
          <w:tcPr>
            <w:tcW w:w="3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887F7A" w14:paraId="5CB9F9A0" w14:textId="77777777">
            <w:pPr>
              <w:pStyle w:val="TableTextIndent"/>
              <w:ind w:left="0"/>
              <w:rPr>
                <w:b/>
                <w:bCs/>
              </w:rPr>
            </w:pPr>
            <w:r w:rsidRPr="00887F7A">
              <w:rPr>
                <w:b/>
                <w:bCs/>
              </w:rPr>
              <w:t>Total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E40D5C" w14:paraId="65AA5C12" w14:textId="77777777">
            <w:pPr>
              <w:pStyle w:val="TableTextDecimal"/>
              <w:tabs>
                <w:tab w:val="clear" w:pos="576"/>
                <w:tab w:val="decimal" w:pos="1545"/>
              </w:tabs>
              <w:rPr>
                <w:b/>
                <w:bCs/>
              </w:rPr>
            </w:pPr>
            <w:r w:rsidRPr="00887F7A">
              <w:rPr>
                <w:b/>
                <w:bCs/>
              </w:rPr>
              <w:t>534</w:t>
            </w:r>
            <w:r w:rsidRPr="00887F7A">
              <w:rPr>
                <w:b/>
                <w:bCs/>
                <w:vertAlign w:val="superscript"/>
              </w:rPr>
              <w:t>d </w:t>
            </w:r>
          </w:p>
        </w:tc>
        <w:tc>
          <w:tcPr>
            <w:tcW w:w="2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E40D5C" w14:paraId="539AFC6C" w14:textId="77777777">
            <w:pPr>
              <w:pStyle w:val="TableTextDecimal"/>
              <w:tabs>
                <w:tab w:val="clear" w:pos="576"/>
                <w:tab w:val="decimal" w:pos="1140"/>
              </w:tabs>
              <w:rPr>
                <w:b/>
                <w:bCs/>
              </w:rPr>
            </w:pPr>
            <w:r w:rsidRPr="00887F7A">
              <w:rPr>
                <w:b/>
                <w:bCs/>
              </w:rPr>
              <w:t>4.6 </w:t>
            </w:r>
          </w:p>
        </w:tc>
      </w:tr>
    </w:tbl>
    <w:p w:rsidR="00687FE8" w:rsidRPr="001D0225" w:rsidP="00E40D5C" w14:paraId="5C1A8421" w14:textId="77777777">
      <w:pPr>
        <w:pStyle w:val="TableSourceCaption"/>
        <w:spacing w:after="60"/>
        <w:rPr>
          <w:sz w:val="15"/>
          <w:szCs w:val="15"/>
        </w:rPr>
      </w:pPr>
      <w:r w:rsidRPr="001D0225">
        <w:rPr>
          <w:sz w:val="15"/>
          <w:szCs w:val="15"/>
        </w:rPr>
        <w:t xml:space="preserve">Source: </w:t>
      </w:r>
      <w:r w:rsidRPr="001D0225">
        <w:rPr>
          <w:rFonts w:ascii="Calibri" w:hAnsi="Calibri" w:cs="Calibri"/>
          <w:sz w:val="15"/>
          <w:szCs w:val="15"/>
        </w:rPr>
        <w:tab/>
      </w:r>
      <w:r w:rsidRPr="001D0225">
        <w:rPr>
          <w:sz w:val="15"/>
          <w:szCs w:val="15"/>
        </w:rPr>
        <w:t xml:space="preserve">Simulations from the first iteration of SNMCS-II, using the 2018–2019 FNS-742 file and 2017–2018 CCD file, with some data coming from the 2016–2017 CCD file. </w:t>
      </w:r>
    </w:p>
    <w:p w:rsidR="00687FE8" w:rsidRPr="001D0225" w:rsidP="00E40D5C" w14:paraId="004BC886" w14:textId="77777777">
      <w:pPr>
        <w:pStyle w:val="TableSourceCaption"/>
        <w:spacing w:after="60"/>
        <w:rPr>
          <w:rFonts w:ascii="Segoe UI" w:hAnsi="Segoe UI" w:cs="Segoe UI"/>
          <w:color w:val="000000"/>
          <w:sz w:val="15"/>
          <w:szCs w:val="15"/>
        </w:rPr>
      </w:pPr>
      <w:r w:rsidRPr="001D0225">
        <w:rPr>
          <w:sz w:val="15"/>
          <w:szCs w:val="15"/>
        </w:rPr>
        <w:t xml:space="preserve">Note: </w:t>
      </w:r>
      <w:r w:rsidRPr="001D0225">
        <w:rPr>
          <w:sz w:val="15"/>
          <w:szCs w:val="15"/>
        </w:rPr>
        <w:tab/>
        <w:t>Confidence intervals are based on a 30 percent outcome. </w:t>
      </w:r>
    </w:p>
    <w:p w:rsidR="00687FE8" w:rsidRPr="001D0225" w:rsidP="00E40D5C" w14:paraId="76586AAF" w14:textId="77777777">
      <w:pPr>
        <w:pStyle w:val="TableFootnoteCaption"/>
        <w:spacing w:after="60"/>
        <w:rPr>
          <w:rFonts w:ascii="Segoe UI" w:hAnsi="Segoe UI" w:cs="Segoe UI"/>
          <w:color w:val="000000"/>
          <w:sz w:val="15"/>
          <w:szCs w:val="15"/>
        </w:rPr>
      </w:pPr>
      <w:r w:rsidRPr="001D0225">
        <w:rPr>
          <w:sz w:val="15"/>
          <w:szCs w:val="15"/>
          <w:vertAlign w:val="superscript"/>
        </w:rPr>
        <w:t>a</w:t>
      </w:r>
      <w:r w:rsidRPr="001D0225">
        <w:rPr>
          <w:sz w:val="15"/>
          <w:szCs w:val="15"/>
        </w:rPr>
        <w:t xml:space="preserve"> Subgroup represents 25 percent or more of the population. </w:t>
      </w:r>
    </w:p>
    <w:p w:rsidR="00687FE8" w:rsidRPr="001D0225" w:rsidP="00E40D5C" w14:paraId="3901A9A5" w14:textId="77777777">
      <w:pPr>
        <w:pStyle w:val="TableFootnoteCaption"/>
        <w:spacing w:after="60"/>
        <w:rPr>
          <w:rFonts w:ascii="Segoe UI" w:hAnsi="Segoe UI" w:cs="Segoe UI"/>
          <w:color w:val="000000"/>
          <w:sz w:val="15"/>
          <w:szCs w:val="15"/>
        </w:rPr>
      </w:pPr>
      <w:r w:rsidRPr="001D0225">
        <w:rPr>
          <w:sz w:val="15"/>
          <w:szCs w:val="15"/>
          <w:vertAlign w:val="superscript"/>
        </w:rPr>
        <w:t xml:space="preserve">b </w:t>
      </w:r>
      <w:r w:rsidRPr="001D0225">
        <w:rPr>
          <w:sz w:val="15"/>
          <w:szCs w:val="15"/>
        </w:rPr>
        <w:t>The</w:t>
      </w:r>
      <w:r w:rsidRPr="001D0225">
        <w:rPr>
          <w:sz w:val="15"/>
          <w:szCs w:val="15"/>
        </w:rPr>
        <w:t xml:space="preserve"> percentage of students-living-in-poverty variable has a considerable amount of missing data; the totals here reflect the nonmissing cases. </w:t>
      </w:r>
    </w:p>
    <w:p w:rsidR="00687FE8" w:rsidRPr="001D0225" w:rsidP="00E40D5C" w14:paraId="0FD600BA" w14:textId="77777777">
      <w:pPr>
        <w:pStyle w:val="TableFootnoteCaption"/>
        <w:spacing w:after="60"/>
        <w:rPr>
          <w:rFonts w:ascii="Segoe UI" w:hAnsi="Segoe UI" w:cs="Segoe UI"/>
          <w:color w:val="000000"/>
          <w:sz w:val="15"/>
          <w:szCs w:val="15"/>
        </w:rPr>
      </w:pPr>
      <w:r w:rsidRPr="001D0225">
        <w:rPr>
          <w:sz w:val="15"/>
          <w:szCs w:val="15"/>
          <w:vertAlign w:val="superscript"/>
        </w:rPr>
        <w:t xml:space="preserve">c </w:t>
      </w:r>
      <w:r w:rsidRPr="001D0225">
        <w:rPr>
          <w:sz w:val="15"/>
          <w:szCs w:val="15"/>
        </w:rPr>
        <w:t>The</w:t>
      </w:r>
      <w:r w:rsidRPr="001D0225">
        <w:rPr>
          <w:sz w:val="15"/>
          <w:szCs w:val="15"/>
        </w:rPr>
        <w:t xml:space="preserve"> simulations in the SNMCS-II study plan did not include SFAs with other universal free-meal provisions in the CEP SFA group. </w:t>
      </w:r>
    </w:p>
    <w:p w:rsidR="00687FE8" w:rsidRPr="001D0225" w:rsidP="00E40D5C" w14:paraId="1FE6949F" w14:textId="77777777">
      <w:pPr>
        <w:pStyle w:val="TableFootnoteCaption"/>
        <w:spacing w:after="60"/>
        <w:rPr>
          <w:rFonts w:ascii="Segoe UI" w:hAnsi="Segoe UI" w:cs="Segoe UI"/>
          <w:color w:val="000000"/>
          <w:sz w:val="15"/>
          <w:szCs w:val="15"/>
        </w:rPr>
      </w:pPr>
      <w:r w:rsidRPr="001D0225">
        <w:rPr>
          <w:sz w:val="15"/>
          <w:szCs w:val="15"/>
          <w:vertAlign w:val="superscript"/>
        </w:rPr>
        <w:t>d</w:t>
      </w:r>
      <w:r w:rsidRPr="001D0225">
        <w:rPr>
          <w:sz w:val="15"/>
          <w:szCs w:val="15"/>
        </w:rPr>
        <w:t xml:space="preserve"> Total equals 534 because it includes the certainty SFAs in Groups 1a, 2a, and 3. </w:t>
      </w:r>
    </w:p>
    <w:p w:rsidR="00687FE8" w:rsidRPr="001D0225" w:rsidP="00E40D5C" w14:paraId="6BE06250" w14:textId="77777777">
      <w:pPr>
        <w:pStyle w:val="TableFootnoteCaption"/>
        <w:spacing w:after="60"/>
        <w:rPr>
          <w:rFonts w:ascii="Segoe UI" w:hAnsi="Segoe UI" w:cs="Segoe UI"/>
          <w:color w:val="000000"/>
          <w:sz w:val="15"/>
          <w:szCs w:val="15"/>
        </w:rPr>
      </w:pPr>
      <w:r w:rsidRPr="001D0225">
        <w:rPr>
          <w:sz w:val="15"/>
          <w:szCs w:val="15"/>
        </w:rPr>
        <w:t>CEP = Community Eligibility Provision; HSMFA = Healthy School Meals for All; SFA = school food authority. </w:t>
      </w:r>
    </w:p>
    <w:p w:rsidR="00687FE8" w:rsidRPr="00292462" w:rsidP="00D223A5" w14:paraId="1A288D01" w14:textId="77777777">
      <w:pPr>
        <w:rPr>
          <w:sz w:val="18"/>
          <w:szCs w:val="18"/>
        </w:rPr>
      </w:pPr>
      <w:r>
        <w:t>The expected precision levels for school-level estimates for Groups 2a and 3 are presented in Table B.2.4. For the sample of 1,061 schools (Groups 2a and 3 combined) that will complete the Menu Survey, SNM Survey, and Principal Survey, the expected precision level for a 30 percent population characteristic is ±4.6 percentage points for the overall sample and ±10 percentage points (or better) for any subgroups that make up 25</w:t>
      </w:r>
      <w:r w:rsidRPr="044243A3">
        <w:rPr>
          <w:rFonts w:ascii="Times New Roman" w:hAnsi="Times New Roman"/>
        </w:rPr>
        <w:t> </w:t>
      </w:r>
      <w:r>
        <w:t>percent or more of the population. We also show in Table B.2.4 an expected precision level of ± 4.8 percentage points for the overall sample of 796 Group 3 schools that will be included in the study of meal costs and school food service revenues and precision levels of ±10 percentage points (or better) for any subgroups that make up 25 percent or more of the population. </w:t>
      </w:r>
    </w:p>
    <w:p w:rsidR="00687FE8" w:rsidRPr="001D0225" w:rsidP="001D0225" w14:paraId="20B60F3F" w14:textId="77777777">
      <w:pPr>
        <w:pStyle w:val="MarkforTableHeading"/>
      </w:pPr>
      <w:r w:rsidRPr="001D0225">
        <w:t xml:space="preserve">Table B.2.4. Expected precision levels for school-level </w:t>
      </w:r>
      <w:r w:rsidRPr="001D0225">
        <w:t>estimates</w:t>
      </w:r>
      <w:r w:rsidRPr="001D0225">
        <w:t> </w:t>
      </w:r>
    </w:p>
    <w:tbl>
      <w:tblPr>
        <w:tblW w:w="9348" w:type="dxa"/>
        <w:tblCellMar>
          <w:left w:w="0" w:type="dxa"/>
          <w:right w:w="0" w:type="dxa"/>
        </w:tblCellMar>
        <w:tblLook w:val="04A0"/>
      </w:tblPr>
      <w:tblGrid>
        <w:gridCol w:w="2970"/>
        <w:gridCol w:w="1985"/>
        <w:gridCol w:w="1573"/>
        <w:gridCol w:w="1648"/>
        <w:gridCol w:w="30"/>
        <w:gridCol w:w="1142"/>
      </w:tblGrid>
      <w:tr w14:paraId="46C5CF83" w14:textId="77777777" w:rsidTr="00160523">
        <w:tblPrEx>
          <w:tblW w:w="9348" w:type="dxa"/>
          <w:tblCellMar>
            <w:left w:w="0" w:type="dxa"/>
            <w:right w:w="0" w:type="dxa"/>
          </w:tblCellMar>
          <w:tblLook w:val="04A0"/>
        </w:tblPrEx>
        <w:trPr>
          <w:trHeight w:val="15"/>
          <w:tblHeader/>
        </w:trPr>
        <w:tc>
          <w:tcPr>
            <w:tcW w:w="2970" w:type="dxa"/>
            <w:tcBorders>
              <w:right w:val="single" w:sz="4" w:space="0" w:color="FFFFFF" w:themeColor="background1"/>
            </w:tcBorders>
            <w:shd w:val="clear" w:color="auto" w:fill="6C6F70"/>
            <w:vAlign w:val="center"/>
            <w:hideMark/>
          </w:tcPr>
          <w:p w:rsidR="00687FE8" w:rsidRPr="00292462" w:rsidP="00E40D5C" w14:paraId="037399FD" w14:textId="77777777">
            <w:pPr>
              <w:pStyle w:val="TableHeaderCenter"/>
              <w:rPr>
                <w:rFonts w:ascii="Times New Roman" w:hAnsi="Times New Roman"/>
              </w:rPr>
            </w:pPr>
            <w:r w:rsidRPr="00292462">
              <w:t> </w:t>
            </w:r>
          </w:p>
        </w:tc>
        <w:tc>
          <w:tcPr>
            <w:tcW w:w="3558"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6C6F70"/>
            <w:vAlign w:val="center"/>
            <w:hideMark/>
          </w:tcPr>
          <w:p w:rsidR="00687FE8" w:rsidRPr="00292462" w:rsidP="00E40D5C" w14:paraId="04E737EF" w14:textId="77777777">
            <w:pPr>
              <w:pStyle w:val="TableHeaderCenter"/>
              <w:rPr>
                <w:rFonts w:ascii="Times New Roman" w:hAnsi="Times New Roman"/>
              </w:rPr>
            </w:pPr>
            <w:r w:rsidRPr="00292462">
              <w:t>Groups 2a and 3 combined</w:t>
            </w:r>
            <w:r w:rsidRPr="00292462">
              <w:rPr>
                <w:rFonts w:ascii="Segoe UI" w:hAnsi="Segoe UI" w:cs="Segoe UI"/>
                <w:color w:val="FFFFFF"/>
                <w:szCs w:val="18"/>
              </w:rPr>
              <w:t> </w:t>
            </w:r>
          </w:p>
        </w:tc>
        <w:tc>
          <w:tcPr>
            <w:tcW w:w="2818" w:type="dxa"/>
            <w:gridSpan w:val="3"/>
            <w:tcBorders>
              <w:left w:val="single" w:sz="4" w:space="0" w:color="FFFFFF" w:themeColor="background1"/>
              <w:bottom w:val="single" w:sz="4" w:space="0" w:color="FFFFFF" w:themeColor="background1"/>
            </w:tcBorders>
            <w:shd w:val="clear" w:color="auto" w:fill="6C6F70"/>
            <w:vAlign w:val="center"/>
            <w:hideMark/>
          </w:tcPr>
          <w:p w:rsidR="00687FE8" w:rsidRPr="00292462" w:rsidP="00E40D5C" w14:paraId="35598811" w14:textId="77777777">
            <w:pPr>
              <w:pStyle w:val="TableHeaderCenter"/>
              <w:rPr>
                <w:rFonts w:ascii="Times New Roman" w:hAnsi="Times New Roman"/>
              </w:rPr>
            </w:pPr>
            <w:r w:rsidRPr="00292462">
              <w:t>Group 3 only</w:t>
            </w:r>
            <w:r w:rsidRPr="00292462">
              <w:rPr>
                <w:rFonts w:ascii="Segoe UI" w:hAnsi="Segoe UI" w:cs="Segoe UI"/>
                <w:color w:val="FFFFFF"/>
                <w:szCs w:val="18"/>
              </w:rPr>
              <w:t> </w:t>
            </w:r>
          </w:p>
        </w:tc>
      </w:tr>
      <w:tr w14:paraId="223A781D" w14:textId="77777777" w:rsidTr="00A25221">
        <w:tblPrEx>
          <w:tblW w:w="9348" w:type="dxa"/>
          <w:tblCellMar>
            <w:left w:w="0" w:type="dxa"/>
            <w:right w:w="0" w:type="dxa"/>
          </w:tblCellMar>
          <w:tblLook w:val="04A0"/>
        </w:tblPrEx>
        <w:trPr>
          <w:trHeight w:val="15"/>
          <w:tblHeader/>
        </w:trPr>
        <w:tc>
          <w:tcPr>
            <w:tcW w:w="2970" w:type="dxa"/>
            <w:tcBorders>
              <w:bottom w:val="single" w:sz="4" w:space="0" w:color="auto"/>
              <w:right w:val="single" w:sz="4" w:space="0" w:color="FFFFFF" w:themeColor="background1"/>
            </w:tcBorders>
            <w:shd w:val="clear" w:color="auto" w:fill="6C6F70"/>
            <w:vAlign w:val="bottom"/>
            <w:hideMark/>
          </w:tcPr>
          <w:p w:rsidR="00687FE8" w:rsidRPr="00292462" w:rsidP="00E40D5C" w14:paraId="2DB6BE8A" w14:textId="77777777">
            <w:pPr>
              <w:pStyle w:val="TableHeaderLeft"/>
              <w:rPr>
                <w:rFonts w:ascii="Times New Roman" w:hAnsi="Times New Roman"/>
              </w:rPr>
            </w:pPr>
            <w:r w:rsidRPr="00292462">
              <w:t>Subgroups</w:t>
            </w:r>
            <w:r w:rsidRPr="00292462">
              <w:rPr>
                <w:rFonts w:ascii="Segoe UI" w:hAnsi="Segoe UI" w:cs="Segoe UI"/>
                <w:color w:val="FFFFFF"/>
                <w:szCs w:val="18"/>
              </w:rPr>
              <w:t> </w:t>
            </w:r>
          </w:p>
        </w:tc>
        <w:tc>
          <w:tcPr>
            <w:tcW w:w="1985"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center"/>
            <w:hideMark/>
          </w:tcPr>
          <w:p w:rsidR="00687FE8" w:rsidRPr="00292462" w:rsidP="00E40D5C" w14:paraId="56B887D4" w14:textId="77777777">
            <w:pPr>
              <w:pStyle w:val="TableHeaderCenter"/>
              <w:rPr>
                <w:rFonts w:ascii="Times New Roman" w:hAnsi="Times New Roman"/>
              </w:rPr>
            </w:pPr>
            <w:r w:rsidRPr="00292462">
              <w:t xml:space="preserve">Target completed sample </w:t>
            </w:r>
            <w:r w:rsidRPr="00292462">
              <w:rPr>
                <w:rFonts w:ascii="Segoe UI" w:hAnsi="Segoe UI" w:cs="Segoe UI"/>
                <w:bCs/>
                <w:color w:val="FFFFFF"/>
                <w:szCs w:val="18"/>
              </w:rPr>
              <w:t>sizes</w:t>
            </w:r>
            <w:r w:rsidRPr="00292462">
              <w:rPr>
                <w:rFonts w:ascii="Segoe UI" w:hAnsi="Segoe UI" w:cs="Segoe UI"/>
                <w:color w:val="FFFFFF"/>
                <w:szCs w:val="18"/>
              </w:rPr>
              <w:t> </w:t>
            </w:r>
          </w:p>
        </w:tc>
        <w:tc>
          <w:tcPr>
            <w:tcW w:w="1573" w:type="dxa"/>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center"/>
            <w:hideMark/>
          </w:tcPr>
          <w:p w:rsidR="00687FE8" w:rsidRPr="00292462" w:rsidP="00E40D5C" w14:paraId="003FA5BD" w14:textId="77777777">
            <w:pPr>
              <w:pStyle w:val="TableHeaderCenter"/>
              <w:rPr>
                <w:rFonts w:ascii="Times New Roman" w:hAnsi="Times New Roman"/>
              </w:rPr>
            </w:pPr>
            <w:r w:rsidRPr="00292462">
              <w:t>CI half interval (</w:t>
            </w:r>
            <w:r>
              <w:rPr>
                <w:rFonts w:ascii="Segoe UI" w:hAnsi="Segoe UI" w:cs="Segoe UI"/>
                <w:bCs/>
                <w:color w:val="FFFFFF"/>
                <w:szCs w:val="18"/>
              </w:rPr>
              <w:t>percentage points</w:t>
            </w:r>
            <w:r w:rsidRPr="00292462">
              <w:rPr>
                <w:rFonts w:ascii="Segoe UI" w:hAnsi="Segoe UI" w:cs="Segoe UI"/>
                <w:bCs/>
                <w:color w:val="FFFFFF"/>
                <w:szCs w:val="18"/>
              </w:rPr>
              <w:t>)</w:t>
            </w:r>
            <w:r w:rsidRPr="00292462">
              <w:rPr>
                <w:rFonts w:ascii="Segoe UI" w:hAnsi="Segoe UI" w:cs="Segoe UI"/>
                <w:color w:val="FFFFFF"/>
                <w:szCs w:val="18"/>
              </w:rPr>
              <w:t> </w:t>
            </w:r>
          </w:p>
        </w:tc>
        <w:tc>
          <w:tcPr>
            <w:tcW w:w="167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shd w:val="clear" w:color="auto" w:fill="6C6F70"/>
            <w:vAlign w:val="center"/>
            <w:hideMark/>
          </w:tcPr>
          <w:p w:rsidR="00687FE8" w:rsidRPr="00292462" w:rsidP="00E40D5C" w14:paraId="24C5EF58" w14:textId="77777777">
            <w:pPr>
              <w:pStyle w:val="TableHeaderCenter"/>
              <w:rPr>
                <w:rFonts w:ascii="Times New Roman" w:hAnsi="Times New Roman"/>
              </w:rPr>
            </w:pPr>
            <w:r w:rsidRPr="00292462">
              <w:t>Target completed sample sizes</w:t>
            </w:r>
            <w:r w:rsidRPr="00292462">
              <w:rPr>
                <w:rFonts w:ascii="Segoe UI" w:hAnsi="Segoe UI" w:cs="Segoe UI"/>
                <w:color w:val="FFFFFF"/>
                <w:szCs w:val="18"/>
              </w:rPr>
              <w:t> </w:t>
            </w:r>
          </w:p>
        </w:tc>
        <w:tc>
          <w:tcPr>
            <w:tcW w:w="1140" w:type="dxa"/>
            <w:tcBorders>
              <w:top w:val="single" w:sz="4" w:space="0" w:color="FFFFFF" w:themeColor="background1"/>
              <w:left w:val="single" w:sz="4" w:space="0" w:color="FFFFFF" w:themeColor="background1"/>
              <w:bottom w:val="single" w:sz="4" w:space="0" w:color="auto"/>
            </w:tcBorders>
            <w:shd w:val="clear" w:color="auto" w:fill="6C6F70"/>
            <w:vAlign w:val="center"/>
            <w:hideMark/>
          </w:tcPr>
          <w:p w:rsidR="00687FE8" w:rsidRPr="00292462" w:rsidP="00E40D5C" w14:paraId="587BD8D6" w14:textId="77777777">
            <w:pPr>
              <w:pStyle w:val="TableHeaderCenter"/>
              <w:rPr>
                <w:rFonts w:ascii="Times New Roman" w:hAnsi="Times New Roman"/>
              </w:rPr>
            </w:pPr>
            <w:r w:rsidRPr="00292462">
              <w:t xml:space="preserve">CI half </w:t>
            </w:r>
            <w:r w:rsidRPr="00292462">
              <w:rPr>
                <w:rFonts w:ascii="Segoe UI" w:hAnsi="Segoe UI" w:cs="Segoe UI"/>
                <w:bCs/>
                <w:color w:val="FFFFFF"/>
                <w:szCs w:val="18"/>
              </w:rPr>
              <w:t>interval (</w:t>
            </w:r>
            <w:r>
              <w:rPr>
                <w:rFonts w:ascii="Segoe UI" w:hAnsi="Segoe UI" w:cs="Segoe UI"/>
                <w:bCs/>
                <w:color w:val="FFFFFF"/>
                <w:szCs w:val="18"/>
              </w:rPr>
              <w:t>percentage points</w:t>
            </w:r>
            <w:r w:rsidRPr="00292462">
              <w:rPr>
                <w:rFonts w:ascii="Segoe UI" w:hAnsi="Segoe UI" w:cs="Segoe UI"/>
                <w:bCs/>
                <w:color w:val="FFFFFF"/>
                <w:szCs w:val="18"/>
              </w:rPr>
              <w:t>)</w:t>
            </w:r>
            <w:r w:rsidRPr="00292462">
              <w:rPr>
                <w:rFonts w:ascii="Segoe UI" w:hAnsi="Segoe UI" w:cs="Segoe UI"/>
                <w:color w:val="FFFFFF"/>
                <w:szCs w:val="18"/>
              </w:rPr>
              <w:t> </w:t>
            </w:r>
          </w:p>
        </w:tc>
      </w:tr>
      <w:tr w14:paraId="0DBA13E8" w14:textId="77777777" w:rsidTr="00A25221">
        <w:tblPrEx>
          <w:tblW w:w="9348" w:type="dxa"/>
          <w:tblCellMar>
            <w:left w:w="0" w:type="dxa"/>
            <w:right w:w="0" w:type="dxa"/>
          </w:tblCellMar>
          <w:tblLook w:val="04A0"/>
        </w:tblPrEx>
        <w:trPr>
          <w:trHeight w:val="15"/>
        </w:trPr>
        <w:tc>
          <w:tcPr>
            <w:tcW w:w="9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381EB95E"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School type </w:t>
            </w:r>
          </w:p>
        </w:tc>
      </w:tr>
      <w:tr w14:paraId="7606F19B"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369A6D12" w14:textId="77777777">
            <w:pPr>
              <w:pStyle w:val="TableTextIndent"/>
              <w:rPr>
                <w:rFonts w:ascii="Times New Roman" w:hAnsi="Times New Roman"/>
              </w:rPr>
            </w:pPr>
            <w:r w:rsidRPr="00292462">
              <w:t>Elementary</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D571172" w14:textId="77777777">
            <w:pPr>
              <w:pStyle w:val="TableTextDecimal"/>
              <w:tabs>
                <w:tab w:val="clear" w:pos="576"/>
                <w:tab w:val="decimal" w:pos="1140"/>
              </w:tabs>
            </w:pPr>
            <w:r w:rsidRPr="00E40D5C">
              <w:t>487 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70452E4F" w14:textId="77777777">
            <w:pPr>
              <w:pStyle w:val="TableTextDecimal"/>
              <w:tabs>
                <w:tab w:val="clear" w:pos="576"/>
                <w:tab w:val="decimal" w:pos="682"/>
              </w:tabs>
            </w:pPr>
            <w:r w:rsidRPr="00E40D5C">
              <w:t>6.</w:t>
            </w:r>
            <w:r>
              <w:t>8</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90E7C1F" w14:textId="77777777">
            <w:pPr>
              <w:pStyle w:val="TableTextDecimal"/>
              <w:tabs>
                <w:tab w:val="clear" w:pos="576"/>
                <w:tab w:val="decimal" w:pos="1020"/>
              </w:tabs>
            </w:pPr>
            <w:r w:rsidRPr="00E40D5C">
              <w:t>358 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BBC68A3" w14:textId="77777777">
            <w:pPr>
              <w:pStyle w:val="TableTextDecimal"/>
              <w:tabs>
                <w:tab w:val="clear" w:pos="576"/>
                <w:tab w:val="decimal" w:pos="682"/>
              </w:tabs>
            </w:pPr>
            <w:r>
              <w:t>8.0</w:t>
            </w:r>
          </w:p>
        </w:tc>
      </w:tr>
      <w:tr w14:paraId="7CCABB47"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036FB096" w14:textId="77777777">
            <w:pPr>
              <w:pStyle w:val="TableTextIndent"/>
              <w:rPr>
                <w:rFonts w:ascii="Times New Roman" w:hAnsi="Times New Roman"/>
              </w:rPr>
            </w:pPr>
            <w:r w:rsidRPr="00292462">
              <w:t>Middle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6ED625E8" w14:textId="77777777">
            <w:pPr>
              <w:pStyle w:val="TableTextDecimal"/>
              <w:tabs>
                <w:tab w:val="clear" w:pos="576"/>
                <w:tab w:val="decimal" w:pos="1140"/>
              </w:tabs>
            </w:pPr>
            <w:r w:rsidRPr="00E40D5C">
              <w:t>241 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879370F" w14:textId="77777777">
            <w:pPr>
              <w:pStyle w:val="TableTextDecimal"/>
              <w:tabs>
                <w:tab w:val="clear" w:pos="576"/>
                <w:tab w:val="decimal" w:pos="682"/>
              </w:tabs>
            </w:pPr>
            <w:r w:rsidRPr="00E40D5C">
              <w:t>9.</w:t>
            </w:r>
            <w:r>
              <w:t>7</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4D420501" w14:textId="77777777">
            <w:pPr>
              <w:pStyle w:val="TableTextDecimal"/>
              <w:tabs>
                <w:tab w:val="clear" w:pos="576"/>
                <w:tab w:val="decimal" w:pos="1020"/>
              </w:tabs>
            </w:pPr>
            <w:r w:rsidRPr="00E40D5C">
              <w:t>188 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8C6C6EF" w14:textId="77777777">
            <w:pPr>
              <w:pStyle w:val="TableTextDecimal"/>
              <w:tabs>
                <w:tab w:val="clear" w:pos="576"/>
                <w:tab w:val="decimal" w:pos="682"/>
              </w:tabs>
            </w:pPr>
            <w:r>
              <w:t>11.0</w:t>
            </w:r>
          </w:p>
        </w:tc>
      </w:tr>
      <w:tr w14:paraId="2E71F27C"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087F87C2" w14:textId="77777777">
            <w:pPr>
              <w:pStyle w:val="TableTextIndent"/>
              <w:rPr>
                <w:rFonts w:ascii="Times New Roman" w:hAnsi="Times New Roman"/>
              </w:rPr>
            </w:pPr>
            <w:r w:rsidRPr="00292462">
              <w:t>High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F87E5C9" w14:textId="77777777">
            <w:pPr>
              <w:pStyle w:val="TableTextDecimal"/>
              <w:tabs>
                <w:tab w:val="clear" w:pos="576"/>
                <w:tab w:val="decimal" w:pos="1140"/>
              </w:tabs>
            </w:pPr>
            <w:r w:rsidRPr="00E40D5C">
              <w:t>332 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3B870E5C" w14:textId="77777777">
            <w:pPr>
              <w:pStyle w:val="TableTextDecimal"/>
              <w:tabs>
                <w:tab w:val="clear" w:pos="576"/>
                <w:tab w:val="decimal" w:pos="682"/>
              </w:tabs>
            </w:pPr>
            <w:r w:rsidRPr="00E40D5C">
              <w:t>8.3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473EBE0E" w14:textId="77777777">
            <w:pPr>
              <w:pStyle w:val="TableTextDecimal"/>
              <w:tabs>
                <w:tab w:val="clear" w:pos="576"/>
                <w:tab w:val="decimal" w:pos="1020"/>
              </w:tabs>
            </w:pPr>
            <w:r w:rsidRPr="00E40D5C">
              <w:t>249 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4D0E08BC" w14:textId="77777777">
            <w:pPr>
              <w:pStyle w:val="TableTextDecimal"/>
              <w:tabs>
                <w:tab w:val="clear" w:pos="576"/>
                <w:tab w:val="decimal" w:pos="682"/>
              </w:tabs>
            </w:pPr>
            <w:r>
              <w:t>9.6</w:t>
            </w:r>
          </w:p>
        </w:tc>
      </w:tr>
      <w:tr w14:paraId="41295B03" w14:textId="77777777" w:rsidTr="00A25221">
        <w:tblPrEx>
          <w:tblW w:w="9348" w:type="dxa"/>
          <w:tblCellMar>
            <w:left w:w="0" w:type="dxa"/>
            <w:right w:w="0" w:type="dxa"/>
          </w:tblCellMar>
          <w:tblLook w:val="04A0"/>
        </w:tblPrEx>
        <w:trPr>
          <w:trHeight w:val="15"/>
        </w:trPr>
        <w:tc>
          <w:tcPr>
            <w:tcW w:w="9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64703EE2"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Urbanicity </w:t>
            </w:r>
          </w:p>
        </w:tc>
      </w:tr>
      <w:tr w14:paraId="528F5CD2"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6A95660B" w14:textId="77777777">
            <w:pPr>
              <w:pStyle w:val="TableTextIndent"/>
              <w:rPr>
                <w:rFonts w:ascii="Times New Roman" w:hAnsi="Times New Roman"/>
              </w:rPr>
            </w:pPr>
            <w:r w:rsidRPr="00292462">
              <w:t>Urban</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07899AE" w14:textId="77777777">
            <w:pPr>
              <w:pStyle w:val="TableTextDecimal"/>
              <w:tabs>
                <w:tab w:val="clear" w:pos="576"/>
                <w:tab w:val="decimal" w:pos="1140"/>
              </w:tabs>
            </w:pPr>
            <w:r w:rsidRPr="00E40D5C">
              <w:t>409 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DAC47FB" w14:textId="77777777">
            <w:pPr>
              <w:pStyle w:val="TableTextDecimal"/>
              <w:tabs>
                <w:tab w:val="clear" w:pos="576"/>
                <w:tab w:val="decimal" w:pos="682"/>
              </w:tabs>
            </w:pPr>
            <w:r w:rsidRPr="00E40D5C">
              <w:t>7.5 </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455242A0" w14:textId="77777777">
            <w:pPr>
              <w:pStyle w:val="TableTextDecimal"/>
              <w:tabs>
                <w:tab w:val="clear" w:pos="576"/>
                <w:tab w:val="decimal" w:pos="1020"/>
              </w:tabs>
            </w:pPr>
            <w:r w:rsidRPr="00E40D5C">
              <w:t>317 </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FD2BC51" w14:textId="77777777">
            <w:pPr>
              <w:pStyle w:val="TableTextDecimal"/>
              <w:tabs>
                <w:tab w:val="clear" w:pos="576"/>
                <w:tab w:val="decimal" w:pos="682"/>
              </w:tabs>
            </w:pPr>
            <w:r>
              <w:t>8.5</w:t>
            </w:r>
          </w:p>
        </w:tc>
      </w:tr>
      <w:tr w14:paraId="63D45833" w14:textId="77777777" w:rsidTr="00390F68">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vAlign w:val="center"/>
            <w:hideMark/>
          </w:tcPr>
          <w:p w:rsidR="00687FE8" w:rsidRPr="00292462" w:rsidP="00E40D5C" w14:paraId="60E8C59F" w14:textId="77777777">
            <w:pPr>
              <w:pStyle w:val="TableTextIndent"/>
              <w:rPr>
                <w:rFonts w:ascii="Times New Roman" w:hAnsi="Times New Roman"/>
              </w:rPr>
            </w:pPr>
            <w:r w:rsidRPr="00292462">
              <w:t>Rural</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vAlign w:val="center"/>
            <w:hideMark/>
          </w:tcPr>
          <w:p w:rsidR="00687FE8" w:rsidRPr="00390F68" w:rsidP="00E40D5C" w14:paraId="5CF23CBA" w14:textId="77777777">
            <w:pPr>
              <w:pStyle w:val="TableTextDecimal"/>
              <w:tabs>
                <w:tab w:val="clear" w:pos="576"/>
                <w:tab w:val="decimal" w:pos="1140"/>
              </w:tabs>
            </w:pPr>
            <w:r w:rsidRPr="00390F68">
              <w:t>653</w:t>
            </w:r>
          </w:p>
        </w:tc>
        <w:tc>
          <w:tcPr>
            <w:tcW w:w="1573" w:type="dxa"/>
            <w:tcBorders>
              <w:top w:val="single" w:sz="4" w:space="0" w:color="auto"/>
              <w:left w:val="single" w:sz="4" w:space="0" w:color="auto"/>
              <w:bottom w:val="single" w:sz="4" w:space="0" w:color="auto"/>
              <w:right w:val="single" w:sz="4" w:space="0" w:color="auto"/>
            </w:tcBorders>
            <w:vAlign w:val="center"/>
            <w:hideMark/>
          </w:tcPr>
          <w:p w:rsidR="00687FE8" w:rsidRPr="00390F68" w:rsidP="00A21EAE" w14:paraId="54108ED9" w14:textId="77777777">
            <w:pPr>
              <w:pStyle w:val="TableTextDecimal"/>
              <w:tabs>
                <w:tab w:val="clear" w:pos="576"/>
                <w:tab w:val="decimal" w:pos="682"/>
              </w:tabs>
            </w:pPr>
            <w:r w:rsidRPr="00390F68">
              <w:t>5.9</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A21EAE" w14:paraId="1A450E86" w14:textId="77777777">
            <w:pPr>
              <w:pStyle w:val="TableTextDecimal"/>
              <w:tabs>
                <w:tab w:val="clear" w:pos="576"/>
                <w:tab w:val="decimal" w:pos="1020"/>
              </w:tabs>
            </w:pPr>
            <w:r w:rsidRPr="00390F68">
              <w:t>479 </w:t>
            </w:r>
          </w:p>
        </w:tc>
        <w:tc>
          <w:tcPr>
            <w:tcW w:w="1140" w:type="dxa"/>
            <w:tcBorders>
              <w:top w:val="single" w:sz="4" w:space="0" w:color="auto"/>
              <w:left w:val="single" w:sz="4" w:space="0" w:color="auto"/>
              <w:bottom w:val="single" w:sz="4" w:space="0" w:color="auto"/>
              <w:right w:val="single" w:sz="4" w:space="0" w:color="auto"/>
            </w:tcBorders>
            <w:vAlign w:val="center"/>
            <w:hideMark/>
          </w:tcPr>
          <w:p w:rsidR="00687FE8" w:rsidRPr="00E40D5C" w:rsidP="00A21EAE" w14:paraId="664AEF89" w14:textId="77777777">
            <w:pPr>
              <w:pStyle w:val="TableTextDecimal"/>
              <w:tabs>
                <w:tab w:val="clear" w:pos="576"/>
                <w:tab w:val="decimal" w:pos="682"/>
              </w:tabs>
            </w:pPr>
            <w:r w:rsidRPr="00E40D5C">
              <w:t>6.</w:t>
            </w:r>
            <w:r>
              <w:t>9</w:t>
            </w:r>
          </w:p>
        </w:tc>
      </w:tr>
      <w:tr w14:paraId="4B53816C" w14:textId="77777777" w:rsidTr="00A25221">
        <w:tblPrEx>
          <w:tblW w:w="9348" w:type="dxa"/>
          <w:tblCellMar>
            <w:left w:w="0" w:type="dxa"/>
            <w:right w:w="0" w:type="dxa"/>
          </w:tblCellMar>
          <w:tblLook w:val="04A0"/>
        </w:tblPrEx>
        <w:trPr>
          <w:trHeight w:val="15"/>
        </w:trPr>
        <w:tc>
          <w:tcPr>
            <w:tcW w:w="9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390F68" w:rsidP="009B5450" w14:paraId="644878E9" w14:textId="77777777">
            <w:pPr>
              <w:keepNext/>
              <w:spacing w:before="60" w:after="60" w:line="240" w:lineRule="auto"/>
              <w:ind w:firstLine="0"/>
              <w:rPr>
                <w:rFonts w:ascii="Arial" w:hAnsi="Arial" w:cs="Arial"/>
                <w:b/>
                <w:sz w:val="18"/>
                <w:szCs w:val="18"/>
              </w:rPr>
            </w:pPr>
            <w:r w:rsidRPr="00390F68">
              <w:rPr>
                <w:rFonts w:ascii="Arial" w:hAnsi="Arial" w:cs="Arial"/>
                <w:b/>
                <w:sz w:val="18"/>
                <w:szCs w:val="18"/>
              </w:rPr>
              <w:t>Racial/ethnic distribution of students (mean %) </w:t>
            </w:r>
          </w:p>
        </w:tc>
      </w:tr>
      <w:tr w14:paraId="257DDC81" w14:textId="77777777" w:rsidTr="00390F68">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5D98F2F6" w14:textId="77777777">
            <w:pPr>
              <w:pStyle w:val="TableTextIndent"/>
              <w:rPr>
                <w:rFonts w:ascii="Times New Roman" w:hAnsi="Times New Roman"/>
              </w:rPr>
            </w:pPr>
            <w:r w:rsidRPr="00292462">
              <w:t>Non-Hispanic Black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E40D5C" w14:paraId="4FADA254" w14:textId="77777777">
            <w:pPr>
              <w:pStyle w:val="TableTextDecimal"/>
              <w:tabs>
                <w:tab w:val="clear" w:pos="576"/>
                <w:tab w:val="decimal" w:pos="1140"/>
              </w:tabs>
            </w:pPr>
            <w:r w:rsidRPr="00390F68">
              <w:t>111</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14:paraId="53395DFC" w14:textId="77777777">
            <w:pPr>
              <w:pStyle w:val="TableTextDecimal"/>
              <w:tabs>
                <w:tab w:val="clear" w:pos="576"/>
                <w:tab w:val="decimal" w:pos="604"/>
              </w:tabs>
              <w:spacing w:before="20" w:line="240" w:lineRule="atLeast"/>
              <w:rPr>
                <w:rFonts w:ascii="Segoe UI" w:eastAsia="Segoe UI" w:hAnsi="Segoe UI" w:cs="Segoe UI"/>
                <w:szCs w:val="18"/>
              </w:rPr>
            </w:pPr>
            <w:r w:rsidRPr="00390F68">
              <w:rPr>
                <w:rFonts w:ascii="Segoe UI" w:eastAsia="Segoe UI" w:hAnsi="Segoe UI" w:cs="Segoe UI"/>
                <w:szCs w:val="18"/>
              </w:rPr>
              <w:t>14.3</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A21EAE" w14:paraId="5AD774D9" w14:textId="77777777">
            <w:pPr>
              <w:pStyle w:val="TableTextDecimal"/>
              <w:tabs>
                <w:tab w:val="clear" w:pos="576"/>
                <w:tab w:val="decimal" w:pos="1020"/>
              </w:tabs>
            </w:pPr>
            <w:r w:rsidRPr="00390F68">
              <w:t>83</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5F2E90CD" w14:paraId="16AA7CAE" w14:textId="77777777">
            <w:pPr>
              <w:pStyle w:val="TableTextDecimal"/>
              <w:tabs>
                <w:tab w:val="clear" w:pos="576"/>
                <w:tab w:val="decimal" w:pos="604"/>
              </w:tabs>
              <w:spacing w:before="20" w:line="240" w:lineRule="atLeast"/>
              <w:rPr>
                <w:rFonts w:ascii="Segoe UI" w:eastAsia="Segoe UI" w:hAnsi="Segoe UI" w:cs="Segoe UI"/>
                <w:szCs w:val="18"/>
              </w:rPr>
            </w:pPr>
            <w:r w:rsidRPr="5F2E90CD">
              <w:rPr>
                <w:rFonts w:ascii="Segoe UI" w:eastAsia="Segoe UI" w:hAnsi="Segoe UI" w:cs="Segoe UI"/>
                <w:szCs w:val="18"/>
              </w:rPr>
              <w:t>16.6</w:t>
            </w:r>
          </w:p>
        </w:tc>
      </w:tr>
      <w:tr w14:paraId="415FAF7C" w14:textId="77777777" w:rsidTr="00390F68">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68810AAA" w14:textId="77777777">
            <w:pPr>
              <w:pStyle w:val="TableTextIndent"/>
              <w:rPr>
                <w:rFonts w:ascii="Times New Roman" w:hAnsi="Times New Roman"/>
              </w:rPr>
            </w:pPr>
            <w:r w:rsidRPr="00292462">
              <w:t>Non-Hispanic White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E40D5C" w14:paraId="398318BD" w14:textId="77777777">
            <w:pPr>
              <w:pStyle w:val="TableTextDecimal"/>
              <w:tabs>
                <w:tab w:val="clear" w:pos="576"/>
                <w:tab w:val="decimal" w:pos="1140"/>
              </w:tabs>
            </w:pPr>
            <w:r w:rsidRPr="00390F68">
              <w:t>663</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14:paraId="7558E399" w14:textId="77777777">
            <w:pPr>
              <w:pStyle w:val="TableTextDecimal"/>
              <w:tabs>
                <w:tab w:val="clear" w:pos="576"/>
                <w:tab w:val="decimal" w:pos="604"/>
              </w:tabs>
              <w:spacing w:before="20" w:line="240" w:lineRule="atLeast"/>
              <w:rPr>
                <w:rFonts w:ascii="Segoe UI" w:eastAsia="Segoe UI" w:hAnsi="Segoe UI" w:cs="Segoe UI"/>
                <w:szCs w:val="18"/>
              </w:rPr>
            </w:pPr>
            <w:r w:rsidRPr="00390F68">
              <w:rPr>
                <w:rFonts w:ascii="Segoe UI" w:eastAsia="Segoe UI" w:hAnsi="Segoe UI" w:cs="Segoe UI"/>
                <w:szCs w:val="18"/>
              </w:rPr>
              <w:t>5.9</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A21EAE" w14:paraId="6E2055B9" w14:textId="77777777">
            <w:pPr>
              <w:pStyle w:val="TableTextDecimal"/>
              <w:tabs>
                <w:tab w:val="clear" w:pos="576"/>
                <w:tab w:val="decimal" w:pos="1020"/>
              </w:tabs>
            </w:pPr>
            <w:r w:rsidRPr="00390F68">
              <w:t>495</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5F2E90CD" w14:paraId="69857ED5" w14:textId="77777777">
            <w:pPr>
              <w:pStyle w:val="TableTextDecimal"/>
              <w:tabs>
                <w:tab w:val="clear" w:pos="576"/>
                <w:tab w:val="decimal" w:pos="604"/>
              </w:tabs>
              <w:spacing w:before="20" w:line="240" w:lineRule="atLeast"/>
              <w:rPr>
                <w:rFonts w:ascii="Segoe UI" w:eastAsia="Segoe UI" w:hAnsi="Segoe UI" w:cs="Segoe UI"/>
                <w:szCs w:val="18"/>
              </w:rPr>
            </w:pPr>
            <w:r w:rsidRPr="5F2E90CD">
              <w:rPr>
                <w:rFonts w:ascii="Segoe UI" w:eastAsia="Segoe UI" w:hAnsi="Segoe UI" w:cs="Segoe UI"/>
                <w:szCs w:val="18"/>
              </w:rPr>
              <w:t>6.8</w:t>
            </w:r>
          </w:p>
        </w:tc>
      </w:tr>
      <w:tr w14:paraId="56986B78" w14:textId="77777777" w:rsidTr="00390F68">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0EDBF66D" w14:textId="77777777">
            <w:pPr>
              <w:pStyle w:val="TableTextIndent"/>
              <w:rPr>
                <w:rFonts w:ascii="Times New Roman" w:hAnsi="Times New Roman"/>
              </w:rPr>
            </w:pPr>
            <w:r w:rsidRPr="00292462">
              <w:t>Hispanic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E40D5C" w14:paraId="278966ED" w14:textId="77777777">
            <w:pPr>
              <w:pStyle w:val="TableTextDecimal"/>
              <w:tabs>
                <w:tab w:val="clear" w:pos="576"/>
                <w:tab w:val="decimal" w:pos="1140"/>
              </w:tabs>
            </w:pPr>
            <w:r w:rsidRPr="00390F68">
              <w:t>189</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14:paraId="5D3E55D5" w14:textId="77777777">
            <w:pPr>
              <w:pStyle w:val="TableTextDecimal"/>
              <w:tabs>
                <w:tab w:val="clear" w:pos="576"/>
                <w:tab w:val="decimal" w:pos="604"/>
              </w:tabs>
              <w:spacing w:before="20" w:line="240" w:lineRule="atLeast"/>
              <w:rPr>
                <w:rFonts w:ascii="Segoe UI" w:eastAsia="Segoe UI" w:hAnsi="Segoe UI" w:cs="Segoe UI"/>
                <w:szCs w:val="18"/>
              </w:rPr>
            </w:pPr>
            <w:r w:rsidRPr="00390F68">
              <w:rPr>
                <w:rFonts w:ascii="Segoe UI" w:eastAsia="Segoe UI" w:hAnsi="Segoe UI" w:cs="Segoe UI"/>
                <w:szCs w:val="18"/>
              </w:rPr>
              <w:t>11.0</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A21EAE" w14:paraId="3B6FAE03" w14:textId="77777777">
            <w:pPr>
              <w:pStyle w:val="TableTextDecimal"/>
              <w:tabs>
                <w:tab w:val="clear" w:pos="576"/>
                <w:tab w:val="decimal" w:pos="1020"/>
              </w:tabs>
            </w:pPr>
            <w:r w:rsidRPr="00390F68">
              <w:t>136</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5F2E90CD" w14:paraId="46737691" w14:textId="77777777">
            <w:pPr>
              <w:pStyle w:val="TableTextDecimal"/>
              <w:tabs>
                <w:tab w:val="clear" w:pos="576"/>
                <w:tab w:val="decimal" w:pos="604"/>
              </w:tabs>
              <w:spacing w:before="20" w:line="240" w:lineRule="atLeast"/>
              <w:rPr>
                <w:rFonts w:ascii="Segoe UI" w:eastAsia="Segoe UI" w:hAnsi="Segoe UI" w:cs="Segoe UI"/>
                <w:szCs w:val="18"/>
              </w:rPr>
            </w:pPr>
            <w:r w:rsidRPr="5F2E90CD">
              <w:rPr>
                <w:rFonts w:ascii="Segoe UI" w:eastAsia="Segoe UI" w:hAnsi="Segoe UI" w:cs="Segoe UI"/>
                <w:szCs w:val="18"/>
              </w:rPr>
              <w:t>13.0</w:t>
            </w:r>
          </w:p>
        </w:tc>
      </w:tr>
      <w:tr w14:paraId="7AB9C87C" w14:textId="77777777" w:rsidTr="00390F68">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305FCFC8" w14:textId="77777777">
            <w:pPr>
              <w:pStyle w:val="TableTextIndent"/>
              <w:rPr>
                <w:rFonts w:ascii="Times New Roman" w:hAnsi="Times New Roman"/>
              </w:rPr>
            </w:pPr>
            <w:r w:rsidRPr="00292462">
              <w:t>Other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E40D5C" w14:paraId="66B308CA" w14:textId="77777777">
            <w:pPr>
              <w:pStyle w:val="TableTextDecimal"/>
              <w:tabs>
                <w:tab w:val="clear" w:pos="576"/>
                <w:tab w:val="decimal" w:pos="1140"/>
              </w:tabs>
            </w:pPr>
            <w:r w:rsidRPr="00390F68">
              <w:t>98</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14:paraId="7D65251D" w14:textId="77777777">
            <w:pPr>
              <w:pStyle w:val="TableTextDecimal"/>
              <w:tabs>
                <w:tab w:val="clear" w:pos="576"/>
                <w:tab w:val="decimal" w:pos="604"/>
              </w:tabs>
              <w:spacing w:before="20" w:line="240" w:lineRule="atLeast"/>
              <w:rPr>
                <w:rFonts w:ascii="Segoe UI" w:eastAsia="Segoe UI" w:hAnsi="Segoe UI" w:cs="Segoe UI"/>
                <w:szCs w:val="18"/>
              </w:rPr>
            </w:pPr>
            <w:r w:rsidRPr="00390F68">
              <w:rPr>
                <w:rFonts w:ascii="Segoe UI" w:eastAsia="Segoe UI" w:hAnsi="Segoe UI" w:cs="Segoe UI"/>
                <w:szCs w:val="18"/>
              </w:rPr>
              <w:t>15.2</w:t>
            </w:r>
          </w:p>
        </w:tc>
        <w:tc>
          <w:tcPr>
            <w:tcW w:w="16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390F68" w:rsidP="00A21EAE" w14:paraId="2C4DD3C8" w14:textId="77777777">
            <w:pPr>
              <w:pStyle w:val="TableTextDecimal"/>
              <w:tabs>
                <w:tab w:val="clear" w:pos="576"/>
                <w:tab w:val="decimal" w:pos="1020"/>
              </w:tabs>
            </w:pPr>
            <w:r w:rsidRPr="00390F68">
              <w:t>82</w:t>
            </w:r>
          </w:p>
        </w:tc>
        <w:tc>
          <w:tcPr>
            <w:tcW w:w="11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5F2E90CD" w14:paraId="40C25814" w14:textId="77777777">
            <w:pPr>
              <w:pStyle w:val="TableTextDecimal"/>
              <w:tabs>
                <w:tab w:val="clear" w:pos="576"/>
                <w:tab w:val="decimal" w:pos="604"/>
              </w:tabs>
              <w:spacing w:before="20" w:line="240" w:lineRule="atLeast"/>
              <w:rPr>
                <w:rFonts w:ascii="Segoe UI" w:eastAsia="Segoe UI" w:hAnsi="Segoe UI" w:cs="Segoe UI"/>
                <w:szCs w:val="18"/>
              </w:rPr>
            </w:pPr>
            <w:r w:rsidRPr="5F2E90CD">
              <w:rPr>
                <w:rFonts w:ascii="Segoe UI" w:eastAsia="Segoe UI" w:hAnsi="Segoe UI" w:cs="Segoe UI"/>
                <w:szCs w:val="18"/>
              </w:rPr>
              <w:t>16.7</w:t>
            </w:r>
          </w:p>
        </w:tc>
      </w:tr>
      <w:tr w14:paraId="619E18B8" w14:textId="77777777" w:rsidTr="00A25221">
        <w:tblPrEx>
          <w:tblW w:w="9348" w:type="dxa"/>
          <w:tblCellMar>
            <w:left w:w="0" w:type="dxa"/>
            <w:right w:w="0" w:type="dxa"/>
          </w:tblCellMar>
          <w:tblLook w:val="04A0"/>
        </w:tblPrEx>
        <w:trPr>
          <w:trHeight w:val="15"/>
        </w:trPr>
        <w:tc>
          <w:tcPr>
            <w:tcW w:w="9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444D395A"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Students approved for free/reduced-price meals </w:t>
            </w:r>
          </w:p>
        </w:tc>
      </w:tr>
      <w:tr w14:paraId="661293CF"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092741AF" w14:textId="77777777">
            <w:pPr>
              <w:pStyle w:val="TableTextIndent"/>
              <w:rPr>
                <w:rFonts w:ascii="Times New Roman" w:hAnsi="Times New Roman"/>
              </w:rPr>
            </w:pPr>
            <w:r w:rsidRPr="00292462">
              <w:t>0</w:t>
            </w:r>
            <w:r>
              <w:rPr>
                <w:rFonts w:ascii="Segoe UI" w:hAnsi="Segoe UI" w:cs="Segoe UI"/>
                <w:color w:val="000000"/>
                <w:szCs w:val="18"/>
              </w:rPr>
              <w:t>–</w:t>
            </w:r>
            <w:r w:rsidRPr="00292462">
              <w:rPr>
                <w:rFonts w:ascii="Segoe UI" w:hAnsi="Segoe UI" w:cs="Segoe UI"/>
                <w:color w:val="000000"/>
                <w:szCs w:val="18"/>
              </w:rPr>
              <w:t>45 percent</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420F8D32" w14:textId="77777777">
            <w:pPr>
              <w:pStyle w:val="TableTextDecimal"/>
              <w:tabs>
                <w:tab w:val="clear" w:pos="576"/>
                <w:tab w:val="decimal" w:pos="1140"/>
              </w:tabs>
            </w:pPr>
            <w:r w:rsidRPr="00E40D5C">
              <w:t>384 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69A8A0F6" w14:textId="77777777">
            <w:pPr>
              <w:pStyle w:val="TableTextDecimal"/>
              <w:tabs>
                <w:tab w:val="clear" w:pos="576"/>
                <w:tab w:val="decimal" w:pos="682"/>
              </w:tabs>
            </w:pPr>
            <w:r w:rsidRPr="00E40D5C">
              <w:t>7.</w:t>
            </w:r>
            <w:r>
              <w:t>7</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0533E97E" w14:textId="77777777">
            <w:pPr>
              <w:pStyle w:val="TableTextDecimal"/>
              <w:tabs>
                <w:tab w:val="clear" w:pos="576"/>
                <w:tab w:val="decimal" w:pos="1020"/>
              </w:tabs>
            </w:pPr>
            <w:r>
              <w:t>283</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33913E5F" w14:textId="77777777">
            <w:pPr>
              <w:pStyle w:val="TableTextDecimal"/>
              <w:tabs>
                <w:tab w:val="clear" w:pos="576"/>
                <w:tab w:val="decimal" w:pos="682"/>
              </w:tabs>
            </w:pPr>
            <w:r>
              <w:t>9.0</w:t>
            </w:r>
          </w:p>
        </w:tc>
      </w:tr>
      <w:tr w14:paraId="6983EB5E"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71BD491C" w14:textId="77777777">
            <w:pPr>
              <w:pStyle w:val="TableTextIndent"/>
              <w:rPr>
                <w:rFonts w:ascii="Times New Roman" w:hAnsi="Times New Roman"/>
              </w:rPr>
            </w:pPr>
            <w:r w:rsidRPr="7187456A">
              <w:t>46</w:t>
            </w:r>
            <w:r>
              <w:rPr>
                <w:rFonts w:ascii="Segoe UI" w:hAnsi="Segoe UI" w:cs="Segoe UI"/>
                <w:szCs w:val="18"/>
              </w:rPr>
              <w:t>–</w:t>
            </w:r>
            <w:r w:rsidRPr="7187456A">
              <w:rPr>
                <w:rFonts w:ascii="Segoe UI" w:hAnsi="Segoe UI" w:cs="Segoe UI"/>
                <w:szCs w:val="18"/>
              </w:rPr>
              <w:t>63 percent</w:t>
            </w:r>
            <w:r w:rsidRPr="00A30F51">
              <w:rPr>
                <w:rFonts w:ascii="Segoe UI" w:hAnsi="Segoe UI" w:cs="Segoe UI"/>
                <w:szCs w:val="18"/>
                <w:vertAlign w:val="superscript"/>
              </w:rPr>
              <w:t>a</w:t>
            </w:r>
            <w:r w:rsidRPr="7187456A">
              <w:rPr>
                <w:rFonts w:ascii="Segoe UI" w:hAnsi="Segoe UI" w:cs="Segoe UI"/>
                <w:szCs w:val="18"/>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5AA9A02" w14:textId="77777777">
            <w:pPr>
              <w:pStyle w:val="TableTextDecimal"/>
              <w:tabs>
                <w:tab w:val="clear" w:pos="576"/>
                <w:tab w:val="decimal" w:pos="1140"/>
              </w:tabs>
            </w:pPr>
            <w:r w:rsidRPr="00E40D5C">
              <w:t>294 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CE2E250" w14:textId="77777777">
            <w:pPr>
              <w:pStyle w:val="TableTextDecimal"/>
              <w:tabs>
                <w:tab w:val="clear" w:pos="576"/>
                <w:tab w:val="decimal" w:pos="682"/>
              </w:tabs>
            </w:pPr>
            <w:r w:rsidRPr="00E40D5C">
              <w:t>8.</w:t>
            </w:r>
            <w:r>
              <w:t>8</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71121FB" w14:textId="77777777">
            <w:pPr>
              <w:pStyle w:val="TableTextDecimal"/>
              <w:tabs>
                <w:tab w:val="clear" w:pos="576"/>
                <w:tab w:val="decimal" w:pos="1020"/>
              </w:tabs>
            </w:pPr>
            <w:r w:rsidRPr="00E40D5C">
              <w:t>232 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57516B08" w14:textId="77777777">
            <w:pPr>
              <w:pStyle w:val="TableTextDecimal"/>
              <w:tabs>
                <w:tab w:val="clear" w:pos="576"/>
                <w:tab w:val="decimal" w:pos="682"/>
              </w:tabs>
            </w:pPr>
            <w:r>
              <w:t>9.9</w:t>
            </w:r>
          </w:p>
        </w:tc>
      </w:tr>
      <w:tr w14:paraId="70137D33"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04E970B6" w14:textId="77777777">
            <w:pPr>
              <w:pStyle w:val="TableTextIndent"/>
              <w:rPr>
                <w:rFonts w:ascii="Times New Roman" w:hAnsi="Times New Roman"/>
              </w:rPr>
            </w:pPr>
            <w:r w:rsidRPr="00292462">
              <w:t>64 percent or more</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A959764" w14:textId="77777777">
            <w:pPr>
              <w:pStyle w:val="TableTextDecimal"/>
              <w:tabs>
                <w:tab w:val="clear" w:pos="576"/>
                <w:tab w:val="decimal" w:pos="1140"/>
              </w:tabs>
            </w:pPr>
            <w:r w:rsidRPr="00E40D5C">
              <w:t>383 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7DD7D52" w14:textId="77777777">
            <w:pPr>
              <w:pStyle w:val="TableTextDecimal"/>
              <w:tabs>
                <w:tab w:val="clear" w:pos="576"/>
                <w:tab w:val="decimal" w:pos="682"/>
              </w:tabs>
            </w:pPr>
            <w:r w:rsidRPr="00E40D5C">
              <w:t>7.</w:t>
            </w:r>
            <w:r>
              <w:t>7</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71D69C9" w14:textId="77777777">
            <w:pPr>
              <w:pStyle w:val="TableTextDecimal"/>
              <w:tabs>
                <w:tab w:val="clear" w:pos="576"/>
                <w:tab w:val="decimal" w:pos="1020"/>
              </w:tabs>
            </w:pPr>
            <w:r w:rsidRPr="00E40D5C">
              <w:t>281 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3E702A4C" w14:textId="77777777">
            <w:pPr>
              <w:pStyle w:val="TableTextDecimal"/>
              <w:tabs>
                <w:tab w:val="clear" w:pos="576"/>
                <w:tab w:val="decimal" w:pos="682"/>
              </w:tabs>
            </w:pPr>
            <w:r>
              <w:t>9.0</w:t>
            </w:r>
          </w:p>
        </w:tc>
      </w:tr>
      <w:tr w14:paraId="23C81C73" w14:textId="77777777" w:rsidTr="00A25221">
        <w:tblPrEx>
          <w:tblW w:w="9348" w:type="dxa"/>
          <w:tblCellMar>
            <w:left w:w="0" w:type="dxa"/>
            <w:right w:w="0" w:type="dxa"/>
          </w:tblCellMar>
          <w:tblLook w:val="04A0"/>
        </w:tblPrEx>
        <w:trPr>
          <w:trHeight w:val="15"/>
        </w:trPr>
        <w:tc>
          <w:tcPr>
            <w:tcW w:w="9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36B6F454"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FNS region </w:t>
            </w:r>
          </w:p>
        </w:tc>
      </w:tr>
      <w:tr w14:paraId="3EEF05D0"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4EF82AC3" w14:textId="77777777">
            <w:pPr>
              <w:pStyle w:val="TableTextIndent"/>
              <w:rPr>
                <w:rFonts w:ascii="Times New Roman" w:hAnsi="Times New Roman"/>
              </w:rPr>
            </w:pPr>
            <w:r w:rsidRPr="00292462">
              <w:t>Mid-Atlantic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18D6384" w14:textId="77777777">
            <w:pPr>
              <w:pStyle w:val="TableTextDecimal"/>
              <w:tabs>
                <w:tab w:val="clear" w:pos="576"/>
                <w:tab w:val="decimal" w:pos="1140"/>
              </w:tabs>
            </w:pPr>
            <w:r w:rsidRPr="00E40D5C">
              <w:t>87 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482F8F47" w14:textId="77777777">
            <w:pPr>
              <w:pStyle w:val="TableTextDecimal"/>
              <w:tabs>
                <w:tab w:val="clear" w:pos="576"/>
                <w:tab w:val="decimal" w:pos="682"/>
              </w:tabs>
            </w:pPr>
            <w:r w:rsidRPr="00E40D5C">
              <w:t>16.</w:t>
            </w:r>
            <w:r>
              <w:t>2</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639865D7" w14:textId="77777777">
            <w:pPr>
              <w:pStyle w:val="TableTextDecimal"/>
              <w:tabs>
                <w:tab w:val="clear" w:pos="576"/>
                <w:tab w:val="decimal" w:pos="1020"/>
              </w:tabs>
            </w:pPr>
            <w:r w:rsidRPr="00E40D5C">
              <w:t>60 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6887DB25" w14:textId="77777777">
            <w:pPr>
              <w:pStyle w:val="TableTextDecimal"/>
              <w:tabs>
                <w:tab w:val="clear" w:pos="576"/>
                <w:tab w:val="decimal" w:pos="682"/>
              </w:tabs>
            </w:pPr>
            <w:r>
              <w:t>19.5</w:t>
            </w:r>
          </w:p>
        </w:tc>
      </w:tr>
      <w:tr w14:paraId="4555175D"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72BEE190" w14:textId="77777777">
            <w:pPr>
              <w:pStyle w:val="TableTextIndent"/>
              <w:rPr>
                <w:rFonts w:ascii="Times New Roman" w:hAnsi="Times New Roman"/>
              </w:rPr>
            </w:pPr>
            <w:r w:rsidRPr="00292462">
              <w:t>Midwest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1FE04BD3" w14:textId="77777777">
            <w:pPr>
              <w:pStyle w:val="TableTextDecimal"/>
              <w:tabs>
                <w:tab w:val="clear" w:pos="576"/>
                <w:tab w:val="decimal" w:pos="1140"/>
              </w:tabs>
            </w:pPr>
            <w:r w:rsidRPr="00E40D5C">
              <w:t>226 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AC99087" w14:textId="77777777">
            <w:pPr>
              <w:pStyle w:val="TableTextDecimal"/>
              <w:tabs>
                <w:tab w:val="clear" w:pos="576"/>
                <w:tab w:val="decimal" w:pos="682"/>
              </w:tabs>
            </w:pPr>
            <w:r w:rsidRPr="00E40D5C">
              <w:t>10.</w:t>
            </w:r>
            <w:r>
              <w:t>0</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1BA71B2" w14:textId="77777777">
            <w:pPr>
              <w:pStyle w:val="TableTextDecimal"/>
              <w:tabs>
                <w:tab w:val="clear" w:pos="576"/>
                <w:tab w:val="decimal" w:pos="1020"/>
              </w:tabs>
            </w:pPr>
            <w:r w:rsidRPr="00E40D5C">
              <w:t>179 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08A88DD0" w14:textId="77777777">
            <w:pPr>
              <w:pStyle w:val="TableTextDecimal"/>
              <w:tabs>
                <w:tab w:val="clear" w:pos="576"/>
                <w:tab w:val="decimal" w:pos="682"/>
              </w:tabs>
            </w:pPr>
            <w:r>
              <w:t>11.3</w:t>
            </w:r>
          </w:p>
        </w:tc>
      </w:tr>
      <w:tr w14:paraId="3621BFD5"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6C6E2A77" w14:textId="77777777">
            <w:pPr>
              <w:pStyle w:val="TableTextIndent"/>
              <w:rPr>
                <w:rFonts w:ascii="Times New Roman" w:hAnsi="Times New Roman"/>
              </w:rPr>
            </w:pPr>
            <w:r w:rsidRPr="00292462">
              <w:t>Mountain </w:t>
            </w:r>
            <w:r>
              <w:t>Plains</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96015B5" w14:textId="77777777">
            <w:pPr>
              <w:pStyle w:val="TableTextDecimal"/>
              <w:tabs>
                <w:tab w:val="clear" w:pos="576"/>
                <w:tab w:val="decimal" w:pos="1140"/>
              </w:tabs>
            </w:pPr>
            <w:r w:rsidRPr="00E40D5C">
              <w:t>148 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562DB1F8" w14:textId="77777777">
            <w:pPr>
              <w:pStyle w:val="TableTextDecimal"/>
              <w:tabs>
                <w:tab w:val="clear" w:pos="576"/>
                <w:tab w:val="decimal" w:pos="682"/>
              </w:tabs>
            </w:pPr>
            <w:r w:rsidRPr="00E40D5C">
              <w:t>12.</w:t>
            </w:r>
            <w:r>
              <w:t>4</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3211628B" w14:textId="77777777">
            <w:pPr>
              <w:pStyle w:val="TableTextDecimal"/>
              <w:tabs>
                <w:tab w:val="clear" w:pos="576"/>
                <w:tab w:val="decimal" w:pos="1020"/>
              </w:tabs>
            </w:pPr>
            <w:r w:rsidRPr="00E40D5C">
              <w:t>108 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5FFE341A" w14:textId="77777777">
            <w:pPr>
              <w:pStyle w:val="TableTextDecimal"/>
              <w:tabs>
                <w:tab w:val="clear" w:pos="576"/>
                <w:tab w:val="decimal" w:pos="682"/>
              </w:tabs>
            </w:pPr>
            <w:r>
              <w:t>14.5</w:t>
            </w:r>
          </w:p>
        </w:tc>
      </w:tr>
      <w:tr w14:paraId="78964538"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47C927EB" w14:textId="77777777">
            <w:pPr>
              <w:pStyle w:val="TableTextIndent"/>
              <w:rPr>
                <w:rFonts w:ascii="Times New Roman" w:hAnsi="Times New Roman"/>
              </w:rPr>
            </w:pPr>
            <w:r w:rsidRPr="00292462">
              <w:t>Northeast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0B0D3E89" w14:textId="77777777">
            <w:pPr>
              <w:pStyle w:val="TableTextDecimal"/>
              <w:tabs>
                <w:tab w:val="clear" w:pos="576"/>
                <w:tab w:val="decimal" w:pos="1140"/>
              </w:tabs>
            </w:pPr>
            <w:r w:rsidRPr="00E40D5C">
              <w:t>112 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1624D148" w14:textId="77777777">
            <w:pPr>
              <w:pStyle w:val="TableTextDecimal"/>
              <w:tabs>
                <w:tab w:val="clear" w:pos="576"/>
                <w:tab w:val="decimal" w:pos="682"/>
              </w:tabs>
            </w:pPr>
            <w:r w:rsidRPr="00E40D5C">
              <w:t>14.</w:t>
            </w:r>
            <w:r>
              <w:t>3</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1D7D83E3" w14:textId="77777777">
            <w:pPr>
              <w:pStyle w:val="TableTextDecimal"/>
              <w:tabs>
                <w:tab w:val="clear" w:pos="576"/>
                <w:tab w:val="decimal" w:pos="1020"/>
              </w:tabs>
            </w:pPr>
            <w:r>
              <w:t>85</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3394EF0" w14:textId="77777777">
            <w:pPr>
              <w:pStyle w:val="TableTextDecimal"/>
              <w:tabs>
                <w:tab w:val="clear" w:pos="576"/>
                <w:tab w:val="decimal" w:pos="682"/>
              </w:tabs>
            </w:pPr>
            <w:r>
              <w:t>16.4</w:t>
            </w:r>
          </w:p>
        </w:tc>
      </w:tr>
      <w:tr w14:paraId="25ED635C"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37EA753F" w14:textId="77777777">
            <w:pPr>
              <w:pStyle w:val="TableTextIndent"/>
              <w:rPr>
                <w:rFonts w:ascii="Times New Roman" w:hAnsi="Times New Roman"/>
              </w:rPr>
            </w:pPr>
            <w:r w:rsidRPr="00292462">
              <w:t>Southeast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38A0CE20" w14:textId="77777777">
            <w:pPr>
              <w:pStyle w:val="TableTextDecimal"/>
              <w:tabs>
                <w:tab w:val="clear" w:pos="576"/>
                <w:tab w:val="decimal" w:pos="1140"/>
              </w:tabs>
            </w:pPr>
            <w:r w:rsidRPr="00E40D5C">
              <w:t>167 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0C106C1B" w14:textId="77777777">
            <w:pPr>
              <w:pStyle w:val="TableTextDecimal"/>
              <w:tabs>
                <w:tab w:val="clear" w:pos="576"/>
                <w:tab w:val="decimal" w:pos="682"/>
              </w:tabs>
            </w:pPr>
            <w:r w:rsidRPr="00E40D5C">
              <w:t>11.</w:t>
            </w:r>
            <w:r>
              <w:t>7</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6D101069" w14:textId="77777777">
            <w:pPr>
              <w:pStyle w:val="TableTextDecimal"/>
              <w:tabs>
                <w:tab w:val="clear" w:pos="576"/>
                <w:tab w:val="decimal" w:pos="1020"/>
              </w:tabs>
            </w:pPr>
            <w:r>
              <w:t>128</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1C528CB9" w14:textId="77777777">
            <w:pPr>
              <w:pStyle w:val="TableTextDecimal"/>
              <w:tabs>
                <w:tab w:val="clear" w:pos="576"/>
                <w:tab w:val="decimal" w:pos="682"/>
              </w:tabs>
            </w:pPr>
            <w:r>
              <w:t>13.4</w:t>
            </w:r>
          </w:p>
        </w:tc>
      </w:tr>
      <w:tr w14:paraId="0AD38853"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1F098535" w14:textId="77777777">
            <w:pPr>
              <w:pStyle w:val="TableTextIndent"/>
              <w:rPr>
                <w:rFonts w:ascii="Times New Roman" w:hAnsi="Times New Roman"/>
              </w:rPr>
            </w:pPr>
            <w:r w:rsidRPr="00292462">
              <w:t>Southwest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4B48125A" w14:textId="77777777">
            <w:pPr>
              <w:pStyle w:val="TableTextDecimal"/>
              <w:tabs>
                <w:tab w:val="clear" w:pos="576"/>
                <w:tab w:val="decimal" w:pos="1140"/>
              </w:tabs>
            </w:pPr>
            <w:r w:rsidRPr="00E40D5C">
              <w:t>189 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6F4E734" w14:textId="77777777">
            <w:pPr>
              <w:pStyle w:val="TableTextDecimal"/>
              <w:tabs>
                <w:tab w:val="clear" w:pos="576"/>
                <w:tab w:val="decimal" w:pos="682"/>
              </w:tabs>
            </w:pPr>
            <w:r w:rsidRPr="00E40D5C">
              <w:t>11.</w:t>
            </w:r>
            <w:r>
              <w:t>0</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1C568DEF" w14:textId="77777777">
            <w:pPr>
              <w:pStyle w:val="TableTextDecimal"/>
              <w:tabs>
                <w:tab w:val="clear" w:pos="576"/>
                <w:tab w:val="decimal" w:pos="1020"/>
              </w:tabs>
            </w:pPr>
            <w:r w:rsidRPr="00E40D5C">
              <w:t>142 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3F8FCDB6" w14:textId="77777777">
            <w:pPr>
              <w:pStyle w:val="TableTextDecimal"/>
              <w:tabs>
                <w:tab w:val="clear" w:pos="576"/>
                <w:tab w:val="decimal" w:pos="682"/>
              </w:tabs>
            </w:pPr>
            <w:r>
              <w:t>12.7</w:t>
            </w:r>
          </w:p>
        </w:tc>
      </w:tr>
      <w:tr w14:paraId="215AB629"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70219D62" w14:textId="77777777">
            <w:pPr>
              <w:pStyle w:val="TableTextIndent"/>
              <w:rPr>
                <w:rFonts w:ascii="Times New Roman" w:hAnsi="Times New Roman"/>
              </w:rPr>
            </w:pPr>
            <w:r w:rsidRPr="00292462">
              <w:t>West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549FB282" w14:textId="77777777">
            <w:pPr>
              <w:pStyle w:val="TableTextDecimal"/>
              <w:tabs>
                <w:tab w:val="clear" w:pos="576"/>
                <w:tab w:val="decimal" w:pos="1140"/>
              </w:tabs>
            </w:pPr>
            <w:r w:rsidRPr="00E40D5C">
              <w:t>132 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0D901373" w14:textId="77777777">
            <w:pPr>
              <w:pStyle w:val="TableTextDecimal"/>
              <w:tabs>
                <w:tab w:val="clear" w:pos="576"/>
                <w:tab w:val="decimal" w:pos="682"/>
              </w:tabs>
            </w:pPr>
            <w:r w:rsidRPr="00E40D5C">
              <w:t>13.</w:t>
            </w:r>
            <w:r>
              <w:t>1</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6B46DDAB" w14:textId="77777777">
            <w:pPr>
              <w:pStyle w:val="TableTextDecimal"/>
              <w:tabs>
                <w:tab w:val="clear" w:pos="576"/>
                <w:tab w:val="decimal" w:pos="1020"/>
              </w:tabs>
            </w:pPr>
            <w:r w:rsidRPr="00E40D5C">
              <w:t>94 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18B2E07C" w14:textId="77777777">
            <w:pPr>
              <w:pStyle w:val="TableTextDecimal"/>
              <w:tabs>
                <w:tab w:val="clear" w:pos="576"/>
                <w:tab w:val="decimal" w:pos="682"/>
              </w:tabs>
            </w:pPr>
            <w:r>
              <w:t>15.6</w:t>
            </w:r>
          </w:p>
        </w:tc>
      </w:tr>
      <w:tr w14:paraId="34771430" w14:textId="77777777" w:rsidTr="00A25221">
        <w:tblPrEx>
          <w:tblW w:w="9348" w:type="dxa"/>
          <w:tblCellMar>
            <w:left w:w="0" w:type="dxa"/>
            <w:right w:w="0" w:type="dxa"/>
          </w:tblCellMar>
          <w:tblLook w:val="04A0"/>
        </w:tblPrEx>
        <w:trPr>
          <w:trHeight w:val="15"/>
        </w:trPr>
        <w:tc>
          <w:tcPr>
            <w:tcW w:w="934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87FE8" w:rsidRPr="009B5450" w:rsidP="009B5450" w14:paraId="300B16D1" w14:textId="77777777">
            <w:pPr>
              <w:keepNext/>
              <w:spacing w:before="60" w:after="60" w:line="240" w:lineRule="auto"/>
              <w:ind w:firstLine="0"/>
              <w:rPr>
                <w:rFonts w:ascii="Arial" w:hAnsi="Arial" w:cs="Arial"/>
                <w:b/>
                <w:sz w:val="18"/>
                <w:szCs w:val="18"/>
              </w:rPr>
            </w:pPr>
            <w:r w:rsidRPr="009B5450">
              <w:rPr>
                <w:rFonts w:ascii="Arial" w:hAnsi="Arial" w:cs="Arial"/>
                <w:b/>
                <w:sz w:val="18"/>
                <w:szCs w:val="18"/>
              </w:rPr>
              <w:t>HSMFA/CEP status of school</w:t>
            </w:r>
            <w:r w:rsidRPr="001C59E3">
              <w:rPr>
                <w:rFonts w:ascii="Arial" w:hAnsi="Arial" w:cs="Arial"/>
                <w:b/>
                <w:sz w:val="18"/>
                <w:szCs w:val="18"/>
                <w:vertAlign w:val="superscript"/>
              </w:rPr>
              <w:t>b </w:t>
            </w:r>
          </w:p>
        </w:tc>
      </w:tr>
      <w:tr w14:paraId="08E1300E"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574E3B1F" w14:textId="77777777">
            <w:pPr>
              <w:pStyle w:val="TableTextIndent"/>
              <w:rPr>
                <w:rFonts w:ascii="Times New Roman" w:hAnsi="Times New Roman"/>
              </w:rPr>
            </w:pPr>
            <w:r w:rsidRPr="00292462">
              <w:t xml:space="preserve">Schools in </w:t>
            </w:r>
            <w:r>
              <w:rPr>
                <w:rFonts w:ascii="Segoe UI" w:hAnsi="Segoe UI" w:cs="Segoe UI"/>
                <w:color w:val="000000"/>
                <w:szCs w:val="18"/>
              </w:rPr>
              <w:t>H</w:t>
            </w:r>
            <w:r w:rsidRPr="00292462">
              <w:rPr>
                <w:rFonts w:ascii="Segoe UI" w:hAnsi="Segoe UI" w:cs="Segoe UI"/>
                <w:color w:val="000000"/>
                <w:szCs w:val="18"/>
              </w:rPr>
              <w:t>SM</w:t>
            </w:r>
            <w:r>
              <w:rPr>
                <w:rFonts w:ascii="Segoe UI" w:hAnsi="Segoe UI" w:cs="Segoe UI"/>
                <w:color w:val="000000"/>
                <w:szCs w:val="18"/>
              </w:rPr>
              <w:t>FA</w:t>
            </w:r>
            <w:r w:rsidRPr="00292462">
              <w:rPr>
                <w:rFonts w:ascii="Segoe UI" w:hAnsi="Segoe UI" w:cs="Segoe UI"/>
                <w:color w:val="000000"/>
                <w:szCs w:val="18"/>
              </w:rPr>
              <w:t xml:space="preserve"> States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6F3EEB40" w14:textId="77777777">
            <w:pPr>
              <w:pStyle w:val="TableTextDecimal"/>
              <w:tabs>
                <w:tab w:val="clear" w:pos="576"/>
                <w:tab w:val="decimal" w:pos="1140"/>
              </w:tabs>
            </w:pPr>
            <w:r w:rsidRPr="00E40D5C">
              <w:t>227 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5BD3F208" w14:textId="77777777">
            <w:pPr>
              <w:pStyle w:val="TableTextDecimal"/>
              <w:tabs>
                <w:tab w:val="clear" w:pos="576"/>
                <w:tab w:val="decimal" w:pos="682"/>
              </w:tabs>
            </w:pPr>
            <w:r w:rsidRPr="00E40D5C">
              <w:t>10.0 </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6CF8F971" w14:textId="77777777">
            <w:pPr>
              <w:pStyle w:val="TableTextDecimal"/>
              <w:tabs>
                <w:tab w:val="clear" w:pos="576"/>
                <w:tab w:val="decimal" w:pos="1020"/>
              </w:tabs>
            </w:pPr>
            <w:r w:rsidRPr="00E40D5C">
              <w:t>170 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6864A68" w14:textId="77777777">
            <w:pPr>
              <w:pStyle w:val="TableTextDecimal"/>
              <w:tabs>
                <w:tab w:val="clear" w:pos="576"/>
                <w:tab w:val="decimal" w:pos="682"/>
              </w:tabs>
            </w:pPr>
            <w:r w:rsidRPr="00E40D5C">
              <w:t>10.3 </w:t>
            </w:r>
          </w:p>
        </w:tc>
      </w:tr>
      <w:tr w14:paraId="5372CB72"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41FD4C5F" w14:textId="77777777">
            <w:pPr>
              <w:pStyle w:val="TableTextIndent"/>
              <w:rPr>
                <w:rFonts w:ascii="Times New Roman" w:hAnsi="Times New Roman"/>
              </w:rPr>
            </w:pPr>
            <w:r w:rsidRPr="00292462">
              <w:t>Non-</w:t>
            </w:r>
            <w:r>
              <w:rPr>
                <w:rFonts w:ascii="Segoe UI" w:hAnsi="Segoe UI" w:cs="Segoe UI"/>
                <w:color w:val="000000"/>
                <w:szCs w:val="18"/>
              </w:rPr>
              <w:t>H</w:t>
            </w:r>
            <w:r w:rsidRPr="00292462">
              <w:rPr>
                <w:rFonts w:ascii="Segoe UI" w:hAnsi="Segoe UI" w:cs="Segoe UI"/>
                <w:color w:val="000000"/>
                <w:szCs w:val="18"/>
              </w:rPr>
              <w:t>SM</w:t>
            </w:r>
            <w:r>
              <w:rPr>
                <w:rFonts w:ascii="Segoe UI" w:hAnsi="Segoe UI" w:cs="Segoe UI"/>
                <w:color w:val="000000"/>
                <w:szCs w:val="18"/>
              </w:rPr>
              <w:t>FA</w:t>
            </w:r>
            <w:r w:rsidRPr="00292462">
              <w:rPr>
                <w:rFonts w:ascii="Segoe UI" w:hAnsi="Segoe UI" w:cs="Segoe UI"/>
                <w:color w:val="000000"/>
                <w:szCs w:val="18"/>
              </w:rPr>
              <w:t xml:space="preserve"> CEP schools</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D67B6B3" w14:textId="77777777">
            <w:pPr>
              <w:pStyle w:val="TableTextDecimal"/>
              <w:tabs>
                <w:tab w:val="clear" w:pos="576"/>
                <w:tab w:val="decimal" w:pos="1140"/>
              </w:tabs>
            </w:pPr>
            <w:r>
              <w:t>319</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ED8B0DD" w14:textId="77777777">
            <w:pPr>
              <w:pStyle w:val="TableTextDecimal"/>
              <w:tabs>
                <w:tab w:val="clear" w:pos="576"/>
                <w:tab w:val="decimal" w:pos="682"/>
              </w:tabs>
            </w:pPr>
            <w:r w:rsidRPr="00E40D5C">
              <w:t>8.5 </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5A060532" w14:textId="77777777">
            <w:pPr>
              <w:pStyle w:val="TableTextDecimal"/>
              <w:tabs>
                <w:tab w:val="clear" w:pos="576"/>
                <w:tab w:val="decimal" w:pos="1020"/>
              </w:tabs>
            </w:pPr>
            <w:r w:rsidRPr="00E40D5C">
              <w:t>239 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34023332" w14:textId="77777777">
            <w:pPr>
              <w:pStyle w:val="TableTextDecimal"/>
              <w:tabs>
                <w:tab w:val="clear" w:pos="576"/>
                <w:tab w:val="decimal" w:pos="682"/>
              </w:tabs>
            </w:pPr>
            <w:r w:rsidRPr="00E40D5C">
              <w:t>8.7 </w:t>
            </w:r>
          </w:p>
        </w:tc>
      </w:tr>
      <w:tr w14:paraId="5298B707" w14:textId="77777777" w:rsidTr="00A25221">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292462" w:rsidP="00E40D5C" w14:paraId="75F3BCC9" w14:textId="77777777">
            <w:pPr>
              <w:pStyle w:val="TableTextIndent"/>
              <w:rPr>
                <w:rFonts w:ascii="Times New Roman" w:hAnsi="Times New Roman"/>
              </w:rPr>
            </w:pPr>
            <w:r w:rsidRPr="00292462">
              <w:t>All other schools</w:t>
            </w:r>
            <w:r w:rsidRPr="00292462">
              <w:rPr>
                <w:sz w:val="14"/>
                <w:szCs w:val="14"/>
                <w:vertAlign w:val="superscript"/>
              </w:rPr>
              <w:t>a</w:t>
            </w:r>
            <w:r w:rsidRPr="00292462">
              <w:rPr>
                <w:sz w:val="14"/>
                <w:szCs w:val="14"/>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E40D5C" w14:paraId="229E6C33" w14:textId="77777777">
            <w:pPr>
              <w:pStyle w:val="TableTextDecimal"/>
              <w:tabs>
                <w:tab w:val="clear" w:pos="576"/>
                <w:tab w:val="decimal" w:pos="1140"/>
              </w:tabs>
            </w:pPr>
            <w:r w:rsidRPr="00E40D5C">
              <w:t>516 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32A999B3" w14:textId="77777777">
            <w:pPr>
              <w:pStyle w:val="TableTextDecimal"/>
              <w:tabs>
                <w:tab w:val="clear" w:pos="576"/>
                <w:tab w:val="decimal" w:pos="682"/>
              </w:tabs>
            </w:pPr>
            <w:r w:rsidRPr="00E40D5C">
              <w:t>6.7 </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2F7A3235" w14:textId="77777777">
            <w:pPr>
              <w:pStyle w:val="TableTextDecimal"/>
              <w:tabs>
                <w:tab w:val="clear" w:pos="576"/>
                <w:tab w:val="decimal" w:pos="1020"/>
              </w:tabs>
            </w:pPr>
            <w:r w:rsidRPr="00E40D5C">
              <w:t>387 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E40D5C" w:rsidP="00A21EAE" w14:paraId="7DE4EE59" w14:textId="77777777">
            <w:pPr>
              <w:pStyle w:val="TableTextDecimal"/>
              <w:tabs>
                <w:tab w:val="clear" w:pos="576"/>
                <w:tab w:val="decimal" w:pos="682"/>
              </w:tabs>
            </w:pPr>
            <w:r w:rsidRPr="00E40D5C">
              <w:t>6.8 </w:t>
            </w:r>
          </w:p>
        </w:tc>
      </w:tr>
      <w:tr w14:paraId="55D7E54B" w14:textId="77777777" w:rsidTr="00D04A6D">
        <w:tblPrEx>
          <w:tblW w:w="9348" w:type="dxa"/>
          <w:tblCellMar>
            <w:left w:w="0" w:type="dxa"/>
            <w:right w:w="0" w:type="dxa"/>
          </w:tblCellMar>
          <w:tblLook w:val="04A0"/>
        </w:tblPrEx>
        <w:trPr>
          <w:trHeight w:val="15"/>
        </w:trPr>
        <w:tc>
          <w:tcPr>
            <w:tcW w:w="2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887F7A" w14:paraId="47B27A8F" w14:textId="77777777">
            <w:pPr>
              <w:pStyle w:val="TableTextIndent"/>
              <w:ind w:left="0"/>
              <w:rPr>
                <w:rFonts w:ascii="Times New Roman" w:hAnsi="Times New Roman"/>
                <w:b/>
                <w:bCs/>
              </w:rPr>
            </w:pPr>
            <w:r w:rsidRPr="00887F7A">
              <w:rPr>
                <w:b/>
                <w:bCs/>
              </w:rPr>
              <w:t>Total</w:t>
            </w:r>
            <w:r w:rsidRPr="00887F7A">
              <w:rPr>
                <w:rFonts w:ascii="Segoe UI" w:hAnsi="Segoe UI" w:cs="Segoe UI"/>
                <w:b/>
                <w:bCs/>
                <w:color w:val="000000"/>
                <w:szCs w:val="18"/>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E40D5C" w14:paraId="251492D2" w14:textId="77777777">
            <w:pPr>
              <w:pStyle w:val="TableTextDecimal"/>
              <w:tabs>
                <w:tab w:val="clear" w:pos="576"/>
                <w:tab w:val="decimal" w:pos="1140"/>
              </w:tabs>
              <w:rPr>
                <w:b/>
                <w:bCs/>
              </w:rPr>
            </w:pPr>
            <w:r w:rsidRPr="00887F7A">
              <w:rPr>
                <w:b/>
                <w:bCs/>
              </w:rPr>
              <w:t>1,061</w:t>
            </w:r>
            <w:r w:rsidRPr="00887F7A">
              <w:rPr>
                <w:rFonts w:ascii="Segoe UI" w:hAnsi="Segoe UI" w:cs="Segoe UI"/>
                <w:b/>
                <w:bCs/>
                <w:color w:val="000000"/>
                <w:szCs w:val="18"/>
              </w:rPr>
              <w:t>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A21EAE" w14:paraId="21515816" w14:textId="77777777">
            <w:pPr>
              <w:pStyle w:val="TableTextDecimal"/>
              <w:tabs>
                <w:tab w:val="clear" w:pos="576"/>
                <w:tab w:val="decimal" w:pos="682"/>
              </w:tabs>
              <w:rPr>
                <w:b/>
                <w:bCs/>
              </w:rPr>
            </w:pPr>
            <w:r w:rsidRPr="5F2E90CD">
              <w:rPr>
                <w:b/>
                <w:bCs/>
              </w:rPr>
              <w:t>5.1</w:t>
            </w:r>
          </w:p>
        </w:tc>
        <w:tc>
          <w:tcPr>
            <w:tcW w:w="16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A21EAE" w14:paraId="48ACF6A5" w14:textId="77777777">
            <w:pPr>
              <w:pStyle w:val="TableTextDecimal"/>
              <w:tabs>
                <w:tab w:val="clear" w:pos="576"/>
                <w:tab w:val="decimal" w:pos="1020"/>
              </w:tabs>
              <w:rPr>
                <w:b/>
                <w:bCs/>
              </w:rPr>
            </w:pPr>
            <w:r w:rsidRPr="00887F7A">
              <w:rPr>
                <w:b/>
                <w:bCs/>
              </w:rPr>
              <w:t>796</w:t>
            </w:r>
            <w:r w:rsidRPr="00887F7A">
              <w:rPr>
                <w:rFonts w:ascii="Segoe UI" w:hAnsi="Segoe UI" w:cs="Segoe UI"/>
                <w:b/>
                <w:bCs/>
                <w:color w:val="000000"/>
                <w:szCs w:val="18"/>
              </w:rPr>
              <w:t>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7FE8" w:rsidRPr="00887F7A" w:rsidP="00A21EAE" w14:paraId="2E7EE9B1" w14:textId="77777777">
            <w:pPr>
              <w:pStyle w:val="TableTextDecimal"/>
              <w:tabs>
                <w:tab w:val="clear" w:pos="576"/>
                <w:tab w:val="decimal" w:pos="682"/>
              </w:tabs>
              <w:rPr>
                <w:b/>
                <w:bCs/>
              </w:rPr>
            </w:pPr>
            <w:r w:rsidRPr="5F2E90CD">
              <w:rPr>
                <w:b/>
                <w:bCs/>
              </w:rPr>
              <w:t>5.2</w:t>
            </w:r>
          </w:p>
        </w:tc>
      </w:tr>
    </w:tbl>
    <w:p w:rsidR="00687FE8" w:rsidRPr="001D0225" w:rsidP="00A21EAE" w14:paraId="56845EB6" w14:textId="77777777">
      <w:pPr>
        <w:pStyle w:val="TableSourceCaption"/>
        <w:rPr>
          <w:rFonts w:ascii="Segoe UI" w:hAnsi="Segoe UI" w:cs="Segoe UI"/>
          <w:color w:val="000000"/>
          <w:sz w:val="15"/>
          <w:szCs w:val="15"/>
        </w:rPr>
      </w:pPr>
      <w:r w:rsidRPr="001D0225">
        <w:rPr>
          <w:sz w:val="15"/>
          <w:szCs w:val="15"/>
        </w:rPr>
        <w:t xml:space="preserve">Source: </w:t>
      </w:r>
      <w:r w:rsidRPr="001D0225">
        <w:rPr>
          <w:rFonts w:ascii="Calibri" w:hAnsi="Calibri" w:cs="Calibri"/>
          <w:sz w:val="15"/>
          <w:szCs w:val="15"/>
        </w:rPr>
        <w:tab/>
      </w:r>
      <w:r w:rsidRPr="001D0225">
        <w:rPr>
          <w:sz w:val="15"/>
          <w:szCs w:val="15"/>
        </w:rPr>
        <w:t>Simulations from the first iteration of SNMCS-II, using the 2018–2019 FNS-742 file and 2017–2018 CCD file, with some data coming from the 2016–2017 CCD file. The numbers in the table will be updated during sampling using the most recent data available. </w:t>
      </w:r>
    </w:p>
    <w:p w:rsidR="00687FE8" w:rsidRPr="001D0225" w:rsidP="00A21EAE" w14:paraId="2F325E9C" w14:textId="77777777">
      <w:pPr>
        <w:pStyle w:val="TableSourceCaption"/>
        <w:rPr>
          <w:rFonts w:ascii="Segoe UI" w:hAnsi="Segoe UI" w:cs="Segoe UI"/>
          <w:color w:val="000000"/>
          <w:sz w:val="15"/>
          <w:szCs w:val="15"/>
        </w:rPr>
      </w:pPr>
      <w:r w:rsidRPr="001D0225">
        <w:rPr>
          <w:sz w:val="15"/>
          <w:szCs w:val="15"/>
        </w:rPr>
        <w:t xml:space="preserve">Notes: </w:t>
      </w:r>
      <w:r>
        <w:rPr>
          <w:sz w:val="15"/>
          <w:szCs w:val="15"/>
        </w:rPr>
        <w:tab/>
      </w:r>
      <w:r w:rsidRPr="001D0225">
        <w:rPr>
          <w:sz w:val="15"/>
          <w:szCs w:val="15"/>
        </w:rPr>
        <w:t xml:space="preserve">Confidence intervals are based on a 30 percent outcome. The level of precision for school estimates for the combined Group 2a and Group 3 samples is only slightly better than that for the Group 3 sample alone. This is because combining the two samples introduces an additional design effect at a final value of 2.48 relative to the design effect of 1.95 for the Group 3 sample alone (which incorporates the SFA design effect of 1.38). This phenomenon is a necessary consequence of meeting the </w:t>
      </w:r>
      <w:r w:rsidRPr="001D0225">
        <w:rPr>
          <w:sz w:val="15"/>
          <w:szCs w:val="15"/>
        </w:rPr>
        <w:t>sometimes competing</w:t>
      </w:r>
      <w:r w:rsidRPr="001D0225">
        <w:rPr>
          <w:sz w:val="15"/>
          <w:szCs w:val="15"/>
        </w:rPr>
        <w:t xml:space="preserve"> precision requirements for each survey objective and the associated study components. </w:t>
      </w:r>
    </w:p>
    <w:p w:rsidR="00687FE8" w:rsidRPr="001D0225" w:rsidP="00A21EAE" w14:paraId="3A644F21" w14:textId="77777777">
      <w:pPr>
        <w:pStyle w:val="TableFootnoteCaption"/>
        <w:rPr>
          <w:rFonts w:ascii="Segoe UI" w:hAnsi="Segoe UI" w:cs="Segoe UI"/>
          <w:color w:val="000000"/>
          <w:sz w:val="15"/>
          <w:szCs w:val="15"/>
        </w:rPr>
      </w:pPr>
      <w:r w:rsidRPr="001D0225">
        <w:rPr>
          <w:sz w:val="15"/>
          <w:szCs w:val="15"/>
          <w:vertAlign w:val="superscript"/>
        </w:rPr>
        <w:t>a</w:t>
      </w:r>
      <w:r w:rsidRPr="001D0225">
        <w:rPr>
          <w:sz w:val="15"/>
          <w:szCs w:val="15"/>
        </w:rPr>
        <w:t xml:space="preserve"> Subgroup represents 25 percent or more of the population. </w:t>
      </w:r>
    </w:p>
    <w:p w:rsidR="00687FE8" w:rsidRPr="001D0225" w:rsidP="00A21EAE" w14:paraId="353C7144" w14:textId="77777777">
      <w:pPr>
        <w:pStyle w:val="TableFootnoteCaption"/>
        <w:rPr>
          <w:rFonts w:ascii="Segoe UI" w:hAnsi="Segoe UI" w:cs="Segoe UI"/>
          <w:color w:val="000000"/>
          <w:sz w:val="15"/>
          <w:szCs w:val="15"/>
        </w:rPr>
      </w:pPr>
      <w:r w:rsidRPr="001D0225">
        <w:rPr>
          <w:sz w:val="15"/>
          <w:szCs w:val="15"/>
          <w:vertAlign w:val="superscript"/>
        </w:rPr>
        <w:t xml:space="preserve">b </w:t>
      </w:r>
      <w:r w:rsidRPr="001D0225">
        <w:rPr>
          <w:sz w:val="15"/>
          <w:szCs w:val="15"/>
        </w:rPr>
        <w:t>CEP schools are drawn from both the all-CEP SFA stratum and the not-all CEP SFA stratum. The simulations in the SNMCS-II study plan did not include SFAs with other universal free-meal provisions in the CEP SFA group. </w:t>
      </w:r>
    </w:p>
    <w:p w:rsidR="00687FE8" w:rsidRPr="001D0225" w:rsidP="00A21EAE" w14:paraId="6AD21418" w14:textId="77777777">
      <w:pPr>
        <w:pStyle w:val="TableFootnoteCaption"/>
        <w:rPr>
          <w:sz w:val="15"/>
          <w:szCs w:val="15"/>
        </w:rPr>
      </w:pPr>
      <w:r w:rsidRPr="001D0225">
        <w:rPr>
          <w:sz w:val="15"/>
          <w:szCs w:val="15"/>
        </w:rPr>
        <w:t>CEP = Community Eligibility Provision; HSMFA = Healthy School Meals for All.</w:t>
      </w:r>
    </w:p>
    <w:p w:rsidR="00687FE8" w:rsidP="008E797C" w14:paraId="1859C71F" w14:textId="77777777">
      <w:pPr>
        <w:spacing w:line="240" w:lineRule="auto"/>
        <w:textAlignment w:val="baseline"/>
        <w:rPr>
          <w:rFonts w:ascii="Segoe UI" w:hAnsi="Segoe UI" w:cs="Segoe UI"/>
          <w:sz w:val="20"/>
          <w:szCs w:val="20"/>
          <w:shd w:val="clear" w:color="auto" w:fill="FFFF00"/>
        </w:rPr>
      </w:pPr>
    </w:p>
    <w:p w:rsidR="00687FE8" w:rsidP="00D223A5" w14:paraId="4738A10A" w14:textId="77777777">
      <w:r w:rsidRPr="00D223A5">
        <w:t>Using the SNMCS-I meal cost data, the SNMCS-II study plan estimated that, for a school-based cost estimate of the national average meal cost of $2.36 (averaged over schools and accounting for the selection of SFAs) with a standard deviation of $0.98, the precision would be ± $0.105</w:t>
      </w:r>
      <w:r>
        <w:t xml:space="preserve">. </w:t>
      </w:r>
      <w:r w:rsidRPr="00654168">
        <w:t xml:space="preserve">The average design effect is estimated to be 2.23 in Group 3 and 2.83 in Groups 2a and 3 combined with the weighting adjustments described later in this chapter. </w:t>
      </w:r>
    </w:p>
    <w:p w:rsidR="00687FE8" w:rsidP="00D223A5" w14:paraId="6286DFFC" w14:textId="77777777">
      <w:r>
        <w:t>Table B.2.5</w:t>
      </w:r>
      <w:r w:rsidRPr="00292462">
        <w:t xml:space="preserve"> presents the expected precision levels for the student- and parent-level estimates in Group 2a and the tray-level estimates in Group 3. As shown, the sample design results in an expected precision level of ±</w:t>
      </w:r>
      <w:r>
        <w:t>3.9</w:t>
      </w:r>
      <w:r w:rsidRPr="00292462">
        <w:t xml:space="preserve"> percentage points </w:t>
      </w:r>
      <w:r>
        <w:t xml:space="preserve">(for a 50 percent population characteristic) </w:t>
      </w:r>
      <w:r w:rsidRPr="00292462">
        <w:t xml:space="preserve">for the overall sample of </w:t>
      </w:r>
      <w:r>
        <w:t>3,302</w:t>
      </w:r>
      <w:r w:rsidRPr="00292462">
        <w:t xml:space="preserve"> </w:t>
      </w:r>
      <w:r>
        <w:t>completed student</w:t>
      </w:r>
      <w:r w:rsidRPr="00292462">
        <w:t xml:space="preserve"> interviews in Group 2a and expected precision levels of ±10 percentage points (or better) for any subgroups that make up 25 percent or more of the population (for a 30 percent population characteristic). </w:t>
      </w:r>
      <w:r>
        <w:t xml:space="preserve"> For the parent interviews, the sample design results in an expected precision level of ±5.3 percentage points (for a 50 percent population characteristic) for the overall sample of 1,800 completed interviews in Group 2a and expected precision levels of ±10 percentage points (or better) for any subgroups that make up 25 percent or more of the population (for a 30 percent population characteristic). </w:t>
      </w:r>
    </w:p>
    <w:p w:rsidR="00687FE8" w:rsidRPr="00292462" w:rsidP="00D223A5" w14:paraId="6B4BC134" w14:textId="77777777">
      <w:pPr>
        <w:rPr>
          <w:sz w:val="18"/>
          <w:szCs w:val="18"/>
        </w:rPr>
      </w:pPr>
      <w:r w:rsidRPr="00292462">
        <w:t>For the plate waste observations in Group 3, the expected precision levels are ±3.4 and ±4.8 percentage points, respectively, for the overall samples of 4,140 lunch trays and 2,120 breakfast trays. Expected precision levels are ±10 percentage points (or better) for any subgroup representing 25 percent or more of the population. </w:t>
      </w:r>
    </w:p>
    <w:p w:rsidR="00687FE8" w:rsidP="001D0225" w14:paraId="543FCEFE" w14:textId="77777777">
      <w:pPr>
        <w:pStyle w:val="MarkforTableHeading"/>
      </w:pPr>
      <w:r w:rsidRPr="001D0225">
        <w:t xml:space="preserve">Table B.2.5. Expected precision levels for student- and tray-level estimates for Groups 2a and </w:t>
      </w:r>
      <w:r w:rsidRPr="001D0225">
        <w:t>3</w:t>
      </w:r>
      <w:r w:rsidRPr="001D0225">
        <w:t> </w:t>
      </w:r>
    </w:p>
    <w:tbl>
      <w:tblPr>
        <w:tblW w:w="9279" w:type="dxa"/>
        <w:tblLook w:val="04A0"/>
      </w:tblPr>
      <w:tblGrid>
        <w:gridCol w:w="1280"/>
        <w:gridCol w:w="993"/>
        <w:gridCol w:w="1006"/>
        <w:gridCol w:w="994"/>
        <w:gridCol w:w="1006"/>
        <w:gridCol w:w="994"/>
        <w:gridCol w:w="1006"/>
        <w:gridCol w:w="994"/>
        <w:gridCol w:w="1006"/>
      </w:tblGrid>
      <w:tr w14:paraId="6578C56F" w14:textId="77777777" w:rsidTr="044243A3">
        <w:tblPrEx>
          <w:tblW w:w="9279" w:type="dxa"/>
          <w:tblLook w:val="04A0"/>
        </w:tblPrEx>
        <w:trPr>
          <w:trHeight w:val="300"/>
        </w:trPr>
        <w:tc>
          <w:tcPr>
            <w:tcW w:w="1280" w:type="dxa"/>
            <w:vMerge w:val="restart"/>
            <w:tcBorders>
              <w:top w:val="single" w:sz="4" w:space="0" w:color="000000" w:themeColor="text1"/>
              <w:left w:val="single" w:sz="4" w:space="0" w:color="000000" w:themeColor="text1"/>
              <w:bottom w:val="single" w:sz="8" w:space="0" w:color="000000" w:themeColor="text1"/>
              <w:right w:val="single" w:sz="8" w:space="0" w:color="FFFFFF" w:themeColor="background1"/>
            </w:tcBorders>
            <w:shd w:val="clear" w:color="auto" w:fill="6C6F70"/>
            <w:vAlign w:val="center"/>
            <w:hideMark/>
          </w:tcPr>
          <w:p w:rsidR="00687FE8" w:rsidRPr="0003172F" w:rsidP="00F13EFE" w14:paraId="2EF4BDB7" w14:textId="77777777">
            <w:pPr>
              <w:tabs>
                <w:tab w:val="clear" w:pos="432"/>
              </w:tabs>
              <w:spacing w:line="240" w:lineRule="auto"/>
              <w:ind w:firstLine="0"/>
              <w:jc w:val="center"/>
              <w:rPr>
                <w:rFonts w:ascii="Arial" w:hAnsi="Arial" w:cs="Arial"/>
                <w:b/>
                <w:bCs/>
                <w:color w:val="FFFFFF"/>
                <w:sz w:val="18"/>
                <w:szCs w:val="18"/>
              </w:rPr>
            </w:pPr>
            <w:r w:rsidRPr="00887F7A">
              <w:rPr>
                <w:rFonts w:ascii="Arial" w:hAnsi="Arial" w:cs="Arial"/>
                <w:b/>
                <w:bCs/>
                <w:color w:val="FFFFFF"/>
                <w:sz w:val="16"/>
                <w:szCs w:val="16"/>
              </w:rPr>
              <w:t>Subgroups</w:t>
            </w:r>
            <w:r w:rsidRPr="00887F7A">
              <w:rPr>
                <w:rFonts w:ascii="Segoe UI" w:hAnsi="Segoe UI" w:cs="Segoe UI"/>
                <w:b/>
                <w:bCs/>
                <w:color w:val="FFFFFF"/>
                <w:sz w:val="16"/>
                <w:szCs w:val="16"/>
              </w:rPr>
              <w:t>  </w:t>
            </w:r>
          </w:p>
        </w:tc>
        <w:tc>
          <w:tcPr>
            <w:tcW w:w="2005" w:type="dxa"/>
            <w:gridSpan w:val="2"/>
            <w:vMerge w:val="restart"/>
            <w:tcBorders>
              <w:top w:val="single" w:sz="4"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6C6F70"/>
            <w:vAlign w:val="center"/>
            <w:hideMark/>
          </w:tcPr>
          <w:p w:rsidR="00687FE8" w:rsidRPr="0003172F" w:rsidP="00F13EFE" w14:paraId="7E1EEE58" w14:textId="77777777">
            <w:pPr>
              <w:tabs>
                <w:tab w:val="clear" w:pos="432"/>
              </w:tabs>
              <w:spacing w:line="240" w:lineRule="auto"/>
              <w:ind w:firstLine="0"/>
              <w:jc w:val="center"/>
              <w:rPr>
                <w:rFonts w:ascii="Arial" w:hAnsi="Arial" w:cs="Arial"/>
                <w:b/>
                <w:bCs/>
                <w:color w:val="FFFFFF"/>
                <w:sz w:val="18"/>
                <w:szCs w:val="18"/>
              </w:rPr>
            </w:pPr>
            <w:r w:rsidRPr="0003172F">
              <w:rPr>
                <w:rFonts w:ascii="Arial" w:hAnsi="Arial" w:cs="Arial"/>
                <w:b/>
                <w:bCs/>
                <w:color w:val="FFFFFF"/>
                <w:sz w:val="18"/>
                <w:szCs w:val="18"/>
              </w:rPr>
              <w:t>Group 2a students</w:t>
            </w:r>
            <w:r w:rsidRPr="0003172F">
              <w:rPr>
                <w:rFonts w:ascii="Segoe UI" w:hAnsi="Segoe UI" w:cs="Segoe UI"/>
                <w:b/>
                <w:bCs/>
                <w:color w:val="FFFFFF"/>
                <w:sz w:val="18"/>
                <w:szCs w:val="18"/>
              </w:rPr>
              <w:t>  </w:t>
            </w:r>
          </w:p>
        </w:tc>
        <w:tc>
          <w:tcPr>
            <w:tcW w:w="2005" w:type="dxa"/>
            <w:gridSpan w:val="2"/>
            <w:vMerge w:val="restart"/>
            <w:tcBorders>
              <w:top w:val="single" w:sz="4" w:space="0" w:color="000000" w:themeColor="text1"/>
              <w:left w:val="single" w:sz="8" w:space="0" w:color="FFFFFF" w:themeColor="background1"/>
              <w:bottom w:val="single" w:sz="8" w:space="0" w:color="FFFFFF" w:themeColor="background1"/>
              <w:right w:val="single" w:sz="8" w:space="0" w:color="FFFFFF" w:themeColor="background1"/>
            </w:tcBorders>
            <w:shd w:val="clear" w:color="auto" w:fill="6C6F70"/>
            <w:vAlign w:val="center"/>
            <w:hideMark/>
          </w:tcPr>
          <w:p w:rsidR="00687FE8" w:rsidRPr="0003172F" w:rsidP="00F13EFE" w14:paraId="03AA9025" w14:textId="77777777">
            <w:pPr>
              <w:tabs>
                <w:tab w:val="clear" w:pos="432"/>
              </w:tabs>
              <w:spacing w:line="240" w:lineRule="auto"/>
              <w:ind w:firstLine="0"/>
              <w:jc w:val="center"/>
              <w:rPr>
                <w:rFonts w:ascii="Arial" w:hAnsi="Arial" w:cs="Arial"/>
                <w:b/>
                <w:bCs/>
                <w:color w:val="FFFFFF"/>
                <w:sz w:val="18"/>
                <w:szCs w:val="18"/>
              </w:rPr>
            </w:pPr>
            <w:r w:rsidRPr="0003172F">
              <w:rPr>
                <w:rFonts w:ascii="Arial" w:hAnsi="Arial" w:cs="Arial"/>
                <w:b/>
                <w:bCs/>
                <w:color w:val="FFFFFF"/>
                <w:sz w:val="18"/>
                <w:szCs w:val="18"/>
              </w:rPr>
              <w:t>Group 2a parents</w:t>
            </w:r>
          </w:p>
        </w:tc>
        <w:tc>
          <w:tcPr>
            <w:tcW w:w="3989" w:type="dxa"/>
            <w:gridSpan w:val="4"/>
            <w:tcBorders>
              <w:top w:val="single" w:sz="4" w:space="0" w:color="000000" w:themeColor="text1"/>
              <w:left w:val="nil"/>
              <w:bottom w:val="single" w:sz="8" w:space="0" w:color="FFFFFF" w:themeColor="background1"/>
              <w:right w:val="single" w:sz="4" w:space="0" w:color="000000" w:themeColor="text1"/>
            </w:tcBorders>
            <w:shd w:val="clear" w:color="auto" w:fill="6C6F70"/>
            <w:vAlign w:val="center"/>
            <w:hideMark/>
          </w:tcPr>
          <w:p w:rsidR="00687FE8" w:rsidRPr="0003172F" w:rsidP="00F13EFE" w14:paraId="41689DC1" w14:textId="77777777">
            <w:pPr>
              <w:tabs>
                <w:tab w:val="clear" w:pos="432"/>
              </w:tabs>
              <w:spacing w:line="240" w:lineRule="auto"/>
              <w:ind w:firstLine="0"/>
              <w:jc w:val="center"/>
              <w:rPr>
                <w:rFonts w:ascii="Arial" w:hAnsi="Arial" w:cs="Arial"/>
                <w:b/>
                <w:bCs/>
                <w:color w:val="FFFFFF"/>
                <w:sz w:val="18"/>
                <w:szCs w:val="18"/>
              </w:rPr>
            </w:pPr>
            <w:r w:rsidRPr="0003172F">
              <w:rPr>
                <w:rFonts w:ascii="Arial" w:hAnsi="Arial" w:cs="Arial"/>
                <w:b/>
                <w:bCs/>
                <w:color w:val="FFFFFF"/>
                <w:sz w:val="18"/>
                <w:szCs w:val="18"/>
              </w:rPr>
              <w:t>Group 3 plate waste observations</w:t>
            </w:r>
            <w:r w:rsidRPr="0003172F">
              <w:rPr>
                <w:rFonts w:ascii="Segoe UI" w:hAnsi="Segoe UI" w:cs="Segoe UI"/>
                <w:b/>
                <w:bCs/>
                <w:color w:val="FFFFFF"/>
                <w:sz w:val="18"/>
                <w:szCs w:val="18"/>
              </w:rPr>
              <w:t>  </w:t>
            </w:r>
          </w:p>
        </w:tc>
      </w:tr>
      <w:tr w14:paraId="223E2A76" w14:textId="77777777" w:rsidTr="044243A3">
        <w:tblPrEx>
          <w:tblW w:w="9279" w:type="dxa"/>
          <w:tblLook w:val="04A0"/>
        </w:tblPrEx>
        <w:trPr>
          <w:trHeight w:val="300"/>
        </w:trPr>
        <w:tc>
          <w:tcPr>
            <w:tcW w:w="1280" w:type="dxa"/>
            <w:vMerge/>
            <w:vAlign w:val="center"/>
            <w:hideMark/>
          </w:tcPr>
          <w:p w:rsidR="00687FE8" w:rsidRPr="0003172F" w:rsidP="00F13EFE" w14:paraId="653B28BC" w14:textId="77777777">
            <w:pPr>
              <w:tabs>
                <w:tab w:val="clear" w:pos="432"/>
              </w:tabs>
              <w:spacing w:line="240" w:lineRule="auto"/>
              <w:ind w:firstLine="0"/>
              <w:jc w:val="left"/>
              <w:rPr>
                <w:rFonts w:ascii="Arial" w:hAnsi="Arial" w:cs="Arial"/>
                <w:b/>
                <w:bCs/>
                <w:color w:val="FFFFFF"/>
                <w:sz w:val="18"/>
                <w:szCs w:val="18"/>
              </w:rPr>
            </w:pPr>
          </w:p>
        </w:tc>
        <w:tc>
          <w:tcPr>
            <w:tcW w:w="2005" w:type="dxa"/>
            <w:gridSpan w:val="2"/>
            <w:vMerge/>
            <w:vAlign w:val="center"/>
            <w:hideMark/>
          </w:tcPr>
          <w:p w:rsidR="00687FE8" w:rsidRPr="0003172F" w:rsidP="00F13EFE" w14:paraId="2996A657" w14:textId="77777777">
            <w:pPr>
              <w:tabs>
                <w:tab w:val="clear" w:pos="432"/>
              </w:tabs>
              <w:spacing w:line="240" w:lineRule="auto"/>
              <w:ind w:firstLine="0"/>
              <w:jc w:val="left"/>
              <w:rPr>
                <w:rFonts w:ascii="Arial" w:hAnsi="Arial" w:cs="Arial"/>
                <w:b/>
                <w:bCs/>
                <w:color w:val="FFFFFF"/>
                <w:sz w:val="18"/>
                <w:szCs w:val="18"/>
              </w:rPr>
            </w:pPr>
          </w:p>
        </w:tc>
        <w:tc>
          <w:tcPr>
            <w:tcW w:w="2005" w:type="dxa"/>
            <w:gridSpan w:val="2"/>
            <w:vMerge/>
            <w:vAlign w:val="center"/>
            <w:hideMark/>
          </w:tcPr>
          <w:p w:rsidR="00687FE8" w:rsidRPr="0003172F" w:rsidP="00F13EFE" w14:paraId="13781C9E" w14:textId="77777777">
            <w:pPr>
              <w:tabs>
                <w:tab w:val="clear" w:pos="432"/>
              </w:tabs>
              <w:spacing w:line="240" w:lineRule="auto"/>
              <w:ind w:firstLine="0"/>
              <w:jc w:val="left"/>
              <w:rPr>
                <w:rFonts w:ascii="Arial" w:hAnsi="Arial" w:cs="Arial"/>
                <w:b/>
                <w:bCs/>
                <w:color w:val="FFFFFF"/>
                <w:sz w:val="18"/>
                <w:szCs w:val="18"/>
              </w:rPr>
            </w:pPr>
          </w:p>
        </w:tc>
        <w:tc>
          <w:tcPr>
            <w:tcW w:w="1984" w:type="dxa"/>
            <w:gridSpan w:val="2"/>
            <w:tcBorders>
              <w:top w:val="single" w:sz="8" w:space="0" w:color="FFFFFF" w:themeColor="background1"/>
              <w:left w:val="nil"/>
              <w:bottom w:val="single" w:sz="8" w:space="0" w:color="FFFFFF" w:themeColor="background1"/>
              <w:right w:val="single" w:sz="8" w:space="0" w:color="FFFFFF" w:themeColor="background1"/>
            </w:tcBorders>
            <w:shd w:val="clear" w:color="auto" w:fill="6C6F70"/>
            <w:vAlign w:val="center"/>
            <w:hideMark/>
          </w:tcPr>
          <w:p w:rsidR="00687FE8" w:rsidRPr="0003172F" w:rsidP="00F13EFE" w14:paraId="01EE980B" w14:textId="77777777">
            <w:pPr>
              <w:tabs>
                <w:tab w:val="clear" w:pos="432"/>
              </w:tabs>
              <w:spacing w:line="240" w:lineRule="auto"/>
              <w:ind w:firstLine="0"/>
              <w:jc w:val="center"/>
              <w:rPr>
                <w:rFonts w:ascii="Arial" w:hAnsi="Arial" w:cs="Arial"/>
                <w:b/>
                <w:bCs/>
                <w:color w:val="FFFFFF"/>
                <w:sz w:val="18"/>
                <w:szCs w:val="18"/>
              </w:rPr>
            </w:pPr>
            <w:r w:rsidRPr="0003172F">
              <w:rPr>
                <w:rFonts w:ascii="Arial" w:hAnsi="Arial" w:cs="Arial"/>
                <w:b/>
                <w:bCs/>
                <w:color w:val="FFFFFF"/>
                <w:sz w:val="18"/>
                <w:szCs w:val="18"/>
              </w:rPr>
              <w:t>Lunch</w:t>
            </w:r>
            <w:r w:rsidRPr="0003172F">
              <w:rPr>
                <w:rFonts w:ascii="Segoe UI" w:hAnsi="Segoe UI" w:cs="Segoe UI"/>
                <w:b/>
                <w:bCs/>
                <w:color w:val="FFFFFF"/>
                <w:sz w:val="18"/>
                <w:szCs w:val="18"/>
              </w:rPr>
              <w:t>  </w:t>
            </w:r>
          </w:p>
        </w:tc>
        <w:tc>
          <w:tcPr>
            <w:tcW w:w="2005" w:type="dxa"/>
            <w:gridSpan w:val="2"/>
            <w:tcBorders>
              <w:top w:val="single" w:sz="8" w:space="0" w:color="FFFFFF" w:themeColor="background1"/>
              <w:left w:val="nil"/>
              <w:bottom w:val="single" w:sz="8" w:space="0" w:color="FFFFFF" w:themeColor="background1"/>
              <w:right w:val="single" w:sz="4" w:space="0" w:color="000000" w:themeColor="text1"/>
            </w:tcBorders>
            <w:shd w:val="clear" w:color="auto" w:fill="6C6F70"/>
            <w:vAlign w:val="center"/>
            <w:hideMark/>
          </w:tcPr>
          <w:p w:rsidR="00687FE8" w:rsidRPr="0003172F" w:rsidP="00F13EFE" w14:paraId="394B8BC7" w14:textId="77777777">
            <w:pPr>
              <w:tabs>
                <w:tab w:val="clear" w:pos="432"/>
              </w:tabs>
              <w:spacing w:line="240" w:lineRule="auto"/>
              <w:ind w:firstLine="0"/>
              <w:jc w:val="center"/>
              <w:rPr>
                <w:rFonts w:ascii="Arial" w:hAnsi="Arial" w:cs="Arial"/>
                <w:b/>
                <w:bCs/>
                <w:color w:val="FFFFFF"/>
                <w:sz w:val="18"/>
                <w:szCs w:val="18"/>
              </w:rPr>
            </w:pPr>
            <w:r w:rsidRPr="0003172F">
              <w:rPr>
                <w:rFonts w:ascii="Arial" w:hAnsi="Arial" w:cs="Arial"/>
                <w:b/>
                <w:bCs/>
                <w:color w:val="FFFFFF"/>
                <w:sz w:val="18"/>
                <w:szCs w:val="18"/>
              </w:rPr>
              <w:t>Breakfast</w:t>
            </w:r>
            <w:r w:rsidRPr="0003172F">
              <w:rPr>
                <w:rFonts w:ascii="Segoe UI" w:hAnsi="Segoe UI" w:cs="Segoe UI"/>
                <w:b/>
                <w:bCs/>
                <w:color w:val="FFFFFF"/>
                <w:sz w:val="18"/>
                <w:szCs w:val="18"/>
              </w:rPr>
              <w:t>  </w:t>
            </w:r>
          </w:p>
        </w:tc>
      </w:tr>
      <w:tr w14:paraId="750C56AD" w14:textId="77777777" w:rsidTr="044243A3">
        <w:tblPrEx>
          <w:tblW w:w="9279" w:type="dxa"/>
          <w:tblLook w:val="04A0"/>
        </w:tblPrEx>
        <w:trPr>
          <w:trHeight w:val="290"/>
        </w:trPr>
        <w:tc>
          <w:tcPr>
            <w:tcW w:w="1280" w:type="dxa"/>
            <w:vMerge/>
            <w:vAlign w:val="center"/>
            <w:hideMark/>
          </w:tcPr>
          <w:p w:rsidR="00687FE8" w:rsidRPr="0003172F" w:rsidP="00F13EFE" w14:paraId="45EFC131" w14:textId="77777777">
            <w:pPr>
              <w:tabs>
                <w:tab w:val="clear" w:pos="432"/>
              </w:tabs>
              <w:spacing w:line="240" w:lineRule="auto"/>
              <w:ind w:firstLine="0"/>
              <w:jc w:val="left"/>
              <w:rPr>
                <w:rFonts w:ascii="Arial" w:hAnsi="Arial" w:cs="Arial"/>
                <w:b/>
                <w:bCs/>
                <w:color w:val="FFFFFF"/>
                <w:sz w:val="18"/>
                <w:szCs w:val="18"/>
              </w:rPr>
            </w:pPr>
          </w:p>
        </w:tc>
        <w:tc>
          <w:tcPr>
            <w:tcW w:w="1117" w:type="dxa"/>
            <w:vMerge w:val="restart"/>
            <w:tcBorders>
              <w:top w:val="nil"/>
              <w:left w:val="single" w:sz="8" w:space="0" w:color="FFFFFF" w:themeColor="background1"/>
              <w:bottom w:val="single" w:sz="8" w:space="0" w:color="000000" w:themeColor="text1"/>
              <w:right w:val="single" w:sz="8" w:space="0" w:color="FFFFFF" w:themeColor="background1"/>
            </w:tcBorders>
            <w:shd w:val="clear" w:color="auto" w:fill="6C6F70"/>
            <w:vAlign w:val="center"/>
            <w:hideMark/>
          </w:tcPr>
          <w:p w:rsidR="00687FE8" w:rsidRPr="00887F7A" w:rsidP="00F13EFE" w14:paraId="19D343DA"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 xml:space="preserve">Target </w:t>
            </w:r>
            <w:r w:rsidRPr="00887F7A">
              <w:rPr>
                <w:rFonts w:ascii="Segoe UI" w:hAnsi="Segoe UI" w:cs="Segoe UI"/>
                <w:b/>
                <w:bCs/>
                <w:color w:val="FFFFFF"/>
                <w:sz w:val="14"/>
                <w:szCs w:val="14"/>
              </w:rPr>
              <w:t>completed sample sizes  </w:t>
            </w:r>
          </w:p>
        </w:tc>
        <w:tc>
          <w:tcPr>
            <w:tcW w:w="888" w:type="dxa"/>
            <w:tcBorders>
              <w:top w:val="nil"/>
              <w:left w:val="nil"/>
              <w:bottom w:val="nil"/>
              <w:right w:val="single" w:sz="8" w:space="0" w:color="FFFFFF" w:themeColor="background1"/>
            </w:tcBorders>
            <w:shd w:val="clear" w:color="auto" w:fill="6C6F70"/>
            <w:vAlign w:val="center"/>
            <w:hideMark/>
          </w:tcPr>
          <w:p w:rsidR="00687FE8" w:rsidRPr="00887F7A" w:rsidP="00F13EFE" w14:paraId="58DECDDF"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CI</w:t>
            </w:r>
            <w:r w:rsidRPr="00887F7A">
              <w:rPr>
                <w:rFonts w:ascii="Segoe UI" w:hAnsi="Segoe UI" w:cs="Segoe UI"/>
                <w:b/>
                <w:bCs/>
                <w:color w:val="FFFFFF"/>
                <w:sz w:val="14"/>
                <w:szCs w:val="14"/>
              </w:rPr>
              <w:t>  </w:t>
            </w:r>
          </w:p>
        </w:tc>
        <w:tc>
          <w:tcPr>
            <w:tcW w:w="1117" w:type="dxa"/>
            <w:vMerge w:val="restart"/>
            <w:tcBorders>
              <w:top w:val="nil"/>
              <w:left w:val="single" w:sz="8" w:space="0" w:color="FFFFFF" w:themeColor="background1"/>
              <w:bottom w:val="single" w:sz="8" w:space="0" w:color="000000" w:themeColor="text1"/>
              <w:right w:val="single" w:sz="8" w:space="0" w:color="FFFFFF" w:themeColor="background1"/>
            </w:tcBorders>
            <w:shd w:val="clear" w:color="auto" w:fill="6C6F70"/>
            <w:vAlign w:val="center"/>
            <w:hideMark/>
          </w:tcPr>
          <w:p w:rsidR="00687FE8" w:rsidRPr="00887F7A" w:rsidP="00F13EFE" w14:paraId="768CCF62"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 xml:space="preserve">Target </w:t>
            </w:r>
            <w:r w:rsidRPr="00887F7A">
              <w:rPr>
                <w:rFonts w:ascii="Segoe UI" w:hAnsi="Segoe UI" w:cs="Segoe UI"/>
                <w:b/>
                <w:bCs/>
                <w:color w:val="FFFFFF"/>
                <w:sz w:val="14"/>
                <w:szCs w:val="14"/>
              </w:rPr>
              <w:t>completed sample sizes  </w:t>
            </w:r>
          </w:p>
        </w:tc>
        <w:tc>
          <w:tcPr>
            <w:tcW w:w="888" w:type="dxa"/>
            <w:tcBorders>
              <w:top w:val="nil"/>
              <w:left w:val="nil"/>
              <w:bottom w:val="nil"/>
              <w:right w:val="single" w:sz="8" w:space="0" w:color="FFFFFF" w:themeColor="background1"/>
            </w:tcBorders>
            <w:shd w:val="clear" w:color="auto" w:fill="6C6F70"/>
            <w:vAlign w:val="center"/>
            <w:hideMark/>
          </w:tcPr>
          <w:p w:rsidR="00687FE8" w:rsidRPr="00887F7A" w:rsidP="00F13EFE" w14:paraId="12FCC79C"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CI</w:t>
            </w:r>
            <w:r w:rsidRPr="00887F7A">
              <w:rPr>
                <w:rFonts w:ascii="Segoe UI" w:hAnsi="Segoe UI" w:cs="Segoe UI"/>
                <w:b/>
                <w:bCs/>
                <w:color w:val="FFFFFF"/>
                <w:sz w:val="14"/>
                <w:szCs w:val="14"/>
              </w:rPr>
              <w:t>  </w:t>
            </w:r>
          </w:p>
        </w:tc>
        <w:tc>
          <w:tcPr>
            <w:tcW w:w="1117" w:type="dxa"/>
            <w:vMerge w:val="restart"/>
            <w:tcBorders>
              <w:top w:val="nil"/>
              <w:left w:val="single" w:sz="8" w:space="0" w:color="FFFFFF" w:themeColor="background1"/>
              <w:bottom w:val="single" w:sz="8" w:space="0" w:color="000000" w:themeColor="text1"/>
              <w:right w:val="single" w:sz="8" w:space="0" w:color="FFFFFF" w:themeColor="background1"/>
            </w:tcBorders>
            <w:shd w:val="clear" w:color="auto" w:fill="6C6F70"/>
            <w:vAlign w:val="center"/>
            <w:hideMark/>
          </w:tcPr>
          <w:p w:rsidR="00687FE8" w:rsidRPr="00887F7A" w:rsidP="00F13EFE" w14:paraId="06825975"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Target completed sample sizes</w:t>
            </w:r>
            <w:r w:rsidRPr="00887F7A">
              <w:rPr>
                <w:rFonts w:ascii="Segoe UI" w:hAnsi="Segoe UI" w:cs="Segoe UI"/>
                <w:b/>
                <w:bCs/>
                <w:color w:val="FFFFFF"/>
                <w:sz w:val="14"/>
                <w:szCs w:val="14"/>
              </w:rPr>
              <w:t>  </w:t>
            </w:r>
          </w:p>
        </w:tc>
        <w:tc>
          <w:tcPr>
            <w:tcW w:w="867" w:type="dxa"/>
            <w:tcBorders>
              <w:top w:val="nil"/>
              <w:left w:val="nil"/>
              <w:bottom w:val="nil"/>
              <w:right w:val="single" w:sz="8" w:space="0" w:color="FFFFFF" w:themeColor="background1"/>
            </w:tcBorders>
            <w:shd w:val="clear" w:color="auto" w:fill="6C6F70"/>
            <w:vAlign w:val="center"/>
            <w:hideMark/>
          </w:tcPr>
          <w:p w:rsidR="00687FE8" w:rsidRPr="00887F7A" w:rsidP="00F13EFE" w14:paraId="51AE904E"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CI</w:t>
            </w:r>
            <w:r w:rsidRPr="00887F7A">
              <w:rPr>
                <w:rFonts w:ascii="Segoe UI" w:hAnsi="Segoe UI" w:cs="Segoe UI"/>
                <w:b/>
                <w:bCs/>
                <w:color w:val="FFFFFF"/>
                <w:sz w:val="14"/>
                <w:szCs w:val="14"/>
              </w:rPr>
              <w:t>  </w:t>
            </w:r>
          </w:p>
        </w:tc>
        <w:tc>
          <w:tcPr>
            <w:tcW w:w="1117" w:type="dxa"/>
            <w:vMerge w:val="restart"/>
            <w:tcBorders>
              <w:top w:val="nil"/>
              <w:left w:val="single" w:sz="8" w:space="0" w:color="FFFFFF" w:themeColor="background1"/>
              <w:bottom w:val="single" w:sz="8" w:space="0" w:color="000000" w:themeColor="text1"/>
              <w:right w:val="single" w:sz="8" w:space="0" w:color="FFFFFF" w:themeColor="background1"/>
            </w:tcBorders>
            <w:shd w:val="clear" w:color="auto" w:fill="6C6F70"/>
            <w:vAlign w:val="center"/>
            <w:hideMark/>
          </w:tcPr>
          <w:p w:rsidR="00687FE8" w:rsidRPr="00887F7A" w:rsidP="00F13EFE" w14:paraId="30E2E005"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Target completed sample sizes</w:t>
            </w:r>
            <w:r w:rsidRPr="00887F7A">
              <w:rPr>
                <w:rFonts w:ascii="Segoe UI" w:hAnsi="Segoe UI" w:cs="Segoe UI"/>
                <w:b/>
                <w:bCs/>
                <w:color w:val="FFFFFF"/>
                <w:sz w:val="14"/>
                <w:szCs w:val="14"/>
              </w:rPr>
              <w:t>  </w:t>
            </w:r>
          </w:p>
        </w:tc>
        <w:tc>
          <w:tcPr>
            <w:tcW w:w="888" w:type="dxa"/>
            <w:tcBorders>
              <w:top w:val="nil"/>
              <w:left w:val="nil"/>
              <w:bottom w:val="nil"/>
              <w:right w:val="single" w:sz="4" w:space="0" w:color="000000" w:themeColor="text1"/>
            </w:tcBorders>
            <w:shd w:val="clear" w:color="auto" w:fill="6C6F70"/>
            <w:vAlign w:val="center"/>
            <w:hideMark/>
          </w:tcPr>
          <w:p w:rsidR="00687FE8" w:rsidRPr="00887F7A" w:rsidP="00F13EFE" w14:paraId="0AB8F7F0" w14:textId="77777777">
            <w:pPr>
              <w:tabs>
                <w:tab w:val="clear" w:pos="432"/>
              </w:tabs>
              <w:spacing w:line="240" w:lineRule="auto"/>
              <w:ind w:firstLine="0"/>
              <w:jc w:val="center"/>
              <w:rPr>
                <w:rFonts w:ascii="Arial" w:hAnsi="Arial" w:cs="Arial"/>
                <w:b/>
                <w:bCs/>
                <w:color w:val="FFFFFF"/>
                <w:sz w:val="14"/>
                <w:szCs w:val="14"/>
              </w:rPr>
            </w:pPr>
            <w:r w:rsidRPr="00887F7A">
              <w:rPr>
                <w:rFonts w:ascii="Arial" w:hAnsi="Arial" w:cs="Arial"/>
                <w:b/>
                <w:bCs/>
                <w:color w:val="FFFFFF"/>
                <w:sz w:val="14"/>
                <w:szCs w:val="14"/>
              </w:rPr>
              <w:t>CI</w:t>
            </w:r>
            <w:r w:rsidRPr="00887F7A">
              <w:rPr>
                <w:rFonts w:ascii="Segoe UI" w:hAnsi="Segoe UI" w:cs="Segoe UI"/>
                <w:b/>
                <w:bCs/>
                <w:color w:val="FFFFFF"/>
                <w:sz w:val="14"/>
                <w:szCs w:val="14"/>
              </w:rPr>
              <w:t>  </w:t>
            </w:r>
          </w:p>
        </w:tc>
      </w:tr>
      <w:tr w14:paraId="793A7112" w14:textId="77777777" w:rsidTr="044243A3">
        <w:tblPrEx>
          <w:tblW w:w="9279" w:type="dxa"/>
          <w:tblLook w:val="04A0"/>
        </w:tblPrEx>
        <w:trPr>
          <w:trHeight w:val="850"/>
        </w:trPr>
        <w:tc>
          <w:tcPr>
            <w:tcW w:w="1280" w:type="dxa"/>
            <w:vMerge/>
            <w:vAlign w:val="center"/>
            <w:hideMark/>
          </w:tcPr>
          <w:p w:rsidR="00687FE8" w:rsidRPr="0003172F" w:rsidP="00F13EFE" w14:paraId="7566164B" w14:textId="77777777">
            <w:pPr>
              <w:tabs>
                <w:tab w:val="clear" w:pos="432"/>
              </w:tabs>
              <w:spacing w:line="240" w:lineRule="auto"/>
              <w:ind w:firstLine="0"/>
              <w:jc w:val="left"/>
              <w:rPr>
                <w:rFonts w:ascii="Arial" w:hAnsi="Arial" w:cs="Arial"/>
                <w:b/>
                <w:bCs/>
                <w:color w:val="FFFFFF"/>
                <w:sz w:val="18"/>
                <w:szCs w:val="18"/>
              </w:rPr>
            </w:pPr>
          </w:p>
        </w:tc>
        <w:tc>
          <w:tcPr>
            <w:tcW w:w="1117" w:type="dxa"/>
            <w:vMerge/>
            <w:vAlign w:val="center"/>
            <w:hideMark/>
          </w:tcPr>
          <w:p w:rsidR="00687FE8" w:rsidRPr="00887F7A" w:rsidP="00F13EFE" w14:paraId="6872275E" w14:textId="77777777">
            <w:pPr>
              <w:tabs>
                <w:tab w:val="clear" w:pos="432"/>
              </w:tabs>
              <w:spacing w:line="240" w:lineRule="auto"/>
              <w:ind w:firstLine="0"/>
              <w:jc w:val="left"/>
              <w:rPr>
                <w:rFonts w:ascii="Arial" w:hAnsi="Arial" w:cs="Arial"/>
                <w:b/>
                <w:bCs/>
                <w:color w:val="FFFFFF"/>
                <w:sz w:val="14"/>
                <w:szCs w:val="14"/>
              </w:rPr>
            </w:pPr>
          </w:p>
        </w:tc>
        <w:tc>
          <w:tcPr>
            <w:tcW w:w="888" w:type="dxa"/>
            <w:tcBorders>
              <w:top w:val="nil"/>
              <w:left w:val="nil"/>
              <w:bottom w:val="single" w:sz="8" w:space="0" w:color="000000" w:themeColor="text1"/>
              <w:right w:val="single" w:sz="8" w:space="0" w:color="FFFFFF" w:themeColor="background1"/>
            </w:tcBorders>
            <w:shd w:val="clear" w:color="auto" w:fill="6C6F70"/>
            <w:vAlign w:val="center"/>
            <w:hideMark/>
          </w:tcPr>
          <w:p w:rsidR="00687FE8" w:rsidRPr="00887F7A" w:rsidP="00F13EFE" w14:paraId="7E5D1F2E" w14:textId="77777777">
            <w:pPr>
              <w:tabs>
                <w:tab w:val="clear" w:pos="432"/>
              </w:tabs>
              <w:spacing w:line="240" w:lineRule="auto"/>
              <w:ind w:firstLine="0"/>
              <w:jc w:val="center"/>
              <w:rPr>
                <w:rFonts w:ascii="Segoe UI" w:hAnsi="Segoe UI" w:cs="Segoe UI"/>
                <w:b/>
                <w:bCs/>
                <w:color w:val="FFFFFF"/>
                <w:sz w:val="14"/>
                <w:szCs w:val="14"/>
              </w:rPr>
            </w:pPr>
            <w:r w:rsidRPr="00887F7A">
              <w:rPr>
                <w:rFonts w:ascii="Segoe UI" w:hAnsi="Segoe UI" w:cs="Segoe UI"/>
                <w:b/>
                <w:bCs/>
                <w:color w:val="FFFFFF"/>
                <w:sz w:val="14"/>
                <w:szCs w:val="14"/>
              </w:rPr>
              <w:t>half interval (percentage points)  </w:t>
            </w:r>
          </w:p>
        </w:tc>
        <w:tc>
          <w:tcPr>
            <w:tcW w:w="1117" w:type="dxa"/>
            <w:vMerge/>
            <w:vAlign w:val="center"/>
            <w:hideMark/>
          </w:tcPr>
          <w:p w:rsidR="00687FE8" w:rsidRPr="00887F7A" w:rsidP="00F13EFE" w14:paraId="55822657" w14:textId="77777777">
            <w:pPr>
              <w:tabs>
                <w:tab w:val="clear" w:pos="432"/>
              </w:tabs>
              <w:spacing w:line="240" w:lineRule="auto"/>
              <w:ind w:firstLine="0"/>
              <w:jc w:val="left"/>
              <w:rPr>
                <w:rFonts w:ascii="Arial" w:hAnsi="Arial" w:cs="Arial"/>
                <w:b/>
                <w:bCs/>
                <w:color w:val="FFFFFF"/>
                <w:sz w:val="14"/>
                <w:szCs w:val="14"/>
              </w:rPr>
            </w:pPr>
          </w:p>
        </w:tc>
        <w:tc>
          <w:tcPr>
            <w:tcW w:w="888" w:type="dxa"/>
            <w:tcBorders>
              <w:top w:val="nil"/>
              <w:left w:val="nil"/>
              <w:bottom w:val="single" w:sz="8" w:space="0" w:color="000000" w:themeColor="text1"/>
              <w:right w:val="single" w:sz="8" w:space="0" w:color="FFFFFF" w:themeColor="background1"/>
            </w:tcBorders>
            <w:shd w:val="clear" w:color="auto" w:fill="6C6F70"/>
            <w:vAlign w:val="center"/>
            <w:hideMark/>
          </w:tcPr>
          <w:p w:rsidR="00687FE8" w:rsidRPr="00887F7A" w:rsidP="00F13EFE" w14:paraId="7D05B08B" w14:textId="77777777">
            <w:pPr>
              <w:tabs>
                <w:tab w:val="clear" w:pos="432"/>
              </w:tabs>
              <w:spacing w:line="240" w:lineRule="auto"/>
              <w:ind w:firstLine="0"/>
              <w:jc w:val="center"/>
              <w:rPr>
                <w:rFonts w:ascii="Segoe UI" w:hAnsi="Segoe UI" w:cs="Segoe UI"/>
                <w:b/>
                <w:bCs/>
                <w:color w:val="FFFFFF"/>
                <w:sz w:val="14"/>
                <w:szCs w:val="14"/>
              </w:rPr>
            </w:pPr>
            <w:r w:rsidRPr="00887F7A">
              <w:rPr>
                <w:rFonts w:ascii="Segoe UI" w:hAnsi="Segoe UI" w:cs="Segoe UI"/>
                <w:b/>
                <w:bCs/>
                <w:color w:val="FFFFFF"/>
                <w:sz w:val="14"/>
                <w:szCs w:val="14"/>
              </w:rPr>
              <w:t>half interval (percentage points)  </w:t>
            </w:r>
          </w:p>
        </w:tc>
        <w:tc>
          <w:tcPr>
            <w:tcW w:w="1117" w:type="dxa"/>
            <w:vMerge/>
            <w:vAlign w:val="center"/>
            <w:hideMark/>
          </w:tcPr>
          <w:p w:rsidR="00687FE8" w:rsidRPr="00887F7A" w:rsidP="00F13EFE" w14:paraId="5E52B5A3" w14:textId="77777777">
            <w:pPr>
              <w:tabs>
                <w:tab w:val="clear" w:pos="432"/>
              </w:tabs>
              <w:spacing w:line="240" w:lineRule="auto"/>
              <w:ind w:firstLine="0"/>
              <w:jc w:val="left"/>
              <w:rPr>
                <w:rFonts w:ascii="Arial" w:hAnsi="Arial" w:cs="Arial"/>
                <w:b/>
                <w:bCs/>
                <w:color w:val="FFFFFF"/>
                <w:sz w:val="14"/>
                <w:szCs w:val="14"/>
              </w:rPr>
            </w:pPr>
          </w:p>
        </w:tc>
        <w:tc>
          <w:tcPr>
            <w:tcW w:w="867" w:type="dxa"/>
            <w:tcBorders>
              <w:top w:val="nil"/>
              <w:left w:val="nil"/>
              <w:bottom w:val="single" w:sz="8" w:space="0" w:color="000000" w:themeColor="text1"/>
              <w:right w:val="single" w:sz="8" w:space="0" w:color="FFFFFF" w:themeColor="background1"/>
            </w:tcBorders>
            <w:shd w:val="clear" w:color="auto" w:fill="6C6F70"/>
            <w:vAlign w:val="center"/>
            <w:hideMark/>
          </w:tcPr>
          <w:p w:rsidR="00687FE8" w:rsidRPr="00887F7A" w:rsidP="00F13EFE" w14:paraId="260F12D8" w14:textId="77777777">
            <w:pPr>
              <w:tabs>
                <w:tab w:val="clear" w:pos="432"/>
              </w:tabs>
              <w:spacing w:line="240" w:lineRule="auto"/>
              <w:ind w:firstLine="0"/>
              <w:jc w:val="center"/>
              <w:rPr>
                <w:rFonts w:ascii="Segoe UI" w:hAnsi="Segoe UI" w:cs="Segoe UI"/>
                <w:b/>
                <w:bCs/>
                <w:color w:val="FFFFFF"/>
                <w:sz w:val="14"/>
                <w:szCs w:val="14"/>
              </w:rPr>
            </w:pPr>
            <w:r w:rsidRPr="00887F7A">
              <w:rPr>
                <w:rFonts w:ascii="Segoe UI" w:hAnsi="Segoe UI" w:cs="Segoe UI"/>
                <w:b/>
                <w:bCs/>
                <w:color w:val="FFFFFF"/>
                <w:sz w:val="14"/>
                <w:szCs w:val="14"/>
              </w:rPr>
              <w:t xml:space="preserve">half </w:t>
            </w:r>
            <w:r>
              <w:rPr>
                <w:rFonts w:ascii="Segoe UI" w:hAnsi="Segoe UI" w:cs="Segoe UI"/>
                <w:b/>
                <w:bCs/>
                <w:color w:val="FFFFFF"/>
                <w:sz w:val="14"/>
                <w:szCs w:val="14"/>
              </w:rPr>
              <w:t>i</w:t>
            </w:r>
            <w:r w:rsidRPr="00887F7A">
              <w:rPr>
                <w:rFonts w:ascii="Segoe UI" w:hAnsi="Segoe UI" w:cs="Segoe UI"/>
                <w:b/>
                <w:bCs/>
                <w:color w:val="FFFFFF"/>
                <w:sz w:val="14"/>
                <w:szCs w:val="14"/>
              </w:rPr>
              <w:t>nterval (percentage points)  </w:t>
            </w:r>
          </w:p>
        </w:tc>
        <w:tc>
          <w:tcPr>
            <w:tcW w:w="1117" w:type="dxa"/>
            <w:vMerge/>
            <w:vAlign w:val="center"/>
            <w:hideMark/>
          </w:tcPr>
          <w:p w:rsidR="00687FE8" w:rsidRPr="00887F7A" w:rsidP="00F13EFE" w14:paraId="2B52C023" w14:textId="77777777">
            <w:pPr>
              <w:tabs>
                <w:tab w:val="clear" w:pos="432"/>
              </w:tabs>
              <w:spacing w:line="240" w:lineRule="auto"/>
              <w:ind w:firstLine="0"/>
              <w:jc w:val="left"/>
              <w:rPr>
                <w:rFonts w:ascii="Arial" w:hAnsi="Arial" w:cs="Arial"/>
                <w:b/>
                <w:bCs/>
                <w:color w:val="FFFFFF"/>
                <w:sz w:val="14"/>
                <w:szCs w:val="14"/>
              </w:rPr>
            </w:pPr>
          </w:p>
        </w:tc>
        <w:tc>
          <w:tcPr>
            <w:tcW w:w="888" w:type="dxa"/>
            <w:tcBorders>
              <w:top w:val="nil"/>
              <w:left w:val="nil"/>
              <w:bottom w:val="single" w:sz="8" w:space="0" w:color="000000" w:themeColor="text1"/>
              <w:right w:val="single" w:sz="4" w:space="0" w:color="000000" w:themeColor="text1"/>
            </w:tcBorders>
            <w:shd w:val="clear" w:color="auto" w:fill="6C6F70"/>
            <w:vAlign w:val="center"/>
            <w:hideMark/>
          </w:tcPr>
          <w:p w:rsidR="00687FE8" w:rsidRPr="00887F7A" w:rsidP="00F13EFE" w14:paraId="20A1C620" w14:textId="77777777">
            <w:pPr>
              <w:tabs>
                <w:tab w:val="clear" w:pos="432"/>
              </w:tabs>
              <w:spacing w:line="240" w:lineRule="auto"/>
              <w:ind w:firstLine="0"/>
              <w:jc w:val="center"/>
              <w:rPr>
                <w:rFonts w:ascii="Segoe UI" w:hAnsi="Segoe UI" w:cs="Segoe UI"/>
                <w:b/>
                <w:bCs/>
                <w:color w:val="FFFFFF"/>
                <w:sz w:val="14"/>
                <w:szCs w:val="14"/>
              </w:rPr>
            </w:pPr>
            <w:r w:rsidRPr="00887F7A">
              <w:rPr>
                <w:rFonts w:ascii="Segoe UI" w:hAnsi="Segoe UI" w:cs="Segoe UI"/>
                <w:b/>
                <w:bCs/>
                <w:color w:val="FFFFFF"/>
                <w:sz w:val="14"/>
                <w:szCs w:val="14"/>
              </w:rPr>
              <w:t>half interval (percentage points)  </w:t>
            </w:r>
          </w:p>
        </w:tc>
      </w:tr>
      <w:tr w14:paraId="643A5491" w14:textId="77777777" w:rsidTr="044243A3">
        <w:tblPrEx>
          <w:tblW w:w="9279" w:type="dxa"/>
          <w:tblLook w:val="04A0"/>
        </w:tblPrEx>
        <w:trPr>
          <w:trHeight w:val="300"/>
        </w:trPr>
        <w:tc>
          <w:tcPr>
            <w:tcW w:w="9279" w:type="dxa"/>
            <w:gridSpan w:val="9"/>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rsidR="00687FE8" w:rsidRPr="0003172F" w:rsidP="00F13EFE" w14:paraId="5210A943" w14:textId="77777777">
            <w:pPr>
              <w:tabs>
                <w:tab w:val="clear" w:pos="432"/>
              </w:tabs>
              <w:spacing w:line="240" w:lineRule="auto"/>
              <w:ind w:firstLine="0"/>
              <w:jc w:val="left"/>
              <w:rPr>
                <w:rFonts w:ascii="Arial" w:hAnsi="Arial" w:cs="Arial"/>
                <w:b/>
                <w:bCs/>
                <w:sz w:val="18"/>
                <w:szCs w:val="18"/>
              </w:rPr>
            </w:pPr>
            <w:r w:rsidRPr="0003172F">
              <w:rPr>
                <w:rFonts w:ascii="Arial" w:hAnsi="Arial" w:cs="Arial"/>
                <w:b/>
                <w:bCs/>
                <w:sz w:val="18"/>
                <w:szCs w:val="18"/>
              </w:rPr>
              <w:t>School type </w:t>
            </w:r>
            <w:r w:rsidRPr="0003172F">
              <w:rPr>
                <w:rFonts w:ascii="Arial" w:hAnsi="Arial" w:cs="Arial"/>
                <w:sz w:val="18"/>
                <w:szCs w:val="18"/>
              </w:rPr>
              <w:t> </w:t>
            </w:r>
          </w:p>
        </w:tc>
      </w:tr>
      <w:tr w14:paraId="67CED1A3" w14:textId="77777777" w:rsidTr="044243A3">
        <w:tblPrEx>
          <w:tblW w:w="9279" w:type="dxa"/>
          <w:tblLook w:val="04A0"/>
        </w:tblPrEx>
        <w:trPr>
          <w:trHeight w:val="47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A31D5E" w14:paraId="2CCB27B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Elementary</w:t>
            </w:r>
            <w:r w:rsidRPr="0003172F">
              <w:rPr>
                <w:rFonts w:ascii="Arial" w:hAnsi="Arial" w:cs="Arial"/>
                <w:color w:val="000000"/>
                <w:sz w:val="18"/>
                <w:szCs w:val="18"/>
                <w:vertAlign w:val="superscript"/>
              </w:rPr>
              <w:t>a</w:t>
            </w:r>
            <w:r w:rsidRPr="0003172F">
              <w:rPr>
                <w:rFonts w:ascii="Arial" w:hAnsi="Arial" w:cs="Arial"/>
                <w:color w:val="000000"/>
                <w:sz w:val="18"/>
                <w:szCs w:val="18"/>
              </w:rPr>
              <w:t>  </w:t>
            </w:r>
          </w:p>
        </w:tc>
        <w:tc>
          <w:tcPr>
            <w:tcW w:w="111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A31D5E" w14:paraId="08BFD760" w14:textId="77777777">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t>1,549</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42B6385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5.2</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639B6F5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844</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5D0B365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1231A53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1,456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159C0C7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5.8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1E980BA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745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A31D5E" w14:paraId="4A02C86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8.4  </w:t>
            </w:r>
          </w:p>
        </w:tc>
      </w:tr>
      <w:tr w14:paraId="0A9E001A"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A31D5E" w14:paraId="044D393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Middle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219925D6" w14:textId="77777777">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t>754</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0B4D4C5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2F75CDD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411</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55677C9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10.1</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7E23768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1,365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3186484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6.0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078F606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700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A31D5E" w14:paraId="2272010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8.6  </w:t>
            </w:r>
          </w:p>
        </w:tc>
      </w:tr>
      <w:tr w14:paraId="7F94BC83"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A31D5E" w14:paraId="6A768C6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High</w:t>
            </w:r>
            <w:r w:rsidRPr="0003172F">
              <w:rPr>
                <w:rFonts w:ascii="Arial" w:hAnsi="Arial" w:cs="Arial"/>
                <w:color w:val="000000"/>
                <w:sz w:val="18"/>
                <w:szCs w:val="18"/>
                <w:vertAlign w:val="superscript"/>
              </w:rPr>
              <w:t>a</w:t>
            </w:r>
            <w:r w:rsidRPr="0003172F">
              <w:rPr>
                <w:rFonts w:ascii="Arial" w:hAnsi="Arial" w:cs="Arial"/>
                <w:color w:val="000000"/>
                <w:sz w:val="18"/>
                <w:szCs w:val="18"/>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60F55D00" w14:textId="77777777">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t>1,000</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3FFDC66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05B2465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545</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23419CC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8.8</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2727321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1,318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25BA5D8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6.1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A31D5E" w14:paraId="79A1BE9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675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A31D5E" w14:paraId="4D1A289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8.8  </w:t>
            </w:r>
          </w:p>
        </w:tc>
      </w:tr>
      <w:tr w14:paraId="0DF7E5A1" w14:textId="77777777" w:rsidTr="044243A3">
        <w:tblPrEx>
          <w:tblW w:w="9279" w:type="dxa"/>
          <w:tblLook w:val="04A0"/>
        </w:tblPrEx>
        <w:trPr>
          <w:trHeight w:val="300"/>
        </w:trPr>
        <w:tc>
          <w:tcPr>
            <w:tcW w:w="9279" w:type="dxa"/>
            <w:gridSpan w:val="9"/>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rsidR="00687FE8" w:rsidRPr="0003172F" w:rsidP="00F13EFE" w14:paraId="0810F79D" w14:textId="77777777">
            <w:pPr>
              <w:tabs>
                <w:tab w:val="clear" w:pos="432"/>
              </w:tabs>
              <w:spacing w:line="240" w:lineRule="auto"/>
              <w:ind w:firstLine="0"/>
              <w:jc w:val="left"/>
              <w:rPr>
                <w:rFonts w:ascii="Arial" w:hAnsi="Arial" w:cs="Arial"/>
                <w:b/>
                <w:bCs/>
                <w:sz w:val="18"/>
                <w:szCs w:val="18"/>
              </w:rPr>
            </w:pPr>
            <w:r w:rsidRPr="0003172F">
              <w:rPr>
                <w:rFonts w:ascii="Arial" w:hAnsi="Arial" w:cs="Arial"/>
                <w:b/>
                <w:bCs/>
                <w:sz w:val="18"/>
                <w:szCs w:val="18"/>
              </w:rPr>
              <w:t>Urbanicity </w:t>
            </w:r>
            <w:r w:rsidRPr="0003172F">
              <w:rPr>
                <w:rFonts w:ascii="Arial" w:hAnsi="Arial" w:cs="Arial"/>
                <w:sz w:val="18"/>
                <w:szCs w:val="18"/>
              </w:rPr>
              <w:t> </w:t>
            </w:r>
          </w:p>
        </w:tc>
      </w:tr>
      <w:tr w14:paraId="3B4CEE98"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3A031C" w14:paraId="7A310FA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Urban</w:t>
            </w:r>
            <w:r w:rsidRPr="0003172F">
              <w:rPr>
                <w:rFonts w:ascii="Arial" w:hAnsi="Arial" w:cs="Arial"/>
                <w:color w:val="000000"/>
                <w:sz w:val="18"/>
                <w:szCs w:val="18"/>
                <w:vertAlign w:val="superscript"/>
              </w:rPr>
              <w:t>a</w:t>
            </w:r>
            <w:r w:rsidRPr="0003172F">
              <w:rPr>
                <w:rFonts w:ascii="Arial" w:hAnsi="Arial" w:cs="Arial"/>
                <w:color w:val="000000"/>
                <w:sz w:val="18"/>
                <w:szCs w:val="18"/>
              </w:rPr>
              <w:t>  </w:t>
            </w:r>
          </w:p>
        </w:tc>
        <w:tc>
          <w:tcPr>
            <w:tcW w:w="111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3A031C" w14:paraId="473356E9" w14:textId="77777777">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t>2,154</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1799F44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4.4</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083BF94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w:t>
            </w:r>
            <w:r>
              <w:rPr>
                <w:rFonts w:ascii="Arial" w:hAnsi="Arial" w:cs="Arial"/>
                <w:color w:val="000000"/>
                <w:sz w:val="18"/>
                <w:szCs w:val="18"/>
              </w:rPr>
              <w:t>,</w:t>
            </w:r>
            <w:r w:rsidRPr="0003172F">
              <w:rPr>
                <w:rFonts w:ascii="Arial" w:hAnsi="Arial" w:cs="Arial"/>
                <w:color w:val="000000"/>
                <w:sz w:val="18"/>
                <w:szCs w:val="18"/>
              </w:rPr>
              <w:t>174</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7FD77501"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07B0A18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2,451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1E3061F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4.4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412B695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1,256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3A031C" w14:paraId="39743CC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6.7  </w:t>
            </w:r>
          </w:p>
        </w:tc>
      </w:tr>
      <w:tr w14:paraId="73D9B3BD"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3A031C" w14:paraId="116A159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Rural</w:t>
            </w:r>
            <w:r w:rsidRPr="0003172F">
              <w:rPr>
                <w:rFonts w:ascii="Arial" w:hAnsi="Arial" w:cs="Arial"/>
                <w:color w:val="000000"/>
                <w:sz w:val="18"/>
                <w:szCs w:val="18"/>
                <w:vertAlign w:val="superscript"/>
              </w:rPr>
              <w:t>a</w:t>
            </w:r>
            <w:r w:rsidRPr="0003172F">
              <w:rPr>
                <w:rFonts w:ascii="Arial" w:hAnsi="Arial" w:cs="Arial"/>
                <w:color w:val="000000"/>
                <w:sz w:val="18"/>
                <w:szCs w:val="18"/>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2DC9EEB6" w14:textId="77777777">
            <w:pPr>
              <w:tabs>
                <w:tab w:val="clear" w:pos="432"/>
              </w:tabs>
              <w:spacing w:line="240" w:lineRule="auto"/>
              <w:ind w:firstLine="0"/>
              <w:jc w:val="left"/>
              <w:rPr>
                <w:rFonts w:ascii="Arial" w:hAnsi="Arial" w:cs="Arial"/>
                <w:color w:val="000000"/>
                <w:sz w:val="18"/>
                <w:szCs w:val="18"/>
              </w:rPr>
            </w:pPr>
            <w:r>
              <w:rPr>
                <w:rFonts w:ascii="Arial" w:hAnsi="Arial" w:cs="Arial"/>
                <w:color w:val="000000"/>
                <w:sz w:val="18"/>
                <w:szCs w:val="18"/>
              </w:rPr>
              <w:t>1,148</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36D774D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02AA22D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626</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5407579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8.2</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38B717C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1,689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63178C9F"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5.4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3A031C" w14:paraId="197AA87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864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3A031C" w14:paraId="119DF55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7.3  </w:t>
            </w:r>
          </w:p>
        </w:tc>
      </w:tr>
      <w:tr w14:paraId="55D63773" w14:textId="77777777" w:rsidTr="044243A3">
        <w:tblPrEx>
          <w:tblW w:w="9279" w:type="dxa"/>
          <w:tblLook w:val="04A0"/>
        </w:tblPrEx>
        <w:trPr>
          <w:trHeight w:val="300"/>
        </w:trPr>
        <w:tc>
          <w:tcPr>
            <w:tcW w:w="9279" w:type="dxa"/>
            <w:gridSpan w:val="9"/>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rsidR="00687FE8" w:rsidRPr="0003172F" w:rsidP="00F13EFE" w14:paraId="01D14F27" w14:textId="77777777">
            <w:pPr>
              <w:tabs>
                <w:tab w:val="clear" w:pos="432"/>
              </w:tabs>
              <w:spacing w:line="240" w:lineRule="auto"/>
              <w:ind w:firstLine="0"/>
              <w:jc w:val="left"/>
              <w:rPr>
                <w:rFonts w:ascii="Arial" w:hAnsi="Arial" w:cs="Arial"/>
                <w:b/>
                <w:bCs/>
                <w:sz w:val="18"/>
                <w:szCs w:val="18"/>
              </w:rPr>
            </w:pPr>
            <w:r w:rsidRPr="0003172F">
              <w:rPr>
                <w:rFonts w:ascii="Arial" w:hAnsi="Arial" w:cs="Arial"/>
                <w:b/>
                <w:bCs/>
                <w:sz w:val="18"/>
                <w:szCs w:val="18"/>
              </w:rPr>
              <w:t>Race/ethnicity </w:t>
            </w:r>
            <w:r w:rsidRPr="0003172F">
              <w:rPr>
                <w:rFonts w:ascii="Arial" w:hAnsi="Arial" w:cs="Arial"/>
                <w:sz w:val="18"/>
                <w:szCs w:val="18"/>
              </w:rPr>
              <w:t> </w:t>
            </w:r>
          </w:p>
        </w:tc>
      </w:tr>
      <w:tr w14:paraId="10C3AC1A" w14:textId="77777777" w:rsidTr="044243A3">
        <w:tblPrEx>
          <w:tblW w:w="9279" w:type="dxa"/>
          <w:tblLook w:val="04A0"/>
        </w:tblPrEx>
        <w:trPr>
          <w:trHeight w:val="7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161A1E0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Non-Hispanic Black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2FEEEE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391</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920C1A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10.4</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8B20F6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213</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2064DF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14.0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6EA8A1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544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EC0BAE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9.0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2CFC17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279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573E6C0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11.0  </w:t>
            </w:r>
          </w:p>
        </w:tc>
      </w:tr>
      <w:tr w14:paraId="3DB5481A" w14:textId="77777777" w:rsidTr="044243A3">
        <w:tblPrEx>
          <w:tblW w:w="9279" w:type="dxa"/>
          <w:tblLook w:val="04A0"/>
        </w:tblPrEx>
        <w:trPr>
          <w:trHeight w:val="71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3DAE2D9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Non-Hispanic White</w:t>
            </w:r>
            <w:r w:rsidRPr="0003172F">
              <w:rPr>
                <w:rFonts w:ascii="Arial" w:hAnsi="Arial" w:cs="Arial"/>
                <w:color w:val="000000"/>
                <w:sz w:val="18"/>
                <w:szCs w:val="18"/>
                <w:vertAlign w:val="superscript"/>
              </w:rPr>
              <w:t>a</w:t>
            </w:r>
            <w:r w:rsidRPr="0003172F">
              <w:rPr>
                <w:rFonts w:ascii="Arial" w:hAnsi="Arial" w:cs="Arial"/>
                <w:color w:val="000000"/>
                <w:sz w:val="18"/>
                <w:szCs w:val="18"/>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E1728D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w:t>
            </w:r>
            <w:r>
              <w:rPr>
                <w:rFonts w:ascii="Arial" w:hAnsi="Arial" w:cs="Arial"/>
                <w:color w:val="000000"/>
                <w:sz w:val="18"/>
                <w:szCs w:val="18"/>
              </w:rPr>
              <w:t>,</w:t>
            </w:r>
            <w:r w:rsidRPr="0003172F">
              <w:rPr>
                <w:rFonts w:ascii="Arial" w:hAnsi="Arial" w:cs="Arial"/>
                <w:color w:val="000000"/>
                <w:sz w:val="18"/>
                <w:szCs w:val="18"/>
              </w:rPr>
              <w:t>166</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9874C3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4.4</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68316E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w:t>
            </w:r>
            <w:r>
              <w:rPr>
                <w:rFonts w:ascii="Arial" w:hAnsi="Arial" w:cs="Arial"/>
                <w:color w:val="000000"/>
                <w:sz w:val="18"/>
                <w:szCs w:val="18"/>
              </w:rPr>
              <w:t>,</w:t>
            </w:r>
            <w:r w:rsidRPr="0003172F">
              <w:rPr>
                <w:rFonts w:ascii="Arial" w:hAnsi="Arial" w:cs="Arial"/>
                <w:color w:val="000000"/>
                <w:sz w:val="18"/>
                <w:szCs w:val="18"/>
              </w:rPr>
              <w:t>181</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E131FC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EB69FB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2,808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F19C61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4.0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AD1F49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1,440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43A2201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4.9  </w:t>
            </w:r>
          </w:p>
        </w:tc>
      </w:tr>
      <w:tr w14:paraId="0C6BF158"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6E9BE70F"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Hispanic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DFC0D9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557</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9A1CC9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8.7</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F32B75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303</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7B1440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11.8</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68B80D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634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0DA3F61"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8.3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FBE111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325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49A2FA5F"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10.2  </w:t>
            </w:r>
          </w:p>
        </w:tc>
      </w:tr>
      <w:tr w14:paraId="0F40106C" w14:textId="77777777" w:rsidTr="044243A3">
        <w:tblPrEx>
          <w:tblW w:w="9279" w:type="dxa"/>
          <w:tblLook w:val="04A0"/>
        </w:tblPrEx>
        <w:trPr>
          <w:trHeight w:val="300"/>
        </w:trPr>
        <w:tc>
          <w:tcPr>
            <w:tcW w:w="9279" w:type="dxa"/>
            <w:gridSpan w:val="9"/>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rsidR="00687FE8" w:rsidRPr="0003172F" w:rsidP="00F13EFE" w14:paraId="241686DA" w14:textId="77777777">
            <w:pPr>
              <w:tabs>
                <w:tab w:val="clear" w:pos="432"/>
              </w:tabs>
              <w:spacing w:line="240" w:lineRule="auto"/>
              <w:ind w:firstLine="0"/>
              <w:jc w:val="left"/>
              <w:rPr>
                <w:rFonts w:ascii="Arial" w:hAnsi="Arial" w:cs="Arial"/>
                <w:b/>
                <w:bCs/>
                <w:sz w:val="18"/>
                <w:szCs w:val="18"/>
              </w:rPr>
            </w:pPr>
            <w:r w:rsidRPr="0003172F">
              <w:rPr>
                <w:rFonts w:ascii="Arial" w:hAnsi="Arial" w:cs="Arial"/>
                <w:b/>
                <w:bCs/>
                <w:sz w:val="18"/>
                <w:szCs w:val="18"/>
              </w:rPr>
              <w:t>Approved for free/reduced-price meals </w:t>
            </w:r>
            <w:r w:rsidRPr="0003172F">
              <w:rPr>
                <w:rFonts w:ascii="Arial" w:hAnsi="Arial" w:cs="Arial"/>
                <w:sz w:val="18"/>
                <w:szCs w:val="18"/>
              </w:rPr>
              <w:t> </w:t>
            </w:r>
          </w:p>
        </w:tc>
      </w:tr>
      <w:tr w14:paraId="058CF435"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27C2ADB1"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Yes</w:t>
            </w:r>
            <w:r w:rsidRPr="0003172F">
              <w:rPr>
                <w:rFonts w:ascii="Arial" w:hAnsi="Arial" w:cs="Arial"/>
                <w:color w:val="000000"/>
                <w:sz w:val="11"/>
                <w:szCs w:val="11"/>
                <w:vertAlign w:val="superscript"/>
              </w:rPr>
              <w:t>a</w:t>
            </w:r>
            <w:r w:rsidRPr="0003172F">
              <w:rPr>
                <w:rFonts w:ascii="Arial" w:hAnsi="Arial" w:cs="Arial"/>
                <w:color w:val="000000"/>
                <w:sz w:val="14"/>
                <w:szCs w:val="14"/>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28E2A7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w:t>
            </w:r>
            <w:r>
              <w:rPr>
                <w:rFonts w:ascii="Arial" w:hAnsi="Arial" w:cs="Arial"/>
                <w:color w:val="000000"/>
                <w:sz w:val="18"/>
                <w:szCs w:val="18"/>
              </w:rPr>
              <w:t>,</w:t>
            </w:r>
            <w:r w:rsidRPr="0003172F">
              <w:rPr>
                <w:rFonts w:ascii="Arial" w:hAnsi="Arial" w:cs="Arial"/>
                <w:color w:val="000000"/>
                <w:sz w:val="18"/>
                <w:szCs w:val="18"/>
              </w:rPr>
              <w:t>966</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2FF851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4.6</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FA1EBB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w:t>
            </w:r>
            <w:r>
              <w:rPr>
                <w:rFonts w:ascii="Arial" w:hAnsi="Arial" w:cs="Arial"/>
                <w:color w:val="000000"/>
                <w:sz w:val="18"/>
                <w:szCs w:val="18"/>
              </w:rPr>
              <w:t>,</w:t>
            </w:r>
            <w:r w:rsidRPr="0003172F">
              <w:rPr>
                <w:rFonts w:ascii="Arial" w:hAnsi="Arial" w:cs="Arial"/>
                <w:color w:val="000000"/>
                <w:sz w:val="18"/>
                <w:szCs w:val="18"/>
              </w:rPr>
              <w:t>072</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1DCD14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6.3</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F56608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2,300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FC2B22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4.6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B394D1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943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004F842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6.7  </w:t>
            </w:r>
          </w:p>
        </w:tc>
      </w:tr>
      <w:tr w14:paraId="47C1DCA7"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0B813F4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No</w:t>
            </w:r>
            <w:r w:rsidRPr="0003172F">
              <w:rPr>
                <w:rFonts w:ascii="Arial" w:hAnsi="Arial" w:cs="Arial"/>
                <w:color w:val="000000"/>
                <w:sz w:val="11"/>
                <w:szCs w:val="11"/>
                <w:vertAlign w:val="superscript"/>
              </w:rPr>
              <w:t>a</w:t>
            </w:r>
            <w:r w:rsidRPr="0003172F">
              <w:rPr>
                <w:rFonts w:ascii="Arial" w:hAnsi="Arial" w:cs="Arial"/>
                <w:color w:val="000000"/>
                <w:sz w:val="14"/>
                <w:szCs w:val="14"/>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865DE4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w:t>
            </w:r>
            <w:r>
              <w:rPr>
                <w:rFonts w:ascii="Arial" w:hAnsi="Arial" w:cs="Arial"/>
                <w:color w:val="000000"/>
                <w:sz w:val="18"/>
                <w:szCs w:val="18"/>
              </w:rPr>
              <w:t>,</w:t>
            </w:r>
            <w:r w:rsidRPr="0003172F">
              <w:rPr>
                <w:rFonts w:ascii="Arial" w:hAnsi="Arial" w:cs="Arial"/>
                <w:color w:val="000000"/>
                <w:sz w:val="18"/>
                <w:szCs w:val="18"/>
              </w:rPr>
              <w:t>336</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70CF5A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5.6</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7394EE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728</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C94CD2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7.6</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38F5E2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1,840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E1D053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5.1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A5E0E9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1,177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256250C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7.3  </w:t>
            </w:r>
          </w:p>
        </w:tc>
      </w:tr>
      <w:tr w14:paraId="2F93E21E" w14:textId="77777777" w:rsidTr="044243A3">
        <w:tblPrEx>
          <w:tblW w:w="9279" w:type="dxa"/>
          <w:tblLook w:val="04A0"/>
        </w:tblPrEx>
        <w:trPr>
          <w:trHeight w:val="300"/>
        </w:trPr>
        <w:tc>
          <w:tcPr>
            <w:tcW w:w="9279" w:type="dxa"/>
            <w:gridSpan w:val="9"/>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rsidR="00687FE8" w:rsidRPr="0003172F" w:rsidP="00F13EFE" w14:paraId="733ABDE5" w14:textId="77777777">
            <w:pPr>
              <w:tabs>
                <w:tab w:val="clear" w:pos="432"/>
              </w:tabs>
              <w:spacing w:line="240" w:lineRule="auto"/>
              <w:ind w:firstLine="0"/>
              <w:jc w:val="left"/>
              <w:rPr>
                <w:rFonts w:ascii="Arial" w:hAnsi="Arial" w:cs="Arial"/>
                <w:b/>
                <w:bCs/>
                <w:sz w:val="18"/>
                <w:szCs w:val="18"/>
              </w:rPr>
            </w:pPr>
            <w:r w:rsidRPr="0003172F">
              <w:rPr>
                <w:rFonts w:ascii="Arial" w:hAnsi="Arial" w:cs="Arial"/>
                <w:b/>
                <w:bCs/>
                <w:sz w:val="18"/>
                <w:szCs w:val="18"/>
              </w:rPr>
              <w:t>FNS region </w:t>
            </w:r>
            <w:r w:rsidRPr="0003172F">
              <w:rPr>
                <w:rFonts w:ascii="Arial" w:hAnsi="Arial" w:cs="Arial"/>
                <w:sz w:val="18"/>
                <w:szCs w:val="18"/>
              </w:rPr>
              <w:t> </w:t>
            </w:r>
          </w:p>
        </w:tc>
      </w:tr>
      <w:tr w14:paraId="3CDA03D3" w14:textId="77777777" w:rsidTr="044243A3">
        <w:tblPrEx>
          <w:tblW w:w="9279" w:type="dxa"/>
          <w:tblLook w:val="04A0"/>
        </w:tblPrEx>
        <w:trPr>
          <w:trHeight w:val="47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57567057"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Mid-Atlantic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A20927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337</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E9FEFC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11.2</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8BE1AC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184</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0171A31"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15.1</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1549CF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332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616C7C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12.1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2FA4C5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170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0750ABC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17.0  </w:t>
            </w:r>
          </w:p>
        </w:tc>
      </w:tr>
      <w:tr w14:paraId="19DBED51"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12D1810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Midwest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A4FDF6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585</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53A67E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CB101E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319</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DA3C85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F49E3B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891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0B18DB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7.3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697769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456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5BAD13C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10.4  </w:t>
            </w:r>
          </w:p>
        </w:tc>
      </w:tr>
      <w:tr w14:paraId="115AE93C"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252C0F3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Mountain</w:t>
            </w:r>
            <w:r>
              <w:rPr>
                <w:rFonts w:ascii="Arial" w:hAnsi="Arial" w:cs="Arial"/>
                <w:color w:val="000000"/>
                <w:sz w:val="18"/>
                <w:szCs w:val="18"/>
              </w:rPr>
              <w:t xml:space="preserve"> Plains</w:t>
            </w:r>
            <w:r w:rsidRPr="0003172F">
              <w:rPr>
                <w:rFonts w:ascii="Arial" w:hAnsi="Arial" w:cs="Arial"/>
                <w:color w:val="000000"/>
                <w:sz w:val="18"/>
                <w:szCs w:val="18"/>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650CC8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491</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4C35A8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9.2</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57557D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268</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1B8C38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12.5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831F0C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257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EEDE65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13.7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7AB7E4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132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0918A41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19.3  </w:t>
            </w:r>
          </w:p>
        </w:tc>
      </w:tr>
      <w:tr w14:paraId="57B7C11A"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67B25A1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Northeast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037268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343</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ECD104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11.1</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BF5954F"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187</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76DCFA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15.0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AC4900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421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1D69CF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10.7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1504E3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216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70D5DE2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15.1  </w:t>
            </w:r>
          </w:p>
        </w:tc>
      </w:tr>
      <w:tr w14:paraId="48354AA8" w14:textId="77777777" w:rsidTr="044243A3">
        <w:tblPrEx>
          <w:tblW w:w="9279" w:type="dxa"/>
          <w:tblLook w:val="04A0"/>
        </w:tblPrEx>
        <w:trPr>
          <w:trHeight w:val="47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3F77DAF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Southeast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416F08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501</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F15F52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9.2</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86AED7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273</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924408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12.4</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ECC365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990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B4C688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7.0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D5348E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506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7F21A14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9.8  </w:t>
            </w:r>
          </w:p>
        </w:tc>
      </w:tr>
      <w:tr w14:paraId="10891353" w14:textId="77777777" w:rsidTr="044243A3">
        <w:tblPrEx>
          <w:tblW w:w="9279" w:type="dxa"/>
          <w:tblLook w:val="04A0"/>
        </w:tblPrEx>
        <w:trPr>
          <w:trHeight w:val="47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3F7DE07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Southwest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B19932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587</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F2FB33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3FAE93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320</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BD2EC6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11.4</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5C509E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692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31AE4B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8.4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9C5715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355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6698D75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11.7  </w:t>
            </w:r>
          </w:p>
        </w:tc>
      </w:tr>
      <w:tr w14:paraId="7B19853E" w14:textId="77777777" w:rsidTr="044243A3">
        <w:tblPrEx>
          <w:tblW w:w="9279" w:type="dxa"/>
          <w:tblLook w:val="04A0"/>
        </w:tblPrEx>
        <w:trPr>
          <w:trHeight w:val="3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75B702E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West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8F7817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458</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A2F27A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9.6</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E0FD3B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250</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03A860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13.0</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0346CE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557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642696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9.3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CD36B71"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285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45CD96A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13.1  </w:t>
            </w:r>
          </w:p>
        </w:tc>
      </w:tr>
      <w:tr w14:paraId="78B7947D" w14:textId="77777777" w:rsidTr="044243A3">
        <w:tblPrEx>
          <w:tblW w:w="9279" w:type="dxa"/>
          <w:tblLook w:val="04A0"/>
        </w:tblPrEx>
        <w:trPr>
          <w:trHeight w:val="300"/>
        </w:trPr>
        <w:tc>
          <w:tcPr>
            <w:tcW w:w="9279" w:type="dxa"/>
            <w:gridSpan w:val="9"/>
            <w:tcBorders>
              <w:top w:val="single" w:sz="8" w:space="0" w:color="000000" w:themeColor="text1"/>
              <w:left w:val="single" w:sz="4" w:space="0" w:color="000000" w:themeColor="text1"/>
              <w:bottom w:val="single" w:sz="8" w:space="0" w:color="000000" w:themeColor="text1"/>
              <w:right w:val="single" w:sz="4" w:space="0" w:color="000000" w:themeColor="text1"/>
            </w:tcBorders>
            <w:shd w:val="clear" w:color="auto" w:fill="D9D9D9" w:themeFill="background1" w:themeFillShade="D9"/>
            <w:vAlign w:val="center"/>
            <w:hideMark/>
          </w:tcPr>
          <w:p w:rsidR="00687FE8" w:rsidRPr="0003172F" w:rsidP="00F13EFE" w14:paraId="1D19900A" w14:textId="77777777">
            <w:pPr>
              <w:tabs>
                <w:tab w:val="clear" w:pos="432"/>
              </w:tabs>
              <w:spacing w:line="240" w:lineRule="auto"/>
              <w:ind w:firstLine="0"/>
              <w:jc w:val="left"/>
              <w:rPr>
                <w:rFonts w:ascii="Arial" w:hAnsi="Arial" w:cs="Arial"/>
                <w:b/>
                <w:bCs/>
                <w:sz w:val="18"/>
                <w:szCs w:val="18"/>
              </w:rPr>
            </w:pPr>
            <w:r w:rsidRPr="0003172F">
              <w:rPr>
                <w:rFonts w:ascii="Arial" w:hAnsi="Arial" w:cs="Arial"/>
                <w:b/>
                <w:bCs/>
                <w:sz w:val="18"/>
                <w:szCs w:val="18"/>
              </w:rPr>
              <w:t>HSMFA/CEP status of school</w:t>
            </w:r>
            <w:r w:rsidRPr="0003172F">
              <w:rPr>
                <w:rFonts w:ascii="Arial" w:hAnsi="Arial" w:cs="Arial"/>
                <w:b/>
                <w:bCs/>
                <w:sz w:val="14"/>
                <w:szCs w:val="14"/>
                <w:vertAlign w:val="superscript"/>
              </w:rPr>
              <w:t>b </w:t>
            </w:r>
            <w:r w:rsidRPr="0003172F">
              <w:rPr>
                <w:rFonts w:ascii="Arial" w:hAnsi="Arial" w:cs="Arial"/>
                <w:sz w:val="14"/>
                <w:szCs w:val="14"/>
              </w:rPr>
              <w:t> </w:t>
            </w:r>
          </w:p>
        </w:tc>
      </w:tr>
      <w:tr w14:paraId="7448147C" w14:textId="77777777" w:rsidTr="044243A3">
        <w:tblPrEx>
          <w:tblW w:w="9279" w:type="dxa"/>
          <w:tblLook w:val="04A0"/>
        </w:tblPrEx>
        <w:trPr>
          <w:trHeight w:val="80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35C87CD7" w14:textId="77777777">
            <w:pPr>
              <w:tabs>
                <w:tab w:val="clear" w:pos="432"/>
              </w:tabs>
              <w:spacing w:line="240" w:lineRule="auto"/>
              <w:ind w:firstLine="0"/>
              <w:jc w:val="left"/>
              <w:rPr>
                <w:rFonts w:ascii="Arial" w:hAnsi="Arial" w:cs="Arial"/>
                <w:color w:val="000000"/>
                <w:sz w:val="18"/>
                <w:szCs w:val="18"/>
              </w:rPr>
            </w:pPr>
            <w:r w:rsidRPr="044243A3">
              <w:rPr>
                <w:rFonts w:ascii="Arial" w:hAnsi="Arial" w:cs="Arial"/>
                <w:color w:val="000000" w:themeColor="text1"/>
                <w:sz w:val="18"/>
                <w:szCs w:val="18"/>
              </w:rPr>
              <w:t>Schools in HSMFA States</w:t>
            </w:r>
            <w:r w:rsidR="00107BF3">
              <w:rPr>
                <w:rFonts w:ascii="Arial" w:hAnsi="Arial" w:cs="Arial"/>
                <w:color w:val="000000" w:themeColor="text1"/>
                <w:sz w:val="18"/>
                <w:szCs w:val="18"/>
              </w:rPr>
              <w:t xml:space="preserve"> (regardless of CEP status)</w:t>
            </w:r>
            <w:r w:rsidRPr="044243A3">
              <w:rPr>
                <w:rFonts w:ascii="Arial" w:hAnsi="Arial" w:cs="Arial"/>
                <w:color w:val="000000" w:themeColor="text1"/>
                <w:sz w:val="18"/>
                <w:szCs w:val="18"/>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76A20A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706</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D7319E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7.7</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3B69DF1"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385</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FD628B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10.4</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5E44880"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884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1BE186F"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6.9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4BC548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453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6803C922"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9.6  </w:t>
            </w:r>
          </w:p>
        </w:tc>
      </w:tr>
      <w:tr w14:paraId="21AFE802" w14:textId="77777777" w:rsidTr="044243A3">
        <w:tblPrEx>
          <w:tblW w:w="9279" w:type="dxa"/>
          <w:tblLook w:val="04A0"/>
        </w:tblPrEx>
        <w:trPr>
          <w:trHeight w:val="1080"/>
        </w:trPr>
        <w:tc>
          <w:tcPr>
            <w:tcW w:w="1280" w:type="dxa"/>
            <w:tcBorders>
              <w:top w:val="nil"/>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0C46D1E9"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Non-HSMFA CEP schools</w:t>
            </w:r>
            <w:r w:rsidRPr="0003172F">
              <w:rPr>
                <w:rFonts w:ascii="Arial" w:hAnsi="Arial" w:cs="Arial"/>
                <w:color w:val="000000"/>
                <w:sz w:val="18"/>
                <w:szCs w:val="18"/>
                <w:vertAlign w:val="superscript"/>
              </w:rPr>
              <w:t>a</w:t>
            </w:r>
            <w:r w:rsidRPr="0003172F">
              <w:rPr>
                <w:rFonts w:ascii="Arial" w:hAnsi="Arial" w:cs="Arial"/>
                <w:color w:val="000000"/>
                <w:sz w:val="18"/>
                <w:szCs w:val="18"/>
              </w:rPr>
              <w:t>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3EF8AAC"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991</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7A7B6B5"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6.5</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8192FDF"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540</w:t>
            </w:r>
          </w:p>
        </w:tc>
        <w:tc>
          <w:tcPr>
            <w:tcW w:w="888"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694E49F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8.8</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B794FC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1,242  </w:t>
            </w:r>
          </w:p>
        </w:tc>
        <w:tc>
          <w:tcPr>
            <w:tcW w:w="86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77F6F343"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5.8  </w:t>
            </w:r>
          </w:p>
        </w:tc>
        <w:tc>
          <w:tcPr>
            <w:tcW w:w="1117" w:type="dxa"/>
            <w:tcBorders>
              <w:top w:val="nil"/>
              <w:left w:val="nil"/>
              <w:bottom w:val="single" w:sz="8" w:space="0" w:color="000000" w:themeColor="text1"/>
              <w:right w:val="single" w:sz="8" w:space="0" w:color="000000" w:themeColor="text1"/>
            </w:tcBorders>
            <w:shd w:val="clear" w:color="auto" w:fill="auto"/>
            <w:vAlign w:val="center"/>
            <w:hideMark/>
          </w:tcPr>
          <w:p w:rsidR="00687FE8" w:rsidRPr="0003172F" w:rsidP="00F13EFE" w14:paraId="57DF4D5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636  </w:t>
            </w:r>
          </w:p>
        </w:tc>
        <w:tc>
          <w:tcPr>
            <w:tcW w:w="888" w:type="dxa"/>
            <w:tcBorders>
              <w:top w:val="nil"/>
              <w:left w:val="nil"/>
              <w:bottom w:val="single" w:sz="8" w:space="0" w:color="000000" w:themeColor="text1"/>
              <w:right w:val="single" w:sz="4" w:space="0" w:color="000000" w:themeColor="text1"/>
            </w:tcBorders>
            <w:shd w:val="clear" w:color="auto" w:fill="auto"/>
            <w:vAlign w:val="center"/>
            <w:hideMark/>
          </w:tcPr>
          <w:p w:rsidR="00687FE8" w:rsidRPr="0003172F" w:rsidP="00F13EFE" w14:paraId="2CA71A7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8.1  </w:t>
            </w:r>
          </w:p>
        </w:tc>
      </w:tr>
      <w:tr w14:paraId="78140886" w14:textId="77777777" w:rsidTr="044243A3">
        <w:tblPrEx>
          <w:tblW w:w="9279" w:type="dxa"/>
          <w:tblLook w:val="04A0"/>
        </w:tblPrEx>
        <w:trPr>
          <w:trHeight w:val="470"/>
        </w:trPr>
        <w:tc>
          <w:tcPr>
            <w:tcW w:w="128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auto"/>
            <w:vAlign w:val="center"/>
            <w:hideMark/>
          </w:tcPr>
          <w:p w:rsidR="00687FE8" w:rsidRPr="0003172F" w:rsidP="00F13EFE" w14:paraId="746449D9" w14:textId="77777777">
            <w:pPr>
              <w:tabs>
                <w:tab w:val="clear" w:pos="432"/>
              </w:tabs>
              <w:spacing w:line="240" w:lineRule="auto"/>
              <w:ind w:firstLine="0"/>
              <w:jc w:val="left"/>
              <w:rPr>
                <w:rFonts w:ascii="Arial" w:hAnsi="Arial" w:cs="Arial"/>
                <w:color w:val="000000"/>
                <w:sz w:val="18"/>
                <w:szCs w:val="18"/>
              </w:rPr>
            </w:pPr>
            <w:r w:rsidRPr="044243A3">
              <w:rPr>
                <w:rFonts w:ascii="Arial" w:hAnsi="Arial" w:cs="Arial"/>
                <w:color w:val="000000" w:themeColor="text1"/>
                <w:sz w:val="18"/>
                <w:szCs w:val="18"/>
              </w:rPr>
              <w:t>All other schools</w:t>
            </w:r>
            <w:r w:rsidRPr="044243A3">
              <w:rPr>
                <w:rFonts w:ascii="Arial" w:hAnsi="Arial" w:cs="Arial"/>
                <w:color w:val="000000" w:themeColor="text1"/>
                <w:sz w:val="18"/>
                <w:szCs w:val="18"/>
                <w:vertAlign w:val="superscript"/>
              </w:rPr>
              <w:t>a</w:t>
            </w:r>
            <w:r w:rsidRPr="044243A3">
              <w:rPr>
                <w:rFonts w:ascii="Arial" w:hAnsi="Arial" w:cs="Arial"/>
                <w:color w:val="000000" w:themeColor="text1"/>
                <w:sz w:val="18"/>
                <w:szCs w:val="18"/>
              </w:rPr>
              <w:t>  </w:t>
            </w:r>
          </w:p>
        </w:tc>
        <w:tc>
          <w:tcPr>
            <w:tcW w:w="111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67201B8"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w:t>
            </w:r>
            <w:r>
              <w:rPr>
                <w:rFonts w:ascii="Arial" w:hAnsi="Arial" w:cs="Arial"/>
                <w:color w:val="000000"/>
                <w:sz w:val="18"/>
                <w:szCs w:val="18"/>
              </w:rPr>
              <w:t>,</w:t>
            </w:r>
            <w:r w:rsidRPr="0003172F">
              <w:rPr>
                <w:rFonts w:ascii="Arial" w:hAnsi="Arial" w:cs="Arial"/>
                <w:color w:val="000000"/>
                <w:sz w:val="18"/>
                <w:szCs w:val="18"/>
              </w:rPr>
              <w:t>605</w:t>
            </w:r>
          </w:p>
        </w:tc>
        <w:tc>
          <w:tcPr>
            <w:tcW w:w="888"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EB8BB4D"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5.1</w:t>
            </w:r>
          </w:p>
        </w:tc>
        <w:tc>
          <w:tcPr>
            <w:tcW w:w="111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2FF62914"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875</w:t>
            </w:r>
          </w:p>
        </w:tc>
        <w:tc>
          <w:tcPr>
            <w:tcW w:w="888"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1192AF4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6.9</w:t>
            </w:r>
          </w:p>
        </w:tc>
        <w:tc>
          <w:tcPr>
            <w:tcW w:w="111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435ABD16"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2,013  </w:t>
            </w:r>
          </w:p>
        </w:tc>
        <w:tc>
          <w:tcPr>
            <w:tcW w:w="86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0B14D8BA"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4.6  </w:t>
            </w:r>
          </w:p>
        </w:tc>
        <w:tc>
          <w:tcPr>
            <w:tcW w:w="1117" w:type="dxa"/>
            <w:tcBorders>
              <w:top w:val="single" w:sz="8" w:space="0" w:color="000000" w:themeColor="text1"/>
              <w:left w:val="nil"/>
              <w:bottom w:val="single" w:sz="8" w:space="0" w:color="000000" w:themeColor="text1"/>
              <w:right w:val="single" w:sz="8" w:space="0" w:color="000000" w:themeColor="text1"/>
            </w:tcBorders>
            <w:shd w:val="clear" w:color="auto" w:fill="auto"/>
            <w:vAlign w:val="center"/>
            <w:hideMark/>
          </w:tcPr>
          <w:p w:rsidR="00687FE8" w:rsidRPr="0003172F" w:rsidP="00F13EFE" w14:paraId="39CB01FB"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1,031  </w:t>
            </w:r>
          </w:p>
        </w:tc>
        <w:tc>
          <w:tcPr>
            <w:tcW w:w="888" w:type="dxa"/>
            <w:tcBorders>
              <w:top w:val="single" w:sz="8" w:space="0" w:color="000000" w:themeColor="text1"/>
              <w:left w:val="nil"/>
              <w:bottom w:val="single" w:sz="8" w:space="0" w:color="000000" w:themeColor="text1"/>
              <w:right w:val="single" w:sz="4" w:space="0" w:color="000000" w:themeColor="text1"/>
            </w:tcBorders>
            <w:shd w:val="clear" w:color="auto" w:fill="auto"/>
            <w:vAlign w:val="center"/>
            <w:hideMark/>
          </w:tcPr>
          <w:p w:rsidR="00687FE8" w:rsidRPr="0003172F" w:rsidP="00F13EFE" w14:paraId="3C17CCAE" w14:textId="77777777">
            <w:pPr>
              <w:tabs>
                <w:tab w:val="clear" w:pos="432"/>
              </w:tabs>
              <w:spacing w:line="240" w:lineRule="auto"/>
              <w:ind w:firstLine="0"/>
              <w:jc w:val="left"/>
              <w:rPr>
                <w:rFonts w:ascii="Arial" w:hAnsi="Arial" w:cs="Arial"/>
                <w:color w:val="000000"/>
                <w:sz w:val="18"/>
                <w:szCs w:val="18"/>
              </w:rPr>
            </w:pPr>
            <w:r w:rsidRPr="0003172F">
              <w:rPr>
                <w:rFonts w:ascii="Arial" w:hAnsi="Arial" w:cs="Arial"/>
                <w:color w:val="000000"/>
                <w:sz w:val="18"/>
                <w:szCs w:val="18"/>
              </w:rPr>
              <w:t>6.4  </w:t>
            </w:r>
          </w:p>
        </w:tc>
      </w:tr>
      <w:tr w14:paraId="521FCEEC" w14:textId="77777777" w:rsidTr="044243A3">
        <w:tblPrEx>
          <w:tblW w:w="9279" w:type="dxa"/>
          <w:tblLook w:val="04A0"/>
        </w:tblPrEx>
        <w:trPr>
          <w:trHeight w:val="300"/>
        </w:trPr>
        <w:tc>
          <w:tcPr>
            <w:tcW w:w="1280" w:type="dxa"/>
            <w:tcBorders>
              <w:top w:val="single" w:sz="8" w:space="0" w:color="000000" w:themeColor="text1"/>
              <w:left w:val="single" w:sz="4" w:space="0" w:color="000000" w:themeColor="text1"/>
              <w:bottom w:val="single" w:sz="8" w:space="0" w:color="auto"/>
              <w:right w:val="single" w:sz="8" w:space="0" w:color="000000" w:themeColor="text1"/>
            </w:tcBorders>
            <w:shd w:val="clear" w:color="auto" w:fill="auto"/>
            <w:vAlign w:val="center"/>
            <w:hideMark/>
          </w:tcPr>
          <w:p w:rsidR="00687FE8" w:rsidRPr="00887F7A" w:rsidP="003A031C" w14:paraId="3397EA4D"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Total</w:t>
            </w:r>
            <w:r w:rsidRPr="00887F7A">
              <w:rPr>
                <w:rFonts w:ascii="Segoe UI" w:hAnsi="Segoe UI" w:cs="Segoe UI"/>
                <w:b/>
                <w:bCs/>
                <w:color w:val="000000"/>
                <w:sz w:val="18"/>
                <w:szCs w:val="18"/>
              </w:rPr>
              <w:t>  </w:t>
            </w:r>
          </w:p>
        </w:tc>
        <w:tc>
          <w:tcPr>
            <w:tcW w:w="1117" w:type="dxa"/>
            <w:tcBorders>
              <w:top w:val="single" w:sz="8" w:space="0" w:color="000000" w:themeColor="text1"/>
              <w:left w:val="nil"/>
              <w:bottom w:val="single" w:sz="8" w:space="0" w:color="auto"/>
              <w:right w:val="single" w:sz="8" w:space="0" w:color="000000" w:themeColor="text1"/>
            </w:tcBorders>
            <w:shd w:val="clear" w:color="auto" w:fill="auto"/>
            <w:vAlign w:val="center"/>
            <w:hideMark/>
          </w:tcPr>
          <w:p w:rsidR="00687FE8" w:rsidRPr="00887F7A" w:rsidP="00F13EFE" w14:paraId="66045BEB"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3,302</w:t>
            </w:r>
          </w:p>
        </w:tc>
        <w:tc>
          <w:tcPr>
            <w:tcW w:w="888" w:type="dxa"/>
            <w:tcBorders>
              <w:top w:val="single" w:sz="8" w:space="0" w:color="000000" w:themeColor="text1"/>
              <w:left w:val="nil"/>
              <w:bottom w:val="single" w:sz="8" w:space="0" w:color="auto"/>
              <w:right w:val="single" w:sz="8" w:space="0" w:color="000000" w:themeColor="text1"/>
            </w:tcBorders>
            <w:shd w:val="clear" w:color="auto" w:fill="auto"/>
            <w:vAlign w:val="center"/>
            <w:hideMark/>
          </w:tcPr>
          <w:p w:rsidR="00687FE8" w:rsidRPr="00887F7A" w:rsidP="00F13EFE" w14:paraId="50473F4E"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3.9</w:t>
            </w:r>
          </w:p>
        </w:tc>
        <w:tc>
          <w:tcPr>
            <w:tcW w:w="1117" w:type="dxa"/>
            <w:tcBorders>
              <w:top w:val="single" w:sz="8" w:space="0" w:color="000000" w:themeColor="text1"/>
              <w:left w:val="nil"/>
              <w:bottom w:val="single" w:sz="8" w:space="0" w:color="auto"/>
              <w:right w:val="single" w:sz="8" w:space="0" w:color="000000" w:themeColor="text1"/>
            </w:tcBorders>
            <w:shd w:val="clear" w:color="auto" w:fill="auto"/>
            <w:vAlign w:val="center"/>
            <w:hideMark/>
          </w:tcPr>
          <w:p w:rsidR="00687FE8" w:rsidRPr="00887F7A" w:rsidP="00F13EFE" w14:paraId="5854739E"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1,800</w:t>
            </w:r>
          </w:p>
        </w:tc>
        <w:tc>
          <w:tcPr>
            <w:tcW w:w="888" w:type="dxa"/>
            <w:tcBorders>
              <w:top w:val="single" w:sz="8" w:space="0" w:color="000000" w:themeColor="text1"/>
              <w:left w:val="nil"/>
              <w:bottom w:val="single" w:sz="8" w:space="0" w:color="auto"/>
              <w:right w:val="single" w:sz="8" w:space="0" w:color="000000" w:themeColor="text1"/>
            </w:tcBorders>
            <w:shd w:val="clear" w:color="auto" w:fill="auto"/>
            <w:vAlign w:val="center"/>
            <w:hideMark/>
          </w:tcPr>
          <w:p w:rsidR="00687FE8" w:rsidRPr="00887F7A" w:rsidP="00F13EFE" w14:paraId="3AE45DE6"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5.3</w:t>
            </w:r>
          </w:p>
        </w:tc>
        <w:tc>
          <w:tcPr>
            <w:tcW w:w="1117" w:type="dxa"/>
            <w:tcBorders>
              <w:top w:val="single" w:sz="8" w:space="0" w:color="000000" w:themeColor="text1"/>
              <w:left w:val="nil"/>
              <w:bottom w:val="single" w:sz="4" w:space="0" w:color="auto"/>
              <w:right w:val="single" w:sz="8" w:space="0" w:color="000000" w:themeColor="text1"/>
            </w:tcBorders>
            <w:shd w:val="clear" w:color="auto" w:fill="auto"/>
            <w:vAlign w:val="center"/>
            <w:hideMark/>
          </w:tcPr>
          <w:p w:rsidR="00687FE8" w:rsidRPr="00887F7A" w:rsidP="00F13EFE" w14:paraId="65F310CD"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4,140</w:t>
            </w:r>
            <w:r w:rsidRPr="00887F7A">
              <w:rPr>
                <w:rFonts w:ascii="Segoe UI" w:hAnsi="Segoe UI" w:cs="Segoe UI"/>
                <w:b/>
                <w:bCs/>
                <w:color w:val="000000"/>
                <w:sz w:val="18"/>
                <w:szCs w:val="18"/>
              </w:rPr>
              <w:t>  </w:t>
            </w:r>
          </w:p>
        </w:tc>
        <w:tc>
          <w:tcPr>
            <w:tcW w:w="867" w:type="dxa"/>
            <w:tcBorders>
              <w:top w:val="single" w:sz="8" w:space="0" w:color="000000" w:themeColor="text1"/>
              <w:left w:val="nil"/>
              <w:bottom w:val="single" w:sz="8" w:space="0" w:color="auto"/>
              <w:right w:val="single" w:sz="8" w:space="0" w:color="000000" w:themeColor="text1"/>
            </w:tcBorders>
            <w:shd w:val="clear" w:color="auto" w:fill="auto"/>
            <w:vAlign w:val="center"/>
            <w:hideMark/>
          </w:tcPr>
          <w:p w:rsidR="00687FE8" w:rsidRPr="00887F7A" w:rsidP="00F13EFE" w14:paraId="38D876EB"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3.4</w:t>
            </w:r>
            <w:r w:rsidRPr="00887F7A">
              <w:rPr>
                <w:rFonts w:ascii="Segoe UI" w:hAnsi="Segoe UI" w:cs="Segoe UI"/>
                <w:b/>
                <w:bCs/>
                <w:color w:val="000000"/>
                <w:sz w:val="18"/>
                <w:szCs w:val="18"/>
              </w:rPr>
              <w:t>  </w:t>
            </w:r>
          </w:p>
        </w:tc>
        <w:tc>
          <w:tcPr>
            <w:tcW w:w="1117" w:type="dxa"/>
            <w:tcBorders>
              <w:top w:val="single" w:sz="8" w:space="0" w:color="000000" w:themeColor="text1"/>
              <w:left w:val="nil"/>
              <w:bottom w:val="single" w:sz="8" w:space="0" w:color="auto"/>
              <w:right w:val="single" w:sz="8" w:space="0" w:color="000000" w:themeColor="text1"/>
            </w:tcBorders>
            <w:shd w:val="clear" w:color="auto" w:fill="auto"/>
            <w:vAlign w:val="center"/>
            <w:hideMark/>
          </w:tcPr>
          <w:p w:rsidR="00687FE8" w:rsidRPr="00887F7A" w:rsidP="00F13EFE" w14:paraId="6356E52B"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2,120</w:t>
            </w:r>
            <w:r w:rsidRPr="00887F7A">
              <w:rPr>
                <w:rFonts w:ascii="Segoe UI" w:hAnsi="Segoe UI" w:cs="Segoe UI"/>
                <w:b/>
                <w:bCs/>
                <w:color w:val="000000"/>
                <w:sz w:val="18"/>
                <w:szCs w:val="18"/>
              </w:rPr>
              <w:t>  </w:t>
            </w:r>
          </w:p>
        </w:tc>
        <w:tc>
          <w:tcPr>
            <w:tcW w:w="888" w:type="dxa"/>
            <w:tcBorders>
              <w:top w:val="single" w:sz="8" w:space="0" w:color="000000" w:themeColor="text1"/>
              <w:left w:val="nil"/>
              <w:bottom w:val="single" w:sz="8" w:space="0" w:color="auto"/>
              <w:right w:val="single" w:sz="4" w:space="0" w:color="000000" w:themeColor="text1"/>
            </w:tcBorders>
            <w:shd w:val="clear" w:color="auto" w:fill="auto"/>
            <w:vAlign w:val="center"/>
            <w:hideMark/>
          </w:tcPr>
          <w:p w:rsidR="00687FE8" w:rsidRPr="00887F7A" w:rsidP="00F13EFE" w14:paraId="17A28D9F" w14:textId="77777777">
            <w:pPr>
              <w:tabs>
                <w:tab w:val="clear" w:pos="432"/>
              </w:tabs>
              <w:spacing w:line="240" w:lineRule="auto"/>
              <w:ind w:firstLine="0"/>
              <w:jc w:val="left"/>
              <w:rPr>
                <w:rFonts w:ascii="Arial" w:hAnsi="Arial" w:cs="Arial"/>
                <w:b/>
                <w:bCs/>
                <w:color w:val="000000"/>
                <w:sz w:val="18"/>
                <w:szCs w:val="18"/>
              </w:rPr>
            </w:pPr>
            <w:r w:rsidRPr="00887F7A">
              <w:rPr>
                <w:rFonts w:ascii="Arial" w:hAnsi="Arial" w:cs="Arial"/>
                <w:b/>
                <w:bCs/>
                <w:color w:val="000000"/>
                <w:sz w:val="18"/>
                <w:szCs w:val="18"/>
              </w:rPr>
              <w:t>4.8</w:t>
            </w:r>
            <w:r w:rsidRPr="00887F7A">
              <w:rPr>
                <w:rFonts w:ascii="Segoe UI" w:hAnsi="Segoe UI" w:cs="Segoe UI"/>
                <w:b/>
                <w:bCs/>
                <w:color w:val="000000"/>
                <w:sz w:val="18"/>
                <w:szCs w:val="18"/>
              </w:rPr>
              <w:t>  </w:t>
            </w:r>
          </w:p>
        </w:tc>
      </w:tr>
    </w:tbl>
    <w:p w:rsidR="00687FE8" w:rsidRPr="001D0225" w:rsidP="001D0225" w14:paraId="29521C7C" w14:textId="77777777">
      <w:pPr>
        <w:pStyle w:val="TableFootnoteCaption"/>
        <w:ind w:left="1080" w:hanging="1080"/>
        <w:rPr>
          <w:rFonts w:ascii="Segoe UI" w:hAnsi="Segoe UI" w:cs="Segoe UI"/>
          <w:color w:val="000000"/>
          <w:sz w:val="15"/>
          <w:szCs w:val="15"/>
        </w:rPr>
      </w:pPr>
      <w:r w:rsidRPr="001D0225">
        <w:rPr>
          <w:sz w:val="15"/>
          <w:szCs w:val="15"/>
        </w:rPr>
        <w:t xml:space="preserve">Source: </w:t>
      </w:r>
      <w:r w:rsidRPr="001D0225">
        <w:rPr>
          <w:rFonts w:ascii="Calibri" w:hAnsi="Calibri" w:cs="Calibri"/>
          <w:sz w:val="15"/>
          <w:szCs w:val="15"/>
        </w:rPr>
        <w:tab/>
      </w:r>
      <w:r w:rsidRPr="001D0225">
        <w:rPr>
          <w:sz w:val="15"/>
          <w:szCs w:val="15"/>
        </w:rPr>
        <w:t>Simulations from the first iteration of SNMCS-II, using the 2018–2019 FNS-742 file and 2017–2018 CCD file, with some data coming from the 2016–2017 CCD file. The numbers in the table will be updated during sampling using the most recent data available. </w:t>
      </w:r>
    </w:p>
    <w:p w:rsidR="00687FE8" w:rsidRPr="001D0225" w:rsidP="001D0225" w14:paraId="4E1B9856" w14:textId="77777777">
      <w:pPr>
        <w:pStyle w:val="TableFootnoteCaption"/>
        <w:ind w:left="1080" w:hanging="1080"/>
        <w:rPr>
          <w:rFonts w:ascii="Segoe UI" w:hAnsi="Segoe UI" w:cs="Segoe UI"/>
          <w:color w:val="000000"/>
          <w:sz w:val="15"/>
          <w:szCs w:val="15"/>
        </w:rPr>
      </w:pPr>
      <w:r w:rsidRPr="001D0225">
        <w:rPr>
          <w:sz w:val="15"/>
          <w:szCs w:val="15"/>
        </w:rPr>
        <w:t xml:space="preserve">Note: </w:t>
      </w:r>
      <w:r w:rsidRPr="001D0225">
        <w:rPr>
          <w:sz w:val="15"/>
          <w:szCs w:val="15"/>
        </w:rPr>
        <w:tab/>
      </w:r>
      <w:r>
        <w:rPr>
          <w:sz w:val="15"/>
          <w:szCs w:val="15"/>
        </w:rPr>
        <w:tab/>
      </w:r>
      <w:r w:rsidRPr="001D0225">
        <w:rPr>
          <w:sz w:val="15"/>
          <w:szCs w:val="15"/>
        </w:rPr>
        <w:t>Confidence intervals are based on a 30 percent outcome. </w:t>
      </w:r>
    </w:p>
    <w:p w:rsidR="00687FE8" w:rsidRPr="001D0225" w:rsidP="001D0225" w14:paraId="13B00C89" w14:textId="77777777">
      <w:pPr>
        <w:pStyle w:val="TableFootnoteCaption"/>
        <w:rPr>
          <w:rFonts w:ascii="Segoe UI" w:hAnsi="Segoe UI" w:cs="Segoe UI"/>
          <w:color w:val="000000"/>
          <w:sz w:val="15"/>
          <w:szCs w:val="15"/>
        </w:rPr>
      </w:pPr>
      <w:r w:rsidRPr="001D0225">
        <w:rPr>
          <w:sz w:val="15"/>
          <w:szCs w:val="15"/>
          <w:vertAlign w:val="superscript"/>
        </w:rPr>
        <w:t xml:space="preserve">a </w:t>
      </w:r>
      <w:r w:rsidRPr="001D0225">
        <w:rPr>
          <w:sz w:val="15"/>
          <w:szCs w:val="15"/>
        </w:rPr>
        <w:t>Subgroup represents 25 percent or more of the population. </w:t>
      </w:r>
    </w:p>
    <w:p w:rsidR="00687FE8" w:rsidRPr="001D0225" w:rsidP="001D0225" w14:paraId="63DDAFD2" w14:textId="77777777">
      <w:pPr>
        <w:pStyle w:val="TableFootnoteCaption"/>
        <w:rPr>
          <w:rFonts w:ascii="Segoe UI" w:hAnsi="Segoe UI" w:cs="Segoe UI"/>
          <w:color w:val="000000"/>
          <w:sz w:val="15"/>
          <w:szCs w:val="15"/>
        </w:rPr>
      </w:pPr>
      <w:r w:rsidRPr="001D0225">
        <w:rPr>
          <w:sz w:val="15"/>
          <w:szCs w:val="15"/>
          <w:vertAlign w:val="superscript"/>
        </w:rPr>
        <w:t>b</w:t>
      </w:r>
      <w:r w:rsidRPr="001D0225">
        <w:rPr>
          <w:sz w:val="15"/>
          <w:szCs w:val="15"/>
        </w:rPr>
        <w:t xml:space="preserve"> CEP schools are drawn from both the all-CEP SFA stratum and the not-all CEP SFA stratum. The simulations from the SNMCS-II study plan did not include SFAs with other universal free-meal provisions in the CEP SFA group. </w:t>
      </w:r>
    </w:p>
    <w:p w:rsidR="00687FE8" w:rsidRPr="001D0225" w:rsidP="001D0225" w14:paraId="4AAEF324" w14:textId="77777777">
      <w:pPr>
        <w:pStyle w:val="TableFootnoteCaption"/>
        <w:rPr>
          <w:rFonts w:cs="Segoe UI"/>
          <w:b/>
          <w:bCs/>
          <w:sz w:val="15"/>
          <w:szCs w:val="15"/>
        </w:rPr>
      </w:pPr>
      <w:r w:rsidRPr="001D0225">
        <w:rPr>
          <w:sz w:val="15"/>
          <w:szCs w:val="15"/>
        </w:rPr>
        <w:t>CEP = Community Eligibility Provision; HSMFA = Healthy School Meals for All. </w:t>
      </w:r>
    </w:p>
    <w:p w:rsidR="00687FE8" w:rsidP="00E87971" w14:paraId="34B27C7A" w14:textId="77777777">
      <w:pPr>
        <w:rPr>
          <w:rFonts w:eastAsia="Segoe UI"/>
        </w:rPr>
      </w:pPr>
      <w:r w:rsidRPr="67FDCF09">
        <w:rPr>
          <w:rFonts w:eastAsia="Segoe UI"/>
        </w:rPr>
        <w:t xml:space="preserve">The minimum detectable differences (MDDs) for school- and student- level comparisons between Group 2a and 2b fare presented in Table B.2.6 for a population outcome of 0.30. Because the sample design does not oversample non-FFVP schools and students in Group 2a, the MDDs presented are based on an estimate that about half the elementary schools in the Group 2a sample will not be participating in FFVP. </w:t>
      </w:r>
    </w:p>
    <w:p w:rsidR="00687FE8" w:rsidP="67FDCF09" w14:paraId="3E5E2A57" w14:textId="77777777">
      <w:pPr>
        <w:spacing w:after="80" w:line="240" w:lineRule="atLeast"/>
        <w:rPr>
          <w:rFonts w:ascii="Segoe UI" w:eastAsia="Segoe UI" w:hAnsi="Segoe UI" w:cs="Segoe UI"/>
          <w:color w:val="881798"/>
          <w:sz w:val="20"/>
          <w:szCs w:val="20"/>
          <w:u w:val="single"/>
        </w:rPr>
      </w:pPr>
    </w:p>
    <w:p w:rsidR="00687FE8" w:rsidP="00887F7A" w14:paraId="3D8B132A" w14:textId="77777777">
      <w:pPr>
        <w:pStyle w:val="MarkforTableHeading"/>
        <w:rPr>
          <w:rFonts w:eastAsia="Segoe UI"/>
        </w:rPr>
      </w:pPr>
      <w:r w:rsidRPr="67FDCF09">
        <w:rPr>
          <w:rFonts w:eastAsia="Segoe UI"/>
        </w:rPr>
        <w:t>Table B.2.6. Estimated minimum detectable differences for school- and student- level comparisons for FFVP for a population outcome of 0.30.</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000"/>
      </w:tblPr>
      <w:tblGrid>
        <w:gridCol w:w="3330"/>
        <w:gridCol w:w="2978"/>
        <w:gridCol w:w="2978"/>
      </w:tblGrid>
      <w:tr w14:paraId="20F178BC" w14:textId="77777777" w:rsidTr="00437CA2">
        <w:tblPrEx>
          <w:tblW w:w="0" w:type="auto"/>
          <w:tblBorders>
            <w:top w:val="single" w:sz="6" w:space="0" w:color="auto"/>
            <w:left w:val="single" w:sz="6" w:space="0" w:color="auto"/>
            <w:bottom w:val="single" w:sz="6" w:space="0" w:color="auto"/>
            <w:right w:val="single" w:sz="6" w:space="0" w:color="auto"/>
          </w:tblBorders>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shd w:val="clear" w:color="auto" w:fill="6C6F70"/>
            <w:tcMar>
              <w:left w:w="45" w:type="dxa"/>
              <w:right w:w="45" w:type="dxa"/>
            </w:tcMar>
            <w:vAlign w:val="bottom"/>
          </w:tcPr>
          <w:p w:rsidR="00687FE8" w:rsidRPr="00437CA2" w:rsidP="00437CA2" w14:paraId="1B6AF7A5" w14:textId="77777777">
            <w:pPr>
              <w:pStyle w:val="TableHeaderLeft"/>
              <w:rPr>
                <w:rFonts w:eastAsia="Segoe UI"/>
              </w:rPr>
            </w:pPr>
          </w:p>
        </w:tc>
        <w:tc>
          <w:tcPr>
            <w:tcW w:w="2978" w:type="dxa"/>
            <w:tcBorders>
              <w:top w:val="single" w:sz="6" w:space="0" w:color="auto"/>
              <w:left w:val="single" w:sz="6" w:space="0" w:color="auto"/>
              <w:bottom w:val="single" w:sz="6" w:space="0" w:color="auto"/>
              <w:right w:val="single" w:sz="6" w:space="0" w:color="auto"/>
            </w:tcBorders>
            <w:shd w:val="clear" w:color="auto" w:fill="6C6F70"/>
            <w:tcMar>
              <w:left w:w="45" w:type="dxa"/>
              <w:right w:w="45" w:type="dxa"/>
            </w:tcMar>
            <w:vAlign w:val="bottom"/>
          </w:tcPr>
          <w:p w:rsidR="00687FE8" w:rsidRPr="00437CA2" w:rsidP="00437CA2" w14:paraId="71AB300F" w14:textId="77777777">
            <w:pPr>
              <w:pStyle w:val="TableHeaderCenter"/>
              <w:rPr>
                <w:rFonts w:eastAsia="Segoe UI"/>
              </w:rPr>
            </w:pPr>
            <w:r w:rsidRPr="00437CA2">
              <w:rPr>
                <w:rFonts w:eastAsia="Segoe UI"/>
              </w:rPr>
              <w:t xml:space="preserve">FFVP (Group 2b) </w:t>
            </w:r>
            <w:r w:rsidRPr="00437CA2" w:rsidR="00583BC4">
              <w:rPr>
                <w:rFonts w:eastAsia="Segoe UI"/>
              </w:rPr>
              <w:br/>
            </w:r>
            <w:r w:rsidRPr="00437CA2">
              <w:rPr>
                <w:rFonts w:eastAsia="Segoe UI"/>
              </w:rPr>
              <w:t>(percentage points)</w:t>
            </w:r>
          </w:p>
        </w:tc>
        <w:tc>
          <w:tcPr>
            <w:tcW w:w="2978" w:type="dxa"/>
            <w:tcBorders>
              <w:top w:val="single" w:sz="6" w:space="0" w:color="auto"/>
              <w:left w:val="single" w:sz="6" w:space="0" w:color="auto"/>
              <w:bottom w:val="single" w:sz="6" w:space="0" w:color="auto"/>
              <w:right w:val="single" w:sz="6" w:space="0" w:color="auto"/>
            </w:tcBorders>
            <w:shd w:val="clear" w:color="auto" w:fill="6C6F70"/>
            <w:tcMar>
              <w:left w:w="45" w:type="dxa"/>
              <w:right w:w="45" w:type="dxa"/>
            </w:tcMar>
            <w:vAlign w:val="bottom"/>
          </w:tcPr>
          <w:p w:rsidR="00687FE8" w:rsidRPr="00437CA2" w:rsidP="00437CA2" w14:paraId="4F5F955A" w14:textId="77777777">
            <w:pPr>
              <w:pStyle w:val="TableHeaderCenter"/>
              <w:rPr>
                <w:rFonts w:eastAsia="Segoe UI"/>
              </w:rPr>
            </w:pPr>
            <w:r w:rsidRPr="00437CA2">
              <w:rPr>
                <w:rFonts w:eastAsia="Segoe UI"/>
              </w:rPr>
              <w:t xml:space="preserve">Non-FFVP (Group 2a) </w:t>
            </w:r>
            <w:r w:rsidRPr="00437CA2" w:rsidR="00583BC4">
              <w:rPr>
                <w:rFonts w:eastAsia="Segoe UI"/>
              </w:rPr>
              <w:br/>
            </w:r>
            <w:r w:rsidRPr="00437CA2">
              <w:rPr>
                <w:rFonts w:eastAsia="Segoe UI"/>
              </w:rPr>
              <w:t>(percentage points)</w:t>
            </w:r>
          </w:p>
        </w:tc>
      </w:tr>
      <w:tr w14:paraId="39492AB1" w14:textId="77777777" w:rsidTr="00583BC4">
        <w:tblPrEx>
          <w:tblW w:w="0" w:type="auto"/>
          <w:tblLayout w:type="fixed"/>
          <w:tblLook w:val="0000"/>
        </w:tblPrEx>
        <w:trPr>
          <w:trHeight w:val="120"/>
        </w:trPr>
        <w:tc>
          <w:tcPr>
            <w:tcW w:w="9286" w:type="dxa"/>
            <w:gridSpan w:val="3"/>
            <w:tcBorders>
              <w:top w:val="single" w:sz="6" w:space="0" w:color="auto"/>
              <w:left w:val="single" w:sz="6" w:space="0" w:color="auto"/>
              <w:bottom w:val="single" w:sz="6" w:space="0" w:color="auto"/>
              <w:right w:val="single" w:sz="6" w:space="0" w:color="auto"/>
            </w:tcBorders>
            <w:shd w:val="clear" w:color="auto" w:fill="D9D9D9"/>
            <w:tcMar>
              <w:left w:w="45" w:type="dxa"/>
              <w:right w:w="45" w:type="dxa"/>
            </w:tcMar>
          </w:tcPr>
          <w:p w:rsidR="00687FE8" w:rsidRPr="00583BC4" w:rsidP="00583BC4" w14:paraId="6AB1925F" w14:textId="77777777">
            <w:pPr>
              <w:pStyle w:val="TableTextLeft"/>
              <w:rPr>
                <w:b/>
                <w:bCs/>
              </w:rPr>
            </w:pPr>
            <w:r w:rsidRPr="00583BC4">
              <w:rPr>
                <w:b/>
                <w:bCs/>
              </w:rPr>
              <w:t xml:space="preserve">Elementary Schools </w:t>
            </w:r>
          </w:p>
        </w:tc>
      </w:tr>
      <w:tr w14:paraId="0C000719" w14:textId="77777777" w:rsidTr="00583BC4">
        <w:tblPrEx>
          <w:tblW w:w="0" w:type="auto"/>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46F79C85" w14:textId="77777777">
            <w:pPr>
              <w:pStyle w:val="TableTextLeft"/>
              <w:spacing w:line="240" w:lineRule="atLeast"/>
              <w:rPr>
                <w:rFonts w:eastAsia="Segoe UI"/>
                <w:color w:val="auto"/>
                <w:szCs w:val="18"/>
              </w:rPr>
            </w:pPr>
            <w:r w:rsidRPr="00583BC4">
              <w:rPr>
                <w:rFonts w:eastAsia="Segoe UI"/>
                <w:color w:val="auto"/>
                <w:szCs w:val="18"/>
              </w:rPr>
              <w:t>Sample Size</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243C7A74" w14:textId="77777777">
            <w:pPr>
              <w:pStyle w:val="TableTextCentered"/>
              <w:rPr>
                <w:rFonts w:ascii="Arial" w:eastAsia="Segoe UI" w:hAnsi="Arial" w:cs="Arial"/>
                <w:color w:val="auto"/>
              </w:rPr>
            </w:pPr>
            <w:r w:rsidRPr="00583BC4">
              <w:rPr>
                <w:rFonts w:ascii="Arial" w:eastAsia="Segoe UI" w:hAnsi="Arial" w:cs="Arial"/>
                <w:color w:val="auto"/>
              </w:rPr>
              <w:t>100</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3F326957" w14:textId="77777777">
            <w:pPr>
              <w:pStyle w:val="TableTextCentered"/>
              <w:rPr>
                <w:rFonts w:ascii="Arial" w:eastAsia="Segoe UI" w:hAnsi="Arial" w:cs="Arial"/>
                <w:color w:val="auto"/>
              </w:rPr>
            </w:pPr>
            <w:r w:rsidRPr="00583BC4">
              <w:rPr>
                <w:rFonts w:ascii="Arial" w:eastAsia="Segoe UI" w:hAnsi="Arial" w:cs="Arial"/>
                <w:color w:val="auto"/>
              </w:rPr>
              <w:t>65</w:t>
            </w:r>
          </w:p>
        </w:tc>
      </w:tr>
      <w:tr w14:paraId="6FB4CCFF" w14:textId="77777777" w:rsidTr="00583BC4">
        <w:tblPrEx>
          <w:tblW w:w="0" w:type="auto"/>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781D1169" w14:textId="77777777">
            <w:pPr>
              <w:pStyle w:val="TableTextLeft"/>
              <w:spacing w:line="240" w:lineRule="atLeast"/>
              <w:rPr>
                <w:rFonts w:eastAsia="Segoe UI"/>
                <w:color w:val="auto"/>
                <w:szCs w:val="18"/>
              </w:rPr>
            </w:pPr>
            <w:r w:rsidRPr="00583BC4">
              <w:rPr>
                <w:rFonts w:eastAsia="Segoe UI"/>
                <w:color w:val="auto"/>
                <w:szCs w:val="18"/>
              </w:rPr>
              <w:t>Design Effect</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0E31E65A" w14:textId="77777777">
            <w:pPr>
              <w:pStyle w:val="TableTextCentered"/>
              <w:rPr>
                <w:rFonts w:ascii="Arial" w:eastAsia="Segoe UI" w:hAnsi="Arial" w:cs="Arial"/>
                <w:color w:val="auto"/>
              </w:rPr>
            </w:pPr>
            <w:r w:rsidRPr="00583BC4">
              <w:rPr>
                <w:rFonts w:ascii="Arial" w:eastAsia="Segoe UI" w:hAnsi="Arial" w:cs="Arial"/>
                <w:color w:val="auto"/>
              </w:rPr>
              <w:t>1.2</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2B5ED241" w14:textId="77777777">
            <w:pPr>
              <w:pStyle w:val="TableTextCentered"/>
              <w:rPr>
                <w:rFonts w:ascii="Arial" w:eastAsia="Segoe UI" w:hAnsi="Arial" w:cs="Arial"/>
                <w:color w:val="auto"/>
              </w:rPr>
            </w:pPr>
            <w:r w:rsidRPr="00583BC4">
              <w:rPr>
                <w:rFonts w:ascii="Arial" w:eastAsia="Segoe UI" w:hAnsi="Arial" w:cs="Arial"/>
                <w:color w:val="auto"/>
              </w:rPr>
              <w:t>2.8</w:t>
            </w:r>
          </w:p>
        </w:tc>
      </w:tr>
      <w:tr w14:paraId="13159B62" w14:textId="77777777" w:rsidTr="00583BC4">
        <w:tblPrEx>
          <w:tblW w:w="0" w:type="auto"/>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0629341F" w14:textId="77777777">
            <w:pPr>
              <w:pStyle w:val="TableTextLeft"/>
              <w:spacing w:line="240" w:lineRule="atLeast"/>
              <w:rPr>
                <w:rFonts w:eastAsia="Segoe UI"/>
                <w:color w:val="auto"/>
                <w:szCs w:val="18"/>
              </w:rPr>
            </w:pPr>
            <w:r w:rsidRPr="00583BC4">
              <w:rPr>
                <w:rFonts w:eastAsia="Segoe UI"/>
                <w:color w:val="auto"/>
                <w:szCs w:val="18"/>
              </w:rPr>
              <w:t>MDD (Group 2b to 2a)</w:t>
            </w:r>
          </w:p>
        </w:tc>
        <w:tc>
          <w:tcPr>
            <w:tcW w:w="5956" w:type="dxa"/>
            <w:gridSpan w:val="2"/>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75C148DF" w14:textId="77777777">
            <w:pPr>
              <w:pStyle w:val="TableTextCentered"/>
              <w:rPr>
                <w:rFonts w:ascii="Arial" w:eastAsia="Segoe UI" w:hAnsi="Arial" w:cs="Arial"/>
                <w:color w:val="auto"/>
              </w:rPr>
            </w:pPr>
            <w:r w:rsidRPr="00583BC4">
              <w:rPr>
                <w:rFonts w:ascii="Arial" w:eastAsia="Segoe UI" w:hAnsi="Arial" w:cs="Arial"/>
                <w:color w:val="auto"/>
              </w:rPr>
              <w:t>0.302</w:t>
            </w:r>
          </w:p>
        </w:tc>
      </w:tr>
      <w:tr w14:paraId="1C78D424" w14:textId="77777777" w:rsidTr="00583BC4">
        <w:tblPrEx>
          <w:tblW w:w="0" w:type="auto"/>
          <w:tblLayout w:type="fixed"/>
          <w:tblLook w:val="0000"/>
        </w:tblPrEx>
        <w:trPr>
          <w:trHeight w:val="120"/>
        </w:trPr>
        <w:tc>
          <w:tcPr>
            <w:tcW w:w="9286" w:type="dxa"/>
            <w:gridSpan w:val="3"/>
            <w:tcBorders>
              <w:top w:val="single" w:sz="6" w:space="0" w:color="auto"/>
              <w:left w:val="single" w:sz="6" w:space="0" w:color="auto"/>
              <w:bottom w:val="single" w:sz="6" w:space="0" w:color="auto"/>
              <w:right w:val="single" w:sz="6" w:space="0" w:color="auto"/>
            </w:tcBorders>
            <w:shd w:val="clear" w:color="auto" w:fill="D9D9D9"/>
            <w:tcMar>
              <w:left w:w="45" w:type="dxa"/>
              <w:right w:w="45" w:type="dxa"/>
            </w:tcMar>
          </w:tcPr>
          <w:p w:rsidR="00687FE8" w:rsidRPr="00583BC4" w:rsidP="00583BC4" w14:paraId="3EF6C88E" w14:textId="77777777">
            <w:pPr>
              <w:pStyle w:val="TableTextLeft"/>
              <w:rPr>
                <w:b/>
                <w:bCs/>
              </w:rPr>
            </w:pPr>
            <w:r w:rsidRPr="00583BC4">
              <w:rPr>
                <w:b/>
                <w:bCs/>
              </w:rPr>
              <w:t xml:space="preserve">Elementary Students </w:t>
            </w:r>
          </w:p>
        </w:tc>
      </w:tr>
      <w:tr w14:paraId="47F3E974" w14:textId="77777777" w:rsidTr="00583BC4">
        <w:tblPrEx>
          <w:tblW w:w="0" w:type="auto"/>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626F39C6" w14:textId="77777777">
            <w:pPr>
              <w:pStyle w:val="TableTextLeft"/>
              <w:spacing w:line="240" w:lineRule="atLeast"/>
              <w:rPr>
                <w:rFonts w:eastAsia="Segoe UI"/>
                <w:color w:val="auto"/>
                <w:szCs w:val="18"/>
              </w:rPr>
            </w:pPr>
            <w:r w:rsidRPr="00583BC4">
              <w:rPr>
                <w:rFonts w:eastAsia="Segoe UI"/>
                <w:color w:val="auto"/>
                <w:szCs w:val="18"/>
              </w:rPr>
              <w:t>Sample Size</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600852D2" w14:textId="77777777">
            <w:pPr>
              <w:pStyle w:val="TableTextCentered"/>
              <w:rPr>
                <w:rFonts w:ascii="Arial" w:eastAsia="Segoe UI" w:hAnsi="Arial" w:cs="Arial"/>
                <w:color w:val="auto"/>
              </w:rPr>
            </w:pPr>
            <w:r w:rsidRPr="00583BC4">
              <w:rPr>
                <w:rFonts w:ascii="Arial" w:eastAsia="Segoe UI" w:hAnsi="Arial" w:cs="Arial"/>
                <w:color w:val="auto"/>
              </w:rPr>
              <w:t>800</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3A5E1FBA" w14:textId="77777777">
            <w:pPr>
              <w:pStyle w:val="TableTextCentered"/>
              <w:rPr>
                <w:rFonts w:ascii="Arial" w:eastAsia="Segoe UI" w:hAnsi="Arial" w:cs="Arial"/>
                <w:color w:val="auto"/>
              </w:rPr>
            </w:pPr>
            <w:r w:rsidRPr="00583BC4">
              <w:rPr>
                <w:rFonts w:ascii="Arial" w:eastAsia="Segoe UI" w:hAnsi="Arial" w:cs="Arial"/>
                <w:color w:val="auto"/>
              </w:rPr>
              <w:t>511</w:t>
            </w:r>
          </w:p>
        </w:tc>
      </w:tr>
      <w:tr w14:paraId="15BEC711" w14:textId="77777777" w:rsidTr="00583BC4">
        <w:tblPrEx>
          <w:tblW w:w="0" w:type="auto"/>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734FDA88" w14:textId="77777777">
            <w:pPr>
              <w:pStyle w:val="TableTextLeft"/>
              <w:spacing w:line="240" w:lineRule="atLeast"/>
              <w:rPr>
                <w:rFonts w:eastAsia="Segoe UI"/>
                <w:color w:val="auto"/>
                <w:szCs w:val="18"/>
              </w:rPr>
            </w:pPr>
            <w:r w:rsidRPr="00583BC4">
              <w:rPr>
                <w:rFonts w:eastAsia="Segoe UI"/>
                <w:color w:val="auto"/>
                <w:szCs w:val="18"/>
              </w:rPr>
              <w:t>Design Effect</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597F99FA" w14:textId="77777777">
            <w:pPr>
              <w:pStyle w:val="TableTextCentered"/>
              <w:rPr>
                <w:rFonts w:ascii="Arial" w:eastAsia="Segoe UI" w:hAnsi="Arial" w:cs="Arial"/>
                <w:color w:val="auto"/>
              </w:rPr>
            </w:pPr>
            <w:r w:rsidRPr="00583BC4">
              <w:rPr>
                <w:rFonts w:ascii="Arial" w:eastAsia="Segoe UI" w:hAnsi="Arial" w:cs="Arial"/>
                <w:color w:val="auto"/>
              </w:rPr>
              <w:t>2.5</w:t>
            </w:r>
          </w:p>
        </w:tc>
        <w:tc>
          <w:tcPr>
            <w:tcW w:w="2978"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0F42EE5B" w14:textId="77777777">
            <w:pPr>
              <w:pStyle w:val="TableTextCentered"/>
              <w:rPr>
                <w:rFonts w:ascii="Arial" w:eastAsia="Segoe UI" w:hAnsi="Arial" w:cs="Arial"/>
                <w:color w:val="auto"/>
              </w:rPr>
            </w:pPr>
            <w:r w:rsidRPr="00583BC4">
              <w:rPr>
                <w:rFonts w:ascii="Arial" w:eastAsia="Segoe UI" w:hAnsi="Arial" w:cs="Arial"/>
                <w:color w:val="auto"/>
              </w:rPr>
              <w:t>5.2</w:t>
            </w:r>
          </w:p>
        </w:tc>
      </w:tr>
      <w:tr w14:paraId="62DA6379" w14:textId="77777777" w:rsidTr="00583BC4">
        <w:tblPrEx>
          <w:tblW w:w="0" w:type="auto"/>
          <w:tblLayout w:type="fixed"/>
          <w:tblLook w:val="0000"/>
        </w:tblPrEx>
        <w:trPr>
          <w:trHeight w:val="120"/>
        </w:trPr>
        <w:tc>
          <w:tcPr>
            <w:tcW w:w="3330" w:type="dxa"/>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52E79EE2" w14:textId="77777777">
            <w:pPr>
              <w:pStyle w:val="TableTextLeft"/>
              <w:spacing w:line="240" w:lineRule="atLeast"/>
              <w:rPr>
                <w:rFonts w:eastAsia="Segoe UI"/>
                <w:color w:val="auto"/>
                <w:szCs w:val="18"/>
              </w:rPr>
            </w:pPr>
            <w:r w:rsidRPr="00583BC4">
              <w:rPr>
                <w:rFonts w:eastAsia="Segoe UI"/>
                <w:color w:val="auto"/>
                <w:szCs w:val="18"/>
              </w:rPr>
              <w:t>MDD (Group 2b to 2a)</w:t>
            </w:r>
          </w:p>
        </w:tc>
        <w:tc>
          <w:tcPr>
            <w:tcW w:w="5956" w:type="dxa"/>
            <w:gridSpan w:val="2"/>
            <w:tcBorders>
              <w:top w:val="single" w:sz="6" w:space="0" w:color="auto"/>
              <w:left w:val="single" w:sz="6" w:space="0" w:color="auto"/>
              <w:bottom w:val="single" w:sz="6" w:space="0" w:color="auto"/>
              <w:right w:val="single" w:sz="6" w:space="0" w:color="auto"/>
            </w:tcBorders>
            <w:tcMar>
              <w:left w:w="45" w:type="dxa"/>
              <w:right w:w="45" w:type="dxa"/>
            </w:tcMar>
          </w:tcPr>
          <w:p w:rsidR="00687FE8" w:rsidRPr="00583BC4" w:rsidP="00887F7A" w14:paraId="1AC7176D" w14:textId="77777777">
            <w:pPr>
              <w:pStyle w:val="TableTextCentered"/>
              <w:rPr>
                <w:rFonts w:ascii="Arial" w:eastAsia="Segoe UI" w:hAnsi="Arial" w:cs="Arial"/>
                <w:color w:val="auto"/>
              </w:rPr>
            </w:pPr>
            <w:r w:rsidRPr="00583BC4">
              <w:rPr>
                <w:rFonts w:ascii="Arial" w:eastAsia="Segoe UI" w:hAnsi="Arial" w:cs="Arial"/>
                <w:color w:val="auto"/>
              </w:rPr>
              <w:t>0.148</w:t>
            </w:r>
          </w:p>
        </w:tc>
      </w:tr>
    </w:tbl>
    <w:p w:rsidR="00687FE8" w:rsidRPr="009B1596" w:rsidP="00887F7A" w14:paraId="6F26FF9B" w14:textId="77777777">
      <w:pPr>
        <w:pStyle w:val="TableFootnoteCaption"/>
        <w:rPr>
          <w:rFonts w:eastAsia="Segoe UI"/>
          <w:color w:val="CC3595"/>
          <w:sz w:val="15"/>
          <w:szCs w:val="15"/>
        </w:rPr>
      </w:pPr>
      <w:r w:rsidRPr="009B1596">
        <w:rPr>
          <w:rFonts w:eastAsia="Segoe UI"/>
          <w:sz w:val="15"/>
          <w:szCs w:val="15"/>
        </w:rPr>
        <w:t>Note: This assumes 80 percent power and a type I error rate of 0.05.</w:t>
      </w:r>
    </w:p>
    <w:p w:rsidR="00687FE8" w:rsidRPr="00D71073" w:rsidP="00F66804" w14:paraId="4628D7AB" w14:textId="77777777">
      <w:pPr>
        <w:pStyle w:val="Heading3"/>
        <w:keepNext w:val="0"/>
      </w:pPr>
      <w:r>
        <w:t xml:space="preserve">B.2.4. </w:t>
      </w:r>
      <w:r>
        <w:tab/>
      </w:r>
      <w:r w:rsidRPr="00D71073">
        <w:t xml:space="preserve">Unusual problems requiring specialized sampling </w:t>
      </w:r>
      <w:r w:rsidRPr="00D71073">
        <w:t>procedures</w:t>
      </w:r>
    </w:p>
    <w:p w:rsidR="00687FE8" w:rsidP="004231F6" w14:paraId="27E6866D" w14:textId="77777777">
      <w:r>
        <w:t xml:space="preserve">There are no sampling problems that we consider to be unusual in nature, and the sampling methods are described in detail in the previous sections and Appendix </w:t>
      </w:r>
      <w:r>
        <w:rPr>
          <w:noProof/>
        </w:rPr>
        <w:t>L</w:t>
      </w:r>
      <w:r>
        <w:t>.</w:t>
      </w:r>
    </w:p>
    <w:p w:rsidR="00687FE8" w:rsidRPr="006966CC" w:rsidP="00F66804" w14:paraId="51BFCC21" w14:textId="77777777">
      <w:pPr>
        <w:pStyle w:val="Heading3"/>
        <w:keepNext w:val="0"/>
      </w:pPr>
      <w:r w:rsidRPr="006966CC">
        <w:t>B.2.</w:t>
      </w:r>
      <w:r>
        <w:t>5</w:t>
      </w:r>
      <w:r w:rsidRPr="006966CC">
        <w:t xml:space="preserve">. </w:t>
      </w:r>
      <w:r>
        <w:tab/>
      </w:r>
      <w:r w:rsidRPr="006966CC">
        <w:t xml:space="preserve">Any use of periodic data collection cycles to reduce </w:t>
      </w:r>
      <w:r w:rsidRPr="006966CC">
        <w:t>burden</w:t>
      </w:r>
    </w:p>
    <w:p w:rsidR="00687FE8" w:rsidP="00FB5D91" w14:paraId="4606E13C" w14:textId="77777777">
      <w:pPr>
        <w:rPr>
          <w:b/>
        </w:rPr>
      </w:pPr>
      <w:r w:rsidRPr="00FB5D91">
        <w:t xml:space="preserve">To reduce the burden of SFAs selected to participate in the SFPS-IV, SFAs will be randomly assigned to provide data </w:t>
      </w:r>
      <w:r>
        <w:t xml:space="preserve">for </w:t>
      </w:r>
      <w:r w:rsidRPr="00FB5D91">
        <w:t>only one</w:t>
      </w:r>
      <w:r>
        <w:t>-</w:t>
      </w:r>
      <w:r w:rsidRPr="00FB5D91">
        <w:t xml:space="preserve">quarter of the calendar year. Weighting adjustments will be applied to allow quarterly data to represent the entire year.  </w:t>
      </w:r>
    </w:p>
    <w:p w:rsidR="00687FE8" w:rsidRPr="003E1C03" w:rsidP="003D0003" w14:paraId="10FB8D12" w14:textId="77777777">
      <w:pPr>
        <w:pStyle w:val="Heading2Black"/>
        <w:ind w:left="720" w:hanging="720"/>
      </w:pPr>
      <w:r>
        <w:t>B.3.</w:t>
      </w:r>
      <w: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87FE8" w:rsidRPr="00CC5646" w:rsidP="004231F6" w14:paraId="1D5FAFF3" w14:textId="77777777">
      <w:r w:rsidRPr="00C443A1">
        <w:t xml:space="preserve">Target response rates </w:t>
      </w:r>
      <w:r>
        <w:t>vary by type of data collection</w:t>
      </w:r>
      <w:r w:rsidRPr="00C443A1">
        <w:t xml:space="preserve"> and </w:t>
      </w:r>
      <w:r>
        <w:t>respondent and are shown in Tables B1.1, B.1.2,</w:t>
      </w:r>
      <w:r w:rsidRPr="00C443A1">
        <w:t xml:space="preserve"> and </w:t>
      </w:r>
      <w:r>
        <w:t xml:space="preserve">B.1.3. </w:t>
      </w:r>
      <w:r w:rsidRPr="00CC5646">
        <w:t xml:space="preserve">A wide range of methods will be used to maximize participation and reduce nonresponse in all aspects of data collection. </w:t>
      </w:r>
      <w:r>
        <w:t>The study team</w:t>
      </w:r>
      <w:r w:rsidRPr="00CC5646">
        <w:t xml:space="preserve"> will undertake several activities to lay the groundwork for our intensive recruitment campaign</w:t>
      </w:r>
      <w:r>
        <w:t xml:space="preserve">, including </w:t>
      </w:r>
      <w:r w:rsidRPr="00CC5646">
        <w:t>securing endorsements</w:t>
      </w:r>
      <w:r>
        <w:t xml:space="preserve"> </w:t>
      </w:r>
      <w:r w:rsidRPr="00CC5646">
        <w:t xml:space="preserve">and training the recruitment team. </w:t>
      </w:r>
      <w:r>
        <w:t>A comprehensive</w:t>
      </w:r>
      <w:r w:rsidRPr="00CC5646">
        <w:t xml:space="preserve"> set of recruitment material</w:t>
      </w:r>
      <w:r>
        <w:t>s, discussed in depth in Section A.2,</w:t>
      </w:r>
      <w:r w:rsidRPr="00CC5646">
        <w:t xml:space="preserve"> </w:t>
      </w:r>
      <w:r>
        <w:t>describes</w:t>
      </w:r>
      <w:r w:rsidRPr="00CC5646">
        <w:t xml:space="preserve"> the purpose of the study in a straightforward way that stresses the important role each participating </w:t>
      </w:r>
      <w:r>
        <w:t xml:space="preserve">State, </w:t>
      </w:r>
      <w:r w:rsidRPr="00CC5646">
        <w:t xml:space="preserve">SFA, school, and individual </w:t>
      </w:r>
      <w:r>
        <w:t xml:space="preserve">will </w:t>
      </w:r>
      <w:r w:rsidRPr="00CC5646">
        <w:t>play in the study’s success.</w:t>
      </w:r>
      <w:r>
        <w:t xml:space="preserve"> A study website to increase the legitimacy of the study will also be developed.</w:t>
      </w:r>
    </w:p>
    <w:p w:rsidR="00687FE8" w:rsidP="00E9049E" w14:paraId="7AEDD0E5" w14:textId="77777777">
      <w:pPr>
        <w:pStyle w:val="NormalSScontinued"/>
        <w:spacing w:after="0" w:line="480" w:lineRule="auto"/>
        <w:ind w:firstLine="432"/>
      </w:pPr>
      <w:r>
        <w:t xml:space="preserve">Gaining national, regional, and State/Territory support for the study is critical to our success in securing participation. The study team will seek an endorsement letter from a relevant professional organization (Appendix </w:t>
      </w:r>
      <w:r>
        <w:rPr>
          <w:noProof/>
        </w:rPr>
        <w:t>C09</w:t>
      </w:r>
      <w:r>
        <w:t>), and USDA will also provide a letter and email of support for recruiting FSMCs</w:t>
      </w:r>
      <w:r w:rsidR="002F6DC8">
        <w:t xml:space="preserve"> (Appendix C08)</w:t>
      </w:r>
      <w:r>
        <w:t xml:space="preserve"> and SFAs for the study (Appendix </w:t>
      </w:r>
      <w:r>
        <w:rPr>
          <w:noProof/>
        </w:rPr>
        <w:t>C12</w:t>
      </w:r>
      <w:r>
        <w:t xml:space="preserve">). Such letters and emails will provide critical study support and recruitment leverage when reaching out to SFA directors. States, FSMCs, and SFAs will be invited to attend a webinar conducted by FNS and study leaders to learn more about the study and its importance (Appendix </w:t>
      </w:r>
      <w:r>
        <w:rPr>
          <w:noProof/>
        </w:rPr>
        <w:t>C11</w:t>
      </w:r>
      <w:r>
        <w:t>).</w:t>
      </w:r>
    </w:p>
    <w:p w:rsidR="00687FE8" w:rsidRPr="00495D7E" w:rsidP="00495D7E" w14:paraId="1073D64F" w14:textId="77777777">
      <w:pPr>
        <w:pStyle w:val="Heading3"/>
        <w:keepNext w:val="0"/>
      </w:pPr>
      <w:r>
        <w:t xml:space="preserve">B.3.1. </w:t>
      </w:r>
      <w:r>
        <w:tab/>
      </w:r>
      <w:r w:rsidRPr="00495D7E">
        <w:t xml:space="preserve">SFA recruitment (Groups </w:t>
      </w:r>
      <w:r>
        <w:t>1a, 1b, 2a, 2b,</w:t>
      </w:r>
      <w:r w:rsidRPr="00495D7E">
        <w:t xml:space="preserve"> 3</w:t>
      </w:r>
      <w:r>
        <w:t>,</w:t>
      </w:r>
      <w:r w:rsidRPr="00495D7E">
        <w:t xml:space="preserve"> and the </w:t>
      </w:r>
      <w:r w:rsidRPr="003961A8">
        <w:t>Outlying Areas</w:t>
      </w:r>
      <w:r w:rsidRPr="00495D7E">
        <w:t>)</w:t>
      </w:r>
    </w:p>
    <w:p w:rsidR="00687FE8" w:rsidP="0079226E" w14:paraId="46F14494" w14:textId="77777777">
      <w:r>
        <w:t xml:space="preserve">Recruiters will take part in a training for the specific group they are assigned to recruit. Training will cover project details, anticipated challenges, and expectations. With a full understanding of the project and its goals within the current environment of school food service, recruiters will impart a level of aptitude and professionalism in all communications with study participants. Recruiters will call SFA directors to confirm receipt of outreach materials, assess eligibility, describe study objectives, address any SFA concerns, explain the study timeline and participation requirements, and discuss incentives (Appendix </w:t>
      </w:r>
      <w:r w:rsidRPr="044243A3">
        <w:rPr>
          <w:noProof/>
        </w:rPr>
        <w:t>C13</w:t>
      </w:r>
      <w:r>
        <w:t xml:space="preserve">). For the “certainty” SFAs, we will assign team members with recruitment experience and expertise in school food service to address challenges unique to recruiting these large SFAs. </w:t>
      </w:r>
      <w:bookmarkStart w:id="2" w:name="_Hlk160607586"/>
      <w:r>
        <w:t xml:space="preserve">The study team will also locate any sample overlap with other projects and use existing relationships to help make recruiting more efficient. </w:t>
      </w:r>
      <w:bookmarkEnd w:id="2"/>
      <w:r>
        <w:t xml:space="preserve">Because Guam and Hawaii will have one SFA each with many schools sampled, recruiters will enlist the help of the SFA directors to facilitate school recruiting. </w:t>
      </w:r>
    </w:p>
    <w:p w:rsidR="00687FE8" w:rsidP="00BB3DC8" w14:paraId="30E0BE3A" w14:textId="77777777">
      <w:r>
        <w:t xml:space="preserve">Based on findings from the first Outlying Areas feasibility assessment approved by OMB on March 19, 2018, under </w:t>
      </w:r>
      <w:r w:rsidRPr="006051FE">
        <w:rPr>
          <w:i/>
          <w:iCs/>
        </w:rPr>
        <w:t>FNS Generic Clearance for Pre-Testing, Pilot, and Field Test Studies</w:t>
      </w:r>
      <w:r>
        <w:t xml:space="preserve">, the study team will take further steps to promote a high response in the </w:t>
      </w:r>
      <w:r w:rsidRPr="003961A8">
        <w:t>Outlying Areas</w:t>
      </w:r>
      <w:r>
        <w:t>. This includes providing ample time for SFAs and schools to complete study instruments and to complete workbooks of data to be collected ahead of the request so respondents can see specifically what information will be asked of them. In the absence of in-person visits to SFAs and schools in the Full Outlying Areas (FOA), the study team will also provide extra support through phone technical assistance. For Puerto Rico in the Limited Outlying Areas (LOA), the study team will also provide Spanish recruitment materials and will conduct recruitment calls in Spanish to accommodate SFA staff.</w:t>
      </w:r>
    </w:p>
    <w:p w:rsidR="00687FE8" w:rsidRPr="0073669A" w:rsidP="00AB6D68" w14:paraId="38EE9674" w14:textId="77777777">
      <w:r>
        <w:t>Following recruitment of SFAs, recruiters will leverage SFAs’ agreement to participate in the study to gain the support of school-level contacts. For Groups 2a, 2b, 3, and FOA, recruiters will work with principals and SNMs to understand school-specific context and requirements for data collection.</w:t>
      </w:r>
    </w:p>
    <w:p w:rsidR="00687FE8" w:rsidRPr="000B11C7" w:rsidP="00495D7E" w14:paraId="340EC2BF" w14:textId="77777777">
      <w:pPr>
        <w:pStyle w:val="Heading3"/>
        <w:keepNext w:val="0"/>
        <w:rPr>
          <w:u w:val="single"/>
        </w:rPr>
      </w:pPr>
      <w:r>
        <w:t xml:space="preserve">B.3.2. </w:t>
      </w:r>
      <w:r>
        <w:tab/>
      </w:r>
      <w:r w:rsidRPr="00495D7E">
        <w:t>Student and parent recruitment (Group</w:t>
      </w:r>
      <w:r>
        <w:t>s</w:t>
      </w:r>
      <w:r w:rsidRPr="00495D7E">
        <w:t xml:space="preserve"> 2</w:t>
      </w:r>
      <w:r>
        <w:t>a and 2b</w:t>
      </w:r>
      <w:r w:rsidRPr="00495D7E">
        <w:t>)</w:t>
      </w:r>
    </w:p>
    <w:p w:rsidR="00687FE8" w:rsidP="0079226E" w14:paraId="3551F4BA" w14:textId="77777777">
      <w:r>
        <w:t>The study team will enlist the help of school liaisons to disseminate information about the study to parents of sampled students, communicating the legitimacy and importance of the request. The study team will maximize parent consent rates by advocating for opt-out procedures wherever possible; if active consent is required, the study team will obtain verbal consent if districts allow it in addition to written consent. The study team will also enlist the help of school liaisons to maximize return rates for active consent forms by offering liaisons a larger stipend (described in Section A.9). Recruitment and consent materials will be provided in both English and Spanish. The study team will also ask school liaisons about Spanish-speaking parents or students, so bilingual interviewers can be appropriately assigned. The study team will train field interviewers to build rapport with students to maximize assent rates. Student weights will properly account for sampled students for whom parent consent is not obtained.</w:t>
      </w:r>
    </w:p>
    <w:p w:rsidR="00687FE8" w:rsidRPr="000B11C7" w:rsidP="00BF56E5" w14:paraId="24264728" w14:textId="77777777">
      <w:pPr>
        <w:pStyle w:val="Heading3"/>
        <w:keepNext w:val="0"/>
        <w:rPr>
          <w:u w:val="single"/>
        </w:rPr>
      </w:pPr>
      <w:r>
        <w:t>B.3.3. Data collection</w:t>
      </w:r>
      <w:r w:rsidRPr="00495D7E">
        <w:t xml:space="preserve"> </w:t>
      </w:r>
    </w:p>
    <w:p w:rsidR="00687FE8" w:rsidRPr="00A61FDD" w:rsidP="00F33DF0" w14:paraId="6B849D39" w14:textId="77777777">
      <w:r>
        <w:t>The study team</w:t>
      </w:r>
      <w:r w:rsidRPr="00CC5646">
        <w:t xml:space="preserve"> will implement several </w:t>
      </w:r>
      <w:r>
        <w:t>strategies</w:t>
      </w:r>
      <w:r w:rsidRPr="00CC5646">
        <w:t xml:space="preserve"> to minimize nonresponse during data collection. </w:t>
      </w:r>
      <w:r>
        <w:t>To streamline the data collection planning process, the study team</w:t>
      </w:r>
      <w:r w:rsidRPr="00CC5646">
        <w:t xml:space="preserve"> will conduct </w:t>
      </w:r>
      <w:r>
        <w:t>planning interviews with SFAs to collect key data that informs subsequent activities. First, for SFAs with on-site data collection (mainland only), the study team</w:t>
      </w:r>
      <w:r w:rsidRPr="00CC5646">
        <w:t xml:space="preserve"> will conduct quality assurance visits to ensure that interviewers are following study procedures and engaging effectively with district and school staff and students. </w:t>
      </w:r>
      <w:r>
        <w:t>The study team</w:t>
      </w:r>
      <w:r w:rsidRPr="00CC5646">
        <w:t xml:space="preserve"> will use these visits to adjust any interviewer behaviors or procedures that appear to be adversely affecting response rates. Second, </w:t>
      </w:r>
      <w:r>
        <w:t>the study team</w:t>
      </w:r>
      <w:r w:rsidRPr="00CC5646">
        <w:t xml:space="preserve"> will </w:t>
      </w:r>
      <w:r>
        <w:t xml:space="preserve">provide one-on-one technical assistance for complex or time-intensive data collection requests. Third, the study team will </w:t>
      </w:r>
      <w:r w:rsidRPr="00CC5646">
        <w:t>accommodate the schedules of SFA</w:t>
      </w:r>
      <w:r>
        <w:t>s</w:t>
      </w:r>
      <w:r w:rsidRPr="00CC5646">
        <w:t xml:space="preserve"> and school staff when scheduling cost interviews, and </w:t>
      </w:r>
      <w:r>
        <w:t>the study team</w:t>
      </w:r>
      <w:r w:rsidRPr="00CC5646">
        <w:t xml:space="preserve"> will strive to minimize disruptions to staff and students when </w:t>
      </w:r>
      <w:r>
        <w:t>the study team</w:t>
      </w:r>
      <w:r w:rsidRPr="00CC5646">
        <w:t xml:space="preserve"> </w:t>
      </w:r>
      <w:r>
        <w:t>is</w:t>
      </w:r>
      <w:r w:rsidRPr="00CC5646">
        <w:t xml:space="preserve"> working in schools. </w:t>
      </w:r>
      <w:r>
        <w:t>Fourth</w:t>
      </w:r>
      <w:r w:rsidRPr="00CC5646">
        <w:t xml:space="preserve">, </w:t>
      </w:r>
      <w:r>
        <w:t>the study team</w:t>
      </w:r>
      <w:r w:rsidRPr="00CC5646">
        <w:t xml:space="preserve"> plan</w:t>
      </w:r>
      <w:r>
        <w:t>s</w:t>
      </w:r>
      <w:r w:rsidRPr="00CC5646">
        <w:t xml:space="preserve"> to offer incentives to respondents </w:t>
      </w:r>
      <w:r>
        <w:t xml:space="preserve">(described in Section A.9). Fifth, instruments will be offered in Spanish to study participants who are best able to respond in this language, including </w:t>
      </w:r>
      <w:r>
        <w:rPr>
          <w:rFonts w:eastAsia="Calibri"/>
          <w:color w:val="000000"/>
          <w:shd w:val="clear" w:color="auto" w:fill="FFFFFF"/>
        </w:rPr>
        <w:t>Outlying Areas</w:t>
      </w:r>
      <w:r w:rsidRPr="002210BA">
        <w:rPr>
          <w:rFonts w:eastAsia="Calibri"/>
          <w:color w:val="000000"/>
          <w:shd w:val="clear" w:color="auto" w:fill="FFFFFF"/>
        </w:rPr>
        <w:t xml:space="preserve"> </w:t>
      </w:r>
      <w:r>
        <w:t xml:space="preserve">respondents in Puerto Rico as well as parents and students. </w:t>
      </w:r>
      <w:r w:rsidRPr="00CC5646">
        <w:t xml:space="preserve">Finally, </w:t>
      </w:r>
      <w:r>
        <w:t>the study team</w:t>
      </w:r>
      <w:r w:rsidRPr="00CC5646">
        <w:t xml:space="preserve"> will </w:t>
      </w:r>
      <w:r>
        <w:t xml:space="preserve">closely </w:t>
      </w:r>
      <w:r w:rsidRPr="00CC5646">
        <w:t xml:space="preserve">monitor response rates across instruments and activities and adapt our design to optimize response rates. </w:t>
      </w:r>
      <w:r>
        <w:t>The study team</w:t>
      </w:r>
      <w:r w:rsidRPr="00CC5646">
        <w:t xml:space="preserve"> may </w:t>
      </w:r>
      <w:r>
        <w:t xml:space="preserve">use more intensive or frequent follow-up with </w:t>
      </w:r>
      <w:r w:rsidRPr="00CC5646">
        <w:t xml:space="preserve">subgroups </w:t>
      </w:r>
      <w:r>
        <w:t>that have</w:t>
      </w:r>
      <w:r w:rsidRPr="00CC5646">
        <w:t xml:space="preserve"> lower response rates (for example, by calling select</w:t>
      </w:r>
      <w:r>
        <w:t>ed</w:t>
      </w:r>
      <w:r w:rsidRPr="00CC5646">
        <w:t xml:space="preserve"> sample members instead of sending email reminder</w:t>
      </w:r>
      <w:r>
        <w:t>s</w:t>
      </w:r>
      <w:r w:rsidRPr="00CC5646">
        <w:t>) to avoid potential bias resulting from differential response.</w:t>
      </w:r>
    </w:p>
    <w:p w:rsidR="00687FE8" w:rsidRPr="00250E30" w:rsidP="001B05F8" w14:paraId="59908FC9" w14:textId="77777777">
      <w:pPr>
        <w:pStyle w:val="Heading3"/>
        <w:keepNext w:val="0"/>
        <w:spacing w:before="0"/>
        <w:rPr>
          <w:b w:val="0"/>
        </w:rPr>
      </w:pPr>
      <w:r w:rsidRPr="00BF56E5">
        <w:t>B.3.</w:t>
      </w:r>
      <w:r>
        <w:t>4</w:t>
      </w:r>
      <w:r w:rsidRPr="00250E30">
        <w:t>.</w:t>
      </w:r>
      <w:r w:rsidRPr="00BF56E5">
        <w:tab/>
      </w:r>
      <w:r w:rsidRPr="00250E30">
        <w:t xml:space="preserve">Dealing with </w:t>
      </w:r>
      <w:r>
        <w:t>r</w:t>
      </w:r>
      <w:r w:rsidRPr="00250E30">
        <w:t xml:space="preserve">esponse </w:t>
      </w:r>
      <w:r>
        <w:t>r</w:t>
      </w:r>
      <w:r w:rsidRPr="00250E30">
        <w:t xml:space="preserve">ates </w:t>
      </w:r>
      <w:r>
        <w:t>l</w:t>
      </w:r>
      <w:r w:rsidRPr="00250E30">
        <w:t xml:space="preserve">ower than </w:t>
      </w:r>
      <w:r>
        <w:t>80</w:t>
      </w:r>
      <w:r w:rsidRPr="00250E30">
        <w:t xml:space="preserve"> </w:t>
      </w:r>
      <w:r>
        <w:t>p</w:t>
      </w:r>
      <w:r w:rsidRPr="00250E30">
        <w:t>ercent</w:t>
      </w:r>
    </w:p>
    <w:p w:rsidR="00687FE8" w:rsidP="00250E30" w14:paraId="19E90A6F" w14:textId="77777777">
      <w:pPr>
        <w:ind w:firstLine="450"/>
        <w:rPr>
          <w:color w:val="1F497D"/>
        </w:rPr>
      </w:pPr>
      <w:r>
        <w:t xml:space="preserve">The study team anticipates that the overall response rate for the study will not exceed 80 percent. In addition, despite the efforts described in the preceding sections, it is possible that response rates for individual instruments may fall below this threshold. In such cases, the study team will need to account for the potential that respondents to the various instruments may differ from nonrespondents in important ways. As described in Section B.2.2, the study team will calculate adjustments to the sampling weights to account for these differences as much as possible, using covariates available on the frame that are associated with (1) the propensity to respond and (2) the outcome variables of interest. To assess how well these nonresponse adjustments account for differences between respondents and nonrespondents, the study team will conduct nonresponse bias analyses for each set of weights that are used to meet the objectives of the study. The nonresponse bias analyses will summarize the response rates corresponding to each set of weights, assess the differences between respondents and nonrespondents overall and within subgroups of interest, and evaluate how much estimates using nonresponse-adjusted weights differ from the frame. </w:t>
      </w:r>
    </w:p>
    <w:p w:rsidR="00687FE8" w:rsidRPr="009D327A" w:rsidP="003D0003" w14:paraId="1C41F3D5" w14:textId="77777777">
      <w:pPr>
        <w:pStyle w:val="Heading2Black"/>
        <w:keepLines/>
        <w:ind w:left="720" w:hanging="720"/>
        <w:rPr>
          <w:noProof/>
        </w:rPr>
      </w:pPr>
      <w:r>
        <w:rPr>
          <w:noProof/>
        </w:rPr>
        <w:t>B.4.</w:t>
      </w:r>
      <w:r>
        <w:rPr>
          <w:noProof/>
        </w:rPr>
        <w:tab/>
      </w:r>
      <w:r w:rsidRPr="00F56C18">
        <w:rPr>
          <w:noProof/>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687FE8" w:rsidRPr="00523372" w:rsidP="00F25230" w14:paraId="2933EC00" w14:textId="77777777">
      <w:r>
        <w:t>The</w:t>
      </w:r>
      <w:r w:rsidRPr="001D0098">
        <w:t xml:space="preserve"> </w:t>
      </w:r>
      <w:r>
        <w:t xml:space="preserve">SNMCS-II and SFPS-IV </w:t>
      </w:r>
      <w:r w:rsidRPr="001D0098">
        <w:t xml:space="preserve">instruments </w:t>
      </w:r>
      <w:r>
        <w:t xml:space="preserve">included in this submission are </w:t>
      </w:r>
      <w:r w:rsidRPr="001D0098">
        <w:t xml:space="preserve">based on the </w:t>
      </w:r>
      <w:r>
        <w:t>instruments submitted and pre-tested in the previous SNMCS-II (</w:t>
      </w:r>
      <w:r w:rsidRPr="00855A2B">
        <w:t>OMB Control N</w:t>
      </w:r>
      <w:r>
        <w:t>umber</w:t>
      </w:r>
      <w:r w:rsidRPr="00855A2B">
        <w:t xml:space="preserve"> 0584-0648</w:t>
      </w:r>
      <w:r>
        <w:t>, expired 9/30/2022) and SFPS-IV ICRs (</w:t>
      </w:r>
      <w:r w:rsidRPr="00855A2B">
        <w:t>OMB Control N</w:t>
      </w:r>
      <w:r>
        <w:t>umber</w:t>
      </w:r>
      <w:r w:rsidRPr="00855A2B">
        <w:t xml:space="preserve"> 0584-0471</w:t>
      </w:r>
      <w:r>
        <w:t>, withdrawn 6/11/2021). Therefore</w:t>
      </w:r>
      <w:r w:rsidRPr="001D0098">
        <w:t>, the</w:t>
      </w:r>
      <w:r>
        <w:t>re was no need to conduct a comprehensive pre-test of all the instruments.</w:t>
      </w:r>
      <w:r w:rsidRPr="00AB681F">
        <w:rPr>
          <w:rFonts w:ascii="Times New Roman" w:hAnsi="Times New Roman"/>
        </w:rPr>
        <w:t xml:space="preserve"> </w:t>
      </w:r>
      <w:r w:rsidRPr="001A2D4D">
        <w:t xml:space="preserve">To address changes incorporated into the </w:t>
      </w:r>
      <w:r w:rsidRPr="00523372">
        <w:t>current study</w:t>
      </w:r>
      <w:r w:rsidRPr="001A2D4D">
        <w:t xml:space="preserve">, </w:t>
      </w:r>
      <w:r w:rsidRPr="00415310">
        <w:t>we conducted a pre</w:t>
      </w:r>
      <w:r>
        <w:t>-</w:t>
      </w:r>
      <w:r w:rsidRPr="00415310">
        <w:t>test in early 2024</w:t>
      </w:r>
      <w:r w:rsidRPr="00523372">
        <w:t xml:space="preserve"> focused</w:t>
      </w:r>
      <w:r w:rsidRPr="001A2D4D">
        <w:t xml:space="preserve"> on new or changed content </w:t>
      </w:r>
      <w:r w:rsidRPr="00523372">
        <w:t>and procedures for the SFPS-IV and FFVP study components, including:</w:t>
      </w:r>
    </w:p>
    <w:p w:rsidR="00687FE8" w:rsidRPr="00523372" w:rsidP="000F3DE4" w14:paraId="47F189A0" w14:textId="77777777">
      <w:pPr>
        <w:pStyle w:val="BulletBlack"/>
        <w:ind w:left="270"/>
      </w:pPr>
      <w:r w:rsidRPr="00523372">
        <w:t xml:space="preserve">SFPS-IV component: Food Purchase Planning Interview (Appendix </w:t>
      </w:r>
      <w:r>
        <w:rPr>
          <w:noProof/>
        </w:rPr>
        <w:t>C14</w:t>
      </w:r>
      <w:r w:rsidRPr="00523372">
        <w:t>) and Quarterly Food Purchase and USDA Foods data collection (Appendi</w:t>
      </w:r>
      <w:r>
        <w:t>ces</w:t>
      </w:r>
      <w:r w:rsidRPr="00523372">
        <w:t xml:space="preserve"> </w:t>
      </w:r>
      <w:r>
        <w:rPr>
          <w:noProof/>
        </w:rPr>
        <w:t>F01.05</w:t>
      </w:r>
      <w:r w:rsidRPr="00523372">
        <w:t xml:space="preserve">, </w:t>
      </w:r>
      <w:r>
        <w:rPr>
          <w:noProof/>
        </w:rPr>
        <w:t>F01.10</w:t>
      </w:r>
      <w:r w:rsidRPr="00523372">
        <w:t xml:space="preserve">, </w:t>
      </w:r>
      <w:r>
        <w:rPr>
          <w:noProof/>
        </w:rPr>
        <w:t>F01.01</w:t>
      </w:r>
      <w:r w:rsidRPr="00523372">
        <w:t xml:space="preserve">, </w:t>
      </w:r>
      <w:r>
        <w:rPr>
          <w:noProof/>
        </w:rPr>
        <w:t>F01.02</w:t>
      </w:r>
      <w:r w:rsidRPr="00523372">
        <w:t>)</w:t>
      </w:r>
      <w:r>
        <w:t>;</w:t>
      </w:r>
      <w:r w:rsidRPr="00523372">
        <w:t xml:space="preserve"> </w:t>
      </w:r>
      <w:r>
        <w:t xml:space="preserve">new </w:t>
      </w:r>
      <w:r w:rsidRPr="00523372">
        <w:t>content in the SFA Director Survey (</w:t>
      </w:r>
      <w:r>
        <w:t xml:space="preserve">Appendix </w:t>
      </w:r>
      <w:r w:rsidRPr="006202B8" w:rsidR="006202B8">
        <w:rPr>
          <w:noProof/>
        </w:rPr>
        <w:t>F03.01</w:t>
      </w:r>
      <w:r w:rsidRPr="00523372">
        <w:t xml:space="preserve"> )</w:t>
      </w:r>
      <w:r w:rsidRPr="00523372">
        <w:t xml:space="preserve"> </w:t>
      </w:r>
    </w:p>
    <w:p w:rsidR="00687FE8" w:rsidRPr="00523372" w:rsidP="000F3DE4" w14:paraId="18399FDC" w14:textId="77777777">
      <w:pPr>
        <w:pStyle w:val="BulletBlack"/>
        <w:ind w:left="270"/>
      </w:pPr>
      <w:r w:rsidRPr="00523372">
        <w:t xml:space="preserve">FFVP component: FFVP SNM Survey (Appendix </w:t>
      </w:r>
      <w:r>
        <w:rPr>
          <w:noProof/>
        </w:rPr>
        <w:t>F04.02</w:t>
      </w:r>
      <w:r w:rsidRPr="00523372">
        <w:t xml:space="preserve">), FFVP Menu Survey (Appendix </w:t>
      </w:r>
      <w:r>
        <w:rPr>
          <w:noProof/>
        </w:rPr>
        <w:t>F02.04</w:t>
      </w:r>
      <w:r w:rsidRPr="00523372">
        <w:t xml:space="preserve">), </w:t>
      </w:r>
      <w:r>
        <w:t xml:space="preserve">Observation Guide (Appendix </w:t>
      </w:r>
      <w:r>
        <w:rPr>
          <w:noProof/>
        </w:rPr>
        <w:t>F07</w:t>
      </w:r>
      <w:r>
        <w:t xml:space="preserve">), </w:t>
      </w:r>
      <w:r w:rsidRPr="00523372">
        <w:t xml:space="preserve">Student Interview (Appendix </w:t>
      </w:r>
      <w:r>
        <w:rPr>
          <w:noProof/>
        </w:rPr>
        <w:t>F08.01</w:t>
      </w:r>
      <w:r w:rsidRPr="00523372">
        <w:t>)</w:t>
      </w:r>
    </w:p>
    <w:p w:rsidR="00687FE8" w:rsidRPr="001A2D4D" w:rsidP="00440194" w14:paraId="75B68180" w14:textId="77777777">
      <w:pPr>
        <w:pStyle w:val="Normalcontinued"/>
      </w:pPr>
      <w:r>
        <w:t xml:space="preserve">Based on pre-test findings, we clarified question wording and response categories, edited instructions for respondents, and revised instruments to improve the flow of interviews.  Respondent burden for the pre-test is included in the burden table (Appendix </w:t>
      </w:r>
      <w:r>
        <w:rPr>
          <w:noProof/>
        </w:rPr>
        <w:t>H</w:t>
      </w:r>
      <w:r>
        <w:t xml:space="preserve">) and the pre-test memo </w:t>
      </w:r>
      <w:r w:rsidRPr="00A22112">
        <w:t xml:space="preserve">results </w:t>
      </w:r>
      <w:r w:rsidRPr="00887F7A">
        <w:t xml:space="preserve">are included in Appendix </w:t>
      </w:r>
      <w:r>
        <w:rPr>
          <w:noProof/>
        </w:rPr>
        <w:t>M</w:t>
      </w:r>
      <w:r w:rsidRPr="00A22112">
        <w:t>.</w:t>
      </w:r>
    </w:p>
    <w:p w:rsidR="00687FE8" w:rsidRPr="0057250E" w:rsidP="002F7F39" w14:paraId="75930FBF" w14:textId="77777777">
      <w:pPr>
        <w:pStyle w:val="Heading2Black"/>
        <w:ind w:left="720" w:hanging="720"/>
        <w:rPr>
          <w:noProof/>
        </w:rPr>
      </w:pPr>
      <w:r w:rsidRPr="002F7F39">
        <w:rPr>
          <w:noProof/>
        </w:rPr>
        <w:t>B.5.</w:t>
      </w:r>
      <w:r w:rsidRPr="002F7F39">
        <w:rPr>
          <w:noProof/>
        </w:rPr>
        <w:tab/>
        <w:t>Provide the name and telephone number of individuals consulted on s</w:t>
      </w:r>
      <w:r w:rsidRPr="003D0003">
        <w:rPr>
          <w:noProof/>
        </w:rPr>
        <w:t>tatistical aspects of the design and the name of the agency unit, contractor(s), grantee(s), or other person(s) who will actually collect and/or analyze the information for the agency.</w:t>
      </w:r>
    </w:p>
    <w:p w:rsidR="00687FE8" w:rsidRPr="006D019B" w:rsidP="001A2D4D" w14:paraId="25D00328" w14:textId="7EDB822C">
      <w:pPr>
        <w:rPr>
          <w:rFonts w:ascii="Times New Roman" w:hAnsi="Times New Roman"/>
          <w:szCs w:val="20"/>
        </w:rPr>
      </w:pPr>
      <w:r w:rsidRPr="001A2D4D">
        <w:t>Mathematica will collect and analyze the information, in coordination with FNS. T</w:t>
      </w:r>
      <w:r w:rsidRPr="00E34107">
        <w:t>able B</w:t>
      </w:r>
      <w:r>
        <w:t>.</w:t>
      </w:r>
      <w:r w:rsidRPr="00E34107">
        <w:t xml:space="preserve">5.1 lists </w:t>
      </w:r>
      <w:r>
        <w:t>the individuals who</w:t>
      </w:r>
      <w:r w:rsidRPr="00E34107">
        <w:t xml:space="preserve"> consulted on statistical aspects of the design</w:t>
      </w:r>
      <w:r>
        <w:t>, data collection instruments, or procedures</w:t>
      </w:r>
      <w:r w:rsidRPr="006D019B">
        <w:t xml:space="preserve">. </w:t>
      </w:r>
      <w:r w:rsidRPr="006D019B">
        <w:rPr>
          <w:shd w:val="clear" w:color="auto" w:fill="FFFFFF" w:themeFill="background1"/>
        </w:rPr>
        <w:t>T</w:t>
      </w:r>
      <w:r w:rsidRPr="006D019B">
        <w:rPr>
          <w:rStyle w:val="normaltextrun"/>
          <w:color w:val="000000"/>
          <w:shd w:val="clear" w:color="auto" w:fill="FFFFFF" w:themeFill="background1"/>
        </w:rPr>
        <w:t>he information request has also been reviewed by</w:t>
      </w:r>
      <w:r w:rsidRPr="006D019B" w:rsidR="00D35A7A">
        <w:rPr>
          <w:rStyle w:val="normaltextrun"/>
          <w:color w:val="000000"/>
          <w:shd w:val="clear" w:color="auto" w:fill="FFFFFF" w:themeFill="background1"/>
        </w:rPr>
        <w:t xml:space="preserve"> Jennifer Rhorer</w:t>
      </w:r>
      <w:r w:rsidRPr="006D019B">
        <w:rPr>
          <w:rStyle w:val="normaltextrun"/>
          <w:color w:val="000000"/>
          <w:shd w:val="clear" w:color="auto" w:fill="FFFFFF" w:themeFill="background1"/>
        </w:rPr>
        <w:t xml:space="preserve"> with the USDA National Agricultural Statistics Service (</w:t>
      </w:r>
      <w:r w:rsidRPr="006D019B">
        <w:rPr>
          <w:rStyle w:val="findhit"/>
          <w:color w:val="000000"/>
          <w:shd w:val="clear" w:color="auto" w:fill="FFFFFF" w:themeFill="background1"/>
        </w:rPr>
        <w:t>NASS</w:t>
      </w:r>
      <w:r w:rsidRPr="006D019B">
        <w:rPr>
          <w:rStyle w:val="normaltextrun"/>
          <w:color w:val="000000"/>
          <w:shd w:val="clear" w:color="auto" w:fill="FFFFFF" w:themeFill="background1"/>
        </w:rPr>
        <w:t xml:space="preserve">) with reference to the statistical procedures. Those comments and the FNS response are in </w:t>
      </w:r>
      <w:r w:rsidRPr="006D019B" w:rsidR="00D80056">
        <w:rPr>
          <w:rStyle w:val="normaltextrun"/>
          <w:color w:val="000000"/>
          <w:shd w:val="clear" w:color="auto" w:fill="FFFFFF" w:themeFill="background1"/>
        </w:rPr>
        <w:t>Appendix N</w:t>
      </w:r>
      <w:r w:rsidRPr="006D019B">
        <w:rPr>
          <w:rStyle w:val="normaltextrun"/>
          <w:color w:val="000000"/>
          <w:shd w:val="clear" w:color="auto" w:fill="FFFFFF" w:themeFill="background1"/>
        </w:rPr>
        <w:t>.</w:t>
      </w:r>
      <w:r w:rsidRPr="006D019B">
        <w:rPr>
          <w:rStyle w:val="normaltextrun"/>
          <w:color w:val="000000"/>
          <w:shd w:val="clear" w:color="auto" w:fill="FFFF00"/>
        </w:rPr>
        <w:t xml:space="preserve"> </w:t>
      </w:r>
    </w:p>
    <w:p w:rsidR="00687FE8" w:rsidRPr="006D019B" w:rsidP="00E34107" w14:paraId="3815D73F" w14:textId="77777777">
      <w:pPr>
        <w:pStyle w:val="MarkforTableHeading"/>
        <w:rPr>
          <w:rFonts w:eastAsiaTheme="minorHAnsi"/>
        </w:rPr>
      </w:pPr>
      <w:r w:rsidRPr="006D019B">
        <w:rPr>
          <w:rFonts w:eastAsiaTheme="minorHAnsi"/>
        </w:rPr>
        <w:t xml:space="preserve">Table B.5.1. Individuals consulted on data collection or </w:t>
      </w:r>
      <w:r w:rsidRPr="006D019B">
        <w:rPr>
          <w:rFonts w:eastAsiaTheme="minorHAnsi"/>
        </w:rPr>
        <w:t>analysis</w:t>
      </w:r>
    </w:p>
    <w:tbl>
      <w:tblPr>
        <w:tblW w:w="9360" w:type="dxa"/>
        <w:tblLook w:val="04A0"/>
      </w:tblPr>
      <w:tblGrid>
        <w:gridCol w:w="2070"/>
        <w:gridCol w:w="2880"/>
        <w:gridCol w:w="1350"/>
        <w:gridCol w:w="3060"/>
      </w:tblGrid>
      <w:tr w14:paraId="26662C15" w14:textId="77777777" w:rsidTr="044243A3">
        <w:tblPrEx>
          <w:tblW w:w="9360" w:type="dxa"/>
          <w:tblLook w:val="04A0"/>
        </w:tblPrEx>
        <w:trPr>
          <w:trHeight w:val="300"/>
        </w:trPr>
        <w:tc>
          <w:tcPr>
            <w:tcW w:w="2070" w:type="dxa"/>
            <w:tcBorders>
              <w:left w:val="nil"/>
              <w:bottom w:val="single" w:sz="4" w:space="0" w:color="auto"/>
              <w:right w:val="single" w:sz="4" w:space="0" w:color="FFFFFF" w:themeColor="background1"/>
            </w:tcBorders>
            <w:shd w:val="clear" w:color="auto" w:fill="6C6F70"/>
            <w:noWrap/>
            <w:vAlign w:val="bottom"/>
            <w:hideMark/>
          </w:tcPr>
          <w:p w:rsidR="00687FE8" w:rsidRPr="006D019B" w:rsidP="0048410B" w14:paraId="38EF4AD4" w14:textId="77777777">
            <w:pPr>
              <w:tabs>
                <w:tab w:val="clear" w:pos="432"/>
              </w:tabs>
              <w:spacing w:before="120" w:after="60" w:line="240" w:lineRule="auto"/>
              <w:ind w:left="-23" w:firstLine="0"/>
              <w:jc w:val="left"/>
              <w:rPr>
                <w:rFonts w:ascii="Arial" w:hAnsi="Arial"/>
                <w:b/>
                <w:color w:val="FFFFFF"/>
                <w:sz w:val="18"/>
                <w:szCs w:val="18"/>
              </w:rPr>
            </w:pPr>
            <w:r w:rsidRPr="006D019B">
              <w:rPr>
                <w:rFonts w:ascii="Arial" w:hAnsi="Arial"/>
                <w:b/>
                <w:color w:val="FFFFFF"/>
                <w:sz w:val="18"/>
                <w:szCs w:val="18"/>
              </w:rPr>
              <w:t>Mathematica staff</w:t>
            </w:r>
          </w:p>
        </w:tc>
        <w:tc>
          <w:tcPr>
            <w:tcW w:w="2880" w:type="dxa"/>
            <w:tcBorders>
              <w:left w:val="single" w:sz="4" w:space="0" w:color="FFFFFF" w:themeColor="background1"/>
              <w:bottom w:val="single" w:sz="4" w:space="0" w:color="auto"/>
              <w:right w:val="single" w:sz="4" w:space="0" w:color="FFFFFF" w:themeColor="background1"/>
            </w:tcBorders>
            <w:shd w:val="clear" w:color="auto" w:fill="6C6F70"/>
            <w:noWrap/>
            <w:vAlign w:val="bottom"/>
            <w:hideMark/>
          </w:tcPr>
          <w:p w:rsidR="00687FE8" w:rsidRPr="006D019B" w:rsidP="006E14E5" w14:paraId="4F1670AB" w14:textId="77777777">
            <w:pPr>
              <w:textboxTightWrap w:val="allLines"/>
              <w:tabs>
                <w:tab w:val="clear" w:pos="432"/>
              </w:tabs>
              <w:spacing w:before="120" w:after="60" w:line="240" w:lineRule="auto"/>
              <w:ind w:firstLine="0"/>
              <w:jc w:val="left"/>
              <w:rPr>
                <w:rFonts w:ascii="Arial" w:hAnsi="Arial"/>
                <w:b/>
                <w:color w:val="FFFFFF"/>
                <w:sz w:val="18"/>
                <w:szCs w:val="18"/>
              </w:rPr>
            </w:pPr>
            <w:r w:rsidRPr="006D019B">
              <w:rPr>
                <w:rFonts w:ascii="Arial" w:hAnsi="Arial"/>
                <w:b/>
                <w:color w:val="FFFFFF"/>
                <w:sz w:val="18"/>
                <w:szCs w:val="18"/>
              </w:rPr>
              <w:t>Title</w:t>
            </w:r>
          </w:p>
        </w:tc>
        <w:tc>
          <w:tcPr>
            <w:tcW w:w="1350" w:type="dxa"/>
            <w:tcBorders>
              <w:left w:val="single" w:sz="4" w:space="0" w:color="FFFFFF" w:themeColor="background1"/>
              <w:bottom w:val="single" w:sz="4" w:space="0" w:color="auto"/>
              <w:right w:val="single" w:sz="4" w:space="0" w:color="FFFFFF" w:themeColor="background1"/>
            </w:tcBorders>
            <w:shd w:val="clear" w:color="auto" w:fill="6C6F70"/>
            <w:noWrap/>
            <w:vAlign w:val="bottom"/>
            <w:hideMark/>
          </w:tcPr>
          <w:p w:rsidR="00687FE8" w:rsidRPr="006D019B" w:rsidP="006E14E5" w14:paraId="2AED3F2B" w14:textId="77777777">
            <w:pPr>
              <w:textboxTightWrap w:val="allLines"/>
              <w:tabs>
                <w:tab w:val="clear" w:pos="432"/>
              </w:tabs>
              <w:spacing w:before="120" w:after="60" w:line="240" w:lineRule="auto"/>
              <w:ind w:firstLine="0"/>
              <w:jc w:val="left"/>
              <w:rPr>
                <w:rFonts w:ascii="Arial" w:hAnsi="Arial"/>
                <w:b/>
                <w:color w:val="FFFFFF"/>
                <w:sz w:val="18"/>
                <w:szCs w:val="18"/>
              </w:rPr>
            </w:pPr>
            <w:r w:rsidRPr="006D019B">
              <w:rPr>
                <w:rFonts w:ascii="Arial" w:hAnsi="Arial"/>
                <w:b/>
                <w:color w:val="FFFFFF"/>
                <w:sz w:val="18"/>
                <w:szCs w:val="18"/>
              </w:rPr>
              <w:t>Phone</w:t>
            </w:r>
          </w:p>
        </w:tc>
        <w:tc>
          <w:tcPr>
            <w:tcW w:w="3060" w:type="dxa"/>
            <w:tcBorders>
              <w:left w:val="single" w:sz="4" w:space="0" w:color="FFFFFF" w:themeColor="background1"/>
              <w:bottom w:val="single" w:sz="4" w:space="0" w:color="auto"/>
              <w:right w:val="nil"/>
            </w:tcBorders>
            <w:shd w:val="clear" w:color="auto" w:fill="6C6F70"/>
            <w:noWrap/>
            <w:vAlign w:val="bottom"/>
            <w:hideMark/>
          </w:tcPr>
          <w:p w:rsidR="00687FE8" w:rsidRPr="006D019B" w:rsidP="009B7F7F" w14:paraId="6A9D0F70" w14:textId="77777777">
            <w:pPr>
              <w:textboxTightWrap w:val="allLines"/>
              <w:tabs>
                <w:tab w:val="clear" w:pos="432"/>
              </w:tabs>
              <w:spacing w:before="120" w:after="60" w:line="240" w:lineRule="auto"/>
              <w:ind w:firstLine="0"/>
              <w:jc w:val="center"/>
              <w:rPr>
                <w:rFonts w:ascii="Arial" w:hAnsi="Arial"/>
                <w:b/>
                <w:color w:val="FFFFFF"/>
                <w:sz w:val="18"/>
                <w:szCs w:val="18"/>
              </w:rPr>
            </w:pPr>
            <w:r w:rsidRPr="006D019B">
              <w:rPr>
                <w:rFonts w:ascii="Arial" w:hAnsi="Arial"/>
                <w:b/>
                <w:color w:val="FFFFFF"/>
                <w:sz w:val="18"/>
                <w:szCs w:val="18"/>
              </w:rPr>
              <w:t>Email</w:t>
            </w:r>
          </w:p>
        </w:tc>
      </w:tr>
      <w:tr w14:paraId="6AABB1D2"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38B5E6CA"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Phil Gleason</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35639FF6"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Project director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49FC6C45"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202-264-3443</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73D26CFA" w14:textId="77777777">
            <w:pPr>
              <w:tabs>
                <w:tab w:val="clear" w:pos="432"/>
              </w:tabs>
              <w:spacing w:before="60" w:after="60" w:line="240" w:lineRule="auto"/>
              <w:ind w:firstLine="0"/>
              <w:rPr>
                <w:rFonts w:ascii="Arial" w:hAnsi="Arial" w:cs="Arial"/>
                <w:sz w:val="18"/>
                <w:szCs w:val="18"/>
              </w:rPr>
            </w:pPr>
            <w:hyperlink r:id="rId13" w:history="1">
              <w:r w:rsidRPr="006D019B" w:rsidR="004E32B2">
                <w:rPr>
                  <w:rStyle w:val="Hyperlink"/>
                  <w:rFonts w:ascii="Arial" w:hAnsi="Arial" w:cs="Arial"/>
                  <w:sz w:val="18"/>
                  <w:szCs w:val="18"/>
                </w:rPr>
                <w:t>PGleason@mathematica-mpr.com</w:t>
              </w:r>
            </w:hyperlink>
            <w:r w:rsidRPr="006D019B" w:rsidR="004E32B2">
              <w:rPr>
                <w:rFonts w:ascii="Arial" w:hAnsi="Arial" w:cs="Arial"/>
                <w:sz w:val="18"/>
                <w:szCs w:val="18"/>
              </w:rPr>
              <w:t xml:space="preserve"> </w:t>
            </w:r>
          </w:p>
        </w:tc>
      </w:tr>
      <w:tr w14:paraId="6A19C26C"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57D1C0FF"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Liz Gearan</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24E5CC35"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Deputy project director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1ED7D15E"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617-301-8978</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02379F" w14:paraId="5887BAE5" w14:textId="77777777">
            <w:pPr>
              <w:tabs>
                <w:tab w:val="clear" w:pos="432"/>
              </w:tabs>
              <w:spacing w:before="60" w:after="60" w:line="240" w:lineRule="auto"/>
              <w:ind w:firstLine="0"/>
              <w:rPr>
                <w:rFonts w:ascii="Arial" w:hAnsi="Arial" w:cs="Arial"/>
                <w:sz w:val="18"/>
                <w:szCs w:val="18"/>
              </w:rPr>
            </w:pPr>
            <w:hyperlink r:id="rId14" w:history="1">
              <w:r w:rsidRPr="006D019B" w:rsidR="004E32B2">
                <w:rPr>
                  <w:rStyle w:val="Hyperlink"/>
                  <w:rFonts w:ascii="Arial" w:hAnsi="Arial" w:cs="Arial"/>
                  <w:sz w:val="18"/>
                  <w:szCs w:val="18"/>
                </w:rPr>
                <w:t>LGearan@mathematica-mpr.com</w:t>
              </w:r>
            </w:hyperlink>
          </w:p>
        </w:tc>
      </w:tr>
      <w:tr w14:paraId="4C7B1091"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48410B" w14:paraId="7944A443"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Barbara Carlson</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9B7F7F" w14:paraId="595EA848"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Senior statistician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9B7F7F" w14:paraId="1F6ABB6F"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617-674-8372</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1A2D4D" w14:paraId="5CA54CAA" w14:textId="77777777">
            <w:pPr>
              <w:tabs>
                <w:tab w:val="clear" w:pos="432"/>
              </w:tabs>
              <w:spacing w:before="60" w:after="60" w:line="240" w:lineRule="auto"/>
              <w:ind w:firstLine="0"/>
              <w:rPr>
                <w:rFonts w:ascii="Arial" w:hAnsi="Arial" w:cs="Arial"/>
                <w:color w:val="0070C0"/>
                <w:sz w:val="18"/>
                <w:szCs w:val="18"/>
              </w:rPr>
            </w:pPr>
            <w:hyperlink r:id="rId15" w:history="1">
              <w:r w:rsidRPr="006D019B" w:rsidR="004E32B2">
                <w:rPr>
                  <w:rStyle w:val="Hyperlink"/>
                  <w:rFonts w:ascii="Arial" w:hAnsi="Arial" w:cs="Arial"/>
                  <w:sz w:val="18"/>
                  <w:szCs w:val="18"/>
                </w:rPr>
                <w:t>BCarlson@mathematica-mpr.com</w:t>
              </w:r>
            </w:hyperlink>
          </w:p>
        </w:tc>
      </w:tr>
      <w:tr w14:paraId="15E1207C"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hideMark/>
          </w:tcPr>
          <w:p w:rsidR="00687FE8" w:rsidRPr="006D019B" w:rsidP="0048410B" w14:paraId="2837595A"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Sarah Forrestal</w:t>
            </w:r>
          </w:p>
        </w:tc>
        <w:tc>
          <w:tcPr>
            <w:tcW w:w="2880" w:type="dxa"/>
            <w:tcBorders>
              <w:top w:val="single" w:sz="4" w:space="0" w:color="auto"/>
              <w:left w:val="single" w:sz="4" w:space="0" w:color="auto"/>
              <w:bottom w:val="single" w:sz="4" w:space="0" w:color="auto"/>
              <w:right w:val="single" w:sz="4" w:space="0" w:color="auto"/>
            </w:tcBorders>
            <w:shd w:val="clear" w:color="auto" w:fill="auto"/>
            <w:noWrap/>
            <w:hideMark/>
          </w:tcPr>
          <w:p w:rsidR="00687FE8" w:rsidRPr="006D019B" w:rsidP="009B7F7F" w14:paraId="6E6BA0E4"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Senior researcher</w:t>
            </w: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687FE8" w:rsidRPr="006D019B" w:rsidP="009B7F7F" w14:paraId="32084ACF"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609-945-6616</w:t>
            </w:r>
          </w:p>
        </w:tc>
        <w:tc>
          <w:tcPr>
            <w:tcW w:w="3060" w:type="dxa"/>
            <w:tcBorders>
              <w:top w:val="single" w:sz="4" w:space="0" w:color="auto"/>
              <w:left w:val="single" w:sz="4" w:space="0" w:color="auto"/>
              <w:bottom w:val="single" w:sz="4" w:space="0" w:color="auto"/>
              <w:right w:val="single" w:sz="4" w:space="0" w:color="auto"/>
            </w:tcBorders>
            <w:shd w:val="clear" w:color="auto" w:fill="auto"/>
            <w:noWrap/>
            <w:hideMark/>
          </w:tcPr>
          <w:p w:rsidR="00687FE8" w:rsidRPr="006D019B" w:rsidP="009B7F7F" w14:paraId="032AA3F8" w14:textId="77777777">
            <w:pPr>
              <w:tabs>
                <w:tab w:val="clear" w:pos="432"/>
              </w:tabs>
              <w:spacing w:before="60" w:after="60" w:line="240" w:lineRule="auto"/>
              <w:ind w:firstLine="0"/>
              <w:jc w:val="left"/>
              <w:rPr>
                <w:rFonts w:ascii="Arial" w:hAnsi="Arial" w:cs="Arial"/>
                <w:color w:val="0070C0"/>
                <w:sz w:val="18"/>
                <w:szCs w:val="18"/>
                <w:u w:val="single"/>
              </w:rPr>
            </w:pPr>
            <w:hyperlink r:id="rId16" w:history="1">
              <w:r w:rsidRPr="006D019B" w:rsidR="004E32B2">
                <w:rPr>
                  <w:rStyle w:val="Hyperlink"/>
                  <w:rFonts w:ascii="Arial" w:hAnsi="Arial" w:cs="Arial"/>
                  <w:sz w:val="18"/>
                  <w:szCs w:val="18"/>
                </w:rPr>
                <w:t>SForrestal@mathematica-mpr.com</w:t>
              </w:r>
            </w:hyperlink>
          </w:p>
        </w:tc>
      </w:tr>
      <w:tr w14:paraId="51615E95"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48410B" w14:paraId="78A80226" w14:textId="77777777">
            <w:pPr>
              <w:tabs>
                <w:tab w:val="clear" w:pos="432"/>
              </w:tabs>
              <w:spacing w:before="60" w:after="60" w:line="240" w:lineRule="auto"/>
              <w:ind w:left="-23" w:firstLine="0"/>
              <w:jc w:val="left"/>
              <w:rPr>
                <w:rFonts w:ascii="Arial" w:hAnsi="Arial" w:cs="Arial"/>
                <w:sz w:val="18"/>
                <w:szCs w:val="18"/>
              </w:rPr>
            </w:pPr>
            <w:r w:rsidRPr="006D019B">
              <w:rPr>
                <w:rFonts w:ascii="Arial" w:hAnsi="Arial" w:cs="Arial"/>
                <w:bCs/>
                <w:sz w:val="18"/>
                <w:szCs w:val="18"/>
              </w:rPr>
              <w:t>Sara Bardin</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FA4834" w14:paraId="60675920" w14:textId="77777777">
            <w:pPr>
              <w:tabs>
                <w:tab w:val="clear" w:pos="432"/>
              </w:tabs>
              <w:spacing w:before="60" w:after="60" w:line="240" w:lineRule="auto"/>
              <w:ind w:firstLine="0"/>
              <w:jc w:val="left"/>
              <w:rPr>
                <w:rFonts w:ascii="Arial" w:hAnsi="Arial" w:cs="Arial"/>
                <w:sz w:val="18"/>
                <w:szCs w:val="18"/>
              </w:rPr>
            </w:pPr>
            <w:r w:rsidRPr="006D019B">
              <w:rPr>
                <w:rFonts w:ascii="Arial" w:hAnsi="Arial" w:cs="Arial"/>
                <w:sz w:val="18"/>
                <w:szCs w:val="18"/>
              </w:rPr>
              <w:t>Senior researcher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FA4834" w14:paraId="77D2FB0F" w14:textId="77777777">
            <w:pPr>
              <w:tabs>
                <w:tab w:val="clear" w:pos="432"/>
              </w:tabs>
              <w:spacing w:before="60" w:after="60" w:line="240" w:lineRule="auto"/>
              <w:ind w:firstLine="0"/>
              <w:jc w:val="left"/>
              <w:rPr>
                <w:rFonts w:ascii="Arial" w:hAnsi="Arial" w:cs="Arial"/>
                <w:sz w:val="18"/>
                <w:szCs w:val="18"/>
              </w:rPr>
            </w:pPr>
            <w:r w:rsidRPr="006D019B">
              <w:rPr>
                <w:rFonts w:ascii="Arial" w:hAnsi="Arial" w:cs="Arial"/>
                <w:bCs/>
                <w:sz w:val="18"/>
                <w:szCs w:val="18"/>
              </w:rPr>
              <w:t>312-585-3315</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FA4834" w14:paraId="73F677DD" w14:textId="77777777">
            <w:pPr>
              <w:tabs>
                <w:tab w:val="clear" w:pos="432"/>
              </w:tabs>
              <w:spacing w:before="60" w:after="60" w:line="240" w:lineRule="auto"/>
              <w:ind w:firstLine="0"/>
              <w:jc w:val="left"/>
              <w:rPr>
                <w:rFonts w:ascii="Arial" w:hAnsi="Arial" w:cs="Arial"/>
                <w:sz w:val="18"/>
                <w:szCs w:val="18"/>
              </w:rPr>
            </w:pPr>
            <w:hyperlink r:id="rId17" w:history="1">
              <w:r w:rsidRPr="006D019B" w:rsidR="004E32B2">
                <w:rPr>
                  <w:rStyle w:val="Hyperlink"/>
                  <w:rFonts w:ascii="Arial" w:hAnsi="Arial" w:cs="Arial"/>
                  <w:bCs/>
                  <w:sz w:val="18"/>
                  <w:szCs w:val="18"/>
                </w:rPr>
                <w:t>SBardin@mathematica-mpr.com</w:t>
              </w:r>
            </w:hyperlink>
            <w:r w:rsidRPr="006D019B" w:rsidR="004E32B2">
              <w:rPr>
                <w:rFonts w:ascii="Arial" w:hAnsi="Arial" w:cs="Arial"/>
                <w:bCs/>
                <w:sz w:val="18"/>
                <w:szCs w:val="18"/>
              </w:rPr>
              <w:t xml:space="preserve"> </w:t>
            </w:r>
          </w:p>
        </w:tc>
      </w:tr>
      <w:tr w14:paraId="03F436BD"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6C6F70"/>
            <w:noWrap/>
          </w:tcPr>
          <w:p w:rsidR="00687FE8" w:rsidRPr="006D019B" w:rsidP="0048410B" w14:paraId="1F76595D"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b/>
                <w:bCs/>
                <w:color w:val="FFFFFF" w:themeColor="background1"/>
                <w:sz w:val="18"/>
                <w:szCs w:val="18"/>
              </w:rPr>
              <w:t>USDA staff</w:t>
            </w:r>
          </w:p>
        </w:tc>
        <w:tc>
          <w:tcPr>
            <w:tcW w:w="2880" w:type="dxa"/>
            <w:tcBorders>
              <w:top w:val="single" w:sz="4" w:space="0" w:color="auto"/>
              <w:left w:val="single" w:sz="4" w:space="0" w:color="auto"/>
              <w:bottom w:val="single" w:sz="4" w:space="0" w:color="auto"/>
              <w:right w:val="single" w:sz="4" w:space="0" w:color="auto"/>
            </w:tcBorders>
            <w:shd w:val="clear" w:color="auto" w:fill="7F7F7F" w:themeFill="text1" w:themeFillTint="80"/>
            <w:noWrap/>
            <w:vAlign w:val="center"/>
          </w:tcPr>
          <w:p w:rsidR="00687FE8" w:rsidRPr="006D019B" w:rsidP="00732A1C" w14:paraId="1A4F1975"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b/>
                <w:color w:val="FFFFFF"/>
                <w:sz w:val="18"/>
                <w:szCs w:val="18"/>
              </w:rPr>
              <w:t>Title</w:t>
            </w:r>
          </w:p>
        </w:tc>
        <w:tc>
          <w:tcPr>
            <w:tcW w:w="1350" w:type="dxa"/>
            <w:tcBorders>
              <w:top w:val="single" w:sz="4" w:space="0" w:color="auto"/>
              <w:left w:val="single" w:sz="4" w:space="0" w:color="auto"/>
              <w:bottom w:val="single" w:sz="4" w:space="0" w:color="auto"/>
              <w:right w:val="single" w:sz="4" w:space="0" w:color="auto"/>
            </w:tcBorders>
            <w:shd w:val="clear" w:color="auto" w:fill="6C6F70"/>
            <w:noWrap/>
          </w:tcPr>
          <w:p w:rsidR="00687FE8" w:rsidRPr="006D019B" w:rsidP="00FA4834" w14:paraId="67905AB8"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b/>
                <w:color w:val="FFFFFF"/>
                <w:sz w:val="18"/>
                <w:szCs w:val="18"/>
              </w:rPr>
              <w:t>Phone</w:t>
            </w:r>
          </w:p>
        </w:tc>
        <w:tc>
          <w:tcPr>
            <w:tcW w:w="3060" w:type="dxa"/>
            <w:tcBorders>
              <w:top w:val="single" w:sz="4" w:space="0" w:color="auto"/>
              <w:left w:val="single" w:sz="4" w:space="0" w:color="auto"/>
              <w:bottom w:val="single" w:sz="4" w:space="0" w:color="auto"/>
              <w:right w:val="single" w:sz="4" w:space="0" w:color="auto"/>
            </w:tcBorders>
            <w:shd w:val="clear" w:color="auto" w:fill="6C6F70"/>
            <w:noWrap/>
            <w:vAlign w:val="center"/>
          </w:tcPr>
          <w:p w:rsidR="00687FE8" w:rsidRPr="006D019B" w:rsidP="00150703" w14:paraId="27F52E0B" w14:textId="77777777">
            <w:pPr>
              <w:tabs>
                <w:tab w:val="clear" w:pos="432"/>
              </w:tabs>
              <w:spacing w:before="60" w:after="60" w:line="240" w:lineRule="auto"/>
              <w:ind w:firstLine="0"/>
              <w:jc w:val="center"/>
              <w:rPr>
                <w:rFonts w:ascii="Arial" w:hAnsi="Arial" w:cs="Arial"/>
                <w:color w:val="0563C1"/>
                <w:sz w:val="18"/>
                <w:szCs w:val="18"/>
                <w:u w:val="single"/>
              </w:rPr>
            </w:pPr>
            <w:r w:rsidRPr="006D019B">
              <w:rPr>
                <w:rFonts w:ascii="Arial" w:hAnsi="Arial" w:cs="Arial"/>
                <w:b/>
                <w:color w:val="FFFFFF"/>
                <w:sz w:val="18"/>
                <w:szCs w:val="18"/>
              </w:rPr>
              <w:t>Email</w:t>
            </w:r>
          </w:p>
        </w:tc>
      </w:tr>
      <w:tr w14:paraId="303A1700"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4AE4A2DD" w14:textId="77777777">
            <w:pPr>
              <w:tabs>
                <w:tab w:val="clear" w:pos="432"/>
              </w:tabs>
              <w:spacing w:before="12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Marlana Bates, FNS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4048C696" w14:textId="77777777">
            <w:pPr>
              <w:textboxTightWrap w:val="allLines"/>
              <w:tabs>
                <w:tab w:val="clear" w:pos="432"/>
              </w:tabs>
              <w:spacing w:before="12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Program Analyst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42F73B37" w14:textId="77777777">
            <w:pPr>
              <w:textboxTightWrap w:val="allLines"/>
              <w:tabs>
                <w:tab w:val="clear" w:pos="432"/>
              </w:tabs>
              <w:spacing w:before="120" w:after="60" w:line="240" w:lineRule="auto"/>
              <w:ind w:firstLine="0"/>
              <w:jc w:val="left"/>
              <w:rPr>
                <w:rFonts w:ascii="Arial" w:eastAsia="Arial" w:hAnsi="Arial" w:cs="Arial"/>
                <w:sz w:val="18"/>
                <w:szCs w:val="18"/>
              </w:rPr>
            </w:pPr>
            <w:r w:rsidRPr="006D019B">
              <w:rPr>
                <w:rFonts w:ascii="Arial" w:eastAsia="Arial" w:hAnsi="Arial" w:cs="Arial"/>
                <w:sz w:val="18"/>
                <w:szCs w:val="18"/>
              </w:rPr>
              <w:t>703-305-2388</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21A774D7" w14:textId="77777777">
            <w:pPr>
              <w:textboxTightWrap w:val="allLines"/>
              <w:tabs>
                <w:tab w:val="clear" w:pos="432"/>
              </w:tabs>
              <w:spacing w:before="120" w:after="60" w:line="240" w:lineRule="auto"/>
              <w:ind w:firstLine="0"/>
              <w:jc w:val="left"/>
              <w:rPr>
                <w:rFonts w:ascii="Arial" w:hAnsi="Arial" w:cs="Arial"/>
                <w:sz w:val="18"/>
                <w:szCs w:val="18"/>
              </w:rPr>
            </w:pPr>
            <w:hyperlink r:id="rId18" w:history="1">
              <w:r w:rsidRPr="006D019B" w:rsidR="004E32B2">
                <w:rPr>
                  <w:rStyle w:val="Hyperlink"/>
                  <w:rFonts w:ascii="Arial" w:hAnsi="Arial" w:cs="Arial"/>
                  <w:sz w:val="18"/>
                  <w:szCs w:val="18"/>
                </w:rPr>
                <w:t>Marlana.Bates@usda.gov</w:t>
              </w:r>
            </w:hyperlink>
            <w:r w:rsidRPr="006D019B" w:rsidR="004E32B2">
              <w:rPr>
                <w:rFonts w:ascii="Arial" w:hAnsi="Arial" w:cs="Arial"/>
                <w:sz w:val="18"/>
                <w:szCs w:val="18"/>
              </w:rPr>
              <w:t xml:space="preserve"> </w:t>
            </w:r>
          </w:p>
        </w:tc>
      </w:tr>
      <w:tr w14:paraId="125FADB0" w14:textId="77777777" w:rsidTr="044243A3">
        <w:tblPrEx>
          <w:tblW w:w="9360" w:type="dxa"/>
          <w:tblLook w:val="04A0"/>
        </w:tblPrEx>
        <w:trPr>
          <w:trHeight w:val="48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3F912BFF" w14:textId="77777777">
            <w:pPr>
              <w:spacing w:line="240" w:lineRule="auto"/>
              <w:ind w:firstLine="0"/>
              <w:rPr>
                <w:rFonts w:ascii="Arial" w:hAnsi="Arial" w:cs="Arial"/>
                <w:color w:val="000000" w:themeColor="text1"/>
                <w:sz w:val="18"/>
                <w:szCs w:val="18"/>
              </w:rPr>
            </w:pPr>
            <w:r w:rsidRPr="006D019B">
              <w:rPr>
                <w:rFonts w:ascii="Arial" w:hAnsi="Arial" w:cs="Arial"/>
                <w:color w:val="000000" w:themeColor="text1"/>
                <w:sz w:val="18"/>
                <w:szCs w:val="18"/>
              </w:rPr>
              <w:t>Brianna Bradley, FNS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3F51BD0A"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themeColor="text1"/>
                <w:sz w:val="18"/>
                <w:szCs w:val="18"/>
              </w:rPr>
              <w:t>Social Science Policy Analyst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3DCDF596" w14:textId="77777777">
            <w:pPr>
              <w:spacing w:line="240" w:lineRule="auto"/>
              <w:ind w:firstLine="0"/>
              <w:jc w:val="left"/>
              <w:rPr>
                <w:rFonts w:ascii="Arial" w:eastAsia="Arial" w:hAnsi="Arial" w:cs="Arial"/>
                <w:sz w:val="18"/>
                <w:szCs w:val="18"/>
              </w:rPr>
            </w:pPr>
            <w:r w:rsidRPr="006D019B">
              <w:rPr>
                <w:rFonts w:ascii="Arial" w:eastAsia="Arial" w:hAnsi="Arial" w:cs="Arial"/>
                <w:sz w:val="18"/>
                <w:szCs w:val="18"/>
              </w:rPr>
              <w:t>407-455-2440</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215343E0" w14:textId="77777777">
            <w:pPr>
              <w:spacing w:line="240" w:lineRule="auto"/>
              <w:ind w:firstLine="0"/>
              <w:jc w:val="left"/>
              <w:rPr>
                <w:rFonts w:ascii="Arial" w:hAnsi="Arial" w:cs="Arial"/>
                <w:sz w:val="18"/>
                <w:szCs w:val="18"/>
              </w:rPr>
            </w:pPr>
            <w:hyperlink r:id="rId19" w:history="1">
              <w:r w:rsidRPr="006D019B" w:rsidR="004E32B2">
                <w:rPr>
                  <w:rStyle w:val="Hyperlink"/>
                  <w:rFonts w:ascii="Arial" w:hAnsi="Arial" w:cs="Arial"/>
                  <w:sz w:val="18"/>
                  <w:szCs w:val="18"/>
                </w:rPr>
                <w:t>Brianna.Bradley@usda.gov</w:t>
              </w:r>
            </w:hyperlink>
            <w:r w:rsidRPr="006D019B" w:rsidR="004E32B2">
              <w:rPr>
                <w:rFonts w:ascii="Arial" w:hAnsi="Arial" w:cs="Arial"/>
                <w:sz w:val="18"/>
                <w:szCs w:val="18"/>
              </w:rPr>
              <w:t xml:space="preserve"> </w:t>
            </w:r>
          </w:p>
        </w:tc>
      </w:tr>
      <w:tr w14:paraId="1BD7F373"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7B96ED16" w14:textId="77777777">
            <w:pPr>
              <w:tabs>
                <w:tab w:val="clear" w:pos="432"/>
              </w:tabs>
              <w:spacing w:before="12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Ashley Chaifetz, FNS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68124F03" w14:textId="77777777">
            <w:pPr>
              <w:textboxTightWrap w:val="allLines"/>
              <w:tabs>
                <w:tab w:val="clear" w:pos="432"/>
              </w:tabs>
              <w:spacing w:before="12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Senior Analyst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216E2732" w14:textId="77777777">
            <w:pPr>
              <w:textboxTightWrap w:val="allLines"/>
              <w:tabs>
                <w:tab w:val="clear" w:pos="432"/>
              </w:tabs>
              <w:spacing w:before="120" w:after="60" w:line="240" w:lineRule="auto"/>
              <w:ind w:firstLine="0"/>
              <w:jc w:val="left"/>
              <w:rPr>
                <w:rFonts w:ascii="Arial" w:eastAsia="Arial" w:hAnsi="Arial" w:cs="Arial"/>
                <w:sz w:val="18"/>
                <w:szCs w:val="18"/>
              </w:rPr>
            </w:pPr>
            <w:r w:rsidRPr="006D019B">
              <w:rPr>
                <w:rFonts w:ascii="Arial" w:eastAsia="Arial" w:hAnsi="Arial" w:cs="Arial"/>
                <w:sz w:val="18"/>
                <w:szCs w:val="18"/>
              </w:rPr>
              <w:t>470-528-7717</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19E25B5E" w14:textId="77777777">
            <w:pPr>
              <w:textboxTightWrap w:val="allLines"/>
              <w:tabs>
                <w:tab w:val="clear" w:pos="432"/>
              </w:tabs>
              <w:spacing w:before="120" w:after="60" w:line="240" w:lineRule="auto"/>
              <w:ind w:firstLine="0"/>
              <w:jc w:val="left"/>
              <w:rPr>
                <w:rFonts w:ascii="Arial" w:hAnsi="Arial" w:cs="Arial"/>
                <w:sz w:val="18"/>
                <w:szCs w:val="18"/>
              </w:rPr>
            </w:pPr>
            <w:hyperlink r:id="rId20">
              <w:r w:rsidRPr="006D019B" w:rsidR="004E32B2">
                <w:rPr>
                  <w:rStyle w:val="Hyperlink"/>
                  <w:rFonts w:ascii="Arial" w:hAnsi="Arial" w:cs="Arial"/>
                  <w:sz w:val="18"/>
                  <w:szCs w:val="18"/>
                </w:rPr>
                <w:t>Ashley.Chaifetz@usda.gov</w:t>
              </w:r>
            </w:hyperlink>
            <w:r w:rsidRPr="006D019B" w:rsidR="004E32B2">
              <w:rPr>
                <w:rFonts w:ascii="Arial" w:hAnsi="Arial" w:cs="Arial"/>
                <w:sz w:val="18"/>
                <w:szCs w:val="18"/>
              </w:rPr>
              <w:t xml:space="preserve"> </w:t>
            </w:r>
          </w:p>
        </w:tc>
      </w:tr>
      <w:tr w14:paraId="4306A8A3"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46A35580" w14:textId="77777777">
            <w:pPr>
              <w:tabs>
                <w:tab w:val="clear" w:pos="432"/>
              </w:tabs>
              <w:spacing w:before="120" w:after="60" w:line="240" w:lineRule="auto"/>
              <w:ind w:left="-23" w:firstLine="0"/>
              <w:jc w:val="left"/>
              <w:rPr>
                <w:rFonts w:ascii="Arial" w:hAnsi="Arial" w:cs="Arial"/>
                <w:color w:val="000000"/>
                <w:sz w:val="18"/>
                <w:szCs w:val="18"/>
              </w:rPr>
            </w:pPr>
            <w:r w:rsidRPr="006D019B">
              <w:rPr>
                <w:rFonts w:ascii="Arial" w:hAnsi="Arial" w:cs="Arial"/>
                <w:color w:val="000000" w:themeColor="text1"/>
                <w:sz w:val="18"/>
                <w:szCs w:val="18"/>
              </w:rPr>
              <w:t>Darcy Gungor, FNS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0313D75C" w14:textId="77777777">
            <w:pPr>
              <w:textboxTightWrap w:val="allLines"/>
              <w:tabs>
                <w:tab w:val="clear" w:pos="432"/>
              </w:tabs>
              <w:spacing w:before="12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 xml:space="preserve">Social Science Research Analyst </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2B399F51" w14:textId="77777777">
            <w:pPr>
              <w:textboxTightWrap w:val="allLines"/>
              <w:tabs>
                <w:tab w:val="clear" w:pos="432"/>
              </w:tabs>
              <w:spacing w:before="120" w:after="60" w:line="240" w:lineRule="auto"/>
              <w:ind w:firstLine="0"/>
              <w:jc w:val="left"/>
              <w:rPr>
                <w:rFonts w:ascii="Arial" w:eastAsia="Arial" w:hAnsi="Arial" w:cs="Arial"/>
                <w:sz w:val="18"/>
                <w:szCs w:val="18"/>
              </w:rPr>
            </w:pPr>
            <w:r w:rsidRPr="006D019B">
              <w:rPr>
                <w:rFonts w:ascii="Arial" w:eastAsia="Arial" w:hAnsi="Arial" w:cs="Arial"/>
                <w:sz w:val="18"/>
                <w:szCs w:val="18"/>
              </w:rPr>
              <w:t>703-305-4345</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5CA1B76D" w14:textId="77777777">
            <w:pPr>
              <w:textboxTightWrap w:val="allLines"/>
              <w:tabs>
                <w:tab w:val="clear" w:pos="432"/>
              </w:tabs>
              <w:spacing w:before="120" w:after="60" w:line="240" w:lineRule="auto"/>
              <w:ind w:firstLine="0"/>
              <w:jc w:val="left"/>
              <w:rPr>
                <w:rFonts w:ascii="Arial" w:hAnsi="Arial" w:cs="Arial"/>
                <w:sz w:val="18"/>
                <w:szCs w:val="18"/>
              </w:rPr>
            </w:pPr>
            <w:hyperlink r:id="rId21">
              <w:r w:rsidRPr="006D019B" w:rsidR="004E32B2">
                <w:rPr>
                  <w:rStyle w:val="Hyperlink"/>
                  <w:rFonts w:ascii="Arial" w:hAnsi="Arial" w:cs="Arial"/>
                  <w:sz w:val="18"/>
                  <w:szCs w:val="18"/>
                </w:rPr>
                <w:t>Darcy.Gungor@usda.gov</w:t>
              </w:r>
            </w:hyperlink>
            <w:r w:rsidRPr="006D019B" w:rsidR="004E32B2">
              <w:rPr>
                <w:rFonts w:ascii="Arial" w:hAnsi="Arial" w:cs="Arial"/>
                <w:sz w:val="18"/>
                <w:szCs w:val="18"/>
              </w:rPr>
              <w:t xml:space="preserve"> </w:t>
            </w:r>
          </w:p>
        </w:tc>
      </w:tr>
      <w:tr w14:paraId="3C8222D4"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71805F76"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Barbara Murphy, FNS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64DB216F"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Director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459E8AFF" w14:textId="77777777">
            <w:pPr>
              <w:tabs>
                <w:tab w:val="clear" w:pos="432"/>
              </w:tabs>
              <w:spacing w:before="60" w:after="60" w:line="240" w:lineRule="auto"/>
              <w:ind w:firstLine="0"/>
              <w:jc w:val="left"/>
              <w:rPr>
                <w:rFonts w:ascii="Arial" w:eastAsia="Arial" w:hAnsi="Arial" w:cs="Arial"/>
                <w:sz w:val="18"/>
                <w:szCs w:val="18"/>
              </w:rPr>
            </w:pPr>
            <w:r w:rsidRPr="006D019B">
              <w:rPr>
                <w:rFonts w:ascii="Arial" w:eastAsia="Arial" w:hAnsi="Arial" w:cs="Arial"/>
                <w:sz w:val="18"/>
                <w:szCs w:val="18"/>
              </w:rPr>
              <w:t>571-481-8253</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6E473326" w14:textId="77777777">
            <w:pPr>
              <w:tabs>
                <w:tab w:val="clear" w:pos="432"/>
              </w:tabs>
              <w:spacing w:before="60" w:after="60" w:line="240" w:lineRule="auto"/>
              <w:ind w:firstLine="0"/>
              <w:jc w:val="left"/>
              <w:rPr>
                <w:rFonts w:ascii="Arial" w:hAnsi="Arial" w:cs="Arial"/>
                <w:color w:val="0070C0"/>
                <w:sz w:val="18"/>
                <w:szCs w:val="18"/>
              </w:rPr>
            </w:pPr>
            <w:hyperlink r:id="rId22">
              <w:r w:rsidRPr="006D019B" w:rsidR="004E32B2">
                <w:rPr>
                  <w:rStyle w:val="Hyperlink"/>
                  <w:rFonts w:ascii="Arial" w:hAnsi="Arial" w:cs="Arial"/>
                  <w:sz w:val="18"/>
                  <w:szCs w:val="18"/>
                </w:rPr>
                <w:t>Barbara.Murphy@usda.gov</w:t>
              </w:r>
            </w:hyperlink>
            <w:r w:rsidRPr="006D019B" w:rsidR="004E32B2">
              <w:rPr>
                <w:rFonts w:ascii="Arial" w:hAnsi="Arial" w:cs="Arial"/>
                <w:color w:val="0070C0"/>
                <w:sz w:val="18"/>
                <w:szCs w:val="18"/>
              </w:rPr>
              <w:t xml:space="preserve"> </w:t>
            </w:r>
          </w:p>
        </w:tc>
      </w:tr>
      <w:tr w14:paraId="42799543" w14:textId="77777777" w:rsidTr="00093E7A">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25BE" w:rsidRPr="006D019B" w:rsidP="003425BE" w14:paraId="3B61D546" w14:textId="201BD9CB">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bCs/>
                <w:sz w:val="18"/>
                <w:szCs w:val="18"/>
              </w:rPr>
              <w:t>Jennifer Rhorer, NASS</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25BE" w:rsidRPr="006D019B" w:rsidP="003425BE" w14:paraId="333FBB58" w14:textId="677EFF89">
            <w:pPr>
              <w:tabs>
                <w:tab w:val="clear" w:pos="432"/>
              </w:tabs>
              <w:spacing w:before="60" w:after="60" w:line="240" w:lineRule="auto"/>
              <w:ind w:firstLine="0"/>
              <w:jc w:val="left"/>
              <w:rPr>
                <w:rFonts w:ascii="Arial" w:hAnsi="Arial" w:cs="Arial"/>
                <w:color w:val="000000" w:themeColor="text1"/>
                <w:sz w:val="18"/>
                <w:szCs w:val="18"/>
              </w:rPr>
            </w:pPr>
            <w:r w:rsidRPr="006D019B">
              <w:rPr>
                <w:rFonts w:ascii="Arial" w:hAnsi="Arial" w:cs="Arial"/>
                <w:sz w:val="18"/>
                <w:szCs w:val="18"/>
              </w:rPr>
              <w:t>Mathematical statistician</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3425BE" w:rsidRPr="006D019B" w:rsidP="003425BE" w14:paraId="2F02DB70" w14:textId="0E1E0CDB">
            <w:pPr>
              <w:tabs>
                <w:tab w:val="clear" w:pos="432"/>
              </w:tabs>
              <w:spacing w:before="60" w:after="60" w:line="240" w:lineRule="auto"/>
              <w:ind w:firstLine="0"/>
              <w:jc w:val="left"/>
              <w:rPr>
                <w:rFonts w:ascii="Arial" w:eastAsia="Arial" w:hAnsi="Arial" w:cs="Arial"/>
                <w:sz w:val="18"/>
                <w:szCs w:val="18"/>
              </w:rPr>
            </w:pPr>
            <w:r w:rsidRPr="006D019B">
              <w:rPr>
                <w:rFonts w:ascii="Arial" w:eastAsia="Arial" w:hAnsi="Arial" w:cs="Arial"/>
                <w:sz w:val="18"/>
                <w:szCs w:val="18"/>
              </w:rPr>
              <w:t>202-720-3026</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3425BE" w:rsidRPr="006D019B" w:rsidP="003425BE" w14:paraId="1BA92192" w14:textId="31DFD81E">
            <w:pPr>
              <w:tabs>
                <w:tab w:val="clear" w:pos="432"/>
              </w:tabs>
              <w:spacing w:before="60" w:after="60" w:line="240" w:lineRule="auto"/>
              <w:ind w:firstLine="0"/>
              <w:jc w:val="left"/>
            </w:pPr>
            <w:hyperlink r:id="rId23" w:history="1">
              <w:r w:rsidRPr="006D019B">
                <w:rPr>
                  <w:rStyle w:val="Hyperlink"/>
                  <w:rFonts w:ascii="Arial" w:hAnsi="Arial" w:cs="Arial"/>
                  <w:bCs/>
                  <w:sz w:val="18"/>
                  <w:szCs w:val="18"/>
                </w:rPr>
                <w:t>jennifer.rhorer@usda.gov</w:t>
              </w:r>
            </w:hyperlink>
            <w:r w:rsidRPr="006D019B">
              <w:rPr>
                <w:rFonts w:ascii="Arial" w:hAnsi="Arial" w:cs="Arial"/>
                <w:bCs/>
                <w:sz w:val="18"/>
                <w:szCs w:val="18"/>
              </w:rPr>
              <w:t xml:space="preserve"> </w:t>
            </w:r>
          </w:p>
        </w:tc>
      </w:tr>
      <w:tr w14:paraId="1587AEEC"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3425BE" w14:paraId="677EF9C0" w14:textId="7B6EB7D8">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Christina Riley, FNS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0D4039AF"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Senior Technical A</w:t>
            </w:r>
            <w:r w:rsidRPr="006D019B" w:rsidR="53EC0032">
              <w:rPr>
                <w:rFonts w:ascii="Arial" w:hAnsi="Arial" w:cs="Arial"/>
                <w:color w:val="000000" w:themeColor="text1"/>
                <w:sz w:val="18"/>
                <w:szCs w:val="18"/>
              </w:rPr>
              <w:t>dvisor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29D101F8" w14:paraId="73F19682" w14:textId="77777777">
            <w:pPr>
              <w:tabs>
                <w:tab w:val="clear" w:pos="432"/>
              </w:tabs>
              <w:spacing w:before="60" w:after="60" w:line="240" w:lineRule="auto"/>
              <w:ind w:firstLine="0"/>
              <w:jc w:val="left"/>
              <w:rPr>
                <w:rFonts w:ascii="Arial" w:eastAsia="Arial" w:hAnsi="Arial" w:cs="Arial"/>
                <w:sz w:val="18"/>
                <w:szCs w:val="18"/>
              </w:rPr>
            </w:pPr>
            <w:r w:rsidRPr="006D019B">
              <w:rPr>
                <w:rFonts w:ascii="Arial" w:eastAsia="Arial" w:hAnsi="Arial" w:cs="Arial"/>
                <w:sz w:val="18"/>
                <w:szCs w:val="18"/>
              </w:rPr>
              <w:t>703-305-2601</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1627F250" w14:textId="77777777">
            <w:pPr>
              <w:tabs>
                <w:tab w:val="clear" w:pos="432"/>
              </w:tabs>
              <w:spacing w:before="60" w:after="60" w:line="240" w:lineRule="auto"/>
              <w:ind w:firstLine="0"/>
              <w:jc w:val="left"/>
              <w:rPr>
                <w:rFonts w:ascii="Arial" w:hAnsi="Arial" w:cs="Arial"/>
                <w:color w:val="000000"/>
                <w:sz w:val="18"/>
                <w:szCs w:val="18"/>
              </w:rPr>
            </w:pPr>
            <w:hyperlink r:id="rId24">
              <w:r w:rsidRPr="006D019B" w:rsidR="004E32B2">
                <w:rPr>
                  <w:rStyle w:val="Hyperlink"/>
                  <w:rFonts w:ascii="Arial" w:hAnsi="Arial" w:cs="Arial"/>
                  <w:sz w:val="18"/>
                  <w:szCs w:val="18"/>
                </w:rPr>
                <w:t>Christina.Riley@usda.gov</w:t>
              </w:r>
            </w:hyperlink>
            <w:r w:rsidRPr="006D019B" w:rsidR="004E32B2">
              <w:rPr>
                <w:rFonts w:ascii="Arial" w:hAnsi="Arial" w:cs="Arial"/>
                <w:color w:val="000000" w:themeColor="text1"/>
                <w:sz w:val="18"/>
                <w:szCs w:val="18"/>
              </w:rPr>
              <w:t xml:space="preserve"> </w:t>
            </w:r>
          </w:p>
        </w:tc>
      </w:tr>
      <w:tr w14:paraId="77713D1B"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6C6F70"/>
            <w:noWrap/>
          </w:tcPr>
          <w:p w:rsidR="00687FE8" w:rsidRPr="006D019B" w:rsidP="0048410B" w14:paraId="7B5F69BB" w14:textId="77777777">
            <w:pPr>
              <w:tabs>
                <w:tab w:val="clear" w:pos="432"/>
              </w:tabs>
              <w:spacing w:before="60" w:after="60" w:line="240" w:lineRule="auto"/>
              <w:ind w:left="-23" w:firstLine="0"/>
              <w:jc w:val="left"/>
              <w:rPr>
                <w:rFonts w:ascii="Arial" w:hAnsi="Arial" w:cs="Arial"/>
                <w:b/>
                <w:color w:val="FFFFFF"/>
                <w:sz w:val="18"/>
                <w:szCs w:val="18"/>
              </w:rPr>
            </w:pPr>
            <w:r w:rsidRPr="006D019B">
              <w:rPr>
                <w:rFonts w:ascii="Arial" w:hAnsi="Arial" w:cs="Arial"/>
                <w:b/>
                <w:color w:val="FFFFFF"/>
                <w:sz w:val="18"/>
                <w:szCs w:val="18"/>
              </w:rPr>
              <w:t>Other staff</w:t>
            </w:r>
          </w:p>
        </w:tc>
        <w:tc>
          <w:tcPr>
            <w:tcW w:w="2880" w:type="dxa"/>
            <w:tcBorders>
              <w:top w:val="single" w:sz="4" w:space="0" w:color="auto"/>
              <w:left w:val="single" w:sz="4" w:space="0" w:color="auto"/>
              <w:bottom w:val="single" w:sz="4" w:space="0" w:color="auto"/>
              <w:right w:val="single" w:sz="4" w:space="0" w:color="auto"/>
            </w:tcBorders>
            <w:shd w:val="clear" w:color="auto" w:fill="6C6F70"/>
            <w:noWrap/>
          </w:tcPr>
          <w:p w:rsidR="00687FE8" w:rsidRPr="006D019B" w:rsidP="00B509A3" w14:paraId="16682BD0" w14:textId="77777777">
            <w:pPr>
              <w:tabs>
                <w:tab w:val="clear" w:pos="432"/>
              </w:tabs>
              <w:spacing w:before="60" w:after="60" w:line="240" w:lineRule="auto"/>
              <w:ind w:firstLine="0"/>
              <w:jc w:val="left"/>
              <w:rPr>
                <w:rFonts w:ascii="Arial" w:hAnsi="Arial" w:cs="Arial"/>
                <w:b/>
                <w:color w:val="FFFFFF"/>
                <w:sz w:val="18"/>
                <w:szCs w:val="18"/>
              </w:rPr>
            </w:pPr>
            <w:r w:rsidRPr="006D019B">
              <w:rPr>
                <w:rFonts w:ascii="Arial" w:hAnsi="Arial" w:cs="Arial"/>
                <w:b/>
                <w:color w:val="FFFFFF"/>
                <w:sz w:val="18"/>
                <w:szCs w:val="18"/>
              </w:rPr>
              <w:t>Title</w:t>
            </w:r>
          </w:p>
        </w:tc>
        <w:tc>
          <w:tcPr>
            <w:tcW w:w="1350" w:type="dxa"/>
            <w:tcBorders>
              <w:top w:val="single" w:sz="4" w:space="0" w:color="auto"/>
              <w:left w:val="single" w:sz="4" w:space="0" w:color="auto"/>
              <w:bottom w:val="single" w:sz="4" w:space="0" w:color="auto"/>
              <w:right w:val="single" w:sz="4" w:space="0" w:color="auto"/>
            </w:tcBorders>
            <w:shd w:val="clear" w:color="auto" w:fill="6C6F70"/>
            <w:noWrap/>
          </w:tcPr>
          <w:p w:rsidR="00687FE8" w:rsidRPr="006D019B" w:rsidP="00B509A3" w14:paraId="35658E39" w14:textId="77777777">
            <w:pPr>
              <w:tabs>
                <w:tab w:val="clear" w:pos="432"/>
              </w:tabs>
              <w:spacing w:before="60" w:after="60" w:line="240" w:lineRule="auto"/>
              <w:ind w:firstLine="0"/>
              <w:jc w:val="left"/>
              <w:rPr>
                <w:rFonts w:ascii="Arial" w:hAnsi="Arial" w:cs="Arial"/>
                <w:b/>
                <w:color w:val="FFFFFF"/>
                <w:sz w:val="18"/>
                <w:szCs w:val="18"/>
              </w:rPr>
            </w:pPr>
            <w:r w:rsidRPr="006D019B">
              <w:rPr>
                <w:rFonts w:ascii="Arial" w:hAnsi="Arial" w:cs="Arial"/>
                <w:b/>
                <w:color w:val="FFFFFF"/>
                <w:sz w:val="18"/>
                <w:szCs w:val="18"/>
              </w:rPr>
              <w:t>Phone</w:t>
            </w:r>
          </w:p>
        </w:tc>
        <w:tc>
          <w:tcPr>
            <w:tcW w:w="3060" w:type="dxa"/>
            <w:tcBorders>
              <w:top w:val="single" w:sz="4" w:space="0" w:color="auto"/>
              <w:left w:val="single" w:sz="4" w:space="0" w:color="auto"/>
              <w:bottom w:val="single" w:sz="4" w:space="0" w:color="auto"/>
              <w:right w:val="single" w:sz="4" w:space="0" w:color="auto"/>
            </w:tcBorders>
            <w:shd w:val="clear" w:color="auto" w:fill="6C6F70"/>
            <w:noWrap/>
          </w:tcPr>
          <w:p w:rsidR="00687FE8" w:rsidRPr="006D019B" w:rsidP="00B509A3" w14:paraId="140DFB60" w14:textId="77777777">
            <w:pPr>
              <w:tabs>
                <w:tab w:val="clear" w:pos="432"/>
              </w:tabs>
              <w:spacing w:before="60" w:after="60" w:line="240" w:lineRule="auto"/>
              <w:ind w:firstLine="0"/>
              <w:jc w:val="left"/>
              <w:rPr>
                <w:rFonts w:ascii="Arial" w:hAnsi="Arial" w:cs="Arial"/>
                <w:b/>
                <w:color w:val="FFFFFF"/>
                <w:sz w:val="18"/>
                <w:szCs w:val="18"/>
              </w:rPr>
            </w:pPr>
            <w:r w:rsidRPr="006D019B">
              <w:rPr>
                <w:rFonts w:ascii="Arial" w:hAnsi="Arial" w:cs="Arial"/>
                <w:b/>
                <w:color w:val="FFFFFF"/>
                <w:sz w:val="18"/>
                <w:szCs w:val="18"/>
              </w:rPr>
              <w:t>Email</w:t>
            </w:r>
          </w:p>
        </w:tc>
      </w:tr>
      <w:tr w14:paraId="0162819F"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48410B" w14:paraId="4E422D98"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themeColor="text1"/>
                <w:sz w:val="18"/>
                <w:szCs w:val="18"/>
              </w:rPr>
              <w:t>John Czajka</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B509A3" w14:paraId="5BDBF290"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Mathematica consultant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B509A3" w14:paraId="1FF5700E"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240-593-2220</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B509A3" w14:paraId="25D89896" w14:textId="77777777">
            <w:pPr>
              <w:tabs>
                <w:tab w:val="clear" w:pos="432"/>
              </w:tabs>
              <w:spacing w:before="60" w:after="60" w:line="240" w:lineRule="auto"/>
              <w:ind w:firstLine="0"/>
              <w:jc w:val="left"/>
              <w:rPr>
                <w:rFonts w:ascii="Arial" w:hAnsi="Arial" w:cs="Arial"/>
                <w:color w:val="000000"/>
                <w:sz w:val="18"/>
                <w:szCs w:val="18"/>
              </w:rPr>
            </w:pPr>
            <w:hyperlink r:id="rId25" w:history="1">
              <w:r w:rsidRPr="006D019B" w:rsidR="004E32B2">
                <w:rPr>
                  <w:rStyle w:val="Hyperlink"/>
                  <w:rFonts w:ascii="Arial" w:hAnsi="Arial" w:cs="Arial"/>
                  <w:sz w:val="18"/>
                  <w:szCs w:val="18"/>
                </w:rPr>
                <w:t>jczajka@mathematica-mpr.com</w:t>
              </w:r>
            </w:hyperlink>
            <w:r w:rsidRPr="006D019B" w:rsidR="004E32B2">
              <w:rPr>
                <w:rFonts w:ascii="Arial" w:hAnsi="Arial" w:cs="Arial"/>
                <w:color w:val="000000"/>
                <w:sz w:val="18"/>
                <w:szCs w:val="18"/>
              </w:rPr>
              <w:t xml:space="preserve"> </w:t>
            </w:r>
          </w:p>
        </w:tc>
      </w:tr>
      <w:tr w14:paraId="7267F516"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3B135D0C"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Mary Kay Fox</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70E5563F"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sz w:val="18"/>
                <w:szCs w:val="18"/>
              </w:rPr>
              <w:t>Mathematica consultant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292A9FBB"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781-552-9037</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633E91B0" w14:textId="77777777">
            <w:pPr>
              <w:tabs>
                <w:tab w:val="clear" w:pos="432"/>
              </w:tabs>
              <w:spacing w:before="60" w:after="60" w:line="240" w:lineRule="auto"/>
              <w:ind w:firstLine="0"/>
              <w:jc w:val="left"/>
              <w:rPr>
                <w:rFonts w:ascii="Arial" w:hAnsi="Arial" w:cs="Arial"/>
                <w:color w:val="0563C1"/>
                <w:sz w:val="18"/>
                <w:szCs w:val="18"/>
                <w:u w:val="single"/>
              </w:rPr>
            </w:pPr>
            <w:hyperlink r:id="rId26" w:history="1">
              <w:r w:rsidRPr="006D019B" w:rsidR="004E32B2">
                <w:rPr>
                  <w:rStyle w:val="Hyperlink"/>
                  <w:rFonts w:ascii="Arial" w:hAnsi="Arial" w:cs="Arial"/>
                  <w:sz w:val="18"/>
                  <w:szCs w:val="18"/>
                </w:rPr>
                <w:t>mfox@mathematica-mpr.com</w:t>
              </w:r>
            </w:hyperlink>
          </w:p>
        </w:tc>
      </w:tr>
      <w:tr w14:paraId="7EE0FA91"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19323944" w14:textId="77777777">
            <w:pPr>
              <w:tabs>
                <w:tab w:val="clear" w:pos="432"/>
              </w:tabs>
              <w:spacing w:before="60" w:after="60" w:line="240" w:lineRule="auto"/>
              <w:ind w:left="-23" w:firstLine="0"/>
              <w:jc w:val="left"/>
              <w:rPr>
                <w:rFonts w:ascii="Arial" w:hAnsi="Arial" w:cs="Arial"/>
                <w:color w:val="000000"/>
                <w:sz w:val="18"/>
                <w:szCs w:val="18"/>
              </w:rPr>
            </w:pPr>
            <w:r w:rsidRPr="006D019B">
              <w:rPr>
                <w:rFonts w:ascii="Arial" w:hAnsi="Arial" w:cs="Arial"/>
                <w:color w:val="000000"/>
                <w:sz w:val="18"/>
                <w:szCs w:val="18"/>
              </w:rPr>
              <w:t>Ronette Briefel</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36CBAB50"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Mathematica consultant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3E77EC16" w14:textId="77777777">
            <w:pPr>
              <w:tabs>
                <w:tab w:val="clear" w:pos="432"/>
              </w:tabs>
              <w:spacing w:before="60" w:after="60" w:line="240" w:lineRule="auto"/>
              <w:ind w:firstLine="0"/>
              <w:jc w:val="left"/>
              <w:rPr>
                <w:rFonts w:ascii="Arial" w:hAnsi="Arial" w:cs="Arial"/>
                <w:color w:val="000000"/>
                <w:sz w:val="18"/>
                <w:szCs w:val="18"/>
              </w:rPr>
            </w:pPr>
            <w:r w:rsidRPr="006D019B">
              <w:rPr>
                <w:rFonts w:ascii="Arial" w:hAnsi="Arial" w:cs="Arial"/>
                <w:color w:val="000000" w:themeColor="text1"/>
                <w:sz w:val="18"/>
                <w:szCs w:val="18"/>
              </w:rPr>
              <w:t>301-236-9033</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236B4B" w14:paraId="19A8E189" w14:textId="77777777">
            <w:pPr>
              <w:tabs>
                <w:tab w:val="clear" w:pos="432"/>
              </w:tabs>
              <w:spacing w:before="60" w:after="60" w:line="240" w:lineRule="auto"/>
              <w:ind w:firstLine="0"/>
              <w:jc w:val="left"/>
              <w:rPr>
                <w:rFonts w:ascii="Arial" w:hAnsi="Arial" w:cs="Arial"/>
                <w:color w:val="0563C1"/>
                <w:sz w:val="18"/>
                <w:szCs w:val="18"/>
                <w:u w:val="single"/>
              </w:rPr>
            </w:pPr>
            <w:hyperlink r:id="rId27" w:history="1">
              <w:r w:rsidRPr="006D019B" w:rsidR="004E32B2">
                <w:rPr>
                  <w:rStyle w:val="Hyperlink"/>
                  <w:rFonts w:ascii="Arial" w:hAnsi="Arial" w:cs="Arial"/>
                  <w:sz w:val="18"/>
                  <w:szCs w:val="18"/>
                </w:rPr>
                <w:t>rrb4321@aol.com</w:t>
              </w:r>
            </w:hyperlink>
          </w:p>
        </w:tc>
      </w:tr>
      <w:tr w14:paraId="0B7075A3"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17F9768D"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themeColor="text1"/>
                <w:sz w:val="18"/>
                <w:szCs w:val="18"/>
              </w:rPr>
              <w:t>Mary Jo Tuckwell</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5845CC06"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sz w:val="18"/>
                <w:szCs w:val="18"/>
              </w:rPr>
              <w:t>Mathematica consultant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08B0E2FE"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themeColor="text1"/>
                <w:sz w:val="18"/>
                <w:szCs w:val="18"/>
              </w:rPr>
              <w:t>715-559-8466</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0500D177" w14:textId="77777777">
            <w:pPr>
              <w:spacing w:line="240" w:lineRule="auto"/>
              <w:ind w:firstLine="0"/>
              <w:jc w:val="left"/>
              <w:rPr>
                <w:rFonts w:ascii="Arial" w:hAnsi="Arial" w:cs="Arial"/>
                <w:color w:val="0563C1"/>
                <w:sz w:val="18"/>
                <w:szCs w:val="18"/>
                <w:u w:val="single"/>
              </w:rPr>
            </w:pPr>
            <w:hyperlink r:id="rId28" w:history="1">
              <w:r w:rsidRPr="006D019B" w:rsidR="004E32B2">
                <w:rPr>
                  <w:rStyle w:val="Hyperlink"/>
                  <w:rFonts w:ascii="Arial" w:hAnsi="Arial" w:cs="Arial"/>
                  <w:sz w:val="18"/>
                  <w:szCs w:val="18"/>
                </w:rPr>
                <w:t>maryjo.tuckwell@yahoo.com</w:t>
              </w:r>
            </w:hyperlink>
          </w:p>
        </w:tc>
      </w:tr>
      <w:tr w14:paraId="388996AA"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745D928D"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themeColor="text1"/>
                <w:sz w:val="18"/>
                <w:szCs w:val="18"/>
              </w:rPr>
              <w:t>Andrea Denning</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44CC2F19" w14:textId="77777777">
            <w:pPr>
              <w:pStyle w:val="TableText"/>
              <w:tabs>
                <w:tab w:val="left" w:pos="432"/>
              </w:tabs>
              <w:rPr>
                <w:rFonts w:eastAsia="Arial" w:cs="Arial"/>
                <w:color w:val="000000" w:themeColor="text1"/>
                <w:szCs w:val="18"/>
              </w:rPr>
            </w:pPr>
            <w:r w:rsidRPr="006D019B">
              <w:t>Administrator</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68379FEE"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themeColor="text1"/>
                <w:sz w:val="18"/>
                <w:szCs w:val="18"/>
              </w:rPr>
              <w:t xml:space="preserve">614-774-5360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38FF6319" w14:textId="77777777">
            <w:pPr>
              <w:spacing w:line="240" w:lineRule="auto"/>
              <w:ind w:firstLine="0"/>
              <w:jc w:val="left"/>
              <w:rPr>
                <w:rFonts w:ascii="Arial" w:hAnsi="Arial" w:cs="Arial"/>
                <w:color w:val="0563C1"/>
                <w:sz w:val="18"/>
                <w:szCs w:val="18"/>
                <w:u w:val="single"/>
              </w:rPr>
            </w:pPr>
            <w:hyperlink r:id="rId29" w:history="1">
              <w:r w:rsidRPr="006D019B" w:rsidR="004E32B2">
                <w:rPr>
                  <w:rStyle w:val="Hyperlink"/>
                  <w:rFonts w:ascii="Arial" w:hAnsi="Arial" w:cs="Arial"/>
                  <w:sz w:val="18"/>
                  <w:szCs w:val="18"/>
                </w:rPr>
                <w:t>scraps34@aol.com</w:t>
              </w:r>
            </w:hyperlink>
          </w:p>
        </w:tc>
      </w:tr>
      <w:tr w14:paraId="6CC30811"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1165D6C5" w14:textId="77777777">
            <w:pPr>
              <w:spacing w:line="240" w:lineRule="auto"/>
              <w:ind w:firstLine="0"/>
              <w:jc w:val="left"/>
              <w:rPr>
                <w:rFonts w:ascii="Arial" w:hAnsi="Arial" w:cs="Arial"/>
                <w:color w:val="000000" w:themeColor="text1"/>
                <w:sz w:val="18"/>
                <w:szCs w:val="18"/>
              </w:rPr>
            </w:pPr>
            <w:r w:rsidRPr="006D019B">
              <w:rPr>
                <w:rFonts w:ascii="Arial" w:hAnsi="Arial" w:cs="Arial"/>
                <w:color w:val="000000" w:themeColor="text1"/>
                <w:sz w:val="18"/>
                <w:szCs w:val="18"/>
              </w:rPr>
              <w:t>John Endahl</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0AED0355" w14:textId="77777777">
            <w:pPr>
              <w:pStyle w:val="TableText"/>
              <w:tabs>
                <w:tab w:val="left" w:pos="432"/>
              </w:tabs>
              <w:rPr>
                <w:rFonts w:eastAsia="Arial" w:cs="Arial"/>
                <w:color w:val="000000" w:themeColor="text1"/>
                <w:szCs w:val="18"/>
              </w:rPr>
            </w:pPr>
            <w:r w:rsidRPr="006D019B">
              <w:t>Former senior program analyst at FNS</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RPr="006D019B" w:rsidP="00E12598" w14:paraId="41A59D75" w14:textId="77777777">
            <w:pPr>
              <w:spacing w:line="240" w:lineRule="auto"/>
              <w:ind w:firstLine="0"/>
              <w:jc w:val="left"/>
            </w:pPr>
            <w:r w:rsidRPr="006D019B">
              <w:rPr>
                <w:rFonts w:ascii="Arial" w:hAnsi="Arial" w:cs="Arial"/>
                <w:color w:val="000000" w:themeColor="text1"/>
                <w:sz w:val="18"/>
                <w:szCs w:val="18"/>
              </w:rPr>
              <w:t xml:space="preserve">571-251-8252 </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P="00E12598" w14:paraId="09967995" w14:textId="77777777">
            <w:pPr>
              <w:spacing w:line="240" w:lineRule="auto"/>
              <w:ind w:firstLine="0"/>
              <w:jc w:val="left"/>
              <w:rPr>
                <w:rFonts w:ascii="Arial" w:hAnsi="Arial" w:cs="Arial"/>
                <w:color w:val="0563C1"/>
                <w:sz w:val="18"/>
                <w:szCs w:val="18"/>
                <w:u w:val="single"/>
              </w:rPr>
            </w:pPr>
            <w:hyperlink r:id="rId30" w:history="1">
              <w:r w:rsidRPr="006D019B" w:rsidR="004E32B2">
                <w:rPr>
                  <w:rStyle w:val="Hyperlink"/>
                  <w:rFonts w:ascii="Arial" w:hAnsi="Arial" w:cs="Arial"/>
                  <w:sz w:val="18"/>
                  <w:szCs w:val="18"/>
                </w:rPr>
                <w:t>endahljohn@gmail.com</w:t>
              </w:r>
            </w:hyperlink>
          </w:p>
        </w:tc>
      </w:tr>
      <w:tr w14:paraId="1425F164" w14:textId="77777777" w:rsidTr="044243A3">
        <w:tblPrEx>
          <w:tblW w:w="9360" w:type="dxa"/>
          <w:tblLook w:val="04A0"/>
        </w:tblPrEx>
        <w:trPr>
          <w:trHeight w:val="300"/>
        </w:trPr>
        <w:tc>
          <w:tcPr>
            <w:tcW w:w="2070" w:type="dxa"/>
            <w:tcBorders>
              <w:top w:val="single" w:sz="4" w:space="0" w:color="auto"/>
              <w:left w:val="single" w:sz="4" w:space="0" w:color="auto"/>
              <w:bottom w:val="single" w:sz="4" w:space="0" w:color="auto"/>
              <w:right w:val="single" w:sz="4" w:space="0" w:color="auto"/>
            </w:tcBorders>
            <w:shd w:val="clear" w:color="auto" w:fill="auto"/>
            <w:noWrap/>
          </w:tcPr>
          <w:p w:rsidR="00687FE8" w:rsidP="00E12598" w14:paraId="11196432" w14:textId="77777777">
            <w:pPr>
              <w:spacing w:line="240" w:lineRule="auto"/>
              <w:ind w:firstLine="0"/>
              <w:jc w:val="left"/>
              <w:rPr>
                <w:rFonts w:ascii="Arial" w:hAnsi="Arial" w:cs="Arial"/>
                <w:color w:val="000000" w:themeColor="text1"/>
                <w:sz w:val="18"/>
                <w:szCs w:val="18"/>
              </w:rPr>
            </w:pPr>
            <w:r w:rsidRPr="4637D1D6">
              <w:rPr>
                <w:rFonts w:ascii="Arial" w:hAnsi="Arial" w:cs="Arial"/>
                <w:color w:val="000000" w:themeColor="text1"/>
                <w:sz w:val="18"/>
                <w:szCs w:val="18"/>
              </w:rPr>
              <w:t>Dora Rivas</w:t>
            </w:r>
          </w:p>
        </w:tc>
        <w:tc>
          <w:tcPr>
            <w:tcW w:w="2880" w:type="dxa"/>
            <w:tcBorders>
              <w:top w:val="single" w:sz="4" w:space="0" w:color="auto"/>
              <w:left w:val="single" w:sz="4" w:space="0" w:color="auto"/>
              <w:bottom w:val="single" w:sz="4" w:space="0" w:color="auto"/>
              <w:right w:val="single" w:sz="4" w:space="0" w:color="auto"/>
            </w:tcBorders>
            <w:shd w:val="clear" w:color="auto" w:fill="auto"/>
            <w:noWrap/>
          </w:tcPr>
          <w:p w:rsidR="00687FE8" w:rsidP="00E12598" w14:paraId="16259AEC" w14:textId="77777777">
            <w:pPr>
              <w:pStyle w:val="TableText"/>
              <w:tabs>
                <w:tab w:val="left" w:pos="432"/>
              </w:tabs>
              <w:rPr>
                <w:rFonts w:eastAsia="Arial" w:cs="Arial"/>
                <w:color w:val="000000" w:themeColor="text1"/>
                <w:szCs w:val="18"/>
              </w:rPr>
            </w:pPr>
            <w:r>
              <w:t>School nutrition specialist– consultant</w:t>
            </w:r>
          </w:p>
        </w:tc>
        <w:tc>
          <w:tcPr>
            <w:tcW w:w="1350" w:type="dxa"/>
            <w:tcBorders>
              <w:top w:val="single" w:sz="4" w:space="0" w:color="auto"/>
              <w:left w:val="single" w:sz="4" w:space="0" w:color="auto"/>
              <w:bottom w:val="single" w:sz="4" w:space="0" w:color="auto"/>
              <w:right w:val="single" w:sz="4" w:space="0" w:color="auto"/>
            </w:tcBorders>
            <w:shd w:val="clear" w:color="auto" w:fill="auto"/>
            <w:noWrap/>
          </w:tcPr>
          <w:p w:rsidR="00687FE8" w:rsidP="00E12598" w14:paraId="3BB51186" w14:textId="77777777">
            <w:pPr>
              <w:spacing w:line="240" w:lineRule="auto"/>
              <w:ind w:firstLine="0"/>
              <w:jc w:val="left"/>
            </w:pPr>
            <w:r w:rsidRPr="4637D1D6">
              <w:rPr>
                <w:rFonts w:ascii="Arial" w:hAnsi="Arial" w:cs="Arial"/>
                <w:color w:val="000000" w:themeColor="text1"/>
                <w:sz w:val="18"/>
                <w:szCs w:val="18"/>
              </w:rPr>
              <w:t>956-266-8416</w:t>
            </w:r>
          </w:p>
        </w:tc>
        <w:tc>
          <w:tcPr>
            <w:tcW w:w="3060" w:type="dxa"/>
            <w:tcBorders>
              <w:top w:val="single" w:sz="4" w:space="0" w:color="auto"/>
              <w:left w:val="single" w:sz="4" w:space="0" w:color="auto"/>
              <w:bottom w:val="single" w:sz="4" w:space="0" w:color="auto"/>
              <w:right w:val="single" w:sz="4" w:space="0" w:color="auto"/>
            </w:tcBorders>
            <w:shd w:val="clear" w:color="auto" w:fill="auto"/>
            <w:noWrap/>
          </w:tcPr>
          <w:p w:rsidR="00687FE8" w:rsidP="00E12598" w14:paraId="2C6E0797" w14:textId="77777777">
            <w:pPr>
              <w:spacing w:line="240" w:lineRule="auto"/>
              <w:ind w:firstLine="0"/>
              <w:jc w:val="left"/>
              <w:rPr>
                <w:rFonts w:ascii="Arial" w:hAnsi="Arial" w:cs="Arial"/>
                <w:color w:val="0563C1"/>
                <w:sz w:val="18"/>
                <w:szCs w:val="18"/>
                <w:u w:val="single"/>
              </w:rPr>
            </w:pPr>
            <w:hyperlink r:id="rId31" w:history="1">
              <w:r w:rsidRPr="007F5AAC" w:rsidR="004E32B2">
                <w:rPr>
                  <w:rStyle w:val="Hyperlink"/>
                  <w:rFonts w:ascii="Arial" w:hAnsi="Arial" w:cs="Arial"/>
                  <w:sz w:val="18"/>
                  <w:szCs w:val="18"/>
                </w:rPr>
                <w:t>foodsystemsdr@gmail.com</w:t>
              </w:r>
            </w:hyperlink>
          </w:p>
        </w:tc>
      </w:tr>
    </w:tbl>
    <w:p w:rsidR="00687FE8" w:rsidP="001B05F8" w14:paraId="0EAA5263" w14:textId="77777777">
      <w:pPr>
        <w:ind w:firstLine="0"/>
        <w:rPr>
          <w:noProof/>
        </w:rPr>
        <w:sectPr w:rsidSect="00800423">
          <w:headerReference w:type="default" r:id="rId32"/>
          <w:endnotePr>
            <w:numFmt w:val="decimal"/>
          </w:endnotePr>
          <w:pgSz w:w="12240" w:h="15840" w:code="1"/>
          <w:pgMar w:top="1440" w:right="1440" w:bottom="576" w:left="1440" w:header="720" w:footer="576" w:gutter="0"/>
          <w:cols w:space="720"/>
          <w:docGrid w:linePitch="326"/>
        </w:sectPr>
      </w:pPr>
    </w:p>
    <w:p w:rsidR="00687FE8" w:rsidRPr="00082E7C" w:rsidP="001B05F8" w14:paraId="37275743" w14:textId="77777777">
      <w:pPr>
        <w:ind w:firstLine="0"/>
        <w:rPr>
          <w:noProof/>
        </w:rPr>
      </w:pPr>
    </w:p>
    <w:sectPr w:rsidSect="00800423">
      <w:headerReference w:type="default" r:id="rId33"/>
      <w:endnotePr>
        <w:numFmt w:val="decimal"/>
      </w:endnotePr>
      <w:type w:val="continuous"/>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E32B2" w14:paraId="42B27C22" w14:textId="77777777">
      <w:pPr>
        <w:spacing w:line="240" w:lineRule="auto"/>
        <w:ind w:firstLine="0"/>
      </w:pPr>
    </w:p>
  </w:endnote>
  <w:endnote w:type="continuationSeparator" w:id="1">
    <w:p w:rsidR="004E32B2" w14:paraId="3F46483B" w14:textId="77777777">
      <w:pPr>
        <w:spacing w:line="240" w:lineRule="auto"/>
        <w:ind w:firstLine="0"/>
      </w:pPr>
    </w:p>
  </w:endnote>
  <w:endnote w:type="continuationNotice" w:id="2">
    <w:p w:rsidR="004E32B2" w14:paraId="725EB211" w14:textId="77777777">
      <w:pPr>
        <w:spacing w:line="240" w:lineRule="auto"/>
        <w:ind w:firstLine="0"/>
      </w:pPr>
    </w:p>
    <w:p w:rsidR="004E32B2" w14:paraId="35E226A5" w14:textId="77777777"/>
    <w:p w:rsidR="004E32B2" w14:paraId="3FF15425" w14:textId="77777777">
      <w:r>
        <w:rPr>
          <w:b/>
          <w:snapToGrid w:val="0"/>
        </w:rPr>
        <w:t>DRAFT</w:t>
      </w:r>
      <w:r>
        <w:rPr>
          <w:snapToGrid w:val="0"/>
          <w:sz w:val="16"/>
        </w:rPr>
        <w:t xml:space="preserve"> </w:t>
      </w:r>
      <w:r>
        <w:rPr>
          <w:noProof/>
          <w:snapToGrid w:val="0"/>
          <w:sz w:val="16"/>
        </w:rPr>
        <w:t>\\mathematica.Net\NDrive\Project\51942_SNMCSII\NJ1\04 - OMB\8. Final OMB to FNS\NSFS Supporting Statement Part B.docx</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E8" w:rsidRPr="004B75AD" w:rsidP="00481E1F" w14:paraId="00E2AAFD" w14:textId="77777777">
    <w:pPr>
      <w:pStyle w:val="Footer"/>
      <w:ind w:firstLine="0"/>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E8" w:rsidP="00056947" w14:paraId="19ACFE82" w14:textId="77777777">
    <w:pPr>
      <w:pStyle w:val="Footer"/>
      <w:tabs>
        <w:tab w:val="clear" w:pos="432"/>
        <w:tab w:val="clear" w:pos="4320"/>
        <w:tab w:val="center" w:pos="4770"/>
        <w:tab w:val="clear" w:pos="864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E8" w:rsidP="002F7639" w14:paraId="510B482E" w14:textId="77777777">
    <w:pPr>
      <w:pStyle w:val="Footer"/>
      <w:tabs>
        <w:tab w:val="clear" w:pos="432"/>
        <w:tab w:val="clear" w:pos="4320"/>
        <w:tab w:val="center" w:pos="4770"/>
        <w:tab w:val="clear" w:pos="864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E32B2" w14:paraId="09DD6EC6" w14:textId="77777777">
      <w:pPr>
        <w:spacing w:line="240" w:lineRule="auto"/>
        <w:ind w:firstLine="0"/>
      </w:pPr>
      <w:r>
        <w:separator/>
      </w:r>
    </w:p>
  </w:footnote>
  <w:footnote w:type="continuationSeparator" w:id="1">
    <w:p w:rsidR="004E32B2" w14:paraId="10C2F067" w14:textId="77777777">
      <w:pPr>
        <w:spacing w:line="240" w:lineRule="auto"/>
        <w:ind w:firstLine="0"/>
      </w:pPr>
      <w:r>
        <w:separator/>
      </w:r>
    </w:p>
    <w:p w:rsidR="004E32B2" w14:paraId="218D5332" w14:textId="77777777">
      <w:pPr>
        <w:spacing w:line="240" w:lineRule="auto"/>
        <w:ind w:firstLine="0"/>
        <w:rPr>
          <w:i/>
        </w:rPr>
      </w:pPr>
      <w:r>
        <w:rPr>
          <w:i/>
        </w:rPr>
        <w:t>(continued)</w:t>
      </w:r>
    </w:p>
  </w:footnote>
  <w:footnote w:type="continuationNotice" w:id="2">
    <w:p w:rsidR="004E32B2" w:rsidP="004231F6" w14:paraId="0EF25B3E" w14:textId="77777777">
      <w:pPr>
        <w:pStyle w:val="Footer"/>
        <w:spacing w:before="0"/>
        <w:ind w:firstLine="0"/>
      </w:pPr>
    </w:p>
  </w:footnote>
  <w:footnote w:id="3">
    <w:p w:rsidR="00687FE8" w14:paraId="547B4A58" w14:textId="77777777">
      <w:pPr>
        <w:pStyle w:val="FootnoteText"/>
      </w:pPr>
      <w:r>
        <w:rPr>
          <w:rStyle w:val="FootnoteReference"/>
        </w:rPr>
        <w:footnoteRef/>
      </w:r>
      <w:r>
        <w:t xml:space="preserve"> Zeidman, E., N. Beyler, E. Gearan, N. Morrison, K. Niland, L. Washburn, B. Carlson, D. </w:t>
      </w:r>
      <w:r>
        <w:t>Judkins,  L.</w:t>
      </w:r>
      <w:r>
        <w:t xml:space="preserve"> LeClair, M.  Mendelson, T. Wommack, J. Carnagey, M. Murphy, and A. Williamson. “</w:t>
      </w:r>
      <w:r w:rsidRPr="00C816BE">
        <w:t>School Nutrition and Meal Cost Study: Study Design, Sampling, and Data Collection</w:t>
      </w:r>
      <w:r w:rsidRPr="00266802">
        <w:rPr>
          <w:iCs/>
        </w:rPr>
        <w:t>.</w:t>
      </w:r>
      <w:r>
        <w:rPr>
          <w:iCs/>
        </w:rPr>
        <w:t>”</w:t>
      </w:r>
      <w:r>
        <w:t xml:space="preserve"> </w:t>
      </w:r>
      <w:r w:rsidRPr="00450F45">
        <w:t>U.S. Department of Agriculture, Food and Nutrition Service, Office of Policy Support</w:t>
      </w:r>
      <w:r w:rsidRPr="00FE041B">
        <w:t>.</w:t>
      </w:r>
    </w:p>
  </w:footnote>
  <w:footnote w:id="4">
    <w:p w:rsidR="00687FE8" w14:paraId="18DFE8F7" w14:textId="77777777">
      <w:pPr>
        <w:pStyle w:val="FootnoteText"/>
      </w:pPr>
      <w:r>
        <w:rPr>
          <w:rStyle w:val="FootnoteReference"/>
        </w:rPr>
        <w:footnoteRef/>
      </w:r>
      <w:r>
        <w:t xml:space="preserve"> Census.gov. “Historical Living Arrangements of Children.” November 2023. </w:t>
      </w:r>
      <w:hyperlink r:id="rId1" w:history="1">
        <w:r w:rsidRPr="007D6574">
          <w:rPr>
            <w:rStyle w:val="Hyperlink"/>
          </w:rPr>
          <w:t>https://www.census.gov/data/tables/time-series/demo/families/children.html</w:t>
        </w:r>
      </w:hyperlink>
      <w:r>
        <w:t xml:space="preserve">. </w:t>
      </w:r>
    </w:p>
  </w:footnote>
  <w:footnote w:id="5">
    <w:p w:rsidR="00687FE8" w14:paraId="60F8FAC9" w14:textId="77777777">
      <w:pPr>
        <w:pStyle w:val="FootnoteText"/>
      </w:pPr>
      <w:r>
        <w:rPr>
          <w:rStyle w:val="FootnoteReference"/>
        </w:rPr>
        <w:footnoteRef/>
      </w:r>
      <w:r>
        <w:t xml:space="preserve"> U.S. Department of Agriculture, Food and Nutrition Service, Office of Research and Analysis. “School Food Purchase Study-III,” by Nick Young et al. Project Officer: John R. Endahl. USDA, March 2012.</w:t>
      </w:r>
    </w:p>
  </w:footnote>
  <w:footnote w:id="6">
    <w:p w:rsidR="00687FE8" w14:paraId="4AB9CD8E" w14:textId="77777777">
      <w:pPr>
        <w:pStyle w:val="FootnoteText"/>
      </w:pPr>
      <w:r>
        <w:rPr>
          <w:rStyle w:val="FootnoteReference"/>
        </w:rPr>
        <w:footnoteRef/>
      </w:r>
      <w:r>
        <w:t xml:space="preserve"> Bartlett S., L. Olsho, K. L. Patlan, M. Blocklin, and J. Klerman, et al. “</w:t>
      </w:r>
      <w:r w:rsidRPr="00C816BE">
        <w:t>Evaluation of the Fresh Fruit and Vegetable Program (FFVP)</w:t>
      </w:r>
      <w:r>
        <w:t>.” Prepared by Abt Associates under contract no. AG-3198-D-09-0053. U.S. Department of Agriculture, Food and Nutrition Service, 2013.</w:t>
      </w:r>
    </w:p>
  </w:footnote>
  <w:footnote w:id="7">
    <w:p w:rsidR="00687FE8" w14:paraId="550FA6F0" w14:textId="77777777">
      <w:pPr>
        <w:pStyle w:val="FootnoteText"/>
      </w:pPr>
      <w:r>
        <w:rPr>
          <w:rStyle w:val="FootnoteReference"/>
        </w:rPr>
        <w:footnoteRef/>
      </w:r>
      <w:r>
        <w:t xml:space="preserve"> Food Research and Action Center. “Healthy School Meals for All.” </w:t>
      </w:r>
      <w:hyperlink r:id="rId2" w:history="1">
        <w:r w:rsidRPr="00896C68">
          <w:rPr>
            <w:rStyle w:val="Hyperlink"/>
          </w:rPr>
          <w:t>https://frac.org/healthy-school-meals-for-all</w:t>
        </w:r>
      </w:hyperlink>
      <w:r>
        <w:t>. Accessed January 30,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E8" w:rsidRPr="009326B3" w:rsidP="009326B3" w14:paraId="6126350A" w14:textId="77777777">
    <w:pPr>
      <w:pStyle w:val="Header"/>
      <w:rPr>
        <w:szCs w:val="22"/>
      </w:rPr>
    </w:pPr>
    <w:r>
      <w:rPr>
        <w:szCs w:val="22"/>
      </w:rPr>
      <w:t>2024-2025 National School Foods Study</w:t>
    </w:r>
    <w:r w:rsidRPr="009326B3">
      <w:rPr>
        <w:szCs w:val="22"/>
      </w:rPr>
      <w:t xml:space="preserve"> – OMB Supporting Statement, Part 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E8" w:rsidRPr="009326B3" w:rsidP="003A1FC8" w14:paraId="232D7F37" w14:textId="77777777">
    <w:pPr>
      <w:pStyle w:val="Header"/>
      <w:rPr>
        <w:szCs w:val="22"/>
      </w:rPr>
    </w:pPr>
    <w:r>
      <w:rPr>
        <w:szCs w:val="22"/>
      </w:rPr>
      <w:t xml:space="preserve">2024-2025 National </w:t>
    </w:r>
    <w:r w:rsidRPr="009326B3">
      <w:rPr>
        <w:szCs w:val="22"/>
      </w:rPr>
      <w:t xml:space="preserve">School </w:t>
    </w:r>
    <w:r>
      <w:rPr>
        <w:szCs w:val="22"/>
      </w:rPr>
      <w:t>Foods</w:t>
    </w:r>
    <w:r w:rsidRPr="009326B3">
      <w:rPr>
        <w:szCs w:val="22"/>
      </w:rPr>
      <w:t xml:space="preserve"> Study – OMB Supporting Statement, Part B</w:t>
    </w:r>
  </w:p>
  <w:p w:rsidR="00687FE8" w:rsidRPr="009326B3" w:rsidP="009326B3" w14:paraId="23761DC0" w14:textId="77777777">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7FE8" w:rsidRPr="009326B3" w:rsidP="003A1FC8" w14:paraId="0CFE66FA" w14:textId="77777777">
    <w:pPr>
      <w:pStyle w:val="Header"/>
      <w:rPr>
        <w:szCs w:val="22"/>
      </w:rPr>
    </w:pPr>
    <w:r>
      <w:rPr>
        <w:szCs w:val="22"/>
      </w:rPr>
      <w:t xml:space="preserve">2024-2025 National </w:t>
    </w:r>
    <w:r w:rsidRPr="009326B3">
      <w:rPr>
        <w:szCs w:val="22"/>
      </w:rPr>
      <w:t xml:space="preserve">School </w:t>
    </w:r>
    <w:r>
      <w:rPr>
        <w:szCs w:val="22"/>
      </w:rPr>
      <w:t>Foods</w:t>
    </w:r>
    <w:r w:rsidRPr="009326B3">
      <w:rPr>
        <w:szCs w:val="22"/>
      </w:rPr>
      <w:t xml:space="preserve"> Study – OMB Supporting Statement, Part B</w:t>
    </w:r>
  </w:p>
  <w:p w:rsidR="00687FE8" w:rsidRPr="009326B3" w:rsidP="009326B3" w14:paraId="16C139B9" w14:textId="77777777">
    <w:pPr>
      <w:pStyle w:val="Head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1FC8" w:rsidRPr="009326B3" w:rsidP="003A1FC8" w14:paraId="0607B879" w14:textId="77777777">
    <w:pPr>
      <w:pStyle w:val="Header"/>
      <w:rPr>
        <w:szCs w:val="22"/>
      </w:rPr>
    </w:pPr>
    <w:r>
      <w:rPr>
        <w:szCs w:val="22"/>
      </w:rPr>
      <w:t xml:space="preserve">2024-2025 National </w:t>
    </w:r>
    <w:r w:rsidRPr="009326B3" w:rsidR="00D61772">
      <w:rPr>
        <w:szCs w:val="22"/>
      </w:rPr>
      <w:t xml:space="preserve">School </w:t>
    </w:r>
    <w:r>
      <w:rPr>
        <w:szCs w:val="22"/>
      </w:rPr>
      <w:t>Foods</w:t>
    </w:r>
    <w:r w:rsidRPr="009326B3" w:rsidR="00D61772">
      <w:rPr>
        <w:szCs w:val="22"/>
      </w:rPr>
      <w:t xml:space="preserve"> Study – OMB Supporting Statement, Part B</w:t>
    </w:r>
  </w:p>
  <w:p w:rsidR="00D61772" w:rsidRPr="009326B3" w:rsidP="009326B3" w14:paraId="713CA8EF" w14:textId="77777777">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FFFFFF7C"/>
    <w:multiLevelType w:val="singleLevel"/>
    <w:tmpl w:val="F5984D3E"/>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F246EB9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C96496CE"/>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16E838C2"/>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2BDE57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D27A49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631E02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E1A6430A"/>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60B6C05C"/>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AE0485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15:restartNumberingAfterBreak="1">
    <w:nsid w:val="0E883319"/>
    <w:multiLevelType w:val="hybridMultilevel"/>
    <w:tmpl w:val="23F4A3FA"/>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15:restartNumberingAfterBreak="1">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3" w15:restartNumberingAfterBreak="1">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4" w15:restartNumberingAfterBreak="1">
    <w:nsid w:val="120862B2"/>
    <w:multiLevelType w:val="hybridMultilevel"/>
    <w:tmpl w:val="99749204"/>
    <w:lvl w:ilvl="0">
      <w:start w:val="1"/>
      <w:numFmt w:val="lowerLetter"/>
      <w:lvlText w:val="%1."/>
      <w:lvlJc w:val="left"/>
      <w:pPr>
        <w:ind w:left="792" w:hanging="360"/>
      </w:pPr>
      <w:rPr>
        <w:rFonts w:ascii="Arial" w:hAnsi="Arial" w:cs="Arial" w:hint="default"/>
        <w:color w:val="2E2E2E"/>
        <w:sz w:val="18"/>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5" w15:restartNumberingAfterBreak="1">
    <w:nsid w:val="15E11634"/>
    <w:multiLevelType w:val="hybridMultilevel"/>
    <w:tmpl w:val="15BAEDBE"/>
    <w:lvl w:ilvl="0">
      <w:start w:val="1"/>
      <w:numFmt w:val="lowerLetter"/>
      <w:lvlText w:val="%1."/>
      <w:lvlJc w:val="left"/>
      <w:pPr>
        <w:ind w:left="1152" w:hanging="360"/>
      </w:pPr>
      <w:rPr>
        <w:rFont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6" w15:restartNumberingAfterBreak="1">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15:restartNumberingAfterBreak="1">
    <w:nsid w:val="1922724E"/>
    <w:multiLevelType w:val="hybridMultilevel"/>
    <w:tmpl w:val="1BC26640"/>
    <w:lvl w:ilvl="0">
      <w:start w:val="5"/>
      <w:numFmt w:val="decimal"/>
      <w:lvlText w:val="%1."/>
      <w:lvlJc w:val="left"/>
      <w:pPr>
        <w:ind w:left="1152" w:hanging="360"/>
      </w:pPr>
      <w:rPr>
        <w:rFonts w:hint="default"/>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18" w15:restartNumberingAfterBreak="1">
    <w:nsid w:val="195B6B22"/>
    <w:multiLevelType w:val="hybridMultilevel"/>
    <w:tmpl w:val="6B6463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1">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0" w15:restartNumberingAfterBreak="1">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1">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2" w15:restartNumberingAfterBreak="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1">
    <w:nsid w:val="3A6E3D67"/>
    <w:multiLevelType w:val="hybridMultilevel"/>
    <w:tmpl w:val="CA86F3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1">
    <w:nsid w:val="3BFC6284"/>
    <w:multiLevelType w:val="hybridMultilevel"/>
    <w:tmpl w:val="91807B94"/>
    <w:lvl w:ilvl="0">
      <w:start w:val="1"/>
      <w:numFmt w:val="lowerLetter"/>
      <w:lvlText w:val="%1."/>
      <w:lvlJc w:val="left"/>
      <w:pPr>
        <w:ind w:left="792" w:hanging="360"/>
      </w:pPr>
      <w:rPr>
        <w:rFonts w:eastAsia="Times New Roman"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25" w15:restartNumberingAfterBreak="1">
    <w:nsid w:val="3C9159CC"/>
    <w:multiLevelType w:val="hybridMultilevel"/>
    <w:tmpl w:val="3F96C112"/>
    <w:lvl w:ilvl="0">
      <w:start w:val="1"/>
      <w:numFmt w:val="decimal"/>
      <w:lvlText w:val="%1."/>
      <w:lvlJc w:val="left"/>
      <w:pPr>
        <w:ind w:left="1152" w:hanging="360"/>
      </w:pPr>
      <w:rPr>
        <w:rFonts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6" w15:restartNumberingAfterBreak="1">
    <w:nsid w:val="49C6048B"/>
    <w:multiLevelType w:val="singleLevel"/>
    <w:tmpl w:val="CB284334"/>
    <w:lvl w:ilvl="0">
      <w:start w:val="1"/>
      <w:numFmt w:val="decimal"/>
      <w:pStyle w:val="NumberedBullet"/>
      <w:lvlText w:val="%1."/>
      <w:lvlJc w:val="left"/>
      <w:pPr>
        <w:tabs>
          <w:tab w:val="num" w:pos="792"/>
        </w:tabs>
        <w:ind w:left="792" w:hanging="360"/>
      </w:pPr>
      <w:rPr>
        <w:rFonts w:hint="default"/>
      </w:rPr>
    </w:lvl>
  </w:abstractNum>
  <w:abstractNum w:abstractNumId="27" w15:restartNumberingAfterBreak="1">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8" w15:restartNumberingAfterBreak="1">
    <w:nsid w:val="64014F7F"/>
    <w:multiLevelType w:val="hybridMultilevel"/>
    <w:tmpl w:val="18D2779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9" w15:restartNumberingAfterBreak="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0" w15:restartNumberingAfterBreak="1">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1" w15:restartNumberingAfterBreak="1">
    <w:nsid w:val="657E679B"/>
    <w:multiLevelType w:val="hybridMultilevel"/>
    <w:tmpl w:val="DDC2D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15:restartNumberingAfterBreak="1">
    <w:nsid w:val="663F4CC1"/>
    <w:multiLevelType w:val="hybridMultilevel"/>
    <w:tmpl w:val="405C5F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15:restartNumberingAfterBreak="1">
    <w:nsid w:val="6678613F"/>
    <w:multiLevelType w:val="hybridMultilevel"/>
    <w:tmpl w:val="9564B2F6"/>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15:restartNumberingAfterBreak="1">
    <w:nsid w:val="7020478C"/>
    <w:multiLevelType w:val="hybridMultilevel"/>
    <w:tmpl w:val="5B4C064E"/>
    <w:lvl w:ilvl="0">
      <w:start w:val="1"/>
      <w:numFmt w:val="bullet"/>
      <w:pStyle w:val="Bullet"/>
      <w:lvlText w:val=""/>
      <w:lvlJc w:val="left"/>
      <w:pPr>
        <w:ind w:left="360" w:hanging="360"/>
      </w:pPr>
      <w:rPr>
        <w:rFonts w:ascii="Symbol" w:hAnsi="Symbol" w:hint="default"/>
        <w:color w:val="223767"/>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15:restartNumberingAfterBreak="1">
    <w:nsid w:val="74BD3D44"/>
    <w:multiLevelType w:val="hybridMultilevel"/>
    <w:tmpl w:val="0FCA0D7E"/>
    <w:lvl w:ilvl="0">
      <w:start w:val="1"/>
      <w:numFmt w:val="decimal"/>
      <w:lvlText w:val="%1."/>
      <w:lvlJc w:val="left"/>
      <w:pPr>
        <w:ind w:left="1152" w:hanging="360"/>
      </w:pPr>
      <w:rPr>
        <w:rFonts w:ascii="Times New Roman" w:hAnsi="Times New Roman" w:hint="default"/>
        <w:sz w:val="24"/>
      </w:r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6" w15:restartNumberingAfterBreak="1">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7" w15:restartNumberingAfterBreak="1">
    <w:nsid w:val="7DF86C3A"/>
    <w:multiLevelType w:val="hybridMultilevel"/>
    <w:tmpl w:val="374CC7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1">
    <w:nsid w:val="7E137C09"/>
    <w:multiLevelType w:val="hybridMultilevel"/>
    <w:tmpl w:val="643E27D2"/>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15:restartNumberingAfterBreak="1">
    <w:nsid w:val="7F1C1BA0"/>
    <w:multiLevelType w:val="hybridMultilevel"/>
    <w:tmpl w:val="9634D8D8"/>
    <w:lvl w:ilvl="0">
      <w:start w:val="0"/>
      <w:numFmt w:val="bullet"/>
      <w:lvlText w:val="-"/>
      <w:lvlJc w:val="left"/>
      <w:pPr>
        <w:ind w:left="1222" w:hanging="360"/>
      </w:pPr>
      <w:rPr>
        <w:rFonts w:ascii="Garamond" w:eastAsia="Times New Roman" w:hAnsi="Garamond" w:cs="Times New Roman" w:hint="default"/>
      </w:rPr>
    </w:lvl>
    <w:lvl w:ilvl="1" w:tentative="1">
      <w:start w:val="1"/>
      <w:numFmt w:val="bullet"/>
      <w:lvlText w:val="o"/>
      <w:lvlJc w:val="left"/>
      <w:pPr>
        <w:ind w:left="1942" w:hanging="360"/>
      </w:pPr>
      <w:rPr>
        <w:rFonts w:ascii="Courier New" w:hAnsi="Courier New" w:cs="Courier New" w:hint="default"/>
      </w:rPr>
    </w:lvl>
    <w:lvl w:ilvl="2" w:tentative="1">
      <w:start w:val="1"/>
      <w:numFmt w:val="bullet"/>
      <w:lvlText w:val=""/>
      <w:lvlJc w:val="left"/>
      <w:pPr>
        <w:ind w:left="2662" w:hanging="360"/>
      </w:pPr>
      <w:rPr>
        <w:rFonts w:ascii="Wingdings" w:hAnsi="Wingdings" w:hint="default"/>
      </w:rPr>
    </w:lvl>
    <w:lvl w:ilvl="3" w:tentative="1">
      <w:start w:val="1"/>
      <w:numFmt w:val="bullet"/>
      <w:lvlText w:val=""/>
      <w:lvlJc w:val="left"/>
      <w:pPr>
        <w:ind w:left="3382" w:hanging="360"/>
      </w:pPr>
      <w:rPr>
        <w:rFonts w:ascii="Symbol" w:hAnsi="Symbol" w:hint="default"/>
      </w:rPr>
    </w:lvl>
    <w:lvl w:ilvl="4" w:tentative="1">
      <w:start w:val="1"/>
      <w:numFmt w:val="bullet"/>
      <w:lvlText w:val="o"/>
      <w:lvlJc w:val="left"/>
      <w:pPr>
        <w:ind w:left="4102" w:hanging="360"/>
      </w:pPr>
      <w:rPr>
        <w:rFonts w:ascii="Courier New" w:hAnsi="Courier New" w:cs="Courier New" w:hint="default"/>
      </w:rPr>
    </w:lvl>
    <w:lvl w:ilvl="5" w:tentative="1">
      <w:start w:val="1"/>
      <w:numFmt w:val="bullet"/>
      <w:lvlText w:val=""/>
      <w:lvlJc w:val="left"/>
      <w:pPr>
        <w:ind w:left="4822" w:hanging="360"/>
      </w:pPr>
      <w:rPr>
        <w:rFonts w:ascii="Wingdings" w:hAnsi="Wingdings" w:hint="default"/>
      </w:rPr>
    </w:lvl>
    <w:lvl w:ilvl="6" w:tentative="1">
      <w:start w:val="1"/>
      <w:numFmt w:val="bullet"/>
      <w:lvlText w:val=""/>
      <w:lvlJc w:val="left"/>
      <w:pPr>
        <w:ind w:left="5542" w:hanging="360"/>
      </w:pPr>
      <w:rPr>
        <w:rFonts w:ascii="Symbol" w:hAnsi="Symbol" w:hint="default"/>
      </w:rPr>
    </w:lvl>
    <w:lvl w:ilvl="7" w:tentative="1">
      <w:start w:val="1"/>
      <w:numFmt w:val="bullet"/>
      <w:lvlText w:val="o"/>
      <w:lvlJc w:val="left"/>
      <w:pPr>
        <w:ind w:left="6262" w:hanging="360"/>
      </w:pPr>
      <w:rPr>
        <w:rFonts w:ascii="Courier New" w:hAnsi="Courier New" w:cs="Courier New" w:hint="default"/>
      </w:rPr>
    </w:lvl>
    <w:lvl w:ilvl="8" w:tentative="1">
      <w:start w:val="1"/>
      <w:numFmt w:val="bullet"/>
      <w:lvlText w:val=""/>
      <w:lvlJc w:val="left"/>
      <w:pPr>
        <w:ind w:left="6982" w:hanging="360"/>
      </w:pPr>
      <w:rPr>
        <w:rFonts w:ascii="Wingdings" w:hAnsi="Wingdings" w:hint="default"/>
      </w:rPr>
    </w:lvl>
  </w:abstractNum>
  <w:num w:numId="1" w16cid:durableId="1543783007">
    <w:abstractNumId w:val="26"/>
  </w:num>
  <w:num w:numId="2" w16cid:durableId="1640569660">
    <w:abstractNumId w:val="35"/>
  </w:num>
  <w:num w:numId="3" w16cid:durableId="452677215">
    <w:abstractNumId w:val="28"/>
  </w:num>
  <w:num w:numId="4" w16cid:durableId="1800879515">
    <w:abstractNumId w:val="11"/>
  </w:num>
  <w:num w:numId="5" w16cid:durableId="1670015002">
    <w:abstractNumId w:val="10"/>
  </w:num>
  <w:num w:numId="6" w16cid:durableId="103161886">
    <w:abstractNumId w:val="36"/>
  </w:num>
  <w:num w:numId="7" w16cid:durableId="1611158319">
    <w:abstractNumId w:val="33"/>
  </w:num>
  <w:num w:numId="8" w16cid:durableId="845636194">
    <w:abstractNumId w:val="16"/>
  </w:num>
  <w:num w:numId="9" w16cid:durableId="1906450816">
    <w:abstractNumId w:val="19"/>
  </w:num>
  <w:num w:numId="10" w16cid:durableId="1755390763">
    <w:abstractNumId w:val="21"/>
  </w:num>
  <w:num w:numId="11" w16cid:durableId="876235887">
    <w:abstractNumId w:val="12"/>
  </w:num>
  <w:num w:numId="12" w16cid:durableId="559439228">
    <w:abstractNumId w:val="29"/>
  </w:num>
  <w:num w:numId="13" w16cid:durableId="1677882989">
    <w:abstractNumId w:val="13"/>
  </w:num>
  <w:num w:numId="14" w16cid:durableId="1897934723">
    <w:abstractNumId w:val="27"/>
  </w:num>
  <w:num w:numId="15" w16cid:durableId="649408243">
    <w:abstractNumId w:val="30"/>
  </w:num>
  <w:num w:numId="16" w16cid:durableId="1840194203">
    <w:abstractNumId w:val="20"/>
  </w:num>
  <w:num w:numId="17" w16cid:durableId="318386147">
    <w:abstractNumId w:val="7"/>
  </w:num>
  <w:num w:numId="18" w16cid:durableId="102695529">
    <w:abstractNumId w:val="15"/>
  </w:num>
  <w:num w:numId="19" w16cid:durableId="1811820672">
    <w:abstractNumId w:val="26"/>
    <w:lvlOverride w:ilvl="0">
      <w:startOverride w:val="1"/>
    </w:lvlOverride>
  </w:num>
  <w:num w:numId="20" w16cid:durableId="2127890620">
    <w:abstractNumId w:val="32"/>
  </w:num>
  <w:num w:numId="21" w16cid:durableId="1436944203">
    <w:abstractNumId w:val="14"/>
  </w:num>
  <w:num w:numId="22" w16cid:durableId="1773160613">
    <w:abstractNumId w:val="34"/>
  </w:num>
  <w:num w:numId="23" w16cid:durableId="389034848">
    <w:abstractNumId w:val="22"/>
  </w:num>
  <w:num w:numId="24" w16cid:durableId="1118110736">
    <w:abstractNumId w:val="23"/>
  </w:num>
  <w:num w:numId="25" w16cid:durableId="1174564849">
    <w:abstractNumId w:val="25"/>
  </w:num>
  <w:num w:numId="26" w16cid:durableId="294720646">
    <w:abstractNumId w:val="24"/>
  </w:num>
  <w:num w:numId="27" w16cid:durableId="1099638228">
    <w:abstractNumId w:val="26"/>
    <w:lvlOverride w:ilvl="0">
      <w:startOverride w:val="1"/>
    </w:lvlOverride>
  </w:num>
  <w:num w:numId="28" w16cid:durableId="716903730">
    <w:abstractNumId w:val="17"/>
  </w:num>
  <w:num w:numId="29" w16cid:durableId="584264416">
    <w:abstractNumId w:val="26"/>
  </w:num>
  <w:num w:numId="30" w16cid:durableId="640307617">
    <w:abstractNumId w:val="31"/>
  </w:num>
  <w:num w:numId="31" w16cid:durableId="148140269">
    <w:abstractNumId w:val="38"/>
  </w:num>
  <w:num w:numId="32" w16cid:durableId="741102994">
    <w:abstractNumId w:val="18"/>
  </w:num>
  <w:num w:numId="33" w16cid:durableId="2113895786">
    <w:abstractNumId w:val="37"/>
  </w:num>
  <w:num w:numId="34" w16cid:durableId="612135048">
    <w:abstractNumId w:val="39"/>
  </w:num>
  <w:num w:numId="35" w16cid:durableId="1380937980">
    <w:abstractNumId w:val="19"/>
  </w:num>
  <w:num w:numId="36" w16cid:durableId="531574924">
    <w:abstractNumId w:val="19"/>
  </w:num>
  <w:num w:numId="37" w16cid:durableId="966738178">
    <w:abstractNumId w:val="19"/>
  </w:num>
  <w:num w:numId="38" w16cid:durableId="913514630">
    <w:abstractNumId w:val="19"/>
  </w:num>
  <w:num w:numId="39" w16cid:durableId="1232735894">
    <w:abstractNumId w:val="9"/>
  </w:num>
  <w:num w:numId="40" w16cid:durableId="22027140">
    <w:abstractNumId w:val="6"/>
  </w:num>
  <w:num w:numId="41" w16cid:durableId="1816993898">
    <w:abstractNumId w:val="5"/>
  </w:num>
  <w:num w:numId="42" w16cid:durableId="928928938">
    <w:abstractNumId w:val="4"/>
  </w:num>
  <w:num w:numId="43" w16cid:durableId="1875459097">
    <w:abstractNumId w:val="8"/>
  </w:num>
  <w:num w:numId="44" w16cid:durableId="1277523925">
    <w:abstractNumId w:val="3"/>
  </w:num>
  <w:num w:numId="45" w16cid:durableId="1672560707">
    <w:abstractNumId w:val="2"/>
  </w:num>
  <w:num w:numId="46" w16cid:durableId="149100770">
    <w:abstractNumId w:val="1"/>
  </w:num>
  <w:num w:numId="47" w16cid:durableId="24958891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9001" w:allStyles="1" w:alternateStyleNames="1" w:clearFormatting="1" w:customStyles="0" w:directFormattingOnNumbering="0" w:directFormattingOnParagraphs="0" w:directFormattingOnRuns="0" w:directFormattingOnTables="0" w:headingStyles="0" w:latentStyles="0"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68"/>
    <w:rsid w:val="000015FB"/>
    <w:rsid w:val="00001905"/>
    <w:rsid w:val="000034F3"/>
    <w:rsid w:val="00003B92"/>
    <w:rsid w:val="000044BC"/>
    <w:rsid w:val="0000487D"/>
    <w:rsid w:val="000048A7"/>
    <w:rsid w:val="00005221"/>
    <w:rsid w:val="00005439"/>
    <w:rsid w:val="00005986"/>
    <w:rsid w:val="00005BB6"/>
    <w:rsid w:val="00005F28"/>
    <w:rsid w:val="00005FEC"/>
    <w:rsid w:val="00006E1F"/>
    <w:rsid w:val="000079DE"/>
    <w:rsid w:val="00007CA0"/>
    <w:rsid w:val="00007EF1"/>
    <w:rsid w:val="0001119F"/>
    <w:rsid w:val="00011339"/>
    <w:rsid w:val="00012372"/>
    <w:rsid w:val="00012863"/>
    <w:rsid w:val="00012CAA"/>
    <w:rsid w:val="000134AC"/>
    <w:rsid w:val="00013548"/>
    <w:rsid w:val="000145B7"/>
    <w:rsid w:val="000155A2"/>
    <w:rsid w:val="00015A5D"/>
    <w:rsid w:val="00015B1D"/>
    <w:rsid w:val="0001675F"/>
    <w:rsid w:val="000169B6"/>
    <w:rsid w:val="00017373"/>
    <w:rsid w:val="00017AF2"/>
    <w:rsid w:val="00017D6D"/>
    <w:rsid w:val="00017DD1"/>
    <w:rsid w:val="00020FC2"/>
    <w:rsid w:val="0002108E"/>
    <w:rsid w:val="00021A62"/>
    <w:rsid w:val="00021DB1"/>
    <w:rsid w:val="00022096"/>
    <w:rsid w:val="00022DA9"/>
    <w:rsid w:val="00023774"/>
    <w:rsid w:val="0002379F"/>
    <w:rsid w:val="00023E4B"/>
    <w:rsid w:val="00023FFB"/>
    <w:rsid w:val="0002433A"/>
    <w:rsid w:val="00024E09"/>
    <w:rsid w:val="0002564C"/>
    <w:rsid w:val="00025BCA"/>
    <w:rsid w:val="0002653E"/>
    <w:rsid w:val="00026C62"/>
    <w:rsid w:val="000300AF"/>
    <w:rsid w:val="00030531"/>
    <w:rsid w:val="0003172F"/>
    <w:rsid w:val="00032EFF"/>
    <w:rsid w:val="00034A49"/>
    <w:rsid w:val="00034FBF"/>
    <w:rsid w:val="00035233"/>
    <w:rsid w:val="000364FA"/>
    <w:rsid w:val="000368AA"/>
    <w:rsid w:val="00036D36"/>
    <w:rsid w:val="00036E80"/>
    <w:rsid w:val="00037098"/>
    <w:rsid w:val="000370B1"/>
    <w:rsid w:val="00037817"/>
    <w:rsid w:val="00037F69"/>
    <w:rsid w:val="00040957"/>
    <w:rsid w:val="00040D3B"/>
    <w:rsid w:val="00041D7C"/>
    <w:rsid w:val="00042585"/>
    <w:rsid w:val="00042B1B"/>
    <w:rsid w:val="00043117"/>
    <w:rsid w:val="00044211"/>
    <w:rsid w:val="00044752"/>
    <w:rsid w:val="00044792"/>
    <w:rsid w:val="00044793"/>
    <w:rsid w:val="00045C01"/>
    <w:rsid w:val="00046280"/>
    <w:rsid w:val="000464ED"/>
    <w:rsid w:val="000466DB"/>
    <w:rsid w:val="00046926"/>
    <w:rsid w:val="00046CA3"/>
    <w:rsid w:val="00046E51"/>
    <w:rsid w:val="0004742B"/>
    <w:rsid w:val="00047D7E"/>
    <w:rsid w:val="00050B2C"/>
    <w:rsid w:val="00051318"/>
    <w:rsid w:val="00051471"/>
    <w:rsid w:val="00051829"/>
    <w:rsid w:val="00051DA7"/>
    <w:rsid w:val="0005213F"/>
    <w:rsid w:val="00052499"/>
    <w:rsid w:val="00052851"/>
    <w:rsid w:val="00053968"/>
    <w:rsid w:val="000542DC"/>
    <w:rsid w:val="00054EE6"/>
    <w:rsid w:val="00055397"/>
    <w:rsid w:val="00055BB9"/>
    <w:rsid w:val="000564F0"/>
    <w:rsid w:val="00056947"/>
    <w:rsid w:val="00056C4B"/>
    <w:rsid w:val="000571E9"/>
    <w:rsid w:val="00057795"/>
    <w:rsid w:val="000600D9"/>
    <w:rsid w:val="000608E0"/>
    <w:rsid w:val="00060DD5"/>
    <w:rsid w:val="000610EC"/>
    <w:rsid w:val="00061EE5"/>
    <w:rsid w:val="000626A0"/>
    <w:rsid w:val="00062B58"/>
    <w:rsid w:val="00062B8A"/>
    <w:rsid w:val="00062E5C"/>
    <w:rsid w:val="00063123"/>
    <w:rsid w:val="00063230"/>
    <w:rsid w:val="0006323E"/>
    <w:rsid w:val="00063690"/>
    <w:rsid w:val="0006397D"/>
    <w:rsid w:val="00063BC5"/>
    <w:rsid w:val="00063D0C"/>
    <w:rsid w:val="00063FEF"/>
    <w:rsid w:val="00064AAB"/>
    <w:rsid w:val="00064D8F"/>
    <w:rsid w:val="0006524D"/>
    <w:rsid w:val="000669DB"/>
    <w:rsid w:val="00066AB9"/>
    <w:rsid w:val="000675DF"/>
    <w:rsid w:val="0007046B"/>
    <w:rsid w:val="000722A7"/>
    <w:rsid w:val="00073D3D"/>
    <w:rsid w:val="00074474"/>
    <w:rsid w:val="00075128"/>
    <w:rsid w:val="0007592A"/>
    <w:rsid w:val="000769A1"/>
    <w:rsid w:val="00076CF0"/>
    <w:rsid w:val="00080277"/>
    <w:rsid w:val="0008059D"/>
    <w:rsid w:val="00080828"/>
    <w:rsid w:val="00080C4F"/>
    <w:rsid w:val="00080DFA"/>
    <w:rsid w:val="000812AE"/>
    <w:rsid w:val="00081385"/>
    <w:rsid w:val="00081D47"/>
    <w:rsid w:val="00081D51"/>
    <w:rsid w:val="00082DF3"/>
    <w:rsid w:val="00082E7C"/>
    <w:rsid w:val="0008420B"/>
    <w:rsid w:val="000842B8"/>
    <w:rsid w:val="000844E1"/>
    <w:rsid w:val="00084683"/>
    <w:rsid w:val="0008489E"/>
    <w:rsid w:val="000848FC"/>
    <w:rsid w:val="00084A0D"/>
    <w:rsid w:val="00086469"/>
    <w:rsid w:val="00086CB5"/>
    <w:rsid w:val="00086CE6"/>
    <w:rsid w:val="00086E9C"/>
    <w:rsid w:val="000870BA"/>
    <w:rsid w:val="00087C08"/>
    <w:rsid w:val="00090529"/>
    <w:rsid w:val="00091895"/>
    <w:rsid w:val="00091E6D"/>
    <w:rsid w:val="00092798"/>
    <w:rsid w:val="0009281C"/>
    <w:rsid w:val="00092A8A"/>
    <w:rsid w:val="00093278"/>
    <w:rsid w:val="000951D3"/>
    <w:rsid w:val="0009597B"/>
    <w:rsid w:val="00095D97"/>
    <w:rsid w:val="0009621B"/>
    <w:rsid w:val="00096228"/>
    <w:rsid w:val="00096E3F"/>
    <w:rsid w:val="00097842"/>
    <w:rsid w:val="00097CF8"/>
    <w:rsid w:val="000A0096"/>
    <w:rsid w:val="000A04CA"/>
    <w:rsid w:val="000A171F"/>
    <w:rsid w:val="000A2725"/>
    <w:rsid w:val="000A3013"/>
    <w:rsid w:val="000A3B2C"/>
    <w:rsid w:val="000A4439"/>
    <w:rsid w:val="000A4832"/>
    <w:rsid w:val="000A4A28"/>
    <w:rsid w:val="000A544F"/>
    <w:rsid w:val="000A655B"/>
    <w:rsid w:val="000A7CDE"/>
    <w:rsid w:val="000B07A9"/>
    <w:rsid w:val="000B0CCE"/>
    <w:rsid w:val="000B11C7"/>
    <w:rsid w:val="000B231A"/>
    <w:rsid w:val="000B250F"/>
    <w:rsid w:val="000B2A04"/>
    <w:rsid w:val="000B2BD0"/>
    <w:rsid w:val="000B3027"/>
    <w:rsid w:val="000B3901"/>
    <w:rsid w:val="000B3A77"/>
    <w:rsid w:val="000B3B09"/>
    <w:rsid w:val="000B564F"/>
    <w:rsid w:val="000B6E23"/>
    <w:rsid w:val="000B7851"/>
    <w:rsid w:val="000B7926"/>
    <w:rsid w:val="000B79A0"/>
    <w:rsid w:val="000B7E70"/>
    <w:rsid w:val="000C0118"/>
    <w:rsid w:val="000C05C5"/>
    <w:rsid w:val="000C0BA5"/>
    <w:rsid w:val="000C0C6C"/>
    <w:rsid w:val="000C14D9"/>
    <w:rsid w:val="000C15B4"/>
    <w:rsid w:val="000C1D0C"/>
    <w:rsid w:val="000C21AF"/>
    <w:rsid w:val="000C249D"/>
    <w:rsid w:val="000C2859"/>
    <w:rsid w:val="000C2CB4"/>
    <w:rsid w:val="000C3079"/>
    <w:rsid w:val="000C35A2"/>
    <w:rsid w:val="000C4218"/>
    <w:rsid w:val="000C4527"/>
    <w:rsid w:val="000C4DDD"/>
    <w:rsid w:val="000C5309"/>
    <w:rsid w:val="000C606C"/>
    <w:rsid w:val="000C70DC"/>
    <w:rsid w:val="000C72F8"/>
    <w:rsid w:val="000C76EE"/>
    <w:rsid w:val="000C7775"/>
    <w:rsid w:val="000C79B4"/>
    <w:rsid w:val="000C7C0C"/>
    <w:rsid w:val="000D0B12"/>
    <w:rsid w:val="000D15EA"/>
    <w:rsid w:val="000D2351"/>
    <w:rsid w:val="000D2505"/>
    <w:rsid w:val="000D29CA"/>
    <w:rsid w:val="000D39AE"/>
    <w:rsid w:val="000D5BFC"/>
    <w:rsid w:val="000D709F"/>
    <w:rsid w:val="000E0C14"/>
    <w:rsid w:val="000E1159"/>
    <w:rsid w:val="000E17D0"/>
    <w:rsid w:val="000E18C7"/>
    <w:rsid w:val="000E19E7"/>
    <w:rsid w:val="000E1D9E"/>
    <w:rsid w:val="000E289C"/>
    <w:rsid w:val="000E32C3"/>
    <w:rsid w:val="000E34AB"/>
    <w:rsid w:val="000E356F"/>
    <w:rsid w:val="000E35B6"/>
    <w:rsid w:val="000E35FD"/>
    <w:rsid w:val="000E4242"/>
    <w:rsid w:val="000E4375"/>
    <w:rsid w:val="000E4C12"/>
    <w:rsid w:val="000E57E9"/>
    <w:rsid w:val="000E5FD0"/>
    <w:rsid w:val="000E6D11"/>
    <w:rsid w:val="000E6E54"/>
    <w:rsid w:val="000E6F33"/>
    <w:rsid w:val="000F0075"/>
    <w:rsid w:val="000F0552"/>
    <w:rsid w:val="000F0E28"/>
    <w:rsid w:val="000F1AAB"/>
    <w:rsid w:val="000F26C9"/>
    <w:rsid w:val="000F2B30"/>
    <w:rsid w:val="000F2FF6"/>
    <w:rsid w:val="000F3410"/>
    <w:rsid w:val="000F3902"/>
    <w:rsid w:val="000F3DE4"/>
    <w:rsid w:val="000F5C32"/>
    <w:rsid w:val="000F622B"/>
    <w:rsid w:val="000F647B"/>
    <w:rsid w:val="000F795F"/>
    <w:rsid w:val="000F79B9"/>
    <w:rsid w:val="000F79D4"/>
    <w:rsid w:val="000F79E3"/>
    <w:rsid w:val="001001FA"/>
    <w:rsid w:val="001016FB"/>
    <w:rsid w:val="00101F55"/>
    <w:rsid w:val="001021C2"/>
    <w:rsid w:val="001022E7"/>
    <w:rsid w:val="001047EB"/>
    <w:rsid w:val="00104BBE"/>
    <w:rsid w:val="00104C13"/>
    <w:rsid w:val="0010567A"/>
    <w:rsid w:val="00105D23"/>
    <w:rsid w:val="00105D3E"/>
    <w:rsid w:val="00106082"/>
    <w:rsid w:val="00106781"/>
    <w:rsid w:val="00107106"/>
    <w:rsid w:val="001073C9"/>
    <w:rsid w:val="00107BF3"/>
    <w:rsid w:val="00110EAE"/>
    <w:rsid w:val="001110F1"/>
    <w:rsid w:val="00111560"/>
    <w:rsid w:val="00112230"/>
    <w:rsid w:val="0011232B"/>
    <w:rsid w:val="001127D1"/>
    <w:rsid w:val="00112E49"/>
    <w:rsid w:val="00112E7C"/>
    <w:rsid w:val="00113335"/>
    <w:rsid w:val="001139E9"/>
    <w:rsid w:val="00113DEE"/>
    <w:rsid w:val="00114337"/>
    <w:rsid w:val="0011491A"/>
    <w:rsid w:val="001159E1"/>
    <w:rsid w:val="00115BA0"/>
    <w:rsid w:val="00116C0B"/>
    <w:rsid w:val="00121790"/>
    <w:rsid w:val="00122CD1"/>
    <w:rsid w:val="00123842"/>
    <w:rsid w:val="001239D2"/>
    <w:rsid w:val="00123CAF"/>
    <w:rsid w:val="00123EF4"/>
    <w:rsid w:val="001242ED"/>
    <w:rsid w:val="00124423"/>
    <w:rsid w:val="00125F10"/>
    <w:rsid w:val="001262F2"/>
    <w:rsid w:val="0012657E"/>
    <w:rsid w:val="001270BD"/>
    <w:rsid w:val="001277A4"/>
    <w:rsid w:val="00130424"/>
    <w:rsid w:val="001305B4"/>
    <w:rsid w:val="00130859"/>
    <w:rsid w:val="00130D9F"/>
    <w:rsid w:val="001312EF"/>
    <w:rsid w:val="001314E9"/>
    <w:rsid w:val="001316E1"/>
    <w:rsid w:val="00131C44"/>
    <w:rsid w:val="0013282C"/>
    <w:rsid w:val="00132D08"/>
    <w:rsid w:val="00132E2F"/>
    <w:rsid w:val="001332C0"/>
    <w:rsid w:val="0013387B"/>
    <w:rsid w:val="001339A8"/>
    <w:rsid w:val="00134E71"/>
    <w:rsid w:val="00134F9E"/>
    <w:rsid w:val="00135AF5"/>
    <w:rsid w:val="00136109"/>
    <w:rsid w:val="00136339"/>
    <w:rsid w:val="0013654C"/>
    <w:rsid w:val="001376A3"/>
    <w:rsid w:val="00137DC2"/>
    <w:rsid w:val="00140AEC"/>
    <w:rsid w:val="00141125"/>
    <w:rsid w:val="00141552"/>
    <w:rsid w:val="00141646"/>
    <w:rsid w:val="00141705"/>
    <w:rsid w:val="001418ED"/>
    <w:rsid w:val="00141A0B"/>
    <w:rsid w:val="00141E20"/>
    <w:rsid w:val="001425AF"/>
    <w:rsid w:val="0014262E"/>
    <w:rsid w:val="00142AE3"/>
    <w:rsid w:val="00144DA7"/>
    <w:rsid w:val="00145973"/>
    <w:rsid w:val="00146A39"/>
    <w:rsid w:val="00147A34"/>
    <w:rsid w:val="00150054"/>
    <w:rsid w:val="00150703"/>
    <w:rsid w:val="001514B7"/>
    <w:rsid w:val="001517DA"/>
    <w:rsid w:val="00152928"/>
    <w:rsid w:val="00152EB1"/>
    <w:rsid w:val="00153B8F"/>
    <w:rsid w:val="00153C07"/>
    <w:rsid w:val="0015482B"/>
    <w:rsid w:val="001556AC"/>
    <w:rsid w:val="001558CE"/>
    <w:rsid w:val="00155A61"/>
    <w:rsid w:val="0015677A"/>
    <w:rsid w:val="00156E85"/>
    <w:rsid w:val="00157437"/>
    <w:rsid w:val="00157C5E"/>
    <w:rsid w:val="00160306"/>
    <w:rsid w:val="00160523"/>
    <w:rsid w:val="001605B4"/>
    <w:rsid w:val="0016066F"/>
    <w:rsid w:val="00160D2E"/>
    <w:rsid w:val="00160E09"/>
    <w:rsid w:val="00162191"/>
    <w:rsid w:val="00162956"/>
    <w:rsid w:val="00162BCF"/>
    <w:rsid w:val="00162F49"/>
    <w:rsid w:val="00163063"/>
    <w:rsid w:val="00164C1C"/>
    <w:rsid w:val="00164DCE"/>
    <w:rsid w:val="00165128"/>
    <w:rsid w:val="00165195"/>
    <w:rsid w:val="0016524A"/>
    <w:rsid w:val="00165E66"/>
    <w:rsid w:val="0016671F"/>
    <w:rsid w:val="00166C01"/>
    <w:rsid w:val="00166F20"/>
    <w:rsid w:val="0016768A"/>
    <w:rsid w:val="001676EE"/>
    <w:rsid w:val="00167A36"/>
    <w:rsid w:val="0017071A"/>
    <w:rsid w:val="00170804"/>
    <w:rsid w:val="00170D86"/>
    <w:rsid w:val="0017115A"/>
    <w:rsid w:val="001718B2"/>
    <w:rsid w:val="00172612"/>
    <w:rsid w:val="00172A78"/>
    <w:rsid w:val="00172DD3"/>
    <w:rsid w:val="0017349F"/>
    <w:rsid w:val="0017372A"/>
    <w:rsid w:val="00174AB1"/>
    <w:rsid w:val="001777A5"/>
    <w:rsid w:val="00180F71"/>
    <w:rsid w:val="0018125F"/>
    <w:rsid w:val="001814A6"/>
    <w:rsid w:val="001814BE"/>
    <w:rsid w:val="00181600"/>
    <w:rsid w:val="00181F53"/>
    <w:rsid w:val="001821E0"/>
    <w:rsid w:val="00182D49"/>
    <w:rsid w:val="00183068"/>
    <w:rsid w:val="0018424A"/>
    <w:rsid w:val="001848D4"/>
    <w:rsid w:val="0018564C"/>
    <w:rsid w:val="00185AAD"/>
    <w:rsid w:val="00185DCD"/>
    <w:rsid w:val="00186837"/>
    <w:rsid w:val="00186A2C"/>
    <w:rsid w:val="00186CE1"/>
    <w:rsid w:val="00190F29"/>
    <w:rsid w:val="00191126"/>
    <w:rsid w:val="0019239C"/>
    <w:rsid w:val="00192C44"/>
    <w:rsid w:val="001933B1"/>
    <w:rsid w:val="0019413D"/>
    <w:rsid w:val="00194E3C"/>
    <w:rsid w:val="001963E9"/>
    <w:rsid w:val="00196D62"/>
    <w:rsid w:val="00196F92"/>
    <w:rsid w:val="00197C56"/>
    <w:rsid w:val="001A07D4"/>
    <w:rsid w:val="001A272A"/>
    <w:rsid w:val="001A2D4D"/>
    <w:rsid w:val="001A50C8"/>
    <w:rsid w:val="001A5EDB"/>
    <w:rsid w:val="001A657B"/>
    <w:rsid w:val="001A6A76"/>
    <w:rsid w:val="001A7083"/>
    <w:rsid w:val="001A75C9"/>
    <w:rsid w:val="001A7AAE"/>
    <w:rsid w:val="001B0542"/>
    <w:rsid w:val="001B05F8"/>
    <w:rsid w:val="001B0875"/>
    <w:rsid w:val="001B0A68"/>
    <w:rsid w:val="001B17D3"/>
    <w:rsid w:val="001B1E72"/>
    <w:rsid w:val="001B1F92"/>
    <w:rsid w:val="001B243A"/>
    <w:rsid w:val="001B29F1"/>
    <w:rsid w:val="001B31DE"/>
    <w:rsid w:val="001B3410"/>
    <w:rsid w:val="001B360E"/>
    <w:rsid w:val="001B3A22"/>
    <w:rsid w:val="001B4636"/>
    <w:rsid w:val="001B4FDD"/>
    <w:rsid w:val="001B63DA"/>
    <w:rsid w:val="001B736E"/>
    <w:rsid w:val="001B7495"/>
    <w:rsid w:val="001B7611"/>
    <w:rsid w:val="001C0B96"/>
    <w:rsid w:val="001C21C4"/>
    <w:rsid w:val="001C3A45"/>
    <w:rsid w:val="001C494E"/>
    <w:rsid w:val="001C4A2F"/>
    <w:rsid w:val="001C542F"/>
    <w:rsid w:val="001C54FD"/>
    <w:rsid w:val="001C59E3"/>
    <w:rsid w:val="001C61F6"/>
    <w:rsid w:val="001C6502"/>
    <w:rsid w:val="001C65F1"/>
    <w:rsid w:val="001C6D08"/>
    <w:rsid w:val="001C7152"/>
    <w:rsid w:val="001C7BCE"/>
    <w:rsid w:val="001D0098"/>
    <w:rsid w:val="001D0225"/>
    <w:rsid w:val="001D0633"/>
    <w:rsid w:val="001D11DE"/>
    <w:rsid w:val="001D247C"/>
    <w:rsid w:val="001D29A9"/>
    <w:rsid w:val="001D2F7F"/>
    <w:rsid w:val="001D2FB6"/>
    <w:rsid w:val="001D3C41"/>
    <w:rsid w:val="001D3D82"/>
    <w:rsid w:val="001D43E4"/>
    <w:rsid w:val="001D458D"/>
    <w:rsid w:val="001D49CE"/>
    <w:rsid w:val="001D4BA0"/>
    <w:rsid w:val="001D5973"/>
    <w:rsid w:val="001D634E"/>
    <w:rsid w:val="001D6605"/>
    <w:rsid w:val="001D6B97"/>
    <w:rsid w:val="001D6BBF"/>
    <w:rsid w:val="001D6C08"/>
    <w:rsid w:val="001D7493"/>
    <w:rsid w:val="001D7C80"/>
    <w:rsid w:val="001E02D6"/>
    <w:rsid w:val="001E045B"/>
    <w:rsid w:val="001E07F7"/>
    <w:rsid w:val="001E0A66"/>
    <w:rsid w:val="001E0AB2"/>
    <w:rsid w:val="001E1175"/>
    <w:rsid w:val="001E1374"/>
    <w:rsid w:val="001E1B58"/>
    <w:rsid w:val="001E2EA9"/>
    <w:rsid w:val="001E3BDF"/>
    <w:rsid w:val="001E3E04"/>
    <w:rsid w:val="001E40EE"/>
    <w:rsid w:val="001E428E"/>
    <w:rsid w:val="001E466A"/>
    <w:rsid w:val="001E4E61"/>
    <w:rsid w:val="001E540E"/>
    <w:rsid w:val="001E555B"/>
    <w:rsid w:val="001E57CE"/>
    <w:rsid w:val="001E5AA2"/>
    <w:rsid w:val="001E5BBA"/>
    <w:rsid w:val="001E6220"/>
    <w:rsid w:val="001E6227"/>
    <w:rsid w:val="001F0892"/>
    <w:rsid w:val="001F15D5"/>
    <w:rsid w:val="001F2F29"/>
    <w:rsid w:val="001F3CFC"/>
    <w:rsid w:val="001F4809"/>
    <w:rsid w:val="001F5410"/>
    <w:rsid w:val="001F5DBB"/>
    <w:rsid w:val="001F76D3"/>
    <w:rsid w:val="0020013B"/>
    <w:rsid w:val="00200325"/>
    <w:rsid w:val="002003FB"/>
    <w:rsid w:val="00200B10"/>
    <w:rsid w:val="00200CC4"/>
    <w:rsid w:val="00200F4D"/>
    <w:rsid w:val="00201080"/>
    <w:rsid w:val="002010AD"/>
    <w:rsid w:val="00201A6A"/>
    <w:rsid w:val="002020A8"/>
    <w:rsid w:val="0020220C"/>
    <w:rsid w:val="002023A8"/>
    <w:rsid w:val="00202471"/>
    <w:rsid w:val="00202DF1"/>
    <w:rsid w:val="002030E2"/>
    <w:rsid w:val="00203348"/>
    <w:rsid w:val="00203459"/>
    <w:rsid w:val="00203C98"/>
    <w:rsid w:val="002050A3"/>
    <w:rsid w:val="002050C2"/>
    <w:rsid w:val="002053F3"/>
    <w:rsid w:val="00205897"/>
    <w:rsid w:val="002058FE"/>
    <w:rsid w:val="002061FA"/>
    <w:rsid w:val="002064CF"/>
    <w:rsid w:val="00206557"/>
    <w:rsid w:val="00206B58"/>
    <w:rsid w:val="002074A4"/>
    <w:rsid w:val="00207A8F"/>
    <w:rsid w:val="00210191"/>
    <w:rsid w:val="00210FE9"/>
    <w:rsid w:val="00211034"/>
    <w:rsid w:val="002114BD"/>
    <w:rsid w:val="00212130"/>
    <w:rsid w:val="0021254A"/>
    <w:rsid w:val="00213CCD"/>
    <w:rsid w:val="00213CFF"/>
    <w:rsid w:val="00213F15"/>
    <w:rsid w:val="00214887"/>
    <w:rsid w:val="0021530D"/>
    <w:rsid w:val="00215EEF"/>
    <w:rsid w:val="00216072"/>
    <w:rsid w:val="00216AB6"/>
    <w:rsid w:val="00217911"/>
    <w:rsid w:val="00220865"/>
    <w:rsid w:val="00220F2A"/>
    <w:rsid w:val="002210BA"/>
    <w:rsid w:val="00221385"/>
    <w:rsid w:val="002215E5"/>
    <w:rsid w:val="00222AD8"/>
    <w:rsid w:val="00223990"/>
    <w:rsid w:val="0022402B"/>
    <w:rsid w:val="00224938"/>
    <w:rsid w:val="00224F93"/>
    <w:rsid w:val="002252E6"/>
    <w:rsid w:val="0022548F"/>
    <w:rsid w:val="00225764"/>
    <w:rsid w:val="00226EF5"/>
    <w:rsid w:val="00230A21"/>
    <w:rsid w:val="00231310"/>
    <w:rsid w:val="00231B11"/>
    <w:rsid w:val="00231B56"/>
    <w:rsid w:val="00231BB2"/>
    <w:rsid w:val="002321E2"/>
    <w:rsid w:val="002326D5"/>
    <w:rsid w:val="002328B9"/>
    <w:rsid w:val="00232A86"/>
    <w:rsid w:val="00232FD6"/>
    <w:rsid w:val="00233612"/>
    <w:rsid w:val="00234540"/>
    <w:rsid w:val="00234CCA"/>
    <w:rsid w:val="002356C8"/>
    <w:rsid w:val="002360C3"/>
    <w:rsid w:val="00236122"/>
    <w:rsid w:val="002362B1"/>
    <w:rsid w:val="00236B4B"/>
    <w:rsid w:val="00236F47"/>
    <w:rsid w:val="00237F6F"/>
    <w:rsid w:val="0024072B"/>
    <w:rsid w:val="00242D9B"/>
    <w:rsid w:val="00243685"/>
    <w:rsid w:val="00243909"/>
    <w:rsid w:val="00243DEE"/>
    <w:rsid w:val="00244706"/>
    <w:rsid w:val="00244DF5"/>
    <w:rsid w:val="00244ED0"/>
    <w:rsid w:val="002450A0"/>
    <w:rsid w:val="00245ACC"/>
    <w:rsid w:val="00245FCA"/>
    <w:rsid w:val="00246C86"/>
    <w:rsid w:val="00247319"/>
    <w:rsid w:val="002478EF"/>
    <w:rsid w:val="002506BE"/>
    <w:rsid w:val="00250E30"/>
    <w:rsid w:val="0025182E"/>
    <w:rsid w:val="00251A4A"/>
    <w:rsid w:val="00251DD5"/>
    <w:rsid w:val="00252234"/>
    <w:rsid w:val="002529B7"/>
    <w:rsid w:val="00252AE0"/>
    <w:rsid w:val="00253389"/>
    <w:rsid w:val="0025393A"/>
    <w:rsid w:val="00253E1F"/>
    <w:rsid w:val="002540A2"/>
    <w:rsid w:val="002548D7"/>
    <w:rsid w:val="00254AB7"/>
    <w:rsid w:val="00254E29"/>
    <w:rsid w:val="0025501D"/>
    <w:rsid w:val="002553B2"/>
    <w:rsid w:val="00255FC4"/>
    <w:rsid w:val="0025794C"/>
    <w:rsid w:val="002605B9"/>
    <w:rsid w:val="002613D2"/>
    <w:rsid w:val="00261D11"/>
    <w:rsid w:val="00262B3B"/>
    <w:rsid w:val="002631E0"/>
    <w:rsid w:val="002637B9"/>
    <w:rsid w:val="002639BB"/>
    <w:rsid w:val="00264716"/>
    <w:rsid w:val="00264827"/>
    <w:rsid w:val="00264B81"/>
    <w:rsid w:val="00264DB5"/>
    <w:rsid w:val="00265165"/>
    <w:rsid w:val="0026527A"/>
    <w:rsid w:val="0026581D"/>
    <w:rsid w:val="002659CE"/>
    <w:rsid w:val="00265C9A"/>
    <w:rsid w:val="00266802"/>
    <w:rsid w:val="002676D2"/>
    <w:rsid w:val="00267F6C"/>
    <w:rsid w:val="002718D9"/>
    <w:rsid w:val="00271B2B"/>
    <w:rsid w:val="00271CEF"/>
    <w:rsid w:val="00271E88"/>
    <w:rsid w:val="0027248A"/>
    <w:rsid w:val="00272841"/>
    <w:rsid w:val="00272BD4"/>
    <w:rsid w:val="002740E5"/>
    <w:rsid w:val="002746D5"/>
    <w:rsid w:val="00275380"/>
    <w:rsid w:val="00275BBD"/>
    <w:rsid w:val="00275D32"/>
    <w:rsid w:val="00276424"/>
    <w:rsid w:val="002766E3"/>
    <w:rsid w:val="00276AC7"/>
    <w:rsid w:val="00276E7F"/>
    <w:rsid w:val="00276FA9"/>
    <w:rsid w:val="0027707E"/>
    <w:rsid w:val="002773E7"/>
    <w:rsid w:val="002774D4"/>
    <w:rsid w:val="00277B2B"/>
    <w:rsid w:val="00277EF9"/>
    <w:rsid w:val="002801A5"/>
    <w:rsid w:val="002806AE"/>
    <w:rsid w:val="00280AB2"/>
    <w:rsid w:val="00280D87"/>
    <w:rsid w:val="002812A2"/>
    <w:rsid w:val="00281467"/>
    <w:rsid w:val="0028167D"/>
    <w:rsid w:val="00281794"/>
    <w:rsid w:val="00281C08"/>
    <w:rsid w:val="00282C22"/>
    <w:rsid w:val="00282FD0"/>
    <w:rsid w:val="0028318B"/>
    <w:rsid w:val="00283BA1"/>
    <w:rsid w:val="0028403B"/>
    <w:rsid w:val="00284557"/>
    <w:rsid w:val="002849EE"/>
    <w:rsid w:val="00284F32"/>
    <w:rsid w:val="002850A7"/>
    <w:rsid w:val="00285250"/>
    <w:rsid w:val="00286495"/>
    <w:rsid w:val="00287A22"/>
    <w:rsid w:val="00287FD7"/>
    <w:rsid w:val="0029154B"/>
    <w:rsid w:val="00291891"/>
    <w:rsid w:val="00292074"/>
    <w:rsid w:val="00292134"/>
    <w:rsid w:val="002921C5"/>
    <w:rsid w:val="00292462"/>
    <w:rsid w:val="00293281"/>
    <w:rsid w:val="002937F1"/>
    <w:rsid w:val="002939A3"/>
    <w:rsid w:val="002939A8"/>
    <w:rsid w:val="002942FB"/>
    <w:rsid w:val="00294BC9"/>
    <w:rsid w:val="00295895"/>
    <w:rsid w:val="00295D07"/>
    <w:rsid w:val="0029763A"/>
    <w:rsid w:val="00297EA4"/>
    <w:rsid w:val="002A0847"/>
    <w:rsid w:val="002A1ADA"/>
    <w:rsid w:val="002A21F5"/>
    <w:rsid w:val="002A2202"/>
    <w:rsid w:val="002A2481"/>
    <w:rsid w:val="002A250E"/>
    <w:rsid w:val="002A28C9"/>
    <w:rsid w:val="002A30CF"/>
    <w:rsid w:val="002A3687"/>
    <w:rsid w:val="002A36FD"/>
    <w:rsid w:val="002A425D"/>
    <w:rsid w:val="002A4FA0"/>
    <w:rsid w:val="002A536E"/>
    <w:rsid w:val="002A6013"/>
    <w:rsid w:val="002A6651"/>
    <w:rsid w:val="002A70E7"/>
    <w:rsid w:val="002A7120"/>
    <w:rsid w:val="002A7359"/>
    <w:rsid w:val="002A7A3E"/>
    <w:rsid w:val="002B06B4"/>
    <w:rsid w:val="002B0D67"/>
    <w:rsid w:val="002B147F"/>
    <w:rsid w:val="002B1593"/>
    <w:rsid w:val="002B2AE2"/>
    <w:rsid w:val="002B2E01"/>
    <w:rsid w:val="002B3B81"/>
    <w:rsid w:val="002B4121"/>
    <w:rsid w:val="002B68A5"/>
    <w:rsid w:val="002B6DA0"/>
    <w:rsid w:val="002B7559"/>
    <w:rsid w:val="002B78EF"/>
    <w:rsid w:val="002B7A4D"/>
    <w:rsid w:val="002C03CA"/>
    <w:rsid w:val="002C1D85"/>
    <w:rsid w:val="002C267D"/>
    <w:rsid w:val="002C2B7B"/>
    <w:rsid w:val="002C2D82"/>
    <w:rsid w:val="002C3198"/>
    <w:rsid w:val="002C413C"/>
    <w:rsid w:val="002C46C3"/>
    <w:rsid w:val="002C5082"/>
    <w:rsid w:val="002C5602"/>
    <w:rsid w:val="002C64E8"/>
    <w:rsid w:val="002C6EDB"/>
    <w:rsid w:val="002C7011"/>
    <w:rsid w:val="002C734A"/>
    <w:rsid w:val="002C7939"/>
    <w:rsid w:val="002D0008"/>
    <w:rsid w:val="002D09CE"/>
    <w:rsid w:val="002D0A34"/>
    <w:rsid w:val="002D15FC"/>
    <w:rsid w:val="002D279D"/>
    <w:rsid w:val="002D2EB3"/>
    <w:rsid w:val="002D399B"/>
    <w:rsid w:val="002D4331"/>
    <w:rsid w:val="002D4F13"/>
    <w:rsid w:val="002D5172"/>
    <w:rsid w:val="002D553B"/>
    <w:rsid w:val="002D6407"/>
    <w:rsid w:val="002D6999"/>
    <w:rsid w:val="002D77EA"/>
    <w:rsid w:val="002E0FB3"/>
    <w:rsid w:val="002E1B00"/>
    <w:rsid w:val="002E260B"/>
    <w:rsid w:val="002E3BED"/>
    <w:rsid w:val="002E3D2C"/>
    <w:rsid w:val="002E47AF"/>
    <w:rsid w:val="002E48B0"/>
    <w:rsid w:val="002E4BBF"/>
    <w:rsid w:val="002E52F3"/>
    <w:rsid w:val="002E54A4"/>
    <w:rsid w:val="002E57AD"/>
    <w:rsid w:val="002E5872"/>
    <w:rsid w:val="002E5E27"/>
    <w:rsid w:val="002E5FAD"/>
    <w:rsid w:val="002E60FD"/>
    <w:rsid w:val="002E6427"/>
    <w:rsid w:val="002E68EF"/>
    <w:rsid w:val="002E6A55"/>
    <w:rsid w:val="002E6B95"/>
    <w:rsid w:val="002E727F"/>
    <w:rsid w:val="002F0159"/>
    <w:rsid w:val="002F043D"/>
    <w:rsid w:val="002F0FFB"/>
    <w:rsid w:val="002F1D99"/>
    <w:rsid w:val="002F1E71"/>
    <w:rsid w:val="002F260F"/>
    <w:rsid w:val="002F2B8D"/>
    <w:rsid w:val="002F32CE"/>
    <w:rsid w:val="002F3646"/>
    <w:rsid w:val="002F440B"/>
    <w:rsid w:val="002F4939"/>
    <w:rsid w:val="002F4AB7"/>
    <w:rsid w:val="002F5E20"/>
    <w:rsid w:val="002F60A0"/>
    <w:rsid w:val="002F6DC8"/>
    <w:rsid w:val="002F71D4"/>
    <w:rsid w:val="002F7639"/>
    <w:rsid w:val="002F7C83"/>
    <w:rsid w:val="002F7EDA"/>
    <w:rsid w:val="002F7F39"/>
    <w:rsid w:val="00300C23"/>
    <w:rsid w:val="00300CE3"/>
    <w:rsid w:val="00301FE7"/>
    <w:rsid w:val="00302C56"/>
    <w:rsid w:val="00302C99"/>
    <w:rsid w:val="00302EE6"/>
    <w:rsid w:val="003031BB"/>
    <w:rsid w:val="00303CF8"/>
    <w:rsid w:val="00304110"/>
    <w:rsid w:val="003049B9"/>
    <w:rsid w:val="00304BBA"/>
    <w:rsid w:val="0030509F"/>
    <w:rsid w:val="00305797"/>
    <w:rsid w:val="003064F5"/>
    <w:rsid w:val="003065F7"/>
    <w:rsid w:val="0030748B"/>
    <w:rsid w:val="0030762D"/>
    <w:rsid w:val="00307B5F"/>
    <w:rsid w:val="00307CEA"/>
    <w:rsid w:val="0031111B"/>
    <w:rsid w:val="00311636"/>
    <w:rsid w:val="003119C0"/>
    <w:rsid w:val="003122D4"/>
    <w:rsid w:val="003129D1"/>
    <w:rsid w:val="003131D7"/>
    <w:rsid w:val="0031332B"/>
    <w:rsid w:val="00313671"/>
    <w:rsid w:val="00313E69"/>
    <w:rsid w:val="003142E6"/>
    <w:rsid w:val="00314812"/>
    <w:rsid w:val="00314C50"/>
    <w:rsid w:val="00316D35"/>
    <w:rsid w:val="0031737B"/>
    <w:rsid w:val="00317496"/>
    <w:rsid w:val="003179C0"/>
    <w:rsid w:val="00317ABE"/>
    <w:rsid w:val="00317EDA"/>
    <w:rsid w:val="0032002C"/>
    <w:rsid w:val="003201ED"/>
    <w:rsid w:val="00320841"/>
    <w:rsid w:val="00320DBD"/>
    <w:rsid w:val="00320EB3"/>
    <w:rsid w:val="0032135D"/>
    <w:rsid w:val="003217E2"/>
    <w:rsid w:val="00321E63"/>
    <w:rsid w:val="00322200"/>
    <w:rsid w:val="003224F7"/>
    <w:rsid w:val="0032253C"/>
    <w:rsid w:val="00323450"/>
    <w:rsid w:val="003240ED"/>
    <w:rsid w:val="003244A9"/>
    <w:rsid w:val="00324FCB"/>
    <w:rsid w:val="0032610E"/>
    <w:rsid w:val="00326693"/>
    <w:rsid w:val="00331164"/>
    <w:rsid w:val="0033156C"/>
    <w:rsid w:val="003323D8"/>
    <w:rsid w:val="0033254C"/>
    <w:rsid w:val="003342D1"/>
    <w:rsid w:val="00334DFF"/>
    <w:rsid w:val="003350F2"/>
    <w:rsid w:val="003359BA"/>
    <w:rsid w:val="00336A60"/>
    <w:rsid w:val="00336F26"/>
    <w:rsid w:val="00336FB3"/>
    <w:rsid w:val="00337814"/>
    <w:rsid w:val="003402A9"/>
    <w:rsid w:val="003402E6"/>
    <w:rsid w:val="003403C4"/>
    <w:rsid w:val="003405F5"/>
    <w:rsid w:val="003410DA"/>
    <w:rsid w:val="003419CC"/>
    <w:rsid w:val="00341A61"/>
    <w:rsid w:val="003421A9"/>
    <w:rsid w:val="0034243F"/>
    <w:rsid w:val="003425A6"/>
    <w:rsid w:val="003425BE"/>
    <w:rsid w:val="00342CD8"/>
    <w:rsid w:val="00343A0C"/>
    <w:rsid w:val="00343E72"/>
    <w:rsid w:val="00343F60"/>
    <w:rsid w:val="003443D5"/>
    <w:rsid w:val="003448B1"/>
    <w:rsid w:val="00344CE1"/>
    <w:rsid w:val="00345014"/>
    <w:rsid w:val="00345082"/>
    <w:rsid w:val="00345548"/>
    <w:rsid w:val="00345712"/>
    <w:rsid w:val="0034573B"/>
    <w:rsid w:val="003460E3"/>
    <w:rsid w:val="00346577"/>
    <w:rsid w:val="003468C7"/>
    <w:rsid w:val="00346E76"/>
    <w:rsid w:val="00350044"/>
    <w:rsid w:val="00350399"/>
    <w:rsid w:val="00350ADC"/>
    <w:rsid w:val="00350E63"/>
    <w:rsid w:val="00351401"/>
    <w:rsid w:val="00351759"/>
    <w:rsid w:val="00352CC3"/>
    <w:rsid w:val="003534AD"/>
    <w:rsid w:val="00353544"/>
    <w:rsid w:val="00353610"/>
    <w:rsid w:val="00353C47"/>
    <w:rsid w:val="00353E51"/>
    <w:rsid w:val="003545E5"/>
    <w:rsid w:val="00354942"/>
    <w:rsid w:val="00354C34"/>
    <w:rsid w:val="0035674B"/>
    <w:rsid w:val="003567D2"/>
    <w:rsid w:val="00360311"/>
    <w:rsid w:val="003607F3"/>
    <w:rsid w:val="003608FA"/>
    <w:rsid w:val="00361346"/>
    <w:rsid w:val="003619D0"/>
    <w:rsid w:val="00362133"/>
    <w:rsid w:val="00362D41"/>
    <w:rsid w:val="00364551"/>
    <w:rsid w:val="003659A4"/>
    <w:rsid w:val="00365DC8"/>
    <w:rsid w:val="0036655F"/>
    <w:rsid w:val="00366653"/>
    <w:rsid w:val="00367484"/>
    <w:rsid w:val="003705F7"/>
    <w:rsid w:val="00370B89"/>
    <w:rsid w:val="00370C4E"/>
    <w:rsid w:val="00370DD8"/>
    <w:rsid w:val="00370F38"/>
    <w:rsid w:val="00371202"/>
    <w:rsid w:val="003714C7"/>
    <w:rsid w:val="0037154C"/>
    <w:rsid w:val="00371AB8"/>
    <w:rsid w:val="00371DF5"/>
    <w:rsid w:val="00372AB1"/>
    <w:rsid w:val="0037300C"/>
    <w:rsid w:val="00373A74"/>
    <w:rsid w:val="00374549"/>
    <w:rsid w:val="00374ED1"/>
    <w:rsid w:val="003752FD"/>
    <w:rsid w:val="00375E23"/>
    <w:rsid w:val="00376712"/>
    <w:rsid w:val="00376F94"/>
    <w:rsid w:val="00377F34"/>
    <w:rsid w:val="00380228"/>
    <w:rsid w:val="00381937"/>
    <w:rsid w:val="00381A96"/>
    <w:rsid w:val="00381B46"/>
    <w:rsid w:val="00381B5C"/>
    <w:rsid w:val="00381BA1"/>
    <w:rsid w:val="00382CEC"/>
    <w:rsid w:val="00382EC7"/>
    <w:rsid w:val="00382F36"/>
    <w:rsid w:val="003832F0"/>
    <w:rsid w:val="0038345C"/>
    <w:rsid w:val="00383969"/>
    <w:rsid w:val="00384DF7"/>
    <w:rsid w:val="003863CE"/>
    <w:rsid w:val="00386508"/>
    <w:rsid w:val="003875F2"/>
    <w:rsid w:val="0039059A"/>
    <w:rsid w:val="003909D0"/>
    <w:rsid w:val="00390AFA"/>
    <w:rsid w:val="00390F68"/>
    <w:rsid w:val="00391393"/>
    <w:rsid w:val="00392233"/>
    <w:rsid w:val="00392365"/>
    <w:rsid w:val="0039382C"/>
    <w:rsid w:val="00393C7C"/>
    <w:rsid w:val="0039453C"/>
    <w:rsid w:val="00394752"/>
    <w:rsid w:val="00394CD1"/>
    <w:rsid w:val="003950ED"/>
    <w:rsid w:val="003961A8"/>
    <w:rsid w:val="0039635F"/>
    <w:rsid w:val="003969C9"/>
    <w:rsid w:val="00396B47"/>
    <w:rsid w:val="00396E27"/>
    <w:rsid w:val="00397D35"/>
    <w:rsid w:val="003A0059"/>
    <w:rsid w:val="003A031C"/>
    <w:rsid w:val="003A04F2"/>
    <w:rsid w:val="003A0D2A"/>
    <w:rsid w:val="003A1506"/>
    <w:rsid w:val="003A1774"/>
    <w:rsid w:val="003A17E0"/>
    <w:rsid w:val="003A1FC8"/>
    <w:rsid w:val="003A2130"/>
    <w:rsid w:val="003A26BB"/>
    <w:rsid w:val="003A312E"/>
    <w:rsid w:val="003A45B2"/>
    <w:rsid w:val="003A487A"/>
    <w:rsid w:val="003A5449"/>
    <w:rsid w:val="003A58D1"/>
    <w:rsid w:val="003A6020"/>
    <w:rsid w:val="003A6862"/>
    <w:rsid w:val="003A7BD1"/>
    <w:rsid w:val="003A7C11"/>
    <w:rsid w:val="003B020D"/>
    <w:rsid w:val="003B14D4"/>
    <w:rsid w:val="003B1684"/>
    <w:rsid w:val="003B1DA9"/>
    <w:rsid w:val="003B1FFC"/>
    <w:rsid w:val="003B25F8"/>
    <w:rsid w:val="003B303A"/>
    <w:rsid w:val="003B3177"/>
    <w:rsid w:val="003B3BFE"/>
    <w:rsid w:val="003B4436"/>
    <w:rsid w:val="003B507B"/>
    <w:rsid w:val="003B5A2B"/>
    <w:rsid w:val="003B5CFC"/>
    <w:rsid w:val="003B6ABE"/>
    <w:rsid w:val="003B7810"/>
    <w:rsid w:val="003C0014"/>
    <w:rsid w:val="003C0A5F"/>
    <w:rsid w:val="003C0E4D"/>
    <w:rsid w:val="003C1A6B"/>
    <w:rsid w:val="003C1A7F"/>
    <w:rsid w:val="003C1C94"/>
    <w:rsid w:val="003C2675"/>
    <w:rsid w:val="003C27A1"/>
    <w:rsid w:val="003C2F81"/>
    <w:rsid w:val="003C32D3"/>
    <w:rsid w:val="003C3316"/>
    <w:rsid w:val="003C354D"/>
    <w:rsid w:val="003C4A12"/>
    <w:rsid w:val="003C57EB"/>
    <w:rsid w:val="003C5A5E"/>
    <w:rsid w:val="003C7043"/>
    <w:rsid w:val="003C7088"/>
    <w:rsid w:val="003C7E13"/>
    <w:rsid w:val="003D0003"/>
    <w:rsid w:val="003D1513"/>
    <w:rsid w:val="003D1B2D"/>
    <w:rsid w:val="003D1C11"/>
    <w:rsid w:val="003D24C3"/>
    <w:rsid w:val="003D3536"/>
    <w:rsid w:val="003D3B1A"/>
    <w:rsid w:val="003D3E00"/>
    <w:rsid w:val="003D4C1A"/>
    <w:rsid w:val="003D4D1E"/>
    <w:rsid w:val="003D7387"/>
    <w:rsid w:val="003D77B2"/>
    <w:rsid w:val="003E0A97"/>
    <w:rsid w:val="003E0D48"/>
    <w:rsid w:val="003E10A4"/>
    <w:rsid w:val="003E1C03"/>
    <w:rsid w:val="003E1CD7"/>
    <w:rsid w:val="003E20B9"/>
    <w:rsid w:val="003E2B71"/>
    <w:rsid w:val="003E317D"/>
    <w:rsid w:val="003E3556"/>
    <w:rsid w:val="003E408D"/>
    <w:rsid w:val="003E4DE6"/>
    <w:rsid w:val="003E5B56"/>
    <w:rsid w:val="003E61DF"/>
    <w:rsid w:val="003E6369"/>
    <w:rsid w:val="003E6728"/>
    <w:rsid w:val="003E6DB4"/>
    <w:rsid w:val="003E7EDB"/>
    <w:rsid w:val="003F02FF"/>
    <w:rsid w:val="003F0760"/>
    <w:rsid w:val="003F088F"/>
    <w:rsid w:val="003F122B"/>
    <w:rsid w:val="003F158F"/>
    <w:rsid w:val="003F1EBF"/>
    <w:rsid w:val="003F295E"/>
    <w:rsid w:val="003F4093"/>
    <w:rsid w:val="003F5850"/>
    <w:rsid w:val="003F64D3"/>
    <w:rsid w:val="003F739F"/>
    <w:rsid w:val="003F77A6"/>
    <w:rsid w:val="00400256"/>
    <w:rsid w:val="00400412"/>
    <w:rsid w:val="00401627"/>
    <w:rsid w:val="00402D1F"/>
    <w:rsid w:val="00403603"/>
    <w:rsid w:val="0040374D"/>
    <w:rsid w:val="00403D35"/>
    <w:rsid w:val="00404AF5"/>
    <w:rsid w:val="004068F9"/>
    <w:rsid w:val="0040703B"/>
    <w:rsid w:val="0040780A"/>
    <w:rsid w:val="00407BBB"/>
    <w:rsid w:val="00407C2C"/>
    <w:rsid w:val="004107C0"/>
    <w:rsid w:val="00410D8F"/>
    <w:rsid w:val="00410F60"/>
    <w:rsid w:val="0041159F"/>
    <w:rsid w:val="004117C3"/>
    <w:rsid w:val="004118E0"/>
    <w:rsid w:val="00412117"/>
    <w:rsid w:val="00412D08"/>
    <w:rsid w:val="00413C73"/>
    <w:rsid w:val="00414F5D"/>
    <w:rsid w:val="00414FF6"/>
    <w:rsid w:val="00415310"/>
    <w:rsid w:val="004155FE"/>
    <w:rsid w:val="004161BE"/>
    <w:rsid w:val="004161C6"/>
    <w:rsid w:val="00416FC9"/>
    <w:rsid w:val="00417263"/>
    <w:rsid w:val="004178CB"/>
    <w:rsid w:val="00417B7A"/>
    <w:rsid w:val="00417DF4"/>
    <w:rsid w:val="0042039D"/>
    <w:rsid w:val="00420606"/>
    <w:rsid w:val="00420999"/>
    <w:rsid w:val="00420F19"/>
    <w:rsid w:val="00422E71"/>
    <w:rsid w:val="004231F6"/>
    <w:rsid w:val="00423730"/>
    <w:rsid w:val="0042384C"/>
    <w:rsid w:val="004238DC"/>
    <w:rsid w:val="0042391D"/>
    <w:rsid w:val="0042432A"/>
    <w:rsid w:val="0042461E"/>
    <w:rsid w:val="0042479F"/>
    <w:rsid w:val="00425B77"/>
    <w:rsid w:val="00425C6A"/>
    <w:rsid w:val="00425D10"/>
    <w:rsid w:val="0042621C"/>
    <w:rsid w:val="00426C9F"/>
    <w:rsid w:val="0042702D"/>
    <w:rsid w:val="00427A9B"/>
    <w:rsid w:val="00427F94"/>
    <w:rsid w:val="00430143"/>
    <w:rsid w:val="00430528"/>
    <w:rsid w:val="004309F4"/>
    <w:rsid w:val="00432327"/>
    <w:rsid w:val="00432C4C"/>
    <w:rsid w:val="004338D1"/>
    <w:rsid w:val="004339E0"/>
    <w:rsid w:val="004343E5"/>
    <w:rsid w:val="004343ED"/>
    <w:rsid w:val="00434AD5"/>
    <w:rsid w:val="0043517C"/>
    <w:rsid w:val="004351B4"/>
    <w:rsid w:val="00435481"/>
    <w:rsid w:val="00435F16"/>
    <w:rsid w:val="00437722"/>
    <w:rsid w:val="00437923"/>
    <w:rsid w:val="00437CA2"/>
    <w:rsid w:val="00437F7C"/>
    <w:rsid w:val="004400CF"/>
    <w:rsid w:val="00440194"/>
    <w:rsid w:val="004421CB"/>
    <w:rsid w:val="00444360"/>
    <w:rsid w:val="0044551C"/>
    <w:rsid w:val="00445E0C"/>
    <w:rsid w:val="00446472"/>
    <w:rsid w:val="004465F3"/>
    <w:rsid w:val="00446CE2"/>
    <w:rsid w:val="00447C62"/>
    <w:rsid w:val="00447F9D"/>
    <w:rsid w:val="00450873"/>
    <w:rsid w:val="00450F45"/>
    <w:rsid w:val="00451694"/>
    <w:rsid w:val="00451938"/>
    <w:rsid w:val="004527E3"/>
    <w:rsid w:val="00453D22"/>
    <w:rsid w:val="004540F3"/>
    <w:rsid w:val="00454BA3"/>
    <w:rsid w:val="00455750"/>
    <w:rsid w:val="00455C7B"/>
    <w:rsid w:val="00456477"/>
    <w:rsid w:val="004566CE"/>
    <w:rsid w:val="004566E7"/>
    <w:rsid w:val="0045740C"/>
    <w:rsid w:val="00460FC8"/>
    <w:rsid w:val="00462591"/>
    <w:rsid w:val="00462927"/>
    <w:rsid w:val="00462B1E"/>
    <w:rsid w:val="00463045"/>
    <w:rsid w:val="00463AD5"/>
    <w:rsid w:val="004651A6"/>
    <w:rsid w:val="0046546B"/>
    <w:rsid w:val="00465558"/>
    <w:rsid w:val="00465639"/>
    <w:rsid w:val="004658F9"/>
    <w:rsid w:val="004660A0"/>
    <w:rsid w:val="0046725C"/>
    <w:rsid w:val="00470838"/>
    <w:rsid w:val="0047186D"/>
    <w:rsid w:val="004730A0"/>
    <w:rsid w:val="0047312F"/>
    <w:rsid w:val="00473A14"/>
    <w:rsid w:val="00473DB6"/>
    <w:rsid w:val="00473F1E"/>
    <w:rsid w:val="004740E0"/>
    <w:rsid w:val="004742F6"/>
    <w:rsid w:val="00474405"/>
    <w:rsid w:val="00474758"/>
    <w:rsid w:val="0047478B"/>
    <w:rsid w:val="00474C30"/>
    <w:rsid w:val="00474C8E"/>
    <w:rsid w:val="00475483"/>
    <w:rsid w:val="00475A93"/>
    <w:rsid w:val="00475E0A"/>
    <w:rsid w:val="00476353"/>
    <w:rsid w:val="00476CB1"/>
    <w:rsid w:val="00476E2D"/>
    <w:rsid w:val="00477A76"/>
    <w:rsid w:val="00477D8F"/>
    <w:rsid w:val="004804B6"/>
    <w:rsid w:val="00480E04"/>
    <w:rsid w:val="00481E1F"/>
    <w:rsid w:val="00482393"/>
    <w:rsid w:val="004824F5"/>
    <w:rsid w:val="004827DB"/>
    <w:rsid w:val="00483206"/>
    <w:rsid w:val="00483446"/>
    <w:rsid w:val="00483534"/>
    <w:rsid w:val="00483CC9"/>
    <w:rsid w:val="00483E74"/>
    <w:rsid w:val="0048410B"/>
    <w:rsid w:val="00484309"/>
    <w:rsid w:val="00484B74"/>
    <w:rsid w:val="0048516D"/>
    <w:rsid w:val="00485A3C"/>
    <w:rsid w:val="0048738E"/>
    <w:rsid w:val="0048783C"/>
    <w:rsid w:val="00487FB3"/>
    <w:rsid w:val="00490675"/>
    <w:rsid w:val="00490847"/>
    <w:rsid w:val="00492580"/>
    <w:rsid w:val="00492B73"/>
    <w:rsid w:val="004935B4"/>
    <w:rsid w:val="00494DE9"/>
    <w:rsid w:val="00495642"/>
    <w:rsid w:val="00495D7E"/>
    <w:rsid w:val="00495DF5"/>
    <w:rsid w:val="0049695E"/>
    <w:rsid w:val="004A0392"/>
    <w:rsid w:val="004A071B"/>
    <w:rsid w:val="004A0B1B"/>
    <w:rsid w:val="004A177F"/>
    <w:rsid w:val="004A3532"/>
    <w:rsid w:val="004A36A6"/>
    <w:rsid w:val="004A3AC0"/>
    <w:rsid w:val="004A3B56"/>
    <w:rsid w:val="004A46CC"/>
    <w:rsid w:val="004A5CE4"/>
    <w:rsid w:val="004A5DB0"/>
    <w:rsid w:val="004A648D"/>
    <w:rsid w:val="004A792F"/>
    <w:rsid w:val="004A8771"/>
    <w:rsid w:val="004B0D54"/>
    <w:rsid w:val="004B259E"/>
    <w:rsid w:val="004B2ECA"/>
    <w:rsid w:val="004B31FD"/>
    <w:rsid w:val="004B3D96"/>
    <w:rsid w:val="004B406E"/>
    <w:rsid w:val="004B5083"/>
    <w:rsid w:val="004B5276"/>
    <w:rsid w:val="004B52F1"/>
    <w:rsid w:val="004B5971"/>
    <w:rsid w:val="004B5B78"/>
    <w:rsid w:val="004B75AD"/>
    <w:rsid w:val="004C19A6"/>
    <w:rsid w:val="004C19AF"/>
    <w:rsid w:val="004C1C37"/>
    <w:rsid w:val="004C2576"/>
    <w:rsid w:val="004C2BF6"/>
    <w:rsid w:val="004C2E3B"/>
    <w:rsid w:val="004C303D"/>
    <w:rsid w:val="004C36EF"/>
    <w:rsid w:val="004C45F0"/>
    <w:rsid w:val="004C4997"/>
    <w:rsid w:val="004C4CCB"/>
    <w:rsid w:val="004C5116"/>
    <w:rsid w:val="004C51A2"/>
    <w:rsid w:val="004C51EF"/>
    <w:rsid w:val="004C5244"/>
    <w:rsid w:val="004C5559"/>
    <w:rsid w:val="004C67DD"/>
    <w:rsid w:val="004C6FE3"/>
    <w:rsid w:val="004C7FB2"/>
    <w:rsid w:val="004D0DDC"/>
    <w:rsid w:val="004D1B80"/>
    <w:rsid w:val="004D36E4"/>
    <w:rsid w:val="004D3AF8"/>
    <w:rsid w:val="004D40A6"/>
    <w:rsid w:val="004D4172"/>
    <w:rsid w:val="004D42EE"/>
    <w:rsid w:val="004D4DE6"/>
    <w:rsid w:val="004D50E2"/>
    <w:rsid w:val="004D57B9"/>
    <w:rsid w:val="004D62CD"/>
    <w:rsid w:val="004D66D1"/>
    <w:rsid w:val="004D672F"/>
    <w:rsid w:val="004D6E3F"/>
    <w:rsid w:val="004D6F0D"/>
    <w:rsid w:val="004D7531"/>
    <w:rsid w:val="004D7D8F"/>
    <w:rsid w:val="004D7F72"/>
    <w:rsid w:val="004E0DF5"/>
    <w:rsid w:val="004E1FCC"/>
    <w:rsid w:val="004E32B2"/>
    <w:rsid w:val="004E346E"/>
    <w:rsid w:val="004E3A92"/>
    <w:rsid w:val="004E478E"/>
    <w:rsid w:val="004E4CD2"/>
    <w:rsid w:val="004E4D1B"/>
    <w:rsid w:val="004E50F6"/>
    <w:rsid w:val="004E5348"/>
    <w:rsid w:val="004E5E4E"/>
    <w:rsid w:val="004E5EEA"/>
    <w:rsid w:val="004E6C40"/>
    <w:rsid w:val="004E7288"/>
    <w:rsid w:val="004E7D79"/>
    <w:rsid w:val="004F00F3"/>
    <w:rsid w:val="004F0976"/>
    <w:rsid w:val="004F0B74"/>
    <w:rsid w:val="004F11F8"/>
    <w:rsid w:val="004F1553"/>
    <w:rsid w:val="004F287D"/>
    <w:rsid w:val="004F2910"/>
    <w:rsid w:val="004F295E"/>
    <w:rsid w:val="004F2BA9"/>
    <w:rsid w:val="004F300B"/>
    <w:rsid w:val="004F44CA"/>
    <w:rsid w:val="004F493C"/>
    <w:rsid w:val="004F4D24"/>
    <w:rsid w:val="004F6741"/>
    <w:rsid w:val="004F7296"/>
    <w:rsid w:val="004F7785"/>
    <w:rsid w:val="0050027E"/>
    <w:rsid w:val="0050099B"/>
    <w:rsid w:val="00500CE8"/>
    <w:rsid w:val="00502306"/>
    <w:rsid w:val="0050296F"/>
    <w:rsid w:val="00502E64"/>
    <w:rsid w:val="00503AA3"/>
    <w:rsid w:val="00504021"/>
    <w:rsid w:val="00504DC6"/>
    <w:rsid w:val="00504E33"/>
    <w:rsid w:val="0050507E"/>
    <w:rsid w:val="005050B0"/>
    <w:rsid w:val="00505EB5"/>
    <w:rsid w:val="00506159"/>
    <w:rsid w:val="00510250"/>
    <w:rsid w:val="005103CC"/>
    <w:rsid w:val="00510949"/>
    <w:rsid w:val="005112D0"/>
    <w:rsid w:val="00511E02"/>
    <w:rsid w:val="005136BE"/>
    <w:rsid w:val="00513D17"/>
    <w:rsid w:val="00514376"/>
    <w:rsid w:val="00514703"/>
    <w:rsid w:val="005149E9"/>
    <w:rsid w:val="00514EF9"/>
    <w:rsid w:val="00515DBD"/>
    <w:rsid w:val="00515E2C"/>
    <w:rsid w:val="005166EC"/>
    <w:rsid w:val="0051698B"/>
    <w:rsid w:val="00516A1F"/>
    <w:rsid w:val="00516E76"/>
    <w:rsid w:val="00516F47"/>
    <w:rsid w:val="0051B20F"/>
    <w:rsid w:val="00520C1F"/>
    <w:rsid w:val="00520CAB"/>
    <w:rsid w:val="005217BD"/>
    <w:rsid w:val="00522334"/>
    <w:rsid w:val="0052287B"/>
    <w:rsid w:val="00522D45"/>
    <w:rsid w:val="00523372"/>
    <w:rsid w:val="005234CB"/>
    <w:rsid w:val="00523923"/>
    <w:rsid w:val="00524439"/>
    <w:rsid w:val="00524C99"/>
    <w:rsid w:val="00525772"/>
    <w:rsid w:val="00526261"/>
    <w:rsid w:val="0052707C"/>
    <w:rsid w:val="005272FF"/>
    <w:rsid w:val="00527785"/>
    <w:rsid w:val="00527E02"/>
    <w:rsid w:val="00531424"/>
    <w:rsid w:val="00532BF8"/>
    <w:rsid w:val="00532C24"/>
    <w:rsid w:val="00534D08"/>
    <w:rsid w:val="00535196"/>
    <w:rsid w:val="0053655F"/>
    <w:rsid w:val="005368EA"/>
    <w:rsid w:val="0053737F"/>
    <w:rsid w:val="00537A18"/>
    <w:rsid w:val="00537CCF"/>
    <w:rsid w:val="00537F22"/>
    <w:rsid w:val="00540015"/>
    <w:rsid w:val="00540582"/>
    <w:rsid w:val="0054107F"/>
    <w:rsid w:val="00542195"/>
    <w:rsid w:val="0054237F"/>
    <w:rsid w:val="0054250C"/>
    <w:rsid w:val="00542523"/>
    <w:rsid w:val="0054263D"/>
    <w:rsid w:val="00542E16"/>
    <w:rsid w:val="005454C2"/>
    <w:rsid w:val="00545AA0"/>
    <w:rsid w:val="005467BA"/>
    <w:rsid w:val="0055089F"/>
    <w:rsid w:val="00551CBF"/>
    <w:rsid w:val="0055245D"/>
    <w:rsid w:val="00552FC9"/>
    <w:rsid w:val="00554C38"/>
    <w:rsid w:val="00556942"/>
    <w:rsid w:val="005569CF"/>
    <w:rsid w:val="00556BE8"/>
    <w:rsid w:val="00556FC1"/>
    <w:rsid w:val="00557A51"/>
    <w:rsid w:val="00557A74"/>
    <w:rsid w:val="00557EB8"/>
    <w:rsid w:val="00557FE1"/>
    <w:rsid w:val="005604DC"/>
    <w:rsid w:val="00560DCC"/>
    <w:rsid w:val="00561FEB"/>
    <w:rsid w:val="0056258D"/>
    <w:rsid w:val="005630A4"/>
    <w:rsid w:val="005632B1"/>
    <w:rsid w:val="005632D0"/>
    <w:rsid w:val="00563305"/>
    <w:rsid w:val="005637D0"/>
    <w:rsid w:val="00563BA7"/>
    <w:rsid w:val="00563D5F"/>
    <w:rsid w:val="00563F6F"/>
    <w:rsid w:val="00564559"/>
    <w:rsid w:val="0056487B"/>
    <w:rsid w:val="00564CDC"/>
    <w:rsid w:val="00564E98"/>
    <w:rsid w:val="00565347"/>
    <w:rsid w:val="005666EA"/>
    <w:rsid w:val="005675A7"/>
    <w:rsid w:val="005676CF"/>
    <w:rsid w:val="00567E60"/>
    <w:rsid w:val="00570168"/>
    <w:rsid w:val="00570790"/>
    <w:rsid w:val="005720B6"/>
    <w:rsid w:val="0057250E"/>
    <w:rsid w:val="00573B8C"/>
    <w:rsid w:val="005745F7"/>
    <w:rsid w:val="00575054"/>
    <w:rsid w:val="00575398"/>
    <w:rsid w:val="005766C3"/>
    <w:rsid w:val="00576B16"/>
    <w:rsid w:val="00576C4F"/>
    <w:rsid w:val="0058055D"/>
    <w:rsid w:val="00580BB7"/>
    <w:rsid w:val="005811B3"/>
    <w:rsid w:val="00581393"/>
    <w:rsid w:val="00581B24"/>
    <w:rsid w:val="00581BA7"/>
    <w:rsid w:val="00581E38"/>
    <w:rsid w:val="00581EE2"/>
    <w:rsid w:val="0058282B"/>
    <w:rsid w:val="00582CD2"/>
    <w:rsid w:val="00583141"/>
    <w:rsid w:val="00583BC4"/>
    <w:rsid w:val="00584159"/>
    <w:rsid w:val="005844E4"/>
    <w:rsid w:val="00584664"/>
    <w:rsid w:val="00584A7A"/>
    <w:rsid w:val="00585C88"/>
    <w:rsid w:val="00585F6A"/>
    <w:rsid w:val="00586FE0"/>
    <w:rsid w:val="00587288"/>
    <w:rsid w:val="0058753C"/>
    <w:rsid w:val="00587F79"/>
    <w:rsid w:val="00590987"/>
    <w:rsid w:val="00590F52"/>
    <w:rsid w:val="00591AE6"/>
    <w:rsid w:val="0059269D"/>
    <w:rsid w:val="00592E1A"/>
    <w:rsid w:val="00593A51"/>
    <w:rsid w:val="00593DD6"/>
    <w:rsid w:val="005941FF"/>
    <w:rsid w:val="005944EC"/>
    <w:rsid w:val="00595590"/>
    <w:rsid w:val="00595F52"/>
    <w:rsid w:val="00596B1D"/>
    <w:rsid w:val="00596BE3"/>
    <w:rsid w:val="00597281"/>
    <w:rsid w:val="00597449"/>
    <w:rsid w:val="00597C9C"/>
    <w:rsid w:val="00597FEB"/>
    <w:rsid w:val="005A07E6"/>
    <w:rsid w:val="005A152F"/>
    <w:rsid w:val="005A19C0"/>
    <w:rsid w:val="005A2C16"/>
    <w:rsid w:val="005A2D3E"/>
    <w:rsid w:val="005A3631"/>
    <w:rsid w:val="005A3D02"/>
    <w:rsid w:val="005A41D7"/>
    <w:rsid w:val="005A44C2"/>
    <w:rsid w:val="005A4E2C"/>
    <w:rsid w:val="005A4E6A"/>
    <w:rsid w:val="005A52EB"/>
    <w:rsid w:val="005A5F3F"/>
    <w:rsid w:val="005A66CB"/>
    <w:rsid w:val="005A690C"/>
    <w:rsid w:val="005A7299"/>
    <w:rsid w:val="005B0472"/>
    <w:rsid w:val="005B0EE6"/>
    <w:rsid w:val="005B1EE1"/>
    <w:rsid w:val="005B2104"/>
    <w:rsid w:val="005B3382"/>
    <w:rsid w:val="005B40B5"/>
    <w:rsid w:val="005B561E"/>
    <w:rsid w:val="005B647D"/>
    <w:rsid w:val="005B68D2"/>
    <w:rsid w:val="005B6FA8"/>
    <w:rsid w:val="005B7977"/>
    <w:rsid w:val="005B7E32"/>
    <w:rsid w:val="005C00D0"/>
    <w:rsid w:val="005C184F"/>
    <w:rsid w:val="005C1A0A"/>
    <w:rsid w:val="005C1A87"/>
    <w:rsid w:val="005C228F"/>
    <w:rsid w:val="005C272F"/>
    <w:rsid w:val="005C356F"/>
    <w:rsid w:val="005C3B87"/>
    <w:rsid w:val="005C5087"/>
    <w:rsid w:val="005C56F8"/>
    <w:rsid w:val="005C629A"/>
    <w:rsid w:val="005C72BD"/>
    <w:rsid w:val="005C74F4"/>
    <w:rsid w:val="005C78DF"/>
    <w:rsid w:val="005D000C"/>
    <w:rsid w:val="005D0057"/>
    <w:rsid w:val="005D01A8"/>
    <w:rsid w:val="005D066F"/>
    <w:rsid w:val="005D0D1E"/>
    <w:rsid w:val="005D1798"/>
    <w:rsid w:val="005D1C32"/>
    <w:rsid w:val="005D4018"/>
    <w:rsid w:val="005D6752"/>
    <w:rsid w:val="005D7883"/>
    <w:rsid w:val="005D7B32"/>
    <w:rsid w:val="005E01A5"/>
    <w:rsid w:val="005E1375"/>
    <w:rsid w:val="005E1F55"/>
    <w:rsid w:val="005E2594"/>
    <w:rsid w:val="005E2752"/>
    <w:rsid w:val="005E2B60"/>
    <w:rsid w:val="005E2EF0"/>
    <w:rsid w:val="005E3020"/>
    <w:rsid w:val="005E30C6"/>
    <w:rsid w:val="005E33B6"/>
    <w:rsid w:val="005E3A92"/>
    <w:rsid w:val="005E4008"/>
    <w:rsid w:val="005E45DA"/>
    <w:rsid w:val="005E5485"/>
    <w:rsid w:val="005E623D"/>
    <w:rsid w:val="005E6470"/>
    <w:rsid w:val="005E6B91"/>
    <w:rsid w:val="005E6ECF"/>
    <w:rsid w:val="005E7695"/>
    <w:rsid w:val="005E7D73"/>
    <w:rsid w:val="005E7F68"/>
    <w:rsid w:val="005F02ED"/>
    <w:rsid w:val="005F0835"/>
    <w:rsid w:val="005F0A30"/>
    <w:rsid w:val="005F15ED"/>
    <w:rsid w:val="005F162C"/>
    <w:rsid w:val="005F1973"/>
    <w:rsid w:val="005F30F5"/>
    <w:rsid w:val="005F3821"/>
    <w:rsid w:val="005F38B0"/>
    <w:rsid w:val="005F40B5"/>
    <w:rsid w:val="005F430F"/>
    <w:rsid w:val="005F53E1"/>
    <w:rsid w:val="00600494"/>
    <w:rsid w:val="00600B65"/>
    <w:rsid w:val="00601E20"/>
    <w:rsid w:val="006035ED"/>
    <w:rsid w:val="00603644"/>
    <w:rsid w:val="00603863"/>
    <w:rsid w:val="00603893"/>
    <w:rsid w:val="00603D45"/>
    <w:rsid w:val="0060427D"/>
    <w:rsid w:val="00604E39"/>
    <w:rsid w:val="006051FE"/>
    <w:rsid w:val="00606A4E"/>
    <w:rsid w:val="00607588"/>
    <w:rsid w:val="00607FB2"/>
    <w:rsid w:val="00610F59"/>
    <w:rsid w:val="00612C6E"/>
    <w:rsid w:val="00612CF3"/>
    <w:rsid w:val="00612D80"/>
    <w:rsid w:val="00612F7F"/>
    <w:rsid w:val="006150A8"/>
    <w:rsid w:val="00616463"/>
    <w:rsid w:val="00617469"/>
    <w:rsid w:val="0062019A"/>
    <w:rsid w:val="006202B8"/>
    <w:rsid w:val="00621245"/>
    <w:rsid w:val="00621C82"/>
    <w:rsid w:val="00622009"/>
    <w:rsid w:val="006235F5"/>
    <w:rsid w:val="00624361"/>
    <w:rsid w:val="006243C2"/>
    <w:rsid w:val="006244BB"/>
    <w:rsid w:val="00624534"/>
    <w:rsid w:val="006248A2"/>
    <w:rsid w:val="0062522C"/>
    <w:rsid w:val="0062541D"/>
    <w:rsid w:val="00625955"/>
    <w:rsid w:val="00625B59"/>
    <w:rsid w:val="00626A82"/>
    <w:rsid w:val="00626C58"/>
    <w:rsid w:val="00630105"/>
    <w:rsid w:val="0063029A"/>
    <w:rsid w:val="006305F3"/>
    <w:rsid w:val="006311A3"/>
    <w:rsid w:val="00631A75"/>
    <w:rsid w:val="00631EB5"/>
    <w:rsid w:val="00631F0F"/>
    <w:rsid w:val="006324FA"/>
    <w:rsid w:val="00632875"/>
    <w:rsid w:val="006332D9"/>
    <w:rsid w:val="00634674"/>
    <w:rsid w:val="00634B07"/>
    <w:rsid w:val="00635EC3"/>
    <w:rsid w:val="00635F9F"/>
    <w:rsid w:val="006361FC"/>
    <w:rsid w:val="00636860"/>
    <w:rsid w:val="006376CD"/>
    <w:rsid w:val="00637A61"/>
    <w:rsid w:val="0064008B"/>
    <w:rsid w:val="0064032C"/>
    <w:rsid w:val="00640BA4"/>
    <w:rsid w:val="006410FE"/>
    <w:rsid w:val="00641AC0"/>
    <w:rsid w:val="006423A1"/>
    <w:rsid w:val="00642674"/>
    <w:rsid w:val="006446DA"/>
    <w:rsid w:val="006453B6"/>
    <w:rsid w:val="00645611"/>
    <w:rsid w:val="00645754"/>
    <w:rsid w:val="00645878"/>
    <w:rsid w:val="00645C2E"/>
    <w:rsid w:val="00645EDE"/>
    <w:rsid w:val="00645FA6"/>
    <w:rsid w:val="00646657"/>
    <w:rsid w:val="00651733"/>
    <w:rsid w:val="00651E27"/>
    <w:rsid w:val="00651E4D"/>
    <w:rsid w:val="00652530"/>
    <w:rsid w:val="0065266E"/>
    <w:rsid w:val="006526A5"/>
    <w:rsid w:val="00652BAF"/>
    <w:rsid w:val="00653812"/>
    <w:rsid w:val="00654168"/>
    <w:rsid w:val="00654ADA"/>
    <w:rsid w:val="00656107"/>
    <w:rsid w:val="00656171"/>
    <w:rsid w:val="00656855"/>
    <w:rsid w:val="006568B7"/>
    <w:rsid w:val="006571CE"/>
    <w:rsid w:val="00657346"/>
    <w:rsid w:val="006578AD"/>
    <w:rsid w:val="00657E11"/>
    <w:rsid w:val="0066192A"/>
    <w:rsid w:val="006623FC"/>
    <w:rsid w:val="006624D5"/>
    <w:rsid w:val="00662CE7"/>
    <w:rsid w:val="00662E9F"/>
    <w:rsid w:val="00662F57"/>
    <w:rsid w:val="0066480D"/>
    <w:rsid w:val="00665036"/>
    <w:rsid w:val="006652DB"/>
    <w:rsid w:val="0066610B"/>
    <w:rsid w:val="006662F1"/>
    <w:rsid w:val="00666769"/>
    <w:rsid w:val="00666941"/>
    <w:rsid w:val="00667AF5"/>
    <w:rsid w:val="00670448"/>
    <w:rsid w:val="006714AC"/>
    <w:rsid w:val="00671E2B"/>
    <w:rsid w:val="00672489"/>
    <w:rsid w:val="00672952"/>
    <w:rsid w:val="00672B1F"/>
    <w:rsid w:val="00672F90"/>
    <w:rsid w:val="00673A6D"/>
    <w:rsid w:val="0067461C"/>
    <w:rsid w:val="00674627"/>
    <w:rsid w:val="0067487A"/>
    <w:rsid w:val="0067499D"/>
    <w:rsid w:val="00674FCD"/>
    <w:rsid w:val="0067599F"/>
    <w:rsid w:val="00676687"/>
    <w:rsid w:val="00676793"/>
    <w:rsid w:val="0067684B"/>
    <w:rsid w:val="00677BF6"/>
    <w:rsid w:val="0068018B"/>
    <w:rsid w:val="0068036D"/>
    <w:rsid w:val="0068275B"/>
    <w:rsid w:val="00682856"/>
    <w:rsid w:val="006829BD"/>
    <w:rsid w:val="00682BCD"/>
    <w:rsid w:val="00682F92"/>
    <w:rsid w:val="006830B3"/>
    <w:rsid w:val="0068338F"/>
    <w:rsid w:val="0068343B"/>
    <w:rsid w:val="00683990"/>
    <w:rsid w:val="00684201"/>
    <w:rsid w:val="0068545B"/>
    <w:rsid w:val="00685467"/>
    <w:rsid w:val="00685853"/>
    <w:rsid w:val="00685B32"/>
    <w:rsid w:val="0068692D"/>
    <w:rsid w:val="006874A9"/>
    <w:rsid w:val="00687888"/>
    <w:rsid w:val="00687FE8"/>
    <w:rsid w:val="00690903"/>
    <w:rsid w:val="006909D2"/>
    <w:rsid w:val="00690B57"/>
    <w:rsid w:val="006926AE"/>
    <w:rsid w:val="00692A9F"/>
    <w:rsid w:val="00692FCA"/>
    <w:rsid w:val="00693632"/>
    <w:rsid w:val="006936F3"/>
    <w:rsid w:val="0069407C"/>
    <w:rsid w:val="0069469F"/>
    <w:rsid w:val="00694776"/>
    <w:rsid w:val="00694EF8"/>
    <w:rsid w:val="006951CB"/>
    <w:rsid w:val="006959AF"/>
    <w:rsid w:val="00695BEF"/>
    <w:rsid w:val="006961F8"/>
    <w:rsid w:val="006966CC"/>
    <w:rsid w:val="00697C2C"/>
    <w:rsid w:val="006A053E"/>
    <w:rsid w:val="006A0DB9"/>
    <w:rsid w:val="006A3399"/>
    <w:rsid w:val="006A3D9E"/>
    <w:rsid w:val="006A3DE8"/>
    <w:rsid w:val="006A43C1"/>
    <w:rsid w:val="006A4749"/>
    <w:rsid w:val="006A49B6"/>
    <w:rsid w:val="006A4C4C"/>
    <w:rsid w:val="006A5367"/>
    <w:rsid w:val="006A551F"/>
    <w:rsid w:val="006A6583"/>
    <w:rsid w:val="006A65E7"/>
    <w:rsid w:val="006A6A99"/>
    <w:rsid w:val="006A7614"/>
    <w:rsid w:val="006A7CB3"/>
    <w:rsid w:val="006B0072"/>
    <w:rsid w:val="006B0222"/>
    <w:rsid w:val="006B0652"/>
    <w:rsid w:val="006B10EE"/>
    <w:rsid w:val="006B1EC7"/>
    <w:rsid w:val="006B2B5D"/>
    <w:rsid w:val="006B43E8"/>
    <w:rsid w:val="006B6649"/>
    <w:rsid w:val="006B6B77"/>
    <w:rsid w:val="006B73D4"/>
    <w:rsid w:val="006B73D9"/>
    <w:rsid w:val="006C197F"/>
    <w:rsid w:val="006C1FC9"/>
    <w:rsid w:val="006C2568"/>
    <w:rsid w:val="006C2C49"/>
    <w:rsid w:val="006C313B"/>
    <w:rsid w:val="006C3148"/>
    <w:rsid w:val="006C3E03"/>
    <w:rsid w:val="006C4C6C"/>
    <w:rsid w:val="006C4C98"/>
    <w:rsid w:val="006C5B99"/>
    <w:rsid w:val="006C5F78"/>
    <w:rsid w:val="006C6D35"/>
    <w:rsid w:val="006C73CA"/>
    <w:rsid w:val="006C74EA"/>
    <w:rsid w:val="006C7BE1"/>
    <w:rsid w:val="006C7F85"/>
    <w:rsid w:val="006D019B"/>
    <w:rsid w:val="006D046E"/>
    <w:rsid w:val="006D1C07"/>
    <w:rsid w:val="006D2051"/>
    <w:rsid w:val="006D3810"/>
    <w:rsid w:val="006D413F"/>
    <w:rsid w:val="006D4428"/>
    <w:rsid w:val="006D44FA"/>
    <w:rsid w:val="006D47E1"/>
    <w:rsid w:val="006D4925"/>
    <w:rsid w:val="006D5A4D"/>
    <w:rsid w:val="006D5D53"/>
    <w:rsid w:val="006D6555"/>
    <w:rsid w:val="006D67B8"/>
    <w:rsid w:val="006D6B4E"/>
    <w:rsid w:val="006D7057"/>
    <w:rsid w:val="006D70B5"/>
    <w:rsid w:val="006D7110"/>
    <w:rsid w:val="006D7645"/>
    <w:rsid w:val="006E0296"/>
    <w:rsid w:val="006E0A5B"/>
    <w:rsid w:val="006E14E5"/>
    <w:rsid w:val="006E1FD0"/>
    <w:rsid w:val="006E22CA"/>
    <w:rsid w:val="006E2618"/>
    <w:rsid w:val="006E2AEF"/>
    <w:rsid w:val="006E2E3B"/>
    <w:rsid w:val="006E2F8B"/>
    <w:rsid w:val="006E3747"/>
    <w:rsid w:val="006E389A"/>
    <w:rsid w:val="006E3DE1"/>
    <w:rsid w:val="006E49CB"/>
    <w:rsid w:val="006E6808"/>
    <w:rsid w:val="006E6A0A"/>
    <w:rsid w:val="006E6D5B"/>
    <w:rsid w:val="006E7832"/>
    <w:rsid w:val="006E7FBB"/>
    <w:rsid w:val="006F04F9"/>
    <w:rsid w:val="006F053F"/>
    <w:rsid w:val="006F0832"/>
    <w:rsid w:val="006F1086"/>
    <w:rsid w:val="006F129E"/>
    <w:rsid w:val="006F15ED"/>
    <w:rsid w:val="006F168E"/>
    <w:rsid w:val="006F1A99"/>
    <w:rsid w:val="006F2B9A"/>
    <w:rsid w:val="006F2DB1"/>
    <w:rsid w:val="006F2F93"/>
    <w:rsid w:val="006F32BC"/>
    <w:rsid w:val="006F3E97"/>
    <w:rsid w:val="006F4C85"/>
    <w:rsid w:val="006F6A48"/>
    <w:rsid w:val="00702236"/>
    <w:rsid w:val="00702D34"/>
    <w:rsid w:val="00702D42"/>
    <w:rsid w:val="00702E2C"/>
    <w:rsid w:val="00703F03"/>
    <w:rsid w:val="0070422F"/>
    <w:rsid w:val="007046BD"/>
    <w:rsid w:val="00704E7F"/>
    <w:rsid w:val="007055BA"/>
    <w:rsid w:val="00707664"/>
    <w:rsid w:val="007107F8"/>
    <w:rsid w:val="007108B9"/>
    <w:rsid w:val="00710DE1"/>
    <w:rsid w:val="00710E19"/>
    <w:rsid w:val="00710F0A"/>
    <w:rsid w:val="00710FE9"/>
    <w:rsid w:val="0071178D"/>
    <w:rsid w:val="00711CA6"/>
    <w:rsid w:val="007121D7"/>
    <w:rsid w:val="0071244B"/>
    <w:rsid w:val="00712462"/>
    <w:rsid w:val="0071276F"/>
    <w:rsid w:val="00712A21"/>
    <w:rsid w:val="00712DB3"/>
    <w:rsid w:val="00712E77"/>
    <w:rsid w:val="00714371"/>
    <w:rsid w:val="0071450A"/>
    <w:rsid w:val="007161CD"/>
    <w:rsid w:val="0071652D"/>
    <w:rsid w:val="00716979"/>
    <w:rsid w:val="00716A1A"/>
    <w:rsid w:val="007178FD"/>
    <w:rsid w:val="00717B10"/>
    <w:rsid w:val="007208E2"/>
    <w:rsid w:val="00720A3E"/>
    <w:rsid w:val="00720CA4"/>
    <w:rsid w:val="00720ED8"/>
    <w:rsid w:val="00720F11"/>
    <w:rsid w:val="007214EF"/>
    <w:rsid w:val="00721C50"/>
    <w:rsid w:val="00721EFF"/>
    <w:rsid w:val="00722053"/>
    <w:rsid w:val="00722138"/>
    <w:rsid w:val="00723C00"/>
    <w:rsid w:val="007240F0"/>
    <w:rsid w:val="00724926"/>
    <w:rsid w:val="00724EAF"/>
    <w:rsid w:val="00725455"/>
    <w:rsid w:val="00725A5E"/>
    <w:rsid w:val="0072619E"/>
    <w:rsid w:val="00726C39"/>
    <w:rsid w:val="00726CB1"/>
    <w:rsid w:val="00726DD4"/>
    <w:rsid w:val="00726E74"/>
    <w:rsid w:val="00726FA6"/>
    <w:rsid w:val="00727637"/>
    <w:rsid w:val="007302E5"/>
    <w:rsid w:val="00730892"/>
    <w:rsid w:val="0073098A"/>
    <w:rsid w:val="0073111D"/>
    <w:rsid w:val="00731742"/>
    <w:rsid w:val="00731981"/>
    <w:rsid w:val="00731A4C"/>
    <w:rsid w:val="0073228F"/>
    <w:rsid w:val="00732A1C"/>
    <w:rsid w:val="00732EDB"/>
    <w:rsid w:val="00733827"/>
    <w:rsid w:val="00733BD3"/>
    <w:rsid w:val="00734796"/>
    <w:rsid w:val="00735E2C"/>
    <w:rsid w:val="00736074"/>
    <w:rsid w:val="0073669A"/>
    <w:rsid w:val="007377AD"/>
    <w:rsid w:val="00737C9E"/>
    <w:rsid w:val="0074029A"/>
    <w:rsid w:val="007410A8"/>
    <w:rsid w:val="007410C7"/>
    <w:rsid w:val="00741148"/>
    <w:rsid w:val="007416C1"/>
    <w:rsid w:val="00741A38"/>
    <w:rsid w:val="00741EA0"/>
    <w:rsid w:val="00742342"/>
    <w:rsid w:val="00742990"/>
    <w:rsid w:val="00742B00"/>
    <w:rsid w:val="00742C8C"/>
    <w:rsid w:val="007432A2"/>
    <w:rsid w:val="0074349B"/>
    <w:rsid w:val="007434F7"/>
    <w:rsid w:val="007439F2"/>
    <w:rsid w:val="00743E6B"/>
    <w:rsid w:val="00743F4B"/>
    <w:rsid w:val="007440A6"/>
    <w:rsid w:val="007440BB"/>
    <w:rsid w:val="007447E5"/>
    <w:rsid w:val="00744CFB"/>
    <w:rsid w:val="00745595"/>
    <w:rsid w:val="00745975"/>
    <w:rsid w:val="00745AF6"/>
    <w:rsid w:val="00745D83"/>
    <w:rsid w:val="007462B4"/>
    <w:rsid w:val="0074653C"/>
    <w:rsid w:val="00747001"/>
    <w:rsid w:val="0074778F"/>
    <w:rsid w:val="00747B99"/>
    <w:rsid w:val="00750222"/>
    <w:rsid w:val="00750A5E"/>
    <w:rsid w:val="00750BED"/>
    <w:rsid w:val="00751100"/>
    <w:rsid w:val="00751697"/>
    <w:rsid w:val="00751C3A"/>
    <w:rsid w:val="007523F4"/>
    <w:rsid w:val="007525FD"/>
    <w:rsid w:val="00752906"/>
    <w:rsid w:val="00752DB5"/>
    <w:rsid w:val="00754E03"/>
    <w:rsid w:val="00755CF1"/>
    <w:rsid w:val="00755D14"/>
    <w:rsid w:val="00756F0B"/>
    <w:rsid w:val="00757554"/>
    <w:rsid w:val="00757C1E"/>
    <w:rsid w:val="007609C5"/>
    <w:rsid w:val="00760E76"/>
    <w:rsid w:val="00762189"/>
    <w:rsid w:val="0076273C"/>
    <w:rsid w:val="00762893"/>
    <w:rsid w:val="00763A57"/>
    <w:rsid w:val="00763E93"/>
    <w:rsid w:val="00764C1B"/>
    <w:rsid w:val="00764D09"/>
    <w:rsid w:val="00766BA4"/>
    <w:rsid w:val="00770599"/>
    <w:rsid w:val="007705EC"/>
    <w:rsid w:val="00771BE6"/>
    <w:rsid w:val="00771EA0"/>
    <w:rsid w:val="00771EAB"/>
    <w:rsid w:val="007729EC"/>
    <w:rsid w:val="007731E2"/>
    <w:rsid w:val="00773734"/>
    <w:rsid w:val="00774B36"/>
    <w:rsid w:val="00775B5D"/>
    <w:rsid w:val="007761AF"/>
    <w:rsid w:val="007775BD"/>
    <w:rsid w:val="0078042F"/>
    <w:rsid w:val="0078127B"/>
    <w:rsid w:val="007820B9"/>
    <w:rsid w:val="00782936"/>
    <w:rsid w:val="007830E9"/>
    <w:rsid w:val="0078377A"/>
    <w:rsid w:val="00783919"/>
    <w:rsid w:val="00783A75"/>
    <w:rsid w:val="00783FC6"/>
    <w:rsid w:val="00784BA2"/>
    <w:rsid w:val="00785E16"/>
    <w:rsid w:val="0078651B"/>
    <w:rsid w:val="0078705A"/>
    <w:rsid w:val="00790485"/>
    <w:rsid w:val="007905CB"/>
    <w:rsid w:val="007906CE"/>
    <w:rsid w:val="00791804"/>
    <w:rsid w:val="00791DE9"/>
    <w:rsid w:val="007920EB"/>
    <w:rsid w:val="0079226E"/>
    <w:rsid w:val="00793A3E"/>
    <w:rsid w:val="00793B20"/>
    <w:rsid w:val="00793B7A"/>
    <w:rsid w:val="00793CCD"/>
    <w:rsid w:val="00794EB1"/>
    <w:rsid w:val="007957CD"/>
    <w:rsid w:val="00795808"/>
    <w:rsid w:val="007959C1"/>
    <w:rsid w:val="00795ADC"/>
    <w:rsid w:val="00796ABF"/>
    <w:rsid w:val="00796B61"/>
    <w:rsid w:val="00797140"/>
    <w:rsid w:val="007976DC"/>
    <w:rsid w:val="007A00B4"/>
    <w:rsid w:val="007A03B1"/>
    <w:rsid w:val="007A0ABF"/>
    <w:rsid w:val="007A107D"/>
    <w:rsid w:val="007A1292"/>
    <w:rsid w:val="007A2EE9"/>
    <w:rsid w:val="007A4194"/>
    <w:rsid w:val="007A4B2A"/>
    <w:rsid w:val="007A4E88"/>
    <w:rsid w:val="007A4F7C"/>
    <w:rsid w:val="007A5803"/>
    <w:rsid w:val="007A5BA1"/>
    <w:rsid w:val="007A67E0"/>
    <w:rsid w:val="007A72C4"/>
    <w:rsid w:val="007A7340"/>
    <w:rsid w:val="007A785B"/>
    <w:rsid w:val="007B012A"/>
    <w:rsid w:val="007B106E"/>
    <w:rsid w:val="007B10C4"/>
    <w:rsid w:val="007B2015"/>
    <w:rsid w:val="007B2809"/>
    <w:rsid w:val="007B2E5B"/>
    <w:rsid w:val="007B2F7F"/>
    <w:rsid w:val="007B30A6"/>
    <w:rsid w:val="007B330A"/>
    <w:rsid w:val="007B3870"/>
    <w:rsid w:val="007B4636"/>
    <w:rsid w:val="007B47CA"/>
    <w:rsid w:val="007B5799"/>
    <w:rsid w:val="007B5820"/>
    <w:rsid w:val="007B62C9"/>
    <w:rsid w:val="007B6A60"/>
    <w:rsid w:val="007B6AC4"/>
    <w:rsid w:val="007B6B05"/>
    <w:rsid w:val="007B6D9E"/>
    <w:rsid w:val="007B705F"/>
    <w:rsid w:val="007B72EF"/>
    <w:rsid w:val="007B7A2A"/>
    <w:rsid w:val="007B7B45"/>
    <w:rsid w:val="007B7D11"/>
    <w:rsid w:val="007C0CD8"/>
    <w:rsid w:val="007C0FCC"/>
    <w:rsid w:val="007C1E2F"/>
    <w:rsid w:val="007C21D9"/>
    <w:rsid w:val="007C3651"/>
    <w:rsid w:val="007C3668"/>
    <w:rsid w:val="007C395D"/>
    <w:rsid w:val="007C39E6"/>
    <w:rsid w:val="007C3B77"/>
    <w:rsid w:val="007C4167"/>
    <w:rsid w:val="007C42C0"/>
    <w:rsid w:val="007C5524"/>
    <w:rsid w:val="007C57D7"/>
    <w:rsid w:val="007C5DAC"/>
    <w:rsid w:val="007C5F56"/>
    <w:rsid w:val="007C6AC8"/>
    <w:rsid w:val="007C6F79"/>
    <w:rsid w:val="007C70EC"/>
    <w:rsid w:val="007C735B"/>
    <w:rsid w:val="007D0A78"/>
    <w:rsid w:val="007D0AA8"/>
    <w:rsid w:val="007D146D"/>
    <w:rsid w:val="007D18C6"/>
    <w:rsid w:val="007D1991"/>
    <w:rsid w:val="007D266E"/>
    <w:rsid w:val="007D2C7C"/>
    <w:rsid w:val="007D4181"/>
    <w:rsid w:val="007D4918"/>
    <w:rsid w:val="007D4EE1"/>
    <w:rsid w:val="007D587A"/>
    <w:rsid w:val="007D591A"/>
    <w:rsid w:val="007D6138"/>
    <w:rsid w:val="007D64C8"/>
    <w:rsid w:val="007D6574"/>
    <w:rsid w:val="007D6783"/>
    <w:rsid w:val="007D67C8"/>
    <w:rsid w:val="007D6BE3"/>
    <w:rsid w:val="007D71DA"/>
    <w:rsid w:val="007E0B10"/>
    <w:rsid w:val="007E1553"/>
    <w:rsid w:val="007E17D3"/>
    <w:rsid w:val="007E23DF"/>
    <w:rsid w:val="007E2911"/>
    <w:rsid w:val="007E2DDE"/>
    <w:rsid w:val="007E2EBE"/>
    <w:rsid w:val="007E3497"/>
    <w:rsid w:val="007E4340"/>
    <w:rsid w:val="007E48E1"/>
    <w:rsid w:val="007E4B90"/>
    <w:rsid w:val="007E5BA8"/>
    <w:rsid w:val="007E65B1"/>
    <w:rsid w:val="007E6625"/>
    <w:rsid w:val="007E7523"/>
    <w:rsid w:val="007F0131"/>
    <w:rsid w:val="007F0723"/>
    <w:rsid w:val="007F0A6F"/>
    <w:rsid w:val="007F0DA1"/>
    <w:rsid w:val="007F107A"/>
    <w:rsid w:val="007F1C0F"/>
    <w:rsid w:val="007F22F5"/>
    <w:rsid w:val="007F2470"/>
    <w:rsid w:val="007F2742"/>
    <w:rsid w:val="007F3592"/>
    <w:rsid w:val="007F3A50"/>
    <w:rsid w:val="007F3A83"/>
    <w:rsid w:val="007F3E0A"/>
    <w:rsid w:val="007F4005"/>
    <w:rsid w:val="007F4089"/>
    <w:rsid w:val="007F4CE2"/>
    <w:rsid w:val="007F58E6"/>
    <w:rsid w:val="007F5AAC"/>
    <w:rsid w:val="007F686C"/>
    <w:rsid w:val="007F76BA"/>
    <w:rsid w:val="007F79E1"/>
    <w:rsid w:val="00800423"/>
    <w:rsid w:val="00800B5B"/>
    <w:rsid w:val="00801058"/>
    <w:rsid w:val="008010E6"/>
    <w:rsid w:val="0080127F"/>
    <w:rsid w:val="00801AD4"/>
    <w:rsid w:val="00801E6D"/>
    <w:rsid w:val="00801F8B"/>
    <w:rsid w:val="00802129"/>
    <w:rsid w:val="00802714"/>
    <w:rsid w:val="00803D62"/>
    <w:rsid w:val="00804384"/>
    <w:rsid w:val="0080516D"/>
    <w:rsid w:val="00806376"/>
    <w:rsid w:val="00806EEE"/>
    <w:rsid w:val="00811696"/>
    <w:rsid w:val="00811BD0"/>
    <w:rsid w:val="00811CAE"/>
    <w:rsid w:val="008120FE"/>
    <w:rsid w:val="008121D5"/>
    <w:rsid w:val="00812274"/>
    <w:rsid w:val="00812284"/>
    <w:rsid w:val="00812588"/>
    <w:rsid w:val="0081259D"/>
    <w:rsid w:val="00813568"/>
    <w:rsid w:val="0081430C"/>
    <w:rsid w:val="00814628"/>
    <w:rsid w:val="008149C8"/>
    <w:rsid w:val="00814BEF"/>
    <w:rsid w:val="00815170"/>
    <w:rsid w:val="00815ABB"/>
    <w:rsid w:val="00815B45"/>
    <w:rsid w:val="00816374"/>
    <w:rsid w:val="0081670E"/>
    <w:rsid w:val="008169DF"/>
    <w:rsid w:val="00816DF1"/>
    <w:rsid w:val="00817535"/>
    <w:rsid w:val="008214C0"/>
    <w:rsid w:val="00821DD9"/>
    <w:rsid w:val="00822A61"/>
    <w:rsid w:val="008234C9"/>
    <w:rsid w:val="00824C68"/>
    <w:rsid w:val="00825253"/>
    <w:rsid w:val="008261A7"/>
    <w:rsid w:val="00826339"/>
    <w:rsid w:val="00826B39"/>
    <w:rsid w:val="00826FA0"/>
    <w:rsid w:val="00827724"/>
    <w:rsid w:val="0083013A"/>
    <w:rsid w:val="0083038B"/>
    <w:rsid w:val="00830FFC"/>
    <w:rsid w:val="00831442"/>
    <w:rsid w:val="0083177D"/>
    <w:rsid w:val="008324F1"/>
    <w:rsid w:val="00832790"/>
    <w:rsid w:val="00833128"/>
    <w:rsid w:val="00833E49"/>
    <w:rsid w:val="00833EC5"/>
    <w:rsid w:val="0083416C"/>
    <w:rsid w:val="0083567A"/>
    <w:rsid w:val="0083571D"/>
    <w:rsid w:val="0083609B"/>
    <w:rsid w:val="00836F17"/>
    <w:rsid w:val="00837008"/>
    <w:rsid w:val="00837E09"/>
    <w:rsid w:val="0084000D"/>
    <w:rsid w:val="0084046A"/>
    <w:rsid w:val="00840A90"/>
    <w:rsid w:val="00840E7C"/>
    <w:rsid w:val="0084133F"/>
    <w:rsid w:val="00841818"/>
    <w:rsid w:val="008421A1"/>
    <w:rsid w:val="008423BA"/>
    <w:rsid w:val="008432EE"/>
    <w:rsid w:val="00844A7C"/>
    <w:rsid w:val="008452A6"/>
    <w:rsid w:val="00845594"/>
    <w:rsid w:val="008459BE"/>
    <w:rsid w:val="0084622E"/>
    <w:rsid w:val="0084655D"/>
    <w:rsid w:val="00846FFE"/>
    <w:rsid w:val="00847847"/>
    <w:rsid w:val="00850017"/>
    <w:rsid w:val="00850977"/>
    <w:rsid w:val="00850CF2"/>
    <w:rsid w:val="008514DF"/>
    <w:rsid w:val="00851845"/>
    <w:rsid w:val="00851976"/>
    <w:rsid w:val="00851DFB"/>
    <w:rsid w:val="00853547"/>
    <w:rsid w:val="008540EF"/>
    <w:rsid w:val="0085478C"/>
    <w:rsid w:val="00855573"/>
    <w:rsid w:val="0085588C"/>
    <w:rsid w:val="00855A2B"/>
    <w:rsid w:val="00855B1A"/>
    <w:rsid w:val="008562AC"/>
    <w:rsid w:val="00856468"/>
    <w:rsid w:val="00857049"/>
    <w:rsid w:val="00857845"/>
    <w:rsid w:val="00857A19"/>
    <w:rsid w:val="008601EC"/>
    <w:rsid w:val="00861399"/>
    <w:rsid w:val="008615BC"/>
    <w:rsid w:val="00862258"/>
    <w:rsid w:val="0086233A"/>
    <w:rsid w:val="00862DD4"/>
    <w:rsid w:val="0086314C"/>
    <w:rsid w:val="00863565"/>
    <w:rsid w:val="008638F3"/>
    <w:rsid w:val="00864D14"/>
    <w:rsid w:val="0086519F"/>
    <w:rsid w:val="0086555D"/>
    <w:rsid w:val="00865C39"/>
    <w:rsid w:val="00865D38"/>
    <w:rsid w:val="008662A9"/>
    <w:rsid w:val="00866391"/>
    <w:rsid w:val="008663FA"/>
    <w:rsid w:val="00866B52"/>
    <w:rsid w:val="0086704F"/>
    <w:rsid w:val="008674B5"/>
    <w:rsid w:val="0086779D"/>
    <w:rsid w:val="00870157"/>
    <w:rsid w:val="00870A8E"/>
    <w:rsid w:val="00871924"/>
    <w:rsid w:val="00871ED5"/>
    <w:rsid w:val="00872592"/>
    <w:rsid w:val="008733C7"/>
    <w:rsid w:val="00873713"/>
    <w:rsid w:val="00873761"/>
    <w:rsid w:val="00873876"/>
    <w:rsid w:val="00873CD8"/>
    <w:rsid w:val="00874080"/>
    <w:rsid w:val="00874265"/>
    <w:rsid w:val="0087577A"/>
    <w:rsid w:val="00876119"/>
    <w:rsid w:val="008763EB"/>
    <w:rsid w:val="00876457"/>
    <w:rsid w:val="00880E57"/>
    <w:rsid w:val="00882655"/>
    <w:rsid w:val="008826FD"/>
    <w:rsid w:val="00883612"/>
    <w:rsid w:val="00883BD4"/>
    <w:rsid w:val="00883BFC"/>
    <w:rsid w:val="008840EE"/>
    <w:rsid w:val="0088510B"/>
    <w:rsid w:val="00885574"/>
    <w:rsid w:val="0088598B"/>
    <w:rsid w:val="0088720C"/>
    <w:rsid w:val="00887A63"/>
    <w:rsid w:val="00887F7A"/>
    <w:rsid w:val="00887FA1"/>
    <w:rsid w:val="00890184"/>
    <w:rsid w:val="008918EA"/>
    <w:rsid w:val="00891B98"/>
    <w:rsid w:val="00891C68"/>
    <w:rsid w:val="00891E44"/>
    <w:rsid w:val="00893B1D"/>
    <w:rsid w:val="00894485"/>
    <w:rsid w:val="00895A2A"/>
    <w:rsid w:val="00896C68"/>
    <w:rsid w:val="008971FF"/>
    <w:rsid w:val="008A0543"/>
    <w:rsid w:val="008A09A1"/>
    <w:rsid w:val="008A1B9C"/>
    <w:rsid w:val="008A27EA"/>
    <w:rsid w:val="008A305C"/>
    <w:rsid w:val="008A3636"/>
    <w:rsid w:val="008A3A99"/>
    <w:rsid w:val="008A3B53"/>
    <w:rsid w:val="008A694B"/>
    <w:rsid w:val="008A6A7A"/>
    <w:rsid w:val="008A6C4F"/>
    <w:rsid w:val="008A72AD"/>
    <w:rsid w:val="008A7C7A"/>
    <w:rsid w:val="008B012B"/>
    <w:rsid w:val="008B032B"/>
    <w:rsid w:val="008B06BB"/>
    <w:rsid w:val="008B0EB5"/>
    <w:rsid w:val="008B1341"/>
    <w:rsid w:val="008B17C3"/>
    <w:rsid w:val="008B1F5A"/>
    <w:rsid w:val="008B2046"/>
    <w:rsid w:val="008B351F"/>
    <w:rsid w:val="008B3B01"/>
    <w:rsid w:val="008B3E21"/>
    <w:rsid w:val="008B43D6"/>
    <w:rsid w:val="008B4461"/>
    <w:rsid w:val="008B44E8"/>
    <w:rsid w:val="008B482E"/>
    <w:rsid w:val="008B4E09"/>
    <w:rsid w:val="008B51EC"/>
    <w:rsid w:val="008B597E"/>
    <w:rsid w:val="008B62B5"/>
    <w:rsid w:val="008B649E"/>
    <w:rsid w:val="008B6624"/>
    <w:rsid w:val="008B6BDD"/>
    <w:rsid w:val="008B6E62"/>
    <w:rsid w:val="008B7F38"/>
    <w:rsid w:val="008C00D9"/>
    <w:rsid w:val="008C00EA"/>
    <w:rsid w:val="008C010E"/>
    <w:rsid w:val="008C0EA3"/>
    <w:rsid w:val="008C0EDC"/>
    <w:rsid w:val="008C1FAA"/>
    <w:rsid w:val="008C3B6E"/>
    <w:rsid w:val="008C4473"/>
    <w:rsid w:val="008C4666"/>
    <w:rsid w:val="008C4BD8"/>
    <w:rsid w:val="008C52D4"/>
    <w:rsid w:val="008C55C2"/>
    <w:rsid w:val="008C58A0"/>
    <w:rsid w:val="008C5CE9"/>
    <w:rsid w:val="008C61BE"/>
    <w:rsid w:val="008C673E"/>
    <w:rsid w:val="008C6F41"/>
    <w:rsid w:val="008C76FD"/>
    <w:rsid w:val="008D014C"/>
    <w:rsid w:val="008D0DC0"/>
    <w:rsid w:val="008D129A"/>
    <w:rsid w:val="008D22AC"/>
    <w:rsid w:val="008D2CF3"/>
    <w:rsid w:val="008D3453"/>
    <w:rsid w:val="008D4627"/>
    <w:rsid w:val="008D593E"/>
    <w:rsid w:val="008D5B53"/>
    <w:rsid w:val="008D79DD"/>
    <w:rsid w:val="008D7CCE"/>
    <w:rsid w:val="008E0140"/>
    <w:rsid w:val="008E0439"/>
    <w:rsid w:val="008E0A65"/>
    <w:rsid w:val="008E12AE"/>
    <w:rsid w:val="008E27F1"/>
    <w:rsid w:val="008E292F"/>
    <w:rsid w:val="008E3FE8"/>
    <w:rsid w:val="008E4444"/>
    <w:rsid w:val="008E52AC"/>
    <w:rsid w:val="008E56B2"/>
    <w:rsid w:val="008E58DC"/>
    <w:rsid w:val="008E602B"/>
    <w:rsid w:val="008E6853"/>
    <w:rsid w:val="008E7556"/>
    <w:rsid w:val="008E797C"/>
    <w:rsid w:val="008E7F0A"/>
    <w:rsid w:val="008F03AC"/>
    <w:rsid w:val="008F0865"/>
    <w:rsid w:val="008F0D2A"/>
    <w:rsid w:val="008F1A1E"/>
    <w:rsid w:val="008F21F2"/>
    <w:rsid w:val="008F3070"/>
    <w:rsid w:val="008F312B"/>
    <w:rsid w:val="008F3217"/>
    <w:rsid w:val="008F39DC"/>
    <w:rsid w:val="008F3A06"/>
    <w:rsid w:val="008F3E04"/>
    <w:rsid w:val="008F49C6"/>
    <w:rsid w:val="008F4D9F"/>
    <w:rsid w:val="008F50D2"/>
    <w:rsid w:val="008F5143"/>
    <w:rsid w:val="008F5996"/>
    <w:rsid w:val="008F5A8F"/>
    <w:rsid w:val="008F5CBF"/>
    <w:rsid w:val="008F6A29"/>
    <w:rsid w:val="008F6C23"/>
    <w:rsid w:val="008F766C"/>
    <w:rsid w:val="009009D0"/>
    <w:rsid w:val="00900C2F"/>
    <w:rsid w:val="0090162A"/>
    <w:rsid w:val="0090281E"/>
    <w:rsid w:val="00902B68"/>
    <w:rsid w:val="00902DF1"/>
    <w:rsid w:val="00903478"/>
    <w:rsid w:val="00903865"/>
    <w:rsid w:val="00903CAA"/>
    <w:rsid w:val="00905ABF"/>
    <w:rsid w:val="0090647F"/>
    <w:rsid w:val="0090778F"/>
    <w:rsid w:val="009105C8"/>
    <w:rsid w:val="00910C60"/>
    <w:rsid w:val="00912294"/>
    <w:rsid w:val="00912344"/>
    <w:rsid w:val="00913CBB"/>
    <w:rsid w:val="009148AB"/>
    <w:rsid w:val="00915286"/>
    <w:rsid w:val="009156D2"/>
    <w:rsid w:val="00916054"/>
    <w:rsid w:val="009160FA"/>
    <w:rsid w:val="00916402"/>
    <w:rsid w:val="009164B5"/>
    <w:rsid w:val="00916C49"/>
    <w:rsid w:val="0092102C"/>
    <w:rsid w:val="0092134D"/>
    <w:rsid w:val="0092186B"/>
    <w:rsid w:val="00922DE8"/>
    <w:rsid w:val="0092301E"/>
    <w:rsid w:val="00923B55"/>
    <w:rsid w:val="00924B38"/>
    <w:rsid w:val="009250F5"/>
    <w:rsid w:val="00927136"/>
    <w:rsid w:val="0092736A"/>
    <w:rsid w:val="0092746D"/>
    <w:rsid w:val="00931920"/>
    <w:rsid w:val="00931BDB"/>
    <w:rsid w:val="009326B3"/>
    <w:rsid w:val="0093368D"/>
    <w:rsid w:val="0093376D"/>
    <w:rsid w:val="00933DD3"/>
    <w:rsid w:val="00934BF7"/>
    <w:rsid w:val="00936037"/>
    <w:rsid w:val="00937A95"/>
    <w:rsid w:val="00937B73"/>
    <w:rsid w:val="00937E1F"/>
    <w:rsid w:val="00940696"/>
    <w:rsid w:val="00941041"/>
    <w:rsid w:val="00941CF0"/>
    <w:rsid w:val="00942553"/>
    <w:rsid w:val="00944155"/>
    <w:rsid w:val="00944365"/>
    <w:rsid w:val="00944D67"/>
    <w:rsid w:val="00945026"/>
    <w:rsid w:val="009451D0"/>
    <w:rsid w:val="00945642"/>
    <w:rsid w:val="00945D20"/>
    <w:rsid w:val="00945E54"/>
    <w:rsid w:val="009464C9"/>
    <w:rsid w:val="0094758C"/>
    <w:rsid w:val="00947CAB"/>
    <w:rsid w:val="00950051"/>
    <w:rsid w:val="00950769"/>
    <w:rsid w:val="00950820"/>
    <w:rsid w:val="00950F40"/>
    <w:rsid w:val="00952494"/>
    <w:rsid w:val="009527CF"/>
    <w:rsid w:val="00952902"/>
    <w:rsid w:val="00952FE4"/>
    <w:rsid w:val="00954454"/>
    <w:rsid w:val="0095465C"/>
    <w:rsid w:val="00955CD5"/>
    <w:rsid w:val="00956066"/>
    <w:rsid w:val="00956F27"/>
    <w:rsid w:val="0095754B"/>
    <w:rsid w:val="0095768F"/>
    <w:rsid w:val="00957F7E"/>
    <w:rsid w:val="009602F1"/>
    <w:rsid w:val="009603FE"/>
    <w:rsid w:val="0096149C"/>
    <w:rsid w:val="00961B6B"/>
    <w:rsid w:val="00962910"/>
    <w:rsid w:val="0096436E"/>
    <w:rsid w:val="009648F5"/>
    <w:rsid w:val="009649D2"/>
    <w:rsid w:val="00964E72"/>
    <w:rsid w:val="0096546E"/>
    <w:rsid w:val="009666F8"/>
    <w:rsid w:val="009672E4"/>
    <w:rsid w:val="00967C60"/>
    <w:rsid w:val="00967DAC"/>
    <w:rsid w:val="00970395"/>
    <w:rsid w:val="00970742"/>
    <w:rsid w:val="00970794"/>
    <w:rsid w:val="00970B23"/>
    <w:rsid w:val="00970F2D"/>
    <w:rsid w:val="00971121"/>
    <w:rsid w:val="00972361"/>
    <w:rsid w:val="009723C8"/>
    <w:rsid w:val="00972701"/>
    <w:rsid w:val="00973438"/>
    <w:rsid w:val="00973442"/>
    <w:rsid w:val="009735AC"/>
    <w:rsid w:val="009747E4"/>
    <w:rsid w:val="0097557D"/>
    <w:rsid w:val="00976859"/>
    <w:rsid w:val="00976ACA"/>
    <w:rsid w:val="00977675"/>
    <w:rsid w:val="0098085D"/>
    <w:rsid w:val="00980DB0"/>
    <w:rsid w:val="0098178B"/>
    <w:rsid w:val="00982DE2"/>
    <w:rsid w:val="00982F38"/>
    <w:rsid w:val="00983BD1"/>
    <w:rsid w:val="00984481"/>
    <w:rsid w:val="009846CC"/>
    <w:rsid w:val="009848C7"/>
    <w:rsid w:val="00984954"/>
    <w:rsid w:val="00984B0B"/>
    <w:rsid w:val="0098621C"/>
    <w:rsid w:val="009867DC"/>
    <w:rsid w:val="00986B60"/>
    <w:rsid w:val="00986E84"/>
    <w:rsid w:val="00991895"/>
    <w:rsid w:val="00992398"/>
    <w:rsid w:val="00994694"/>
    <w:rsid w:val="00994EDD"/>
    <w:rsid w:val="0099665A"/>
    <w:rsid w:val="00997375"/>
    <w:rsid w:val="00997D8D"/>
    <w:rsid w:val="009A0D6D"/>
    <w:rsid w:val="009A1591"/>
    <w:rsid w:val="009A1ACE"/>
    <w:rsid w:val="009A1AE8"/>
    <w:rsid w:val="009A2BE0"/>
    <w:rsid w:val="009A3094"/>
    <w:rsid w:val="009A4AB9"/>
    <w:rsid w:val="009A4F75"/>
    <w:rsid w:val="009A526B"/>
    <w:rsid w:val="009A6014"/>
    <w:rsid w:val="009A62E8"/>
    <w:rsid w:val="009A77B5"/>
    <w:rsid w:val="009B1596"/>
    <w:rsid w:val="009B20BD"/>
    <w:rsid w:val="009B3963"/>
    <w:rsid w:val="009B4174"/>
    <w:rsid w:val="009B4626"/>
    <w:rsid w:val="009B5356"/>
    <w:rsid w:val="009B5432"/>
    <w:rsid w:val="009B5450"/>
    <w:rsid w:val="009B6048"/>
    <w:rsid w:val="009B61A1"/>
    <w:rsid w:val="009B726E"/>
    <w:rsid w:val="009B7588"/>
    <w:rsid w:val="009B7BCF"/>
    <w:rsid w:val="009B7F7F"/>
    <w:rsid w:val="009C0BB3"/>
    <w:rsid w:val="009C0EAF"/>
    <w:rsid w:val="009C179F"/>
    <w:rsid w:val="009C1F87"/>
    <w:rsid w:val="009C253C"/>
    <w:rsid w:val="009C2B4D"/>
    <w:rsid w:val="009C37DA"/>
    <w:rsid w:val="009C383F"/>
    <w:rsid w:val="009C472A"/>
    <w:rsid w:val="009C4947"/>
    <w:rsid w:val="009C63A4"/>
    <w:rsid w:val="009C67C5"/>
    <w:rsid w:val="009C694C"/>
    <w:rsid w:val="009C69B1"/>
    <w:rsid w:val="009C7494"/>
    <w:rsid w:val="009C7A1D"/>
    <w:rsid w:val="009C7A55"/>
    <w:rsid w:val="009D09A2"/>
    <w:rsid w:val="009D160B"/>
    <w:rsid w:val="009D1622"/>
    <w:rsid w:val="009D1B1D"/>
    <w:rsid w:val="009D1D9E"/>
    <w:rsid w:val="009D2E8A"/>
    <w:rsid w:val="009D327A"/>
    <w:rsid w:val="009D3E74"/>
    <w:rsid w:val="009D41B9"/>
    <w:rsid w:val="009D45AA"/>
    <w:rsid w:val="009D4648"/>
    <w:rsid w:val="009D4FF2"/>
    <w:rsid w:val="009D5498"/>
    <w:rsid w:val="009D56D7"/>
    <w:rsid w:val="009D56F9"/>
    <w:rsid w:val="009D7591"/>
    <w:rsid w:val="009D78F7"/>
    <w:rsid w:val="009D7DE0"/>
    <w:rsid w:val="009E159F"/>
    <w:rsid w:val="009E1C45"/>
    <w:rsid w:val="009E24D3"/>
    <w:rsid w:val="009E394F"/>
    <w:rsid w:val="009E3DA8"/>
    <w:rsid w:val="009E47F4"/>
    <w:rsid w:val="009E4B9A"/>
    <w:rsid w:val="009E567E"/>
    <w:rsid w:val="009E5C7D"/>
    <w:rsid w:val="009E6621"/>
    <w:rsid w:val="009E7EE8"/>
    <w:rsid w:val="009F0518"/>
    <w:rsid w:val="009F0BF4"/>
    <w:rsid w:val="009F0F58"/>
    <w:rsid w:val="009F0FCD"/>
    <w:rsid w:val="009F20DD"/>
    <w:rsid w:val="009F2A48"/>
    <w:rsid w:val="009F2A4B"/>
    <w:rsid w:val="009F2DDC"/>
    <w:rsid w:val="009F33F6"/>
    <w:rsid w:val="009F341E"/>
    <w:rsid w:val="009F3745"/>
    <w:rsid w:val="009F7761"/>
    <w:rsid w:val="009F7DCF"/>
    <w:rsid w:val="00A01202"/>
    <w:rsid w:val="00A02691"/>
    <w:rsid w:val="00A027AF"/>
    <w:rsid w:val="00A02A46"/>
    <w:rsid w:val="00A047A7"/>
    <w:rsid w:val="00A0514D"/>
    <w:rsid w:val="00A055D9"/>
    <w:rsid w:val="00A05EC9"/>
    <w:rsid w:val="00A06BFD"/>
    <w:rsid w:val="00A0718C"/>
    <w:rsid w:val="00A07743"/>
    <w:rsid w:val="00A07E98"/>
    <w:rsid w:val="00A1047C"/>
    <w:rsid w:val="00A10ACD"/>
    <w:rsid w:val="00A11AA2"/>
    <w:rsid w:val="00A12161"/>
    <w:rsid w:val="00A123F9"/>
    <w:rsid w:val="00A129F1"/>
    <w:rsid w:val="00A137A6"/>
    <w:rsid w:val="00A13812"/>
    <w:rsid w:val="00A139C6"/>
    <w:rsid w:val="00A13AAC"/>
    <w:rsid w:val="00A13BA5"/>
    <w:rsid w:val="00A1429A"/>
    <w:rsid w:val="00A1530A"/>
    <w:rsid w:val="00A15CA7"/>
    <w:rsid w:val="00A15FCA"/>
    <w:rsid w:val="00A161CB"/>
    <w:rsid w:val="00A17B8F"/>
    <w:rsid w:val="00A212F1"/>
    <w:rsid w:val="00A21ABF"/>
    <w:rsid w:val="00A21EAE"/>
    <w:rsid w:val="00A22112"/>
    <w:rsid w:val="00A227AE"/>
    <w:rsid w:val="00A22DAE"/>
    <w:rsid w:val="00A22EB3"/>
    <w:rsid w:val="00A24413"/>
    <w:rsid w:val="00A25221"/>
    <w:rsid w:val="00A25FC2"/>
    <w:rsid w:val="00A263FF"/>
    <w:rsid w:val="00A26CF0"/>
    <w:rsid w:val="00A2720F"/>
    <w:rsid w:val="00A274D2"/>
    <w:rsid w:val="00A27B6C"/>
    <w:rsid w:val="00A27EC4"/>
    <w:rsid w:val="00A3014A"/>
    <w:rsid w:val="00A30BC8"/>
    <w:rsid w:val="00A30F51"/>
    <w:rsid w:val="00A31B79"/>
    <w:rsid w:val="00A31BC3"/>
    <w:rsid w:val="00A31D5E"/>
    <w:rsid w:val="00A3215C"/>
    <w:rsid w:val="00A32BF7"/>
    <w:rsid w:val="00A32CB2"/>
    <w:rsid w:val="00A3304F"/>
    <w:rsid w:val="00A33AB2"/>
    <w:rsid w:val="00A34448"/>
    <w:rsid w:val="00A34627"/>
    <w:rsid w:val="00A34FA8"/>
    <w:rsid w:val="00A356E7"/>
    <w:rsid w:val="00A362D6"/>
    <w:rsid w:val="00A36752"/>
    <w:rsid w:val="00A367D0"/>
    <w:rsid w:val="00A368B6"/>
    <w:rsid w:val="00A368E7"/>
    <w:rsid w:val="00A36F35"/>
    <w:rsid w:val="00A370FE"/>
    <w:rsid w:val="00A37230"/>
    <w:rsid w:val="00A37414"/>
    <w:rsid w:val="00A376D8"/>
    <w:rsid w:val="00A37976"/>
    <w:rsid w:val="00A37E42"/>
    <w:rsid w:val="00A40897"/>
    <w:rsid w:val="00A410F9"/>
    <w:rsid w:val="00A42745"/>
    <w:rsid w:val="00A42889"/>
    <w:rsid w:val="00A42DC3"/>
    <w:rsid w:val="00A43ADC"/>
    <w:rsid w:val="00A43B1C"/>
    <w:rsid w:val="00A43DD8"/>
    <w:rsid w:val="00A44F6D"/>
    <w:rsid w:val="00A453C5"/>
    <w:rsid w:val="00A45F8D"/>
    <w:rsid w:val="00A467CE"/>
    <w:rsid w:val="00A4756E"/>
    <w:rsid w:val="00A47D97"/>
    <w:rsid w:val="00A50D87"/>
    <w:rsid w:val="00A51245"/>
    <w:rsid w:val="00A513E6"/>
    <w:rsid w:val="00A51D9A"/>
    <w:rsid w:val="00A52698"/>
    <w:rsid w:val="00A528FF"/>
    <w:rsid w:val="00A52FC2"/>
    <w:rsid w:val="00A53214"/>
    <w:rsid w:val="00A5326E"/>
    <w:rsid w:val="00A5366E"/>
    <w:rsid w:val="00A5378B"/>
    <w:rsid w:val="00A540B8"/>
    <w:rsid w:val="00A544BA"/>
    <w:rsid w:val="00A5499A"/>
    <w:rsid w:val="00A54BDD"/>
    <w:rsid w:val="00A55276"/>
    <w:rsid w:val="00A553D5"/>
    <w:rsid w:val="00A56676"/>
    <w:rsid w:val="00A56BB5"/>
    <w:rsid w:val="00A56C6B"/>
    <w:rsid w:val="00A57370"/>
    <w:rsid w:val="00A57D67"/>
    <w:rsid w:val="00A60FFF"/>
    <w:rsid w:val="00A61247"/>
    <w:rsid w:val="00A61325"/>
    <w:rsid w:val="00A61A2C"/>
    <w:rsid w:val="00A61FDD"/>
    <w:rsid w:val="00A6263B"/>
    <w:rsid w:val="00A62EC4"/>
    <w:rsid w:val="00A6306A"/>
    <w:rsid w:val="00A6387B"/>
    <w:rsid w:val="00A63890"/>
    <w:rsid w:val="00A64D60"/>
    <w:rsid w:val="00A65797"/>
    <w:rsid w:val="00A658DB"/>
    <w:rsid w:val="00A65CC9"/>
    <w:rsid w:val="00A65FC0"/>
    <w:rsid w:val="00A665CB"/>
    <w:rsid w:val="00A66747"/>
    <w:rsid w:val="00A667EB"/>
    <w:rsid w:val="00A670D3"/>
    <w:rsid w:val="00A678FC"/>
    <w:rsid w:val="00A67DBF"/>
    <w:rsid w:val="00A70275"/>
    <w:rsid w:val="00A7033A"/>
    <w:rsid w:val="00A71B7A"/>
    <w:rsid w:val="00A72CF0"/>
    <w:rsid w:val="00A7431B"/>
    <w:rsid w:val="00A74D8C"/>
    <w:rsid w:val="00A75088"/>
    <w:rsid w:val="00A754E9"/>
    <w:rsid w:val="00A75554"/>
    <w:rsid w:val="00A8042B"/>
    <w:rsid w:val="00A80A4F"/>
    <w:rsid w:val="00A80DF0"/>
    <w:rsid w:val="00A811CF"/>
    <w:rsid w:val="00A81520"/>
    <w:rsid w:val="00A82430"/>
    <w:rsid w:val="00A825E6"/>
    <w:rsid w:val="00A82C9A"/>
    <w:rsid w:val="00A8350B"/>
    <w:rsid w:val="00A8425D"/>
    <w:rsid w:val="00A84BAF"/>
    <w:rsid w:val="00A86BA5"/>
    <w:rsid w:val="00A9056E"/>
    <w:rsid w:val="00A91891"/>
    <w:rsid w:val="00A91B09"/>
    <w:rsid w:val="00A91CAF"/>
    <w:rsid w:val="00A91D44"/>
    <w:rsid w:val="00A91EB9"/>
    <w:rsid w:val="00A91FAE"/>
    <w:rsid w:val="00A93066"/>
    <w:rsid w:val="00A931E0"/>
    <w:rsid w:val="00A9383E"/>
    <w:rsid w:val="00A93938"/>
    <w:rsid w:val="00A93FCB"/>
    <w:rsid w:val="00A9434B"/>
    <w:rsid w:val="00A9460E"/>
    <w:rsid w:val="00A951DF"/>
    <w:rsid w:val="00A9613A"/>
    <w:rsid w:val="00A9634C"/>
    <w:rsid w:val="00A967E9"/>
    <w:rsid w:val="00A96CDA"/>
    <w:rsid w:val="00A96F8D"/>
    <w:rsid w:val="00A97110"/>
    <w:rsid w:val="00A97118"/>
    <w:rsid w:val="00A97203"/>
    <w:rsid w:val="00A973B2"/>
    <w:rsid w:val="00A97535"/>
    <w:rsid w:val="00AA04A9"/>
    <w:rsid w:val="00AA0632"/>
    <w:rsid w:val="00AA0D72"/>
    <w:rsid w:val="00AA11A4"/>
    <w:rsid w:val="00AA1A8F"/>
    <w:rsid w:val="00AA1C3E"/>
    <w:rsid w:val="00AA1D3F"/>
    <w:rsid w:val="00AA2388"/>
    <w:rsid w:val="00AA5AFC"/>
    <w:rsid w:val="00AA73F2"/>
    <w:rsid w:val="00AA7D24"/>
    <w:rsid w:val="00AB00C2"/>
    <w:rsid w:val="00AB02D0"/>
    <w:rsid w:val="00AB0312"/>
    <w:rsid w:val="00AB0F92"/>
    <w:rsid w:val="00AB13AF"/>
    <w:rsid w:val="00AB1D74"/>
    <w:rsid w:val="00AB213E"/>
    <w:rsid w:val="00AB2C49"/>
    <w:rsid w:val="00AB4207"/>
    <w:rsid w:val="00AB53F2"/>
    <w:rsid w:val="00AB567E"/>
    <w:rsid w:val="00AB5E29"/>
    <w:rsid w:val="00AB681F"/>
    <w:rsid w:val="00AB6D68"/>
    <w:rsid w:val="00AB73F2"/>
    <w:rsid w:val="00AB7495"/>
    <w:rsid w:val="00AB77A8"/>
    <w:rsid w:val="00AC08A8"/>
    <w:rsid w:val="00AC1C66"/>
    <w:rsid w:val="00AC1D68"/>
    <w:rsid w:val="00AC35AF"/>
    <w:rsid w:val="00AC3943"/>
    <w:rsid w:val="00AC397C"/>
    <w:rsid w:val="00AC3BAE"/>
    <w:rsid w:val="00AC3BBC"/>
    <w:rsid w:val="00AC4317"/>
    <w:rsid w:val="00AC476A"/>
    <w:rsid w:val="00AC4AC8"/>
    <w:rsid w:val="00AC5565"/>
    <w:rsid w:val="00AC55F2"/>
    <w:rsid w:val="00AC5EBF"/>
    <w:rsid w:val="00AC6981"/>
    <w:rsid w:val="00AC7730"/>
    <w:rsid w:val="00AC7749"/>
    <w:rsid w:val="00AC7F1C"/>
    <w:rsid w:val="00AD0142"/>
    <w:rsid w:val="00AD0178"/>
    <w:rsid w:val="00AD02FC"/>
    <w:rsid w:val="00AD28DC"/>
    <w:rsid w:val="00AD4163"/>
    <w:rsid w:val="00AD4EE7"/>
    <w:rsid w:val="00AD51E6"/>
    <w:rsid w:val="00AD5AC8"/>
    <w:rsid w:val="00AD6689"/>
    <w:rsid w:val="00AD7820"/>
    <w:rsid w:val="00AD7CC4"/>
    <w:rsid w:val="00AE01E9"/>
    <w:rsid w:val="00AE0427"/>
    <w:rsid w:val="00AE05D8"/>
    <w:rsid w:val="00AE26DC"/>
    <w:rsid w:val="00AE2ECC"/>
    <w:rsid w:val="00AE3209"/>
    <w:rsid w:val="00AE3A26"/>
    <w:rsid w:val="00AE3ED7"/>
    <w:rsid w:val="00AE4224"/>
    <w:rsid w:val="00AE49D4"/>
    <w:rsid w:val="00AE52DF"/>
    <w:rsid w:val="00AE560D"/>
    <w:rsid w:val="00AE5637"/>
    <w:rsid w:val="00AE5AA3"/>
    <w:rsid w:val="00AE5D21"/>
    <w:rsid w:val="00AE7024"/>
    <w:rsid w:val="00AE74E9"/>
    <w:rsid w:val="00AE77D3"/>
    <w:rsid w:val="00AE78CF"/>
    <w:rsid w:val="00AE7FF4"/>
    <w:rsid w:val="00AF1136"/>
    <w:rsid w:val="00AF1306"/>
    <w:rsid w:val="00AF1B2F"/>
    <w:rsid w:val="00AF2A80"/>
    <w:rsid w:val="00AF2D33"/>
    <w:rsid w:val="00AF364E"/>
    <w:rsid w:val="00AF3B65"/>
    <w:rsid w:val="00AF4211"/>
    <w:rsid w:val="00AF7F06"/>
    <w:rsid w:val="00B0007E"/>
    <w:rsid w:val="00B003E3"/>
    <w:rsid w:val="00B031AA"/>
    <w:rsid w:val="00B0387E"/>
    <w:rsid w:val="00B05F43"/>
    <w:rsid w:val="00B06DDA"/>
    <w:rsid w:val="00B06EB3"/>
    <w:rsid w:val="00B07984"/>
    <w:rsid w:val="00B07D01"/>
    <w:rsid w:val="00B10BCC"/>
    <w:rsid w:val="00B1203C"/>
    <w:rsid w:val="00B12EB5"/>
    <w:rsid w:val="00B13000"/>
    <w:rsid w:val="00B15E94"/>
    <w:rsid w:val="00B17149"/>
    <w:rsid w:val="00B17460"/>
    <w:rsid w:val="00B176AE"/>
    <w:rsid w:val="00B176D3"/>
    <w:rsid w:val="00B179FB"/>
    <w:rsid w:val="00B17B87"/>
    <w:rsid w:val="00B20019"/>
    <w:rsid w:val="00B20930"/>
    <w:rsid w:val="00B2143F"/>
    <w:rsid w:val="00B21550"/>
    <w:rsid w:val="00B21A1C"/>
    <w:rsid w:val="00B21A52"/>
    <w:rsid w:val="00B21DFB"/>
    <w:rsid w:val="00B21E80"/>
    <w:rsid w:val="00B221AB"/>
    <w:rsid w:val="00B2278C"/>
    <w:rsid w:val="00B23D43"/>
    <w:rsid w:val="00B2404B"/>
    <w:rsid w:val="00B24137"/>
    <w:rsid w:val="00B24246"/>
    <w:rsid w:val="00B24CC5"/>
    <w:rsid w:val="00B26A7D"/>
    <w:rsid w:val="00B27075"/>
    <w:rsid w:val="00B27CD8"/>
    <w:rsid w:val="00B31836"/>
    <w:rsid w:val="00B31CB4"/>
    <w:rsid w:val="00B31FEF"/>
    <w:rsid w:val="00B320AB"/>
    <w:rsid w:val="00B325E1"/>
    <w:rsid w:val="00B336C3"/>
    <w:rsid w:val="00B33CB9"/>
    <w:rsid w:val="00B340C7"/>
    <w:rsid w:val="00B352DF"/>
    <w:rsid w:val="00B3588C"/>
    <w:rsid w:val="00B367DA"/>
    <w:rsid w:val="00B373C0"/>
    <w:rsid w:val="00B4033E"/>
    <w:rsid w:val="00B41CCB"/>
    <w:rsid w:val="00B41CD6"/>
    <w:rsid w:val="00B4202A"/>
    <w:rsid w:val="00B420DD"/>
    <w:rsid w:val="00B42919"/>
    <w:rsid w:val="00B42B9C"/>
    <w:rsid w:val="00B4310C"/>
    <w:rsid w:val="00B43736"/>
    <w:rsid w:val="00B43C62"/>
    <w:rsid w:val="00B44C53"/>
    <w:rsid w:val="00B45840"/>
    <w:rsid w:val="00B45F50"/>
    <w:rsid w:val="00B46F57"/>
    <w:rsid w:val="00B472CA"/>
    <w:rsid w:val="00B477CC"/>
    <w:rsid w:val="00B477DD"/>
    <w:rsid w:val="00B47CC7"/>
    <w:rsid w:val="00B50690"/>
    <w:rsid w:val="00B509A3"/>
    <w:rsid w:val="00B50F6C"/>
    <w:rsid w:val="00B514F4"/>
    <w:rsid w:val="00B5268D"/>
    <w:rsid w:val="00B528FB"/>
    <w:rsid w:val="00B52D9A"/>
    <w:rsid w:val="00B53C81"/>
    <w:rsid w:val="00B542A0"/>
    <w:rsid w:val="00B54410"/>
    <w:rsid w:val="00B553E0"/>
    <w:rsid w:val="00B559AA"/>
    <w:rsid w:val="00B55D3F"/>
    <w:rsid w:val="00B561F3"/>
    <w:rsid w:val="00B564BC"/>
    <w:rsid w:val="00B56624"/>
    <w:rsid w:val="00B5677F"/>
    <w:rsid w:val="00B57078"/>
    <w:rsid w:val="00B6029B"/>
    <w:rsid w:val="00B60DDA"/>
    <w:rsid w:val="00B61992"/>
    <w:rsid w:val="00B625F8"/>
    <w:rsid w:val="00B62C3C"/>
    <w:rsid w:val="00B62E57"/>
    <w:rsid w:val="00B63270"/>
    <w:rsid w:val="00B64128"/>
    <w:rsid w:val="00B64400"/>
    <w:rsid w:val="00B64E3E"/>
    <w:rsid w:val="00B65228"/>
    <w:rsid w:val="00B65E5E"/>
    <w:rsid w:val="00B6656B"/>
    <w:rsid w:val="00B6720E"/>
    <w:rsid w:val="00B67642"/>
    <w:rsid w:val="00B67C17"/>
    <w:rsid w:val="00B70A9E"/>
    <w:rsid w:val="00B70CD9"/>
    <w:rsid w:val="00B70FC3"/>
    <w:rsid w:val="00B71319"/>
    <w:rsid w:val="00B71398"/>
    <w:rsid w:val="00B714B7"/>
    <w:rsid w:val="00B7180B"/>
    <w:rsid w:val="00B71ED0"/>
    <w:rsid w:val="00B72143"/>
    <w:rsid w:val="00B7225C"/>
    <w:rsid w:val="00B74101"/>
    <w:rsid w:val="00B74F3F"/>
    <w:rsid w:val="00B7657A"/>
    <w:rsid w:val="00B77498"/>
    <w:rsid w:val="00B80C0E"/>
    <w:rsid w:val="00B81E50"/>
    <w:rsid w:val="00B82337"/>
    <w:rsid w:val="00B82E36"/>
    <w:rsid w:val="00B82E71"/>
    <w:rsid w:val="00B82E8E"/>
    <w:rsid w:val="00B83155"/>
    <w:rsid w:val="00B83493"/>
    <w:rsid w:val="00B847C7"/>
    <w:rsid w:val="00B84E1B"/>
    <w:rsid w:val="00B8577F"/>
    <w:rsid w:val="00B85B21"/>
    <w:rsid w:val="00B862F1"/>
    <w:rsid w:val="00B863DD"/>
    <w:rsid w:val="00B86C12"/>
    <w:rsid w:val="00B8786C"/>
    <w:rsid w:val="00B8787A"/>
    <w:rsid w:val="00B9030F"/>
    <w:rsid w:val="00B90BEF"/>
    <w:rsid w:val="00B910C4"/>
    <w:rsid w:val="00B91147"/>
    <w:rsid w:val="00B91523"/>
    <w:rsid w:val="00B9170E"/>
    <w:rsid w:val="00B91E0C"/>
    <w:rsid w:val="00B92187"/>
    <w:rsid w:val="00B92906"/>
    <w:rsid w:val="00B9305E"/>
    <w:rsid w:val="00B93125"/>
    <w:rsid w:val="00B931D5"/>
    <w:rsid w:val="00B93D0D"/>
    <w:rsid w:val="00B93D94"/>
    <w:rsid w:val="00B940DD"/>
    <w:rsid w:val="00B94120"/>
    <w:rsid w:val="00B94762"/>
    <w:rsid w:val="00B94BFF"/>
    <w:rsid w:val="00B95154"/>
    <w:rsid w:val="00B95847"/>
    <w:rsid w:val="00B958BF"/>
    <w:rsid w:val="00B95D9B"/>
    <w:rsid w:val="00B961F0"/>
    <w:rsid w:val="00B966ED"/>
    <w:rsid w:val="00B967E0"/>
    <w:rsid w:val="00B978CE"/>
    <w:rsid w:val="00BA0AAB"/>
    <w:rsid w:val="00BA0EE9"/>
    <w:rsid w:val="00BA195C"/>
    <w:rsid w:val="00BA25D5"/>
    <w:rsid w:val="00BA268A"/>
    <w:rsid w:val="00BA26A9"/>
    <w:rsid w:val="00BA2EB5"/>
    <w:rsid w:val="00BA324C"/>
    <w:rsid w:val="00BA3A63"/>
    <w:rsid w:val="00BA3C4C"/>
    <w:rsid w:val="00BA3D8F"/>
    <w:rsid w:val="00BA43EC"/>
    <w:rsid w:val="00BA4ECC"/>
    <w:rsid w:val="00BA4FED"/>
    <w:rsid w:val="00BA5C46"/>
    <w:rsid w:val="00BA65A5"/>
    <w:rsid w:val="00BA6864"/>
    <w:rsid w:val="00BA7125"/>
    <w:rsid w:val="00BA71CA"/>
    <w:rsid w:val="00BA7786"/>
    <w:rsid w:val="00BA7DB1"/>
    <w:rsid w:val="00BA7F1D"/>
    <w:rsid w:val="00BA7F36"/>
    <w:rsid w:val="00BB0160"/>
    <w:rsid w:val="00BB02C7"/>
    <w:rsid w:val="00BB0810"/>
    <w:rsid w:val="00BB0CE6"/>
    <w:rsid w:val="00BB18F9"/>
    <w:rsid w:val="00BB21B7"/>
    <w:rsid w:val="00BB268E"/>
    <w:rsid w:val="00BB26B9"/>
    <w:rsid w:val="00BB29F2"/>
    <w:rsid w:val="00BB31B5"/>
    <w:rsid w:val="00BB3614"/>
    <w:rsid w:val="00BB3957"/>
    <w:rsid w:val="00BB3C4A"/>
    <w:rsid w:val="00BB3DC8"/>
    <w:rsid w:val="00BB4052"/>
    <w:rsid w:val="00BB449F"/>
    <w:rsid w:val="00BB6193"/>
    <w:rsid w:val="00BB65A4"/>
    <w:rsid w:val="00BB6A0B"/>
    <w:rsid w:val="00BB756B"/>
    <w:rsid w:val="00BB7AC2"/>
    <w:rsid w:val="00BC00F4"/>
    <w:rsid w:val="00BC133B"/>
    <w:rsid w:val="00BC15E4"/>
    <w:rsid w:val="00BC1EF6"/>
    <w:rsid w:val="00BC2AF6"/>
    <w:rsid w:val="00BC51F7"/>
    <w:rsid w:val="00BC5DFD"/>
    <w:rsid w:val="00BD19E8"/>
    <w:rsid w:val="00BD1A05"/>
    <w:rsid w:val="00BD1B80"/>
    <w:rsid w:val="00BD2D0B"/>
    <w:rsid w:val="00BD3332"/>
    <w:rsid w:val="00BD3BF3"/>
    <w:rsid w:val="00BD4E4B"/>
    <w:rsid w:val="00BD4FDA"/>
    <w:rsid w:val="00BD520C"/>
    <w:rsid w:val="00BD5986"/>
    <w:rsid w:val="00BD5FBC"/>
    <w:rsid w:val="00BD67F5"/>
    <w:rsid w:val="00BD6D73"/>
    <w:rsid w:val="00BD7218"/>
    <w:rsid w:val="00BD766B"/>
    <w:rsid w:val="00BE050F"/>
    <w:rsid w:val="00BE0C2B"/>
    <w:rsid w:val="00BE1955"/>
    <w:rsid w:val="00BE19C2"/>
    <w:rsid w:val="00BE335A"/>
    <w:rsid w:val="00BE410F"/>
    <w:rsid w:val="00BE4837"/>
    <w:rsid w:val="00BE492C"/>
    <w:rsid w:val="00BE4B72"/>
    <w:rsid w:val="00BE6542"/>
    <w:rsid w:val="00BE68CD"/>
    <w:rsid w:val="00BE6A9F"/>
    <w:rsid w:val="00BE6B08"/>
    <w:rsid w:val="00BF12B0"/>
    <w:rsid w:val="00BF1502"/>
    <w:rsid w:val="00BF187B"/>
    <w:rsid w:val="00BF2B62"/>
    <w:rsid w:val="00BF33A1"/>
    <w:rsid w:val="00BF3ED0"/>
    <w:rsid w:val="00BF482B"/>
    <w:rsid w:val="00BF5455"/>
    <w:rsid w:val="00BF56E5"/>
    <w:rsid w:val="00BF66B7"/>
    <w:rsid w:val="00BF73AB"/>
    <w:rsid w:val="00BF7730"/>
    <w:rsid w:val="00BF7FE7"/>
    <w:rsid w:val="00C012ED"/>
    <w:rsid w:val="00C01871"/>
    <w:rsid w:val="00C02961"/>
    <w:rsid w:val="00C029BF"/>
    <w:rsid w:val="00C02B5E"/>
    <w:rsid w:val="00C02F2B"/>
    <w:rsid w:val="00C03520"/>
    <w:rsid w:val="00C057EF"/>
    <w:rsid w:val="00C06696"/>
    <w:rsid w:val="00C0709D"/>
    <w:rsid w:val="00C07274"/>
    <w:rsid w:val="00C07ACD"/>
    <w:rsid w:val="00C102A3"/>
    <w:rsid w:val="00C1166C"/>
    <w:rsid w:val="00C126D3"/>
    <w:rsid w:val="00C128E8"/>
    <w:rsid w:val="00C132FA"/>
    <w:rsid w:val="00C1350B"/>
    <w:rsid w:val="00C14296"/>
    <w:rsid w:val="00C143B7"/>
    <w:rsid w:val="00C15912"/>
    <w:rsid w:val="00C1605A"/>
    <w:rsid w:val="00C16B6E"/>
    <w:rsid w:val="00C16E55"/>
    <w:rsid w:val="00C17F8F"/>
    <w:rsid w:val="00C2026D"/>
    <w:rsid w:val="00C20AE4"/>
    <w:rsid w:val="00C21A0D"/>
    <w:rsid w:val="00C2333D"/>
    <w:rsid w:val="00C2452C"/>
    <w:rsid w:val="00C245F0"/>
    <w:rsid w:val="00C24723"/>
    <w:rsid w:val="00C24D1E"/>
    <w:rsid w:val="00C24D56"/>
    <w:rsid w:val="00C25558"/>
    <w:rsid w:val="00C25857"/>
    <w:rsid w:val="00C25B26"/>
    <w:rsid w:val="00C2695D"/>
    <w:rsid w:val="00C272DC"/>
    <w:rsid w:val="00C27C62"/>
    <w:rsid w:val="00C303ED"/>
    <w:rsid w:val="00C30544"/>
    <w:rsid w:val="00C30555"/>
    <w:rsid w:val="00C30674"/>
    <w:rsid w:val="00C3070C"/>
    <w:rsid w:val="00C319AF"/>
    <w:rsid w:val="00C31B63"/>
    <w:rsid w:val="00C32246"/>
    <w:rsid w:val="00C32D8C"/>
    <w:rsid w:val="00C33F89"/>
    <w:rsid w:val="00C34034"/>
    <w:rsid w:val="00C34397"/>
    <w:rsid w:val="00C344F6"/>
    <w:rsid w:val="00C34DBD"/>
    <w:rsid w:val="00C3552D"/>
    <w:rsid w:val="00C35564"/>
    <w:rsid w:val="00C368A0"/>
    <w:rsid w:val="00C36F15"/>
    <w:rsid w:val="00C37B9E"/>
    <w:rsid w:val="00C40508"/>
    <w:rsid w:val="00C40560"/>
    <w:rsid w:val="00C41153"/>
    <w:rsid w:val="00C41156"/>
    <w:rsid w:val="00C41693"/>
    <w:rsid w:val="00C4260B"/>
    <w:rsid w:val="00C429D1"/>
    <w:rsid w:val="00C42B55"/>
    <w:rsid w:val="00C42D9C"/>
    <w:rsid w:val="00C43792"/>
    <w:rsid w:val="00C438E8"/>
    <w:rsid w:val="00C4399A"/>
    <w:rsid w:val="00C443A1"/>
    <w:rsid w:val="00C44B4E"/>
    <w:rsid w:val="00C450AE"/>
    <w:rsid w:val="00C4512A"/>
    <w:rsid w:val="00C45684"/>
    <w:rsid w:val="00C4585A"/>
    <w:rsid w:val="00C47504"/>
    <w:rsid w:val="00C50750"/>
    <w:rsid w:val="00C50F95"/>
    <w:rsid w:val="00C510A3"/>
    <w:rsid w:val="00C517FE"/>
    <w:rsid w:val="00C51855"/>
    <w:rsid w:val="00C51C61"/>
    <w:rsid w:val="00C5235C"/>
    <w:rsid w:val="00C52580"/>
    <w:rsid w:val="00C52CD1"/>
    <w:rsid w:val="00C5316F"/>
    <w:rsid w:val="00C53387"/>
    <w:rsid w:val="00C543FC"/>
    <w:rsid w:val="00C54439"/>
    <w:rsid w:val="00C546B7"/>
    <w:rsid w:val="00C54D4C"/>
    <w:rsid w:val="00C55052"/>
    <w:rsid w:val="00C5611D"/>
    <w:rsid w:val="00C5653D"/>
    <w:rsid w:val="00C56AB7"/>
    <w:rsid w:val="00C56ED2"/>
    <w:rsid w:val="00C57310"/>
    <w:rsid w:val="00C5777D"/>
    <w:rsid w:val="00C578CC"/>
    <w:rsid w:val="00C57B0F"/>
    <w:rsid w:val="00C6015A"/>
    <w:rsid w:val="00C60EF9"/>
    <w:rsid w:val="00C60F9D"/>
    <w:rsid w:val="00C61BAD"/>
    <w:rsid w:val="00C63131"/>
    <w:rsid w:val="00C63661"/>
    <w:rsid w:val="00C64063"/>
    <w:rsid w:val="00C6460C"/>
    <w:rsid w:val="00C6489D"/>
    <w:rsid w:val="00C64C33"/>
    <w:rsid w:val="00C6547D"/>
    <w:rsid w:val="00C660AF"/>
    <w:rsid w:val="00C6623A"/>
    <w:rsid w:val="00C66EE7"/>
    <w:rsid w:val="00C67074"/>
    <w:rsid w:val="00C673E2"/>
    <w:rsid w:val="00C674FB"/>
    <w:rsid w:val="00C67AE1"/>
    <w:rsid w:val="00C70000"/>
    <w:rsid w:val="00C70351"/>
    <w:rsid w:val="00C70506"/>
    <w:rsid w:val="00C705EA"/>
    <w:rsid w:val="00C70AB5"/>
    <w:rsid w:val="00C70B6C"/>
    <w:rsid w:val="00C70CF2"/>
    <w:rsid w:val="00C711C9"/>
    <w:rsid w:val="00C72687"/>
    <w:rsid w:val="00C72748"/>
    <w:rsid w:val="00C72874"/>
    <w:rsid w:val="00C72D9C"/>
    <w:rsid w:val="00C73090"/>
    <w:rsid w:val="00C737DA"/>
    <w:rsid w:val="00C738B5"/>
    <w:rsid w:val="00C74089"/>
    <w:rsid w:val="00C741F3"/>
    <w:rsid w:val="00C751D5"/>
    <w:rsid w:val="00C758F5"/>
    <w:rsid w:val="00C775CF"/>
    <w:rsid w:val="00C77A7A"/>
    <w:rsid w:val="00C80AE7"/>
    <w:rsid w:val="00C81240"/>
    <w:rsid w:val="00C81444"/>
    <w:rsid w:val="00C816BE"/>
    <w:rsid w:val="00C817C7"/>
    <w:rsid w:val="00C82135"/>
    <w:rsid w:val="00C8272C"/>
    <w:rsid w:val="00C82DF2"/>
    <w:rsid w:val="00C8349F"/>
    <w:rsid w:val="00C850F7"/>
    <w:rsid w:val="00C900F9"/>
    <w:rsid w:val="00C90522"/>
    <w:rsid w:val="00C90E85"/>
    <w:rsid w:val="00C91318"/>
    <w:rsid w:val="00C916E1"/>
    <w:rsid w:val="00C91B07"/>
    <w:rsid w:val="00C91ECC"/>
    <w:rsid w:val="00C91FA9"/>
    <w:rsid w:val="00C92076"/>
    <w:rsid w:val="00C9288D"/>
    <w:rsid w:val="00C92D42"/>
    <w:rsid w:val="00C92E5D"/>
    <w:rsid w:val="00C93509"/>
    <w:rsid w:val="00C94E3D"/>
    <w:rsid w:val="00C94FDF"/>
    <w:rsid w:val="00C951E0"/>
    <w:rsid w:val="00C971ED"/>
    <w:rsid w:val="00C9777C"/>
    <w:rsid w:val="00C97B84"/>
    <w:rsid w:val="00C97C37"/>
    <w:rsid w:val="00C97F0B"/>
    <w:rsid w:val="00CA00CE"/>
    <w:rsid w:val="00CA0455"/>
    <w:rsid w:val="00CA1C9C"/>
    <w:rsid w:val="00CA2762"/>
    <w:rsid w:val="00CA2DBD"/>
    <w:rsid w:val="00CA2EC0"/>
    <w:rsid w:val="00CA3318"/>
    <w:rsid w:val="00CA3B0D"/>
    <w:rsid w:val="00CA4255"/>
    <w:rsid w:val="00CA4A39"/>
    <w:rsid w:val="00CA4C69"/>
    <w:rsid w:val="00CA4F3C"/>
    <w:rsid w:val="00CA58CB"/>
    <w:rsid w:val="00CA5BC7"/>
    <w:rsid w:val="00CA622B"/>
    <w:rsid w:val="00CB137C"/>
    <w:rsid w:val="00CB14AF"/>
    <w:rsid w:val="00CB19E6"/>
    <w:rsid w:val="00CB2286"/>
    <w:rsid w:val="00CB30CF"/>
    <w:rsid w:val="00CB3617"/>
    <w:rsid w:val="00CB4324"/>
    <w:rsid w:val="00CB4B34"/>
    <w:rsid w:val="00CB4BDF"/>
    <w:rsid w:val="00CB4DD3"/>
    <w:rsid w:val="00CB4E54"/>
    <w:rsid w:val="00CB617D"/>
    <w:rsid w:val="00CB6AA7"/>
    <w:rsid w:val="00CB7D4B"/>
    <w:rsid w:val="00CC0234"/>
    <w:rsid w:val="00CC064A"/>
    <w:rsid w:val="00CC0788"/>
    <w:rsid w:val="00CC0B46"/>
    <w:rsid w:val="00CC149E"/>
    <w:rsid w:val="00CC1EE1"/>
    <w:rsid w:val="00CC20C0"/>
    <w:rsid w:val="00CC215D"/>
    <w:rsid w:val="00CC2A1A"/>
    <w:rsid w:val="00CC2B19"/>
    <w:rsid w:val="00CC2D3B"/>
    <w:rsid w:val="00CC2E3F"/>
    <w:rsid w:val="00CC3F2F"/>
    <w:rsid w:val="00CC418B"/>
    <w:rsid w:val="00CC453D"/>
    <w:rsid w:val="00CC4A3E"/>
    <w:rsid w:val="00CC5057"/>
    <w:rsid w:val="00CC5646"/>
    <w:rsid w:val="00CC5FFB"/>
    <w:rsid w:val="00CC602E"/>
    <w:rsid w:val="00CC62E0"/>
    <w:rsid w:val="00CC64CB"/>
    <w:rsid w:val="00CC673B"/>
    <w:rsid w:val="00CC676D"/>
    <w:rsid w:val="00CD01F8"/>
    <w:rsid w:val="00CD0E12"/>
    <w:rsid w:val="00CD0EB5"/>
    <w:rsid w:val="00CD1D80"/>
    <w:rsid w:val="00CD24BD"/>
    <w:rsid w:val="00CD3067"/>
    <w:rsid w:val="00CD3799"/>
    <w:rsid w:val="00CD3E25"/>
    <w:rsid w:val="00CD40F2"/>
    <w:rsid w:val="00CD4F2A"/>
    <w:rsid w:val="00CD534F"/>
    <w:rsid w:val="00CD53E4"/>
    <w:rsid w:val="00CD6D27"/>
    <w:rsid w:val="00CD6F65"/>
    <w:rsid w:val="00CD79A8"/>
    <w:rsid w:val="00CE0001"/>
    <w:rsid w:val="00CE05D4"/>
    <w:rsid w:val="00CE0F27"/>
    <w:rsid w:val="00CE16E0"/>
    <w:rsid w:val="00CE235E"/>
    <w:rsid w:val="00CE24E2"/>
    <w:rsid w:val="00CE26E3"/>
    <w:rsid w:val="00CE297E"/>
    <w:rsid w:val="00CE2B4D"/>
    <w:rsid w:val="00CE3AD1"/>
    <w:rsid w:val="00CE40C8"/>
    <w:rsid w:val="00CE4B48"/>
    <w:rsid w:val="00CE59AC"/>
    <w:rsid w:val="00CE5C81"/>
    <w:rsid w:val="00CE6A77"/>
    <w:rsid w:val="00CE6E16"/>
    <w:rsid w:val="00CE6E68"/>
    <w:rsid w:val="00CE7901"/>
    <w:rsid w:val="00CE7E37"/>
    <w:rsid w:val="00CF0543"/>
    <w:rsid w:val="00CF05A2"/>
    <w:rsid w:val="00CF1131"/>
    <w:rsid w:val="00CF199E"/>
    <w:rsid w:val="00CF1EDD"/>
    <w:rsid w:val="00CF1FD8"/>
    <w:rsid w:val="00CF2DF3"/>
    <w:rsid w:val="00CF3281"/>
    <w:rsid w:val="00CF3E4E"/>
    <w:rsid w:val="00CF5581"/>
    <w:rsid w:val="00CF774C"/>
    <w:rsid w:val="00CF7D3A"/>
    <w:rsid w:val="00D00D01"/>
    <w:rsid w:val="00D02063"/>
    <w:rsid w:val="00D027AC"/>
    <w:rsid w:val="00D02BB7"/>
    <w:rsid w:val="00D03192"/>
    <w:rsid w:val="00D03406"/>
    <w:rsid w:val="00D03442"/>
    <w:rsid w:val="00D03BE3"/>
    <w:rsid w:val="00D041F5"/>
    <w:rsid w:val="00D043CB"/>
    <w:rsid w:val="00D04A6D"/>
    <w:rsid w:val="00D04B87"/>
    <w:rsid w:val="00D064A0"/>
    <w:rsid w:val="00D0683C"/>
    <w:rsid w:val="00D0709A"/>
    <w:rsid w:val="00D07434"/>
    <w:rsid w:val="00D0786B"/>
    <w:rsid w:val="00D07C40"/>
    <w:rsid w:val="00D108AF"/>
    <w:rsid w:val="00D11B04"/>
    <w:rsid w:val="00D11C16"/>
    <w:rsid w:val="00D1214E"/>
    <w:rsid w:val="00D1224B"/>
    <w:rsid w:val="00D12468"/>
    <w:rsid w:val="00D13D36"/>
    <w:rsid w:val="00D13F4A"/>
    <w:rsid w:val="00D14282"/>
    <w:rsid w:val="00D14798"/>
    <w:rsid w:val="00D14FDB"/>
    <w:rsid w:val="00D150CA"/>
    <w:rsid w:val="00D15439"/>
    <w:rsid w:val="00D1552A"/>
    <w:rsid w:val="00D15B5A"/>
    <w:rsid w:val="00D15C51"/>
    <w:rsid w:val="00D15D3F"/>
    <w:rsid w:val="00D15E03"/>
    <w:rsid w:val="00D16B7B"/>
    <w:rsid w:val="00D16FEA"/>
    <w:rsid w:val="00D1746B"/>
    <w:rsid w:val="00D174F7"/>
    <w:rsid w:val="00D177DC"/>
    <w:rsid w:val="00D20BD0"/>
    <w:rsid w:val="00D2121A"/>
    <w:rsid w:val="00D223A5"/>
    <w:rsid w:val="00D2311D"/>
    <w:rsid w:val="00D247E5"/>
    <w:rsid w:val="00D24AC0"/>
    <w:rsid w:val="00D25AE7"/>
    <w:rsid w:val="00D25BBA"/>
    <w:rsid w:val="00D26653"/>
    <w:rsid w:val="00D26ABA"/>
    <w:rsid w:val="00D26BCF"/>
    <w:rsid w:val="00D26D4F"/>
    <w:rsid w:val="00D27605"/>
    <w:rsid w:val="00D2799B"/>
    <w:rsid w:val="00D31B36"/>
    <w:rsid w:val="00D322FD"/>
    <w:rsid w:val="00D327D8"/>
    <w:rsid w:val="00D32C51"/>
    <w:rsid w:val="00D33426"/>
    <w:rsid w:val="00D334D9"/>
    <w:rsid w:val="00D33D83"/>
    <w:rsid w:val="00D33EEB"/>
    <w:rsid w:val="00D344BB"/>
    <w:rsid w:val="00D34709"/>
    <w:rsid w:val="00D35A7A"/>
    <w:rsid w:val="00D3638A"/>
    <w:rsid w:val="00D36521"/>
    <w:rsid w:val="00D37471"/>
    <w:rsid w:val="00D37658"/>
    <w:rsid w:val="00D379E3"/>
    <w:rsid w:val="00D37D2B"/>
    <w:rsid w:val="00D40123"/>
    <w:rsid w:val="00D409D5"/>
    <w:rsid w:val="00D42423"/>
    <w:rsid w:val="00D428C4"/>
    <w:rsid w:val="00D42C39"/>
    <w:rsid w:val="00D43112"/>
    <w:rsid w:val="00D433E4"/>
    <w:rsid w:val="00D442EF"/>
    <w:rsid w:val="00D451FE"/>
    <w:rsid w:val="00D45814"/>
    <w:rsid w:val="00D45AF9"/>
    <w:rsid w:val="00D47B80"/>
    <w:rsid w:val="00D47DDB"/>
    <w:rsid w:val="00D508B2"/>
    <w:rsid w:val="00D50D89"/>
    <w:rsid w:val="00D50E23"/>
    <w:rsid w:val="00D5183A"/>
    <w:rsid w:val="00D51913"/>
    <w:rsid w:val="00D51C04"/>
    <w:rsid w:val="00D52058"/>
    <w:rsid w:val="00D5263F"/>
    <w:rsid w:val="00D5303C"/>
    <w:rsid w:val="00D531A3"/>
    <w:rsid w:val="00D5330C"/>
    <w:rsid w:val="00D539A7"/>
    <w:rsid w:val="00D54D7E"/>
    <w:rsid w:val="00D55075"/>
    <w:rsid w:val="00D55312"/>
    <w:rsid w:val="00D5541A"/>
    <w:rsid w:val="00D55CCF"/>
    <w:rsid w:val="00D55D7F"/>
    <w:rsid w:val="00D56098"/>
    <w:rsid w:val="00D56D3D"/>
    <w:rsid w:val="00D5746D"/>
    <w:rsid w:val="00D60429"/>
    <w:rsid w:val="00D6053B"/>
    <w:rsid w:val="00D60F69"/>
    <w:rsid w:val="00D60FE4"/>
    <w:rsid w:val="00D61255"/>
    <w:rsid w:val="00D61772"/>
    <w:rsid w:val="00D61A6F"/>
    <w:rsid w:val="00D61BF4"/>
    <w:rsid w:val="00D6271D"/>
    <w:rsid w:val="00D627AE"/>
    <w:rsid w:val="00D62AA3"/>
    <w:rsid w:val="00D62DF9"/>
    <w:rsid w:val="00D65751"/>
    <w:rsid w:val="00D65F9E"/>
    <w:rsid w:val="00D66B23"/>
    <w:rsid w:val="00D67274"/>
    <w:rsid w:val="00D672AF"/>
    <w:rsid w:val="00D70946"/>
    <w:rsid w:val="00D70A70"/>
    <w:rsid w:val="00D70BFF"/>
    <w:rsid w:val="00D70C49"/>
    <w:rsid w:val="00D71073"/>
    <w:rsid w:val="00D71524"/>
    <w:rsid w:val="00D71770"/>
    <w:rsid w:val="00D72540"/>
    <w:rsid w:val="00D726F2"/>
    <w:rsid w:val="00D728F7"/>
    <w:rsid w:val="00D72E63"/>
    <w:rsid w:val="00D73AB8"/>
    <w:rsid w:val="00D747FE"/>
    <w:rsid w:val="00D75F13"/>
    <w:rsid w:val="00D760E8"/>
    <w:rsid w:val="00D77248"/>
    <w:rsid w:val="00D77566"/>
    <w:rsid w:val="00D779CC"/>
    <w:rsid w:val="00D77BB7"/>
    <w:rsid w:val="00D80056"/>
    <w:rsid w:val="00D81A37"/>
    <w:rsid w:val="00D8269F"/>
    <w:rsid w:val="00D826BD"/>
    <w:rsid w:val="00D8336F"/>
    <w:rsid w:val="00D83A6B"/>
    <w:rsid w:val="00D8603B"/>
    <w:rsid w:val="00D90531"/>
    <w:rsid w:val="00D90DB4"/>
    <w:rsid w:val="00D90F21"/>
    <w:rsid w:val="00D911E1"/>
    <w:rsid w:val="00D924A1"/>
    <w:rsid w:val="00D93607"/>
    <w:rsid w:val="00D9374E"/>
    <w:rsid w:val="00D93EF1"/>
    <w:rsid w:val="00D94283"/>
    <w:rsid w:val="00D943D6"/>
    <w:rsid w:val="00D9482A"/>
    <w:rsid w:val="00D94893"/>
    <w:rsid w:val="00D95011"/>
    <w:rsid w:val="00D95777"/>
    <w:rsid w:val="00D96314"/>
    <w:rsid w:val="00D9687E"/>
    <w:rsid w:val="00D969FE"/>
    <w:rsid w:val="00D973ED"/>
    <w:rsid w:val="00D97BCD"/>
    <w:rsid w:val="00DA06CC"/>
    <w:rsid w:val="00DA0BDF"/>
    <w:rsid w:val="00DA150E"/>
    <w:rsid w:val="00DA35FB"/>
    <w:rsid w:val="00DA371A"/>
    <w:rsid w:val="00DA39C5"/>
    <w:rsid w:val="00DA4090"/>
    <w:rsid w:val="00DA4D24"/>
    <w:rsid w:val="00DA6097"/>
    <w:rsid w:val="00DA61CC"/>
    <w:rsid w:val="00DA621C"/>
    <w:rsid w:val="00DA64BB"/>
    <w:rsid w:val="00DA68A7"/>
    <w:rsid w:val="00DA71F5"/>
    <w:rsid w:val="00DA745E"/>
    <w:rsid w:val="00DA74D7"/>
    <w:rsid w:val="00DA76D4"/>
    <w:rsid w:val="00DA76DA"/>
    <w:rsid w:val="00DA7961"/>
    <w:rsid w:val="00DA79BF"/>
    <w:rsid w:val="00DB0DC9"/>
    <w:rsid w:val="00DB19EE"/>
    <w:rsid w:val="00DB2D26"/>
    <w:rsid w:val="00DB3842"/>
    <w:rsid w:val="00DB4896"/>
    <w:rsid w:val="00DB4A79"/>
    <w:rsid w:val="00DB4CA9"/>
    <w:rsid w:val="00DB595E"/>
    <w:rsid w:val="00DB5A55"/>
    <w:rsid w:val="00DB6227"/>
    <w:rsid w:val="00DB625D"/>
    <w:rsid w:val="00DB6365"/>
    <w:rsid w:val="00DB675E"/>
    <w:rsid w:val="00DB6813"/>
    <w:rsid w:val="00DB6899"/>
    <w:rsid w:val="00DB6F1B"/>
    <w:rsid w:val="00DB7229"/>
    <w:rsid w:val="00DB7569"/>
    <w:rsid w:val="00DB783D"/>
    <w:rsid w:val="00DB78B8"/>
    <w:rsid w:val="00DB7B36"/>
    <w:rsid w:val="00DC05C1"/>
    <w:rsid w:val="00DC2F7A"/>
    <w:rsid w:val="00DC4321"/>
    <w:rsid w:val="00DC76BB"/>
    <w:rsid w:val="00DCF5DD"/>
    <w:rsid w:val="00DD01DC"/>
    <w:rsid w:val="00DD099A"/>
    <w:rsid w:val="00DD09BF"/>
    <w:rsid w:val="00DD0A22"/>
    <w:rsid w:val="00DD0B78"/>
    <w:rsid w:val="00DD1913"/>
    <w:rsid w:val="00DD2644"/>
    <w:rsid w:val="00DD2992"/>
    <w:rsid w:val="00DD29AA"/>
    <w:rsid w:val="00DD3C0A"/>
    <w:rsid w:val="00DD473D"/>
    <w:rsid w:val="00DD53A4"/>
    <w:rsid w:val="00DD6264"/>
    <w:rsid w:val="00DD6F2D"/>
    <w:rsid w:val="00DD7459"/>
    <w:rsid w:val="00DD7ADE"/>
    <w:rsid w:val="00DD7C2D"/>
    <w:rsid w:val="00DE1226"/>
    <w:rsid w:val="00DE1666"/>
    <w:rsid w:val="00DE1AD5"/>
    <w:rsid w:val="00DE1DED"/>
    <w:rsid w:val="00DE1F21"/>
    <w:rsid w:val="00DE264C"/>
    <w:rsid w:val="00DE2B11"/>
    <w:rsid w:val="00DE33A5"/>
    <w:rsid w:val="00DE3CC9"/>
    <w:rsid w:val="00DE3D66"/>
    <w:rsid w:val="00DE45A8"/>
    <w:rsid w:val="00DE4839"/>
    <w:rsid w:val="00DE4A58"/>
    <w:rsid w:val="00DE536A"/>
    <w:rsid w:val="00DE5628"/>
    <w:rsid w:val="00DE6AD2"/>
    <w:rsid w:val="00DE6E1C"/>
    <w:rsid w:val="00DE7291"/>
    <w:rsid w:val="00DE77CB"/>
    <w:rsid w:val="00DE7A12"/>
    <w:rsid w:val="00DE7B87"/>
    <w:rsid w:val="00DF0E10"/>
    <w:rsid w:val="00DF0EF5"/>
    <w:rsid w:val="00DF0F8B"/>
    <w:rsid w:val="00DF1775"/>
    <w:rsid w:val="00DF189F"/>
    <w:rsid w:val="00DF196B"/>
    <w:rsid w:val="00DF2744"/>
    <w:rsid w:val="00DF2777"/>
    <w:rsid w:val="00DF318C"/>
    <w:rsid w:val="00DF4307"/>
    <w:rsid w:val="00DF4385"/>
    <w:rsid w:val="00DF43A5"/>
    <w:rsid w:val="00DF5169"/>
    <w:rsid w:val="00DF6DB1"/>
    <w:rsid w:val="00DF7C1C"/>
    <w:rsid w:val="00E0022A"/>
    <w:rsid w:val="00E00590"/>
    <w:rsid w:val="00E005EA"/>
    <w:rsid w:val="00E008D5"/>
    <w:rsid w:val="00E00A52"/>
    <w:rsid w:val="00E021DA"/>
    <w:rsid w:val="00E03491"/>
    <w:rsid w:val="00E0394B"/>
    <w:rsid w:val="00E03E0D"/>
    <w:rsid w:val="00E03F26"/>
    <w:rsid w:val="00E04709"/>
    <w:rsid w:val="00E04753"/>
    <w:rsid w:val="00E048D7"/>
    <w:rsid w:val="00E0544B"/>
    <w:rsid w:val="00E05CC8"/>
    <w:rsid w:val="00E05DD2"/>
    <w:rsid w:val="00E06063"/>
    <w:rsid w:val="00E0612B"/>
    <w:rsid w:val="00E0652E"/>
    <w:rsid w:val="00E07C07"/>
    <w:rsid w:val="00E10CFF"/>
    <w:rsid w:val="00E10DC4"/>
    <w:rsid w:val="00E11E2A"/>
    <w:rsid w:val="00E123AB"/>
    <w:rsid w:val="00E12598"/>
    <w:rsid w:val="00E1297B"/>
    <w:rsid w:val="00E12C39"/>
    <w:rsid w:val="00E13564"/>
    <w:rsid w:val="00E136FE"/>
    <w:rsid w:val="00E13871"/>
    <w:rsid w:val="00E14407"/>
    <w:rsid w:val="00E14725"/>
    <w:rsid w:val="00E147B1"/>
    <w:rsid w:val="00E15507"/>
    <w:rsid w:val="00E163A7"/>
    <w:rsid w:val="00E16A37"/>
    <w:rsid w:val="00E17A5B"/>
    <w:rsid w:val="00E20BA3"/>
    <w:rsid w:val="00E21C2C"/>
    <w:rsid w:val="00E223FA"/>
    <w:rsid w:val="00E22B92"/>
    <w:rsid w:val="00E25796"/>
    <w:rsid w:val="00E2592B"/>
    <w:rsid w:val="00E2653D"/>
    <w:rsid w:val="00E270B0"/>
    <w:rsid w:val="00E3155F"/>
    <w:rsid w:val="00E31C52"/>
    <w:rsid w:val="00E32235"/>
    <w:rsid w:val="00E33556"/>
    <w:rsid w:val="00E33971"/>
    <w:rsid w:val="00E33FB4"/>
    <w:rsid w:val="00E34107"/>
    <w:rsid w:val="00E35802"/>
    <w:rsid w:val="00E35D7A"/>
    <w:rsid w:val="00E3619B"/>
    <w:rsid w:val="00E36FE2"/>
    <w:rsid w:val="00E4005C"/>
    <w:rsid w:val="00E401C7"/>
    <w:rsid w:val="00E408ED"/>
    <w:rsid w:val="00E40D5C"/>
    <w:rsid w:val="00E41E3D"/>
    <w:rsid w:val="00E42078"/>
    <w:rsid w:val="00E422CB"/>
    <w:rsid w:val="00E4467E"/>
    <w:rsid w:val="00E45444"/>
    <w:rsid w:val="00E45623"/>
    <w:rsid w:val="00E469C1"/>
    <w:rsid w:val="00E4789F"/>
    <w:rsid w:val="00E50115"/>
    <w:rsid w:val="00E50A2D"/>
    <w:rsid w:val="00E51B34"/>
    <w:rsid w:val="00E51DE1"/>
    <w:rsid w:val="00E51E22"/>
    <w:rsid w:val="00E51F41"/>
    <w:rsid w:val="00E52C45"/>
    <w:rsid w:val="00E53780"/>
    <w:rsid w:val="00E53996"/>
    <w:rsid w:val="00E554E6"/>
    <w:rsid w:val="00E55539"/>
    <w:rsid w:val="00E55EF4"/>
    <w:rsid w:val="00E5691B"/>
    <w:rsid w:val="00E576EF"/>
    <w:rsid w:val="00E601F3"/>
    <w:rsid w:val="00E61505"/>
    <w:rsid w:val="00E6158B"/>
    <w:rsid w:val="00E61847"/>
    <w:rsid w:val="00E63669"/>
    <w:rsid w:val="00E63ACD"/>
    <w:rsid w:val="00E63E6F"/>
    <w:rsid w:val="00E6407E"/>
    <w:rsid w:val="00E65463"/>
    <w:rsid w:val="00E67065"/>
    <w:rsid w:val="00E673D2"/>
    <w:rsid w:val="00E70187"/>
    <w:rsid w:val="00E701E0"/>
    <w:rsid w:val="00E70F6A"/>
    <w:rsid w:val="00E70FAC"/>
    <w:rsid w:val="00E72220"/>
    <w:rsid w:val="00E73E4D"/>
    <w:rsid w:val="00E74213"/>
    <w:rsid w:val="00E74429"/>
    <w:rsid w:val="00E74CB0"/>
    <w:rsid w:val="00E75156"/>
    <w:rsid w:val="00E763A5"/>
    <w:rsid w:val="00E76CD9"/>
    <w:rsid w:val="00E8017C"/>
    <w:rsid w:val="00E801A2"/>
    <w:rsid w:val="00E80549"/>
    <w:rsid w:val="00E810A5"/>
    <w:rsid w:val="00E81319"/>
    <w:rsid w:val="00E81513"/>
    <w:rsid w:val="00E83032"/>
    <w:rsid w:val="00E8306E"/>
    <w:rsid w:val="00E83372"/>
    <w:rsid w:val="00E835EE"/>
    <w:rsid w:val="00E83F1E"/>
    <w:rsid w:val="00E845DF"/>
    <w:rsid w:val="00E85272"/>
    <w:rsid w:val="00E85936"/>
    <w:rsid w:val="00E873A3"/>
    <w:rsid w:val="00E8771A"/>
    <w:rsid w:val="00E87971"/>
    <w:rsid w:val="00E87D23"/>
    <w:rsid w:val="00E9049E"/>
    <w:rsid w:val="00E9058F"/>
    <w:rsid w:val="00E9095F"/>
    <w:rsid w:val="00E91400"/>
    <w:rsid w:val="00E91A87"/>
    <w:rsid w:val="00E91CED"/>
    <w:rsid w:val="00E91E19"/>
    <w:rsid w:val="00E925F1"/>
    <w:rsid w:val="00E926B1"/>
    <w:rsid w:val="00E93C59"/>
    <w:rsid w:val="00E94584"/>
    <w:rsid w:val="00E94688"/>
    <w:rsid w:val="00E95106"/>
    <w:rsid w:val="00E95E17"/>
    <w:rsid w:val="00E95F26"/>
    <w:rsid w:val="00E96D25"/>
    <w:rsid w:val="00E96FB7"/>
    <w:rsid w:val="00E97028"/>
    <w:rsid w:val="00EA023E"/>
    <w:rsid w:val="00EA031E"/>
    <w:rsid w:val="00EA0656"/>
    <w:rsid w:val="00EA0EBF"/>
    <w:rsid w:val="00EA160C"/>
    <w:rsid w:val="00EA17A9"/>
    <w:rsid w:val="00EA262A"/>
    <w:rsid w:val="00EA2660"/>
    <w:rsid w:val="00EA2CEF"/>
    <w:rsid w:val="00EA3B16"/>
    <w:rsid w:val="00EA3DFC"/>
    <w:rsid w:val="00EA421A"/>
    <w:rsid w:val="00EA4603"/>
    <w:rsid w:val="00EA52DE"/>
    <w:rsid w:val="00EA541D"/>
    <w:rsid w:val="00EA60C3"/>
    <w:rsid w:val="00EA6AA5"/>
    <w:rsid w:val="00EB0116"/>
    <w:rsid w:val="00EB1859"/>
    <w:rsid w:val="00EB2532"/>
    <w:rsid w:val="00EB287C"/>
    <w:rsid w:val="00EB4001"/>
    <w:rsid w:val="00EB46BC"/>
    <w:rsid w:val="00EB4B3F"/>
    <w:rsid w:val="00EB4E89"/>
    <w:rsid w:val="00EB5450"/>
    <w:rsid w:val="00EB54CC"/>
    <w:rsid w:val="00EB5892"/>
    <w:rsid w:val="00EB65E3"/>
    <w:rsid w:val="00EB663E"/>
    <w:rsid w:val="00EB7452"/>
    <w:rsid w:val="00EB7E96"/>
    <w:rsid w:val="00EC09B9"/>
    <w:rsid w:val="00EC0B2E"/>
    <w:rsid w:val="00EC0D0F"/>
    <w:rsid w:val="00EC3972"/>
    <w:rsid w:val="00EC3CDD"/>
    <w:rsid w:val="00EC5286"/>
    <w:rsid w:val="00EC553B"/>
    <w:rsid w:val="00EC660C"/>
    <w:rsid w:val="00EC6AA9"/>
    <w:rsid w:val="00ED0191"/>
    <w:rsid w:val="00ED0B80"/>
    <w:rsid w:val="00ED1CC5"/>
    <w:rsid w:val="00ED279D"/>
    <w:rsid w:val="00ED2DF2"/>
    <w:rsid w:val="00ED328A"/>
    <w:rsid w:val="00ED3882"/>
    <w:rsid w:val="00ED440F"/>
    <w:rsid w:val="00ED47C6"/>
    <w:rsid w:val="00ED520A"/>
    <w:rsid w:val="00ED74EC"/>
    <w:rsid w:val="00ED79BB"/>
    <w:rsid w:val="00EE0530"/>
    <w:rsid w:val="00EE07BE"/>
    <w:rsid w:val="00EE0957"/>
    <w:rsid w:val="00EE0E4E"/>
    <w:rsid w:val="00EE1038"/>
    <w:rsid w:val="00EE1C22"/>
    <w:rsid w:val="00EE247B"/>
    <w:rsid w:val="00EE2540"/>
    <w:rsid w:val="00EE27E5"/>
    <w:rsid w:val="00EE2831"/>
    <w:rsid w:val="00EE2CF4"/>
    <w:rsid w:val="00EE33A1"/>
    <w:rsid w:val="00EE5649"/>
    <w:rsid w:val="00EE5FC7"/>
    <w:rsid w:val="00EE6C52"/>
    <w:rsid w:val="00EE6D25"/>
    <w:rsid w:val="00EE7C64"/>
    <w:rsid w:val="00EF0619"/>
    <w:rsid w:val="00EF0715"/>
    <w:rsid w:val="00EF0B2A"/>
    <w:rsid w:val="00EF0B95"/>
    <w:rsid w:val="00EF0FF9"/>
    <w:rsid w:val="00EF1732"/>
    <w:rsid w:val="00EF1F96"/>
    <w:rsid w:val="00EF21D2"/>
    <w:rsid w:val="00EF227F"/>
    <w:rsid w:val="00EF2A43"/>
    <w:rsid w:val="00EF2D8F"/>
    <w:rsid w:val="00EF3ABF"/>
    <w:rsid w:val="00EF3F17"/>
    <w:rsid w:val="00EF4085"/>
    <w:rsid w:val="00EF4BE6"/>
    <w:rsid w:val="00EF58E4"/>
    <w:rsid w:val="00EF5B46"/>
    <w:rsid w:val="00EF5D68"/>
    <w:rsid w:val="00EF636A"/>
    <w:rsid w:val="00EF663F"/>
    <w:rsid w:val="00EF6795"/>
    <w:rsid w:val="00EF69BC"/>
    <w:rsid w:val="00EF776D"/>
    <w:rsid w:val="00EF7CAB"/>
    <w:rsid w:val="00EF7F86"/>
    <w:rsid w:val="00F0085E"/>
    <w:rsid w:val="00F00A8E"/>
    <w:rsid w:val="00F00BEB"/>
    <w:rsid w:val="00F01997"/>
    <w:rsid w:val="00F02284"/>
    <w:rsid w:val="00F0235A"/>
    <w:rsid w:val="00F0277F"/>
    <w:rsid w:val="00F0326A"/>
    <w:rsid w:val="00F03301"/>
    <w:rsid w:val="00F03412"/>
    <w:rsid w:val="00F0399F"/>
    <w:rsid w:val="00F03D28"/>
    <w:rsid w:val="00F04262"/>
    <w:rsid w:val="00F047BF"/>
    <w:rsid w:val="00F04C26"/>
    <w:rsid w:val="00F0510B"/>
    <w:rsid w:val="00F06274"/>
    <w:rsid w:val="00F069E2"/>
    <w:rsid w:val="00F07561"/>
    <w:rsid w:val="00F07656"/>
    <w:rsid w:val="00F0785C"/>
    <w:rsid w:val="00F07971"/>
    <w:rsid w:val="00F07DDE"/>
    <w:rsid w:val="00F1066D"/>
    <w:rsid w:val="00F11FE7"/>
    <w:rsid w:val="00F12407"/>
    <w:rsid w:val="00F139A9"/>
    <w:rsid w:val="00F13EFE"/>
    <w:rsid w:val="00F142BF"/>
    <w:rsid w:val="00F146F7"/>
    <w:rsid w:val="00F146FF"/>
    <w:rsid w:val="00F1508D"/>
    <w:rsid w:val="00F16BB3"/>
    <w:rsid w:val="00F172E3"/>
    <w:rsid w:val="00F1748D"/>
    <w:rsid w:val="00F21944"/>
    <w:rsid w:val="00F21F33"/>
    <w:rsid w:val="00F22AA9"/>
    <w:rsid w:val="00F23622"/>
    <w:rsid w:val="00F237EA"/>
    <w:rsid w:val="00F23C60"/>
    <w:rsid w:val="00F245D1"/>
    <w:rsid w:val="00F25230"/>
    <w:rsid w:val="00F2558D"/>
    <w:rsid w:val="00F25DC8"/>
    <w:rsid w:val="00F267EB"/>
    <w:rsid w:val="00F27482"/>
    <w:rsid w:val="00F30302"/>
    <w:rsid w:val="00F30401"/>
    <w:rsid w:val="00F307CA"/>
    <w:rsid w:val="00F30B7A"/>
    <w:rsid w:val="00F30F6D"/>
    <w:rsid w:val="00F31F97"/>
    <w:rsid w:val="00F326C2"/>
    <w:rsid w:val="00F336F6"/>
    <w:rsid w:val="00F33DF0"/>
    <w:rsid w:val="00F35860"/>
    <w:rsid w:val="00F3597B"/>
    <w:rsid w:val="00F35AB6"/>
    <w:rsid w:val="00F36611"/>
    <w:rsid w:val="00F369ED"/>
    <w:rsid w:val="00F36C1D"/>
    <w:rsid w:val="00F3725B"/>
    <w:rsid w:val="00F372D8"/>
    <w:rsid w:val="00F37C39"/>
    <w:rsid w:val="00F40310"/>
    <w:rsid w:val="00F40E54"/>
    <w:rsid w:val="00F40EA7"/>
    <w:rsid w:val="00F40EE8"/>
    <w:rsid w:val="00F41CAD"/>
    <w:rsid w:val="00F42688"/>
    <w:rsid w:val="00F42C01"/>
    <w:rsid w:val="00F43870"/>
    <w:rsid w:val="00F4464F"/>
    <w:rsid w:val="00F44C0D"/>
    <w:rsid w:val="00F44FF7"/>
    <w:rsid w:val="00F45261"/>
    <w:rsid w:val="00F45E3D"/>
    <w:rsid w:val="00F462DA"/>
    <w:rsid w:val="00F4698B"/>
    <w:rsid w:val="00F50B14"/>
    <w:rsid w:val="00F5243D"/>
    <w:rsid w:val="00F530A6"/>
    <w:rsid w:val="00F5408B"/>
    <w:rsid w:val="00F54439"/>
    <w:rsid w:val="00F54596"/>
    <w:rsid w:val="00F54E87"/>
    <w:rsid w:val="00F556A0"/>
    <w:rsid w:val="00F55D82"/>
    <w:rsid w:val="00F56004"/>
    <w:rsid w:val="00F565F1"/>
    <w:rsid w:val="00F56C18"/>
    <w:rsid w:val="00F570F0"/>
    <w:rsid w:val="00F5755F"/>
    <w:rsid w:val="00F576C4"/>
    <w:rsid w:val="00F607AF"/>
    <w:rsid w:val="00F60C18"/>
    <w:rsid w:val="00F61254"/>
    <w:rsid w:val="00F61980"/>
    <w:rsid w:val="00F61C3A"/>
    <w:rsid w:val="00F62189"/>
    <w:rsid w:val="00F62807"/>
    <w:rsid w:val="00F62DCA"/>
    <w:rsid w:val="00F62E70"/>
    <w:rsid w:val="00F647CA"/>
    <w:rsid w:val="00F655EE"/>
    <w:rsid w:val="00F6596A"/>
    <w:rsid w:val="00F65B76"/>
    <w:rsid w:val="00F65C68"/>
    <w:rsid w:val="00F66804"/>
    <w:rsid w:val="00F66E8F"/>
    <w:rsid w:val="00F700D3"/>
    <w:rsid w:val="00F700E6"/>
    <w:rsid w:val="00F70347"/>
    <w:rsid w:val="00F7069E"/>
    <w:rsid w:val="00F70A12"/>
    <w:rsid w:val="00F70BCA"/>
    <w:rsid w:val="00F712C2"/>
    <w:rsid w:val="00F717E9"/>
    <w:rsid w:val="00F7228E"/>
    <w:rsid w:val="00F73122"/>
    <w:rsid w:val="00F731D3"/>
    <w:rsid w:val="00F74BF5"/>
    <w:rsid w:val="00F750DD"/>
    <w:rsid w:val="00F75C95"/>
    <w:rsid w:val="00F769DF"/>
    <w:rsid w:val="00F772DE"/>
    <w:rsid w:val="00F777A2"/>
    <w:rsid w:val="00F805E6"/>
    <w:rsid w:val="00F80B8F"/>
    <w:rsid w:val="00F81371"/>
    <w:rsid w:val="00F81416"/>
    <w:rsid w:val="00F8241A"/>
    <w:rsid w:val="00F8288A"/>
    <w:rsid w:val="00F8361F"/>
    <w:rsid w:val="00F838C9"/>
    <w:rsid w:val="00F8476A"/>
    <w:rsid w:val="00F84908"/>
    <w:rsid w:val="00F84E7B"/>
    <w:rsid w:val="00F84EDE"/>
    <w:rsid w:val="00F861C7"/>
    <w:rsid w:val="00F86A9D"/>
    <w:rsid w:val="00F86DC9"/>
    <w:rsid w:val="00F878C8"/>
    <w:rsid w:val="00F900C1"/>
    <w:rsid w:val="00F901A6"/>
    <w:rsid w:val="00F90427"/>
    <w:rsid w:val="00F90D74"/>
    <w:rsid w:val="00F90DB9"/>
    <w:rsid w:val="00F92899"/>
    <w:rsid w:val="00F9434F"/>
    <w:rsid w:val="00F94B4C"/>
    <w:rsid w:val="00F95F01"/>
    <w:rsid w:val="00F9613F"/>
    <w:rsid w:val="00F96550"/>
    <w:rsid w:val="00F96808"/>
    <w:rsid w:val="00F968DD"/>
    <w:rsid w:val="00F96A08"/>
    <w:rsid w:val="00F96FE2"/>
    <w:rsid w:val="00FA02D7"/>
    <w:rsid w:val="00FA1F05"/>
    <w:rsid w:val="00FA2139"/>
    <w:rsid w:val="00FA2C89"/>
    <w:rsid w:val="00FA2CB8"/>
    <w:rsid w:val="00FA2D6F"/>
    <w:rsid w:val="00FA3033"/>
    <w:rsid w:val="00FA3C84"/>
    <w:rsid w:val="00FA4834"/>
    <w:rsid w:val="00FA4DA3"/>
    <w:rsid w:val="00FA5304"/>
    <w:rsid w:val="00FA5417"/>
    <w:rsid w:val="00FA59B4"/>
    <w:rsid w:val="00FA5D28"/>
    <w:rsid w:val="00FA63D5"/>
    <w:rsid w:val="00FA778C"/>
    <w:rsid w:val="00FA7F74"/>
    <w:rsid w:val="00FB0335"/>
    <w:rsid w:val="00FB0C3A"/>
    <w:rsid w:val="00FB103B"/>
    <w:rsid w:val="00FB123C"/>
    <w:rsid w:val="00FB14EF"/>
    <w:rsid w:val="00FB1B4B"/>
    <w:rsid w:val="00FB31F1"/>
    <w:rsid w:val="00FB3929"/>
    <w:rsid w:val="00FB3D9B"/>
    <w:rsid w:val="00FB4469"/>
    <w:rsid w:val="00FB4D8E"/>
    <w:rsid w:val="00FB4FB4"/>
    <w:rsid w:val="00FB557B"/>
    <w:rsid w:val="00FB57E1"/>
    <w:rsid w:val="00FB5D91"/>
    <w:rsid w:val="00FB6183"/>
    <w:rsid w:val="00FB64F9"/>
    <w:rsid w:val="00FB6A5F"/>
    <w:rsid w:val="00FB6AC8"/>
    <w:rsid w:val="00FB6B35"/>
    <w:rsid w:val="00FB6B9E"/>
    <w:rsid w:val="00FB7745"/>
    <w:rsid w:val="00FC0002"/>
    <w:rsid w:val="00FC023E"/>
    <w:rsid w:val="00FC08E4"/>
    <w:rsid w:val="00FC095B"/>
    <w:rsid w:val="00FC0DD1"/>
    <w:rsid w:val="00FC0E24"/>
    <w:rsid w:val="00FC0EF5"/>
    <w:rsid w:val="00FC1B61"/>
    <w:rsid w:val="00FC21DB"/>
    <w:rsid w:val="00FC2269"/>
    <w:rsid w:val="00FC2D2C"/>
    <w:rsid w:val="00FC30B2"/>
    <w:rsid w:val="00FC5611"/>
    <w:rsid w:val="00FC5BBE"/>
    <w:rsid w:val="00FC5F8C"/>
    <w:rsid w:val="00FC65C7"/>
    <w:rsid w:val="00FC79B6"/>
    <w:rsid w:val="00FC7C30"/>
    <w:rsid w:val="00FD159B"/>
    <w:rsid w:val="00FD1C0E"/>
    <w:rsid w:val="00FD1CCB"/>
    <w:rsid w:val="00FD29A2"/>
    <w:rsid w:val="00FD29C1"/>
    <w:rsid w:val="00FD3311"/>
    <w:rsid w:val="00FD374C"/>
    <w:rsid w:val="00FD39FE"/>
    <w:rsid w:val="00FD4CFA"/>
    <w:rsid w:val="00FD59C0"/>
    <w:rsid w:val="00FD5F48"/>
    <w:rsid w:val="00FD6957"/>
    <w:rsid w:val="00FD7866"/>
    <w:rsid w:val="00FD7BD1"/>
    <w:rsid w:val="00FE041B"/>
    <w:rsid w:val="00FE0B68"/>
    <w:rsid w:val="00FE12DE"/>
    <w:rsid w:val="00FE130F"/>
    <w:rsid w:val="00FE1650"/>
    <w:rsid w:val="00FE2767"/>
    <w:rsid w:val="00FE38D7"/>
    <w:rsid w:val="00FE4107"/>
    <w:rsid w:val="00FE4AEA"/>
    <w:rsid w:val="00FE52FC"/>
    <w:rsid w:val="00FE6F27"/>
    <w:rsid w:val="00FE721D"/>
    <w:rsid w:val="00FE7BA5"/>
    <w:rsid w:val="00FF09E5"/>
    <w:rsid w:val="00FF0DCF"/>
    <w:rsid w:val="00FF0F53"/>
    <w:rsid w:val="00FF1B6E"/>
    <w:rsid w:val="00FF1D14"/>
    <w:rsid w:val="00FF24AC"/>
    <w:rsid w:val="00FF34B0"/>
    <w:rsid w:val="00FF4B6E"/>
    <w:rsid w:val="00FF55F0"/>
    <w:rsid w:val="00FF57D8"/>
    <w:rsid w:val="00FF5FA4"/>
    <w:rsid w:val="00FF705F"/>
    <w:rsid w:val="00FF778F"/>
    <w:rsid w:val="00FF7FE8"/>
    <w:rsid w:val="018D931F"/>
    <w:rsid w:val="02073476"/>
    <w:rsid w:val="02440F22"/>
    <w:rsid w:val="02461826"/>
    <w:rsid w:val="02899F88"/>
    <w:rsid w:val="0385CA43"/>
    <w:rsid w:val="03B770AD"/>
    <w:rsid w:val="03FD1603"/>
    <w:rsid w:val="04192CDF"/>
    <w:rsid w:val="044243A3"/>
    <w:rsid w:val="0475F287"/>
    <w:rsid w:val="049CD61F"/>
    <w:rsid w:val="0549FD57"/>
    <w:rsid w:val="05579EA5"/>
    <w:rsid w:val="055BBA93"/>
    <w:rsid w:val="05DCBEAA"/>
    <w:rsid w:val="05F3C594"/>
    <w:rsid w:val="0623FD75"/>
    <w:rsid w:val="06EC5602"/>
    <w:rsid w:val="071F5E72"/>
    <w:rsid w:val="075B6BBC"/>
    <w:rsid w:val="078983F9"/>
    <w:rsid w:val="0791C061"/>
    <w:rsid w:val="08146ED6"/>
    <w:rsid w:val="082D78F2"/>
    <w:rsid w:val="08704973"/>
    <w:rsid w:val="08C959C5"/>
    <w:rsid w:val="0901F13A"/>
    <w:rsid w:val="0935F7B9"/>
    <w:rsid w:val="09768863"/>
    <w:rsid w:val="0A115200"/>
    <w:rsid w:val="0A22CC91"/>
    <w:rsid w:val="0A2DF053"/>
    <w:rsid w:val="0A7DE7DA"/>
    <w:rsid w:val="0A860B08"/>
    <w:rsid w:val="0ACCBE9B"/>
    <w:rsid w:val="0AE96C05"/>
    <w:rsid w:val="0AFD790B"/>
    <w:rsid w:val="0B10A9ED"/>
    <w:rsid w:val="0B12E42A"/>
    <w:rsid w:val="0B4B73A8"/>
    <w:rsid w:val="0B4EFF6B"/>
    <w:rsid w:val="0B841D63"/>
    <w:rsid w:val="0B8DA545"/>
    <w:rsid w:val="0BFA0BE6"/>
    <w:rsid w:val="0C07A9EB"/>
    <w:rsid w:val="0C5F4C21"/>
    <w:rsid w:val="0C82AE25"/>
    <w:rsid w:val="0D23DC1F"/>
    <w:rsid w:val="0D398363"/>
    <w:rsid w:val="0D7E2E6D"/>
    <w:rsid w:val="0DF3446F"/>
    <w:rsid w:val="0DF8C57D"/>
    <w:rsid w:val="0E6BFF5B"/>
    <w:rsid w:val="0F87FD5A"/>
    <w:rsid w:val="0F8B622B"/>
    <w:rsid w:val="0F9F5F30"/>
    <w:rsid w:val="0FB77033"/>
    <w:rsid w:val="105B1FF6"/>
    <w:rsid w:val="107B68A6"/>
    <w:rsid w:val="10A59077"/>
    <w:rsid w:val="11503052"/>
    <w:rsid w:val="11534094"/>
    <w:rsid w:val="115BB18E"/>
    <w:rsid w:val="1182ED94"/>
    <w:rsid w:val="11A56BE9"/>
    <w:rsid w:val="11B23EEC"/>
    <w:rsid w:val="11F6F057"/>
    <w:rsid w:val="1220463B"/>
    <w:rsid w:val="12C861F4"/>
    <w:rsid w:val="12F9065E"/>
    <w:rsid w:val="12FC287F"/>
    <w:rsid w:val="13646570"/>
    <w:rsid w:val="13B32A77"/>
    <w:rsid w:val="13CDF779"/>
    <w:rsid w:val="141EE73D"/>
    <w:rsid w:val="143F6A22"/>
    <w:rsid w:val="148AE156"/>
    <w:rsid w:val="14A67399"/>
    <w:rsid w:val="14F58B4C"/>
    <w:rsid w:val="15317E8F"/>
    <w:rsid w:val="15AE597D"/>
    <w:rsid w:val="15B34C27"/>
    <w:rsid w:val="15CCDB5E"/>
    <w:rsid w:val="1633C941"/>
    <w:rsid w:val="16CF4394"/>
    <w:rsid w:val="1753890A"/>
    <w:rsid w:val="17594A86"/>
    <w:rsid w:val="17BB9EB8"/>
    <w:rsid w:val="17C6EF31"/>
    <w:rsid w:val="181EAE36"/>
    <w:rsid w:val="1863A77B"/>
    <w:rsid w:val="18906868"/>
    <w:rsid w:val="192F88C7"/>
    <w:rsid w:val="19558642"/>
    <w:rsid w:val="1A885843"/>
    <w:rsid w:val="1A894A50"/>
    <w:rsid w:val="1A8A9254"/>
    <w:rsid w:val="1A8C045A"/>
    <w:rsid w:val="1AE6AD7F"/>
    <w:rsid w:val="1B1960B4"/>
    <w:rsid w:val="1BFBDED3"/>
    <w:rsid w:val="1C1C59B5"/>
    <w:rsid w:val="1C972836"/>
    <w:rsid w:val="1C98CDCB"/>
    <w:rsid w:val="1CF7AE25"/>
    <w:rsid w:val="1D1058A6"/>
    <w:rsid w:val="1D25A390"/>
    <w:rsid w:val="1DBAAB32"/>
    <w:rsid w:val="1DCDE289"/>
    <w:rsid w:val="1E06651E"/>
    <w:rsid w:val="1EB9C0A2"/>
    <w:rsid w:val="1F4D0D9F"/>
    <w:rsid w:val="1F574C76"/>
    <w:rsid w:val="1FA2DC87"/>
    <w:rsid w:val="1FF4164F"/>
    <w:rsid w:val="2003EF47"/>
    <w:rsid w:val="20AE1D84"/>
    <w:rsid w:val="20CEBB8B"/>
    <w:rsid w:val="216D72E0"/>
    <w:rsid w:val="2263FBBB"/>
    <w:rsid w:val="22A57616"/>
    <w:rsid w:val="23205865"/>
    <w:rsid w:val="23237417"/>
    <w:rsid w:val="237D1B4C"/>
    <w:rsid w:val="23BCF500"/>
    <w:rsid w:val="244C0855"/>
    <w:rsid w:val="24F509B4"/>
    <w:rsid w:val="252A8C17"/>
    <w:rsid w:val="252E8B63"/>
    <w:rsid w:val="2542D962"/>
    <w:rsid w:val="25638E75"/>
    <w:rsid w:val="25B13AE4"/>
    <w:rsid w:val="25B62DE9"/>
    <w:rsid w:val="25FD18A1"/>
    <w:rsid w:val="26029352"/>
    <w:rsid w:val="26688FC7"/>
    <w:rsid w:val="268A4C11"/>
    <w:rsid w:val="2694650A"/>
    <w:rsid w:val="26A8F56D"/>
    <w:rsid w:val="2762205C"/>
    <w:rsid w:val="27B8957A"/>
    <w:rsid w:val="28085812"/>
    <w:rsid w:val="285EFD1A"/>
    <w:rsid w:val="28CC22FB"/>
    <w:rsid w:val="290764F5"/>
    <w:rsid w:val="29897B53"/>
    <w:rsid w:val="29D101F8"/>
    <w:rsid w:val="2A63359D"/>
    <w:rsid w:val="2A720BF1"/>
    <w:rsid w:val="2A99162B"/>
    <w:rsid w:val="2B279786"/>
    <w:rsid w:val="2B39BE22"/>
    <w:rsid w:val="2B5B21CF"/>
    <w:rsid w:val="2BDE3C75"/>
    <w:rsid w:val="2C8758A7"/>
    <w:rsid w:val="2CE96EA3"/>
    <w:rsid w:val="2E1A3118"/>
    <w:rsid w:val="2E68FD2B"/>
    <w:rsid w:val="2F0D440D"/>
    <w:rsid w:val="2F485E07"/>
    <w:rsid w:val="2F4DBE9F"/>
    <w:rsid w:val="2F5176A5"/>
    <w:rsid w:val="2F7A6B5E"/>
    <w:rsid w:val="2F8532BD"/>
    <w:rsid w:val="306635CC"/>
    <w:rsid w:val="318D7493"/>
    <w:rsid w:val="31C0C8E4"/>
    <w:rsid w:val="31F873AA"/>
    <w:rsid w:val="32795639"/>
    <w:rsid w:val="32992D42"/>
    <w:rsid w:val="333C25F9"/>
    <w:rsid w:val="33AC628C"/>
    <w:rsid w:val="33B39629"/>
    <w:rsid w:val="33EF11B9"/>
    <w:rsid w:val="33F83621"/>
    <w:rsid w:val="343A2826"/>
    <w:rsid w:val="34C5C102"/>
    <w:rsid w:val="34FE4176"/>
    <w:rsid w:val="35C89620"/>
    <w:rsid w:val="35D75C73"/>
    <w:rsid w:val="36168D65"/>
    <w:rsid w:val="36718488"/>
    <w:rsid w:val="36AB2727"/>
    <w:rsid w:val="37358167"/>
    <w:rsid w:val="375CF54E"/>
    <w:rsid w:val="3876C314"/>
    <w:rsid w:val="39260DD1"/>
    <w:rsid w:val="39299F12"/>
    <w:rsid w:val="398B2712"/>
    <w:rsid w:val="398C0666"/>
    <w:rsid w:val="39B470D3"/>
    <w:rsid w:val="39C3EB4C"/>
    <w:rsid w:val="39D37506"/>
    <w:rsid w:val="3A2D14D2"/>
    <w:rsid w:val="3A4A47D4"/>
    <w:rsid w:val="3A526730"/>
    <w:rsid w:val="3A7B9A2E"/>
    <w:rsid w:val="3B4E2FF3"/>
    <w:rsid w:val="3C0EC7B9"/>
    <w:rsid w:val="3C8D3DB9"/>
    <w:rsid w:val="3D4E5288"/>
    <w:rsid w:val="3D6A7A39"/>
    <w:rsid w:val="3DCBBDFA"/>
    <w:rsid w:val="3E10D746"/>
    <w:rsid w:val="3E2F670E"/>
    <w:rsid w:val="3E4F6890"/>
    <w:rsid w:val="3EB4C561"/>
    <w:rsid w:val="3EBBBCEE"/>
    <w:rsid w:val="3EEFBE10"/>
    <w:rsid w:val="3F0846AE"/>
    <w:rsid w:val="3F81DB0E"/>
    <w:rsid w:val="3F82E1F4"/>
    <w:rsid w:val="3F8A850C"/>
    <w:rsid w:val="3FEC1F21"/>
    <w:rsid w:val="402C68B9"/>
    <w:rsid w:val="4030382F"/>
    <w:rsid w:val="406F99D4"/>
    <w:rsid w:val="4080C2F1"/>
    <w:rsid w:val="412CCFF9"/>
    <w:rsid w:val="41673AA1"/>
    <w:rsid w:val="4172ACCC"/>
    <w:rsid w:val="417BC94D"/>
    <w:rsid w:val="41856D7A"/>
    <w:rsid w:val="41996ABD"/>
    <w:rsid w:val="41E4F752"/>
    <w:rsid w:val="420CEA2F"/>
    <w:rsid w:val="428C68EC"/>
    <w:rsid w:val="42E47CDE"/>
    <w:rsid w:val="43182229"/>
    <w:rsid w:val="43594C10"/>
    <w:rsid w:val="43A70735"/>
    <w:rsid w:val="4414046F"/>
    <w:rsid w:val="4421C9F2"/>
    <w:rsid w:val="44591A2B"/>
    <w:rsid w:val="4481A3DB"/>
    <w:rsid w:val="44907833"/>
    <w:rsid w:val="44A3176D"/>
    <w:rsid w:val="44C232AB"/>
    <w:rsid w:val="44C6C343"/>
    <w:rsid w:val="44D29680"/>
    <w:rsid w:val="44E326A5"/>
    <w:rsid w:val="44E34D5C"/>
    <w:rsid w:val="451B5220"/>
    <w:rsid w:val="4579294F"/>
    <w:rsid w:val="45C409AE"/>
    <w:rsid w:val="4637D1D6"/>
    <w:rsid w:val="46656A00"/>
    <w:rsid w:val="46BF9B6A"/>
    <w:rsid w:val="46CD267E"/>
    <w:rsid w:val="46E0C21C"/>
    <w:rsid w:val="46ED7755"/>
    <w:rsid w:val="46F21FD9"/>
    <w:rsid w:val="470CD043"/>
    <w:rsid w:val="4806955A"/>
    <w:rsid w:val="48131087"/>
    <w:rsid w:val="486EE253"/>
    <w:rsid w:val="48882BFB"/>
    <w:rsid w:val="48D53E9C"/>
    <w:rsid w:val="48F4A5CA"/>
    <w:rsid w:val="4927E3C6"/>
    <w:rsid w:val="4A64081D"/>
    <w:rsid w:val="4A89F085"/>
    <w:rsid w:val="4B03CB53"/>
    <w:rsid w:val="4B8624E0"/>
    <w:rsid w:val="4BE57B5F"/>
    <w:rsid w:val="4BF52E9F"/>
    <w:rsid w:val="4C1705FE"/>
    <w:rsid w:val="4C514E48"/>
    <w:rsid w:val="4C5DB507"/>
    <w:rsid w:val="4CB7FB69"/>
    <w:rsid w:val="4CE6AF60"/>
    <w:rsid w:val="4CFC0B17"/>
    <w:rsid w:val="4D4C15B7"/>
    <w:rsid w:val="4DF11F7A"/>
    <w:rsid w:val="4E10A0CB"/>
    <w:rsid w:val="4E232B0B"/>
    <w:rsid w:val="4E7202D4"/>
    <w:rsid w:val="4ECECB31"/>
    <w:rsid w:val="4F055B73"/>
    <w:rsid w:val="4F544FCF"/>
    <w:rsid w:val="4FE7D0D8"/>
    <w:rsid w:val="4FF5EB6E"/>
    <w:rsid w:val="502F5798"/>
    <w:rsid w:val="509D8AAC"/>
    <w:rsid w:val="50C296A4"/>
    <w:rsid w:val="5150D165"/>
    <w:rsid w:val="5189E787"/>
    <w:rsid w:val="518F45BA"/>
    <w:rsid w:val="51FA7F48"/>
    <w:rsid w:val="524D40AF"/>
    <w:rsid w:val="52AC21D9"/>
    <w:rsid w:val="532C53B7"/>
    <w:rsid w:val="5397D525"/>
    <w:rsid w:val="53A79626"/>
    <w:rsid w:val="53EC0032"/>
    <w:rsid w:val="5409C996"/>
    <w:rsid w:val="5595C983"/>
    <w:rsid w:val="55B238A5"/>
    <w:rsid w:val="55F6F339"/>
    <w:rsid w:val="56AFBC1C"/>
    <w:rsid w:val="57642287"/>
    <w:rsid w:val="57A62E7D"/>
    <w:rsid w:val="580060DF"/>
    <w:rsid w:val="582719A2"/>
    <w:rsid w:val="5829BDD2"/>
    <w:rsid w:val="586E3001"/>
    <w:rsid w:val="58A41D42"/>
    <w:rsid w:val="591450D0"/>
    <w:rsid w:val="596136A0"/>
    <w:rsid w:val="59CFA141"/>
    <w:rsid w:val="59D833F2"/>
    <w:rsid w:val="59F76B07"/>
    <w:rsid w:val="5A5C1A7A"/>
    <w:rsid w:val="5BC99A1C"/>
    <w:rsid w:val="5C3E9D98"/>
    <w:rsid w:val="5C432689"/>
    <w:rsid w:val="5C974175"/>
    <w:rsid w:val="5CB70EAB"/>
    <w:rsid w:val="5CC1C6AF"/>
    <w:rsid w:val="5CCB6D0A"/>
    <w:rsid w:val="5D8937E1"/>
    <w:rsid w:val="5D8FAA62"/>
    <w:rsid w:val="5DED3EF7"/>
    <w:rsid w:val="5E221AAD"/>
    <w:rsid w:val="5E874B5E"/>
    <w:rsid w:val="5EEE442F"/>
    <w:rsid w:val="5F250842"/>
    <w:rsid w:val="5F2E90CD"/>
    <w:rsid w:val="5F6141F3"/>
    <w:rsid w:val="5F651F05"/>
    <w:rsid w:val="5F8250FD"/>
    <w:rsid w:val="5FA4A5B6"/>
    <w:rsid w:val="5FB78042"/>
    <w:rsid w:val="5FC51CD0"/>
    <w:rsid w:val="5FC6E03D"/>
    <w:rsid w:val="603B6BEF"/>
    <w:rsid w:val="60695FFE"/>
    <w:rsid w:val="6099EEA1"/>
    <w:rsid w:val="609A1842"/>
    <w:rsid w:val="612DA3F6"/>
    <w:rsid w:val="6208F9ED"/>
    <w:rsid w:val="6263599B"/>
    <w:rsid w:val="62BB3FAA"/>
    <w:rsid w:val="6304D63F"/>
    <w:rsid w:val="635141EB"/>
    <w:rsid w:val="6357173E"/>
    <w:rsid w:val="63ADF462"/>
    <w:rsid w:val="63BD8CF5"/>
    <w:rsid w:val="63F926BB"/>
    <w:rsid w:val="64BE5040"/>
    <w:rsid w:val="6514445D"/>
    <w:rsid w:val="6533FCFB"/>
    <w:rsid w:val="6599B291"/>
    <w:rsid w:val="664F7040"/>
    <w:rsid w:val="668CD848"/>
    <w:rsid w:val="66B75EC5"/>
    <w:rsid w:val="66BEA480"/>
    <w:rsid w:val="6709A76F"/>
    <w:rsid w:val="6713C27B"/>
    <w:rsid w:val="6753A2F9"/>
    <w:rsid w:val="675EF24B"/>
    <w:rsid w:val="67C3F3E8"/>
    <w:rsid w:val="67FDCF09"/>
    <w:rsid w:val="680ACEE0"/>
    <w:rsid w:val="680F43CB"/>
    <w:rsid w:val="688A9507"/>
    <w:rsid w:val="68A577D0"/>
    <w:rsid w:val="690B261A"/>
    <w:rsid w:val="6923F8B8"/>
    <w:rsid w:val="695C070B"/>
    <w:rsid w:val="6971DF2D"/>
    <w:rsid w:val="698EE700"/>
    <w:rsid w:val="69E1CA27"/>
    <w:rsid w:val="6A7950A5"/>
    <w:rsid w:val="6A9684F2"/>
    <w:rsid w:val="6AABA0FB"/>
    <w:rsid w:val="6AD52290"/>
    <w:rsid w:val="6ADE6D4C"/>
    <w:rsid w:val="6B25DD43"/>
    <w:rsid w:val="6B81C3FB"/>
    <w:rsid w:val="6B8D9154"/>
    <w:rsid w:val="6BC4E071"/>
    <w:rsid w:val="6C1CE297"/>
    <w:rsid w:val="6C395AF7"/>
    <w:rsid w:val="6C498E62"/>
    <w:rsid w:val="6C6809A9"/>
    <w:rsid w:val="6CF318DC"/>
    <w:rsid w:val="6D1CD0AD"/>
    <w:rsid w:val="6D3AFD8E"/>
    <w:rsid w:val="6DED4338"/>
    <w:rsid w:val="6E623799"/>
    <w:rsid w:val="6EA4BFAE"/>
    <w:rsid w:val="6EEFA002"/>
    <w:rsid w:val="6F0D9D31"/>
    <w:rsid w:val="6F446EE3"/>
    <w:rsid w:val="6FB2E8DA"/>
    <w:rsid w:val="6FD88FFA"/>
    <w:rsid w:val="6FDBD58D"/>
    <w:rsid w:val="7040BA40"/>
    <w:rsid w:val="7049D94B"/>
    <w:rsid w:val="70A212CD"/>
    <w:rsid w:val="70C5FA2B"/>
    <w:rsid w:val="712892A1"/>
    <w:rsid w:val="712D762E"/>
    <w:rsid w:val="7187456A"/>
    <w:rsid w:val="71E5A9AC"/>
    <w:rsid w:val="722B932A"/>
    <w:rsid w:val="72D4713F"/>
    <w:rsid w:val="7373C55D"/>
    <w:rsid w:val="739D2788"/>
    <w:rsid w:val="73A326A7"/>
    <w:rsid w:val="73AA3F12"/>
    <w:rsid w:val="73B3C189"/>
    <w:rsid w:val="73EEE665"/>
    <w:rsid w:val="7418E0EA"/>
    <w:rsid w:val="7461A1E8"/>
    <w:rsid w:val="748CC39C"/>
    <w:rsid w:val="74D62445"/>
    <w:rsid w:val="7549570D"/>
    <w:rsid w:val="75C5CFD7"/>
    <w:rsid w:val="7604121E"/>
    <w:rsid w:val="76BCD450"/>
    <w:rsid w:val="76C8B777"/>
    <w:rsid w:val="76CB98CB"/>
    <w:rsid w:val="76D4C84A"/>
    <w:rsid w:val="775CC550"/>
    <w:rsid w:val="778B1787"/>
    <w:rsid w:val="7793D516"/>
    <w:rsid w:val="78938161"/>
    <w:rsid w:val="78C905C2"/>
    <w:rsid w:val="78F14DF8"/>
    <w:rsid w:val="79457F8B"/>
    <w:rsid w:val="794B82E5"/>
    <w:rsid w:val="79F36E17"/>
    <w:rsid w:val="79FB784D"/>
    <w:rsid w:val="7A0BA077"/>
    <w:rsid w:val="7A2CFDF9"/>
    <w:rsid w:val="7A41836A"/>
    <w:rsid w:val="7A49D10C"/>
    <w:rsid w:val="7A64D623"/>
    <w:rsid w:val="7A9757B8"/>
    <w:rsid w:val="7B1F466B"/>
    <w:rsid w:val="7B55887D"/>
    <w:rsid w:val="7B8A0DE0"/>
    <w:rsid w:val="7B8E0F15"/>
    <w:rsid w:val="7C6CEC55"/>
    <w:rsid w:val="7CBFF2A8"/>
    <w:rsid w:val="7CE72CB1"/>
    <w:rsid w:val="7D02E383"/>
    <w:rsid w:val="7D9C76E5"/>
    <w:rsid w:val="7DC77F6D"/>
    <w:rsid w:val="7E0D2304"/>
    <w:rsid w:val="7E92CBBA"/>
    <w:rsid w:val="7F5A72AB"/>
    <w:rsid w:val="7F714BF3"/>
    <w:rsid w:val="7FB1293E"/>
    <w:rsid w:val="7FB33440"/>
    <w:rsid w:val="7FCFE49F"/>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3ABF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99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4231F6"/>
    <w:pPr>
      <w:keepNext/>
      <w:tabs>
        <w:tab w:val="clear" w:pos="432"/>
      </w:tabs>
      <w:spacing w:before="240" w:after="240" w:line="240" w:lineRule="auto"/>
      <w:ind w:left="720" w:hanging="720"/>
      <w:outlineLvl w:val="2"/>
    </w:pPr>
    <w:rPr>
      <w:b/>
    </w:rPr>
  </w:style>
  <w:style w:type="paragraph" w:styleId="Heading4">
    <w:name w:val="heading 4"/>
    <w:basedOn w:val="Normal"/>
    <w:next w:val="Normal"/>
    <w:qFormat/>
    <w:rsid w:val="000B11C7"/>
    <w:pPr>
      <w:keepNext/>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6A053E"/>
    <w:pPr>
      <w:tabs>
        <w:tab w:val="left" w:pos="1008"/>
        <w:tab w:val="right" w:leader="dot" w:pos="9360"/>
      </w:tabs>
      <w:spacing w:after="240"/>
      <w:ind w:left="1008" w:right="1080" w:hanging="1008"/>
    </w:pPr>
    <w:rPr>
      <w:rFonts w:ascii="Arial" w:hAnsi="Arial" w:cs="Arial"/>
      <w:b/>
      <w:noProof/>
      <w:sz w:val="22"/>
      <w:szCs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DE3D66"/>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5F0835"/>
    <w:pPr>
      <w:tabs>
        <w:tab w:val="right" w:leader="dot" w:pos="9360"/>
      </w:tabs>
      <w:spacing w:after="120"/>
      <w:ind w:left="1440" w:right="576" w:hanging="720"/>
    </w:pPr>
    <w:rPr>
      <w:rFonts w:ascii="Arial" w:hAnsi="Arial"/>
      <w:sz w:val="20"/>
    </w:rPr>
  </w:style>
  <w:style w:type="paragraph" w:styleId="TOC3">
    <w:name w:val="toc 3"/>
    <w:next w:val="Normal"/>
    <w:autoRedefine/>
    <w:uiPriority w:val="39"/>
    <w:qFormat/>
    <w:rsid w:val="001270BD"/>
    <w:pPr>
      <w:spacing w:after="120" w:line="240" w:lineRule="exact"/>
      <w:ind w:left="2160" w:right="144" w:hanging="720"/>
    </w:pPr>
    <w:rPr>
      <w:rFonts w:ascii="Arial" w:hAnsi="Arial"/>
      <w:sz w:val="20"/>
    </w:rPr>
  </w:style>
  <w:style w:type="paragraph" w:styleId="TOC4">
    <w:name w:val="toc 4"/>
    <w:next w:val="Normal"/>
    <w:autoRedefine/>
    <w:qFormat/>
    <w:rsid w:val="00286495"/>
    <w:pPr>
      <w:tabs>
        <w:tab w:val="left" w:pos="1440"/>
        <w:tab w:val="right" w:leader="dot" w:pos="9360"/>
      </w:tabs>
      <w:ind w:left="2390" w:hanging="475"/>
    </w:pPr>
    <w:rPr>
      <w:rFonts w:ascii="Arial" w:hAnsi="Arial"/>
      <w:noProof/>
    </w:rPr>
  </w:style>
  <w:style w:type="paragraph" w:styleId="FootnoteText">
    <w:name w:val="footnote text"/>
    <w:aliases w:val="F,Footnote Text2"/>
    <w:basedOn w:val="Normal"/>
    <w:link w:val="FootnoteTextChar"/>
    <w:qFormat/>
    <w:rsid w:val="000B11C7"/>
    <w:pPr>
      <w:spacing w:after="120" w:line="240" w:lineRule="auto"/>
      <w:ind w:firstLine="0"/>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DB6227"/>
    <w:pPr>
      <w:numPr>
        <w:numId w:val="1"/>
      </w:numPr>
      <w:tabs>
        <w:tab w:val="left" w:pos="360"/>
        <w:tab w:val="clear" w:pos="432"/>
      </w:tabs>
      <w:spacing w:after="120" w:line="240" w:lineRule="auto"/>
      <w:ind w:right="360"/>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qForma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E3D66"/>
    <w:pPr>
      <w:keepNext/>
      <w:spacing w:after="60" w:line="240" w:lineRule="auto"/>
      <w:ind w:firstLine="0"/>
    </w:pPr>
    <w:rPr>
      <w:rFonts w:ascii="Arial" w:hAnsi="Arial"/>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DE3D66"/>
  </w:style>
  <w:style w:type="paragraph" w:customStyle="1" w:styleId="MarkforExhibitHeading">
    <w:name w:val="Mark for Exhibit Heading"/>
    <w:basedOn w:val="Normal"/>
    <w:next w:val="Normal"/>
    <w:qFormat/>
    <w:rsid w:val="00DE3D66"/>
    <w:pPr>
      <w:keepNext/>
      <w:spacing w:after="60" w:line="240" w:lineRule="auto"/>
      <w:ind w:firstLine="0"/>
    </w:pPr>
    <w:rPr>
      <w:rFonts w:ascii="Arial" w:hAnsi="Arial"/>
      <w:b/>
      <w:sz w:val="18"/>
    </w:rPr>
  </w:style>
  <w:style w:type="paragraph" w:styleId="TableofFigures">
    <w:name w:val="table of figures"/>
    <w:basedOn w:val="Normal"/>
    <w:next w:val="Normal"/>
    <w:uiPriority w:val="99"/>
    <w:rsid w:val="00DA68A7"/>
    <w:pPr>
      <w:tabs>
        <w:tab w:val="clear" w:pos="432"/>
        <w:tab w:val="left" w:pos="1008"/>
        <w:tab w:val="right" w:leader="dot" w:pos="9360"/>
      </w:tabs>
      <w:spacing w:after="240" w:line="240" w:lineRule="auto"/>
      <w:ind w:left="1728" w:right="1080" w:hanging="1008"/>
      <w:jc w:val="left"/>
    </w:pPr>
    <w:rPr>
      <w:rFonts w:ascii="Arial" w:hAnsi="Arial"/>
      <w:sz w:val="20"/>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numPr>
        <w:numId w:val="0"/>
      </w:numPr>
      <w:spacing w:after="240"/>
    </w:pPr>
  </w:style>
  <w:style w:type="paragraph" w:styleId="ListParagraph">
    <w:name w:val="List Paragraph"/>
    <w:basedOn w:val="Normal"/>
    <w:uiPriority w:val="34"/>
    <w:qFormat/>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E3D66"/>
    <w:pPr>
      <w:spacing w:after="120"/>
      <w:ind w:firstLine="0"/>
    </w:pPr>
    <w:rPr>
      <w:rFonts w:ascii="Arial" w:hAnsi="Arial"/>
      <w:sz w:val="18"/>
    </w:rPr>
  </w:style>
  <w:style w:type="paragraph" w:customStyle="1" w:styleId="TableHeaderCenter">
    <w:name w:val="Table Header Center"/>
    <w:basedOn w:val="NormalSS"/>
    <w:qFormat/>
    <w:rsid w:val="0083013A"/>
    <w:pPr>
      <w:spacing w:before="120" w:after="60"/>
      <w:ind w:firstLine="0"/>
      <w:jc w:val="center"/>
    </w:pPr>
    <w:rPr>
      <w:rFonts w:ascii="Arial" w:hAnsi="Arial"/>
      <w:b/>
      <w:color w:val="FFFFFF" w:themeColor="background1"/>
      <w:sz w:val="18"/>
    </w:rPr>
  </w:style>
  <w:style w:type="paragraph" w:customStyle="1" w:styleId="TableHeaderLeft">
    <w:name w:val="Table Header Left"/>
    <w:basedOn w:val="NormalSS"/>
    <w:qFormat/>
    <w:rsid w:val="0083013A"/>
    <w:pPr>
      <w:spacing w:before="120" w:after="60"/>
      <w:ind w:firstLine="0"/>
      <w:jc w:val="left"/>
    </w:pPr>
    <w:rPr>
      <w:rFonts w:ascii="Arial" w:hAnsi="Arial"/>
      <w:b/>
      <w:color w:val="FFFFFF" w:themeColor="background1"/>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E3D66"/>
    <w:pPr>
      <w:tabs>
        <w:tab w:val="clear" w:pos="432"/>
      </w:tabs>
      <w:spacing w:after="0"/>
      <w:ind w:firstLine="0"/>
      <w:jc w:val="left"/>
    </w:pPr>
    <w:rPr>
      <w:rFonts w:ascii="Arial" w:hAnsi="Arial"/>
      <w:sz w:val="18"/>
    </w:rPr>
  </w:style>
  <w:style w:type="paragraph" w:customStyle="1" w:styleId="TableSourceCaption">
    <w:name w:val="Table Source_Caption"/>
    <w:basedOn w:val="NormalSS"/>
    <w:qFormat/>
    <w:rsid w:val="001376A3"/>
    <w:pPr>
      <w:tabs>
        <w:tab w:val="clear" w:pos="432"/>
      </w:tabs>
      <w:spacing w:before="60" w:after="120"/>
      <w:ind w:left="1080" w:hanging="1080"/>
    </w:pPr>
    <w:rPr>
      <w:rFonts w:ascii="Arial" w:hAnsi="Arial"/>
      <w:sz w:val="18"/>
    </w:rPr>
  </w:style>
  <w:style w:type="paragraph" w:customStyle="1" w:styleId="AcknowledgmentnoTOCBlack">
    <w:name w:val="Acknowledgment no TOC_Black"/>
    <w:basedOn w:val="Normal"/>
    <w:next w:val="Normal"/>
    <w:qFormat/>
    <w:rsid w:val="00FF57D8"/>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left" w:pos="360"/>
        <w:tab w:val="clear" w:pos="432"/>
      </w:tabs>
      <w:spacing w:after="120" w:line="240" w:lineRule="auto"/>
      <w:ind w:right="360"/>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9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F4D24"/>
    <w:pPr>
      <w:keepNext/>
      <w:tabs>
        <w:tab w:val="left" w:pos="288"/>
        <w:tab w:val="clear" w:pos="432"/>
      </w:tabs>
      <w:spacing w:after="240" w:line="240" w:lineRule="auto"/>
      <w:ind w:left="288" w:hanging="288"/>
      <w:outlineLvl w:val="1"/>
    </w:pPr>
    <w:rPr>
      <w:rFonts w:ascii="Arial" w:hAnsi="Arial"/>
      <w:b/>
      <w:sz w:val="20"/>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DE3D66"/>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DE3D66"/>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DE3D66"/>
    <w:pPr>
      <w:spacing w:after="0"/>
    </w:pPr>
  </w:style>
  <w:style w:type="paragraph" w:customStyle="1" w:styleId="TitleofDocumentVertical">
    <w:name w:val="Title of Document Vertical"/>
    <w:basedOn w:val="Normal"/>
    <w:qFormat/>
    <w:rsid w:val="00DE3D66"/>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E3D66"/>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6F2F93"/>
    <w:rPr>
      <w:rFonts w:ascii="Arial" w:hAnsi="Arial"/>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E3D6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E3D6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qFormat/>
    <w:rsid w:val="005F0835"/>
    <w:pPr>
      <w:tabs>
        <w:tab w:val="left" w:pos="1872"/>
        <w:tab w:val="right" w:leader="dot" w:pos="9360"/>
      </w:tabs>
      <w:spacing w:before="180" w:after="120"/>
      <w:ind w:left="720" w:hanging="720"/>
    </w:pPr>
    <w:rPr>
      <w:rFonts w:ascii="Arial" w:hAnsi="Arial"/>
      <w:caps/>
      <w:sz w:val="20"/>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styleId="DocumentMap">
    <w:name w:val="Document Map"/>
    <w:basedOn w:val="Normal"/>
    <w:link w:val="DocumentMapChar"/>
    <w:uiPriority w:val="99"/>
    <w:semiHidden/>
    <w:unhideWhenUsed/>
    <w:rsid w:val="00742990"/>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42990"/>
    <w:rPr>
      <w:rFonts w:ascii="Tahoma" w:hAnsi="Tahoma" w:cs="Tahoma"/>
      <w:sz w:val="16"/>
      <w:szCs w:val="16"/>
    </w:rPr>
  </w:style>
  <w:style w:type="character" w:styleId="CommentReference">
    <w:name w:val="annotation reference"/>
    <w:basedOn w:val="DefaultParagraphFont"/>
    <w:uiPriority w:val="99"/>
    <w:unhideWhenUsed/>
    <w:rsid w:val="00742990"/>
    <w:rPr>
      <w:sz w:val="16"/>
      <w:szCs w:val="16"/>
    </w:rPr>
  </w:style>
  <w:style w:type="paragraph" w:styleId="CommentText">
    <w:name w:val="annotation text"/>
    <w:basedOn w:val="Normal"/>
    <w:link w:val="CommentTextChar"/>
    <w:unhideWhenUsed/>
    <w:rsid w:val="00742990"/>
    <w:pPr>
      <w:spacing w:line="240" w:lineRule="auto"/>
    </w:pPr>
    <w:rPr>
      <w:sz w:val="20"/>
      <w:szCs w:val="20"/>
    </w:rPr>
  </w:style>
  <w:style w:type="character" w:customStyle="1" w:styleId="CommentTextChar">
    <w:name w:val="Comment Text Char"/>
    <w:basedOn w:val="DefaultParagraphFont"/>
    <w:link w:val="CommentText"/>
    <w:rsid w:val="00742990"/>
    <w:rPr>
      <w:sz w:val="20"/>
      <w:szCs w:val="20"/>
    </w:rPr>
  </w:style>
  <w:style w:type="paragraph" w:styleId="CommentSubject">
    <w:name w:val="annotation subject"/>
    <w:basedOn w:val="CommentText"/>
    <w:next w:val="CommentText"/>
    <w:link w:val="CommentSubjectChar"/>
    <w:uiPriority w:val="99"/>
    <w:semiHidden/>
    <w:unhideWhenUsed/>
    <w:rsid w:val="00742990"/>
    <w:rPr>
      <w:b/>
      <w:bCs/>
    </w:rPr>
  </w:style>
  <w:style w:type="character" w:customStyle="1" w:styleId="CommentSubjectChar">
    <w:name w:val="Comment Subject Char"/>
    <w:basedOn w:val="CommentTextChar"/>
    <w:link w:val="CommentSubject"/>
    <w:uiPriority w:val="99"/>
    <w:semiHidden/>
    <w:rsid w:val="00742990"/>
    <w:rPr>
      <w:b/>
      <w:bCs/>
      <w:sz w:val="20"/>
      <w:szCs w:val="20"/>
    </w:rPr>
  </w:style>
  <w:style w:type="character" w:customStyle="1" w:styleId="FootnoteTextChar">
    <w:name w:val="Footnote Text Char"/>
    <w:aliases w:val="F Char,Footnote Text2 Char"/>
    <w:basedOn w:val="DefaultParagraphFont"/>
    <w:link w:val="FootnoteText"/>
    <w:rsid w:val="000B11C7"/>
    <w:rPr>
      <w:sz w:val="20"/>
    </w:rPr>
  </w:style>
  <w:style w:type="paragraph" w:styleId="Revision">
    <w:name w:val="Revision"/>
    <w:hidden/>
    <w:uiPriority w:val="99"/>
    <w:semiHidden/>
    <w:rsid w:val="00A12161"/>
  </w:style>
  <w:style w:type="character" w:customStyle="1" w:styleId="NormalSSChar">
    <w:name w:val="NormalSS Char"/>
    <w:basedOn w:val="DefaultParagraphFont"/>
    <w:link w:val="NormalSS"/>
    <w:locked/>
    <w:rsid w:val="00D15439"/>
  </w:style>
  <w:style w:type="paragraph" w:customStyle="1" w:styleId="Bullet">
    <w:name w:val="Bullet"/>
    <w:basedOn w:val="Normal"/>
    <w:qFormat/>
    <w:rsid w:val="00B21DFB"/>
    <w:pPr>
      <w:numPr>
        <w:numId w:val="22"/>
      </w:numPr>
      <w:spacing w:after="120" w:line="240" w:lineRule="auto"/>
      <w:ind w:left="432" w:hanging="432"/>
      <w:jc w:val="left"/>
    </w:pPr>
    <w:rPr>
      <w:rFonts w:ascii="Times New Roman" w:hAnsi="Times New Roman"/>
      <w:szCs w:val="20"/>
    </w:rPr>
  </w:style>
  <w:style w:type="paragraph" w:customStyle="1" w:styleId="MarkforTableTitle">
    <w:name w:val="Mark for Table Title"/>
    <w:basedOn w:val="Normal"/>
    <w:next w:val="NormalSS"/>
    <w:qFormat/>
    <w:rsid w:val="00B21DFB"/>
    <w:pPr>
      <w:keepNext/>
      <w:tabs>
        <w:tab w:val="clear" w:pos="432"/>
      </w:tabs>
      <w:spacing w:after="60" w:line="240" w:lineRule="auto"/>
      <w:ind w:firstLine="0"/>
      <w:jc w:val="left"/>
    </w:pPr>
    <w:rPr>
      <w:rFonts w:ascii="Arial Black" w:hAnsi="Arial Black"/>
      <w:color w:val="223767"/>
      <w:sz w:val="22"/>
      <w:szCs w:val="20"/>
    </w:rPr>
  </w:style>
  <w:style w:type="paragraph" w:customStyle="1" w:styleId="H4Number">
    <w:name w:val="H4_Number"/>
    <w:basedOn w:val="Heading3"/>
    <w:next w:val="NormalSS"/>
    <w:link w:val="H4NumberChar"/>
    <w:qFormat/>
    <w:rsid w:val="00B21DFB"/>
    <w:pPr>
      <w:spacing w:after="120"/>
      <w:jc w:val="left"/>
      <w:outlineLvl w:val="3"/>
    </w:pPr>
    <w:rPr>
      <w:rFonts w:ascii="Times New Roman" w:hAnsi="Times New Roman"/>
      <w:color w:val="223767"/>
      <w:szCs w:val="20"/>
    </w:rPr>
  </w:style>
  <w:style w:type="character" w:customStyle="1" w:styleId="H4NumberChar">
    <w:name w:val="H4_Number Char"/>
    <w:basedOn w:val="DefaultParagraphFont"/>
    <w:link w:val="H4Number"/>
    <w:rsid w:val="00B21DFB"/>
    <w:rPr>
      <w:rFonts w:ascii="Times New Roman" w:hAnsi="Times New Roman"/>
      <w:b/>
      <w:color w:val="223767"/>
      <w:szCs w:val="20"/>
    </w:rPr>
  </w:style>
  <w:style w:type="paragraph" w:customStyle="1" w:styleId="H3Alpha">
    <w:name w:val="H3_Alpha"/>
    <w:basedOn w:val="Heading2"/>
    <w:next w:val="NormalSS"/>
    <w:link w:val="H3AlphaChar"/>
    <w:qFormat/>
    <w:rsid w:val="00837008"/>
    <w:pPr>
      <w:spacing w:after="120"/>
      <w:jc w:val="left"/>
      <w:outlineLvl w:val="2"/>
    </w:pPr>
    <w:rPr>
      <w:rFonts w:ascii="Arial Black" w:hAnsi="Arial Black"/>
      <w:b w:val="0"/>
      <w:caps w:val="0"/>
      <w:color w:val="223767"/>
      <w:sz w:val="22"/>
      <w:szCs w:val="20"/>
    </w:rPr>
  </w:style>
  <w:style w:type="character" w:customStyle="1" w:styleId="H3AlphaChar">
    <w:name w:val="H3_Alpha Char"/>
    <w:basedOn w:val="DefaultParagraphFont"/>
    <w:link w:val="H3Alpha"/>
    <w:rsid w:val="00837008"/>
    <w:rPr>
      <w:rFonts w:ascii="Arial Black" w:hAnsi="Arial Black"/>
      <w:color w:val="223767"/>
      <w:sz w:val="22"/>
      <w:szCs w:val="20"/>
    </w:rPr>
  </w:style>
  <w:style w:type="character" w:customStyle="1" w:styleId="slug-vol">
    <w:name w:val="slug-vol"/>
    <w:basedOn w:val="DefaultParagraphFont"/>
    <w:rsid w:val="00837008"/>
  </w:style>
  <w:style w:type="character" w:customStyle="1" w:styleId="NumberedBulletChar">
    <w:name w:val="Numbered Bullet Char"/>
    <w:basedOn w:val="DefaultParagraphFont"/>
    <w:link w:val="NumberedBullet"/>
    <w:rsid w:val="00FB31F1"/>
  </w:style>
  <w:style w:type="paragraph" w:customStyle="1" w:styleId="H5Lower">
    <w:name w:val="H5_Lower"/>
    <w:basedOn w:val="Heading4"/>
    <w:next w:val="NormalSS"/>
    <w:link w:val="H5LowerChar"/>
    <w:qFormat/>
    <w:rsid w:val="00FB31F1"/>
    <w:pPr>
      <w:spacing w:after="120"/>
      <w:jc w:val="left"/>
      <w:outlineLvl w:val="4"/>
    </w:pPr>
    <w:rPr>
      <w:rFonts w:ascii="Times New Roman" w:hAnsi="Times New Roman"/>
      <w:color w:val="000000" w:themeColor="text1"/>
      <w:szCs w:val="20"/>
    </w:rPr>
  </w:style>
  <w:style w:type="character" w:customStyle="1" w:styleId="H5LowerChar">
    <w:name w:val="H5_Lower Char"/>
    <w:basedOn w:val="DefaultParagraphFont"/>
    <w:link w:val="H5Lower"/>
    <w:rsid w:val="00FB31F1"/>
    <w:rPr>
      <w:rFonts w:ascii="Times New Roman" w:hAnsi="Times New Roman"/>
      <w:b/>
      <w:color w:val="000000" w:themeColor="text1"/>
      <w:szCs w:val="20"/>
    </w:rPr>
  </w:style>
  <w:style w:type="table" w:customStyle="1" w:styleId="MPRBaseTable">
    <w:name w:val="MPR Base Table"/>
    <w:basedOn w:val="TableNormal"/>
    <w:uiPriority w:val="99"/>
    <w:rsid w:val="0066610B"/>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CC5646"/>
    <w:pPr>
      <w:textboxTightWrap w:val="allLines"/>
      <w:spacing w:line="360" w:lineRule="auto"/>
      <w:contextualSpacing/>
    </w:pPr>
    <w:rPr>
      <w:rFonts w:ascii="Arial" w:hAnsi="Arial" w:eastAsiaTheme="minorEastAsia" w:cstheme="minorBidi"/>
      <w:sz w:val="18"/>
    </w:rPr>
    <w:tblPr>
      <w:tblStyleRowBandSize w:val="1"/>
      <w:tblBorders>
        <w:bottom w:val="single" w:sz="4" w:space="0" w:color="auto"/>
      </w:tblBorders>
    </w:tblPr>
    <w:tblStylePr w:type="firstRow">
      <w:pPr>
        <w:wordWrap/>
        <w:spacing w:beforeLines="0" w:beforeAutospacing="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Lines="0" w:beforeAutospacing="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character" w:styleId="Hyperlink">
    <w:name w:val="Hyperlink"/>
    <w:basedOn w:val="DefaultParagraphFont"/>
    <w:uiPriority w:val="99"/>
    <w:unhideWhenUsed/>
    <w:rsid w:val="00F80B8F"/>
    <w:rPr>
      <w:color w:val="0000FF" w:themeColor="hyperlink"/>
      <w:u w:val="single"/>
    </w:rPr>
  </w:style>
  <w:style w:type="paragraph" w:customStyle="1" w:styleId="TableHeaderSpan">
    <w:name w:val="Table Header Span"/>
    <w:basedOn w:val="TableHeaderCenter"/>
    <w:qFormat/>
    <w:rsid w:val="0083013A"/>
    <w:pPr>
      <w:pBdr>
        <w:bottom w:val="single" w:sz="4" w:space="2" w:color="FFFFFF" w:themeColor="background1"/>
      </w:pBdr>
      <w:ind w:left="144" w:right="144"/>
    </w:pPr>
  </w:style>
  <w:style w:type="character" w:styleId="FollowedHyperlink">
    <w:name w:val="FollowedHyperlink"/>
    <w:basedOn w:val="DefaultParagraphFont"/>
    <w:uiPriority w:val="99"/>
    <w:semiHidden/>
    <w:unhideWhenUsed/>
    <w:rsid w:val="00DD473D"/>
    <w:rPr>
      <w:color w:val="800080" w:themeColor="followedHyperlink"/>
      <w:u w:val="single"/>
    </w:rPr>
  </w:style>
  <w:style w:type="character" w:customStyle="1" w:styleId="Heading3Char">
    <w:name w:val="Heading 3 Char"/>
    <w:basedOn w:val="DefaultParagraphFont"/>
    <w:link w:val="Heading3"/>
    <w:rsid w:val="004231F6"/>
    <w:rPr>
      <w:b/>
    </w:rPr>
  </w:style>
  <w:style w:type="character" w:customStyle="1" w:styleId="UnresolvedMention1">
    <w:name w:val="Unresolved Mention1"/>
    <w:basedOn w:val="DefaultParagraphFont"/>
    <w:uiPriority w:val="99"/>
    <w:semiHidden/>
    <w:unhideWhenUsed/>
    <w:rsid w:val="004F0976"/>
    <w:rPr>
      <w:color w:val="605E5C"/>
      <w:shd w:val="clear" w:color="auto" w:fill="E1DFDD"/>
    </w:rPr>
  </w:style>
  <w:style w:type="paragraph" w:customStyle="1" w:styleId="TableTextLeft">
    <w:name w:val="Table Text Left"/>
    <w:qFormat/>
    <w:rsid w:val="00DF196B"/>
    <w:pPr>
      <w:spacing w:before="40" w:after="20" w:line="264" w:lineRule="auto"/>
    </w:pPr>
    <w:rPr>
      <w:rFonts w:ascii="Arial" w:hAnsi="Arial" w:eastAsiaTheme="minorHAnsi" w:cs="Arial"/>
      <w:color w:val="000000" w:themeColor="text1"/>
      <w:sz w:val="18"/>
      <w:szCs w:val="22"/>
    </w:rPr>
  </w:style>
  <w:style w:type="paragraph" w:customStyle="1" w:styleId="TableTextDecimalWide">
    <w:name w:val="Table Text Decimal Wide"/>
    <w:basedOn w:val="Normal"/>
    <w:qFormat/>
    <w:rsid w:val="00A07743"/>
    <w:pPr>
      <w:tabs>
        <w:tab w:val="clear" w:pos="432"/>
        <w:tab w:val="decimal" w:pos="864"/>
      </w:tabs>
      <w:spacing w:before="40" w:after="20" w:line="264" w:lineRule="auto"/>
      <w:ind w:firstLine="0"/>
      <w:jc w:val="left"/>
    </w:pPr>
    <w:rPr>
      <w:rFonts w:asciiTheme="majorHAnsi" w:eastAsiaTheme="minorHAnsi" w:hAnsiTheme="majorHAnsi" w:cstheme="minorBidi"/>
      <w:color w:val="000000" w:themeColor="text1"/>
      <w:sz w:val="18"/>
      <w:szCs w:val="22"/>
    </w:rPr>
  </w:style>
  <w:style w:type="paragraph" w:customStyle="1" w:styleId="TableTextIndent">
    <w:name w:val="Table Text Indent"/>
    <w:basedOn w:val="TableTextLeft"/>
    <w:qFormat/>
    <w:rsid w:val="00A07743"/>
    <w:pPr>
      <w:ind w:left="216"/>
    </w:pPr>
  </w:style>
  <w:style w:type="paragraph" w:customStyle="1" w:styleId="TableTextDecimal">
    <w:name w:val="Table Text Decimal"/>
    <w:basedOn w:val="TableTextLeft"/>
    <w:qFormat/>
    <w:rsid w:val="00A07743"/>
    <w:pPr>
      <w:tabs>
        <w:tab w:val="decimal" w:pos="576"/>
      </w:tabs>
    </w:pPr>
  </w:style>
  <w:style w:type="character" w:styleId="UnresolvedMention">
    <w:name w:val="Unresolved Mention"/>
    <w:basedOn w:val="DefaultParagraphFont"/>
    <w:uiPriority w:val="99"/>
    <w:semiHidden/>
    <w:unhideWhenUsed/>
    <w:rsid w:val="00423730"/>
    <w:rPr>
      <w:color w:val="605E5C"/>
      <w:shd w:val="clear" w:color="auto" w:fill="E1DFDD"/>
    </w:rPr>
  </w:style>
  <w:style w:type="character" w:customStyle="1" w:styleId="normaltextrun">
    <w:name w:val="normaltextrun"/>
    <w:basedOn w:val="DefaultParagraphFont"/>
    <w:rsid w:val="0086704F"/>
  </w:style>
  <w:style w:type="character" w:styleId="Mention">
    <w:name w:val="Mention"/>
    <w:basedOn w:val="DefaultParagraphFont"/>
    <w:uiPriority w:val="99"/>
    <w:unhideWhenUsed/>
    <w:rsid w:val="0086704F"/>
    <w:rPr>
      <w:color w:val="2B579A"/>
      <w:shd w:val="clear" w:color="auto" w:fill="E1DFDD"/>
    </w:rPr>
  </w:style>
  <w:style w:type="character" w:customStyle="1" w:styleId="findhit">
    <w:name w:val="findhit"/>
    <w:basedOn w:val="DefaultParagraphFont"/>
    <w:rsid w:val="003E6DB4"/>
  </w:style>
  <w:style w:type="character" w:customStyle="1" w:styleId="eop">
    <w:name w:val="eop"/>
    <w:basedOn w:val="DefaultParagraphFont"/>
    <w:rsid w:val="003E6DB4"/>
  </w:style>
  <w:style w:type="paragraph" w:customStyle="1" w:styleId="ExhibitFootnote">
    <w:name w:val="Exhibit Footnote"/>
    <w:basedOn w:val="Normal"/>
    <w:uiPriority w:val="1"/>
    <w:qFormat/>
    <w:rsid w:val="000951D3"/>
    <w:pPr>
      <w:spacing w:before="40" w:after="40" w:line="200" w:lineRule="atLeast"/>
    </w:pPr>
    <w:rPr>
      <w:rFonts w:asciiTheme="majorHAnsi" w:eastAsiaTheme="minorEastAsia" w:hAnsiTheme="majorHAnsi" w:cstheme="minorBidi"/>
      <w:color w:val="000000" w:themeColor="text1"/>
      <w:sz w:val="16"/>
      <w:szCs w:val="16"/>
    </w:rPr>
  </w:style>
  <w:style w:type="paragraph" w:customStyle="1" w:styleId="ExhibitSource">
    <w:name w:val="Exhibit Source"/>
    <w:basedOn w:val="Normal"/>
    <w:uiPriority w:val="1"/>
    <w:qFormat/>
    <w:rsid w:val="000951D3"/>
    <w:pPr>
      <w:spacing w:before="40" w:after="40" w:line="200" w:lineRule="atLeast"/>
      <w:ind w:left="648" w:hanging="648"/>
    </w:pPr>
    <w:rPr>
      <w:rFonts w:asciiTheme="majorHAnsi" w:eastAsiaTheme="minorEastAsia" w:hAnsiTheme="majorHAnsi" w:cstheme="minorBidi"/>
      <w:color w:val="000000" w:themeColor="text1"/>
      <w:sz w:val="16"/>
      <w:szCs w:val="16"/>
    </w:rPr>
  </w:style>
  <w:style w:type="paragraph" w:customStyle="1" w:styleId="ExhibitTitle">
    <w:name w:val="Exhibit Title"/>
    <w:basedOn w:val="Normal"/>
    <w:uiPriority w:val="1"/>
    <w:qFormat/>
    <w:rsid w:val="00046280"/>
    <w:pPr>
      <w:keepNext/>
      <w:keepLines/>
      <w:spacing w:after="80" w:line="240" w:lineRule="atLeast"/>
    </w:pPr>
    <w:rPr>
      <w:rFonts w:asciiTheme="majorHAnsi" w:eastAsiaTheme="minorEastAsia" w:hAnsiTheme="majorHAnsi" w:cstheme="minorBidi"/>
      <w:color w:val="0B2949"/>
      <w:sz w:val="22"/>
      <w:szCs w:val="22"/>
    </w:rPr>
  </w:style>
  <w:style w:type="paragraph" w:customStyle="1" w:styleId="TableTextCentered">
    <w:name w:val="Table Text Centered"/>
    <w:basedOn w:val="Normal"/>
    <w:uiPriority w:val="1"/>
    <w:qFormat/>
    <w:rsid w:val="00046280"/>
    <w:pPr>
      <w:spacing w:before="40" w:after="20" w:line="240" w:lineRule="atLeast"/>
      <w:jc w:val="center"/>
    </w:pPr>
    <w:rPr>
      <w:rFonts w:asciiTheme="majorHAnsi" w:eastAsiaTheme="minorEastAsia" w:hAnsiTheme="majorHAnsi" w:cstheme="minorBid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image" Target="media/image1.emf" /><Relationship Id="rId13" Type="http://schemas.openxmlformats.org/officeDocument/2006/relationships/hyperlink" Target="mailto:PGleason@mathematica-mpr.com" TargetMode="External" /><Relationship Id="rId14" Type="http://schemas.openxmlformats.org/officeDocument/2006/relationships/hyperlink" Target="mailto:LGearan@mathematica-mpr.com" TargetMode="External" /><Relationship Id="rId15" Type="http://schemas.openxmlformats.org/officeDocument/2006/relationships/hyperlink" Target="mailto:BCarlson@mathematica-mpr.com" TargetMode="External" /><Relationship Id="rId16" Type="http://schemas.openxmlformats.org/officeDocument/2006/relationships/hyperlink" Target="mailto:SForrestal@mathematica-mpr.com" TargetMode="External" /><Relationship Id="rId17" Type="http://schemas.openxmlformats.org/officeDocument/2006/relationships/hyperlink" Target="mailto:SBardin@mathematica-mpr.com" TargetMode="External" /><Relationship Id="rId18" Type="http://schemas.openxmlformats.org/officeDocument/2006/relationships/hyperlink" Target="mailto:Marlana.Bates@usda.gov" TargetMode="External" /><Relationship Id="rId19" Type="http://schemas.openxmlformats.org/officeDocument/2006/relationships/hyperlink" Target="mailto:Brianna.Bradley@usda.gov" TargetMode="External" /><Relationship Id="rId2" Type="http://schemas.openxmlformats.org/officeDocument/2006/relationships/endnotes" Target="endnotes.xml" /><Relationship Id="rId20" Type="http://schemas.openxmlformats.org/officeDocument/2006/relationships/hyperlink" Target="mailto:ashley.chaifetz@usda.gov" TargetMode="External" /><Relationship Id="rId21" Type="http://schemas.openxmlformats.org/officeDocument/2006/relationships/hyperlink" Target="mailto:darcy.gungor@usda.gov" TargetMode="External" /><Relationship Id="rId22" Type="http://schemas.openxmlformats.org/officeDocument/2006/relationships/hyperlink" Target="mailto:Barbara.Murphy@usda.gov" TargetMode="External" /><Relationship Id="rId23" Type="http://schemas.openxmlformats.org/officeDocument/2006/relationships/hyperlink" Target="mailto:jennifer.rhorer@usda.gov" TargetMode="External" /><Relationship Id="rId24" Type="http://schemas.openxmlformats.org/officeDocument/2006/relationships/hyperlink" Target="mailto:Christina.Riley@usda.gov" TargetMode="External" /><Relationship Id="rId25" Type="http://schemas.openxmlformats.org/officeDocument/2006/relationships/hyperlink" Target="mailto:jczajka@mathematica-mpr.com" TargetMode="External" /><Relationship Id="rId26" Type="http://schemas.openxmlformats.org/officeDocument/2006/relationships/hyperlink" Target="mailto:mfox@mathematica-mpr.com" TargetMode="External" /><Relationship Id="rId27" Type="http://schemas.openxmlformats.org/officeDocument/2006/relationships/hyperlink" Target="mailto:rrb4321@aol.com" TargetMode="External" /><Relationship Id="rId28" Type="http://schemas.openxmlformats.org/officeDocument/2006/relationships/hyperlink" Target="mailto:maryjo.tuckwell@yahoo.com" TargetMode="External" /><Relationship Id="rId29" Type="http://schemas.openxmlformats.org/officeDocument/2006/relationships/hyperlink" Target="mailto:scraps34@aol.com" TargetMode="External" /><Relationship Id="rId3" Type="http://schemas.openxmlformats.org/officeDocument/2006/relationships/settings" Target="settings.xml" /><Relationship Id="rId30" Type="http://schemas.openxmlformats.org/officeDocument/2006/relationships/hyperlink" Target="mailto:endahljohn@gmail.com" TargetMode="External" /><Relationship Id="rId31" Type="http://schemas.openxmlformats.org/officeDocument/2006/relationships/hyperlink" Target="mailto:foodsystemsdr@gmail.com" TargetMode="External" /><Relationship Id="rId32" Type="http://schemas.openxmlformats.org/officeDocument/2006/relationships/header" Target="header3.xml" /><Relationship Id="rId33" Type="http://schemas.openxmlformats.org/officeDocument/2006/relationships/header" Target="header4.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census.gov/data/tables/time-series/demo/families/children.html" TargetMode="External" /><Relationship Id="rId2" Type="http://schemas.openxmlformats.org/officeDocument/2006/relationships/hyperlink" Target="https://frac.org/healthy-school-meals-for-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2301F-A10A-4B89-838D-E23C1638A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8172</Words>
  <Characters>46145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2024-06-18T18:42:00Z</dcterms:created>
  <dcterms:modified xsi:type="dcterms:W3CDTF">2024-06-18T18:43:00Z</dcterms:modified>
</cp:coreProperties>
</file>