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5C0A" w:rsidP="007E5C0A" w14:paraId="2F2FBCA7" w14:textId="77777777">
      <w:pPr>
        <w:jc w:val="center"/>
        <w:rPr>
          <w:rFonts w:ascii="Arial Black" w:hAnsi="Arial Black"/>
          <w:b/>
          <w:color w:val="000000"/>
        </w:rPr>
      </w:pPr>
    </w:p>
    <w:p w:rsidR="007E5C0A" w:rsidP="007E5C0A" w14:paraId="23F0B9D8" w14:textId="77777777">
      <w:pPr>
        <w:jc w:val="center"/>
        <w:rPr>
          <w:rFonts w:ascii="Arial Black" w:hAnsi="Arial Black"/>
          <w:b/>
          <w:color w:val="000000"/>
        </w:rPr>
      </w:pPr>
    </w:p>
    <w:p w:rsidR="007E5C0A" w:rsidP="007E5C0A" w14:paraId="23059F94" w14:textId="77777777">
      <w:pPr>
        <w:jc w:val="center"/>
        <w:rPr>
          <w:rFonts w:ascii="Arial Black" w:hAnsi="Arial Black"/>
          <w:b/>
          <w:color w:val="000000"/>
        </w:rPr>
      </w:pPr>
    </w:p>
    <w:p w:rsidR="007E5C0A" w:rsidP="007E5C0A" w14:paraId="6EBD649C" w14:textId="77777777">
      <w:pPr>
        <w:jc w:val="center"/>
        <w:rPr>
          <w:rFonts w:ascii="Arial Black" w:hAnsi="Arial Black"/>
          <w:b/>
          <w:color w:val="000000"/>
        </w:rPr>
      </w:pPr>
    </w:p>
    <w:p w:rsidR="007E5C0A" w:rsidP="007E5C0A" w14:paraId="3DF3754B" w14:textId="77777777">
      <w:pPr>
        <w:jc w:val="center"/>
        <w:rPr>
          <w:rFonts w:ascii="Arial Black" w:hAnsi="Arial Black"/>
          <w:b/>
          <w:color w:val="000000"/>
        </w:rPr>
      </w:pPr>
    </w:p>
    <w:p w:rsidR="002F6C72" w:rsidRPr="007E5C0A" w:rsidP="004C1503" w14:paraId="7CA60FCC" w14:textId="014C389C">
      <w:pPr>
        <w:jc w:val="center"/>
        <w:rPr>
          <w:rFonts w:ascii="Arial Black" w:hAnsi="Arial Black"/>
        </w:rPr>
      </w:pPr>
      <w:r w:rsidRPr="007E5C0A">
        <w:rPr>
          <w:rFonts w:ascii="Arial Black" w:hAnsi="Arial Black"/>
          <w:b/>
          <w:color w:val="000000"/>
        </w:rPr>
        <w:t xml:space="preserve">APPENDIX B. SUMMARY OF THE DATA COLLECTION PLANS </w:t>
      </w:r>
    </w:p>
    <w:p w:rsidR="004E3E8F" w14:paraId="68CF1B4F" w14:textId="6C578442">
      <w:r>
        <w:br w:type="page"/>
      </w:r>
    </w:p>
    <w:p w:rsidR="008C0F4D" w:rsidP="004E3E8F" w14:paraId="5BD2C110" w14:textId="77777777">
      <w:pPr>
        <w:keepNext/>
        <w:keepLines/>
        <w:spacing w:after="80" w:line="240" w:lineRule="atLeast"/>
        <w:rPr>
          <w:rFonts w:ascii="Segoe UI" w:eastAsia="Segoe UI" w:hAnsi="Segoe UI" w:cs="Times New Roman"/>
          <w:color w:val="0B2949"/>
        </w:rPr>
        <w:sectPr w:rsidSect="008C0F4D">
          <w:pgSz w:w="12240" w:h="15840"/>
          <w:pgMar w:top="1440" w:right="1440" w:bottom="1440" w:left="1440" w:header="720" w:footer="720" w:gutter="0"/>
          <w:cols w:space="720"/>
          <w:docGrid w:linePitch="360"/>
        </w:sectPr>
      </w:pPr>
      <w:bookmarkStart w:id="0" w:name="_Toc153803164"/>
      <w:bookmarkStart w:id="1" w:name="_Toc147143526"/>
      <w:bookmarkStart w:id="2" w:name="_Hlk128148341"/>
    </w:p>
    <w:p w:rsidR="004E3E8F" w:rsidRPr="004E3E8F" w:rsidP="004E3E8F" w14:paraId="4A71CC4B" w14:textId="61471C39">
      <w:pPr>
        <w:keepNext/>
        <w:keepLines/>
        <w:spacing w:after="80" w:line="240" w:lineRule="atLeast"/>
        <w:rPr>
          <w:rFonts w:ascii="Segoe UI" w:eastAsia="Segoe UI" w:hAnsi="Segoe UI" w:cs="Times New Roman"/>
          <w:color w:val="0B2949"/>
          <w:sz w:val="24"/>
          <w:szCs w:val="24"/>
        </w:rPr>
      </w:pPr>
      <w:r w:rsidRPr="002F6C72">
        <w:rPr>
          <w:rFonts w:ascii="Segoe UI" w:eastAsia="Segoe UI" w:hAnsi="Segoe UI" w:cs="Times New Roman"/>
          <w:color w:val="0B2949"/>
          <w:sz w:val="24"/>
          <w:szCs w:val="24"/>
        </w:rPr>
        <w:t>Exhibit B.1.</w:t>
      </w:r>
      <w:r w:rsidRPr="004E3E8F">
        <w:rPr>
          <w:rFonts w:ascii="Segoe UI" w:eastAsia="Segoe UI" w:hAnsi="Segoe UI" w:cs="Times New Roman"/>
          <w:color w:val="0B2949"/>
          <w:sz w:val="24"/>
          <w:szCs w:val="24"/>
        </w:rPr>
        <w:t xml:space="preserve"> Summary of the data collection plan for the SNMCS-II component</w:t>
      </w:r>
      <w:bookmarkEnd w:id="0"/>
      <w:r w:rsidRPr="004E3E8F">
        <w:rPr>
          <w:rFonts w:ascii="Segoe UI" w:eastAsia="Segoe UI" w:hAnsi="Segoe UI" w:cs="Times New Roman"/>
          <w:color w:val="0B2949"/>
          <w:sz w:val="24"/>
          <w:szCs w:val="24"/>
        </w:rPr>
        <w:t xml:space="preserve"> </w:t>
      </w:r>
      <w:bookmarkEnd w:id="1"/>
    </w:p>
    <w:tbl>
      <w:tblPr>
        <w:tblStyle w:val="D3Table-Blue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00"/>
        <w:gridCol w:w="1350"/>
        <w:gridCol w:w="1201"/>
        <w:gridCol w:w="1199"/>
        <w:gridCol w:w="1125"/>
        <w:gridCol w:w="1125"/>
        <w:gridCol w:w="3300"/>
      </w:tblGrid>
      <w:tr w14:paraId="3A1E3F6B" w14:textId="77777777" w:rsidTr="00E954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blHeader/>
        </w:trPr>
        <w:tc>
          <w:tcPr>
            <w:tcW w:w="694" w:type="pct"/>
            <w:shd w:val="clear" w:color="auto" w:fill="046B5C"/>
            <w:vAlign w:val="bottom"/>
          </w:tcPr>
          <w:bookmarkEnd w:id="2"/>
          <w:p w:rsidR="00E954C9" w:rsidRPr="00E954C9" w:rsidP="00E954C9" w14:paraId="42CFBC95" w14:textId="77777777">
            <w:pPr>
              <w:keepNext/>
              <w:spacing w:before="40" w:after="20" w:line="240" w:lineRule="atLeast"/>
              <w:rPr>
                <w:rFonts w:eastAsia="Segoe UI"/>
                <w:b/>
                <w:bCs/>
                <w:color w:val="FFFFFF"/>
                <w:sz w:val="18"/>
              </w:rPr>
            </w:pPr>
            <w:r w:rsidRPr="00E954C9">
              <w:rPr>
                <w:rFonts w:eastAsia="Segoe UI"/>
                <w:b/>
                <w:bCs/>
                <w:color w:val="FFFFFF"/>
                <w:sz w:val="18"/>
              </w:rPr>
              <w:t>Instrument</w:t>
            </w:r>
          </w:p>
        </w:tc>
        <w:tc>
          <w:tcPr>
            <w:tcW w:w="625" w:type="pct"/>
            <w:shd w:val="clear" w:color="auto" w:fill="046B5C"/>
            <w:vAlign w:val="bottom"/>
          </w:tcPr>
          <w:p w:rsidR="00E954C9" w:rsidRPr="00E954C9" w:rsidP="00E954C9" w14:paraId="36827147"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Target completed sample size/ respondent</w:t>
            </w:r>
          </w:p>
        </w:tc>
        <w:tc>
          <w:tcPr>
            <w:tcW w:w="556" w:type="pct"/>
            <w:shd w:val="clear" w:color="auto" w:fill="046B5C"/>
            <w:vAlign w:val="bottom"/>
          </w:tcPr>
          <w:p w:rsidR="00E954C9" w:rsidRPr="00E954C9" w:rsidP="00E954C9" w14:paraId="45407FC4"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Mode</w:t>
            </w:r>
          </w:p>
        </w:tc>
        <w:tc>
          <w:tcPr>
            <w:tcW w:w="555" w:type="pct"/>
            <w:shd w:val="clear" w:color="auto" w:fill="046B5C"/>
            <w:vAlign w:val="bottom"/>
          </w:tcPr>
          <w:p w:rsidR="00E954C9" w:rsidRPr="00E954C9" w:rsidP="00E954C9" w14:paraId="56726D46"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Estimated respondent burden</w:t>
            </w:r>
          </w:p>
        </w:tc>
        <w:tc>
          <w:tcPr>
            <w:tcW w:w="521" w:type="pct"/>
            <w:shd w:val="clear" w:color="auto" w:fill="046B5C"/>
            <w:vAlign w:val="bottom"/>
          </w:tcPr>
          <w:p w:rsidR="00E954C9" w:rsidRPr="00E954C9" w:rsidP="00E954C9" w14:paraId="7ED705EB"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Target response rate (</w:t>
            </w:r>
            <w:r w:rsidRPr="00E954C9">
              <w:rPr>
                <w:rFonts w:ascii="Segoe UI" w:eastAsia="Segoe UI" w:hAnsi="Segoe UI"/>
                <w:b/>
                <w:bCs/>
                <w:color w:val="FFFFFF"/>
                <w:sz w:val="18"/>
              </w:rPr>
              <w:t>%)</w:t>
            </w:r>
            <w:r w:rsidRPr="00E954C9">
              <w:rPr>
                <w:rFonts w:ascii="Segoe UI" w:eastAsia="Segoe UI" w:hAnsi="Segoe UI"/>
                <w:b/>
                <w:bCs/>
                <w:color w:val="FFFFFF"/>
                <w:sz w:val="18"/>
                <w:vertAlign w:val="superscript"/>
              </w:rPr>
              <w:t>a</w:t>
            </w:r>
          </w:p>
        </w:tc>
        <w:tc>
          <w:tcPr>
            <w:tcW w:w="521" w:type="pct"/>
            <w:shd w:val="clear" w:color="auto" w:fill="046B5C"/>
            <w:vAlign w:val="bottom"/>
          </w:tcPr>
          <w:p w:rsidR="00E954C9" w:rsidRPr="00E954C9" w:rsidP="00E954C9" w14:paraId="1A0B135E"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Estimated starting sample</w:t>
            </w:r>
          </w:p>
        </w:tc>
        <w:tc>
          <w:tcPr>
            <w:tcW w:w="1528" w:type="pct"/>
            <w:shd w:val="clear" w:color="auto" w:fill="046B5C"/>
            <w:vAlign w:val="bottom"/>
          </w:tcPr>
          <w:p w:rsidR="00E954C9" w:rsidRPr="00E954C9" w:rsidP="00E954C9" w14:paraId="35F2AE87"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Comments</w:t>
            </w:r>
          </w:p>
        </w:tc>
      </w:tr>
      <w:tr w14:paraId="356EE90C" w14:textId="77777777" w:rsidTr="00E954C9">
        <w:tblPrEx>
          <w:tblW w:w="5000" w:type="pct"/>
          <w:tblLayout w:type="fixed"/>
          <w:tblLook w:val="04A0"/>
        </w:tblPrEx>
        <w:trPr>
          <w:trHeight w:val="20"/>
        </w:trPr>
        <w:tc>
          <w:tcPr>
            <w:tcW w:w="5000" w:type="pct"/>
            <w:gridSpan w:val="7"/>
            <w:shd w:val="clear" w:color="auto" w:fill="0B2949"/>
          </w:tcPr>
          <w:p w:rsidR="00E954C9" w:rsidRPr="00E954C9" w:rsidP="00E954C9" w14:paraId="3573C590"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1: Food Service Operations and School Nutrition Environments—Groups 1a, 1c, 2a, and 3</w:t>
            </w:r>
          </w:p>
        </w:tc>
      </w:tr>
      <w:tr w14:paraId="22097BD0"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7AEF52FD" w14:textId="77777777">
            <w:pPr>
              <w:spacing w:before="40" w:after="20" w:line="240" w:lineRule="atLeast"/>
              <w:rPr>
                <w:rFonts w:eastAsia="Segoe UI"/>
                <w:color w:val="000000"/>
                <w:sz w:val="18"/>
              </w:rPr>
            </w:pPr>
            <w:r w:rsidRPr="00E954C9">
              <w:rPr>
                <w:rFonts w:eastAsia="Segoe UI"/>
                <w:color w:val="000000"/>
                <w:sz w:val="18"/>
              </w:rPr>
              <w:t>SFA Director Survey (SNMCS-II)</w:t>
            </w:r>
          </w:p>
        </w:tc>
        <w:tc>
          <w:tcPr>
            <w:tcW w:w="625" w:type="pct"/>
            <w:tcBorders>
              <w:bottom w:val="single" w:sz="4" w:space="0" w:color="046B5C"/>
            </w:tcBorders>
            <w:shd w:val="clear" w:color="auto" w:fill="auto"/>
            <w:vAlign w:val="top"/>
          </w:tcPr>
          <w:p w:rsidR="00E954C9" w:rsidRPr="00E954C9" w:rsidP="00E954C9" w14:paraId="4A4FA7C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446 SFA directors: 48 in Group 1c; 133 in Group 2a; 265 in Group 3</w:t>
            </w:r>
          </w:p>
        </w:tc>
        <w:tc>
          <w:tcPr>
            <w:tcW w:w="556" w:type="pct"/>
            <w:tcBorders>
              <w:bottom w:val="single" w:sz="4" w:space="0" w:color="046B5C"/>
            </w:tcBorders>
            <w:shd w:val="clear" w:color="auto" w:fill="auto"/>
            <w:vAlign w:val="top"/>
          </w:tcPr>
          <w:p w:rsidR="00E954C9" w:rsidRPr="00E954C9" w:rsidP="00E954C9" w14:paraId="6CE343B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bottom w:val="single" w:sz="4" w:space="0" w:color="046B5C"/>
            </w:tcBorders>
            <w:shd w:val="clear" w:color="auto" w:fill="auto"/>
            <w:vAlign w:val="top"/>
          </w:tcPr>
          <w:p w:rsidR="00E954C9" w:rsidRPr="00E954C9" w:rsidP="00E954C9" w14:paraId="65A8E06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45 minutes</w:t>
            </w:r>
          </w:p>
        </w:tc>
        <w:tc>
          <w:tcPr>
            <w:tcW w:w="521" w:type="pct"/>
            <w:tcBorders>
              <w:bottom w:val="single" w:sz="4" w:space="0" w:color="046B5C"/>
            </w:tcBorders>
            <w:shd w:val="clear" w:color="auto" w:fill="auto"/>
            <w:vAlign w:val="top"/>
          </w:tcPr>
          <w:p w:rsidR="00E954C9" w:rsidRPr="00E954C9" w:rsidP="00E954C9" w14:paraId="1AB68AA5"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62</w:t>
            </w:r>
          </w:p>
        </w:tc>
        <w:tc>
          <w:tcPr>
            <w:tcW w:w="521" w:type="pct"/>
            <w:tcBorders>
              <w:bottom w:val="single" w:sz="4" w:space="0" w:color="046B5C"/>
            </w:tcBorders>
            <w:shd w:val="clear" w:color="auto" w:fill="auto"/>
            <w:vAlign w:val="top"/>
          </w:tcPr>
          <w:p w:rsidR="00E954C9" w:rsidRPr="00E954C9" w:rsidP="00E954C9" w14:paraId="67F195A2"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722</w:t>
            </w:r>
          </w:p>
        </w:tc>
        <w:tc>
          <w:tcPr>
            <w:tcW w:w="1528" w:type="pct"/>
            <w:tcBorders>
              <w:bottom w:val="single" w:sz="4" w:space="0" w:color="046B5C"/>
            </w:tcBorders>
            <w:shd w:val="clear" w:color="auto" w:fill="auto"/>
            <w:vAlign w:val="top"/>
          </w:tcPr>
          <w:p w:rsidR="00E954C9" w:rsidRPr="00E954C9" w:rsidP="00E954C9" w14:paraId="3A0662C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rates and starting sample for Groups 2a and 3 are for all data collections; SFA survey target response rate for these groups is likely to be higher.</w:t>
            </w:r>
          </w:p>
        </w:tc>
      </w:tr>
      <w:tr w14:paraId="2AA8619B" w14:textId="77777777" w:rsidTr="00E954C9">
        <w:tblPrEx>
          <w:tblW w:w="5000" w:type="pct"/>
          <w:tblLayout w:type="fixed"/>
          <w:tblLook w:val="04A0"/>
        </w:tblPrEx>
        <w:trPr>
          <w:trHeight w:val="20"/>
        </w:trPr>
        <w:tc>
          <w:tcPr>
            <w:tcW w:w="694" w:type="pct"/>
            <w:tcBorders>
              <w:top w:val="single" w:sz="4" w:space="0" w:color="046B5C"/>
            </w:tcBorders>
            <w:shd w:val="clear" w:color="auto" w:fill="auto"/>
            <w:vAlign w:val="top"/>
          </w:tcPr>
          <w:p w:rsidR="00E954C9" w:rsidRPr="00E954C9" w:rsidP="00E954C9" w14:paraId="60DFA185" w14:textId="77777777">
            <w:pPr>
              <w:spacing w:before="40" w:after="20" w:line="240" w:lineRule="atLeast"/>
              <w:rPr>
                <w:rFonts w:eastAsia="Segoe UI"/>
                <w:color w:val="000000"/>
                <w:sz w:val="18"/>
              </w:rPr>
            </w:pPr>
            <w:r w:rsidRPr="00E954C9">
              <w:rPr>
                <w:rFonts w:eastAsia="Segoe UI"/>
                <w:color w:val="000000"/>
                <w:sz w:val="18"/>
              </w:rPr>
              <w:t xml:space="preserve">SFA </w:t>
            </w:r>
            <w:r w:rsidRPr="00E954C9">
              <w:rPr>
                <w:rFonts w:eastAsia="Segoe UI"/>
                <w:color w:val="000000"/>
                <w:sz w:val="18"/>
              </w:rPr>
              <w:t xml:space="preserve">Director </w:t>
            </w:r>
            <w:r w:rsidRPr="00E954C9">
              <w:rPr>
                <w:rFonts w:eastAsia="Segoe UI"/>
                <w:color w:val="000000"/>
                <w:sz w:val="18"/>
              </w:rPr>
              <w:t xml:space="preserve">Survey </w:t>
            </w:r>
            <w:r w:rsidRPr="00E954C9">
              <w:rPr>
                <w:rFonts w:eastAsia="Segoe UI"/>
                <w:color w:val="000000"/>
                <w:sz w:val="18"/>
              </w:rPr>
              <w:t xml:space="preserve">(SNMCS-II+SFPS-IV) </w:t>
            </w:r>
          </w:p>
        </w:tc>
        <w:tc>
          <w:tcPr>
            <w:tcW w:w="625" w:type="pct"/>
            <w:tcBorders>
              <w:top w:val="single" w:sz="4" w:space="0" w:color="046B5C"/>
            </w:tcBorders>
            <w:shd w:val="clear" w:color="auto" w:fill="auto"/>
            <w:vAlign w:val="top"/>
          </w:tcPr>
          <w:p w:rsidR="00E954C9" w:rsidRPr="00E954C9" w:rsidP="00E954C9" w14:paraId="7E4445A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88 SFA directors in Group 1a</w:t>
            </w:r>
          </w:p>
        </w:tc>
        <w:tc>
          <w:tcPr>
            <w:tcW w:w="556" w:type="pct"/>
            <w:tcBorders>
              <w:top w:val="single" w:sz="4" w:space="0" w:color="046B5C"/>
            </w:tcBorders>
            <w:shd w:val="clear" w:color="auto" w:fill="auto"/>
            <w:vAlign w:val="top"/>
          </w:tcPr>
          <w:p w:rsidR="00E954C9" w:rsidRPr="00E954C9" w:rsidP="00E954C9" w14:paraId="1C32004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tcBorders>
            <w:shd w:val="clear" w:color="auto" w:fill="auto"/>
            <w:vAlign w:val="top"/>
          </w:tcPr>
          <w:p w:rsidR="00E954C9" w:rsidRPr="00E954C9" w:rsidP="00E954C9" w14:paraId="45424697" w14:textId="77777777">
            <w:pPr>
              <w:spacing w:before="40" w:after="20" w:line="240" w:lineRule="atLeast"/>
              <w:rPr>
                <w:rFonts w:ascii="Segoe UI" w:eastAsia="Segoe UI" w:hAnsi="Segoe UI"/>
                <w:color w:val="000000"/>
                <w:sz w:val="18"/>
                <w:highlight w:val="yellow"/>
              </w:rPr>
            </w:pPr>
            <w:r w:rsidRPr="00E954C9">
              <w:rPr>
                <w:rFonts w:ascii="Segoe UI" w:eastAsia="Segoe UI" w:hAnsi="Segoe UI"/>
                <w:color w:val="000000"/>
                <w:sz w:val="18"/>
              </w:rPr>
              <w:t>1.5 hours</w:t>
            </w:r>
          </w:p>
        </w:tc>
        <w:tc>
          <w:tcPr>
            <w:tcW w:w="521" w:type="pct"/>
            <w:tcBorders>
              <w:top w:val="single" w:sz="4" w:space="0" w:color="046B5C"/>
            </w:tcBorders>
            <w:shd w:val="clear" w:color="auto" w:fill="auto"/>
            <w:vAlign w:val="top"/>
          </w:tcPr>
          <w:p w:rsidR="00E954C9" w:rsidRPr="00E954C9" w:rsidP="00E954C9" w14:paraId="1A9AE6AD"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53</w:t>
            </w:r>
          </w:p>
        </w:tc>
        <w:tc>
          <w:tcPr>
            <w:tcW w:w="521" w:type="pct"/>
            <w:tcBorders>
              <w:top w:val="single" w:sz="4" w:space="0" w:color="046B5C"/>
            </w:tcBorders>
            <w:shd w:val="clear" w:color="auto" w:fill="auto"/>
            <w:vAlign w:val="top"/>
          </w:tcPr>
          <w:p w:rsidR="00E954C9" w:rsidRPr="00E954C9" w:rsidP="00E954C9" w14:paraId="439029D4"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165</w:t>
            </w:r>
          </w:p>
        </w:tc>
        <w:tc>
          <w:tcPr>
            <w:tcW w:w="1528" w:type="pct"/>
            <w:tcBorders>
              <w:top w:val="single" w:sz="4" w:space="0" w:color="046B5C"/>
            </w:tcBorders>
            <w:shd w:val="clear" w:color="auto" w:fill="auto"/>
            <w:vAlign w:val="top"/>
          </w:tcPr>
          <w:p w:rsidR="00E954C9" w:rsidRPr="00E954C9" w:rsidP="00E954C9" w14:paraId="0CA17F9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 xml:space="preserve">Target response rate and starting sample assume </w:t>
            </w:r>
            <w:r w:rsidRPr="00E954C9">
              <w:rPr>
                <w:rFonts w:ascii="Segoe UI" w:eastAsia="Segoe UI" w:hAnsi="Segoe UI"/>
                <w:color w:val="000000"/>
                <w:sz w:val="18"/>
              </w:rPr>
              <w:t xml:space="preserve">formal </w:t>
            </w:r>
            <w:r w:rsidRPr="00E954C9">
              <w:rPr>
                <w:rFonts w:ascii="Segoe UI" w:eastAsia="Segoe UI" w:hAnsi="Segoe UI"/>
                <w:color w:val="000000"/>
                <w:sz w:val="18"/>
              </w:rPr>
              <w:t xml:space="preserve">recruiting for SFA </w:t>
            </w:r>
            <w:r w:rsidRPr="00E954C9">
              <w:rPr>
                <w:rFonts w:ascii="Segoe UI" w:eastAsia="Segoe UI" w:hAnsi="Segoe UI"/>
                <w:color w:val="000000"/>
                <w:sz w:val="18"/>
              </w:rPr>
              <w:t xml:space="preserve">Director </w:t>
            </w:r>
            <w:r w:rsidRPr="00E954C9">
              <w:rPr>
                <w:rFonts w:ascii="Segoe UI" w:eastAsia="Segoe UI" w:hAnsi="Segoe UI"/>
                <w:color w:val="000000"/>
                <w:sz w:val="18"/>
              </w:rPr>
              <w:t xml:space="preserve">Survey and food purchase data. </w:t>
            </w:r>
          </w:p>
        </w:tc>
      </w:tr>
      <w:tr w14:paraId="79DB0B51" w14:textId="77777777" w:rsidTr="00E954C9">
        <w:tblPrEx>
          <w:tblW w:w="5000" w:type="pct"/>
          <w:tblLayout w:type="fixed"/>
          <w:tblLook w:val="04A0"/>
        </w:tblPrEx>
        <w:trPr>
          <w:trHeight w:val="20"/>
        </w:trPr>
        <w:tc>
          <w:tcPr>
            <w:tcW w:w="5000" w:type="pct"/>
            <w:gridSpan w:val="7"/>
            <w:shd w:val="clear" w:color="auto" w:fill="0B2949"/>
            <w:vAlign w:val="top"/>
          </w:tcPr>
          <w:p w:rsidR="00E954C9" w:rsidRPr="00E954C9" w:rsidP="00E954C9" w14:paraId="18B52F0F"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1: Food Service Operations and School Nutrition Environments—Groups 2a and 3</w:t>
            </w:r>
          </w:p>
        </w:tc>
      </w:tr>
      <w:tr w14:paraId="7078983A"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634E1D75" w14:textId="77777777">
            <w:pPr>
              <w:spacing w:before="40" w:after="20" w:line="240" w:lineRule="atLeast"/>
              <w:rPr>
                <w:rFonts w:eastAsia="Segoe UI"/>
                <w:color w:val="000000"/>
                <w:sz w:val="18"/>
              </w:rPr>
            </w:pPr>
            <w:r w:rsidRPr="00E954C9">
              <w:rPr>
                <w:rFonts w:eastAsia="Segoe UI"/>
                <w:color w:val="000000"/>
                <w:sz w:val="18"/>
              </w:rPr>
              <w:t>SNM Survey</w:t>
            </w:r>
          </w:p>
        </w:tc>
        <w:tc>
          <w:tcPr>
            <w:tcW w:w="625" w:type="pct"/>
            <w:tcBorders>
              <w:bottom w:val="single" w:sz="4" w:space="0" w:color="046B5C"/>
            </w:tcBorders>
            <w:shd w:val="clear" w:color="auto" w:fill="auto"/>
            <w:vAlign w:val="top"/>
          </w:tcPr>
          <w:p w:rsidR="00E954C9" w:rsidRPr="00E954C9" w:rsidP="00E954C9" w14:paraId="46CCF53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1,061 SNMs</w:t>
            </w:r>
          </w:p>
        </w:tc>
        <w:tc>
          <w:tcPr>
            <w:tcW w:w="556" w:type="pct"/>
            <w:tcBorders>
              <w:bottom w:val="single" w:sz="4" w:space="0" w:color="046B5C"/>
            </w:tcBorders>
            <w:shd w:val="clear" w:color="auto" w:fill="auto"/>
            <w:vAlign w:val="top"/>
          </w:tcPr>
          <w:p w:rsidR="00E954C9" w:rsidRPr="00E954C9" w:rsidP="00E954C9" w14:paraId="3FE8CF9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bottom w:val="single" w:sz="4" w:space="0" w:color="046B5C"/>
            </w:tcBorders>
            <w:shd w:val="clear" w:color="auto" w:fill="auto"/>
            <w:vAlign w:val="top"/>
          </w:tcPr>
          <w:p w:rsidR="00E954C9" w:rsidRPr="00E954C9" w:rsidP="00E954C9" w14:paraId="616FE68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20 minutes</w:t>
            </w:r>
          </w:p>
        </w:tc>
        <w:tc>
          <w:tcPr>
            <w:tcW w:w="521" w:type="pct"/>
            <w:tcBorders>
              <w:bottom w:val="single" w:sz="4" w:space="0" w:color="046B5C"/>
            </w:tcBorders>
            <w:shd w:val="clear" w:color="auto" w:fill="auto"/>
            <w:vAlign w:val="top"/>
          </w:tcPr>
          <w:p w:rsidR="00E954C9" w:rsidRPr="00E954C9" w:rsidP="00E954C9" w14:paraId="1CEBEF16"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bottom w:val="single" w:sz="4" w:space="0" w:color="046B5C"/>
            </w:tcBorders>
            <w:shd w:val="clear" w:color="auto" w:fill="auto"/>
            <w:vAlign w:val="top"/>
          </w:tcPr>
          <w:p w:rsidR="00E954C9" w:rsidRPr="00E954C9" w:rsidP="00E954C9" w14:paraId="223FE640"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1,117</w:t>
            </w:r>
          </w:p>
        </w:tc>
        <w:tc>
          <w:tcPr>
            <w:tcW w:w="1528" w:type="pct"/>
            <w:tcBorders>
              <w:bottom w:val="single" w:sz="4" w:space="0" w:color="046B5C"/>
            </w:tcBorders>
            <w:shd w:val="clear" w:color="auto" w:fill="auto"/>
            <w:vAlign w:val="top"/>
          </w:tcPr>
          <w:p w:rsidR="00E954C9" w:rsidRPr="00E954C9" w:rsidP="00E954C9" w14:paraId="0870F52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Integrated in the web-based Menu Survey.</w:t>
            </w:r>
          </w:p>
        </w:tc>
      </w:tr>
      <w:tr w14:paraId="29CC4FAE"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5D74CD79" w14:textId="77777777">
            <w:pPr>
              <w:spacing w:before="40" w:after="20" w:line="240" w:lineRule="atLeast"/>
              <w:rPr>
                <w:rFonts w:eastAsia="Segoe UI"/>
                <w:color w:val="000000"/>
                <w:sz w:val="18"/>
              </w:rPr>
            </w:pPr>
            <w:r w:rsidRPr="00E954C9">
              <w:rPr>
                <w:rFonts w:eastAsia="Segoe UI"/>
                <w:color w:val="000000"/>
                <w:sz w:val="18"/>
              </w:rPr>
              <w:t>Principal Survey</w:t>
            </w:r>
          </w:p>
        </w:tc>
        <w:tc>
          <w:tcPr>
            <w:tcW w:w="625" w:type="pct"/>
            <w:tcBorders>
              <w:top w:val="single" w:sz="4" w:space="0" w:color="046B5C"/>
              <w:bottom w:val="single" w:sz="4" w:space="0" w:color="046B5C"/>
            </w:tcBorders>
            <w:shd w:val="clear" w:color="auto" w:fill="auto"/>
            <w:vAlign w:val="top"/>
          </w:tcPr>
          <w:p w:rsidR="00E954C9" w:rsidRPr="00E954C9" w:rsidP="00E954C9" w14:paraId="64FB841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955 principals</w:t>
            </w:r>
          </w:p>
        </w:tc>
        <w:tc>
          <w:tcPr>
            <w:tcW w:w="556" w:type="pct"/>
            <w:tcBorders>
              <w:top w:val="single" w:sz="4" w:space="0" w:color="046B5C"/>
              <w:bottom w:val="single" w:sz="4" w:space="0" w:color="046B5C"/>
            </w:tcBorders>
            <w:shd w:val="clear" w:color="auto" w:fill="auto"/>
            <w:vAlign w:val="top"/>
          </w:tcPr>
          <w:p w:rsidR="00E954C9" w:rsidRPr="00E954C9" w:rsidP="00E954C9" w14:paraId="2006ED6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44CE3EB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30 minutes</w:t>
            </w:r>
          </w:p>
        </w:tc>
        <w:tc>
          <w:tcPr>
            <w:tcW w:w="521" w:type="pct"/>
            <w:tcBorders>
              <w:top w:val="single" w:sz="4" w:space="0" w:color="046B5C"/>
              <w:bottom w:val="single" w:sz="4" w:space="0" w:color="046B5C"/>
            </w:tcBorders>
            <w:shd w:val="clear" w:color="auto" w:fill="auto"/>
            <w:vAlign w:val="top"/>
          </w:tcPr>
          <w:p w:rsidR="00E954C9" w:rsidRPr="00E954C9" w:rsidP="00E954C9" w14:paraId="3749CCF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85</w:t>
            </w:r>
          </w:p>
        </w:tc>
        <w:tc>
          <w:tcPr>
            <w:tcW w:w="521" w:type="pct"/>
            <w:tcBorders>
              <w:top w:val="single" w:sz="4" w:space="0" w:color="046B5C"/>
              <w:bottom w:val="single" w:sz="4" w:space="0" w:color="046B5C"/>
            </w:tcBorders>
            <w:shd w:val="clear" w:color="auto" w:fill="auto"/>
            <w:vAlign w:val="top"/>
          </w:tcPr>
          <w:p w:rsidR="00E954C9" w:rsidRPr="00E954C9" w:rsidP="00E954C9" w14:paraId="25485C86"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1,117</w:t>
            </w:r>
          </w:p>
        </w:tc>
        <w:tc>
          <w:tcPr>
            <w:tcW w:w="1528" w:type="pct"/>
            <w:tcBorders>
              <w:top w:val="single" w:sz="4" w:space="0" w:color="046B5C"/>
              <w:bottom w:val="single" w:sz="4" w:space="0" w:color="046B5C"/>
            </w:tcBorders>
            <w:shd w:val="clear" w:color="auto" w:fill="auto"/>
            <w:vAlign w:val="top"/>
          </w:tcPr>
          <w:p w:rsidR="00E954C9" w:rsidRPr="00E954C9" w:rsidP="00E954C9" w14:paraId="641236C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schools with a completed School Planning Interview.</w:t>
            </w:r>
          </w:p>
        </w:tc>
      </w:tr>
      <w:tr w14:paraId="04BE8100" w14:textId="77777777" w:rsidTr="00E954C9">
        <w:tblPrEx>
          <w:tblW w:w="5000" w:type="pct"/>
          <w:tblLayout w:type="fixed"/>
          <w:tblLook w:val="04A0"/>
        </w:tblPrEx>
        <w:trPr>
          <w:trHeight w:val="20"/>
        </w:trPr>
        <w:tc>
          <w:tcPr>
            <w:tcW w:w="694" w:type="pct"/>
            <w:tcBorders>
              <w:top w:val="single" w:sz="4" w:space="0" w:color="046B5C"/>
            </w:tcBorders>
            <w:shd w:val="clear" w:color="auto" w:fill="auto"/>
            <w:vAlign w:val="top"/>
          </w:tcPr>
          <w:p w:rsidR="00E954C9" w:rsidRPr="00E954C9" w:rsidP="00E954C9" w14:paraId="1E198275" w14:textId="77777777">
            <w:pPr>
              <w:spacing w:before="40" w:after="20" w:line="240" w:lineRule="atLeast"/>
              <w:rPr>
                <w:rFonts w:eastAsia="Segoe UI"/>
                <w:color w:val="000000"/>
                <w:sz w:val="18"/>
              </w:rPr>
            </w:pPr>
            <w:r w:rsidRPr="00E954C9">
              <w:rPr>
                <w:rFonts w:eastAsia="Segoe UI"/>
                <w:color w:val="000000"/>
                <w:sz w:val="18"/>
              </w:rPr>
              <w:t>Observation Guide</w:t>
            </w:r>
          </w:p>
        </w:tc>
        <w:tc>
          <w:tcPr>
            <w:tcW w:w="625" w:type="pct"/>
            <w:tcBorders>
              <w:top w:val="single" w:sz="4" w:space="0" w:color="046B5C"/>
            </w:tcBorders>
            <w:shd w:val="clear" w:color="auto" w:fill="auto"/>
            <w:vAlign w:val="top"/>
          </w:tcPr>
          <w:p w:rsidR="00E954C9" w:rsidRPr="00E954C9" w:rsidP="00E954C9" w14:paraId="53AE777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1,061 schools</w:t>
            </w:r>
          </w:p>
        </w:tc>
        <w:tc>
          <w:tcPr>
            <w:tcW w:w="556" w:type="pct"/>
            <w:tcBorders>
              <w:top w:val="single" w:sz="4" w:space="0" w:color="046B5C"/>
            </w:tcBorders>
            <w:shd w:val="clear" w:color="auto" w:fill="auto"/>
            <w:vAlign w:val="top"/>
          </w:tcPr>
          <w:p w:rsidR="00E954C9" w:rsidRPr="00E954C9" w:rsidP="00E954C9" w14:paraId="672A6D4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On-site observation</w:t>
            </w:r>
          </w:p>
        </w:tc>
        <w:tc>
          <w:tcPr>
            <w:tcW w:w="555" w:type="pct"/>
            <w:tcBorders>
              <w:top w:val="single" w:sz="4" w:space="0" w:color="046B5C"/>
            </w:tcBorders>
            <w:shd w:val="clear" w:color="auto" w:fill="auto"/>
            <w:vAlign w:val="top"/>
          </w:tcPr>
          <w:p w:rsidR="00E954C9" w:rsidRPr="00E954C9" w:rsidP="00E954C9" w14:paraId="61AEC3C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20 minutes (SNM)</w:t>
            </w:r>
          </w:p>
        </w:tc>
        <w:tc>
          <w:tcPr>
            <w:tcW w:w="521" w:type="pct"/>
            <w:tcBorders>
              <w:top w:val="single" w:sz="4" w:space="0" w:color="046B5C"/>
            </w:tcBorders>
            <w:shd w:val="clear" w:color="auto" w:fill="auto"/>
            <w:vAlign w:val="top"/>
          </w:tcPr>
          <w:p w:rsidR="00E954C9" w:rsidRPr="00E954C9" w:rsidP="00E954C9" w14:paraId="0898E590"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tcBorders>
            <w:shd w:val="clear" w:color="auto" w:fill="auto"/>
            <w:vAlign w:val="top"/>
          </w:tcPr>
          <w:p w:rsidR="00E954C9" w:rsidRPr="00E954C9" w:rsidP="00E954C9" w14:paraId="6CAB70FE"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1,061</w:t>
            </w:r>
          </w:p>
        </w:tc>
        <w:tc>
          <w:tcPr>
            <w:tcW w:w="1528" w:type="pct"/>
            <w:tcBorders>
              <w:top w:val="single" w:sz="4" w:space="0" w:color="046B5C"/>
            </w:tcBorders>
            <w:shd w:val="clear" w:color="auto" w:fill="auto"/>
            <w:vAlign w:val="top"/>
          </w:tcPr>
          <w:p w:rsidR="00E954C9" w:rsidRPr="00E954C9" w:rsidP="00E954C9" w14:paraId="081ABC8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Field staff will collect meal prices and details about serving lines/stations from SNMs and will conduct the observations.</w:t>
            </w:r>
          </w:p>
        </w:tc>
      </w:tr>
      <w:tr w14:paraId="6F608704" w14:textId="77777777" w:rsidTr="00E954C9">
        <w:tblPrEx>
          <w:tblW w:w="5000" w:type="pct"/>
          <w:tblLayout w:type="fixed"/>
          <w:tblLook w:val="04A0"/>
        </w:tblPrEx>
        <w:trPr>
          <w:trHeight w:val="20"/>
        </w:trPr>
        <w:tc>
          <w:tcPr>
            <w:tcW w:w="5000" w:type="pct"/>
            <w:gridSpan w:val="7"/>
            <w:shd w:val="clear" w:color="auto" w:fill="0B2949"/>
            <w:vAlign w:val="top"/>
          </w:tcPr>
          <w:p w:rsidR="00E954C9" w:rsidRPr="00E954C9" w:rsidP="00E954C9" w14:paraId="1B679234"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2: Nutritional Quality of School Meals and Competitive Foods Sold by Food Service Departments—Groups 2a and 3</w:t>
            </w:r>
          </w:p>
        </w:tc>
      </w:tr>
      <w:tr w14:paraId="72886945"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65289225" w14:textId="77777777">
            <w:pPr>
              <w:spacing w:before="40" w:after="20" w:line="240" w:lineRule="atLeast"/>
              <w:rPr>
                <w:rFonts w:eastAsia="Segoe UI"/>
                <w:color w:val="000000"/>
                <w:sz w:val="18"/>
              </w:rPr>
            </w:pPr>
            <w:r w:rsidRPr="00E954C9">
              <w:rPr>
                <w:rFonts w:eastAsia="Segoe UI"/>
                <w:color w:val="000000"/>
                <w:sz w:val="18"/>
              </w:rPr>
              <w:t>Menu Survey</w:t>
            </w:r>
          </w:p>
        </w:tc>
        <w:tc>
          <w:tcPr>
            <w:tcW w:w="625" w:type="pct"/>
            <w:tcBorders>
              <w:bottom w:val="single" w:sz="4" w:space="0" w:color="046B5C"/>
            </w:tcBorders>
            <w:shd w:val="clear" w:color="auto" w:fill="auto"/>
            <w:vAlign w:val="top"/>
          </w:tcPr>
          <w:p w:rsidR="00E954C9" w:rsidRPr="00E954C9" w:rsidP="00E954C9" w14:paraId="607B92A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265 SNMs (Group 2a only)</w:t>
            </w:r>
          </w:p>
        </w:tc>
        <w:tc>
          <w:tcPr>
            <w:tcW w:w="556" w:type="pct"/>
            <w:tcBorders>
              <w:bottom w:val="single" w:sz="4" w:space="0" w:color="046B5C"/>
            </w:tcBorders>
            <w:shd w:val="clear" w:color="auto" w:fill="auto"/>
            <w:vAlign w:val="top"/>
          </w:tcPr>
          <w:p w:rsidR="00E954C9" w:rsidRPr="00E954C9" w:rsidP="00E954C9" w14:paraId="7FB5B1C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bottom w:val="single" w:sz="4" w:space="0" w:color="046B5C"/>
            </w:tcBorders>
            <w:shd w:val="clear" w:color="auto" w:fill="auto"/>
            <w:vAlign w:val="top"/>
          </w:tcPr>
          <w:p w:rsidR="00E954C9" w:rsidRPr="00E954C9" w:rsidP="00E954C9" w14:paraId="787250C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 hours (including training)</w:t>
            </w:r>
          </w:p>
        </w:tc>
        <w:tc>
          <w:tcPr>
            <w:tcW w:w="521" w:type="pct"/>
            <w:tcBorders>
              <w:bottom w:val="single" w:sz="4" w:space="0" w:color="046B5C"/>
            </w:tcBorders>
            <w:shd w:val="clear" w:color="auto" w:fill="auto"/>
            <w:vAlign w:val="top"/>
          </w:tcPr>
          <w:p w:rsidR="00E954C9" w:rsidRPr="00E954C9" w:rsidP="00E954C9" w14:paraId="549287C9"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bottom w:val="single" w:sz="4" w:space="0" w:color="046B5C"/>
            </w:tcBorders>
            <w:shd w:val="clear" w:color="auto" w:fill="auto"/>
            <w:vAlign w:val="top"/>
          </w:tcPr>
          <w:p w:rsidR="00E954C9" w:rsidRPr="00E954C9" w:rsidP="00E954C9" w14:paraId="14701698"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279</w:t>
            </w:r>
          </w:p>
        </w:tc>
        <w:tc>
          <w:tcPr>
            <w:tcW w:w="1528" w:type="pct"/>
            <w:tcBorders>
              <w:bottom w:val="single" w:sz="4" w:space="0" w:color="046B5C"/>
            </w:tcBorders>
            <w:shd w:val="clear" w:color="auto" w:fill="auto"/>
            <w:vAlign w:val="top"/>
          </w:tcPr>
          <w:p w:rsidR="00E954C9" w:rsidRPr="00E954C9" w:rsidP="00E954C9" w14:paraId="2B1F804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Supported by video training, telephone, and online technical assistance and follow-up.</w:t>
            </w:r>
          </w:p>
        </w:tc>
      </w:tr>
      <w:tr w14:paraId="63E74BB4" w14:textId="77777777" w:rsidTr="00E954C9">
        <w:tblPrEx>
          <w:tblW w:w="5000" w:type="pct"/>
          <w:tblLayout w:type="fixed"/>
          <w:tblLook w:val="04A0"/>
        </w:tblPrEx>
        <w:trPr>
          <w:trHeight w:val="20"/>
        </w:trPr>
        <w:tc>
          <w:tcPr>
            <w:tcW w:w="5000" w:type="pct"/>
            <w:gridSpan w:val="7"/>
            <w:tcBorders>
              <w:top w:val="single" w:sz="4" w:space="0" w:color="046B5C"/>
            </w:tcBorders>
            <w:shd w:val="clear" w:color="auto" w:fill="0B2949"/>
            <w:vAlign w:val="top"/>
          </w:tcPr>
          <w:p w:rsidR="00E954C9" w:rsidRPr="00E954C9" w:rsidP="00E954C9" w14:paraId="763B8196"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3: Meal Costs and Revenues —Group 3 and Outlying Areas; and Costs Associated with Household Applications—Group 3</w:t>
            </w:r>
          </w:p>
        </w:tc>
      </w:tr>
      <w:tr w14:paraId="106928A5"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3B502E1B" w14:textId="77777777">
            <w:pPr>
              <w:spacing w:before="40" w:after="20" w:line="240" w:lineRule="atLeast"/>
              <w:rPr>
                <w:rFonts w:eastAsia="Segoe UI"/>
                <w:color w:val="000000"/>
                <w:sz w:val="18"/>
              </w:rPr>
            </w:pPr>
            <w:r w:rsidRPr="00E954C9">
              <w:rPr>
                <w:rFonts w:eastAsia="Segoe UI"/>
                <w:color w:val="000000"/>
                <w:sz w:val="18"/>
              </w:rPr>
              <w:t>State Agency Indirect Cost Survey</w:t>
            </w:r>
          </w:p>
        </w:tc>
        <w:tc>
          <w:tcPr>
            <w:tcW w:w="625" w:type="pct"/>
            <w:tcBorders>
              <w:bottom w:val="single" w:sz="4" w:space="0" w:color="046B5C"/>
            </w:tcBorders>
            <w:shd w:val="clear" w:color="auto" w:fill="auto"/>
            <w:vAlign w:val="top"/>
          </w:tcPr>
          <w:p w:rsidR="00E954C9" w:rsidRPr="00E954C9" w:rsidP="00E954C9" w14:paraId="0E05830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47 State Education or CN Agency finance officers</w:t>
            </w:r>
          </w:p>
        </w:tc>
        <w:tc>
          <w:tcPr>
            <w:tcW w:w="556" w:type="pct"/>
            <w:tcBorders>
              <w:bottom w:val="single" w:sz="4" w:space="0" w:color="046B5C"/>
            </w:tcBorders>
            <w:shd w:val="clear" w:color="auto" w:fill="auto"/>
            <w:vAlign w:val="top"/>
          </w:tcPr>
          <w:p w:rsidR="00E954C9" w:rsidRPr="00E954C9" w:rsidP="00E954C9" w14:paraId="047F4B8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bottom w:val="single" w:sz="4" w:space="0" w:color="046B5C"/>
            </w:tcBorders>
            <w:shd w:val="clear" w:color="auto" w:fill="auto"/>
            <w:vAlign w:val="top"/>
          </w:tcPr>
          <w:p w:rsidR="00E954C9" w:rsidRPr="00E954C9" w:rsidP="00E954C9" w14:paraId="22813A2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 minutes</w:t>
            </w:r>
          </w:p>
        </w:tc>
        <w:tc>
          <w:tcPr>
            <w:tcW w:w="521" w:type="pct"/>
            <w:tcBorders>
              <w:bottom w:val="single" w:sz="4" w:space="0" w:color="046B5C"/>
            </w:tcBorders>
            <w:shd w:val="clear" w:color="auto" w:fill="auto"/>
            <w:vAlign w:val="top"/>
          </w:tcPr>
          <w:p w:rsidR="00E954C9" w:rsidRPr="00E954C9" w:rsidP="00E954C9" w14:paraId="52A1E322"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96</w:t>
            </w:r>
          </w:p>
        </w:tc>
        <w:tc>
          <w:tcPr>
            <w:tcW w:w="521" w:type="pct"/>
            <w:tcBorders>
              <w:bottom w:val="single" w:sz="4" w:space="0" w:color="046B5C"/>
            </w:tcBorders>
            <w:shd w:val="clear" w:color="auto" w:fill="auto"/>
            <w:vAlign w:val="top"/>
          </w:tcPr>
          <w:p w:rsidR="00E954C9" w:rsidRPr="00E954C9" w:rsidP="00E954C9" w14:paraId="279362D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49</w:t>
            </w:r>
          </w:p>
        </w:tc>
        <w:tc>
          <w:tcPr>
            <w:tcW w:w="1528" w:type="pct"/>
            <w:tcBorders>
              <w:bottom w:val="single" w:sz="4" w:space="0" w:color="046B5C"/>
            </w:tcBorders>
            <w:shd w:val="clear" w:color="auto" w:fill="auto"/>
            <w:vAlign w:val="top"/>
          </w:tcPr>
          <w:p w:rsidR="00E954C9" w:rsidRPr="00E954C9" w:rsidP="00E954C9" w14:paraId="5C42F97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Completed in states where Group 3 SFAs are located.</w:t>
            </w:r>
          </w:p>
        </w:tc>
      </w:tr>
      <w:tr w14:paraId="7CFE6569"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2D48F053" w14:textId="77777777">
            <w:pPr>
              <w:keepLines/>
              <w:spacing w:before="40" w:after="20" w:line="240" w:lineRule="atLeast"/>
              <w:rPr>
                <w:rFonts w:eastAsia="Segoe UI"/>
                <w:color w:val="000000"/>
                <w:sz w:val="18"/>
              </w:rPr>
            </w:pPr>
            <w:r w:rsidRPr="00E954C9">
              <w:rPr>
                <w:rFonts w:eastAsia="Segoe UI"/>
                <w:color w:val="000000"/>
                <w:sz w:val="18"/>
              </w:rPr>
              <w:t>SFA On-Site Cost Interview (G3)</w:t>
            </w:r>
          </w:p>
        </w:tc>
        <w:tc>
          <w:tcPr>
            <w:tcW w:w="625" w:type="pct"/>
            <w:tcBorders>
              <w:bottom w:val="single" w:sz="4" w:space="0" w:color="046B5C"/>
            </w:tcBorders>
            <w:shd w:val="clear" w:color="auto" w:fill="auto"/>
            <w:vAlign w:val="top"/>
          </w:tcPr>
          <w:p w:rsidR="00E954C9" w:rsidRPr="00E954C9" w:rsidP="00E954C9" w14:paraId="62386456" w14:textId="77777777">
            <w:pPr>
              <w:keepLines/>
              <w:spacing w:before="40" w:after="20" w:line="240" w:lineRule="atLeast"/>
              <w:rPr>
                <w:rFonts w:ascii="Segoe UI" w:eastAsia="Segoe UI" w:hAnsi="Segoe UI"/>
                <w:color w:val="000000"/>
                <w:sz w:val="18"/>
              </w:rPr>
            </w:pPr>
            <w:r w:rsidRPr="00E954C9">
              <w:rPr>
                <w:rFonts w:ascii="Segoe UI" w:eastAsia="Segoe UI" w:hAnsi="Segoe UI"/>
                <w:color w:val="000000"/>
                <w:sz w:val="18"/>
              </w:rPr>
              <w:t>294 SFA directors/business managers</w:t>
            </w:r>
          </w:p>
        </w:tc>
        <w:tc>
          <w:tcPr>
            <w:tcW w:w="556" w:type="pct"/>
            <w:tcBorders>
              <w:bottom w:val="single" w:sz="4" w:space="0" w:color="046B5C"/>
            </w:tcBorders>
            <w:shd w:val="clear" w:color="auto" w:fill="auto"/>
            <w:vAlign w:val="top"/>
          </w:tcPr>
          <w:p w:rsidR="00E954C9" w:rsidRPr="00E954C9" w:rsidP="00E954C9" w14:paraId="286E1C52" w14:textId="77777777">
            <w:pPr>
              <w:keepLines/>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bottom w:val="single" w:sz="4" w:space="0" w:color="046B5C"/>
            </w:tcBorders>
            <w:shd w:val="clear" w:color="auto" w:fill="auto"/>
            <w:vAlign w:val="top"/>
          </w:tcPr>
          <w:p w:rsidR="00E954C9" w:rsidRPr="00E954C9" w:rsidP="00E954C9" w14:paraId="234150E7" w14:textId="77777777">
            <w:pPr>
              <w:keepLines/>
              <w:spacing w:before="40" w:after="20" w:line="240" w:lineRule="atLeast"/>
              <w:rPr>
                <w:rFonts w:ascii="Segoe UI" w:eastAsia="Segoe UI" w:hAnsi="Segoe UI"/>
                <w:color w:val="000000"/>
                <w:sz w:val="18"/>
              </w:rPr>
            </w:pPr>
            <w:r w:rsidRPr="00E954C9">
              <w:rPr>
                <w:rFonts w:ascii="Segoe UI" w:eastAsia="Segoe UI" w:hAnsi="Segoe UI"/>
                <w:color w:val="000000"/>
                <w:sz w:val="18"/>
              </w:rPr>
              <w:t>3.25 hours</w:t>
            </w:r>
          </w:p>
        </w:tc>
        <w:tc>
          <w:tcPr>
            <w:tcW w:w="521" w:type="pct"/>
            <w:tcBorders>
              <w:bottom w:val="single" w:sz="4" w:space="0" w:color="046B5C"/>
            </w:tcBorders>
            <w:shd w:val="clear" w:color="auto" w:fill="auto"/>
            <w:vAlign w:val="top"/>
          </w:tcPr>
          <w:p w:rsidR="00E954C9" w:rsidRPr="00E954C9" w:rsidP="00E954C9" w14:paraId="1BC982F7" w14:textId="77777777">
            <w:pPr>
              <w:keepLines/>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66</w:t>
            </w:r>
          </w:p>
        </w:tc>
        <w:tc>
          <w:tcPr>
            <w:tcW w:w="521" w:type="pct"/>
            <w:tcBorders>
              <w:bottom w:val="single" w:sz="4" w:space="0" w:color="046B5C"/>
            </w:tcBorders>
            <w:shd w:val="clear" w:color="auto" w:fill="auto"/>
            <w:vAlign w:val="top"/>
          </w:tcPr>
          <w:p w:rsidR="00E954C9" w:rsidRPr="00E954C9" w:rsidP="00E954C9" w14:paraId="1CB1F76E" w14:textId="77777777">
            <w:pPr>
              <w:keepLines/>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446</w:t>
            </w:r>
          </w:p>
        </w:tc>
        <w:tc>
          <w:tcPr>
            <w:tcW w:w="1528" w:type="pct"/>
            <w:tcBorders>
              <w:bottom w:val="single" w:sz="4" w:space="0" w:color="046B5C"/>
            </w:tcBorders>
            <w:shd w:val="clear" w:color="auto" w:fill="auto"/>
            <w:vAlign w:val="top"/>
          </w:tcPr>
          <w:p w:rsidR="00E954C9" w:rsidRPr="00E954C9" w:rsidP="00E954C9" w14:paraId="726DE530" w14:textId="77777777">
            <w:pPr>
              <w:keepLines/>
              <w:spacing w:before="40" w:after="20" w:line="240" w:lineRule="atLeast"/>
              <w:rPr>
                <w:rFonts w:ascii="Segoe UI" w:eastAsia="Segoe UI" w:hAnsi="Segoe UI"/>
                <w:color w:val="000000"/>
                <w:sz w:val="18"/>
              </w:rPr>
            </w:pPr>
            <w:r w:rsidRPr="00E954C9">
              <w:rPr>
                <w:rFonts w:ascii="Segoe UI" w:eastAsia="Segoe UI" w:hAnsi="Segoe UI"/>
                <w:color w:val="000000"/>
                <w:sz w:val="18"/>
              </w:rPr>
              <w:t>The modules are (1) SFA Staff Salary and Time Allocation Grids, (2) Preliminary SFA Indirect Cost Survey, (3) Preliminary Food Service Expense Statement, (4) Off-Budget Staff Salary and Time Allocation Grids, and (5) Food Cost Worksheet.</w:t>
            </w:r>
          </w:p>
        </w:tc>
      </w:tr>
      <w:tr w14:paraId="4659DE55"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46855A77" w14:textId="77777777">
            <w:pPr>
              <w:spacing w:before="40" w:after="20" w:line="240" w:lineRule="atLeast"/>
              <w:rPr>
                <w:rFonts w:eastAsia="Segoe UI"/>
                <w:color w:val="000000"/>
                <w:sz w:val="18"/>
              </w:rPr>
            </w:pPr>
            <w:r w:rsidRPr="00E954C9">
              <w:rPr>
                <w:rFonts w:eastAsia="Segoe UI"/>
                <w:color w:val="000000"/>
                <w:sz w:val="18"/>
              </w:rPr>
              <w:t>FOA SFA On-Site Cost Interview</w:t>
            </w:r>
          </w:p>
        </w:tc>
        <w:tc>
          <w:tcPr>
            <w:tcW w:w="625" w:type="pct"/>
            <w:tcBorders>
              <w:bottom w:val="single" w:sz="4" w:space="0" w:color="046B5C"/>
            </w:tcBorders>
            <w:shd w:val="clear" w:color="auto" w:fill="auto"/>
            <w:vAlign w:val="top"/>
          </w:tcPr>
          <w:p w:rsidR="00E954C9" w:rsidRPr="00E954C9" w:rsidP="00E954C9" w14:paraId="04EC61A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31 SFA directors/business managers</w:t>
            </w:r>
          </w:p>
        </w:tc>
        <w:tc>
          <w:tcPr>
            <w:tcW w:w="556" w:type="pct"/>
            <w:tcBorders>
              <w:bottom w:val="single" w:sz="4" w:space="0" w:color="046B5C"/>
            </w:tcBorders>
            <w:shd w:val="clear" w:color="auto" w:fill="auto"/>
            <w:vAlign w:val="top"/>
          </w:tcPr>
          <w:p w:rsidR="00E954C9" w:rsidRPr="00E954C9" w:rsidP="00E954C9" w14:paraId="7B6BC02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Remote</w:t>
            </w:r>
          </w:p>
        </w:tc>
        <w:tc>
          <w:tcPr>
            <w:tcW w:w="555" w:type="pct"/>
            <w:tcBorders>
              <w:bottom w:val="single" w:sz="4" w:space="0" w:color="046B5C"/>
            </w:tcBorders>
            <w:shd w:val="clear" w:color="auto" w:fill="auto"/>
            <w:vAlign w:val="top"/>
          </w:tcPr>
          <w:p w:rsidR="00E954C9" w:rsidRPr="00E954C9" w:rsidP="00E954C9" w14:paraId="6FB85D2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3.25 hours</w:t>
            </w:r>
          </w:p>
        </w:tc>
        <w:tc>
          <w:tcPr>
            <w:tcW w:w="521" w:type="pct"/>
            <w:tcBorders>
              <w:bottom w:val="single" w:sz="4" w:space="0" w:color="046B5C"/>
            </w:tcBorders>
            <w:shd w:val="clear" w:color="auto" w:fill="auto"/>
            <w:vAlign w:val="top"/>
          </w:tcPr>
          <w:p w:rsidR="00E954C9" w:rsidRPr="00E954C9" w:rsidP="00E954C9" w14:paraId="0ED9B2A7"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91</w:t>
            </w:r>
          </w:p>
        </w:tc>
        <w:tc>
          <w:tcPr>
            <w:tcW w:w="521" w:type="pct"/>
            <w:tcBorders>
              <w:bottom w:val="single" w:sz="4" w:space="0" w:color="046B5C"/>
            </w:tcBorders>
            <w:shd w:val="clear" w:color="auto" w:fill="auto"/>
            <w:vAlign w:val="top"/>
          </w:tcPr>
          <w:p w:rsidR="00E954C9" w:rsidRPr="00E954C9" w:rsidP="00E954C9" w14:paraId="50A7674A"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34</w:t>
            </w:r>
          </w:p>
        </w:tc>
        <w:tc>
          <w:tcPr>
            <w:tcW w:w="1528" w:type="pct"/>
            <w:tcBorders>
              <w:bottom w:val="single" w:sz="4" w:space="0" w:color="046B5C"/>
            </w:tcBorders>
            <w:shd w:val="clear" w:color="auto" w:fill="auto"/>
            <w:vAlign w:val="top"/>
          </w:tcPr>
          <w:p w:rsidR="00E954C9" w:rsidRPr="00E954C9" w:rsidP="00E954C9" w14:paraId="41326BA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 xml:space="preserve">. The modules are (1) SFA Staff Salary and Time Allocation Grids, (2) Preliminary SFA Indirect Cost Survey, (3) Preliminary Food Service Expense Statement, (4) Off-Budget Staff Salary </w:t>
            </w:r>
            <w:r w:rsidRPr="00E954C9">
              <w:rPr>
                <w:rFonts w:ascii="Segoe UI" w:eastAsia="Segoe UI" w:hAnsi="Segoe UI"/>
                <w:color w:val="000000"/>
                <w:sz w:val="18"/>
              </w:rPr>
              <w:t>and Time Allocation Grids, and (5) Food Cost Worksheet.</w:t>
            </w:r>
          </w:p>
        </w:tc>
      </w:tr>
      <w:tr w14:paraId="298385F8"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00B340D8" w14:textId="77777777">
            <w:pPr>
              <w:spacing w:before="40" w:after="20" w:line="240" w:lineRule="atLeast"/>
              <w:rPr>
                <w:rFonts w:eastAsia="Segoe UI"/>
                <w:color w:val="000000"/>
                <w:sz w:val="18"/>
              </w:rPr>
            </w:pPr>
            <w:r w:rsidRPr="00E954C9">
              <w:rPr>
                <w:rFonts w:eastAsia="Segoe UI"/>
                <w:color w:val="000000"/>
                <w:sz w:val="18"/>
              </w:rPr>
              <w:t>LOA Cost Interview</w:t>
            </w:r>
          </w:p>
        </w:tc>
        <w:tc>
          <w:tcPr>
            <w:tcW w:w="625" w:type="pct"/>
            <w:tcBorders>
              <w:bottom w:val="single" w:sz="4" w:space="0" w:color="046B5C"/>
            </w:tcBorders>
            <w:shd w:val="clear" w:color="auto" w:fill="auto"/>
            <w:vAlign w:val="top"/>
          </w:tcPr>
          <w:p w:rsidR="00E954C9" w:rsidRPr="00E954C9" w:rsidP="00E954C9" w14:paraId="77CB496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 SFA directors/business managers</w:t>
            </w:r>
          </w:p>
        </w:tc>
        <w:tc>
          <w:tcPr>
            <w:tcW w:w="556" w:type="pct"/>
            <w:tcBorders>
              <w:bottom w:val="single" w:sz="4" w:space="0" w:color="046B5C"/>
            </w:tcBorders>
            <w:shd w:val="clear" w:color="auto" w:fill="auto"/>
            <w:vAlign w:val="top"/>
          </w:tcPr>
          <w:p w:rsidR="00E954C9" w:rsidRPr="00E954C9" w:rsidP="00E954C9" w14:paraId="4CCBD15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bottom w:val="single" w:sz="4" w:space="0" w:color="046B5C"/>
            </w:tcBorders>
            <w:shd w:val="clear" w:color="auto" w:fill="auto"/>
            <w:vAlign w:val="top"/>
          </w:tcPr>
          <w:p w:rsidR="00E954C9" w:rsidRPr="00E954C9" w:rsidP="00E954C9" w14:paraId="422A71E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1.5 hours</w:t>
            </w:r>
          </w:p>
        </w:tc>
        <w:tc>
          <w:tcPr>
            <w:tcW w:w="521" w:type="pct"/>
            <w:tcBorders>
              <w:bottom w:val="single" w:sz="4" w:space="0" w:color="046B5C"/>
            </w:tcBorders>
            <w:shd w:val="clear" w:color="auto" w:fill="auto"/>
            <w:vAlign w:val="top"/>
          </w:tcPr>
          <w:p w:rsidR="00E954C9" w:rsidRPr="00E954C9" w:rsidP="00E954C9" w14:paraId="715FDA4B"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bottom w:val="single" w:sz="4" w:space="0" w:color="046B5C"/>
            </w:tcBorders>
            <w:shd w:val="clear" w:color="auto" w:fill="auto"/>
            <w:vAlign w:val="top"/>
          </w:tcPr>
          <w:p w:rsidR="00E954C9" w:rsidRPr="00E954C9" w:rsidP="00E954C9" w14:paraId="05465E5E"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w:t>
            </w:r>
          </w:p>
        </w:tc>
        <w:tc>
          <w:tcPr>
            <w:tcW w:w="1528" w:type="pct"/>
            <w:tcBorders>
              <w:bottom w:val="single" w:sz="4" w:space="0" w:color="046B5C"/>
            </w:tcBorders>
            <w:shd w:val="clear" w:color="auto" w:fill="auto"/>
            <w:vAlign w:val="top"/>
          </w:tcPr>
          <w:p w:rsidR="00E954C9" w:rsidRPr="00E954C9" w:rsidP="00E954C9" w14:paraId="779EFE0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Director Planning Interview. The modules are (1) SFA Staff Salary and Time Allocation Grids, (2) Preliminary SFA Indirect Cost Survey, (3) Preliminary Food Service Expense Statement, (4) Off-Budget Staff Salary and Time Allocation Grids, and (5) Food Cost Worksheet.</w:t>
            </w:r>
          </w:p>
        </w:tc>
      </w:tr>
      <w:tr w14:paraId="13D90AEE"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35B73CA8" w14:textId="77777777">
            <w:pPr>
              <w:spacing w:before="40" w:after="20" w:line="240" w:lineRule="atLeast"/>
              <w:rPr>
                <w:rFonts w:eastAsia="Segoe UI"/>
                <w:color w:val="000000"/>
                <w:sz w:val="18"/>
              </w:rPr>
            </w:pPr>
            <w:r w:rsidRPr="00E954C9">
              <w:rPr>
                <w:rFonts w:eastAsia="Segoe UI"/>
                <w:color w:val="000000"/>
                <w:sz w:val="18"/>
              </w:rPr>
              <w:t>SFA Follow-Up Web Survey (G3)</w:t>
            </w:r>
          </w:p>
        </w:tc>
        <w:tc>
          <w:tcPr>
            <w:tcW w:w="625" w:type="pct"/>
            <w:tcBorders>
              <w:top w:val="single" w:sz="4" w:space="0" w:color="046B5C"/>
              <w:bottom w:val="single" w:sz="4" w:space="0" w:color="046B5C"/>
            </w:tcBorders>
            <w:shd w:val="clear" w:color="auto" w:fill="auto"/>
            <w:vAlign w:val="top"/>
          </w:tcPr>
          <w:p w:rsidR="00E954C9" w:rsidRPr="00E954C9" w:rsidP="00E954C9" w14:paraId="519ED06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265 SFA directors</w:t>
            </w:r>
          </w:p>
        </w:tc>
        <w:tc>
          <w:tcPr>
            <w:tcW w:w="556" w:type="pct"/>
            <w:tcBorders>
              <w:top w:val="single" w:sz="4" w:space="0" w:color="046B5C"/>
              <w:bottom w:val="single" w:sz="4" w:space="0" w:color="046B5C"/>
            </w:tcBorders>
            <w:shd w:val="clear" w:color="auto" w:fill="auto"/>
            <w:vAlign w:val="top"/>
          </w:tcPr>
          <w:p w:rsidR="00E954C9" w:rsidRPr="00E954C9" w:rsidP="00E954C9" w14:paraId="54ADAAF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25841A9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30 minutes</w:t>
            </w:r>
          </w:p>
        </w:tc>
        <w:tc>
          <w:tcPr>
            <w:tcW w:w="521" w:type="pct"/>
            <w:tcBorders>
              <w:top w:val="single" w:sz="4" w:space="0" w:color="046B5C"/>
              <w:bottom w:val="single" w:sz="4" w:space="0" w:color="046B5C"/>
            </w:tcBorders>
            <w:shd w:val="clear" w:color="auto" w:fill="auto"/>
            <w:vAlign w:val="top"/>
          </w:tcPr>
          <w:p w:rsidR="00E954C9" w:rsidRPr="00E954C9" w:rsidP="00E954C9" w14:paraId="57FC3B4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90</w:t>
            </w:r>
          </w:p>
        </w:tc>
        <w:tc>
          <w:tcPr>
            <w:tcW w:w="521" w:type="pct"/>
            <w:tcBorders>
              <w:top w:val="single" w:sz="4" w:space="0" w:color="046B5C"/>
              <w:bottom w:val="single" w:sz="4" w:space="0" w:color="046B5C"/>
            </w:tcBorders>
            <w:shd w:val="clear" w:color="auto" w:fill="auto"/>
            <w:vAlign w:val="top"/>
          </w:tcPr>
          <w:p w:rsidR="00E954C9" w:rsidRPr="00E954C9" w:rsidP="00E954C9" w14:paraId="027A6C95"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294</w:t>
            </w:r>
          </w:p>
        </w:tc>
        <w:tc>
          <w:tcPr>
            <w:tcW w:w="1528" w:type="pct"/>
            <w:tcBorders>
              <w:top w:val="single" w:sz="4" w:space="0" w:color="046B5C"/>
              <w:bottom w:val="single" w:sz="4" w:space="0" w:color="046B5C"/>
            </w:tcBorders>
            <w:shd w:val="clear" w:color="auto" w:fill="auto"/>
            <w:vAlign w:val="top"/>
          </w:tcPr>
          <w:p w:rsidR="00E954C9" w:rsidRPr="00E954C9" w:rsidP="00E954C9" w14:paraId="2DA4518B"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w:t>
            </w:r>
          </w:p>
        </w:tc>
      </w:tr>
      <w:tr w14:paraId="2FDF4F2E"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0885173E" w14:textId="77777777">
            <w:pPr>
              <w:spacing w:before="40" w:after="20" w:line="240" w:lineRule="atLeast"/>
              <w:rPr>
                <w:rFonts w:eastAsia="Segoe UI"/>
                <w:color w:val="000000"/>
                <w:sz w:val="18"/>
              </w:rPr>
            </w:pPr>
            <w:r w:rsidRPr="00E954C9">
              <w:rPr>
                <w:rFonts w:eastAsia="Segoe UI"/>
                <w:color w:val="000000"/>
                <w:sz w:val="18"/>
              </w:rPr>
              <w:t>FOA SFA Follow-Up Web Survey</w:t>
            </w:r>
          </w:p>
        </w:tc>
        <w:tc>
          <w:tcPr>
            <w:tcW w:w="625" w:type="pct"/>
            <w:tcBorders>
              <w:top w:val="single" w:sz="4" w:space="0" w:color="046B5C"/>
              <w:bottom w:val="single" w:sz="4" w:space="0" w:color="046B5C"/>
            </w:tcBorders>
            <w:shd w:val="clear" w:color="auto" w:fill="auto"/>
            <w:vAlign w:val="top"/>
          </w:tcPr>
          <w:p w:rsidR="00E954C9" w:rsidRPr="00E954C9" w:rsidP="00E954C9" w14:paraId="74D963A3" w14:textId="664383C3">
            <w:pPr>
              <w:spacing w:before="40" w:after="20" w:line="240" w:lineRule="atLeast"/>
              <w:rPr>
                <w:rFonts w:ascii="Segoe UI" w:eastAsia="Segoe UI" w:hAnsi="Segoe UI"/>
                <w:color w:val="000000"/>
                <w:sz w:val="18"/>
              </w:rPr>
            </w:pPr>
            <w:r w:rsidRPr="00E954C9">
              <w:rPr>
                <w:rFonts w:ascii="Segoe UI" w:eastAsia="Segoe UI" w:hAnsi="Segoe UI"/>
                <w:color w:val="000000"/>
                <w:sz w:val="18"/>
              </w:rPr>
              <w:t>31</w:t>
            </w:r>
            <w:r w:rsidR="003A4AEB">
              <w:rPr>
                <w:rFonts w:ascii="Segoe UI" w:eastAsia="Segoe UI" w:hAnsi="Segoe UI"/>
                <w:color w:val="000000"/>
                <w:sz w:val="18"/>
              </w:rPr>
              <w:t xml:space="preserve"> SFA directors</w:t>
            </w:r>
          </w:p>
        </w:tc>
        <w:tc>
          <w:tcPr>
            <w:tcW w:w="556" w:type="pct"/>
            <w:tcBorders>
              <w:top w:val="single" w:sz="4" w:space="0" w:color="046B5C"/>
              <w:bottom w:val="single" w:sz="4" w:space="0" w:color="046B5C"/>
            </w:tcBorders>
            <w:shd w:val="clear" w:color="auto" w:fill="auto"/>
            <w:vAlign w:val="top"/>
          </w:tcPr>
          <w:p w:rsidR="00E954C9" w:rsidRPr="00E954C9" w:rsidP="00E954C9" w14:paraId="52D0544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1D3F2A5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30 minutes</w:t>
            </w:r>
          </w:p>
        </w:tc>
        <w:tc>
          <w:tcPr>
            <w:tcW w:w="521" w:type="pct"/>
            <w:tcBorders>
              <w:top w:val="single" w:sz="4" w:space="0" w:color="046B5C"/>
              <w:bottom w:val="single" w:sz="4" w:space="0" w:color="046B5C"/>
            </w:tcBorders>
            <w:shd w:val="clear" w:color="auto" w:fill="auto"/>
            <w:vAlign w:val="top"/>
          </w:tcPr>
          <w:p w:rsidR="00E954C9" w:rsidRPr="00E954C9" w:rsidP="00E954C9" w14:paraId="1B487565"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bottom w:val="single" w:sz="4" w:space="0" w:color="046B5C"/>
            </w:tcBorders>
            <w:shd w:val="clear" w:color="auto" w:fill="auto"/>
            <w:vAlign w:val="top"/>
          </w:tcPr>
          <w:p w:rsidR="00E954C9" w:rsidRPr="00E954C9" w:rsidP="00E954C9" w14:paraId="45CC6E18"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31</w:t>
            </w:r>
          </w:p>
        </w:tc>
        <w:tc>
          <w:tcPr>
            <w:tcW w:w="1528" w:type="pct"/>
            <w:tcBorders>
              <w:top w:val="single" w:sz="4" w:space="0" w:color="046B5C"/>
              <w:bottom w:val="single" w:sz="4" w:space="0" w:color="046B5C"/>
            </w:tcBorders>
            <w:shd w:val="clear" w:color="auto" w:fill="auto"/>
            <w:vAlign w:val="top"/>
          </w:tcPr>
          <w:p w:rsidR="00E954C9" w:rsidRPr="00E954C9" w:rsidP="00E954C9" w14:paraId="4EA876B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w:t>
            </w:r>
          </w:p>
        </w:tc>
      </w:tr>
      <w:tr w14:paraId="4E19405A"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24ED657D" w14:textId="77777777">
            <w:pPr>
              <w:spacing w:before="40" w:after="20" w:line="240" w:lineRule="atLeast"/>
              <w:rPr>
                <w:rFonts w:eastAsia="Segoe UI"/>
                <w:color w:val="000000"/>
                <w:sz w:val="18"/>
              </w:rPr>
            </w:pPr>
            <w:r w:rsidRPr="00E954C9">
              <w:rPr>
                <w:rFonts w:eastAsia="Segoe UI"/>
                <w:color w:val="000000"/>
                <w:sz w:val="18"/>
              </w:rPr>
              <w:t>LOA SFA Follow-Up Web Survey</w:t>
            </w:r>
          </w:p>
        </w:tc>
        <w:tc>
          <w:tcPr>
            <w:tcW w:w="625" w:type="pct"/>
            <w:tcBorders>
              <w:top w:val="single" w:sz="4" w:space="0" w:color="046B5C"/>
              <w:bottom w:val="single" w:sz="4" w:space="0" w:color="046B5C"/>
            </w:tcBorders>
            <w:shd w:val="clear" w:color="auto" w:fill="auto"/>
            <w:vAlign w:val="top"/>
          </w:tcPr>
          <w:p w:rsidR="00E954C9" w:rsidRPr="00E954C9" w:rsidP="00E954C9" w14:paraId="425B34B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 SFA directors</w:t>
            </w:r>
          </w:p>
        </w:tc>
        <w:tc>
          <w:tcPr>
            <w:tcW w:w="556" w:type="pct"/>
            <w:tcBorders>
              <w:top w:val="single" w:sz="4" w:space="0" w:color="046B5C"/>
              <w:bottom w:val="single" w:sz="4" w:space="0" w:color="046B5C"/>
            </w:tcBorders>
            <w:shd w:val="clear" w:color="auto" w:fill="auto"/>
            <w:vAlign w:val="top"/>
          </w:tcPr>
          <w:p w:rsidR="00E954C9" w:rsidRPr="00E954C9" w:rsidP="00E954C9" w14:paraId="4002352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2FBF2AB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30 minutes</w:t>
            </w:r>
          </w:p>
        </w:tc>
        <w:tc>
          <w:tcPr>
            <w:tcW w:w="521" w:type="pct"/>
            <w:tcBorders>
              <w:top w:val="single" w:sz="4" w:space="0" w:color="046B5C"/>
              <w:bottom w:val="single" w:sz="4" w:space="0" w:color="046B5C"/>
            </w:tcBorders>
            <w:shd w:val="clear" w:color="auto" w:fill="auto"/>
            <w:vAlign w:val="top"/>
          </w:tcPr>
          <w:p w:rsidR="00E954C9" w:rsidRPr="00E954C9" w:rsidP="00E954C9" w14:paraId="53D64B67"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bottom w:val="single" w:sz="4" w:space="0" w:color="046B5C"/>
            </w:tcBorders>
            <w:shd w:val="clear" w:color="auto" w:fill="auto"/>
            <w:vAlign w:val="top"/>
          </w:tcPr>
          <w:p w:rsidR="00E954C9" w:rsidRPr="00E954C9" w:rsidP="00E954C9" w14:paraId="5F178C9A"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w:t>
            </w:r>
          </w:p>
        </w:tc>
        <w:tc>
          <w:tcPr>
            <w:tcW w:w="1528" w:type="pct"/>
            <w:tcBorders>
              <w:top w:val="single" w:sz="4" w:space="0" w:color="046B5C"/>
              <w:bottom w:val="single" w:sz="4" w:space="0" w:color="046B5C"/>
            </w:tcBorders>
            <w:shd w:val="clear" w:color="auto" w:fill="auto"/>
            <w:vAlign w:val="top"/>
          </w:tcPr>
          <w:p w:rsidR="00E954C9" w:rsidRPr="00E954C9" w:rsidP="00E954C9" w14:paraId="2579D62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w:t>
            </w:r>
          </w:p>
        </w:tc>
      </w:tr>
      <w:tr w14:paraId="2DBF4E8B"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39C6A0A6" w14:textId="77777777">
            <w:pPr>
              <w:spacing w:before="40" w:after="20" w:line="240" w:lineRule="atLeast"/>
              <w:rPr>
                <w:rFonts w:eastAsia="Segoe UI"/>
                <w:color w:val="000000"/>
                <w:sz w:val="18"/>
              </w:rPr>
            </w:pPr>
            <w:r w:rsidRPr="00E954C9">
              <w:rPr>
                <w:rFonts w:eastAsia="Segoe UI"/>
                <w:color w:val="000000"/>
                <w:sz w:val="18"/>
              </w:rPr>
              <w:t>SFA Follow-Up Cost Interview (G3)</w:t>
            </w:r>
          </w:p>
        </w:tc>
        <w:tc>
          <w:tcPr>
            <w:tcW w:w="625" w:type="pct"/>
            <w:tcBorders>
              <w:top w:val="single" w:sz="4" w:space="0" w:color="046B5C"/>
              <w:bottom w:val="single" w:sz="4" w:space="0" w:color="046B5C"/>
            </w:tcBorders>
            <w:shd w:val="clear" w:color="auto" w:fill="auto"/>
            <w:vAlign w:val="top"/>
          </w:tcPr>
          <w:p w:rsidR="00E954C9" w:rsidRPr="00E954C9" w:rsidP="00E954C9" w14:paraId="140DE5F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261 SFA directors/business managers</w:t>
            </w:r>
          </w:p>
        </w:tc>
        <w:tc>
          <w:tcPr>
            <w:tcW w:w="556" w:type="pct"/>
            <w:tcBorders>
              <w:top w:val="single" w:sz="4" w:space="0" w:color="046B5C"/>
              <w:bottom w:val="single" w:sz="4" w:space="0" w:color="046B5C"/>
            </w:tcBorders>
            <w:shd w:val="clear" w:color="auto" w:fill="auto"/>
            <w:vAlign w:val="top"/>
          </w:tcPr>
          <w:p w:rsidR="00E954C9" w:rsidRPr="00E954C9" w:rsidP="00E954C9" w14:paraId="743CBAA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Telephone plus screen sharing</w:t>
            </w:r>
          </w:p>
        </w:tc>
        <w:tc>
          <w:tcPr>
            <w:tcW w:w="555" w:type="pct"/>
            <w:tcBorders>
              <w:top w:val="single" w:sz="4" w:space="0" w:color="046B5C"/>
              <w:bottom w:val="single" w:sz="4" w:space="0" w:color="046B5C"/>
            </w:tcBorders>
            <w:shd w:val="clear" w:color="auto" w:fill="auto"/>
            <w:vAlign w:val="top"/>
          </w:tcPr>
          <w:p w:rsidR="00E954C9" w:rsidRPr="00E954C9" w:rsidP="00E954C9" w14:paraId="58D27FA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 hours</w:t>
            </w:r>
          </w:p>
        </w:tc>
        <w:tc>
          <w:tcPr>
            <w:tcW w:w="521" w:type="pct"/>
            <w:tcBorders>
              <w:top w:val="single" w:sz="4" w:space="0" w:color="046B5C"/>
              <w:bottom w:val="single" w:sz="4" w:space="0" w:color="046B5C"/>
            </w:tcBorders>
            <w:shd w:val="clear" w:color="auto" w:fill="auto"/>
            <w:vAlign w:val="top"/>
          </w:tcPr>
          <w:p w:rsidR="00E954C9" w:rsidRPr="00E954C9" w:rsidP="00E954C9" w14:paraId="1E77E670"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89</w:t>
            </w:r>
          </w:p>
        </w:tc>
        <w:tc>
          <w:tcPr>
            <w:tcW w:w="521" w:type="pct"/>
            <w:tcBorders>
              <w:top w:val="single" w:sz="4" w:space="0" w:color="046B5C"/>
              <w:bottom w:val="single" w:sz="4" w:space="0" w:color="046B5C"/>
            </w:tcBorders>
            <w:shd w:val="clear" w:color="auto" w:fill="auto"/>
            <w:vAlign w:val="top"/>
          </w:tcPr>
          <w:p w:rsidR="00E954C9" w:rsidRPr="00E954C9" w:rsidP="00E954C9" w14:paraId="78D0161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294</w:t>
            </w:r>
          </w:p>
        </w:tc>
        <w:tc>
          <w:tcPr>
            <w:tcW w:w="1528" w:type="pct"/>
            <w:tcBorders>
              <w:top w:val="single" w:sz="4" w:space="0" w:color="046B5C"/>
              <w:bottom w:val="single" w:sz="4" w:space="0" w:color="046B5C"/>
            </w:tcBorders>
            <w:shd w:val="clear" w:color="auto" w:fill="auto"/>
            <w:vAlign w:val="top"/>
          </w:tcPr>
          <w:p w:rsidR="00E954C9" w:rsidRPr="00E954C9" w:rsidP="00E954C9" w14:paraId="61EBCA5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 The modules are (1) Food Service Expense Statement Follow-Up, (2) Food Service Revenue Statement, and (3) Food Service Indirect Cost Follow-up Questionnaire.</w:t>
            </w:r>
          </w:p>
        </w:tc>
      </w:tr>
      <w:tr w14:paraId="63CE81D6"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1F34EE89" w14:textId="77777777">
            <w:pPr>
              <w:spacing w:before="40" w:after="20" w:line="240" w:lineRule="atLeast"/>
              <w:rPr>
                <w:rFonts w:eastAsia="Segoe UI"/>
                <w:color w:val="000000"/>
                <w:sz w:val="18"/>
              </w:rPr>
            </w:pPr>
            <w:r w:rsidRPr="00E954C9">
              <w:rPr>
                <w:rFonts w:eastAsia="Segoe UI"/>
                <w:color w:val="000000"/>
                <w:sz w:val="18"/>
              </w:rPr>
              <w:t>FOA SFA Follow-Up Cost Interview</w:t>
            </w:r>
          </w:p>
        </w:tc>
        <w:tc>
          <w:tcPr>
            <w:tcW w:w="625" w:type="pct"/>
            <w:tcBorders>
              <w:top w:val="single" w:sz="4" w:space="0" w:color="046B5C"/>
              <w:bottom w:val="single" w:sz="4" w:space="0" w:color="046B5C"/>
            </w:tcBorders>
            <w:shd w:val="clear" w:color="auto" w:fill="auto"/>
            <w:vAlign w:val="top"/>
          </w:tcPr>
          <w:p w:rsidR="00E954C9" w:rsidRPr="00E954C9" w:rsidP="00E954C9" w14:paraId="4CAFAE8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30 SFA directors/business managers</w:t>
            </w:r>
          </w:p>
        </w:tc>
        <w:tc>
          <w:tcPr>
            <w:tcW w:w="556" w:type="pct"/>
            <w:tcBorders>
              <w:top w:val="single" w:sz="4" w:space="0" w:color="046B5C"/>
              <w:bottom w:val="single" w:sz="4" w:space="0" w:color="046B5C"/>
            </w:tcBorders>
            <w:shd w:val="clear" w:color="auto" w:fill="auto"/>
            <w:vAlign w:val="top"/>
          </w:tcPr>
          <w:p w:rsidR="00E954C9" w:rsidRPr="00E954C9" w:rsidP="00E954C9" w14:paraId="0AC8143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Telephone plus screen sharing</w:t>
            </w:r>
          </w:p>
        </w:tc>
        <w:tc>
          <w:tcPr>
            <w:tcW w:w="555" w:type="pct"/>
            <w:tcBorders>
              <w:top w:val="single" w:sz="4" w:space="0" w:color="046B5C"/>
              <w:bottom w:val="single" w:sz="4" w:space="0" w:color="046B5C"/>
            </w:tcBorders>
            <w:shd w:val="clear" w:color="auto" w:fill="auto"/>
            <w:vAlign w:val="top"/>
          </w:tcPr>
          <w:p w:rsidR="00E954C9" w:rsidRPr="00E954C9" w:rsidP="00E954C9" w14:paraId="38BC564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 hours</w:t>
            </w:r>
          </w:p>
        </w:tc>
        <w:tc>
          <w:tcPr>
            <w:tcW w:w="521" w:type="pct"/>
            <w:tcBorders>
              <w:top w:val="single" w:sz="4" w:space="0" w:color="046B5C"/>
              <w:bottom w:val="single" w:sz="4" w:space="0" w:color="046B5C"/>
            </w:tcBorders>
            <w:shd w:val="clear" w:color="auto" w:fill="auto"/>
            <w:vAlign w:val="top"/>
          </w:tcPr>
          <w:p w:rsidR="00E954C9" w:rsidRPr="00E954C9" w:rsidP="00E954C9" w14:paraId="2C46A288"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97</w:t>
            </w:r>
          </w:p>
        </w:tc>
        <w:tc>
          <w:tcPr>
            <w:tcW w:w="521" w:type="pct"/>
            <w:tcBorders>
              <w:top w:val="single" w:sz="4" w:space="0" w:color="046B5C"/>
              <w:bottom w:val="single" w:sz="4" w:space="0" w:color="046B5C"/>
            </w:tcBorders>
            <w:shd w:val="clear" w:color="auto" w:fill="auto"/>
            <w:vAlign w:val="top"/>
          </w:tcPr>
          <w:p w:rsidR="00E954C9" w:rsidRPr="00E954C9" w:rsidP="00E954C9" w14:paraId="2CD612D9"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31</w:t>
            </w:r>
          </w:p>
        </w:tc>
        <w:tc>
          <w:tcPr>
            <w:tcW w:w="1528" w:type="pct"/>
            <w:tcBorders>
              <w:top w:val="single" w:sz="4" w:space="0" w:color="046B5C"/>
              <w:bottom w:val="single" w:sz="4" w:space="0" w:color="046B5C"/>
            </w:tcBorders>
            <w:shd w:val="clear" w:color="auto" w:fill="auto"/>
            <w:vAlign w:val="top"/>
          </w:tcPr>
          <w:p w:rsidR="00E954C9" w:rsidRPr="00E954C9" w:rsidP="00E954C9" w14:paraId="2B9DE7B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 The modules are (1) Food Service Expense Statement Follow-Up, (2) Food Service Revenue Statement, and (3) Food Service Indirect Cost Follow-up Questionnaire.</w:t>
            </w:r>
          </w:p>
        </w:tc>
      </w:tr>
      <w:tr w14:paraId="39E5FEAF"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0457D759" w14:textId="77777777">
            <w:pPr>
              <w:spacing w:before="40" w:after="20" w:line="240" w:lineRule="atLeast"/>
              <w:rPr>
                <w:rFonts w:eastAsia="Segoe UI"/>
                <w:color w:val="000000"/>
                <w:sz w:val="18"/>
              </w:rPr>
            </w:pPr>
            <w:r w:rsidRPr="00E954C9">
              <w:rPr>
                <w:rFonts w:eastAsia="Segoe UI"/>
                <w:color w:val="000000"/>
                <w:sz w:val="18"/>
              </w:rPr>
              <w:t>LOA SFA Follow-Up Cost Interview</w:t>
            </w:r>
          </w:p>
        </w:tc>
        <w:tc>
          <w:tcPr>
            <w:tcW w:w="625" w:type="pct"/>
            <w:tcBorders>
              <w:top w:val="single" w:sz="4" w:space="0" w:color="046B5C"/>
              <w:bottom w:val="single" w:sz="4" w:space="0" w:color="046B5C"/>
            </w:tcBorders>
            <w:shd w:val="clear" w:color="auto" w:fill="auto"/>
            <w:vAlign w:val="top"/>
          </w:tcPr>
          <w:p w:rsidR="00E954C9" w:rsidRPr="00E954C9" w:rsidP="00E954C9" w14:paraId="38ED145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 SFA directors/business managers</w:t>
            </w:r>
          </w:p>
        </w:tc>
        <w:tc>
          <w:tcPr>
            <w:tcW w:w="556" w:type="pct"/>
            <w:tcBorders>
              <w:top w:val="single" w:sz="4" w:space="0" w:color="046B5C"/>
              <w:bottom w:val="single" w:sz="4" w:space="0" w:color="046B5C"/>
            </w:tcBorders>
            <w:shd w:val="clear" w:color="auto" w:fill="auto"/>
            <w:vAlign w:val="top"/>
          </w:tcPr>
          <w:p w:rsidR="00E954C9" w:rsidRPr="00E954C9" w:rsidP="00E954C9" w14:paraId="7A31875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top w:val="single" w:sz="4" w:space="0" w:color="046B5C"/>
              <w:bottom w:val="single" w:sz="4" w:space="0" w:color="046B5C"/>
            </w:tcBorders>
            <w:shd w:val="clear" w:color="auto" w:fill="auto"/>
            <w:vAlign w:val="top"/>
          </w:tcPr>
          <w:p w:rsidR="00E954C9" w:rsidRPr="00E954C9" w:rsidP="00E954C9" w14:paraId="5921467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1.75 hours</w:t>
            </w:r>
          </w:p>
        </w:tc>
        <w:tc>
          <w:tcPr>
            <w:tcW w:w="521" w:type="pct"/>
            <w:tcBorders>
              <w:top w:val="single" w:sz="4" w:space="0" w:color="046B5C"/>
              <w:bottom w:val="single" w:sz="4" w:space="0" w:color="046B5C"/>
            </w:tcBorders>
            <w:shd w:val="clear" w:color="auto" w:fill="auto"/>
            <w:vAlign w:val="top"/>
          </w:tcPr>
          <w:p w:rsidR="00E954C9" w:rsidRPr="00E954C9" w:rsidP="00E954C9" w14:paraId="6C98BF1B"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bottom w:val="single" w:sz="4" w:space="0" w:color="046B5C"/>
            </w:tcBorders>
            <w:shd w:val="clear" w:color="auto" w:fill="auto"/>
            <w:vAlign w:val="top"/>
          </w:tcPr>
          <w:p w:rsidR="00E954C9" w:rsidRPr="00E954C9" w:rsidP="00E954C9" w14:paraId="3AE86F6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w:t>
            </w:r>
          </w:p>
        </w:tc>
        <w:tc>
          <w:tcPr>
            <w:tcW w:w="1528" w:type="pct"/>
            <w:tcBorders>
              <w:top w:val="single" w:sz="4" w:space="0" w:color="046B5C"/>
              <w:bottom w:val="single" w:sz="4" w:space="0" w:color="046B5C"/>
            </w:tcBorders>
            <w:shd w:val="clear" w:color="auto" w:fill="auto"/>
            <w:vAlign w:val="top"/>
          </w:tcPr>
          <w:p w:rsidR="00E954C9" w:rsidRPr="00E954C9" w:rsidP="00E954C9" w14:paraId="0205F71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SFAs with a completed SFA On-Site Cost Interview. The modules are (1) Food Service Expense Statement Follow-Up, (2) Food Service Revenue Statement, and (3) Food Service Indirect Cost Follow-up Questionnaire.</w:t>
            </w:r>
          </w:p>
        </w:tc>
      </w:tr>
      <w:tr w14:paraId="1403D8AB"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47684FAD" w14:textId="77777777">
            <w:pPr>
              <w:spacing w:before="40" w:after="20" w:line="240" w:lineRule="atLeast"/>
              <w:rPr>
                <w:rFonts w:eastAsia="Segoe UI"/>
                <w:color w:val="000000"/>
                <w:sz w:val="18"/>
              </w:rPr>
            </w:pPr>
            <w:r w:rsidRPr="00E954C9">
              <w:rPr>
                <w:rFonts w:eastAsia="Segoe UI"/>
                <w:color w:val="000000"/>
                <w:sz w:val="18"/>
              </w:rPr>
              <w:t>Menu Survey</w:t>
            </w:r>
          </w:p>
        </w:tc>
        <w:tc>
          <w:tcPr>
            <w:tcW w:w="625" w:type="pct"/>
            <w:tcBorders>
              <w:top w:val="single" w:sz="4" w:space="0" w:color="046B5C"/>
              <w:bottom w:val="single" w:sz="4" w:space="0" w:color="046B5C"/>
            </w:tcBorders>
            <w:shd w:val="clear" w:color="auto" w:fill="auto"/>
            <w:vAlign w:val="top"/>
          </w:tcPr>
          <w:p w:rsidR="00E954C9" w:rsidRPr="00E954C9" w:rsidP="00E954C9" w14:paraId="07C5710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796 SNMs (Group 3 only)</w:t>
            </w:r>
          </w:p>
        </w:tc>
        <w:tc>
          <w:tcPr>
            <w:tcW w:w="556" w:type="pct"/>
            <w:tcBorders>
              <w:top w:val="single" w:sz="4" w:space="0" w:color="046B5C"/>
              <w:bottom w:val="single" w:sz="4" w:space="0" w:color="046B5C"/>
            </w:tcBorders>
            <w:shd w:val="clear" w:color="auto" w:fill="auto"/>
            <w:vAlign w:val="top"/>
          </w:tcPr>
          <w:p w:rsidR="00E954C9" w:rsidRPr="00E954C9" w:rsidP="00E954C9" w14:paraId="3C8CB59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7D200CB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 hours (including training)</w:t>
            </w:r>
          </w:p>
        </w:tc>
        <w:tc>
          <w:tcPr>
            <w:tcW w:w="521" w:type="pct"/>
            <w:tcBorders>
              <w:top w:val="single" w:sz="4" w:space="0" w:color="046B5C"/>
              <w:bottom w:val="single" w:sz="4" w:space="0" w:color="046B5C"/>
            </w:tcBorders>
            <w:shd w:val="clear" w:color="auto" w:fill="auto"/>
            <w:vAlign w:val="top"/>
          </w:tcPr>
          <w:p w:rsidR="00E954C9" w:rsidRPr="00E954C9" w:rsidP="00E954C9" w14:paraId="5195C484"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top w:val="single" w:sz="4" w:space="0" w:color="046B5C"/>
              <w:bottom w:val="single" w:sz="4" w:space="0" w:color="046B5C"/>
            </w:tcBorders>
            <w:shd w:val="clear" w:color="auto" w:fill="auto"/>
            <w:vAlign w:val="top"/>
          </w:tcPr>
          <w:p w:rsidR="00E954C9" w:rsidRPr="00E954C9" w:rsidP="00E954C9" w14:paraId="79A0E094"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838</w:t>
            </w:r>
          </w:p>
        </w:tc>
        <w:tc>
          <w:tcPr>
            <w:tcW w:w="1528" w:type="pct"/>
            <w:tcBorders>
              <w:top w:val="single" w:sz="4" w:space="0" w:color="046B5C"/>
              <w:bottom w:val="single" w:sz="4" w:space="0" w:color="046B5C"/>
            </w:tcBorders>
            <w:shd w:val="clear" w:color="auto" w:fill="auto"/>
            <w:vAlign w:val="top"/>
          </w:tcPr>
          <w:p w:rsidR="00E954C9" w:rsidRPr="00E954C9" w:rsidP="00E954C9" w14:paraId="2BD48BC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 xml:space="preserve">The Menu Survey collects the information needed to (1) estimate nutrient and food group content of reimbursable meals and assess compliance with nutrition standards, (2) examine how competitive foods </w:t>
            </w:r>
            <w:r w:rsidRPr="00E954C9">
              <w:rPr>
                <w:rFonts w:ascii="Segoe UI" w:eastAsia="Segoe UI" w:hAnsi="Segoe UI"/>
                <w:color w:val="000000"/>
                <w:sz w:val="18"/>
              </w:rPr>
              <w:t>sold by school food service departments compare to Smart Snacks standards, and (3) calculate food costs for reimbursable breakfasts, lunches, snacks, and suppers. Supported by video training and telephone and online technical assistance and follow-up.</w:t>
            </w:r>
          </w:p>
        </w:tc>
      </w:tr>
      <w:tr w14:paraId="7E14CB7B"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729BDD80" w14:textId="77777777">
            <w:pPr>
              <w:spacing w:before="40" w:after="20" w:line="240" w:lineRule="atLeast"/>
              <w:rPr>
                <w:rFonts w:eastAsia="Segoe UI"/>
                <w:color w:val="000000"/>
                <w:sz w:val="18"/>
              </w:rPr>
            </w:pPr>
            <w:r w:rsidRPr="00E954C9">
              <w:rPr>
                <w:rFonts w:eastAsia="Segoe UI"/>
                <w:color w:val="000000"/>
                <w:sz w:val="18"/>
              </w:rPr>
              <w:t>FOA Menu Survey</w:t>
            </w:r>
          </w:p>
        </w:tc>
        <w:tc>
          <w:tcPr>
            <w:tcW w:w="625" w:type="pct"/>
            <w:tcBorders>
              <w:top w:val="single" w:sz="4" w:space="0" w:color="046B5C"/>
              <w:bottom w:val="single" w:sz="4" w:space="0" w:color="046B5C"/>
            </w:tcBorders>
            <w:shd w:val="clear" w:color="auto" w:fill="auto"/>
            <w:vAlign w:val="top"/>
          </w:tcPr>
          <w:p w:rsidR="00E954C9" w:rsidRPr="00E954C9" w:rsidP="00E954C9" w14:paraId="608D7F5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138 SNMs</w:t>
            </w:r>
          </w:p>
        </w:tc>
        <w:tc>
          <w:tcPr>
            <w:tcW w:w="556" w:type="pct"/>
            <w:tcBorders>
              <w:top w:val="single" w:sz="4" w:space="0" w:color="046B5C"/>
              <w:bottom w:val="single" w:sz="4" w:space="0" w:color="046B5C"/>
            </w:tcBorders>
            <w:shd w:val="clear" w:color="auto" w:fill="auto"/>
            <w:vAlign w:val="top"/>
          </w:tcPr>
          <w:p w:rsidR="00E954C9" w:rsidRPr="00E954C9" w:rsidP="00E954C9" w14:paraId="2F5B38F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55" w:type="pct"/>
            <w:tcBorders>
              <w:top w:val="single" w:sz="4" w:space="0" w:color="046B5C"/>
              <w:bottom w:val="single" w:sz="4" w:space="0" w:color="046B5C"/>
            </w:tcBorders>
            <w:shd w:val="clear" w:color="auto" w:fill="auto"/>
            <w:vAlign w:val="top"/>
          </w:tcPr>
          <w:p w:rsidR="00E954C9" w:rsidRPr="00E954C9" w:rsidP="00E954C9" w14:paraId="59A47DEB"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 hours (including training)</w:t>
            </w:r>
          </w:p>
        </w:tc>
        <w:tc>
          <w:tcPr>
            <w:tcW w:w="521" w:type="pct"/>
            <w:tcBorders>
              <w:top w:val="single" w:sz="4" w:space="0" w:color="046B5C"/>
              <w:bottom w:val="single" w:sz="4" w:space="0" w:color="046B5C"/>
            </w:tcBorders>
            <w:shd w:val="clear" w:color="auto" w:fill="auto"/>
            <w:vAlign w:val="top"/>
          </w:tcPr>
          <w:p w:rsidR="00E954C9" w:rsidRPr="00E954C9" w:rsidP="00E954C9" w14:paraId="167F90B1"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top w:val="single" w:sz="4" w:space="0" w:color="046B5C"/>
              <w:bottom w:val="single" w:sz="4" w:space="0" w:color="046B5C"/>
            </w:tcBorders>
            <w:shd w:val="clear" w:color="auto" w:fill="auto"/>
            <w:vAlign w:val="top"/>
          </w:tcPr>
          <w:p w:rsidR="00E954C9" w:rsidRPr="00E954C9" w:rsidP="00E954C9" w14:paraId="36DE947E"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145</w:t>
            </w:r>
          </w:p>
        </w:tc>
        <w:tc>
          <w:tcPr>
            <w:tcW w:w="1528" w:type="pct"/>
            <w:tcBorders>
              <w:top w:val="single" w:sz="4" w:space="0" w:color="046B5C"/>
              <w:bottom w:val="single" w:sz="4" w:space="0" w:color="046B5C"/>
            </w:tcBorders>
            <w:shd w:val="clear" w:color="auto" w:fill="auto"/>
            <w:vAlign w:val="top"/>
          </w:tcPr>
          <w:p w:rsidR="00E954C9" w:rsidRPr="00E954C9" w:rsidP="00E954C9" w14:paraId="13F3767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Supported by video training, telephone, and online technical assistance and follow-up.</w:t>
            </w:r>
          </w:p>
        </w:tc>
      </w:tr>
      <w:tr w14:paraId="59A444C4"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7ECF317B" w14:textId="77777777">
            <w:pPr>
              <w:spacing w:before="40" w:after="20" w:line="240" w:lineRule="atLeast"/>
              <w:rPr>
                <w:rFonts w:eastAsia="Segoe UI"/>
                <w:color w:val="000000"/>
                <w:sz w:val="18"/>
              </w:rPr>
            </w:pPr>
            <w:r w:rsidRPr="00E954C9">
              <w:rPr>
                <w:rFonts w:eastAsia="Segoe UI"/>
                <w:color w:val="000000"/>
                <w:sz w:val="18"/>
              </w:rPr>
              <w:t>LOA Menu Survey</w:t>
            </w:r>
          </w:p>
        </w:tc>
        <w:tc>
          <w:tcPr>
            <w:tcW w:w="625" w:type="pct"/>
            <w:tcBorders>
              <w:top w:val="single" w:sz="4" w:space="0" w:color="046B5C"/>
              <w:bottom w:val="single" w:sz="4" w:space="0" w:color="046B5C"/>
            </w:tcBorders>
            <w:shd w:val="clear" w:color="auto" w:fill="auto"/>
            <w:vAlign w:val="top"/>
          </w:tcPr>
          <w:p w:rsidR="00E954C9" w:rsidRPr="00E954C9" w:rsidP="00E954C9" w14:paraId="6DAA290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 SFA directors</w:t>
            </w:r>
          </w:p>
        </w:tc>
        <w:tc>
          <w:tcPr>
            <w:tcW w:w="556" w:type="pct"/>
            <w:tcBorders>
              <w:top w:val="single" w:sz="4" w:space="0" w:color="046B5C"/>
              <w:bottom w:val="single" w:sz="4" w:space="0" w:color="046B5C"/>
            </w:tcBorders>
            <w:shd w:val="clear" w:color="auto" w:fill="auto"/>
            <w:vAlign w:val="top"/>
          </w:tcPr>
          <w:p w:rsidR="00E954C9" w:rsidRPr="00E954C9" w:rsidP="00E954C9" w14:paraId="33F3E5C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Hardcopy</w:t>
            </w:r>
          </w:p>
        </w:tc>
        <w:tc>
          <w:tcPr>
            <w:tcW w:w="555" w:type="pct"/>
            <w:tcBorders>
              <w:top w:val="single" w:sz="4" w:space="0" w:color="046B5C"/>
              <w:bottom w:val="single" w:sz="4" w:space="0" w:color="046B5C"/>
            </w:tcBorders>
            <w:shd w:val="clear" w:color="auto" w:fill="auto"/>
            <w:vAlign w:val="top"/>
          </w:tcPr>
          <w:p w:rsidR="00E954C9" w:rsidRPr="00E954C9" w:rsidP="00E954C9" w14:paraId="2EC3CC9B"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3.5 hours (including training)</w:t>
            </w:r>
          </w:p>
        </w:tc>
        <w:tc>
          <w:tcPr>
            <w:tcW w:w="521" w:type="pct"/>
            <w:tcBorders>
              <w:top w:val="single" w:sz="4" w:space="0" w:color="046B5C"/>
              <w:bottom w:val="single" w:sz="4" w:space="0" w:color="046B5C"/>
            </w:tcBorders>
            <w:shd w:val="clear" w:color="auto" w:fill="auto"/>
            <w:vAlign w:val="top"/>
          </w:tcPr>
          <w:p w:rsidR="00E954C9" w:rsidRPr="00E954C9" w:rsidP="00E954C9" w14:paraId="288D15B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bottom w:val="single" w:sz="4" w:space="0" w:color="046B5C"/>
            </w:tcBorders>
            <w:shd w:val="clear" w:color="auto" w:fill="auto"/>
            <w:vAlign w:val="top"/>
          </w:tcPr>
          <w:p w:rsidR="00E954C9" w:rsidRPr="00E954C9" w:rsidP="00E954C9" w14:paraId="47864121"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w:t>
            </w:r>
          </w:p>
        </w:tc>
        <w:tc>
          <w:tcPr>
            <w:tcW w:w="1528" w:type="pct"/>
            <w:tcBorders>
              <w:top w:val="single" w:sz="4" w:space="0" w:color="046B5C"/>
              <w:bottom w:val="single" w:sz="4" w:space="0" w:color="046B5C"/>
            </w:tcBorders>
            <w:shd w:val="clear" w:color="auto" w:fill="auto"/>
            <w:vAlign w:val="top"/>
          </w:tcPr>
          <w:p w:rsidR="00E954C9" w:rsidRPr="00E954C9" w:rsidP="00E954C9" w14:paraId="047D654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 xml:space="preserve">Supported by telephone training, technical </w:t>
            </w:r>
            <w:r w:rsidRPr="00E954C9">
              <w:rPr>
                <w:rFonts w:ascii="Segoe UI" w:eastAsia="Segoe UI" w:hAnsi="Segoe UI"/>
                <w:color w:val="000000"/>
                <w:sz w:val="18"/>
              </w:rPr>
              <w:t>assistance</w:t>
            </w:r>
            <w:r w:rsidRPr="00E954C9">
              <w:rPr>
                <w:rFonts w:ascii="Segoe UI" w:eastAsia="Segoe UI" w:hAnsi="Segoe UI"/>
                <w:color w:val="000000"/>
                <w:sz w:val="18"/>
              </w:rPr>
              <w:t xml:space="preserve"> and follow-up.</w:t>
            </w:r>
          </w:p>
        </w:tc>
      </w:tr>
      <w:tr w14:paraId="17A62A0E"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0DEEEE78" w14:textId="77777777">
            <w:pPr>
              <w:spacing w:before="40" w:after="20" w:line="240" w:lineRule="atLeast"/>
              <w:rPr>
                <w:rFonts w:eastAsia="Segoe UI"/>
                <w:color w:val="000000"/>
                <w:sz w:val="18"/>
              </w:rPr>
            </w:pPr>
            <w:r w:rsidRPr="00E954C9">
              <w:rPr>
                <w:rFonts w:eastAsia="Segoe UI"/>
                <w:color w:val="000000"/>
                <w:sz w:val="18"/>
              </w:rPr>
              <w:t xml:space="preserve">SNM Cost </w:t>
            </w:r>
            <w:r w:rsidRPr="00E954C9">
              <w:rPr>
                <w:rFonts w:eastAsia="Segoe UI"/>
                <w:color w:val="000000"/>
                <w:sz w:val="18"/>
              </w:rPr>
              <w:t>Interview</w:t>
            </w:r>
            <w:r w:rsidRPr="00E954C9">
              <w:rPr>
                <w:rFonts w:eastAsia="Segoe UI"/>
                <w:color w:val="000000"/>
                <w:sz w:val="18"/>
                <w:vertAlign w:val="superscript"/>
              </w:rPr>
              <w:t>b</w:t>
            </w:r>
          </w:p>
        </w:tc>
        <w:tc>
          <w:tcPr>
            <w:tcW w:w="625" w:type="pct"/>
            <w:tcBorders>
              <w:top w:val="single" w:sz="4" w:space="0" w:color="046B5C"/>
              <w:bottom w:val="single" w:sz="4" w:space="0" w:color="046B5C"/>
            </w:tcBorders>
            <w:shd w:val="clear" w:color="auto" w:fill="auto"/>
            <w:vAlign w:val="top"/>
          </w:tcPr>
          <w:p w:rsidR="00E954C9" w:rsidRPr="00E954C9" w:rsidP="00E954C9" w14:paraId="223F2E3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796 SNMs</w:t>
            </w:r>
          </w:p>
        </w:tc>
        <w:tc>
          <w:tcPr>
            <w:tcW w:w="556" w:type="pct"/>
            <w:tcBorders>
              <w:top w:val="single" w:sz="4" w:space="0" w:color="046B5C"/>
              <w:bottom w:val="single" w:sz="4" w:space="0" w:color="046B5C"/>
            </w:tcBorders>
            <w:shd w:val="clear" w:color="auto" w:fill="auto"/>
            <w:vAlign w:val="top"/>
          </w:tcPr>
          <w:p w:rsidR="00E954C9" w:rsidRPr="00E954C9" w:rsidP="00E954C9" w14:paraId="6CDCA56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top w:val="single" w:sz="4" w:space="0" w:color="046B5C"/>
              <w:bottom w:val="single" w:sz="4" w:space="0" w:color="046B5C"/>
            </w:tcBorders>
            <w:shd w:val="clear" w:color="auto" w:fill="auto"/>
            <w:vAlign w:val="top"/>
          </w:tcPr>
          <w:p w:rsidR="00E954C9" w:rsidRPr="00E954C9" w:rsidP="00E954C9" w14:paraId="67C368A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90 minutes</w:t>
            </w:r>
          </w:p>
        </w:tc>
        <w:tc>
          <w:tcPr>
            <w:tcW w:w="521" w:type="pct"/>
            <w:tcBorders>
              <w:top w:val="single" w:sz="4" w:space="0" w:color="046B5C"/>
              <w:bottom w:val="single" w:sz="4" w:space="0" w:color="046B5C"/>
            </w:tcBorders>
            <w:shd w:val="clear" w:color="auto" w:fill="auto"/>
            <w:vAlign w:val="top"/>
          </w:tcPr>
          <w:p w:rsidR="00E954C9" w:rsidRPr="00E954C9" w:rsidP="00E954C9" w14:paraId="4E933DC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top w:val="single" w:sz="4" w:space="0" w:color="046B5C"/>
              <w:bottom w:val="single" w:sz="4" w:space="0" w:color="046B5C"/>
            </w:tcBorders>
            <w:shd w:val="clear" w:color="auto" w:fill="auto"/>
            <w:vAlign w:val="top"/>
          </w:tcPr>
          <w:p w:rsidR="00E954C9" w:rsidRPr="00E954C9" w:rsidP="00E954C9" w14:paraId="01B55349"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838</w:t>
            </w:r>
          </w:p>
        </w:tc>
        <w:tc>
          <w:tcPr>
            <w:tcW w:w="1528" w:type="pct"/>
            <w:tcBorders>
              <w:top w:val="single" w:sz="4" w:space="0" w:color="046B5C"/>
              <w:bottom w:val="single" w:sz="4" w:space="0" w:color="046B5C"/>
            </w:tcBorders>
            <w:shd w:val="clear" w:color="auto" w:fill="auto"/>
            <w:vAlign w:val="top"/>
          </w:tcPr>
          <w:p w:rsidR="00E954C9" w:rsidRPr="00E954C9" w:rsidP="00E954C9" w14:paraId="2448CB26" w14:textId="77777777">
            <w:pPr>
              <w:rPr>
                <w:rFonts w:ascii="Segoe UI" w:eastAsia="Arial" w:hAnsi="Segoe UI" w:cs="Segoe UI"/>
              </w:rPr>
            </w:pPr>
          </w:p>
        </w:tc>
      </w:tr>
      <w:tr w14:paraId="28ECB367"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5CA81CDF" w14:textId="77777777">
            <w:pPr>
              <w:spacing w:before="40" w:after="20" w:line="240" w:lineRule="atLeast"/>
              <w:rPr>
                <w:rFonts w:eastAsia="Segoe UI"/>
                <w:color w:val="000000"/>
                <w:sz w:val="18"/>
              </w:rPr>
            </w:pPr>
            <w:r w:rsidRPr="00E954C9">
              <w:rPr>
                <w:rFonts w:eastAsia="Segoe UI"/>
                <w:color w:val="000000"/>
                <w:sz w:val="18"/>
              </w:rPr>
              <w:t xml:space="preserve">FOA SNM Cost </w:t>
            </w:r>
            <w:r w:rsidRPr="00E954C9">
              <w:rPr>
                <w:rFonts w:eastAsia="Segoe UI"/>
                <w:color w:val="000000"/>
                <w:sz w:val="18"/>
              </w:rPr>
              <w:t>Interview</w:t>
            </w:r>
            <w:r w:rsidRPr="00E954C9">
              <w:rPr>
                <w:rFonts w:eastAsia="Segoe UI"/>
                <w:color w:val="000000"/>
                <w:sz w:val="18"/>
                <w:vertAlign w:val="superscript"/>
              </w:rPr>
              <w:t>b</w:t>
            </w:r>
          </w:p>
        </w:tc>
        <w:tc>
          <w:tcPr>
            <w:tcW w:w="625" w:type="pct"/>
            <w:tcBorders>
              <w:top w:val="single" w:sz="4" w:space="0" w:color="046B5C"/>
              <w:bottom w:val="single" w:sz="4" w:space="0" w:color="046B5C"/>
            </w:tcBorders>
            <w:shd w:val="clear" w:color="auto" w:fill="auto"/>
            <w:vAlign w:val="top"/>
          </w:tcPr>
          <w:p w:rsidR="00E954C9" w:rsidRPr="00E954C9" w:rsidP="00E954C9" w14:paraId="3868834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138 SNMs</w:t>
            </w:r>
          </w:p>
        </w:tc>
        <w:tc>
          <w:tcPr>
            <w:tcW w:w="556" w:type="pct"/>
            <w:tcBorders>
              <w:top w:val="single" w:sz="4" w:space="0" w:color="046B5C"/>
              <w:bottom w:val="single" w:sz="4" w:space="0" w:color="046B5C"/>
            </w:tcBorders>
            <w:shd w:val="clear" w:color="auto" w:fill="auto"/>
            <w:vAlign w:val="top"/>
          </w:tcPr>
          <w:p w:rsidR="00E954C9" w:rsidRPr="00E954C9" w:rsidP="00E954C9" w14:paraId="1C814D0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Remote</w:t>
            </w:r>
          </w:p>
        </w:tc>
        <w:tc>
          <w:tcPr>
            <w:tcW w:w="555" w:type="pct"/>
            <w:tcBorders>
              <w:top w:val="single" w:sz="4" w:space="0" w:color="046B5C"/>
              <w:bottom w:val="single" w:sz="4" w:space="0" w:color="046B5C"/>
            </w:tcBorders>
            <w:shd w:val="clear" w:color="auto" w:fill="auto"/>
            <w:vAlign w:val="top"/>
          </w:tcPr>
          <w:p w:rsidR="00E954C9" w:rsidRPr="00E954C9" w:rsidP="00E954C9" w14:paraId="2775DB2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90 minutes</w:t>
            </w:r>
          </w:p>
        </w:tc>
        <w:tc>
          <w:tcPr>
            <w:tcW w:w="521" w:type="pct"/>
            <w:tcBorders>
              <w:top w:val="single" w:sz="4" w:space="0" w:color="046B5C"/>
              <w:bottom w:val="single" w:sz="4" w:space="0" w:color="046B5C"/>
            </w:tcBorders>
            <w:shd w:val="clear" w:color="auto" w:fill="auto"/>
            <w:vAlign w:val="top"/>
          </w:tcPr>
          <w:p w:rsidR="00E954C9" w:rsidRPr="00E954C9" w:rsidP="00E954C9" w14:paraId="6F64D1BC"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57</w:t>
            </w:r>
          </w:p>
        </w:tc>
        <w:tc>
          <w:tcPr>
            <w:tcW w:w="521" w:type="pct"/>
            <w:tcBorders>
              <w:top w:val="single" w:sz="4" w:space="0" w:color="046B5C"/>
              <w:bottom w:val="single" w:sz="4" w:space="0" w:color="046B5C"/>
            </w:tcBorders>
            <w:shd w:val="clear" w:color="auto" w:fill="auto"/>
            <w:vAlign w:val="top"/>
          </w:tcPr>
          <w:p w:rsidR="00E954C9" w:rsidRPr="00E954C9" w:rsidP="00E954C9" w14:paraId="09CF1B73"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242</w:t>
            </w:r>
          </w:p>
        </w:tc>
        <w:tc>
          <w:tcPr>
            <w:tcW w:w="1528" w:type="pct"/>
            <w:tcBorders>
              <w:top w:val="single" w:sz="4" w:space="0" w:color="046B5C"/>
              <w:bottom w:val="single" w:sz="4" w:space="0" w:color="046B5C"/>
            </w:tcBorders>
            <w:shd w:val="clear" w:color="auto" w:fill="auto"/>
            <w:vAlign w:val="top"/>
          </w:tcPr>
          <w:p w:rsidR="00E954C9" w:rsidRPr="00E954C9" w:rsidP="00E954C9" w14:paraId="695CD1E2" w14:textId="77777777">
            <w:pPr>
              <w:rPr>
                <w:rFonts w:ascii="Segoe UI" w:eastAsia="Arial" w:hAnsi="Segoe UI" w:cs="Segoe UI"/>
              </w:rPr>
            </w:pPr>
          </w:p>
        </w:tc>
      </w:tr>
      <w:tr w14:paraId="292560CF"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1BAB4A44" w14:textId="77777777">
            <w:pPr>
              <w:spacing w:before="40" w:after="20" w:line="240" w:lineRule="atLeast"/>
              <w:rPr>
                <w:rFonts w:eastAsia="Segoe UI"/>
                <w:color w:val="000000"/>
                <w:sz w:val="18"/>
              </w:rPr>
            </w:pPr>
            <w:r w:rsidRPr="00E954C9">
              <w:rPr>
                <w:rFonts w:eastAsia="Segoe UI"/>
                <w:color w:val="000000"/>
                <w:sz w:val="18"/>
              </w:rPr>
              <w:t>Principal Cost Interview</w:t>
            </w:r>
          </w:p>
        </w:tc>
        <w:tc>
          <w:tcPr>
            <w:tcW w:w="625" w:type="pct"/>
            <w:tcBorders>
              <w:top w:val="single" w:sz="4" w:space="0" w:color="046B5C"/>
              <w:bottom w:val="single" w:sz="4" w:space="0" w:color="046B5C"/>
            </w:tcBorders>
            <w:shd w:val="clear" w:color="auto" w:fill="auto"/>
            <w:vAlign w:val="top"/>
          </w:tcPr>
          <w:p w:rsidR="00E954C9" w:rsidRPr="00E954C9" w:rsidP="00E954C9" w14:paraId="154CCFF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796 principals</w:t>
            </w:r>
          </w:p>
        </w:tc>
        <w:tc>
          <w:tcPr>
            <w:tcW w:w="556" w:type="pct"/>
            <w:tcBorders>
              <w:top w:val="single" w:sz="4" w:space="0" w:color="046B5C"/>
              <w:bottom w:val="single" w:sz="4" w:space="0" w:color="046B5C"/>
            </w:tcBorders>
            <w:shd w:val="clear" w:color="auto" w:fill="auto"/>
            <w:vAlign w:val="top"/>
          </w:tcPr>
          <w:p w:rsidR="00E954C9" w:rsidRPr="00E954C9" w:rsidP="00E954C9" w14:paraId="3ED4337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top w:val="single" w:sz="4" w:space="0" w:color="046B5C"/>
              <w:bottom w:val="single" w:sz="4" w:space="0" w:color="046B5C"/>
            </w:tcBorders>
            <w:shd w:val="clear" w:color="auto" w:fill="auto"/>
            <w:vAlign w:val="top"/>
          </w:tcPr>
          <w:p w:rsidR="00E954C9" w:rsidRPr="00E954C9" w:rsidP="00E954C9" w14:paraId="6DC64CA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45 minutes</w:t>
            </w:r>
          </w:p>
        </w:tc>
        <w:tc>
          <w:tcPr>
            <w:tcW w:w="521" w:type="pct"/>
            <w:tcBorders>
              <w:top w:val="single" w:sz="4" w:space="0" w:color="046B5C"/>
              <w:bottom w:val="single" w:sz="4" w:space="0" w:color="046B5C"/>
            </w:tcBorders>
            <w:shd w:val="clear" w:color="auto" w:fill="auto"/>
            <w:vAlign w:val="top"/>
          </w:tcPr>
          <w:p w:rsidR="00E954C9" w:rsidRPr="00E954C9" w:rsidP="00E954C9" w14:paraId="6B78150F"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95</w:t>
            </w:r>
          </w:p>
        </w:tc>
        <w:tc>
          <w:tcPr>
            <w:tcW w:w="521" w:type="pct"/>
            <w:tcBorders>
              <w:top w:val="single" w:sz="4" w:space="0" w:color="046B5C"/>
              <w:bottom w:val="single" w:sz="4" w:space="0" w:color="046B5C"/>
            </w:tcBorders>
            <w:shd w:val="clear" w:color="auto" w:fill="auto"/>
            <w:vAlign w:val="top"/>
          </w:tcPr>
          <w:p w:rsidR="00E954C9" w:rsidRPr="00E954C9" w:rsidP="00E954C9" w14:paraId="78CCD1AA"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838</w:t>
            </w:r>
          </w:p>
        </w:tc>
        <w:tc>
          <w:tcPr>
            <w:tcW w:w="1528" w:type="pct"/>
            <w:tcBorders>
              <w:top w:val="single" w:sz="4" w:space="0" w:color="046B5C"/>
              <w:bottom w:val="single" w:sz="4" w:space="0" w:color="046B5C"/>
            </w:tcBorders>
            <w:shd w:val="clear" w:color="auto" w:fill="auto"/>
            <w:vAlign w:val="top"/>
          </w:tcPr>
          <w:p w:rsidR="00E954C9" w:rsidRPr="00E954C9" w:rsidP="00E954C9" w14:paraId="64945247" w14:textId="77777777">
            <w:pPr>
              <w:rPr>
                <w:rFonts w:ascii="Segoe UI" w:eastAsia="Arial" w:hAnsi="Segoe UI" w:cs="Segoe UI"/>
              </w:rPr>
            </w:pPr>
          </w:p>
        </w:tc>
      </w:tr>
      <w:tr w14:paraId="36B14BA1"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19FFB813" w14:textId="77777777">
            <w:pPr>
              <w:spacing w:before="40" w:after="20" w:line="240" w:lineRule="atLeast"/>
              <w:rPr>
                <w:rFonts w:eastAsia="Segoe UI"/>
                <w:color w:val="000000"/>
                <w:sz w:val="18"/>
              </w:rPr>
            </w:pPr>
            <w:r w:rsidRPr="00E954C9">
              <w:rPr>
                <w:rFonts w:eastAsia="Segoe UI"/>
                <w:color w:val="000000"/>
                <w:sz w:val="18"/>
              </w:rPr>
              <w:t>FOA Principal Cost Interview</w:t>
            </w:r>
          </w:p>
        </w:tc>
        <w:tc>
          <w:tcPr>
            <w:tcW w:w="625" w:type="pct"/>
            <w:tcBorders>
              <w:top w:val="single" w:sz="4" w:space="0" w:color="046B5C"/>
              <w:bottom w:val="single" w:sz="4" w:space="0" w:color="046B5C"/>
            </w:tcBorders>
            <w:shd w:val="clear" w:color="auto" w:fill="auto"/>
            <w:vAlign w:val="top"/>
          </w:tcPr>
          <w:p w:rsidR="00E954C9" w:rsidRPr="00E954C9" w:rsidP="00E954C9" w14:paraId="0245605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138 principals</w:t>
            </w:r>
          </w:p>
        </w:tc>
        <w:tc>
          <w:tcPr>
            <w:tcW w:w="556" w:type="pct"/>
            <w:tcBorders>
              <w:top w:val="single" w:sz="4" w:space="0" w:color="046B5C"/>
              <w:bottom w:val="single" w:sz="4" w:space="0" w:color="046B5C"/>
            </w:tcBorders>
            <w:shd w:val="clear" w:color="auto" w:fill="auto"/>
            <w:vAlign w:val="top"/>
          </w:tcPr>
          <w:p w:rsidR="00E954C9" w:rsidRPr="00E954C9" w:rsidP="00E954C9" w14:paraId="3A8D75E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Remote</w:t>
            </w:r>
          </w:p>
        </w:tc>
        <w:tc>
          <w:tcPr>
            <w:tcW w:w="555" w:type="pct"/>
            <w:tcBorders>
              <w:top w:val="single" w:sz="4" w:space="0" w:color="046B5C"/>
              <w:bottom w:val="single" w:sz="4" w:space="0" w:color="046B5C"/>
            </w:tcBorders>
            <w:shd w:val="clear" w:color="auto" w:fill="auto"/>
            <w:vAlign w:val="top"/>
          </w:tcPr>
          <w:p w:rsidR="00E954C9" w:rsidRPr="00E954C9" w:rsidP="00E954C9" w14:paraId="5FF0A3F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45 minutes</w:t>
            </w:r>
          </w:p>
        </w:tc>
        <w:tc>
          <w:tcPr>
            <w:tcW w:w="521" w:type="pct"/>
            <w:tcBorders>
              <w:top w:val="single" w:sz="4" w:space="0" w:color="046B5C"/>
              <w:bottom w:val="single" w:sz="4" w:space="0" w:color="046B5C"/>
            </w:tcBorders>
            <w:shd w:val="clear" w:color="auto" w:fill="auto"/>
            <w:vAlign w:val="top"/>
          </w:tcPr>
          <w:p w:rsidR="00E954C9" w:rsidRPr="00E954C9" w:rsidP="00E954C9" w14:paraId="2DCE258D"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57</w:t>
            </w:r>
          </w:p>
        </w:tc>
        <w:tc>
          <w:tcPr>
            <w:tcW w:w="521" w:type="pct"/>
            <w:tcBorders>
              <w:top w:val="single" w:sz="4" w:space="0" w:color="046B5C"/>
              <w:bottom w:val="single" w:sz="4" w:space="0" w:color="046B5C"/>
            </w:tcBorders>
            <w:shd w:val="clear" w:color="auto" w:fill="auto"/>
            <w:vAlign w:val="top"/>
          </w:tcPr>
          <w:p w:rsidR="00E954C9" w:rsidRPr="00E954C9" w:rsidP="00E954C9" w14:paraId="58835342"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242</w:t>
            </w:r>
          </w:p>
        </w:tc>
        <w:tc>
          <w:tcPr>
            <w:tcW w:w="1528" w:type="pct"/>
            <w:tcBorders>
              <w:top w:val="single" w:sz="4" w:space="0" w:color="046B5C"/>
              <w:bottom w:val="single" w:sz="4" w:space="0" w:color="046B5C"/>
            </w:tcBorders>
            <w:shd w:val="clear" w:color="auto" w:fill="auto"/>
            <w:vAlign w:val="top"/>
          </w:tcPr>
          <w:p w:rsidR="00E954C9" w:rsidRPr="00E954C9" w:rsidP="00E954C9" w14:paraId="411DFE4B" w14:textId="77777777">
            <w:pPr>
              <w:rPr>
                <w:rFonts w:ascii="Segoe UI" w:eastAsia="Arial" w:hAnsi="Segoe UI" w:cs="Segoe UI"/>
              </w:rPr>
            </w:pPr>
          </w:p>
        </w:tc>
      </w:tr>
      <w:tr w14:paraId="5439B871"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4AAF24CC" w14:textId="77777777">
            <w:pPr>
              <w:spacing w:before="40" w:after="20" w:line="240" w:lineRule="atLeast"/>
              <w:rPr>
                <w:rFonts w:eastAsia="Segoe UI"/>
                <w:color w:val="000000"/>
                <w:sz w:val="18"/>
              </w:rPr>
            </w:pPr>
            <w:r w:rsidRPr="00E954C9">
              <w:rPr>
                <w:rFonts w:eastAsia="Segoe UI"/>
                <w:color w:val="000000"/>
                <w:sz w:val="18"/>
              </w:rPr>
              <w:t xml:space="preserve">On-Site Self-Serve/Made-to- Order Bar </w:t>
            </w:r>
            <w:r w:rsidRPr="00E954C9">
              <w:rPr>
                <w:rFonts w:eastAsia="Segoe UI"/>
                <w:color w:val="000000"/>
                <w:sz w:val="18"/>
              </w:rPr>
              <w:t>Form</w:t>
            </w:r>
            <w:r w:rsidRPr="00E954C9">
              <w:rPr>
                <w:rFonts w:eastAsia="Segoe UI"/>
                <w:color w:val="000000"/>
                <w:sz w:val="18"/>
                <w:vertAlign w:val="superscript"/>
              </w:rPr>
              <w:t>c</w:t>
            </w:r>
          </w:p>
        </w:tc>
        <w:tc>
          <w:tcPr>
            <w:tcW w:w="625" w:type="pct"/>
            <w:tcBorders>
              <w:top w:val="single" w:sz="4" w:space="0" w:color="046B5C"/>
              <w:bottom w:val="single" w:sz="4" w:space="0" w:color="046B5C"/>
            </w:tcBorders>
            <w:shd w:val="clear" w:color="auto" w:fill="auto"/>
            <w:vAlign w:val="top"/>
          </w:tcPr>
          <w:p w:rsidR="00E954C9" w:rsidRPr="00E954C9" w:rsidP="00E954C9" w14:paraId="3C2380A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120 schools</w:t>
            </w:r>
          </w:p>
        </w:tc>
        <w:tc>
          <w:tcPr>
            <w:tcW w:w="556" w:type="pct"/>
            <w:tcBorders>
              <w:top w:val="single" w:sz="4" w:space="0" w:color="046B5C"/>
              <w:bottom w:val="single" w:sz="4" w:space="0" w:color="046B5C"/>
            </w:tcBorders>
            <w:shd w:val="clear" w:color="auto" w:fill="auto"/>
            <w:vAlign w:val="top"/>
          </w:tcPr>
          <w:p w:rsidR="00E954C9" w:rsidRPr="00E954C9" w:rsidP="00E954C9" w14:paraId="390A3DC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On-site observation</w:t>
            </w:r>
          </w:p>
        </w:tc>
        <w:tc>
          <w:tcPr>
            <w:tcW w:w="555" w:type="pct"/>
            <w:tcBorders>
              <w:top w:val="single" w:sz="4" w:space="0" w:color="046B5C"/>
              <w:bottom w:val="single" w:sz="4" w:space="0" w:color="046B5C"/>
            </w:tcBorders>
            <w:shd w:val="clear" w:color="auto" w:fill="auto"/>
            <w:vAlign w:val="top"/>
          </w:tcPr>
          <w:p w:rsidR="00E954C9" w:rsidRPr="00E954C9" w:rsidP="00E954C9" w14:paraId="58F122A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 minutes</w:t>
            </w:r>
          </w:p>
        </w:tc>
        <w:tc>
          <w:tcPr>
            <w:tcW w:w="521" w:type="pct"/>
            <w:tcBorders>
              <w:top w:val="single" w:sz="4" w:space="0" w:color="046B5C"/>
              <w:bottom w:val="single" w:sz="4" w:space="0" w:color="046B5C"/>
            </w:tcBorders>
            <w:shd w:val="clear" w:color="auto" w:fill="auto"/>
            <w:vAlign w:val="top"/>
          </w:tcPr>
          <w:p w:rsidR="00E954C9" w:rsidRPr="00E954C9" w:rsidP="00E954C9" w14:paraId="35CC652C"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100</w:t>
            </w:r>
          </w:p>
        </w:tc>
        <w:tc>
          <w:tcPr>
            <w:tcW w:w="521" w:type="pct"/>
            <w:tcBorders>
              <w:top w:val="single" w:sz="4" w:space="0" w:color="046B5C"/>
              <w:bottom w:val="single" w:sz="4" w:space="0" w:color="046B5C"/>
            </w:tcBorders>
            <w:shd w:val="clear" w:color="auto" w:fill="auto"/>
            <w:vAlign w:val="top"/>
          </w:tcPr>
          <w:p w:rsidR="00E954C9" w:rsidRPr="00E954C9" w:rsidP="00E954C9" w14:paraId="7D521B67"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120</w:t>
            </w:r>
          </w:p>
        </w:tc>
        <w:tc>
          <w:tcPr>
            <w:tcW w:w="1528" w:type="pct"/>
            <w:tcBorders>
              <w:top w:val="single" w:sz="4" w:space="0" w:color="046B5C"/>
              <w:bottom w:val="single" w:sz="4" w:space="0" w:color="046B5C"/>
            </w:tcBorders>
            <w:shd w:val="clear" w:color="auto" w:fill="auto"/>
            <w:vAlign w:val="top"/>
          </w:tcPr>
          <w:p w:rsidR="00E954C9" w:rsidRPr="00E954C9" w:rsidP="00E954C9" w14:paraId="51F2372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Completed by field staff in schools that have self-serve or made-to-order bars. The actual number of schools with such bars may vary.</w:t>
            </w:r>
          </w:p>
        </w:tc>
      </w:tr>
      <w:tr w14:paraId="6658C251" w14:textId="77777777" w:rsidTr="00E954C9">
        <w:tblPrEx>
          <w:tblW w:w="5000" w:type="pct"/>
          <w:tblLayout w:type="fixed"/>
          <w:tblLook w:val="04A0"/>
        </w:tblPrEx>
        <w:trPr>
          <w:trHeight w:val="20"/>
        </w:trPr>
        <w:tc>
          <w:tcPr>
            <w:tcW w:w="5000" w:type="pct"/>
            <w:gridSpan w:val="7"/>
            <w:shd w:val="clear" w:color="auto" w:fill="0B2949"/>
            <w:vAlign w:val="top"/>
          </w:tcPr>
          <w:p w:rsidR="00E954C9" w:rsidRPr="00E954C9" w:rsidP="00E954C9" w14:paraId="45659D85"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4: Plate Waste—Group 3 (subsample)</w:t>
            </w:r>
          </w:p>
        </w:tc>
      </w:tr>
      <w:tr w14:paraId="426D35EC" w14:textId="77777777" w:rsidTr="00F950EB">
        <w:tblPrEx>
          <w:tblW w:w="5000" w:type="pct"/>
          <w:tblLayout w:type="fixed"/>
          <w:tblLook w:val="04A0"/>
        </w:tblPrEx>
        <w:trPr>
          <w:trHeight w:val="20"/>
        </w:trPr>
        <w:tc>
          <w:tcPr>
            <w:tcW w:w="694" w:type="pct"/>
            <w:shd w:val="clear" w:color="auto" w:fill="auto"/>
            <w:vAlign w:val="top"/>
          </w:tcPr>
          <w:p w:rsidR="00E954C9" w:rsidRPr="00E954C9" w:rsidP="00E954C9" w14:paraId="762396CE" w14:textId="77777777">
            <w:pPr>
              <w:spacing w:before="40" w:after="20" w:line="240" w:lineRule="atLeast"/>
              <w:rPr>
                <w:rFonts w:eastAsia="Segoe UI"/>
                <w:color w:val="000000"/>
                <w:sz w:val="18"/>
              </w:rPr>
            </w:pPr>
            <w:r w:rsidRPr="00E954C9">
              <w:rPr>
                <w:rFonts w:eastAsia="Segoe UI"/>
                <w:color w:val="000000"/>
                <w:sz w:val="18"/>
              </w:rPr>
              <w:t>Plate Waste Observations</w:t>
            </w:r>
          </w:p>
        </w:tc>
        <w:tc>
          <w:tcPr>
            <w:tcW w:w="625" w:type="pct"/>
            <w:shd w:val="clear" w:color="auto" w:fill="auto"/>
            <w:vAlign w:val="top"/>
          </w:tcPr>
          <w:p w:rsidR="00E954C9" w:rsidRPr="00E954C9" w:rsidP="00E954C9" w14:paraId="4E5D66E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4,140 lunches and 2,120 breakfasts in 138 schools across 69 SFAs</w:t>
            </w:r>
          </w:p>
        </w:tc>
        <w:tc>
          <w:tcPr>
            <w:tcW w:w="556" w:type="pct"/>
            <w:shd w:val="clear" w:color="auto" w:fill="auto"/>
            <w:vAlign w:val="top"/>
          </w:tcPr>
          <w:p w:rsidR="00E954C9" w:rsidRPr="00E954C9" w:rsidP="00E954C9" w14:paraId="7042894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On-site observation</w:t>
            </w:r>
          </w:p>
        </w:tc>
        <w:tc>
          <w:tcPr>
            <w:tcW w:w="555" w:type="pct"/>
            <w:shd w:val="clear" w:color="auto" w:fill="auto"/>
            <w:vAlign w:val="top"/>
          </w:tcPr>
          <w:p w:rsidR="00E954C9" w:rsidRPr="00E954C9" w:rsidP="00E954C9" w14:paraId="439A752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 minutes (SNM)</w:t>
            </w:r>
          </w:p>
        </w:tc>
        <w:tc>
          <w:tcPr>
            <w:tcW w:w="521" w:type="pct"/>
            <w:shd w:val="clear" w:color="auto" w:fill="auto"/>
            <w:vAlign w:val="top"/>
          </w:tcPr>
          <w:p w:rsidR="00E954C9" w:rsidRPr="00E954C9" w:rsidP="00E954C9" w14:paraId="178DA19B"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86</w:t>
            </w:r>
          </w:p>
        </w:tc>
        <w:tc>
          <w:tcPr>
            <w:tcW w:w="521" w:type="pct"/>
            <w:shd w:val="clear" w:color="auto" w:fill="auto"/>
            <w:vAlign w:val="top"/>
          </w:tcPr>
          <w:p w:rsidR="00E954C9" w:rsidRPr="00E954C9" w:rsidP="00E954C9" w14:paraId="2F7D6684"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5,262 lunches, 2,705 breakfasts</w:t>
            </w:r>
          </w:p>
        </w:tc>
        <w:tc>
          <w:tcPr>
            <w:tcW w:w="1528" w:type="pct"/>
            <w:shd w:val="clear" w:color="auto" w:fill="auto"/>
            <w:vAlign w:val="top"/>
          </w:tcPr>
          <w:p w:rsidR="00E954C9" w:rsidRPr="00E954C9" w:rsidP="00E954C9" w14:paraId="78D29A0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SNMs will confirm menu items and portion sizes. Field staff will conduct the observations. The target completed sample size reflects the combination of completed tray observations and corresponding Menu Survey data.</w:t>
            </w:r>
          </w:p>
        </w:tc>
      </w:tr>
      <w:tr w14:paraId="777F67C2" w14:textId="77777777" w:rsidTr="00E954C9">
        <w:tblPrEx>
          <w:tblW w:w="5000" w:type="pct"/>
          <w:tblLayout w:type="fixed"/>
          <w:tblLook w:val="04A0"/>
        </w:tblPrEx>
        <w:trPr>
          <w:trHeight w:val="20"/>
        </w:trPr>
        <w:tc>
          <w:tcPr>
            <w:tcW w:w="5000" w:type="pct"/>
            <w:gridSpan w:val="7"/>
            <w:shd w:val="clear" w:color="auto" w:fill="0B2949"/>
            <w:vAlign w:val="top"/>
          </w:tcPr>
          <w:p w:rsidR="00E954C9" w:rsidRPr="00E954C9" w:rsidP="00E954C9" w14:paraId="72BA7DF7"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4: Student Participation, Satisfaction, Dietary Intakes, and Food Security—Group 2a</w:t>
            </w:r>
          </w:p>
        </w:tc>
      </w:tr>
      <w:tr w14:paraId="5D8FCC26" w14:textId="77777777" w:rsidTr="00E954C9">
        <w:tblPrEx>
          <w:tblW w:w="5000" w:type="pct"/>
          <w:tblLayout w:type="fixed"/>
          <w:tblLook w:val="04A0"/>
        </w:tblPrEx>
        <w:trPr>
          <w:trHeight w:val="20"/>
        </w:trPr>
        <w:tc>
          <w:tcPr>
            <w:tcW w:w="694" w:type="pct"/>
            <w:tcBorders>
              <w:bottom w:val="single" w:sz="4" w:space="0" w:color="046B5C"/>
            </w:tcBorders>
            <w:shd w:val="clear" w:color="auto" w:fill="auto"/>
            <w:vAlign w:val="top"/>
          </w:tcPr>
          <w:p w:rsidR="00E954C9" w:rsidRPr="00E954C9" w:rsidP="00E954C9" w14:paraId="6DBC8791" w14:textId="77777777">
            <w:pPr>
              <w:spacing w:before="40" w:after="20" w:line="240" w:lineRule="atLeast"/>
              <w:rPr>
                <w:rFonts w:eastAsia="Segoe UI"/>
                <w:color w:val="000000"/>
                <w:sz w:val="18"/>
              </w:rPr>
            </w:pPr>
            <w:r w:rsidRPr="00E954C9">
              <w:rPr>
                <w:rFonts w:eastAsia="Segoe UI"/>
                <w:color w:val="000000"/>
                <w:sz w:val="18"/>
              </w:rPr>
              <w:t>AMPM (24-Hour Dietary Recall)</w:t>
            </w:r>
          </w:p>
        </w:tc>
        <w:tc>
          <w:tcPr>
            <w:tcW w:w="625" w:type="pct"/>
            <w:tcBorders>
              <w:bottom w:val="single" w:sz="4" w:space="0" w:color="046B5C"/>
            </w:tcBorders>
            <w:shd w:val="clear" w:color="auto" w:fill="auto"/>
            <w:vAlign w:val="top"/>
          </w:tcPr>
          <w:p w:rsidR="00E954C9" w:rsidRPr="00E954C9" w:rsidP="00E954C9" w14:paraId="74A9BCE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3,302 students</w:t>
            </w:r>
          </w:p>
        </w:tc>
        <w:tc>
          <w:tcPr>
            <w:tcW w:w="556" w:type="pct"/>
            <w:tcBorders>
              <w:bottom w:val="single" w:sz="4" w:space="0" w:color="046B5C"/>
            </w:tcBorders>
            <w:shd w:val="clear" w:color="auto" w:fill="auto"/>
            <w:vAlign w:val="top"/>
          </w:tcPr>
          <w:p w:rsidR="00E954C9" w:rsidRPr="00E954C9" w:rsidP="00E954C9" w14:paraId="2EC02A0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 or telephone</w:t>
            </w:r>
          </w:p>
        </w:tc>
        <w:tc>
          <w:tcPr>
            <w:tcW w:w="555" w:type="pct"/>
            <w:tcBorders>
              <w:bottom w:val="single" w:sz="4" w:space="0" w:color="046B5C"/>
            </w:tcBorders>
            <w:shd w:val="clear" w:color="auto" w:fill="auto"/>
            <w:vAlign w:val="top"/>
          </w:tcPr>
          <w:p w:rsidR="00E954C9" w:rsidRPr="00E954C9" w:rsidP="00E954C9" w14:paraId="1D18449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40 to 55 minutes, depending on students’ age</w:t>
            </w:r>
          </w:p>
        </w:tc>
        <w:tc>
          <w:tcPr>
            <w:tcW w:w="521" w:type="pct"/>
            <w:tcBorders>
              <w:bottom w:val="single" w:sz="4" w:space="0" w:color="046B5C"/>
            </w:tcBorders>
            <w:shd w:val="clear" w:color="auto" w:fill="auto"/>
            <w:vAlign w:val="top"/>
          </w:tcPr>
          <w:p w:rsidR="00E954C9" w:rsidRPr="00E954C9" w:rsidP="00E954C9" w14:paraId="470C926D"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50</w:t>
            </w:r>
          </w:p>
        </w:tc>
        <w:tc>
          <w:tcPr>
            <w:tcW w:w="521" w:type="pct"/>
            <w:tcBorders>
              <w:bottom w:val="single" w:sz="4" w:space="0" w:color="046B5C"/>
            </w:tcBorders>
            <w:shd w:val="clear" w:color="auto" w:fill="auto"/>
            <w:vAlign w:val="top"/>
          </w:tcPr>
          <w:p w:rsidR="00E954C9" w:rsidRPr="00E954C9" w:rsidP="00E954C9" w14:paraId="485A2834"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6,604</w:t>
            </w:r>
          </w:p>
        </w:tc>
        <w:tc>
          <w:tcPr>
            <w:tcW w:w="1528" w:type="pct"/>
            <w:tcBorders>
              <w:bottom w:val="single" w:sz="4" w:space="0" w:color="046B5C"/>
            </w:tcBorders>
            <w:shd w:val="clear" w:color="auto" w:fill="auto"/>
            <w:vAlign w:val="top"/>
          </w:tcPr>
          <w:p w:rsidR="00E954C9" w:rsidRPr="00E954C9" w:rsidP="00E954C9" w14:paraId="45C52D1B"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students who complete the recall and Student Interview, and whose parents complete the Parent Interview. Recalls with elementary school students will include parental assistance.</w:t>
            </w:r>
          </w:p>
          <w:p w:rsidR="00E954C9" w:rsidRPr="00E954C9" w:rsidP="00E954C9" w14:paraId="386032F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Second recalls will be completed by telephone with a subsample (n = 653).</w:t>
            </w:r>
          </w:p>
        </w:tc>
      </w:tr>
      <w:tr w14:paraId="2400E192" w14:textId="77777777" w:rsidTr="00E954C9">
        <w:tblPrEx>
          <w:tblW w:w="5000" w:type="pct"/>
          <w:tblLayout w:type="fixed"/>
          <w:tblLook w:val="04A0"/>
        </w:tblPrEx>
        <w:trPr>
          <w:trHeight w:val="20"/>
        </w:trPr>
        <w:tc>
          <w:tcPr>
            <w:tcW w:w="694" w:type="pct"/>
            <w:tcBorders>
              <w:top w:val="single" w:sz="4" w:space="0" w:color="046B5C"/>
            </w:tcBorders>
            <w:shd w:val="clear" w:color="auto" w:fill="auto"/>
            <w:vAlign w:val="top"/>
          </w:tcPr>
          <w:p w:rsidR="00E954C9" w:rsidRPr="00E954C9" w:rsidP="00E954C9" w14:paraId="7097C444" w14:textId="77777777">
            <w:pPr>
              <w:spacing w:before="40" w:after="20" w:line="240" w:lineRule="atLeast"/>
              <w:rPr>
                <w:rFonts w:eastAsia="Segoe UI"/>
                <w:color w:val="000000"/>
                <w:sz w:val="18"/>
              </w:rPr>
            </w:pPr>
            <w:r w:rsidRPr="00E954C9">
              <w:rPr>
                <w:rFonts w:eastAsia="Segoe UI"/>
                <w:color w:val="000000"/>
                <w:sz w:val="18"/>
              </w:rPr>
              <w:t>Student Interview</w:t>
            </w:r>
          </w:p>
        </w:tc>
        <w:tc>
          <w:tcPr>
            <w:tcW w:w="625" w:type="pct"/>
            <w:tcBorders>
              <w:top w:val="single" w:sz="4" w:space="0" w:color="046B5C"/>
            </w:tcBorders>
            <w:shd w:val="clear" w:color="auto" w:fill="auto"/>
            <w:vAlign w:val="top"/>
          </w:tcPr>
          <w:p w:rsidR="00E954C9" w:rsidRPr="00E954C9" w:rsidP="00E954C9" w14:paraId="0951453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3,302 students</w:t>
            </w:r>
          </w:p>
        </w:tc>
        <w:tc>
          <w:tcPr>
            <w:tcW w:w="556" w:type="pct"/>
            <w:tcBorders>
              <w:top w:val="single" w:sz="4" w:space="0" w:color="046B5C"/>
            </w:tcBorders>
            <w:shd w:val="clear" w:color="auto" w:fill="auto"/>
            <w:vAlign w:val="top"/>
          </w:tcPr>
          <w:p w:rsidR="00E954C9" w:rsidRPr="00E954C9" w:rsidP="00E954C9" w14:paraId="0DD900A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top w:val="single" w:sz="4" w:space="0" w:color="046B5C"/>
            </w:tcBorders>
            <w:shd w:val="clear" w:color="auto" w:fill="auto"/>
            <w:vAlign w:val="top"/>
          </w:tcPr>
          <w:p w:rsidR="00E954C9" w:rsidRPr="00E954C9" w:rsidP="00E954C9" w14:paraId="58FB174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 minutes</w:t>
            </w:r>
          </w:p>
        </w:tc>
        <w:tc>
          <w:tcPr>
            <w:tcW w:w="521" w:type="pct"/>
            <w:tcBorders>
              <w:top w:val="single" w:sz="4" w:space="0" w:color="046B5C"/>
            </w:tcBorders>
            <w:shd w:val="clear" w:color="auto" w:fill="auto"/>
            <w:vAlign w:val="top"/>
          </w:tcPr>
          <w:p w:rsidR="00E954C9" w:rsidRPr="00E954C9" w:rsidP="00E954C9" w14:paraId="33B8EE5D"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50</w:t>
            </w:r>
          </w:p>
        </w:tc>
        <w:tc>
          <w:tcPr>
            <w:tcW w:w="521" w:type="pct"/>
            <w:tcBorders>
              <w:top w:val="single" w:sz="4" w:space="0" w:color="046B5C"/>
            </w:tcBorders>
            <w:shd w:val="clear" w:color="auto" w:fill="auto"/>
            <w:vAlign w:val="top"/>
          </w:tcPr>
          <w:p w:rsidR="00E954C9" w:rsidRPr="00E954C9" w:rsidP="00E954C9" w14:paraId="589D2B05"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6,604</w:t>
            </w:r>
          </w:p>
        </w:tc>
        <w:tc>
          <w:tcPr>
            <w:tcW w:w="1528" w:type="pct"/>
            <w:tcBorders>
              <w:top w:val="single" w:sz="4" w:space="0" w:color="046B5C"/>
            </w:tcBorders>
            <w:shd w:val="clear" w:color="auto" w:fill="auto"/>
            <w:vAlign w:val="top"/>
          </w:tcPr>
          <w:p w:rsidR="00E954C9" w:rsidRPr="00E954C9" w:rsidP="00E954C9" w14:paraId="2088325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students who complete the recall and Student Interview, and whose parents complete the Parent Interview.</w:t>
            </w:r>
          </w:p>
        </w:tc>
      </w:tr>
      <w:tr w14:paraId="628745D9" w14:textId="77777777" w:rsidTr="00E954C9">
        <w:tblPrEx>
          <w:tblW w:w="5000" w:type="pct"/>
          <w:tblLayout w:type="fixed"/>
          <w:tblLook w:val="04A0"/>
        </w:tblPrEx>
        <w:trPr>
          <w:trHeight w:val="20"/>
        </w:trPr>
        <w:tc>
          <w:tcPr>
            <w:tcW w:w="5000" w:type="pct"/>
            <w:gridSpan w:val="7"/>
            <w:shd w:val="clear" w:color="auto" w:fill="0B2949"/>
            <w:vAlign w:val="top"/>
          </w:tcPr>
          <w:p w:rsidR="00E954C9" w:rsidRPr="00E954C9" w:rsidP="00E954C9" w14:paraId="50DA51F7" w14:textId="77777777">
            <w:pPr>
              <w:keepNext/>
              <w:spacing w:before="40" w:after="40" w:line="240" w:lineRule="atLeast"/>
              <w:rPr>
                <w:rFonts w:eastAsia="Segoe UI"/>
                <w:b/>
                <w:color w:val="FFFFFF" w:themeColor="background1"/>
                <w:sz w:val="18"/>
              </w:rPr>
            </w:pPr>
            <w:r w:rsidRPr="00E954C9">
              <w:rPr>
                <w:rFonts w:eastAsia="Segoe UI"/>
                <w:b/>
                <w:color w:val="FFFFFF" w:themeColor="background1"/>
                <w:sz w:val="18"/>
              </w:rPr>
              <w:t>Objective 4: Student Participation, Satisfaction, Dietary Intakes, and Food Security—Group 2a</w:t>
            </w:r>
          </w:p>
        </w:tc>
      </w:tr>
      <w:tr w14:paraId="42AAFA71"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7A8F7CDB" w14:textId="77777777">
            <w:pPr>
              <w:spacing w:before="40" w:after="20" w:line="240" w:lineRule="atLeast"/>
              <w:rPr>
                <w:rFonts w:eastAsia="Segoe UI"/>
                <w:color w:val="000000"/>
                <w:sz w:val="18"/>
              </w:rPr>
            </w:pPr>
            <w:r w:rsidRPr="00E954C9">
              <w:rPr>
                <w:rFonts w:eastAsia="Segoe UI"/>
                <w:color w:val="000000"/>
                <w:sz w:val="18"/>
              </w:rPr>
              <w:t>Parent Interview</w:t>
            </w:r>
          </w:p>
        </w:tc>
        <w:tc>
          <w:tcPr>
            <w:tcW w:w="625" w:type="pct"/>
            <w:tcBorders>
              <w:top w:val="single" w:sz="4" w:space="0" w:color="046B5C"/>
              <w:bottom w:val="single" w:sz="4" w:space="0" w:color="046B5C"/>
            </w:tcBorders>
            <w:shd w:val="clear" w:color="auto" w:fill="auto"/>
            <w:vAlign w:val="top"/>
          </w:tcPr>
          <w:p w:rsidR="00E954C9" w:rsidRPr="00E954C9" w:rsidP="00E954C9" w14:paraId="6DB5D46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1,800 parents</w:t>
            </w:r>
          </w:p>
        </w:tc>
        <w:tc>
          <w:tcPr>
            <w:tcW w:w="556" w:type="pct"/>
            <w:tcBorders>
              <w:top w:val="single" w:sz="4" w:space="0" w:color="046B5C"/>
              <w:bottom w:val="single" w:sz="4" w:space="0" w:color="046B5C"/>
            </w:tcBorders>
            <w:shd w:val="clear" w:color="auto" w:fill="auto"/>
            <w:vAlign w:val="top"/>
          </w:tcPr>
          <w:p w:rsidR="00E954C9" w:rsidRPr="00E954C9" w:rsidP="00E954C9" w14:paraId="73A203D3"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 or telephone</w:t>
            </w:r>
          </w:p>
        </w:tc>
        <w:tc>
          <w:tcPr>
            <w:tcW w:w="555" w:type="pct"/>
            <w:tcBorders>
              <w:top w:val="single" w:sz="4" w:space="0" w:color="046B5C"/>
              <w:bottom w:val="single" w:sz="4" w:space="0" w:color="046B5C"/>
            </w:tcBorders>
            <w:shd w:val="clear" w:color="auto" w:fill="auto"/>
            <w:vAlign w:val="top"/>
          </w:tcPr>
          <w:p w:rsidR="00E954C9" w:rsidRPr="00E954C9" w:rsidP="00E954C9" w14:paraId="2979AD7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25 minutes</w:t>
            </w:r>
          </w:p>
        </w:tc>
        <w:tc>
          <w:tcPr>
            <w:tcW w:w="521" w:type="pct"/>
            <w:tcBorders>
              <w:top w:val="single" w:sz="4" w:space="0" w:color="046B5C"/>
              <w:bottom w:val="single" w:sz="4" w:space="0" w:color="046B5C"/>
            </w:tcBorders>
            <w:shd w:val="clear" w:color="auto" w:fill="auto"/>
            <w:vAlign w:val="top"/>
          </w:tcPr>
          <w:p w:rsidR="00E954C9" w:rsidRPr="00E954C9" w:rsidP="00E954C9" w14:paraId="3C0072CA"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55</w:t>
            </w:r>
          </w:p>
        </w:tc>
        <w:tc>
          <w:tcPr>
            <w:tcW w:w="521" w:type="pct"/>
            <w:tcBorders>
              <w:top w:val="single" w:sz="4" w:space="0" w:color="046B5C"/>
              <w:bottom w:val="single" w:sz="4" w:space="0" w:color="046B5C"/>
            </w:tcBorders>
            <w:shd w:val="clear" w:color="auto" w:fill="auto"/>
            <w:vAlign w:val="top"/>
          </w:tcPr>
          <w:p w:rsidR="00E954C9" w:rsidRPr="00E954C9" w:rsidP="00E954C9" w14:paraId="784090F0"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3,302</w:t>
            </w:r>
          </w:p>
        </w:tc>
        <w:tc>
          <w:tcPr>
            <w:tcW w:w="1528" w:type="pct"/>
            <w:tcBorders>
              <w:top w:val="single" w:sz="4" w:space="0" w:color="046B5C"/>
              <w:bottom w:val="single" w:sz="4" w:space="0" w:color="046B5C"/>
            </w:tcBorders>
            <w:shd w:val="clear" w:color="auto" w:fill="auto"/>
            <w:vAlign w:val="top"/>
          </w:tcPr>
          <w:p w:rsidR="00E954C9" w:rsidRPr="00E954C9" w:rsidP="00E954C9" w14:paraId="6005340F"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parents of students who complete the recall and Student Interview.</w:t>
            </w:r>
          </w:p>
        </w:tc>
      </w:tr>
      <w:tr w14:paraId="5A7AF4EC" w14:textId="77777777" w:rsidTr="00E954C9">
        <w:tblPrEx>
          <w:tblW w:w="5000" w:type="pct"/>
          <w:tblLayout w:type="fixed"/>
          <w:tblLook w:val="04A0"/>
        </w:tblPrEx>
        <w:trPr>
          <w:trHeight w:val="20"/>
        </w:trPr>
        <w:tc>
          <w:tcPr>
            <w:tcW w:w="694" w:type="pct"/>
            <w:tcBorders>
              <w:top w:val="single" w:sz="4" w:space="0" w:color="046B5C"/>
              <w:bottom w:val="single" w:sz="4" w:space="0" w:color="046B5C"/>
            </w:tcBorders>
            <w:shd w:val="clear" w:color="auto" w:fill="auto"/>
            <w:vAlign w:val="top"/>
          </w:tcPr>
          <w:p w:rsidR="00E954C9" w:rsidRPr="00E954C9" w:rsidP="00E954C9" w14:paraId="34569678" w14:textId="77777777">
            <w:pPr>
              <w:spacing w:before="40" w:after="20" w:line="240" w:lineRule="atLeast"/>
              <w:rPr>
                <w:rFonts w:eastAsia="Segoe UI"/>
                <w:color w:val="000000"/>
                <w:sz w:val="18"/>
              </w:rPr>
            </w:pPr>
            <w:r w:rsidRPr="00E954C9">
              <w:rPr>
                <w:rFonts w:eastAsia="Segoe UI"/>
                <w:color w:val="000000"/>
                <w:sz w:val="18"/>
              </w:rPr>
              <w:t>Reimbursable Meal Sale Data Request Form</w:t>
            </w:r>
          </w:p>
        </w:tc>
        <w:tc>
          <w:tcPr>
            <w:tcW w:w="625" w:type="pct"/>
            <w:tcBorders>
              <w:top w:val="single" w:sz="4" w:space="0" w:color="046B5C"/>
              <w:bottom w:val="single" w:sz="4" w:space="0" w:color="046B5C"/>
            </w:tcBorders>
            <w:shd w:val="clear" w:color="auto" w:fill="auto"/>
            <w:vAlign w:val="top"/>
          </w:tcPr>
          <w:p w:rsidR="00E954C9" w:rsidRPr="00E954C9" w:rsidP="00E954C9" w14:paraId="78D7562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252 SNMs for 5,944 students</w:t>
            </w:r>
          </w:p>
        </w:tc>
        <w:tc>
          <w:tcPr>
            <w:tcW w:w="556" w:type="pct"/>
            <w:tcBorders>
              <w:top w:val="single" w:sz="4" w:space="0" w:color="046B5C"/>
              <w:bottom w:val="single" w:sz="4" w:space="0" w:color="046B5C"/>
            </w:tcBorders>
            <w:shd w:val="clear" w:color="auto" w:fill="auto"/>
            <w:vAlign w:val="top"/>
          </w:tcPr>
          <w:p w:rsidR="00E954C9" w:rsidRPr="00E954C9" w:rsidP="00E954C9" w14:paraId="7810165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 person</w:t>
            </w:r>
          </w:p>
        </w:tc>
        <w:tc>
          <w:tcPr>
            <w:tcW w:w="555" w:type="pct"/>
            <w:tcBorders>
              <w:top w:val="single" w:sz="4" w:space="0" w:color="046B5C"/>
              <w:bottom w:val="single" w:sz="4" w:space="0" w:color="046B5C"/>
            </w:tcBorders>
            <w:shd w:val="clear" w:color="auto" w:fill="auto"/>
            <w:vAlign w:val="top"/>
          </w:tcPr>
          <w:p w:rsidR="00E954C9" w:rsidRPr="00E954C9" w:rsidP="00E954C9" w14:paraId="1C35E63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10 minutes (SNM)</w:t>
            </w:r>
          </w:p>
        </w:tc>
        <w:tc>
          <w:tcPr>
            <w:tcW w:w="521" w:type="pct"/>
            <w:tcBorders>
              <w:top w:val="single" w:sz="4" w:space="0" w:color="046B5C"/>
              <w:bottom w:val="single" w:sz="4" w:space="0" w:color="046B5C"/>
            </w:tcBorders>
            <w:shd w:val="clear" w:color="auto" w:fill="auto"/>
            <w:vAlign w:val="top"/>
          </w:tcPr>
          <w:p w:rsidR="00E954C9" w:rsidRPr="00E954C9" w:rsidP="00E954C9" w14:paraId="5ACE9BE2" w14:textId="77777777">
            <w:pPr>
              <w:tabs>
                <w:tab w:val="decimal" w:pos="576"/>
              </w:tabs>
              <w:spacing w:before="40" w:after="20" w:line="240" w:lineRule="atLeast"/>
              <w:rPr>
                <w:rFonts w:ascii="Segoe UI" w:eastAsia="Segoe UI" w:hAnsi="Segoe UI"/>
                <w:color w:val="000000"/>
                <w:sz w:val="18"/>
              </w:rPr>
            </w:pPr>
            <w:r w:rsidRPr="00E954C9">
              <w:rPr>
                <w:rFonts w:ascii="Segoe UI" w:eastAsia="Segoe UI" w:hAnsi="Segoe UI"/>
                <w:color w:val="000000"/>
                <w:sz w:val="18"/>
              </w:rPr>
              <w:t>90</w:t>
            </w:r>
          </w:p>
        </w:tc>
        <w:tc>
          <w:tcPr>
            <w:tcW w:w="521" w:type="pct"/>
            <w:tcBorders>
              <w:top w:val="single" w:sz="4" w:space="0" w:color="046B5C"/>
              <w:bottom w:val="single" w:sz="4" w:space="0" w:color="046B5C"/>
            </w:tcBorders>
            <w:shd w:val="clear" w:color="auto" w:fill="auto"/>
            <w:vAlign w:val="top"/>
          </w:tcPr>
          <w:p w:rsidR="00E954C9" w:rsidRPr="00E954C9" w:rsidP="00E954C9" w14:paraId="433F124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6,604 students from 279 schools</w:t>
            </w:r>
          </w:p>
        </w:tc>
        <w:tc>
          <w:tcPr>
            <w:tcW w:w="1528" w:type="pct"/>
            <w:tcBorders>
              <w:top w:val="single" w:sz="4" w:space="0" w:color="046B5C"/>
              <w:bottom w:val="single" w:sz="4" w:space="0" w:color="046B5C"/>
            </w:tcBorders>
            <w:shd w:val="clear" w:color="auto" w:fill="auto"/>
            <w:vAlign w:val="top"/>
          </w:tcPr>
          <w:p w:rsidR="00E954C9" w:rsidRPr="00E954C9" w:rsidP="00E954C9" w14:paraId="65AC29B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is among students who complete the recall and Student Interview, and whose parents complete the Parent Interview.</w:t>
            </w:r>
          </w:p>
          <w:p w:rsidR="00E954C9" w:rsidRPr="00E954C9" w:rsidP="00E954C9" w14:paraId="18C8629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SNMs will provide POS report or complete hard-copy form to indicate whether sampled students obtained a reimbursable breakfast and/or lunch on the day referenced in the 24-hour recall.</w:t>
            </w:r>
          </w:p>
        </w:tc>
      </w:tr>
    </w:tbl>
    <w:p w:rsidR="004E3E8F" w:rsidRPr="004E3E8F" w:rsidP="004E3E8F" w14:paraId="3A7CA389" w14:textId="6398777F">
      <w:pPr>
        <w:spacing w:before="40" w:after="40" w:line="200" w:lineRule="atLeast"/>
        <w:rPr>
          <w:rFonts w:ascii="Segoe UI" w:eastAsia="Segoe UI" w:hAnsi="Segoe UI" w:cs="Times New Roman"/>
          <w:color w:val="000000"/>
          <w:sz w:val="16"/>
        </w:rPr>
      </w:pPr>
      <w:r w:rsidRPr="004E3E8F">
        <w:rPr>
          <w:rFonts w:ascii="Segoe UI" w:eastAsia="Segoe UI" w:hAnsi="Segoe UI" w:cs="Times New Roman"/>
          <w:color w:val="000000"/>
          <w:position w:val="6"/>
          <w:sz w:val="12"/>
        </w:rPr>
        <w:t xml:space="preserve">a </w:t>
      </w:r>
      <w:r w:rsidRPr="004E3E8F">
        <w:rPr>
          <w:rFonts w:ascii="Segoe UI" w:eastAsia="Segoe UI" w:hAnsi="Segoe UI" w:cs="Times New Roman"/>
          <w:color w:val="000000"/>
          <w:sz w:val="16"/>
        </w:rPr>
        <w:t xml:space="preserve">Target response rates are among </w:t>
      </w:r>
      <w:r w:rsidR="00423579">
        <w:rPr>
          <w:rFonts w:ascii="Segoe UI" w:eastAsia="Segoe UI" w:hAnsi="Segoe UI" w:cs="Times New Roman"/>
          <w:color w:val="000000"/>
          <w:sz w:val="16"/>
        </w:rPr>
        <w:t>estimated released</w:t>
      </w:r>
      <w:r w:rsidRPr="004E3E8F">
        <w:rPr>
          <w:rFonts w:ascii="Segoe UI" w:eastAsia="Segoe UI" w:hAnsi="Segoe UI" w:cs="Times New Roman"/>
          <w:color w:val="000000"/>
          <w:sz w:val="16"/>
        </w:rPr>
        <w:t xml:space="preserve"> SFAs</w:t>
      </w:r>
      <w:r w:rsidR="00423579">
        <w:rPr>
          <w:rFonts w:ascii="Segoe UI" w:eastAsia="Segoe UI" w:hAnsi="Segoe UI" w:cs="Times New Roman"/>
          <w:color w:val="000000"/>
          <w:sz w:val="16"/>
        </w:rPr>
        <w:t>,</w:t>
      </w:r>
      <w:r w:rsidRPr="004E3E8F">
        <w:rPr>
          <w:rFonts w:ascii="Segoe UI" w:eastAsia="Segoe UI" w:hAnsi="Segoe UI" w:cs="Times New Roman"/>
          <w:color w:val="000000"/>
          <w:sz w:val="16"/>
        </w:rPr>
        <w:t xml:space="preserve"> schools</w:t>
      </w:r>
      <w:r w:rsidR="00423579">
        <w:rPr>
          <w:rFonts w:ascii="Segoe UI" w:eastAsia="Segoe UI" w:hAnsi="Segoe UI" w:cs="Times New Roman"/>
          <w:color w:val="000000"/>
          <w:sz w:val="16"/>
        </w:rPr>
        <w:t xml:space="preserve">, </w:t>
      </w:r>
      <w:r w:rsidRPr="004E3E8F">
        <w:rPr>
          <w:rFonts w:ascii="Segoe UI" w:eastAsia="Segoe UI" w:hAnsi="Segoe UI" w:cs="Times New Roman"/>
          <w:color w:val="000000"/>
          <w:sz w:val="16"/>
        </w:rPr>
        <w:t>students</w:t>
      </w:r>
      <w:r w:rsidR="00423579">
        <w:rPr>
          <w:rFonts w:ascii="Segoe UI" w:eastAsia="Segoe UI" w:hAnsi="Segoe UI" w:cs="Times New Roman"/>
          <w:color w:val="000000"/>
          <w:sz w:val="16"/>
        </w:rPr>
        <w:t>,</w:t>
      </w:r>
      <w:r w:rsidRPr="004E3E8F">
        <w:rPr>
          <w:rFonts w:ascii="Segoe UI" w:eastAsia="Segoe UI" w:hAnsi="Segoe UI" w:cs="Times New Roman"/>
          <w:color w:val="000000"/>
          <w:sz w:val="16"/>
        </w:rPr>
        <w:t xml:space="preserve"> and parents</w:t>
      </w:r>
      <w:r w:rsidR="002A56B1">
        <w:rPr>
          <w:rFonts w:ascii="Segoe UI" w:eastAsia="Segoe UI" w:hAnsi="Segoe UI" w:cs="Times New Roman"/>
          <w:color w:val="000000"/>
          <w:sz w:val="16"/>
        </w:rPr>
        <w:t>.</w:t>
      </w:r>
    </w:p>
    <w:p w:rsidR="004E3E8F" w:rsidRPr="004E3E8F" w:rsidP="004E3E8F" w14:paraId="5A9A9550" w14:textId="77777777">
      <w:pPr>
        <w:spacing w:before="40" w:after="40" w:line="200" w:lineRule="atLeast"/>
        <w:rPr>
          <w:rFonts w:ascii="Segoe UI" w:eastAsia="Segoe UI" w:hAnsi="Segoe UI" w:cs="Times New Roman"/>
          <w:color w:val="000000"/>
          <w:sz w:val="16"/>
        </w:rPr>
      </w:pPr>
      <w:r w:rsidRPr="004E3E8F">
        <w:rPr>
          <w:rFonts w:ascii="Segoe UI" w:eastAsia="Segoe UI" w:hAnsi="Segoe UI" w:cs="Times New Roman"/>
          <w:color w:val="000000"/>
          <w:position w:val="6"/>
          <w:sz w:val="12"/>
        </w:rPr>
        <w:t xml:space="preserve">b </w:t>
      </w:r>
      <w:r w:rsidRPr="004E3E8F">
        <w:rPr>
          <w:rFonts w:ascii="Segoe UI" w:eastAsia="Segoe UI" w:hAnsi="Segoe UI" w:cs="Times New Roman"/>
          <w:color w:val="000000"/>
          <w:sz w:val="16"/>
        </w:rPr>
        <w:t>Also includes interviews with SNMs and central kitchen supervisors in central and production kitchens that provide food to sampled schools to gather complete information about food service labor.</w:t>
      </w:r>
    </w:p>
    <w:p w:rsidR="004E3E8F" w:rsidRPr="004E3E8F" w:rsidP="004E3E8F" w14:paraId="775EFE6B" w14:textId="77777777">
      <w:pPr>
        <w:spacing w:before="40" w:after="40" w:line="200" w:lineRule="atLeast"/>
        <w:rPr>
          <w:rFonts w:ascii="Segoe UI" w:eastAsia="Segoe UI" w:hAnsi="Segoe UI" w:cs="Times New Roman"/>
          <w:color w:val="000000"/>
          <w:sz w:val="16"/>
        </w:rPr>
      </w:pPr>
      <w:r w:rsidRPr="004E3E8F">
        <w:rPr>
          <w:rFonts w:ascii="Segoe UI" w:eastAsia="Segoe UI" w:hAnsi="Segoe UI" w:cs="Times New Roman"/>
          <w:color w:val="000000"/>
          <w:position w:val="6"/>
          <w:sz w:val="12"/>
        </w:rPr>
        <w:t xml:space="preserve">c </w:t>
      </w:r>
      <w:r w:rsidRPr="004E3E8F">
        <w:rPr>
          <w:rFonts w:ascii="Segoe UI" w:eastAsia="Segoe UI" w:hAnsi="Segoe UI" w:cs="Times New Roman"/>
          <w:color w:val="000000"/>
          <w:sz w:val="16"/>
        </w:rPr>
        <w:t>The</w:t>
      </w:r>
      <w:r w:rsidRPr="004E3E8F">
        <w:rPr>
          <w:rFonts w:ascii="Segoe UI" w:eastAsia="Segoe UI" w:hAnsi="Segoe UI" w:cs="Times New Roman"/>
          <w:color w:val="000000"/>
          <w:sz w:val="16"/>
        </w:rPr>
        <w:t xml:space="preserve"> target completed sample size is an estimate based on how schools in the sample operate meal service.</w:t>
      </w:r>
    </w:p>
    <w:p w:rsidR="004E3E8F" w:rsidRPr="004C1503" w:rsidP="004E3E8F" w14:paraId="435F78B4" w14:textId="2FF7105D">
      <w:pPr>
        <w:rPr>
          <w:rFonts w:ascii="Segoe UI" w:eastAsia="Segoe UI" w:hAnsi="Segoe UI" w:cs="Times New Roman"/>
          <w:sz w:val="16"/>
          <w:szCs w:val="16"/>
        </w:rPr>
      </w:pPr>
      <w:r w:rsidRPr="004C1503">
        <w:rPr>
          <w:rFonts w:ascii="Segoe UI" w:eastAsia="Segoe UI" w:hAnsi="Segoe UI" w:cs="Times New Roman"/>
          <w:sz w:val="16"/>
          <w:szCs w:val="16"/>
        </w:rPr>
        <w:t xml:space="preserve">AMPM = Automated Multiple-Pass Method; CN = child nutrition; FOA = full OACS; LOA = limited OACS; </w:t>
      </w:r>
      <w:r w:rsidR="003B19CF">
        <w:rPr>
          <w:rFonts w:ascii="Segoe UI" w:eastAsia="Segoe UI" w:hAnsi="Segoe UI" w:cs="Times New Roman"/>
          <w:sz w:val="16"/>
          <w:szCs w:val="16"/>
        </w:rPr>
        <w:t xml:space="preserve">OACS = Outlying Areas Cost Study; </w:t>
      </w:r>
      <w:r w:rsidRPr="004C1503">
        <w:rPr>
          <w:rFonts w:ascii="Segoe UI" w:eastAsia="Segoe UI" w:hAnsi="Segoe UI" w:cs="Times New Roman"/>
          <w:sz w:val="16"/>
          <w:szCs w:val="16"/>
        </w:rPr>
        <w:t>POS = point-of-sale; SFA = school food authority; SNM = school nutrition manager; SNMCS = School Nutrition and Meal Cost Study.</w:t>
      </w:r>
    </w:p>
    <w:p w:rsidR="008C0F4D" w14:paraId="653C4A9A" w14:textId="5506E73C">
      <w:pPr>
        <w:rPr>
          <w:rFonts w:ascii="Segoe UI" w:eastAsia="Segoe UI" w:hAnsi="Segoe UI" w:cs="Times New Roman"/>
          <w:sz w:val="20"/>
        </w:rPr>
      </w:pPr>
      <w:r>
        <w:rPr>
          <w:rFonts w:ascii="Segoe UI" w:eastAsia="Segoe UI" w:hAnsi="Segoe UI" w:cs="Times New Roman"/>
          <w:sz w:val="20"/>
        </w:rPr>
        <w:br w:type="page"/>
      </w:r>
    </w:p>
    <w:p w:rsidR="008C0F4D" w:rsidRPr="008C0F4D" w:rsidP="008C0F4D" w14:paraId="52C3AFD8" w14:textId="1DAEE74E">
      <w:pPr>
        <w:keepNext/>
        <w:keepLines/>
        <w:spacing w:after="80" w:line="240" w:lineRule="atLeast"/>
        <w:rPr>
          <w:rFonts w:ascii="Segoe UI" w:eastAsia="Segoe UI" w:hAnsi="Segoe UI" w:cs="Times New Roman"/>
          <w:color w:val="0B2949"/>
          <w:sz w:val="24"/>
          <w:szCs w:val="24"/>
        </w:rPr>
      </w:pPr>
      <w:bookmarkStart w:id="3" w:name="_Toc153803170"/>
      <w:r w:rsidRPr="008C0F4D">
        <w:rPr>
          <w:rFonts w:ascii="Segoe UI" w:eastAsia="Segoe UI" w:hAnsi="Segoe UI" w:cs="Times New Roman"/>
          <w:color w:val="0B2949"/>
          <w:sz w:val="24"/>
          <w:szCs w:val="24"/>
        </w:rPr>
        <w:t xml:space="preserve">Exhibit </w:t>
      </w:r>
      <w:r w:rsidRPr="002F6C72">
        <w:rPr>
          <w:rFonts w:ascii="Segoe UI" w:eastAsia="Segoe UI" w:hAnsi="Segoe UI" w:cs="Times New Roman"/>
          <w:color w:val="0B2949"/>
          <w:sz w:val="24"/>
          <w:szCs w:val="24"/>
        </w:rPr>
        <w:t>B.2</w:t>
      </w:r>
      <w:r w:rsidRPr="008C0F4D">
        <w:rPr>
          <w:rFonts w:ascii="Segoe UI" w:eastAsia="Segoe UI" w:hAnsi="Segoe UI" w:cs="Times New Roman"/>
          <w:color w:val="0B2949"/>
          <w:sz w:val="24"/>
          <w:szCs w:val="24"/>
        </w:rPr>
        <w:t>. Summary of the data collection plan for the SFPS-IV component</w:t>
      </w:r>
      <w:bookmarkEnd w:id="3"/>
      <w:r w:rsidRPr="008C0F4D">
        <w:rPr>
          <w:rFonts w:ascii="Segoe UI" w:eastAsia="Segoe UI" w:hAnsi="Segoe UI" w:cs="Times New Roman"/>
          <w:color w:val="0B2949"/>
          <w:sz w:val="24"/>
          <w:szCs w:val="24"/>
        </w:rPr>
        <w:t xml:space="preserve"> </w:t>
      </w:r>
    </w:p>
    <w:tbl>
      <w:tblPr>
        <w:tblStyle w:val="D3Table-Blue4"/>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4"/>
        <w:gridCol w:w="1948"/>
        <w:gridCol w:w="898"/>
        <w:gridCol w:w="1125"/>
        <w:gridCol w:w="898"/>
        <w:gridCol w:w="34"/>
        <w:gridCol w:w="866"/>
        <w:gridCol w:w="3221"/>
      </w:tblGrid>
      <w:tr w14:paraId="23C622D1" w14:textId="77777777" w:rsidTr="00E954C9">
        <w:tblPrEx>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0"/>
          <w:tblHeader/>
        </w:trPr>
        <w:tc>
          <w:tcPr>
            <w:tcW w:w="805" w:type="pct"/>
            <w:tcBorders>
              <w:top w:val="single" w:sz="4" w:space="0" w:color="auto"/>
              <w:left w:val="single" w:sz="4" w:space="0" w:color="auto"/>
            </w:tcBorders>
            <w:shd w:val="clear" w:color="auto" w:fill="046B5C"/>
            <w:vAlign w:val="bottom"/>
          </w:tcPr>
          <w:p w:rsidR="00E954C9" w:rsidRPr="00E954C9" w:rsidP="00E954C9" w14:paraId="774AC1D5" w14:textId="77777777">
            <w:pPr>
              <w:keepNext/>
              <w:spacing w:before="40" w:after="20" w:line="240" w:lineRule="atLeast"/>
              <w:rPr>
                <w:rFonts w:eastAsia="Segoe UI"/>
                <w:b/>
                <w:bCs/>
                <w:color w:val="FFFFFF"/>
                <w:sz w:val="18"/>
              </w:rPr>
            </w:pPr>
            <w:r w:rsidRPr="00E954C9">
              <w:rPr>
                <w:rFonts w:eastAsia="Segoe UI"/>
                <w:b/>
                <w:bCs/>
                <w:color w:val="FFFFFF"/>
                <w:sz w:val="18"/>
              </w:rPr>
              <w:t>Instrument</w:t>
            </w:r>
          </w:p>
        </w:tc>
        <w:tc>
          <w:tcPr>
            <w:tcW w:w="909" w:type="pct"/>
            <w:tcBorders>
              <w:top w:val="single" w:sz="4" w:space="0" w:color="auto"/>
            </w:tcBorders>
            <w:shd w:val="clear" w:color="auto" w:fill="046B5C"/>
            <w:vAlign w:val="bottom"/>
          </w:tcPr>
          <w:p w:rsidR="00E954C9" w:rsidRPr="00E954C9" w:rsidP="00E954C9" w14:paraId="09FAF03C"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Target completed sample size/ respondent</w:t>
            </w:r>
          </w:p>
        </w:tc>
        <w:tc>
          <w:tcPr>
            <w:tcW w:w="419" w:type="pct"/>
            <w:tcBorders>
              <w:top w:val="single" w:sz="4" w:space="0" w:color="auto"/>
            </w:tcBorders>
            <w:shd w:val="clear" w:color="auto" w:fill="046B5C"/>
            <w:vAlign w:val="bottom"/>
          </w:tcPr>
          <w:p w:rsidR="00E954C9" w:rsidRPr="00E954C9" w:rsidP="00E954C9" w14:paraId="7ADED7FA"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Mode</w:t>
            </w:r>
          </w:p>
        </w:tc>
        <w:tc>
          <w:tcPr>
            <w:tcW w:w="525" w:type="pct"/>
            <w:tcBorders>
              <w:top w:val="single" w:sz="4" w:space="0" w:color="auto"/>
            </w:tcBorders>
            <w:shd w:val="clear" w:color="auto" w:fill="046B5C"/>
            <w:vAlign w:val="bottom"/>
          </w:tcPr>
          <w:p w:rsidR="00E954C9" w:rsidRPr="00E954C9" w:rsidP="00E954C9" w14:paraId="52109C23"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Estimated respondent burden</w:t>
            </w:r>
          </w:p>
        </w:tc>
        <w:tc>
          <w:tcPr>
            <w:tcW w:w="435" w:type="pct"/>
            <w:gridSpan w:val="2"/>
            <w:tcBorders>
              <w:top w:val="single" w:sz="4" w:space="0" w:color="auto"/>
            </w:tcBorders>
            <w:shd w:val="clear" w:color="auto" w:fill="046B5C"/>
            <w:vAlign w:val="bottom"/>
          </w:tcPr>
          <w:p w:rsidR="00E954C9" w:rsidRPr="00E954C9" w:rsidP="00E954C9" w14:paraId="6242D08A"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Target response rate (</w:t>
            </w:r>
            <w:r w:rsidRPr="00E954C9">
              <w:rPr>
                <w:rFonts w:ascii="Segoe UI" w:eastAsia="Segoe UI" w:hAnsi="Segoe UI"/>
                <w:b/>
                <w:bCs/>
                <w:color w:val="FFFFFF"/>
                <w:sz w:val="18"/>
              </w:rPr>
              <w:t>%)</w:t>
            </w:r>
            <w:r w:rsidRPr="00E954C9">
              <w:rPr>
                <w:rFonts w:ascii="Segoe UI" w:eastAsia="Segoe UI" w:hAnsi="Segoe UI"/>
                <w:b/>
                <w:bCs/>
                <w:color w:val="FFFFFF"/>
                <w:sz w:val="18"/>
                <w:vertAlign w:val="superscript"/>
              </w:rPr>
              <w:t>a</w:t>
            </w:r>
            <w:r w:rsidRPr="00E954C9">
              <w:rPr>
                <w:rFonts w:ascii="Segoe UI" w:eastAsia="Segoe UI" w:hAnsi="Segoe UI"/>
                <w:b/>
                <w:bCs/>
                <w:color w:val="FFFFFF"/>
                <w:sz w:val="18"/>
                <w:vertAlign w:val="superscript"/>
              </w:rPr>
              <w:t>,b</w:t>
            </w:r>
          </w:p>
        </w:tc>
        <w:tc>
          <w:tcPr>
            <w:tcW w:w="404" w:type="pct"/>
            <w:tcBorders>
              <w:top w:val="single" w:sz="4" w:space="0" w:color="auto"/>
            </w:tcBorders>
            <w:shd w:val="clear" w:color="auto" w:fill="046B5C"/>
            <w:vAlign w:val="bottom"/>
          </w:tcPr>
          <w:p w:rsidR="00E954C9" w:rsidRPr="00E954C9" w:rsidP="00E954C9" w14:paraId="38473891"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Starting sample</w:t>
            </w:r>
          </w:p>
        </w:tc>
        <w:tc>
          <w:tcPr>
            <w:tcW w:w="1503" w:type="pct"/>
            <w:tcBorders>
              <w:top w:val="single" w:sz="4" w:space="0" w:color="auto"/>
              <w:right w:val="single" w:sz="4" w:space="0" w:color="auto"/>
            </w:tcBorders>
            <w:shd w:val="clear" w:color="auto" w:fill="046B5C"/>
            <w:vAlign w:val="bottom"/>
          </w:tcPr>
          <w:p w:rsidR="00E954C9" w:rsidRPr="00E954C9" w:rsidP="00E954C9" w14:paraId="1F51E4E0" w14:textId="77777777">
            <w:pPr>
              <w:keepNext/>
              <w:spacing w:before="40" w:after="20" w:line="240" w:lineRule="atLeast"/>
              <w:rPr>
                <w:rFonts w:ascii="Segoe UI" w:eastAsia="Segoe UI" w:hAnsi="Segoe UI"/>
                <w:b/>
                <w:bCs/>
                <w:color w:val="FFFFFF"/>
                <w:sz w:val="18"/>
              </w:rPr>
            </w:pPr>
            <w:r w:rsidRPr="00E954C9">
              <w:rPr>
                <w:rFonts w:ascii="Segoe UI" w:eastAsia="Segoe UI" w:hAnsi="Segoe UI"/>
                <w:b/>
                <w:bCs/>
                <w:color w:val="FFFFFF"/>
                <w:sz w:val="18"/>
              </w:rPr>
              <w:t>Comments</w:t>
            </w:r>
          </w:p>
        </w:tc>
      </w:tr>
      <w:tr w14:paraId="43F2057F" w14:textId="77777777" w:rsidTr="00E954C9">
        <w:tblPrEx>
          <w:tblW w:w="4965" w:type="pct"/>
          <w:tblLayout w:type="fixed"/>
          <w:tblLook w:val="04A0"/>
        </w:tblPrEx>
        <w:trPr>
          <w:trHeight w:val="305"/>
        </w:trPr>
        <w:tc>
          <w:tcPr>
            <w:tcW w:w="5000" w:type="pct"/>
            <w:gridSpan w:val="8"/>
            <w:tcBorders>
              <w:left w:val="single" w:sz="4" w:space="0" w:color="auto"/>
              <w:right w:val="single" w:sz="4" w:space="0" w:color="auto"/>
            </w:tcBorders>
            <w:shd w:val="clear" w:color="auto" w:fill="0B2949"/>
          </w:tcPr>
          <w:p w:rsidR="00E954C9" w:rsidRPr="00E954C9" w:rsidP="00E954C9" w14:paraId="033283AC" w14:textId="77777777">
            <w:pPr>
              <w:keepNext/>
              <w:spacing w:before="40" w:after="40" w:line="240" w:lineRule="atLeast"/>
              <w:rPr>
                <w:rFonts w:eastAsia="Segoe UI"/>
                <w:b/>
                <w:sz w:val="18"/>
              </w:rPr>
            </w:pPr>
            <w:r w:rsidRPr="00E954C9">
              <w:rPr>
                <w:rFonts w:eastAsia="Segoe UI"/>
                <w:b/>
                <w:color w:val="FFFFFF" w:themeColor="background1"/>
                <w:sz w:val="18"/>
              </w:rPr>
              <w:t>Objective 5: SFPS-IV—Groups 1a and 1b</w:t>
            </w:r>
            <w:r w:rsidRPr="00E954C9">
              <w:rPr>
                <w:rFonts w:eastAsia="Segoe UI"/>
                <w:b/>
                <w:color w:val="FFFFFF" w:themeColor="background1"/>
                <w:sz w:val="18"/>
                <w:vertAlign w:val="superscript"/>
              </w:rPr>
              <w:t>b</w:t>
            </w:r>
          </w:p>
        </w:tc>
      </w:tr>
      <w:tr w14:paraId="0B489A02" w14:textId="77777777" w:rsidTr="00E954C9">
        <w:tblPrEx>
          <w:tblW w:w="4965" w:type="pct"/>
          <w:tblLayout w:type="fixed"/>
          <w:tblLook w:val="04A0"/>
        </w:tblPrEx>
        <w:trPr>
          <w:trHeight w:val="620"/>
        </w:trPr>
        <w:tc>
          <w:tcPr>
            <w:tcW w:w="805" w:type="pct"/>
            <w:tcBorders>
              <w:top w:val="single" w:sz="4" w:space="0" w:color="046B5C"/>
              <w:left w:val="single" w:sz="4" w:space="0" w:color="auto"/>
              <w:bottom w:val="single" w:sz="4" w:space="0" w:color="046B5C"/>
            </w:tcBorders>
            <w:shd w:val="clear" w:color="auto" w:fill="auto"/>
            <w:vAlign w:val="top"/>
          </w:tcPr>
          <w:p w:rsidR="00E954C9" w:rsidRPr="00E954C9" w:rsidP="00E954C9" w14:paraId="36C9B2D4" w14:textId="77777777">
            <w:pPr>
              <w:spacing w:before="40" w:after="20" w:line="240" w:lineRule="atLeast"/>
              <w:rPr>
                <w:rFonts w:eastAsia="Segoe UI"/>
                <w:color w:val="000000"/>
                <w:sz w:val="18"/>
              </w:rPr>
            </w:pPr>
            <w:r w:rsidRPr="00E954C9">
              <w:rPr>
                <w:rFonts w:eastAsia="Segoe UI"/>
                <w:color w:val="000000"/>
                <w:sz w:val="18"/>
              </w:rPr>
              <w:t>Quarterly Food Purchase Data</w:t>
            </w:r>
          </w:p>
        </w:tc>
        <w:tc>
          <w:tcPr>
            <w:tcW w:w="909" w:type="pct"/>
            <w:tcBorders>
              <w:top w:val="single" w:sz="4" w:space="0" w:color="046B5C"/>
              <w:bottom w:val="single" w:sz="4" w:space="0" w:color="046B5C"/>
            </w:tcBorders>
            <w:shd w:val="clear" w:color="auto" w:fill="auto"/>
            <w:vAlign w:val="top"/>
          </w:tcPr>
          <w:p w:rsidR="00E954C9" w:rsidRPr="00E954C9" w:rsidP="00E954C9" w14:paraId="72DE49C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402 SFA directors</w:t>
            </w:r>
          </w:p>
        </w:tc>
        <w:tc>
          <w:tcPr>
            <w:tcW w:w="419" w:type="pct"/>
            <w:tcBorders>
              <w:top w:val="single" w:sz="4" w:space="0" w:color="046B5C"/>
              <w:bottom w:val="single" w:sz="4" w:space="0" w:color="046B5C"/>
            </w:tcBorders>
            <w:shd w:val="clear" w:color="auto" w:fill="auto"/>
            <w:vAlign w:val="top"/>
          </w:tcPr>
          <w:p w:rsidR="00E954C9" w:rsidRPr="00E954C9" w:rsidP="00E954C9" w14:paraId="54C049AD"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Electronic submittal</w:t>
            </w:r>
          </w:p>
        </w:tc>
        <w:tc>
          <w:tcPr>
            <w:tcW w:w="525" w:type="pct"/>
            <w:tcBorders>
              <w:top w:val="single" w:sz="4" w:space="0" w:color="046B5C"/>
              <w:bottom w:val="single" w:sz="4" w:space="0" w:color="046B5C"/>
            </w:tcBorders>
            <w:shd w:val="clear" w:color="auto" w:fill="auto"/>
            <w:vAlign w:val="top"/>
          </w:tcPr>
          <w:p w:rsidR="00E954C9" w:rsidRPr="00E954C9" w:rsidP="00E954C9" w14:paraId="6FD766A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6 hours</w:t>
            </w:r>
          </w:p>
        </w:tc>
        <w:tc>
          <w:tcPr>
            <w:tcW w:w="419" w:type="pct"/>
            <w:tcBorders>
              <w:top w:val="single" w:sz="4" w:space="0" w:color="046B5C"/>
              <w:bottom w:val="single" w:sz="4" w:space="0" w:color="046B5C"/>
            </w:tcBorders>
            <w:shd w:val="clear" w:color="auto" w:fill="auto"/>
            <w:vAlign w:val="top"/>
          </w:tcPr>
          <w:p w:rsidR="00E954C9" w:rsidRPr="00E954C9" w:rsidP="00E954C9" w14:paraId="358A420E"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59</w:t>
            </w:r>
          </w:p>
        </w:tc>
        <w:tc>
          <w:tcPr>
            <w:tcW w:w="420" w:type="pct"/>
            <w:gridSpan w:val="2"/>
            <w:tcBorders>
              <w:top w:val="single" w:sz="4" w:space="0" w:color="046B5C"/>
              <w:bottom w:val="single" w:sz="4" w:space="0" w:color="046B5C"/>
            </w:tcBorders>
            <w:shd w:val="clear" w:color="auto" w:fill="auto"/>
            <w:vAlign w:val="top"/>
          </w:tcPr>
          <w:p w:rsidR="00E954C9" w:rsidRPr="00E954C9" w:rsidP="00E954C9" w14:paraId="1414D2DA"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683</w:t>
            </w:r>
          </w:p>
        </w:tc>
        <w:tc>
          <w:tcPr>
            <w:tcW w:w="1503" w:type="pct"/>
            <w:tcBorders>
              <w:top w:val="single" w:sz="4" w:space="0" w:color="046B5C"/>
              <w:bottom w:val="single" w:sz="4" w:space="0" w:color="046B5C"/>
              <w:right w:val="single" w:sz="4" w:space="0" w:color="auto"/>
            </w:tcBorders>
            <w:shd w:val="clear" w:color="auto" w:fill="auto"/>
            <w:vAlign w:val="top"/>
          </w:tcPr>
          <w:p w:rsidR="00E954C9" w:rsidRPr="00E954C9" w:rsidP="00E954C9" w14:paraId="7DE9BEC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Includes food purchase data webinar. Completion of the SFA Director Survey and Quarterly Program Data Form, and provision of Quarterly Food Purchase Data, are needed to consider an SFA complete for the planned analyses. The instrument samples are based on completing with 88 G1a and 276 G2b SFAs using this definition.</w:t>
            </w:r>
          </w:p>
        </w:tc>
      </w:tr>
      <w:tr w14:paraId="0F181DE8" w14:textId="77777777" w:rsidTr="00E954C9">
        <w:tblPrEx>
          <w:tblW w:w="4965" w:type="pct"/>
          <w:tblLayout w:type="fixed"/>
          <w:tblLook w:val="04A0"/>
        </w:tblPrEx>
        <w:trPr>
          <w:trHeight w:val="620"/>
        </w:trPr>
        <w:tc>
          <w:tcPr>
            <w:tcW w:w="805" w:type="pct"/>
            <w:tcBorders>
              <w:top w:val="single" w:sz="4" w:space="0" w:color="046B5C"/>
              <w:left w:val="single" w:sz="4" w:space="0" w:color="auto"/>
              <w:bottom w:val="single" w:sz="4" w:space="0" w:color="046B5C"/>
            </w:tcBorders>
            <w:shd w:val="clear" w:color="auto" w:fill="auto"/>
            <w:vAlign w:val="top"/>
          </w:tcPr>
          <w:p w:rsidR="00E954C9" w:rsidRPr="00E954C9" w:rsidP="00E954C9" w14:paraId="7B48FDBD" w14:textId="77777777">
            <w:pPr>
              <w:spacing w:before="40" w:after="20" w:line="240" w:lineRule="atLeast"/>
              <w:rPr>
                <w:rFonts w:eastAsia="Segoe UI"/>
                <w:color w:val="000000"/>
                <w:sz w:val="18"/>
              </w:rPr>
            </w:pPr>
            <w:r w:rsidRPr="00E954C9">
              <w:rPr>
                <w:rFonts w:eastAsia="Segoe UI"/>
                <w:color w:val="000000"/>
                <w:sz w:val="18"/>
              </w:rPr>
              <w:t>Quarterly Program Data Form</w:t>
            </w:r>
          </w:p>
        </w:tc>
        <w:tc>
          <w:tcPr>
            <w:tcW w:w="909" w:type="pct"/>
            <w:tcBorders>
              <w:top w:val="single" w:sz="4" w:space="0" w:color="046B5C"/>
              <w:bottom w:val="single" w:sz="4" w:space="0" w:color="046B5C"/>
            </w:tcBorders>
            <w:shd w:val="clear" w:color="auto" w:fill="auto"/>
            <w:vAlign w:val="top"/>
          </w:tcPr>
          <w:p w:rsidR="00E954C9" w:rsidRPr="00E954C9" w:rsidP="00E954C9" w14:paraId="3A3B32A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402 SFA directors</w:t>
            </w:r>
          </w:p>
        </w:tc>
        <w:tc>
          <w:tcPr>
            <w:tcW w:w="419" w:type="pct"/>
            <w:tcBorders>
              <w:top w:val="single" w:sz="4" w:space="0" w:color="046B5C"/>
              <w:bottom w:val="single" w:sz="4" w:space="0" w:color="046B5C"/>
            </w:tcBorders>
            <w:shd w:val="clear" w:color="auto" w:fill="auto"/>
            <w:vAlign w:val="top"/>
          </w:tcPr>
          <w:p w:rsidR="00E954C9" w:rsidRPr="00E954C9" w:rsidP="00E954C9" w14:paraId="0C12CED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25" w:type="pct"/>
            <w:tcBorders>
              <w:top w:val="single" w:sz="4" w:space="0" w:color="046B5C"/>
              <w:bottom w:val="single" w:sz="4" w:space="0" w:color="046B5C"/>
            </w:tcBorders>
            <w:shd w:val="clear" w:color="auto" w:fill="auto"/>
            <w:vAlign w:val="top"/>
          </w:tcPr>
          <w:p w:rsidR="00E954C9" w:rsidRPr="00E954C9" w:rsidP="00E954C9" w14:paraId="4896D5D7"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15 minutes</w:t>
            </w:r>
          </w:p>
        </w:tc>
        <w:tc>
          <w:tcPr>
            <w:tcW w:w="419" w:type="pct"/>
            <w:tcBorders>
              <w:top w:val="single" w:sz="4" w:space="0" w:color="046B5C"/>
              <w:bottom w:val="single" w:sz="4" w:space="0" w:color="046B5C"/>
            </w:tcBorders>
            <w:shd w:val="clear" w:color="auto" w:fill="auto"/>
            <w:vAlign w:val="top"/>
          </w:tcPr>
          <w:p w:rsidR="00E954C9" w:rsidRPr="00E954C9" w:rsidP="00E954C9" w14:paraId="5D9685FA"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59</w:t>
            </w:r>
          </w:p>
        </w:tc>
        <w:tc>
          <w:tcPr>
            <w:tcW w:w="420" w:type="pct"/>
            <w:gridSpan w:val="2"/>
            <w:tcBorders>
              <w:top w:val="single" w:sz="4" w:space="0" w:color="046B5C"/>
              <w:bottom w:val="single" w:sz="4" w:space="0" w:color="046B5C"/>
            </w:tcBorders>
            <w:shd w:val="clear" w:color="auto" w:fill="auto"/>
            <w:vAlign w:val="top"/>
          </w:tcPr>
          <w:p w:rsidR="00E954C9" w:rsidRPr="00E954C9" w:rsidP="00E954C9" w14:paraId="729E9EBC"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683</w:t>
            </w:r>
          </w:p>
        </w:tc>
        <w:tc>
          <w:tcPr>
            <w:tcW w:w="1503" w:type="pct"/>
            <w:tcBorders>
              <w:top w:val="single" w:sz="4" w:space="0" w:color="046B5C"/>
              <w:bottom w:val="single" w:sz="4" w:space="0" w:color="046B5C"/>
              <w:right w:val="single" w:sz="4" w:space="0" w:color="auto"/>
            </w:tcBorders>
            <w:shd w:val="clear" w:color="auto" w:fill="auto"/>
            <w:vAlign w:val="top"/>
          </w:tcPr>
          <w:p w:rsidR="00E954C9" w:rsidRPr="00E954C9" w:rsidP="00E954C9" w14:paraId="4A3C871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Data on meals claimed, food expenditure, non-program revenues, and top selling non-program foods.</w:t>
            </w:r>
          </w:p>
        </w:tc>
      </w:tr>
      <w:tr w14:paraId="5E0C3A95" w14:textId="77777777" w:rsidTr="00E954C9">
        <w:tblPrEx>
          <w:tblW w:w="4965" w:type="pct"/>
          <w:tblLayout w:type="fixed"/>
          <w:tblLook w:val="04A0"/>
        </w:tblPrEx>
        <w:trPr>
          <w:trHeight w:val="486"/>
        </w:trPr>
        <w:tc>
          <w:tcPr>
            <w:tcW w:w="805" w:type="pct"/>
            <w:tcBorders>
              <w:left w:val="single" w:sz="4" w:space="0" w:color="auto"/>
              <w:bottom w:val="single" w:sz="4" w:space="0" w:color="046B5C"/>
            </w:tcBorders>
            <w:shd w:val="clear" w:color="auto" w:fill="auto"/>
            <w:vAlign w:val="top"/>
          </w:tcPr>
          <w:p w:rsidR="00E954C9" w:rsidRPr="00E954C9" w:rsidP="00E954C9" w14:paraId="2B4013DE" w14:textId="77777777">
            <w:pPr>
              <w:spacing w:before="40" w:after="20" w:line="240" w:lineRule="atLeast"/>
              <w:rPr>
                <w:rFonts w:eastAsia="Segoe UI"/>
                <w:color w:val="000000"/>
                <w:sz w:val="18"/>
              </w:rPr>
            </w:pPr>
            <w:r w:rsidRPr="00E954C9">
              <w:rPr>
                <w:rFonts w:eastAsia="Segoe UI"/>
                <w:color w:val="000000"/>
                <w:sz w:val="18"/>
              </w:rPr>
              <w:t xml:space="preserve">SFA Director Survey (SFPS-IV) </w:t>
            </w:r>
          </w:p>
        </w:tc>
        <w:tc>
          <w:tcPr>
            <w:tcW w:w="909" w:type="pct"/>
            <w:tcBorders>
              <w:bottom w:val="single" w:sz="4" w:space="0" w:color="046B5C"/>
            </w:tcBorders>
            <w:shd w:val="clear" w:color="auto" w:fill="auto"/>
            <w:vAlign w:val="top"/>
          </w:tcPr>
          <w:p w:rsidR="00E954C9" w:rsidRPr="00E954C9" w:rsidP="00E954C9" w14:paraId="5446E32B"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276 SFA directors in Group 1b</w:t>
            </w:r>
          </w:p>
        </w:tc>
        <w:tc>
          <w:tcPr>
            <w:tcW w:w="419" w:type="pct"/>
            <w:tcBorders>
              <w:bottom w:val="single" w:sz="4" w:space="0" w:color="046B5C"/>
            </w:tcBorders>
            <w:shd w:val="clear" w:color="auto" w:fill="auto"/>
            <w:vAlign w:val="top"/>
          </w:tcPr>
          <w:p w:rsidR="00E954C9" w:rsidRPr="00E954C9" w:rsidP="00E954C9" w14:paraId="3E85D950"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25" w:type="pct"/>
            <w:tcBorders>
              <w:bottom w:val="single" w:sz="4" w:space="0" w:color="046B5C"/>
            </w:tcBorders>
            <w:shd w:val="clear" w:color="auto" w:fill="auto"/>
            <w:vAlign w:val="top"/>
          </w:tcPr>
          <w:p w:rsidR="00E954C9" w:rsidRPr="00E954C9" w:rsidP="00E954C9" w14:paraId="2FEEB319"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1.25 hours</w:t>
            </w:r>
          </w:p>
        </w:tc>
        <w:tc>
          <w:tcPr>
            <w:tcW w:w="419" w:type="pct"/>
            <w:tcBorders>
              <w:bottom w:val="single" w:sz="4" w:space="0" w:color="046B5C"/>
            </w:tcBorders>
            <w:shd w:val="clear" w:color="auto" w:fill="auto"/>
            <w:vAlign w:val="top"/>
          </w:tcPr>
          <w:p w:rsidR="00E954C9" w:rsidRPr="00E954C9" w:rsidP="00E954C9" w14:paraId="7359822C"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53</w:t>
            </w:r>
          </w:p>
        </w:tc>
        <w:tc>
          <w:tcPr>
            <w:tcW w:w="420" w:type="pct"/>
            <w:gridSpan w:val="2"/>
            <w:tcBorders>
              <w:bottom w:val="single" w:sz="4" w:space="0" w:color="046B5C"/>
            </w:tcBorders>
            <w:shd w:val="clear" w:color="auto" w:fill="auto"/>
            <w:vAlign w:val="top"/>
          </w:tcPr>
          <w:p w:rsidR="00E954C9" w:rsidRPr="00E954C9" w:rsidP="00E954C9" w14:paraId="4BE3C5C0"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518</w:t>
            </w:r>
          </w:p>
        </w:tc>
        <w:tc>
          <w:tcPr>
            <w:tcW w:w="1503" w:type="pct"/>
            <w:tcBorders>
              <w:bottom w:val="single" w:sz="4" w:space="0" w:color="046B5C"/>
              <w:right w:val="single" w:sz="4" w:space="0" w:color="auto"/>
            </w:tcBorders>
            <w:shd w:val="clear" w:color="auto" w:fill="auto"/>
            <w:vAlign w:val="top"/>
          </w:tcPr>
          <w:p w:rsidR="00E954C9" w:rsidRPr="00E954C9" w:rsidP="00E954C9" w14:paraId="7C2622A6"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assumes joint recruiting for survey and food purchase data.</w:t>
            </w:r>
          </w:p>
        </w:tc>
      </w:tr>
      <w:tr w14:paraId="12ADE5B9" w14:textId="77777777" w:rsidTr="00E954C9">
        <w:tblPrEx>
          <w:tblW w:w="4965" w:type="pct"/>
          <w:tblLayout w:type="fixed"/>
          <w:tblLook w:val="04A0"/>
        </w:tblPrEx>
        <w:trPr>
          <w:trHeight w:val="620"/>
        </w:trPr>
        <w:tc>
          <w:tcPr>
            <w:tcW w:w="805" w:type="pct"/>
            <w:tcBorders>
              <w:top w:val="single" w:sz="4" w:space="0" w:color="046B5C"/>
              <w:left w:val="single" w:sz="4" w:space="0" w:color="auto"/>
              <w:bottom w:val="single" w:sz="4" w:space="0" w:color="046B5C"/>
            </w:tcBorders>
            <w:shd w:val="clear" w:color="auto" w:fill="auto"/>
            <w:vAlign w:val="top"/>
          </w:tcPr>
          <w:p w:rsidR="00E954C9" w:rsidRPr="00E954C9" w:rsidP="00E954C9" w14:paraId="16303EC6" w14:textId="77777777">
            <w:pPr>
              <w:spacing w:before="40" w:after="20" w:line="240" w:lineRule="atLeast"/>
              <w:rPr>
                <w:rFonts w:eastAsia="Segoe UI"/>
                <w:color w:val="000000"/>
                <w:sz w:val="18"/>
              </w:rPr>
            </w:pPr>
            <w:r w:rsidRPr="00E954C9">
              <w:rPr>
                <w:rFonts w:eastAsia="Segoe UI"/>
                <w:color w:val="000000"/>
                <w:sz w:val="18"/>
              </w:rPr>
              <w:t>SFA Director Survey (SNMCS-II+SFPS-IV)</w:t>
            </w:r>
            <w:r w:rsidRPr="00E954C9">
              <w:rPr>
                <w:rFonts w:eastAsia="Segoe UI"/>
                <w:color w:val="000000"/>
                <w:sz w:val="18"/>
              </w:rPr>
              <w:t xml:space="preserve"> </w:t>
            </w:r>
          </w:p>
        </w:tc>
        <w:tc>
          <w:tcPr>
            <w:tcW w:w="909" w:type="pct"/>
            <w:tcBorders>
              <w:top w:val="single" w:sz="4" w:space="0" w:color="046B5C"/>
              <w:bottom w:val="single" w:sz="4" w:space="0" w:color="046B5C"/>
            </w:tcBorders>
            <w:shd w:val="clear" w:color="auto" w:fill="auto"/>
            <w:vAlign w:val="top"/>
          </w:tcPr>
          <w:p w:rsidR="00E954C9" w:rsidRPr="00E954C9" w:rsidP="00E954C9" w14:paraId="53E4E0D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88 SFA directors in Group 1a</w:t>
            </w:r>
          </w:p>
        </w:tc>
        <w:tc>
          <w:tcPr>
            <w:tcW w:w="419" w:type="pct"/>
            <w:tcBorders>
              <w:top w:val="single" w:sz="4" w:space="0" w:color="046B5C"/>
              <w:bottom w:val="single" w:sz="4" w:space="0" w:color="046B5C"/>
            </w:tcBorders>
            <w:shd w:val="clear" w:color="auto" w:fill="auto"/>
            <w:vAlign w:val="top"/>
          </w:tcPr>
          <w:p w:rsidR="00E954C9" w:rsidRPr="00E954C9" w:rsidP="00E954C9" w14:paraId="0E92405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25" w:type="pct"/>
            <w:tcBorders>
              <w:top w:val="single" w:sz="4" w:space="0" w:color="046B5C"/>
              <w:bottom w:val="single" w:sz="4" w:space="0" w:color="046B5C"/>
            </w:tcBorders>
            <w:shd w:val="clear" w:color="auto" w:fill="auto"/>
            <w:vAlign w:val="top"/>
          </w:tcPr>
          <w:p w:rsidR="00E954C9" w:rsidRPr="00E954C9" w:rsidP="00E954C9" w14:paraId="1BBB3834"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1.5 hours</w:t>
            </w:r>
          </w:p>
        </w:tc>
        <w:tc>
          <w:tcPr>
            <w:tcW w:w="419" w:type="pct"/>
            <w:tcBorders>
              <w:top w:val="single" w:sz="4" w:space="0" w:color="046B5C"/>
              <w:bottom w:val="single" w:sz="4" w:space="0" w:color="046B5C"/>
            </w:tcBorders>
            <w:shd w:val="clear" w:color="auto" w:fill="auto"/>
            <w:vAlign w:val="top"/>
          </w:tcPr>
          <w:p w:rsidR="00E954C9" w:rsidRPr="00E954C9" w:rsidP="00E954C9" w14:paraId="7867DA42"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53</w:t>
            </w:r>
          </w:p>
        </w:tc>
        <w:tc>
          <w:tcPr>
            <w:tcW w:w="420" w:type="pct"/>
            <w:gridSpan w:val="2"/>
            <w:tcBorders>
              <w:top w:val="single" w:sz="4" w:space="0" w:color="046B5C"/>
              <w:bottom w:val="single" w:sz="4" w:space="0" w:color="046B5C"/>
            </w:tcBorders>
            <w:shd w:val="clear" w:color="auto" w:fill="auto"/>
            <w:vAlign w:val="top"/>
          </w:tcPr>
          <w:p w:rsidR="00E954C9" w:rsidRPr="00E954C9" w:rsidP="00E954C9" w14:paraId="432D1F18"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165</w:t>
            </w:r>
          </w:p>
        </w:tc>
        <w:tc>
          <w:tcPr>
            <w:tcW w:w="1503" w:type="pct"/>
            <w:tcBorders>
              <w:top w:val="single" w:sz="4" w:space="0" w:color="046B5C"/>
              <w:bottom w:val="single" w:sz="4" w:space="0" w:color="046B5C"/>
              <w:right w:val="single" w:sz="4" w:space="0" w:color="auto"/>
            </w:tcBorders>
            <w:shd w:val="clear" w:color="auto" w:fill="auto"/>
            <w:vAlign w:val="top"/>
          </w:tcPr>
          <w:p w:rsidR="00E954C9" w:rsidRPr="00E954C9" w:rsidP="00E954C9" w14:paraId="350EC525"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Target response rate and starting sample assume initial recruiting for SFA Director Survey and food purchase data. Lower target response rate than SNMCS-I due to expanded SFA Director Survey.</w:t>
            </w:r>
          </w:p>
        </w:tc>
      </w:tr>
      <w:tr w14:paraId="44150663" w14:textId="77777777" w:rsidTr="00E954C9">
        <w:tblPrEx>
          <w:tblW w:w="4965" w:type="pct"/>
          <w:tblLayout w:type="fixed"/>
          <w:tblLook w:val="04A0"/>
        </w:tblPrEx>
        <w:trPr>
          <w:trHeight w:val="602"/>
        </w:trPr>
        <w:tc>
          <w:tcPr>
            <w:tcW w:w="805" w:type="pct"/>
            <w:tcBorders>
              <w:top w:val="single" w:sz="4" w:space="0" w:color="046B5C"/>
              <w:left w:val="single" w:sz="4" w:space="0" w:color="auto"/>
              <w:bottom w:val="single" w:sz="4" w:space="0" w:color="046B5C"/>
            </w:tcBorders>
            <w:shd w:val="clear" w:color="auto" w:fill="auto"/>
            <w:vAlign w:val="top"/>
          </w:tcPr>
          <w:p w:rsidR="00E954C9" w:rsidRPr="00E954C9" w:rsidP="00E954C9" w14:paraId="3452B669" w14:textId="77777777">
            <w:pPr>
              <w:spacing w:before="40" w:after="20" w:line="240" w:lineRule="atLeast"/>
              <w:rPr>
                <w:rFonts w:eastAsia="Segoe UI"/>
                <w:color w:val="000000"/>
                <w:sz w:val="18"/>
              </w:rPr>
            </w:pPr>
            <w:r w:rsidRPr="00E954C9">
              <w:rPr>
                <w:rFonts w:eastAsia="Segoe UI"/>
                <w:color w:val="000000"/>
                <w:sz w:val="18"/>
              </w:rPr>
              <w:t>SFA Year-End Follow-Up Survey</w:t>
            </w:r>
          </w:p>
        </w:tc>
        <w:tc>
          <w:tcPr>
            <w:tcW w:w="909" w:type="pct"/>
            <w:tcBorders>
              <w:top w:val="single" w:sz="4" w:space="0" w:color="046B5C"/>
              <w:bottom w:val="single" w:sz="4" w:space="0" w:color="046B5C"/>
            </w:tcBorders>
            <w:shd w:val="clear" w:color="auto" w:fill="auto"/>
            <w:vAlign w:val="top"/>
          </w:tcPr>
          <w:p w:rsidR="00E954C9" w:rsidRPr="00E954C9" w:rsidP="00E954C9" w14:paraId="642CA991"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362 SFA directors</w:t>
            </w:r>
          </w:p>
        </w:tc>
        <w:tc>
          <w:tcPr>
            <w:tcW w:w="419" w:type="pct"/>
            <w:tcBorders>
              <w:top w:val="single" w:sz="4" w:space="0" w:color="046B5C"/>
              <w:bottom w:val="single" w:sz="4" w:space="0" w:color="046B5C"/>
            </w:tcBorders>
            <w:shd w:val="clear" w:color="auto" w:fill="auto"/>
            <w:vAlign w:val="top"/>
          </w:tcPr>
          <w:p w:rsidR="00E954C9" w:rsidRPr="00E954C9" w:rsidP="00E954C9" w14:paraId="20720E3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Web</w:t>
            </w:r>
          </w:p>
        </w:tc>
        <w:tc>
          <w:tcPr>
            <w:tcW w:w="525" w:type="pct"/>
            <w:tcBorders>
              <w:top w:val="single" w:sz="4" w:space="0" w:color="046B5C"/>
              <w:bottom w:val="single" w:sz="4" w:space="0" w:color="046B5C"/>
            </w:tcBorders>
            <w:shd w:val="clear" w:color="auto" w:fill="auto"/>
            <w:vAlign w:val="top"/>
          </w:tcPr>
          <w:p w:rsidR="00E954C9" w:rsidRPr="00E954C9" w:rsidP="00E954C9" w14:paraId="52976AE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15 minutes</w:t>
            </w:r>
          </w:p>
        </w:tc>
        <w:tc>
          <w:tcPr>
            <w:tcW w:w="419" w:type="pct"/>
            <w:tcBorders>
              <w:top w:val="single" w:sz="4" w:space="0" w:color="046B5C"/>
              <w:bottom w:val="single" w:sz="4" w:space="0" w:color="046B5C"/>
            </w:tcBorders>
            <w:shd w:val="clear" w:color="auto" w:fill="auto"/>
            <w:vAlign w:val="top"/>
          </w:tcPr>
          <w:p w:rsidR="00E954C9" w:rsidRPr="00E954C9" w:rsidP="00E954C9" w14:paraId="15EE1357"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90</w:t>
            </w:r>
          </w:p>
        </w:tc>
        <w:tc>
          <w:tcPr>
            <w:tcW w:w="420" w:type="pct"/>
            <w:gridSpan w:val="2"/>
            <w:tcBorders>
              <w:top w:val="single" w:sz="4" w:space="0" w:color="046B5C"/>
              <w:bottom w:val="single" w:sz="4" w:space="0" w:color="046B5C"/>
            </w:tcBorders>
            <w:shd w:val="clear" w:color="auto" w:fill="auto"/>
            <w:vAlign w:val="top"/>
          </w:tcPr>
          <w:p w:rsidR="00E954C9" w:rsidRPr="00E954C9" w:rsidP="00E954C9" w14:paraId="6968B324"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402</w:t>
            </w:r>
          </w:p>
        </w:tc>
        <w:tc>
          <w:tcPr>
            <w:tcW w:w="1503" w:type="pct"/>
            <w:tcBorders>
              <w:top w:val="single" w:sz="4" w:space="0" w:color="046B5C"/>
              <w:bottom w:val="single" w:sz="4" w:space="0" w:color="046B5C"/>
              <w:right w:val="single" w:sz="4" w:space="0" w:color="auto"/>
            </w:tcBorders>
            <w:shd w:val="clear" w:color="auto" w:fill="auto"/>
            <w:vAlign w:val="top"/>
          </w:tcPr>
          <w:p w:rsidR="00E954C9" w:rsidRPr="00E954C9" w:rsidP="00E954C9" w14:paraId="70AD514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Starting sample is comprised of SFAs that completed the Quarterly Program Data Form and provided Quarterly Food Purchase Data. Data on food expenditure and nonprogram revenue.</w:t>
            </w:r>
          </w:p>
        </w:tc>
      </w:tr>
      <w:tr w14:paraId="3E877698" w14:textId="77777777" w:rsidTr="00E954C9">
        <w:tblPrEx>
          <w:tblW w:w="4965" w:type="pct"/>
          <w:tblLayout w:type="fixed"/>
          <w:tblLook w:val="04A0"/>
        </w:tblPrEx>
        <w:trPr>
          <w:trHeight w:val="602"/>
        </w:trPr>
        <w:tc>
          <w:tcPr>
            <w:tcW w:w="805" w:type="pct"/>
            <w:tcBorders>
              <w:top w:val="single" w:sz="4" w:space="0" w:color="046B5C"/>
              <w:left w:val="single" w:sz="4" w:space="0" w:color="auto"/>
              <w:bottom w:val="single" w:sz="4" w:space="0" w:color="046B5C"/>
            </w:tcBorders>
            <w:shd w:val="clear" w:color="auto" w:fill="auto"/>
            <w:vAlign w:val="top"/>
          </w:tcPr>
          <w:p w:rsidR="00E954C9" w:rsidRPr="00E954C9" w:rsidP="00E954C9" w14:paraId="75A2D0EA" w14:textId="77777777">
            <w:pPr>
              <w:spacing w:before="40" w:after="20" w:line="240" w:lineRule="atLeast"/>
              <w:rPr>
                <w:rFonts w:eastAsia="Segoe UI"/>
                <w:color w:val="000000"/>
                <w:sz w:val="18"/>
              </w:rPr>
            </w:pPr>
            <w:r w:rsidRPr="00E954C9">
              <w:rPr>
                <w:rFonts w:eastAsia="Segoe UI"/>
                <w:color w:val="000000"/>
                <w:sz w:val="18"/>
              </w:rPr>
              <w:t>USDA Quarterly Data Request</w:t>
            </w:r>
          </w:p>
        </w:tc>
        <w:tc>
          <w:tcPr>
            <w:tcW w:w="909" w:type="pct"/>
            <w:tcBorders>
              <w:top w:val="single" w:sz="4" w:space="0" w:color="046B5C"/>
              <w:bottom w:val="single" w:sz="4" w:space="0" w:color="046B5C"/>
            </w:tcBorders>
            <w:shd w:val="clear" w:color="auto" w:fill="auto"/>
            <w:vAlign w:val="top"/>
          </w:tcPr>
          <w:p w:rsidR="00E954C9" w:rsidRPr="00E954C9" w:rsidP="00E954C9" w14:paraId="02358FC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USDA FNS</w:t>
            </w:r>
          </w:p>
        </w:tc>
        <w:tc>
          <w:tcPr>
            <w:tcW w:w="419" w:type="pct"/>
            <w:tcBorders>
              <w:top w:val="single" w:sz="4" w:space="0" w:color="046B5C"/>
              <w:bottom w:val="single" w:sz="4" w:space="0" w:color="046B5C"/>
            </w:tcBorders>
            <w:shd w:val="clear" w:color="auto" w:fill="auto"/>
            <w:vAlign w:val="top"/>
          </w:tcPr>
          <w:p w:rsidR="00E954C9" w:rsidRPr="00E954C9" w:rsidP="00E954C9" w14:paraId="5BD8A492"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Electronic submittal</w:t>
            </w:r>
          </w:p>
        </w:tc>
        <w:tc>
          <w:tcPr>
            <w:tcW w:w="525" w:type="pct"/>
            <w:tcBorders>
              <w:top w:val="single" w:sz="4" w:space="0" w:color="046B5C"/>
              <w:bottom w:val="single" w:sz="4" w:space="0" w:color="046B5C"/>
            </w:tcBorders>
            <w:shd w:val="clear" w:color="auto" w:fill="auto"/>
            <w:vAlign w:val="top"/>
          </w:tcPr>
          <w:p w:rsidR="00E954C9" w:rsidRPr="00E954C9" w:rsidP="00E954C9" w14:paraId="212E5D7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n.a.</w:t>
            </w:r>
          </w:p>
        </w:tc>
        <w:tc>
          <w:tcPr>
            <w:tcW w:w="419" w:type="pct"/>
            <w:tcBorders>
              <w:top w:val="single" w:sz="4" w:space="0" w:color="046B5C"/>
              <w:bottom w:val="single" w:sz="4" w:space="0" w:color="046B5C"/>
            </w:tcBorders>
            <w:shd w:val="clear" w:color="auto" w:fill="auto"/>
            <w:vAlign w:val="top"/>
          </w:tcPr>
          <w:p w:rsidR="00E954C9" w:rsidRPr="00E954C9" w:rsidP="00E954C9" w14:paraId="0AC57D33"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n.a.</w:t>
            </w:r>
          </w:p>
        </w:tc>
        <w:tc>
          <w:tcPr>
            <w:tcW w:w="420" w:type="pct"/>
            <w:gridSpan w:val="2"/>
            <w:tcBorders>
              <w:top w:val="single" w:sz="4" w:space="0" w:color="046B5C"/>
              <w:bottom w:val="single" w:sz="4" w:space="0" w:color="046B5C"/>
            </w:tcBorders>
            <w:shd w:val="clear" w:color="auto" w:fill="auto"/>
            <w:vAlign w:val="top"/>
          </w:tcPr>
          <w:p w:rsidR="00E954C9" w:rsidRPr="00E954C9" w:rsidP="00E954C9" w14:paraId="5560B982"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n.a.</w:t>
            </w:r>
          </w:p>
        </w:tc>
        <w:tc>
          <w:tcPr>
            <w:tcW w:w="1503" w:type="pct"/>
            <w:tcBorders>
              <w:top w:val="single" w:sz="4" w:space="0" w:color="046B5C"/>
              <w:bottom w:val="single" w:sz="4" w:space="0" w:color="046B5C"/>
              <w:right w:val="single" w:sz="4" w:space="0" w:color="auto"/>
            </w:tcBorders>
            <w:shd w:val="clear" w:color="auto" w:fill="auto"/>
            <w:vAlign w:val="top"/>
          </w:tcPr>
          <w:p w:rsidR="00E954C9" w:rsidRPr="00E954C9" w:rsidP="00E954C9" w14:paraId="7AB9A1F7" w14:textId="77777777">
            <w:pPr>
              <w:spacing w:before="40" w:after="20" w:line="240" w:lineRule="atLeast"/>
              <w:rPr>
                <w:rFonts w:ascii="Segoe UI" w:eastAsia="Segoe UI" w:hAnsi="Segoe UI"/>
                <w:color w:val="000000"/>
                <w:sz w:val="18"/>
                <w:vertAlign w:val="superscript"/>
              </w:rPr>
            </w:pPr>
            <w:r w:rsidRPr="00E954C9">
              <w:rPr>
                <w:rFonts w:ascii="Segoe UI" w:eastAsia="Segoe UI" w:hAnsi="Segoe UI"/>
                <w:color w:val="000000"/>
                <w:sz w:val="18"/>
              </w:rPr>
              <w:t xml:space="preserve">USDA DoD Fresh Foods, processed </w:t>
            </w:r>
            <w:r w:rsidRPr="00E954C9">
              <w:rPr>
                <w:rFonts w:ascii="Segoe UI" w:eastAsia="Segoe UI" w:hAnsi="Segoe UI"/>
                <w:color w:val="000000"/>
                <w:sz w:val="18"/>
              </w:rPr>
              <w:t>foods</w:t>
            </w:r>
            <w:r w:rsidRPr="00E954C9">
              <w:rPr>
                <w:rFonts w:ascii="Segoe UI" w:eastAsia="Segoe UI" w:hAnsi="Segoe UI"/>
                <w:color w:val="000000"/>
                <w:sz w:val="18"/>
                <w:vertAlign w:val="superscript"/>
              </w:rPr>
              <w:t>c</w:t>
            </w:r>
          </w:p>
        </w:tc>
      </w:tr>
      <w:tr w14:paraId="031F4F8F" w14:textId="77777777" w:rsidTr="00E954C9">
        <w:tblPrEx>
          <w:tblW w:w="4965" w:type="pct"/>
          <w:tblLayout w:type="fixed"/>
          <w:tblLook w:val="04A0"/>
        </w:tblPrEx>
        <w:trPr>
          <w:trHeight w:val="710"/>
        </w:trPr>
        <w:tc>
          <w:tcPr>
            <w:tcW w:w="805" w:type="pct"/>
            <w:tcBorders>
              <w:top w:val="single" w:sz="4" w:space="0" w:color="046B5C"/>
              <w:left w:val="single" w:sz="4" w:space="0" w:color="auto"/>
              <w:bottom w:val="single" w:sz="4" w:space="0" w:color="auto"/>
            </w:tcBorders>
            <w:shd w:val="clear" w:color="auto" w:fill="auto"/>
            <w:vAlign w:val="top"/>
          </w:tcPr>
          <w:p w:rsidR="00E954C9" w:rsidRPr="00E954C9" w:rsidP="00E954C9" w14:paraId="6DDD746A" w14:textId="77777777">
            <w:pPr>
              <w:spacing w:before="40" w:after="20" w:line="240" w:lineRule="atLeast"/>
              <w:rPr>
                <w:rFonts w:eastAsia="Segoe UI"/>
                <w:color w:val="000000"/>
                <w:sz w:val="18"/>
              </w:rPr>
            </w:pPr>
            <w:r w:rsidRPr="00E954C9">
              <w:rPr>
                <w:rFonts w:eastAsia="Segoe UI"/>
                <w:color w:val="000000"/>
                <w:sz w:val="18"/>
              </w:rPr>
              <w:t>SDA Quarterly USDA Foods data</w:t>
            </w:r>
          </w:p>
        </w:tc>
        <w:tc>
          <w:tcPr>
            <w:tcW w:w="909" w:type="pct"/>
            <w:tcBorders>
              <w:top w:val="single" w:sz="4" w:space="0" w:color="046B5C"/>
              <w:bottom w:val="single" w:sz="4" w:space="0" w:color="auto"/>
            </w:tcBorders>
            <w:shd w:val="clear" w:color="auto" w:fill="auto"/>
            <w:vAlign w:val="top"/>
          </w:tcPr>
          <w:p w:rsidR="00E954C9" w:rsidRPr="00E954C9" w:rsidP="00E954C9" w14:paraId="63C8067C"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49 SDA directors in States with Group 1a and 1b SFAs</w:t>
            </w:r>
          </w:p>
        </w:tc>
        <w:tc>
          <w:tcPr>
            <w:tcW w:w="419" w:type="pct"/>
            <w:tcBorders>
              <w:top w:val="single" w:sz="4" w:space="0" w:color="046B5C"/>
              <w:bottom w:val="single" w:sz="4" w:space="0" w:color="auto"/>
            </w:tcBorders>
            <w:shd w:val="clear" w:color="auto" w:fill="auto"/>
            <w:vAlign w:val="top"/>
          </w:tcPr>
          <w:p w:rsidR="00E954C9" w:rsidRPr="00E954C9" w:rsidP="00E954C9" w14:paraId="0BADA62E"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Electronic upload</w:t>
            </w:r>
          </w:p>
        </w:tc>
        <w:tc>
          <w:tcPr>
            <w:tcW w:w="525" w:type="pct"/>
            <w:tcBorders>
              <w:top w:val="single" w:sz="4" w:space="0" w:color="046B5C"/>
              <w:bottom w:val="single" w:sz="4" w:space="0" w:color="auto"/>
            </w:tcBorders>
            <w:shd w:val="clear" w:color="auto" w:fill="auto"/>
            <w:vAlign w:val="top"/>
          </w:tcPr>
          <w:p w:rsidR="00E954C9" w:rsidRPr="00E954C9" w:rsidP="00E954C9" w14:paraId="1FCCF21A"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 xml:space="preserve">2 hours </w:t>
            </w:r>
            <w:r w:rsidRPr="00E954C9">
              <w:rPr>
                <w:rFonts w:ascii="Segoe UI" w:eastAsia="Segoe UI" w:hAnsi="Segoe UI"/>
                <w:color w:val="000000"/>
                <w:sz w:val="18"/>
              </w:rPr>
              <w:br/>
              <w:t>(30 minutes per quarter)</w:t>
            </w:r>
          </w:p>
        </w:tc>
        <w:tc>
          <w:tcPr>
            <w:tcW w:w="419" w:type="pct"/>
            <w:tcBorders>
              <w:top w:val="single" w:sz="4" w:space="0" w:color="046B5C"/>
              <w:bottom w:val="single" w:sz="4" w:space="0" w:color="auto"/>
            </w:tcBorders>
            <w:shd w:val="clear" w:color="auto" w:fill="auto"/>
            <w:vAlign w:val="top"/>
          </w:tcPr>
          <w:p w:rsidR="00E954C9" w:rsidRPr="00E954C9" w:rsidP="00E954C9" w14:paraId="14709C8D"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100</w:t>
            </w:r>
          </w:p>
        </w:tc>
        <w:tc>
          <w:tcPr>
            <w:tcW w:w="420" w:type="pct"/>
            <w:gridSpan w:val="2"/>
            <w:tcBorders>
              <w:top w:val="single" w:sz="4" w:space="0" w:color="046B5C"/>
              <w:bottom w:val="single" w:sz="4" w:space="0" w:color="auto"/>
            </w:tcBorders>
            <w:shd w:val="clear" w:color="auto" w:fill="auto"/>
            <w:vAlign w:val="top"/>
          </w:tcPr>
          <w:p w:rsidR="00E954C9" w:rsidRPr="00E954C9" w:rsidP="00E954C9" w14:paraId="3F327D2D" w14:textId="77777777">
            <w:pPr>
              <w:spacing w:before="40" w:after="20" w:line="240" w:lineRule="atLeast"/>
              <w:jc w:val="center"/>
              <w:rPr>
                <w:rFonts w:ascii="Segoe UI" w:eastAsia="Segoe UI" w:hAnsi="Segoe UI"/>
                <w:color w:val="000000"/>
                <w:sz w:val="18"/>
              </w:rPr>
            </w:pPr>
            <w:r w:rsidRPr="00E954C9">
              <w:rPr>
                <w:rFonts w:ascii="Segoe UI" w:eastAsia="Segoe UI" w:hAnsi="Segoe UI"/>
                <w:color w:val="000000"/>
                <w:sz w:val="18"/>
              </w:rPr>
              <w:t>49</w:t>
            </w:r>
          </w:p>
        </w:tc>
        <w:tc>
          <w:tcPr>
            <w:tcW w:w="1503" w:type="pct"/>
            <w:tcBorders>
              <w:top w:val="single" w:sz="4" w:space="0" w:color="046B5C"/>
              <w:bottom w:val="single" w:sz="4" w:space="0" w:color="auto"/>
              <w:right w:val="single" w:sz="4" w:space="0" w:color="auto"/>
            </w:tcBorders>
            <w:shd w:val="clear" w:color="auto" w:fill="auto"/>
            <w:vAlign w:val="top"/>
          </w:tcPr>
          <w:p w:rsidR="00E954C9" w:rsidRPr="00E954C9" w:rsidP="00E954C9" w14:paraId="0EF90AC8" w14:textId="77777777">
            <w:pPr>
              <w:spacing w:before="40" w:after="20" w:line="240" w:lineRule="atLeast"/>
              <w:rPr>
                <w:rFonts w:ascii="Segoe UI" w:eastAsia="Segoe UI" w:hAnsi="Segoe UI"/>
                <w:color w:val="000000"/>
                <w:sz w:val="18"/>
              </w:rPr>
            </w:pPr>
            <w:r w:rsidRPr="00E954C9">
              <w:rPr>
                <w:rFonts w:ascii="Segoe UI" w:eastAsia="Segoe UI" w:hAnsi="Segoe UI"/>
                <w:color w:val="000000"/>
                <w:sz w:val="18"/>
              </w:rPr>
              <w:t>USDA Foods delivered for assigned quarter for sampled SFAs.</w:t>
            </w:r>
          </w:p>
        </w:tc>
      </w:tr>
    </w:tbl>
    <w:p w:rsidR="008C0F4D" w:rsidRPr="008C0F4D" w:rsidP="008C0F4D" w14:paraId="55E977E1" w14:textId="0A2CE6D9">
      <w:pPr>
        <w:spacing w:before="40" w:after="40" w:line="200" w:lineRule="atLeast"/>
        <w:rPr>
          <w:rFonts w:ascii="Segoe UI" w:eastAsia="Segoe UI" w:hAnsi="Segoe UI" w:cs="Times New Roman"/>
          <w:color w:val="000000"/>
          <w:sz w:val="16"/>
        </w:rPr>
      </w:pPr>
      <w:r w:rsidRPr="008C0F4D">
        <w:rPr>
          <w:rFonts w:ascii="Segoe UI" w:eastAsia="Segoe UI" w:hAnsi="Segoe UI" w:cs="Times New Roman"/>
          <w:color w:val="000000"/>
          <w:position w:val="6"/>
          <w:sz w:val="12"/>
        </w:rPr>
        <w:t xml:space="preserve">a </w:t>
      </w:r>
      <w:r w:rsidRPr="008C0F4D">
        <w:rPr>
          <w:rFonts w:ascii="Segoe UI" w:eastAsia="Segoe UI" w:hAnsi="Segoe UI" w:cs="Times New Roman"/>
          <w:color w:val="000000"/>
          <w:sz w:val="16"/>
        </w:rPr>
        <w:t xml:space="preserve">Target response rates are among </w:t>
      </w:r>
      <w:r w:rsidR="00423579">
        <w:rPr>
          <w:rFonts w:ascii="Segoe UI" w:eastAsia="Segoe UI" w:hAnsi="Segoe UI" w:cs="Times New Roman"/>
          <w:color w:val="000000"/>
          <w:sz w:val="16"/>
        </w:rPr>
        <w:t>estimated released</w:t>
      </w:r>
      <w:r w:rsidRPr="008C0F4D">
        <w:rPr>
          <w:rFonts w:ascii="Segoe UI" w:eastAsia="Segoe UI" w:hAnsi="Segoe UI" w:cs="Times New Roman"/>
          <w:color w:val="000000"/>
          <w:sz w:val="16"/>
        </w:rPr>
        <w:t xml:space="preserve"> SFAs</w:t>
      </w:r>
      <w:r w:rsidR="00423579">
        <w:rPr>
          <w:rFonts w:ascii="Segoe UI" w:eastAsia="Segoe UI" w:hAnsi="Segoe UI" w:cs="Times New Roman"/>
          <w:color w:val="000000"/>
          <w:sz w:val="16"/>
        </w:rPr>
        <w:t>,</w:t>
      </w:r>
      <w:r w:rsidRPr="008C0F4D">
        <w:rPr>
          <w:rFonts w:ascii="Segoe UI" w:eastAsia="Segoe UI" w:hAnsi="Segoe UI" w:cs="Times New Roman"/>
          <w:color w:val="000000"/>
          <w:sz w:val="16"/>
        </w:rPr>
        <w:t xml:space="preserve"> schools</w:t>
      </w:r>
      <w:r w:rsidR="00423579">
        <w:rPr>
          <w:rFonts w:ascii="Segoe UI" w:eastAsia="Segoe UI" w:hAnsi="Segoe UI" w:cs="Times New Roman"/>
          <w:color w:val="000000"/>
          <w:sz w:val="16"/>
        </w:rPr>
        <w:t>,</w:t>
      </w:r>
      <w:r w:rsidRPr="008C0F4D">
        <w:rPr>
          <w:rFonts w:ascii="Segoe UI" w:eastAsia="Segoe UI" w:hAnsi="Segoe UI" w:cs="Times New Roman"/>
          <w:color w:val="000000"/>
          <w:sz w:val="16"/>
        </w:rPr>
        <w:t xml:space="preserve"> students</w:t>
      </w:r>
      <w:r w:rsidR="00423579">
        <w:rPr>
          <w:rFonts w:ascii="Segoe UI" w:eastAsia="Segoe UI" w:hAnsi="Segoe UI" w:cs="Times New Roman"/>
          <w:color w:val="000000"/>
          <w:sz w:val="16"/>
        </w:rPr>
        <w:t>,</w:t>
      </w:r>
      <w:r w:rsidRPr="008C0F4D">
        <w:rPr>
          <w:rFonts w:ascii="Segoe UI" w:eastAsia="Segoe UI" w:hAnsi="Segoe UI" w:cs="Times New Roman"/>
          <w:color w:val="000000"/>
          <w:sz w:val="16"/>
        </w:rPr>
        <w:t xml:space="preserve"> and parents. </w:t>
      </w:r>
    </w:p>
    <w:p w:rsidR="008C0F4D" w:rsidRPr="008C0F4D" w:rsidP="008C0F4D" w14:paraId="78A8E574" w14:textId="77777777">
      <w:pPr>
        <w:spacing w:before="40" w:after="40" w:line="200" w:lineRule="atLeast"/>
        <w:rPr>
          <w:rFonts w:ascii="Segoe UI" w:eastAsia="Segoe UI" w:hAnsi="Segoe UI" w:cs="Times New Roman"/>
          <w:color w:val="000000"/>
          <w:sz w:val="16"/>
        </w:rPr>
      </w:pPr>
      <w:r w:rsidRPr="008C0F4D">
        <w:rPr>
          <w:rFonts w:ascii="Segoe UI" w:eastAsia="Segoe UI" w:hAnsi="Segoe UI" w:cs="Times New Roman"/>
          <w:color w:val="000000"/>
          <w:sz w:val="16"/>
          <w:vertAlign w:val="superscript"/>
        </w:rPr>
        <w:t xml:space="preserve">b </w:t>
      </w:r>
      <w:r w:rsidRPr="008C0F4D">
        <w:rPr>
          <w:rFonts w:ascii="Segoe UI" w:eastAsia="Segoe UI" w:hAnsi="Segoe UI" w:cs="Times New Roman"/>
          <w:color w:val="000000"/>
          <w:sz w:val="16"/>
        </w:rPr>
        <w:t>Target response rate will likely be higher for the SFA Director Survey than the Quarterly Food Purchase Data and Quarterly Program Data Form. Additional attrition for the SFA Year-End Follow-Up Survey is also likely.</w:t>
      </w:r>
    </w:p>
    <w:p w:rsidR="008C0F4D" w:rsidRPr="008C0F4D" w:rsidP="008C0F4D" w14:paraId="02777BF8" w14:textId="77777777">
      <w:pPr>
        <w:spacing w:before="40" w:after="40" w:line="200" w:lineRule="atLeast"/>
        <w:rPr>
          <w:rFonts w:ascii="Segoe UI" w:eastAsia="Segoe UI" w:hAnsi="Segoe UI" w:cs="Times New Roman"/>
          <w:color w:val="000000"/>
          <w:sz w:val="16"/>
        </w:rPr>
      </w:pPr>
      <w:r w:rsidRPr="008C0F4D">
        <w:rPr>
          <w:rFonts w:ascii="Segoe UI" w:eastAsia="Segoe UI" w:hAnsi="Segoe UI" w:cs="Times New Roman"/>
          <w:color w:val="000000"/>
          <w:sz w:val="16"/>
          <w:vertAlign w:val="superscript"/>
        </w:rPr>
        <w:t xml:space="preserve">c </w:t>
      </w:r>
      <w:r w:rsidRPr="008C0F4D">
        <w:rPr>
          <w:rFonts w:ascii="Segoe UI" w:eastAsia="Segoe UI" w:hAnsi="Segoe UI" w:cs="Times New Roman"/>
          <w:color w:val="000000"/>
          <w:sz w:val="16"/>
        </w:rPr>
        <w:t>While USDA will provide data on volume of USDA Foods raw ingredients used in processed end products, data on prices and amount of product purchased will be provided by SFAs.</w:t>
      </w:r>
    </w:p>
    <w:p w:rsidR="008C0F4D" w:rsidRPr="008C0F4D" w:rsidP="008C0F4D" w14:paraId="3CDB9111" w14:textId="2FE94FFD">
      <w:pPr>
        <w:spacing w:before="40" w:after="40" w:line="200" w:lineRule="atLeast"/>
        <w:rPr>
          <w:rFonts w:ascii="Segoe UI" w:eastAsia="Segoe UI" w:hAnsi="Segoe UI" w:cs="Times New Roman"/>
          <w:color w:val="000000"/>
          <w:sz w:val="16"/>
        </w:rPr>
      </w:pPr>
      <w:r w:rsidRPr="008C0F4D">
        <w:rPr>
          <w:rFonts w:ascii="Segoe UI" w:eastAsia="Segoe UI" w:hAnsi="Segoe UI" w:cs="Times New Roman"/>
          <w:color w:val="000000"/>
          <w:sz w:val="16"/>
        </w:rPr>
        <w:t xml:space="preserve">DoD Fresh = USDA’s Department of Defense Fruit and Vegetable Program; </w:t>
      </w:r>
      <w:r w:rsidRPr="004C1503" w:rsidR="004C1503">
        <w:rPr>
          <w:rFonts w:ascii="Segoe UI" w:eastAsia="Segoe UI" w:hAnsi="Segoe UI" w:cs="Times New Roman"/>
          <w:sz w:val="16"/>
          <w:szCs w:val="16"/>
        </w:rPr>
        <w:t>n.a.</w:t>
      </w:r>
      <w:r w:rsidRPr="004C1503" w:rsidR="004C1503">
        <w:rPr>
          <w:rFonts w:ascii="Segoe UI" w:eastAsia="Segoe UI" w:hAnsi="Segoe UI" w:cs="Times New Roman"/>
          <w:sz w:val="16"/>
          <w:szCs w:val="16"/>
        </w:rPr>
        <w:t xml:space="preserve"> = not applicable; </w:t>
      </w:r>
      <w:r w:rsidRPr="008C0F4D">
        <w:rPr>
          <w:rFonts w:ascii="Segoe UI" w:eastAsia="Segoe UI" w:hAnsi="Segoe UI" w:cs="Times New Roman"/>
          <w:color w:val="000000"/>
          <w:sz w:val="16"/>
        </w:rPr>
        <w:t>SDA = State Distributing Agency; SFA = school food authority; SFPS = School Food Purchase Study; USDA = U.S. Department of Agriculture.</w:t>
      </w:r>
    </w:p>
    <w:p w:rsidR="008C0F4D" w:rsidRPr="008C0F4D" w:rsidP="00E954C9" w14:paraId="54DA5847" w14:textId="7A70974A">
      <w:pPr>
        <w:rPr>
          <w:rFonts w:ascii="Segoe UI" w:eastAsia="Segoe UI" w:hAnsi="Segoe UI" w:cs="Times New Roman"/>
          <w:color w:val="0B2949"/>
          <w:sz w:val="24"/>
          <w:szCs w:val="24"/>
        </w:rPr>
      </w:pPr>
      <w:r>
        <w:br w:type="page"/>
      </w:r>
      <w:bookmarkStart w:id="4" w:name="_Toc153803171"/>
      <w:r w:rsidRPr="008C0F4D">
        <w:rPr>
          <w:rFonts w:ascii="Segoe UI" w:eastAsia="Segoe UI" w:hAnsi="Segoe UI" w:cs="Times New Roman"/>
          <w:color w:val="0B2949"/>
          <w:sz w:val="24"/>
          <w:szCs w:val="24"/>
        </w:rPr>
        <w:t xml:space="preserve">Exhibit </w:t>
      </w:r>
      <w:r w:rsidRPr="002F6C72">
        <w:rPr>
          <w:rFonts w:ascii="Segoe UI" w:eastAsia="Segoe UI" w:hAnsi="Segoe UI" w:cs="Times New Roman"/>
          <w:color w:val="0B2949"/>
          <w:sz w:val="24"/>
          <w:szCs w:val="24"/>
        </w:rPr>
        <w:t>B.3</w:t>
      </w:r>
      <w:r w:rsidRPr="008C0F4D">
        <w:rPr>
          <w:rFonts w:ascii="Segoe UI" w:eastAsia="Segoe UI" w:hAnsi="Segoe UI" w:cs="Times New Roman"/>
          <w:color w:val="0B2949"/>
          <w:sz w:val="24"/>
          <w:szCs w:val="24"/>
        </w:rPr>
        <w:t>. Summary of the data collection plan for the FFVP-II component</w:t>
      </w:r>
      <w:bookmarkEnd w:id="4"/>
    </w:p>
    <w:tbl>
      <w:tblPr>
        <w:tblStyle w:val="D3Table-Blue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57"/>
        <w:gridCol w:w="1446"/>
        <w:gridCol w:w="17"/>
        <w:gridCol w:w="1234"/>
        <w:gridCol w:w="1340"/>
        <w:gridCol w:w="1133"/>
        <w:gridCol w:w="1040"/>
        <w:gridCol w:w="3023"/>
      </w:tblGrid>
      <w:tr w14:paraId="093C406F" w14:textId="77777777" w:rsidTr="00E954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blHeader/>
        </w:trPr>
        <w:tc>
          <w:tcPr>
            <w:tcW w:w="721" w:type="pct"/>
            <w:tcBorders>
              <w:top w:val="single" w:sz="4" w:space="0" w:color="auto"/>
              <w:left w:val="single" w:sz="4" w:space="0" w:color="auto"/>
            </w:tcBorders>
            <w:shd w:val="clear" w:color="auto" w:fill="046B5C"/>
            <w:vAlign w:val="bottom"/>
          </w:tcPr>
          <w:p w:rsidR="00E954C9" w:rsidRPr="00E954C9" w:rsidP="00E954C9" w14:paraId="32F91167" w14:textId="77777777">
            <w:pPr>
              <w:keepNext/>
              <w:spacing w:before="40" w:after="20" w:line="240" w:lineRule="atLeast"/>
              <w:ind w:left="-58"/>
              <w:rPr>
                <w:rFonts w:eastAsia="Segoe UI"/>
                <w:b/>
                <w:bCs/>
                <w:color w:val="FFFFFF"/>
                <w:sz w:val="18"/>
              </w:rPr>
            </w:pPr>
            <w:r w:rsidRPr="00E954C9">
              <w:rPr>
                <w:rFonts w:eastAsia="Segoe UI"/>
                <w:b/>
                <w:bCs/>
                <w:color w:val="FFFFFF"/>
                <w:sz w:val="18"/>
              </w:rPr>
              <w:t>Instrument</w:t>
            </w:r>
          </w:p>
        </w:tc>
        <w:tc>
          <w:tcPr>
            <w:tcW w:w="678" w:type="pct"/>
            <w:gridSpan w:val="2"/>
            <w:tcBorders>
              <w:top w:val="single" w:sz="4" w:space="0" w:color="auto"/>
            </w:tcBorders>
            <w:shd w:val="clear" w:color="auto" w:fill="046B5C"/>
            <w:vAlign w:val="bottom"/>
          </w:tcPr>
          <w:p w:rsidR="00E954C9" w:rsidRPr="00E954C9" w:rsidP="00E954C9" w14:paraId="181D7BF4" w14:textId="77777777">
            <w:pPr>
              <w:keepNext/>
              <w:spacing w:before="40" w:after="20" w:line="240" w:lineRule="atLeast"/>
              <w:ind w:left="-58"/>
              <w:rPr>
                <w:rFonts w:ascii="Segoe UI" w:eastAsia="Segoe UI" w:hAnsi="Segoe UI"/>
                <w:b/>
                <w:bCs/>
                <w:color w:val="FFFFFF"/>
                <w:sz w:val="18"/>
              </w:rPr>
            </w:pPr>
            <w:r w:rsidRPr="00E954C9">
              <w:rPr>
                <w:rFonts w:ascii="Segoe UI" w:eastAsia="Segoe UI" w:hAnsi="Segoe UI"/>
                <w:b/>
                <w:bCs/>
                <w:color w:val="FFFFFF"/>
                <w:sz w:val="18"/>
              </w:rPr>
              <w:t>Target completed sample size/ respondent</w:t>
            </w:r>
          </w:p>
        </w:tc>
        <w:tc>
          <w:tcPr>
            <w:tcW w:w="572" w:type="pct"/>
            <w:tcBorders>
              <w:top w:val="single" w:sz="4" w:space="0" w:color="auto"/>
            </w:tcBorders>
            <w:shd w:val="clear" w:color="auto" w:fill="046B5C"/>
            <w:vAlign w:val="bottom"/>
          </w:tcPr>
          <w:p w:rsidR="00E954C9" w:rsidRPr="00E954C9" w:rsidP="00E954C9" w14:paraId="3E2909D2" w14:textId="77777777">
            <w:pPr>
              <w:keepNext/>
              <w:spacing w:before="40" w:after="20" w:line="240" w:lineRule="atLeast"/>
              <w:ind w:left="-58"/>
              <w:rPr>
                <w:rFonts w:ascii="Segoe UI" w:eastAsia="Segoe UI" w:hAnsi="Segoe UI"/>
                <w:b/>
                <w:bCs/>
                <w:color w:val="FFFFFF"/>
                <w:sz w:val="18"/>
                <w:vertAlign w:val="superscript"/>
              </w:rPr>
            </w:pPr>
            <w:r w:rsidRPr="00E954C9">
              <w:rPr>
                <w:rFonts w:ascii="Segoe UI" w:eastAsia="Segoe UI" w:hAnsi="Segoe UI"/>
                <w:b/>
                <w:bCs/>
                <w:color w:val="FFFFFF"/>
                <w:sz w:val="18"/>
              </w:rPr>
              <w:t>Mode</w:t>
            </w:r>
          </w:p>
        </w:tc>
        <w:tc>
          <w:tcPr>
            <w:tcW w:w="621" w:type="pct"/>
            <w:tcBorders>
              <w:top w:val="single" w:sz="4" w:space="0" w:color="auto"/>
            </w:tcBorders>
            <w:shd w:val="clear" w:color="auto" w:fill="046B5C"/>
            <w:vAlign w:val="bottom"/>
          </w:tcPr>
          <w:p w:rsidR="00E954C9" w:rsidRPr="00E954C9" w:rsidP="00E954C9" w14:paraId="476A9062" w14:textId="77777777">
            <w:pPr>
              <w:keepNext/>
              <w:spacing w:before="40" w:after="20" w:line="240" w:lineRule="atLeast"/>
              <w:ind w:left="-58"/>
              <w:rPr>
                <w:rFonts w:ascii="Segoe UI" w:eastAsia="Segoe UI" w:hAnsi="Segoe UI"/>
                <w:b/>
                <w:bCs/>
                <w:color w:val="FFFFFF"/>
                <w:sz w:val="18"/>
              </w:rPr>
            </w:pPr>
            <w:r w:rsidRPr="00E954C9">
              <w:rPr>
                <w:rFonts w:ascii="Segoe UI" w:eastAsia="Segoe UI" w:hAnsi="Segoe UI"/>
                <w:b/>
                <w:bCs/>
                <w:color w:val="FFFFFF"/>
                <w:sz w:val="18"/>
              </w:rPr>
              <w:t>Estimated respondent burden</w:t>
            </w:r>
          </w:p>
        </w:tc>
        <w:tc>
          <w:tcPr>
            <w:tcW w:w="525" w:type="pct"/>
            <w:tcBorders>
              <w:top w:val="single" w:sz="4" w:space="0" w:color="auto"/>
            </w:tcBorders>
            <w:shd w:val="clear" w:color="auto" w:fill="046B5C"/>
            <w:vAlign w:val="bottom"/>
          </w:tcPr>
          <w:p w:rsidR="00E954C9" w:rsidRPr="00E954C9" w:rsidP="00E954C9" w14:paraId="5E31EA4C" w14:textId="77777777">
            <w:pPr>
              <w:keepNext/>
              <w:spacing w:before="40" w:after="20" w:line="240" w:lineRule="atLeast"/>
              <w:ind w:left="-58"/>
              <w:rPr>
                <w:rFonts w:ascii="Segoe UI" w:eastAsia="Segoe UI" w:hAnsi="Segoe UI"/>
                <w:b/>
                <w:bCs/>
                <w:color w:val="FFFFFF"/>
                <w:sz w:val="18"/>
              </w:rPr>
            </w:pPr>
            <w:r w:rsidRPr="00E954C9">
              <w:rPr>
                <w:rFonts w:ascii="Segoe UI" w:eastAsia="Segoe UI" w:hAnsi="Segoe UI"/>
                <w:b/>
                <w:bCs/>
                <w:color w:val="FFFFFF"/>
                <w:sz w:val="18"/>
              </w:rPr>
              <w:t>Target response rate (</w:t>
            </w:r>
            <w:r w:rsidRPr="00E954C9">
              <w:rPr>
                <w:rFonts w:ascii="Segoe UI" w:eastAsia="Segoe UI" w:hAnsi="Segoe UI"/>
                <w:b/>
                <w:bCs/>
                <w:color w:val="FFFFFF"/>
                <w:sz w:val="18"/>
              </w:rPr>
              <w:t>%)</w:t>
            </w:r>
            <w:r w:rsidRPr="00E954C9">
              <w:rPr>
                <w:rFonts w:ascii="Segoe UI" w:eastAsia="Segoe UI" w:hAnsi="Segoe UI"/>
                <w:b/>
                <w:bCs/>
                <w:color w:val="FFFFFF"/>
                <w:sz w:val="18"/>
                <w:vertAlign w:val="superscript"/>
              </w:rPr>
              <w:t>a</w:t>
            </w:r>
          </w:p>
        </w:tc>
        <w:tc>
          <w:tcPr>
            <w:tcW w:w="482" w:type="pct"/>
            <w:tcBorders>
              <w:top w:val="single" w:sz="4" w:space="0" w:color="auto"/>
            </w:tcBorders>
            <w:shd w:val="clear" w:color="auto" w:fill="046B5C"/>
            <w:vAlign w:val="bottom"/>
          </w:tcPr>
          <w:p w:rsidR="00E954C9" w:rsidRPr="00E954C9" w:rsidP="00E954C9" w14:paraId="3BF658A0" w14:textId="77777777">
            <w:pPr>
              <w:keepNext/>
              <w:spacing w:before="40" w:after="20" w:line="240" w:lineRule="atLeast"/>
              <w:ind w:left="-58"/>
              <w:rPr>
                <w:rFonts w:ascii="Segoe UI" w:eastAsia="Segoe UI" w:hAnsi="Segoe UI"/>
                <w:b/>
                <w:bCs/>
                <w:color w:val="FFFFFF"/>
                <w:sz w:val="18"/>
              </w:rPr>
            </w:pPr>
            <w:r w:rsidRPr="00E954C9">
              <w:rPr>
                <w:rFonts w:ascii="Segoe UI" w:eastAsia="Segoe UI" w:hAnsi="Segoe UI"/>
                <w:b/>
                <w:bCs/>
                <w:color w:val="FFFFFF"/>
                <w:sz w:val="18"/>
              </w:rPr>
              <w:t>Starting sample</w:t>
            </w:r>
          </w:p>
        </w:tc>
        <w:tc>
          <w:tcPr>
            <w:tcW w:w="1401" w:type="pct"/>
            <w:tcBorders>
              <w:top w:val="single" w:sz="4" w:space="0" w:color="auto"/>
              <w:right w:val="single" w:sz="4" w:space="0" w:color="auto"/>
            </w:tcBorders>
            <w:shd w:val="clear" w:color="auto" w:fill="046B5C"/>
            <w:vAlign w:val="bottom"/>
          </w:tcPr>
          <w:p w:rsidR="00E954C9" w:rsidRPr="00E954C9" w:rsidP="00E954C9" w14:paraId="74B2C4FE" w14:textId="77777777">
            <w:pPr>
              <w:keepNext/>
              <w:spacing w:before="40" w:after="20" w:line="240" w:lineRule="atLeast"/>
              <w:ind w:left="-58"/>
              <w:rPr>
                <w:rFonts w:ascii="Segoe UI" w:eastAsia="Segoe UI" w:hAnsi="Segoe UI"/>
                <w:b/>
                <w:bCs/>
                <w:color w:val="FFFFFF"/>
                <w:sz w:val="18"/>
              </w:rPr>
            </w:pPr>
            <w:r w:rsidRPr="00E954C9">
              <w:rPr>
                <w:rFonts w:ascii="Segoe UI" w:eastAsia="Segoe UI" w:hAnsi="Segoe UI"/>
                <w:b/>
                <w:bCs/>
                <w:color w:val="FFFFFF"/>
                <w:sz w:val="18"/>
              </w:rPr>
              <w:t>Comments</w:t>
            </w:r>
          </w:p>
        </w:tc>
      </w:tr>
      <w:tr w14:paraId="4AE2EC70" w14:textId="77777777" w:rsidTr="00E954C9">
        <w:tblPrEx>
          <w:tblW w:w="5000" w:type="pct"/>
          <w:tblLayout w:type="fixed"/>
          <w:tblLook w:val="04A0"/>
        </w:tblPrEx>
        <w:trPr>
          <w:trHeight w:val="20"/>
        </w:trPr>
        <w:tc>
          <w:tcPr>
            <w:tcW w:w="5000" w:type="pct"/>
            <w:gridSpan w:val="8"/>
            <w:tcBorders>
              <w:left w:val="single" w:sz="4" w:space="0" w:color="auto"/>
              <w:bottom w:val="single" w:sz="4" w:space="0" w:color="046B5C"/>
              <w:right w:val="single" w:sz="4" w:space="0" w:color="auto"/>
            </w:tcBorders>
            <w:shd w:val="clear" w:color="auto" w:fill="0B2949"/>
            <w:vAlign w:val="top"/>
          </w:tcPr>
          <w:p w:rsidR="00E954C9" w:rsidRPr="00E954C9" w:rsidP="00E954C9" w14:paraId="6780950C" w14:textId="77777777">
            <w:pPr>
              <w:keepNext/>
              <w:spacing w:before="40" w:after="40" w:line="240" w:lineRule="atLeast"/>
              <w:ind w:left="-58"/>
              <w:rPr>
                <w:rFonts w:eastAsia="Segoe UI"/>
                <w:b/>
                <w:sz w:val="18"/>
              </w:rPr>
            </w:pPr>
            <w:r w:rsidRPr="00E954C9">
              <w:rPr>
                <w:rFonts w:eastAsia="Segoe UI"/>
                <w:b/>
                <w:color w:val="FFFFFF" w:themeColor="background1"/>
                <w:sz w:val="18"/>
              </w:rPr>
              <w:t>Objective 6: FFVP– Group 2b</w:t>
            </w:r>
          </w:p>
        </w:tc>
      </w:tr>
      <w:tr w14:paraId="3340DBB0" w14:textId="77777777" w:rsidTr="00E954C9">
        <w:tblPrEx>
          <w:tblW w:w="5000" w:type="pct"/>
          <w:tblLayout w:type="fixed"/>
          <w:tblLook w:val="04A0"/>
        </w:tblPrEx>
        <w:trPr>
          <w:trHeight w:val="20"/>
        </w:trPr>
        <w:tc>
          <w:tcPr>
            <w:tcW w:w="721" w:type="pct"/>
            <w:tcBorders>
              <w:left w:val="single" w:sz="4" w:space="0" w:color="auto"/>
              <w:bottom w:val="single" w:sz="4" w:space="0" w:color="046B5C"/>
            </w:tcBorders>
            <w:shd w:val="clear" w:color="auto" w:fill="auto"/>
            <w:vAlign w:val="top"/>
          </w:tcPr>
          <w:p w:rsidR="00E954C9" w:rsidRPr="00E954C9" w:rsidP="00E954C9" w14:paraId="7E9560EC" w14:textId="77777777">
            <w:pPr>
              <w:spacing w:before="40" w:after="20" w:line="240" w:lineRule="atLeast"/>
              <w:ind w:left="-58"/>
              <w:rPr>
                <w:rFonts w:eastAsia="Segoe UI"/>
                <w:color w:val="000000"/>
                <w:sz w:val="18"/>
              </w:rPr>
            </w:pPr>
            <w:r w:rsidRPr="00E954C9">
              <w:rPr>
                <w:rFonts w:eastAsia="Segoe UI"/>
                <w:color w:val="000000"/>
                <w:sz w:val="18"/>
              </w:rPr>
              <w:t>FFVP SNM Survey</w:t>
            </w:r>
          </w:p>
        </w:tc>
        <w:tc>
          <w:tcPr>
            <w:tcW w:w="678" w:type="pct"/>
            <w:gridSpan w:val="2"/>
            <w:tcBorders>
              <w:bottom w:val="single" w:sz="4" w:space="0" w:color="046B5C"/>
            </w:tcBorders>
            <w:shd w:val="clear" w:color="auto" w:fill="auto"/>
            <w:vAlign w:val="top"/>
          </w:tcPr>
          <w:p w:rsidR="00E954C9" w:rsidRPr="00E954C9" w:rsidP="00E954C9" w14:paraId="43B42E94"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100 SNMs</w:t>
            </w:r>
          </w:p>
        </w:tc>
        <w:tc>
          <w:tcPr>
            <w:tcW w:w="572" w:type="pct"/>
            <w:tcBorders>
              <w:bottom w:val="single" w:sz="4" w:space="0" w:color="046B5C"/>
            </w:tcBorders>
            <w:shd w:val="clear" w:color="auto" w:fill="auto"/>
            <w:vAlign w:val="top"/>
          </w:tcPr>
          <w:p w:rsidR="00E954C9" w:rsidRPr="00E954C9" w:rsidP="00E954C9" w14:paraId="726BAC85"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Web</w:t>
            </w:r>
          </w:p>
        </w:tc>
        <w:tc>
          <w:tcPr>
            <w:tcW w:w="621" w:type="pct"/>
            <w:tcBorders>
              <w:bottom w:val="single" w:sz="4" w:space="0" w:color="046B5C"/>
            </w:tcBorders>
            <w:shd w:val="clear" w:color="auto" w:fill="auto"/>
            <w:vAlign w:val="top"/>
          </w:tcPr>
          <w:p w:rsidR="00E954C9" w:rsidRPr="00E954C9" w:rsidP="00E954C9" w14:paraId="27C65278"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30 minutes</w:t>
            </w:r>
          </w:p>
        </w:tc>
        <w:tc>
          <w:tcPr>
            <w:tcW w:w="525" w:type="pct"/>
            <w:tcBorders>
              <w:bottom w:val="single" w:sz="4" w:space="0" w:color="046B5C"/>
            </w:tcBorders>
            <w:shd w:val="clear" w:color="auto" w:fill="auto"/>
            <w:vAlign w:val="top"/>
          </w:tcPr>
          <w:p w:rsidR="00E954C9" w:rsidRPr="00E954C9" w:rsidP="00E954C9" w14:paraId="7E568BA6"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90</w:t>
            </w:r>
          </w:p>
        </w:tc>
        <w:tc>
          <w:tcPr>
            <w:tcW w:w="482" w:type="pct"/>
            <w:tcBorders>
              <w:bottom w:val="single" w:sz="4" w:space="0" w:color="046B5C"/>
            </w:tcBorders>
            <w:shd w:val="clear" w:color="auto" w:fill="auto"/>
            <w:vAlign w:val="top"/>
          </w:tcPr>
          <w:p w:rsidR="00E954C9" w:rsidRPr="00E954C9" w:rsidP="00E954C9" w14:paraId="59385923"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111</w:t>
            </w:r>
          </w:p>
        </w:tc>
        <w:tc>
          <w:tcPr>
            <w:tcW w:w="1401" w:type="pct"/>
            <w:tcBorders>
              <w:bottom w:val="single" w:sz="4" w:space="0" w:color="046B5C"/>
              <w:right w:val="single" w:sz="4" w:space="0" w:color="auto"/>
            </w:tcBorders>
            <w:shd w:val="clear" w:color="auto" w:fill="auto"/>
            <w:vAlign w:val="top"/>
          </w:tcPr>
          <w:p w:rsidR="00E954C9" w:rsidRPr="00E954C9" w:rsidP="00E954C9" w14:paraId="61C07B0A"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Stand-alone survey, separate from the web-based Menu Survey administered in Group 2a.</w:t>
            </w:r>
          </w:p>
          <w:p w:rsidR="00E954C9" w:rsidRPr="00E954C9" w:rsidP="00E954C9" w14:paraId="303D1AFB" w14:textId="77777777">
            <w:pPr>
              <w:spacing w:before="40" w:after="20" w:line="240" w:lineRule="atLeast"/>
              <w:ind w:left="-58"/>
              <w:rPr>
                <w:rFonts w:ascii="Segoe UI" w:eastAsia="Segoe UI" w:hAnsi="Segoe UI"/>
                <w:color w:val="000000"/>
                <w:sz w:val="18"/>
              </w:rPr>
            </w:pPr>
            <w:r w:rsidRPr="00E954C9">
              <w:rPr>
                <w:rFonts w:ascii="Segoe UI" w:eastAsia="Segoe UI" w:hAnsi="Segoe UI" w:cs="Segoe UI"/>
                <w:color w:val="000000"/>
                <w:sz w:val="18"/>
                <w:szCs w:val="18"/>
              </w:rPr>
              <w:t>The sample sizes for the individual G2b instruments are based on completing the data collection with 100 SFAs, 100 schools, and 800 students for the planned analyses.</w:t>
            </w:r>
          </w:p>
        </w:tc>
      </w:tr>
      <w:tr w14:paraId="3AF8992F" w14:textId="77777777" w:rsidTr="00E954C9">
        <w:tblPrEx>
          <w:tblW w:w="5000" w:type="pct"/>
          <w:tblLayout w:type="fixed"/>
          <w:tblLook w:val="04A0"/>
        </w:tblPrEx>
        <w:trPr>
          <w:trHeight w:val="20"/>
        </w:trPr>
        <w:tc>
          <w:tcPr>
            <w:tcW w:w="721" w:type="pct"/>
            <w:tcBorders>
              <w:top w:val="single" w:sz="4" w:space="0" w:color="046B5C"/>
              <w:left w:val="single" w:sz="4" w:space="0" w:color="auto"/>
              <w:bottom w:val="single" w:sz="4" w:space="0" w:color="auto"/>
            </w:tcBorders>
            <w:shd w:val="clear" w:color="auto" w:fill="auto"/>
            <w:vAlign w:val="top"/>
          </w:tcPr>
          <w:p w:rsidR="00E954C9" w:rsidRPr="00E954C9" w:rsidP="00E954C9" w14:paraId="5A38B3DF" w14:textId="77777777">
            <w:pPr>
              <w:spacing w:before="40" w:after="20" w:line="240" w:lineRule="atLeast"/>
              <w:ind w:left="-58"/>
              <w:rPr>
                <w:rFonts w:eastAsia="Segoe UI"/>
                <w:color w:val="000000"/>
                <w:sz w:val="18"/>
              </w:rPr>
            </w:pPr>
            <w:r w:rsidRPr="00E954C9">
              <w:rPr>
                <w:rFonts w:eastAsia="Segoe UI"/>
                <w:color w:val="000000"/>
                <w:sz w:val="18"/>
              </w:rPr>
              <w:t>Observation Guide</w:t>
            </w:r>
          </w:p>
        </w:tc>
        <w:tc>
          <w:tcPr>
            <w:tcW w:w="678" w:type="pct"/>
            <w:gridSpan w:val="2"/>
            <w:tcBorders>
              <w:top w:val="single" w:sz="4" w:space="0" w:color="046B5C"/>
              <w:bottom w:val="single" w:sz="4" w:space="0" w:color="auto"/>
            </w:tcBorders>
            <w:shd w:val="clear" w:color="auto" w:fill="auto"/>
            <w:vAlign w:val="top"/>
          </w:tcPr>
          <w:p w:rsidR="00E954C9" w:rsidRPr="00E954C9" w:rsidP="00E954C9" w14:paraId="4C59500C"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100 schools in Group 2b</w:t>
            </w:r>
          </w:p>
        </w:tc>
        <w:tc>
          <w:tcPr>
            <w:tcW w:w="572" w:type="pct"/>
            <w:tcBorders>
              <w:top w:val="single" w:sz="4" w:space="0" w:color="046B5C"/>
              <w:bottom w:val="single" w:sz="4" w:space="0" w:color="auto"/>
            </w:tcBorders>
            <w:shd w:val="clear" w:color="auto" w:fill="auto"/>
            <w:vAlign w:val="top"/>
          </w:tcPr>
          <w:p w:rsidR="00E954C9" w:rsidRPr="00E954C9" w:rsidP="00E954C9" w14:paraId="1960B4A1" w14:textId="77777777">
            <w:pPr>
              <w:spacing w:before="40" w:after="20" w:line="240" w:lineRule="atLeast"/>
              <w:ind w:left="-58" w:right="-58"/>
              <w:rPr>
                <w:rFonts w:ascii="Segoe UI" w:eastAsia="Segoe UI" w:hAnsi="Segoe UI"/>
                <w:color w:val="000000"/>
                <w:sz w:val="18"/>
              </w:rPr>
            </w:pPr>
            <w:r w:rsidRPr="00E954C9">
              <w:rPr>
                <w:rFonts w:ascii="Segoe UI" w:eastAsia="Segoe UI" w:hAnsi="Segoe UI"/>
                <w:color w:val="000000"/>
                <w:sz w:val="18"/>
              </w:rPr>
              <w:t>On-site observation</w:t>
            </w:r>
          </w:p>
        </w:tc>
        <w:tc>
          <w:tcPr>
            <w:tcW w:w="621" w:type="pct"/>
            <w:tcBorders>
              <w:top w:val="single" w:sz="4" w:space="0" w:color="046B5C"/>
              <w:bottom w:val="single" w:sz="4" w:space="0" w:color="auto"/>
            </w:tcBorders>
            <w:shd w:val="clear" w:color="auto" w:fill="auto"/>
            <w:vAlign w:val="top"/>
          </w:tcPr>
          <w:p w:rsidR="00E954C9" w:rsidRPr="00E954C9" w:rsidP="00E954C9" w14:paraId="2DFE36EB"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20 minutes (SNM)</w:t>
            </w:r>
          </w:p>
        </w:tc>
        <w:tc>
          <w:tcPr>
            <w:tcW w:w="525" w:type="pct"/>
            <w:tcBorders>
              <w:top w:val="single" w:sz="4" w:space="0" w:color="046B5C"/>
              <w:bottom w:val="single" w:sz="4" w:space="0" w:color="auto"/>
            </w:tcBorders>
            <w:shd w:val="clear" w:color="auto" w:fill="auto"/>
            <w:vAlign w:val="top"/>
          </w:tcPr>
          <w:p w:rsidR="00E954C9" w:rsidRPr="00E954C9" w:rsidP="00E954C9" w14:paraId="0C8D9237"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100</w:t>
            </w:r>
          </w:p>
        </w:tc>
        <w:tc>
          <w:tcPr>
            <w:tcW w:w="482" w:type="pct"/>
            <w:tcBorders>
              <w:top w:val="single" w:sz="4" w:space="0" w:color="046B5C"/>
              <w:bottom w:val="single" w:sz="4" w:space="0" w:color="auto"/>
            </w:tcBorders>
            <w:shd w:val="clear" w:color="auto" w:fill="auto"/>
            <w:vAlign w:val="top"/>
          </w:tcPr>
          <w:p w:rsidR="00E954C9" w:rsidRPr="00E954C9" w:rsidP="00E954C9" w14:paraId="2E2F0E57"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111</w:t>
            </w:r>
          </w:p>
        </w:tc>
        <w:tc>
          <w:tcPr>
            <w:tcW w:w="1401" w:type="pct"/>
            <w:tcBorders>
              <w:top w:val="single" w:sz="4" w:space="0" w:color="046B5C"/>
              <w:bottom w:val="single" w:sz="4" w:space="0" w:color="auto"/>
              <w:right w:val="single" w:sz="4" w:space="0" w:color="auto"/>
            </w:tcBorders>
            <w:shd w:val="clear" w:color="auto" w:fill="auto"/>
            <w:vAlign w:val="top"/>
          </w:tcPr>
          <w:p w:rsidR="00E954C9" w:rsidRPr="00E954C9" w:rsidP="00E954C9" w14:paraId="5E45E896"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Field staff will collect observational information about where FFVP snacks are served and eaten, who serves the snacks, nutrition promotion, and student consumption of snacks.</w:t>
            </w:r>
          </w:p>
        </w:tc>
      </w:tr>
      <w:tr w14:paraId="74763995" w14:textId="77777777" w:rsidTr="00E954C9">
        <w:tblPrEx>
          <w:tblW w:w="5000" w:type="pct"/>
          <w:tblLayout w:type="fixed"/>
          <w:tblLook w:val="04A0"/>
        </w:tblPrEx>
        <w:trPr>
          <w:trHeight w:val="20"/>
        </w:trPr>
        <w:tc>
          <w:tcPr>
            <w:tcW w:w="721" w:type="pct"/>
            <w:tcBorders>
              <w:top w:val="single" w:sz="4" w:space="0" w:color="auto"/>
              <w:left w:val="single" w:sz="4" w:space="0" w:color="auto"/>
              <w:bottom w:val="single" w:sz="4" w:space="0" w:color="046B5C"/>
            </w:tcBorders>
            <w:shd w:val="clear" w:color="auto" w:fill="auto"/>
            <w:vAlign w:val="top"/>
          </w:tcPr>
          <w:p w:rsidR="00E954C9" w:rsidRPr="00E954C9" w:rsidP="00E954C9" w14:paraId="6E197FFB" w14:textId="77777777">
            <w:pPr>
              <w:spacing w:before="40" w:after="20" w:line="240" w:lineRule="atLeast"/>
              <w:ind w:left="-58"/>
              <w:rPr>
                <w:rFonts w:eastAsia="Segoe UI"/>
                <w:color w:val="000000"/>
                <w:sz w:val="18"/>
              </w:rPr>
            </w:pPr>
            <w:r w:rsidRPr="00E954C9">
              <w:rPr>
                <w:rFonts w:eastAsia="Segoe UI"/>
                <w:color w:val="000000"/>
                <w:sz w:val="18"/>
              </w:rPr>
              <w:t>FFVP Menu Survey</w:t>
            </w:r>
          </w:p>
        </w:tc>
        <w:tc>
          <w:tcPr>
            <w:tcW w:w="678" w:type="pct"/>
            <w:gridSpan w:val="2"/>
            <w:tcBorders>
              <w:top w:val="single" w:sz="4" w:space="0" w:color="auto"/>
              <w:bottom w:val="single" w:sz="4" w:space="0" w:color="046B5C"/>
            </w:tcBorders>
            <w:shd w:val="clear" w:color="auto" w:fill="auto"/>
            <w:vAlign w:val="top"/>
          </w:tcPr>
          <w:p w:rsidR="00E954C9" w:rsidRPr="00E954C9" w:rsidP="00E954C9" w14:paraId="634FAD34"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100 SNMs</w:t>
            </w:r>
          </w:p>
        </w:tc>
        <w:tc>
          <w:tcPr>
            <w:tcW w:w="572" w:type="pct"/>
            <w:tcBorders>
              <w:top w:val="single" w:sz="4" w:space="0" w:color="auto"/>
              <w:bottom w:val="single" w:sz="4" w:space="0" w:color="046B5C"/>
            </w:tcBorders>
            <w:shd w:val="clear" w:color="auto" w:fill="auto"/>
            <w:vAlign w:val="top"/>
          </w:tcPr>
          <w:p w:rsidR="00E954C9" w:rsidRPr="00E954C9" w:rsidP="00E954C9" w14:paraId="02B488D3"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Hard copy</w:t>
            </w:r>
          </w:p>
        </w:tc>
        <w:tc>
          <w:tcPr>
            <w:tcW w:w="621" w:type="pct"/>
            <w:tcBorders>
              <w:top w:val="single" w:sz="4" w:space="0" w:color="auto"/>
              <w:bottom w:val="single" w:sz="4" w:space="0" w:color="046B5C"/>
            </w:tcBorders>
            <w:shd w:val="clear" w:color="auto" w:fill="auto"/>
            <w:vAlign w:val="top"/>
          </w:tcPr>
          <w:p w:rsidR="00E954C9" w:rsidRPr="00E954C9" w:rsidP="00E954C9" w14:paraId="62F1AD77"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30 minutes</w:t>
            </w:r>
          </w:p>
        </w:tc>
        <w:tc>
          <w:tcPr>
            <w:tcW w:w="525" w:type="pct"/>
            <w:tcBorders>
              <w:top w:val="single" w:sz="4" w:space="0" w:color="auto"/>
              <w:bottom w:val="single" w:sz="4" w:space="0" w:color="046B5C"/>
            </w:tcBorders>
            <w:shd w:val="clear" w:color="auto" w:fill="auto"/>
            <w:vAlign w:val="top"/>
          </w:tcPr>
          <w:p w:rsidR="00E954C9" w:rsidRPr="00E954C9" w:rsidP="00E954C9" w14:paraId="6C988B84"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100</w:t>
            </w:r>
          </w:p>
        </w:tc>
        <w:tc>
          <w:tcPr>
            <w:tcW w:w="482" w:type="pct"/>
            <w:tcBorders>
              <w:top w:val="single" w:sz="4" w:space="0" w:color="auto"/>
              <w:bottom w:val="single" w:sz="4" w:space="0" w:color="046B5C"/>
            </w:tcBorders>
            <w:shd w:val="clear" w:color="auto" w:fill="auto"/>
            <w:vAlign w:val="top"/>
          </w:tcPr>
          <w:p w:rsidR="00E954C9" w:rsidRPr="00E954C9" w:rsidP="00E954C9" w14:paraId="332D3D44"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111</w:t>
            </w:r>
          </w:p>
        </w:tc>
        <w:tc>
          <w:tcPr>
            <w:tcW w:w="1401" w:type="pct"/>
            <w:tcBorders>
              <w:top w:val="single" w:sz="4" w:space="0" w:color="auto"/>
              <w:bottom w:val="single" w:sz="4" w:space="0" w:color="046B5C"/>
              <w:right w:val="single" w:sz="4" w:space="0" w:color="auto"/>
            </w:tcBorders>
            <w:shd w:val="clear" w:color="auto" w:fill="auto"/>
            <w:vAlign w:val="top"/>
          </w:tcPr>
          <w:p w:rsidR="00E954C9" w:rsidRPr="00E954C9" w:rsidP="00E954C9" w14:paraId="69942C59"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 xml:space="preserve">The FFVP Menu Survey will collect information needed to accurately code dietary recall data. </w:t>
            </w:r>
          </w:p>
        </w:tc>
      </w:tr>
      <w:tr w14:paraId="63FE3456" w14:textId="77777777" w:rsidTr="00E954C9">
        <w:tblPrEx>
          <w:tblW w:w="5000" w:type="pct"/>
          <w:tblLayout w:type="fixed"/>
          <w:tblLook w:val="04A0"/>
        </w:tblPrEx>
        <w:trPr>
          <w:trHeight w:val="20"/>
        </w:trPr>
        <w:tc>
          <w:tcPr>
            <w:tcW w:w="721" w:type="pct"/>
            <w:tcBorders>
              <w:top w:val="single" w:sz="4" w:space="0" w:color="046B5C"/>
              <w:left w:val="single" w:sz="4" w:space="0" w:color="auto"/>
              <w:bottom w:val="single" w:sz="4" w:space="0" w:color="046B5C"/>
            </w:tcBorders>
            <w:shd w:val="clear" w:color="auto" w:fill="auto"/>
            <w:vAlign w:val="top"/>
          </w:tcPr>
          <w:p w:rsidR="00E954C9" w:rsidRPr="00E954C9" w:rsidP="00E954C9" w14:paraId="768BEE81" w14:textId="77777777">
            <w:pPr>
              <w:spacing w:before="40" w:after="20" w:line="240" w:lineRule="atLeast"/>
              <w:ind w:left="-58"/>
              <w:rPr>
                <w:rFonts w:eastAsia="Segoe UI" w:cs="Segoe UI"/>
                <w:color w:val="000000"/>
                <w:sz w:val="18"/>
                <w:szCs w:val="18"/>
              </w:rPr>
            </w:pPr>
            <w:r w:rsidRPr="00E954C9">
              <w:rPr>
                <w:rFonts w:eastAsia="Segoe UI"/>
                <w:color w:val="000000"/>
                <w:sz w:val="18"/>
              </w:rPr>
              <w:t>AMPM (In-School Intake Dietary Recall)</w:t>
            </w:r>
          </w:p>
        </w:tc>
        <w:tc>
          <w:tcPr>
            <w:tcW w:w="670" w:type="pct"/>
            <w:tcBorders>
              <w:top w:val="single" w:sz="4" w:space="0" w:color="046B5C"/>
              <w:bottom w:val="single" w:sz="4" w:space="0" w:color="046B5C"/>
            </w:tcBorders>
            <w:shd w:val="clear" w:color="auto" w:fill="auto"/>
            <w:vAlign w:val="top"/>
          </w:tcPr>
          <w:p w:rsidR="00E954C9" w:rsidRPr="00E954C9" w:rsidP="00E954C9" w14:paraId="7149C1EC"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s="Segoe UI"/>
                <w:color w:val="000000"/>
                <w:sz w:val="18"/>
                <w:szCs w:val="18"/>
              </w:rPr>
              <w:t xml:space="preserve">800 </w:t>
            </w:r>
            <w:r w:rsidRPr="00E954C9">
              <w:rPr>
                <w:rFonts w:ascii="Segoe UI" w:eastAsia="Segoe UI" w:hAnsi="Segoe UI"/>
                <w:color w:val="000000"/>
                <w:sz w:val="18"/>
              </w:rPr>
              <w:t>students</w:t>
            </w:r>
          </w:p>
        </w:tc>
        <w:tc>
          <w:tcPr>
            <w:tcW w:w="580" w:type="pct"/>
            <w:gridSpan w:val="2"/>
            <w:tcBorders>
              <w:top w:val="single" w:sz="4" w:space="0" w:color="046B5C"/>
              <w:bottom w:val="single" w:sz="4" w:space="0" w:color="046B5C"/>
            </w:tcBorders>
            <w:shd w:val="clear" w:color="auto" w:fill="auto"/>
            <w:vAlign w:val="top"/>
          </w:tcPr>
          <w:p w:rsidR="00E954C9" w:rsidRPr="00E954C9" w:rsidP="00E954C9" w14:paraId="35A16CB4"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olor w:val="000000"/>
                <w:sz w:val="18"/>
              </w:rPr>
              <w:t>In person or telephone</w:t>
            </w:r>
          </w:p>
        </w:tc>
        <w:tc>
          <w:tcPr>
            <w:tcW w:w="621" w:type="pct"/>
            <w:tcBorders>
              <w:top w:val="single" w:sz="4" w:space="0" w:color="046B5C"/>
              <w:bottom w:val="single" w:sz="4" w:space="0" w:color="046B5C"/>
            </w:tcBorders>
            <w:shd w:val="clear" w:color="auto" w:fill="auto"/>
            <w:vAlign w:val="top"/>
          </w:tcPr>
          <w:p w:rsidR="00E954C9" w:rsidRPr="00E954C9" w:rsidP="00E954C9" w14:paraId="0CD3F382"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olor w:val="000000"/>
                <w:sz w:val="18"/>
              </w:rPr>
              <w:t>18 minutes</w:t>
            </w:r>
          </w:p>
        </w:tc>
        <w:tc>
          <w:tcPr>
            <w:tcW w:w="525" w:type="pct"/>
            <w:tcBorders>
              <w:top w:val="single" w:sz="4" w:space="0" w:color="046B5C"/>
              <w:bottom w:val="single" w:sz="4" w:space="0" w:color="046B5C"/>
            </w:tcBorders>
            <w:shd w:val="clear" w:color="auto" w:fill="auto"/>
            <w:vAlign w:val="top"/>
          </w:tcPr>
          <w:p w:rsidR="00E954C9" w:rsidRPr="00E954C9" w:rsidP="00E954C9" w14:paraId="3A318BF5" w14:textId="77777777">
            <w:pPr>
              <w:spacing w:before="40" w:after="20" w:line="240" w:lineRule="atLeast"/>
              <w:ind w:left="-58"/>
              <w:jc w:val="center"/>
              <w:rPr>
                <w:rFonts w:ascii="Segoe UI" w:eastAsia="Segoe UI" w:hAnsi="Segoe UI" w:cs="Segoe UI"/>
                <w:color w:val="000000"/>
                <w:sz w:val="18"/>
                <w:szCs w:val="18"/>
              </w:rPr>
            </w:pPr>
            <w:r w:rsidRPr="00E954C9">
              <w:rPr>
                <w:rFonts w:ascii="Segoe UI" w:eastAsia="Segoe UI" w:hAnsi="Segoe UI"/>
                <w:color w:val="000000"/>
                <w:sz w:val="18"/>
              </w:rPr>
              <w:t>50</w:t>
            </w:r>
          </w:p>
        </w:tc>
        <w:tc>
          <w:tcPr>
            <w:tcW w:w="482" w:type="pct"/>
            <w:tcBorders>
              <w:top w:val="single" w:sz="4" w:space="0" w:color="046B5C"/>
              <w:bottom w:val="single" w:sz="4" w:space="0" w:color="046B5C"/>
            </w:tcBorders>
            <w:shd w:val="clear" w:color="auto" w:fill="auto"/>
            <w:vAlign w:val="top"/>
          </w:tcPr>
          <w:p w:rsidR="00E954C9" w:rsidRPr="00E954C9" w:rsidP="00E954C9" w14:paraId="19D305A8"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1,600</w:t>
            </w:r>
          </w:p>
        </w:tc>
        <w:tc>
          <w:tcPr>
            <w:tcW w:w="1401" w:type="pct"/>
            <w:tcBorders>
              <w:top w:val="single" w:sz="4" w:space="0" w:color="046B5C"/>
              <w:bottom w:val="single" w:sz="4" w:space="0" w:color="046B5C"/>
              <w:right w:val="single" w:sz="4" w:space="0" w:color="auto"/>
            </w:tcBorders>
            <w:shd w:val="clear" w:color="auto" w:fill="auto"/>
            <w:vAlign w:val="top"/>
          </w:tcPr>
          <w:p w:rsidR="00E954C9" w:rsidRPr="00E954C9" w:rsidP="00E954C9" w14:paraId="4F8CB4BA" w14:textId="77777777">
            <w:pPr>
              <w:spacing w:before="40" w:after="20" w:line="240" w:lineRule="atLeast"/>
              <w:ind w:left="-58"/>
              <w:rPr>
                <w:rFonts w:ascii="Segoe UI" w:eastAsia="Segoe UI" w:hAnsi="Segoe UI"/>
                <w:color w:val="000000"/>
                <w:sz w:val="18"/>
              </w:rPr>
            </w:pPr>
          </w:p>
        </w:tc>
      </w:tr>
      <w:tr w14:paraId="4C83D9DF" w14:textId="77777777" w:rsidTr="00E954C9">
        <w:tblPrEx>
          <w:tblW w:w="5000" w:type="pct"/>
          <w:tblLayout w:type="fixed"/>
          <w:tblLook w:val="04A0"/>
        </w:tblPrEx>
        <w:trPr>
          <w:trHeight w:val="20"/>
        </w:trPr>
        <w:tc>
          <w:tcPr>
            <w:tcW w:w="721" w:type="pct"/>
            <w:tcBorders>
              <w:top w:val="single" w:sz="4" w:space="0" w:color="046B5C"/>
              <w:left w:val="single" w:sz="4" w:space="0" w:color="auto"/>
              <w:bottom w:val="single" w:sz="4" w:space="0" w:color="046B5C"/>
            </w:tcBorders>
            <w:shd w:val="clear" w:color="auto" w:fill="auto"/>
            <w:vAlign w:val="top"/>
          </w:tcPr>
          <w:p w:rsidR="00E954C9" w:rsidRPr="00E954C9" w:rsidP="00E954C9" w14:paraId="2A2AAF3F" w14:textId="77777777">
            <w:pPr>
              <w:spacing w:before="40" w:after="20" w:line="240" w:lineRule="atLeast"/>
              <w:ind w:left="-58"/>
              <w:rPr>
                <w:rFonts w:eastAsia="Segoe UI" w:cs="Segoe UI"/>
                <w:color w:val="000000"/>
                <w:sz w:val="18"/>
                <w:szCs w:val="18"/>
              </w:rPr>
            </w:pPr>
            <w:r w:rsidRPr="00E954C9">
              <w:rPr>
                <w:rFonts w:eastAsia="Segoe UI"/>
                <w:color w:val="000000"/>
                <w:sz w:val="18"/>
              </w:rPr>
              <w:t>Student Interview</w:t>
            </w:r>
          </w:p>
        </w:tc>
        <w:tc>
          <w:tcPr>
            <w:tcW w:w="670" w:type="pct"/>
            <w:tcBorders>
              <w:top w:val="single" w:sz="4" w:space="0" w:color="046B5C"/>
              <w:bottom w:val="single" w:sz="4" w:space="0" w:color="046B5C"/>
            </w:tcBorders>
            <w:shd w:val="clear" w:color="auto" w:fill="auto"/>
            <w:vAlign w:val="top"/>
          </w:tcPr>
          <w:p w:rsidR="00E954C9" w:rsidRPr="00E954C9" w:rsidP="00E954C9" w14:paraId="4291BBDC"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s="Segoe UI"/>
                <w:color w:val="000000"/>
                <w:sz w:val="18"/>
                <w:szCs w:val="18"/>
              </w:rPr>
              <w:t xml:space="preserve">800 </w:t>
            </w:r>
            <w:r w:rsidRPr="00E954C9">
              <w:rPr>
                <w:rFonts w:ascii="Segoe UI" w:eastAsia="Segoe UI" w:hAnsi="Segoe UI"/>
                <w:color w:val="000000"/>
                <w:sz w:val="18"/>
              </w:rPr>
              <w:t>students</w:t>
            </w:r>
          </w:p>
        </w:tc>
        <w:tc>
          <w:tcPr>
            <w:tcW w:w="580" w:type="pct"/>
            <w:gridSpan w:val="2"/>
            <w:tcBorders>
              <w:top w:val="single" w:sz="4" w:space="0" w:color="046B5C"/>
              <w:bottom w:val="single" w:sz="4" w:space="0" w:color="046B5C"/>
            </w:tcBorders>
            <w:shd w:val="clear" w:color="auto" w:fill="auto"/>
            <w:vAlign w:val="top"/>
          </w:tcPr>
          <w:p w:rsidR="00E954C9" w:rsidRPr="00E954C9" w:rsidP="00E954C9" w14:paraId="6BE0B4B2"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olor w:val="000000"/>
                <w:sz w:val="18"/>
              </w:rPr>
              <w:t>In person</w:t>
            </w:r>
          </w:p>
        </w:tc>
        <w:tc>
          <w:tcPr>
            <w:tcW w:w="621" w:type="pct"/>
            <w:tcBorders>
              <w:top w:val="single" w:sz="4" w:space="0" w:color="046B5C"/>
              <w:bottom w:val="single" w:sz="4" w:space="0" w:color="046B5C"/>
            </w:tcBorders>
            <w:shd w:val="clear" w:color="auto" w:fill="auto"/>
            <w:vAlign w:val="top"/>
          </w:tcPr>
          <w:p w:rsidR="00E954C9" w:rsidRPr="00E954C9" w:rsidP="00E954C9" w14:paraId="2680FF56" w14:textId="77777777">
            <w:pPr>
              <w:spacing w:before="40" w:after="20" w:line="240" w:lineRule="atLeast"/>
              <w:ind w:left="-58"/>
              <w:rPr>
                <w:rFonts w:ascii="Segoe UI" w:eastAsia="Segoe UI" w:hAnsi="Segoe UI" w:cs="Segoe UI"/>
                <w:color w:val="000000"/>
                <w:sz w:val="18"/>
                <w:szCs w:val="18"/>
              </w:rPr>
            </w:pPr>
            <w:r w:rsidRPr="00E954C9">
              <w:rPr>
                <w:rFonts w:ascii="Segoe UI" w:eastAsia="Segoe UI" w:hAnsi="Segoe UI"/>
                <w:color w:val="000000"/>
                <w:sz w:val="18"/>
              </w:rPr>
              <w:t>12 minutes</w:t>
            </w:r>
          </w:p>
        </w:tc>
        <w:tc>
          <w:tcPr>
            <w:tcW w:w="525" w:type="pct"/>
            <w:tcBorders>
              <w:top w:val="single" w:sz="4" w:space="0" w:color="046B5C"/>
              <w:bottom w:val="single" w:sz="4" w:space="0" w:color="046B5C"/>
            </w:tcBorders>
            <w:shd w:val="clear" w:color="auto" w:fill="auto"/>
            <w:vAlign w:val="top"/>
          </w:tcPr>
          <w:p w:rsidR="00E954C9" w:rsidRPr="00E954C9" w:rsidP="00E954C9" w14:paraId="3DD044A8" w14:textId="77777777">
            <w:pPr>
              <w:spacing w:before="40" w:after="20" w:line="240" w:lineRule="atLeast"/>
              <w:ind w:left="-58"/>
              <w:jc w:val="center"/>
              <w:rPr>
                <w:rFonts w:ascii="Segoe UI" w:eastAsia="Segoe UI" w:hAnsi="Segoe UI" w:cs="Segoe UI"/>
                <w:color w:val="000000"/>
                <w:sz w:val="18"/>
                <w:szCs w:val="18"/>
              </w:rPr>
            </w:pPr>
            <w:r w:rsidRPr="00E954C9">
              <w:rPr>
                <w:rFonts w:ascii="Segoe UI" w:eastAsia="Segoe UI" w:hAnsi="Segoe UI"/>
                <w:color w:val="000000"/>
                <w:sz w:val="18"/>
              </w:rPr>
              <w:t>50</w:t>
            </w:r>
          </w:p>
        </w:tc>
        <w:tc>
          <w:tcPr>
            <w:tcW w:w="482" w:type="pct"/>
            <w:tcBorders>
              <w:top w:val="single" w:sz="4" w:space="0" w:color="046B5C"/>
              <w:bottom w:val="single" w:sz="4" w:space="0" w:color="046B5C"/>
            </w:tcBorders>
            <w:shd w:val="clear" w:color="auto" w:fill="auto"/>
            <w:vAlign w:val="top"/>
          </w:tcPr>
          <w:p w:rsidR="00E954C9" w:rsidRPr="00E954C9" w:rsidP="00E954C9" w14:paraId="79E6C6A1"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1,600</w:t>
            </w:r>
          </w:p>
        </w:tc>
        <w:tc>
          <w:tcPr>
            <w:tcW w:w="1401" w:type="pct"/>
            <w:tcBorders>
              <w:top w:val="single" w:sz="4" w:space="0" w:color="046B5C"/>
              <w:bottom w:val="single" w:sz="4" w:space="0" w:color="046B5C"/>
              <w:right w:val="single" w:sz="4" w:space="0" w:color="auto"/>
            </w:tcBorders>
            <w:shd w:val="clear" w:color="auto" w:fill="auto"/>
            <w:vAlign w:val="top"/>
          </w:tcPr>
          <w:p w:rsidR="00E954C9" w:rsidRPr="00E954C9" w:rsidP="00E954C9" w14:paraId="255F1A62" w14:textId="77777777">
            <w:pPr>
              <w:spacing w:before="40" w:after="20" w:line="240" w:lineRule="atLeast"/>
              <w:ind w:left="-58"/>
              <w:rPr>
                <w:rFonts w:ascii="Segoe UI" w:eastAsia="Segoe UI" w:hAnsi="Segoe UI" w:cs="Segoe UI"/>
                <w:color w:val="000000"/>
                <w:sz w:val="18"/>
                <w:szCs w:val="18"/>
              </w:rPr>
            </w:pPr>
          </w:p>
        </w:tc>
      </w:tr>
      <w:tr w14:paraId="0A71F1CF" w14:textId="77777777" w:rsidTr="00E954C9">
        <w:tblPrEx>
          <w:tblW w:w="5000" w:type="pct"/>
          <w:tblLayout w:type="fixed"/>
          <w:tblLook w:val="04A0"/>
        </w:tblPrEx>
        <w:trPr>
          <w:trHeight w:val="20"/>
        </w:trPr>
        <w:tc>
          <w:tcPr>
            <w:tcW w:w="721" w:type="pct"/>
            <w:tcBorders>
              <w:top w:val="single" w:sz="4" w:space="0" w:color="046B5C"/>
              <w:left w:val="single" w:sz="4" w:space="0" w:color="auto"/>
              <w:bottom w:val="single" w:sz="4" w:space="0" w:color="auto"/>
            </w:tcBorders>
            <w:shd w:val="clear" w:color="auto" w:fill="auto"/>
            <w:vAlign w:val="top"/>
          </w:tcPr>
          <w:p w:rsidR="00E954C9" w:rsidRPr="00E954C9" w:rsidP="00E954C9" w14:paraId="794A29A8" w14:textId="77777777">
            <w:pPr>
              <w:spacing w:before="40" w:after="20" w:line="240" w:lineRule="atLeast"/>
              <w:ind w:left="-58"/>
              <w:rPr>
                <w:rFonts w:eastAsia="Segoe UI"/>
                <w:color w:val="000000"/>
                <w:sz w:val="18"/>
              </w:rPr>
            </w:pPr>
            <w:r w:rsidRPr="00E954C9">
              <w:rPr>
                <w:rFonts w:eastAsia="Segoe UI"/>
                <w:color w:val="000000"/>
                <w:sz w:val="18"/>
              </w:rPr>
              <w:t>Reimbursable Meal Sale Data Request Form</w:t>
            </w:r>
          </w:p>
        </w:tc>
        <w:tc>
          <w:tcPr>
            <w:tcW w:w="670" w:type="pct"/>
            <w:tcBorders>
              <w:top w:val="single" w:sz="4" w:space="0" w:color="046B5C"/>
              <w:bottom w:val="single" w:sz="4" w:space="0" w:color="auto"/>
            </w:tcBorders>
            <w:shd w:val="clear" w:color="auto" w:fill="auto"/>
            <w:vAlign w:val="top"/>
          </w:tcPr>
          <w:p w:rsidR="00E954C9" w:rsidRPr="00E954C9" w:rsidP="00E954C9" w14:paraId="2D2D1695"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100 SNMs for 800 students</w:t>
            </w:r>
          </w:p>
        </w:tc>
        <w:tc>
          <w:tcPr>
            <w:tcW w:w="580" w:type="pct"/>
            <w:gridSpan w:val="2"/>
            <w:tcBorders>
              <w:top w:val="single" w:sz="4" w:space="0" w:color="046B5C"/>
              <w:bottom w:val="single" w:sz="4" w:space="0" w:color="auto"/>
            </w:tcBorders>
            <w:shd w:val="clear" w:color="auto" w:fill="auto"/>
            <w:vAlign w:val="top"/>
          </w:tcPr>
          <w:p w:rsidR="00E954C9" w:rsidRPr="00E954C9" w:rsidP="00E954C9" w14:paraId="35C8120B"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In person</w:t>
            </w:r>
          </w:p>
        </w:tc>
        <w:tc>
          <w:tcPr>
            <w:tcW w:w="621" w:type="pct"/>
            <w:tcBorders>
              <w:top w:val="single" w:sz="4" w:space="0" w:color="046B5C"/>
              <w:bottom w:val="single" w:sz="4" w:space="0" w:color="auto"/>
            </w:tcBorders>
            <w:shd w:val="clear" w:color="auto" w:fill="auto"/>
            <w:vAlign w:val="top"/>
          </w:tcPr>
          <w:p w:rsidR="00E954C9" w:rsidRPr="00E954C9" w:rsidP="00E954C9" w14:paraId="57690783"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 xml:space="preserve">10 minutes </w:t>
            </w:r>
          </w:p>
        </w:tc>
        <w:tc>
          <w:tcPr>
            <w:tcW w:w="525" w:type="pct"/>
            <w:tcBorders>
              <w:top w:val="single" w:sz="4" w:space="0" w:color="046B5C"/>
              <w:bottom w:val="single" w:sz="4" w:space="0" w:color="auto"/>
            </w:tcBorders>
            <w:shd w:val="clear" w:color="auto" w:fill="auto"/>
            <w:vAlign w:val="top"/>
          </w:tcPr>
          <w:p w:rsidR="00E954C9" w:rsidRPr="00E954C9" w:rsidP="00E954C9" w14:paraId="73520C6C" w14:textId="77777777">
            <w:pPr>
              <w:spacing w:before="40" w:after="20" w:line="240" w:lineRule="atLeast"/>
              <w:ind w:left="-58"/>
              <w:jc w:val="center"/>
              <w:rPr>
                <w:rFonts w:ascii="Segoe UI" w:eastAsia="Segoe UI" w:hAnsi="Segoe UI"/>
                <w:color w:val="000000"/>
                <w:sz w:val="18"/>
              </w:rPr>
            </w:pPr>
            <w:r w:rsidRPr="00E954C9">
              <w:rPr>
                <w:rFonts w:ascii="Segoe UI" w:eastAsia="Segoe UI" w:hAnsi="Segoe UI"/>
                <w:color w:val="000000"/>
                <w:sz w:val="18"/>
              </w:rPr>
              <w:t>90</w:t>
            </w:r>
          </w:p>
        </w:tc>
        <w:tc>
          <w:tcPr>
            <w:tcW w:w="482" w:type="pct"/>
            <w:tcBorders>
              <w:top w:val="single" w:sz="4" w:space="0" w:color="046B5C"/>
              <w:bottom w:val="single" w:sz="4" w:space="0" w:color="auto"/>
            </w:tcBorders>
            <w:shd w:val="clear" w:color="auto" w:fill="auto"/>
            <w:vAlign w:val="top"/>
          </w:tcPr>
          <w:p w:rsidR="00E954C9" w:rsidRPr="00E954C9" w:rsidP="00E954C9" w14:paraId="2DB3714A"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111 SNMs</w:t>
            </w:r>
          </w:p>
        </w:tc>
        <w:tc>
          <w:tcPr>
            <w:tcW w:w="1401" w:type="pct"/>
            <w:tcBorders>
              <w:top w:val="single" w:sz="4" w:space="0" w:color="046B5C"/>
              <w:bottom w:val="single" w:sz="4" w:space="0" w:color="auto"/>
              <w:right w:val="single" w:sz="4" w:space="0" w:color="auto"/>
            </w:tcBorders>
            <w:shd w:val="clear" w:color="auto" w:fill="auto"/>
            <w:vAlign w:val="top"/>
          </w:tcPr>
          <w:p w:rsidR="00E954C9" w:rsidRPr="00E954C9" w:rsidP="00E954C9" w14:paraId="580DE6A5"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Target response rate is among students who complete the recall and Student Interview.</w:t>
            </w:r>
          </w:p>
          <w:p w:rsidR="00E954C9" w:rsidRPr="00E954C9" w:rsidP="00E954C9" w14:paraId="28561BB7" w14:textId="77777777">
            <w:pPr>
              <w:spacing w:before="40" w:after="20" w:line="240" w:lineRule="atLeast"/>
              <w:ind w:left="-58"/>
              <w:rPr>
                <w:rFonts w:ascii="Segoe UI" w:eastAsia="Segoe UI" w:hAnsi="Segoe UI"/>
                <w:color w:val="000000"/>
                <w:sz w:val="18"/>
              </w:rPr>
            </w:pPr>
            <w:r w:rsidRPr="00E954C9">
              <w:rPr>
                <w:rFonts w:ascii="Segoe UI" w:eastAsia="Segoe UI" w:hAnsi="Segoe UI"/>
                <w:color w:val="000000"/>
                <w:sz w:val="18"/>
              </w:rPr>
              <w:t>SNMs will provide POS report or complete hard-copy form to indicate whether sampled students obtained a reimbursable meal on the day referenced in the dietary recall.</w:t>
            </w:r>
          </w:p>
        </w:tc>
      </w:tr>
    </w:tbl>
    <w:p w:rsidR="008C0F4D" w:rsidRPr="008C0F4D" w:rsidP="008C0F4D" w14:paraId="70EDFB69" w14:textId="22ED88E3">
      <w:pPr>
        <w:spacing w:before="40" w:after="40" w:line="200" w:lineRule="atLeast"/>
        <w:rPr>
          <w:rFonts w:ascii="Segoe UI" w:eastAsia="Segoe UI" w:hAnsi="Segoe UI" w:cs="Times New Roman"/>
          <w:color w:val="000000"/>
          <w:sz w:val="16"/>
          <w:szCs w:val="16"/>
        </w:rPr>
      </w:pPr>
      <w:r w:rsidRPr="008C0F4D">
        <w:rPr>
          <w:rFonts w:ascii="Segoe UI" w:eastAsia="Segoe UI" w:hAnsi="Segoe UI" w:cs="Times New Roman"/>
          <w:color w:val="000000"/>
          <w:position w:val="6"/>
          <w:sz w:val="12"/>
          <w:szCs w:val="12"/>
        </w:rPr>
        <w:t xml:space="preserve">a </w:t>
      </w:r>
      <w:r w:rsidRPr="008C0F4D" w:rsidR="00423579">
        <w:rPr>
          <w:rFonts w:ascii="Segoe UI" w:eastAsia="Segoe UI" w:hAnsi="Segoe UI" w:cs="Times New Roman"/>
          <w:color w:val="000000"/>
          <w:sz w:val="16"/>
        </w:rPr>
        <w:t xml:space="preserve">Target response rates are among </w:t>
      </w:r>
      <w:r w:rsidR="00423579">
        <w:rPr>
          <w:rFonts w:ascii="Segoe UI" w:eastAsia="Segoe UI" w:hAnsi="Segoe UI" w:cs="Times New Roman"/>
          <w:color w:val="000000"/>
          <w:sz w:val="16"/>
        </w:rPr>
        <w:t>estimated released</w:t>
      </w:r>
      <w:r w:rsidRPr="008C0F4D" w:rsidR="00423579">
        <w:rPr>
          <w:rFonts w:ascii="Segoe UI" w:eastAsia="Segoe UI" w:hAnsi="Segoe UI" w:cs="Times New Roman"/>
          <w:color w:val="000000"/>
          <w:sz w:val="16"/>
        </w:rPr>
        <w:t xml:space="preserve"> SFAs</w:t>
      </w:r>
      <w:r w:rsidR="00423579">
        <w:rPr>
          <w:rFonts w:ascii="Segoe UI" w:eastAsia="Segoe UI" w:hAnsi="Segoe UI" w:cs="Times New Roman"/>
          <w:color w:val="000000"/>
          <w:sz w:val="16"/>
        </w:rPr>
        <w:t>,</w:t>
      </w:r>
      <w:r w:rsidRPr="008C0F4D" w:rsidR="00423579">
        <w:rPr>
          <w:rFonts w:ascii="Segoe UI" w:eastAsia="Segoe UI" w:hAnsi="Segoe UI" w:cs="Times New Roman"/>
          <w:color w:val="000000"/>
          <w:sz w:val="16"/>
        </w:rPr>
        <w:t xml:space="preserve"> schools</w:t>
      </w:r>
      <w:r w:rsidR="00423579">
        <w:rPr>
          <w:rFonts w:ascii="Segoe UI" w:eastAsia="Segoe UI" w:hAnsi="Segoe UI" w:cs="Times New Roman"/>
          <w:color w:val="000000"/>
          <w:sz w:val="16"/>
        </w:rPr>
        <w:t>,</w:t>
      </w:r>
      <w:r w:rsidRPr="008C0F4D" w:rsidR="00423579">
        <w:rPr>
          <w:rFonts w:ascii="Segoe UI" w:eastAsia="Segoe UI" w:hAnsi="Segoe UI" w:cs="Times New Roman"/>
          <w:color w:val="000000"/>
          <w:sz w:val="16"/>
        </w:rPr>
        <w:t xml:space="preserve"> students</w:t>
      </w:r>
      <w:r w:rsidR="00423579">
        <w:rPr>
          <w:rFonts w:ascii="Segoe UI" w:eastAsia="Segoe UI" w:hAnsi="Segoe UI" w:cs="Times New Roman"/>
          <w:color w:val="000000"/>
          <w:sz w:val="16"/>
        </w:rPr>
        <w:t>,</w:t>
      </w:r>
      <w:r w:rsidRPr="008C0F4D" w:rsidR="00423579">
        <w:rPr>
          <w:rFonts w:ascii="Segoe UI" w:eastAsia="Segoe UI" w:hAnsi="Segoe UI" w:cs="Times New Roman"/>
          <w:color w:val="000000"/>
          <w:sz w:val="16"/>
        </w:rPr>
        <w:t xml:space="preserve"> and parents.</w:t>
      </w:r>
      <w:r w:rsidRPr="008C0F4D">
        <w:rPr>
          <w:rFonts w:ascii="Segoe UI" w:eastAsia="Segoe UI" w:hAnsi="Segoe UI" w:cs="Times New Roman"/>
          <w:color w:val="000000"/>
          <w:sz w:val="16"/>
          <w:szCs w:val="16"/>
        </w:rPr>
        <w:t xml:space="preserve"> </w:t>
      </w:r>
    </w:p>
    <w:p w:rsidR="008C0F4D" w:rsidRPr="008C0F4D" w:rsidP="008C0F4D" w14:paraId="74D2E6D9" w14:textId="77777777">
      <w:pPr>
        <w:spacing w:before="40" w:after="40" w:line="200" w:lineRule="atLeast"/>
        <w:rPr>
          <w:rFonts w:ascii="Segoe UI" w:eastAsia="Segoe UI" w:hAnsi="Segoe UI" w:cs="Times New Roman"/>
          <w:color w:val="000000"/>
          <w:sz w:val="16"/>
        </w:rPr>
      </w:pPr>
      <w:r w:rsidRPr="008C0F4D">
        <w:rPr>
          <w:rFonts w:ascii="Segoe UI" w:eastAsia="Segoe UI" w:hAnsi="Segoe UI" w:cs="Times New Roman"/>
          <w:color w:val="000000"/>
          <w:sz w:val="16"/>
        </w:rPr>
        <w:t xml:space="preserve">AMPM = Automated Multiple-Pass Method; POS = point-of-sale; SFA = school food authority; SNM = school nutrition manager; </w:t>
      </w:r>
      <w:r w:rsidRPr="008C0F4D">
        <w:rPr>
          <w:rFonts w:ascii="Segoe UI" w:eastAsia="Times New Roman" w:hAnsi="Segoe UI" w:cs="Segoe UI"/>
          <w:color w:val="000000"/>
          <w:sz w:val="16"/>
          <w:szCs w:val="16"/>
        </w:rPr>
        <w:t>FFVP = Fresh Fruit and Vegetable Program</w:t>
      </w:r>
    </w:p>
    <w:p w:rsidR="008C0F4D" w:rsidP="004E3E8F" w14:paraId="2B13B221" w14:textId="77777777"/>
    <w:p w:rsidR="00EF55F4" w:rsidP="004E3E8F" w14:paraId="342D2F63" w14:textId="77777777">
      <w:pPr>
        <w:rPr>
          <w:rFonts w:ascii="Segoe UI" w:hAnsi="Segoe UI" w:cs="Segoe UI"/>
          <w:sz w:val="24"/>
          <w:szCs w:val="24"/>
        </w:rPr>
      </w:pPr>
    </w:p>
    <w:p w:rsidR="00EF55F4" w:rsidP="004E3E8F" w14:paraId="744FEB48" w14:textId="77777777">
      <w:pPr>
        <w:rPr>
          <w:rFonts w:ascii="Segoe UI" w:hAnsi="Segoe UI" w:cs="Segoe UI"/>
          <w:sz w:val="24"/>
          <w:szCs w:val="24"/>
        </w:rPr>
      </w:pPr>
    </w:p>
    <w:p w:rsidR="00EF55F4" w:rsidP="004E3E8F" w14:paraId="20DD187C" w14:textId="77777777">
      <w:pPr>
        <w:rPr>
          <w:rFonts w:ascii="Segoe UI" w:hAnsi="Segoe UI" w:cs="Segoe UI"/>
          <w:sz w:val="24"/>
          <w:szCs w:val="24"/>
        </w:rPr>
      </w:pPr>
    </w:p>
    <w:p w:rsidR="00EF55F4" w:rsidP="004E3E8F" w14:paraId="4306ED2C" w14:textId="77777777">
      <w:pPr>
        <w:rPr>
          <w:rFonts w:ascii="Segoe UI" w:hAnsi="Segoe UI" w:cs="Segoe UI"/>
          <w:sz w:val="24"/>
          <w:szCs w:val="24"/>
        </w:rPr>
      </w:pPr>
    </w:p>
    <w:p w:rsidR="004B3C0D" w:rsidRPr="004B3C0D" w:rsidP="004E3E8F" w14:paraId="7F024376" w14:textId="5EA6E0B2">
      <w:pPr>
        <w:rPr>
          <w:rFonts w:ascii="Segoe UI" w:hAnsi="Segoe UI" w:cs="Segoe UI"/>
          <w:sz w:val="24"/>
          <w:szCs w:val="24"/>
        </w:rPr>
      </w:pPr>
      <w:r w:rsidRPr="004B3C0D">
        <w:rPr>
          <w:rFonts w:ascii="Segoe UI" w:hAnsi="Segoe UI" w:cs="Segoe UI"/>
          <w:sz w:val="24"/>
          <w:szCs w:val="24"/>
        </w:rPr>
        <w:t xml:space="preserve">Recruitment Procedures and Related Appendices </w:t>
      </w:r>
    </w:p>
    <w:p w:rsidR="004B3C0D" w:rsidRPr="004B3C0D" w:rsidP="004B3C0D" w14:paraId="43EE9E70" w14:textId="739263D1">
      <w:pPr>
        <w:rPr>
          <w:rFonts w:ascii="Segoe UI" w:hAnsi="Segoe UI" w:cs="Segoe UI"/>
          <w:b/>
          <w:bCs/>
        </w:rPr>
      </w:pPr>
      <w:r w:rsidRPr="004B3C0D">
        <w:rPr>
          <w:rFonts w:ascii="Segoe UI" w:hAnsi="Segoe UI" w:cs="Segoe UI"/>
          <w:b/>
          <w:bCs/>
        </w:rPr>
        <w:t xml:space="preserve">Groups 1a, 1b, 2a, 2b, and 3 </w:t>
      </w:r>
      <w:r w:rsidRPr="004B3C0D">
        <w:rPr>
          <w:rFonts w:ascii="Segoe UI" w:hAnsi="Segoe UI" w:cs="Segoe UI"/>
          <w:b/>
          <w:bCs/>
        </w:rPr>
        <w:t>recruitment</w:t>
      </w:r>
    </w:p>
    <w:p w:rsidR="004B3C0D" w:rsidP="004B3C0D" w14:paraId="344110EB" w14:textId="77777777">
      <w:r>
        <w:t xml:space="preserve">This section describes recruitment procedures for Groups 1a, 1b, 2a, 2b, and 3. Subsequent sections describe differences in procedures for FOA and LOA. </w:t>
      </w:r>
    </w:p>
    <w:p w:rsidR="004B3C0D" w:rsidP="004B3C0D" w14:paraId="3F32E63B" w14:textId="77777777">
      <w:r>
        <w:t>First, we will notify the seven FNS Regional Offices (RO) of the study (Appendix C02) and include the study overview (Appendix C03). We will ask the ROs to email the State Child Nutrition (CN) agency directors to inform them about the selected SFAs in their State and encourage their support of the study (Appendix C05). Then, we will email State CN agencies (Appendix C06) and copy RO staff a description of the study, the schedule for recruitment and data collection, and the information to be collected. We will attach copies of the study overview (Appendices C03 and C04) and a list of main and replacement sampled SFAs and schools in the State. We will ask the State to provide some information about SFA and school characteristics. We will also include a sample SFA notification email that States can send to sampled SFAs (Appendix C07). For instances in which the State has identified that food service management companies (FSMC) manage SFAs’ school meals, we will contact the FSMCs to obtain their endorsement for the study. FSMCs will receive a study letter and email (Appendix C08), endorsement letter (Appendix C09), and a study overview (Appendix C03). Then, the study team will call the FSMCs to obtain their endorsement (Appendix C10). States and FSMCs will be invited to attend a webinar conducted by FNS and study leaders to learn more about the study and its importance (Appendix C11).</w:t>
      </w:r>
    </w:p>
    <w:p w:rsidR="004B3C0D" w:rsidP="004B3C0D" w14:paraId="1EB73DA0" w14:textId="77777777">
      <w:r>
        <w:t>Sampled SFAs, except in Group 1c, will then be recruited to participate in the data collection.  An initial mailing will be sent to the SFA director and school district superintendent of sampled SFAs; it will include an introductory letter and email from FNS (Appendix C12), study endorsement (Appendix C09), a study overview (Appendix C03), and, for Groups 2a, 2b, and 3, a list of sampled schools. Trained recruiters will call SFAs to describe the study in more detail and the role of SFAs in the data collection (Appendix C13). SFAs will be invited to attend a webinar conducted by FNS and study leaders to learn more about the study and its importance (Appendix C11).</w:t>
      </w:r>
    </w:p>
    <w:p w:rsidR="004B3C0D" w:rsidP="004B3C0D" w14:paraId="76C3F4F2" w14:textId="77777777">
      <w:r>
        <w:t>SFA directors in Groups 1a and 1b who agree to participate will complete the Food Purchase Planning Interview by telephone (Appendix C14) to confirm eligibility and gather preliminary information. SFAs in Groups 1a and 1b will be assigned to Quarter 1 (Q1), Q2, Q3, or Q4 to provide food purchase data and will be recruited on a rolling basis throughout SY 2024–2025. After recruitment, SFAs will be invited to attend a food purchase data webinar (Appendix C15) to receive training on how to provide their food purchase documentation.</w:t>
      </w:r>
    </w:p>
    <w:p w:rsidR="004B3C0D" w:rsidP="004B3C0D" w14:paraId="5698CF3D" w14:textId="77777777">
      <w:r>
        <w:t xml:space="preserve">SFA directors in Groups 2a, 2b, and 3 who agree to participate will complete the SFA Director Planning Interview by telephone (Appendix C16) to confirm eligibility and gather preliminary information. Responses will also determine which Group 3 </w:t>
      </w:r>
      <w:r>
        <w:t>SFAs</w:t>
      </w:r>
      <w:r>
        <w:t xml:space="preserve"> and schools are eligible for plate waste observations. The study team will email the SFA directors a summary of the data collection plans (Appendix C17). For Group 3 SFAs, a description of data collection activities and respondents will also accompany the email (Appendix C18).</w:t>
      </w:r>
    </w:p>
    <w:p w:rsidR="004B3C0D" w:rsidP="004B3C0D" w14:paraId="3F534395" w14:textId="77777777">
      <w:r>
        <w:t>Following recruitment of SFAs in Group 2a, 2b, or 3, we will send emails about the study to principals (Appendix C19) and school nutrition managers (SNM; Appendix C20), plus the study overview (Appendix C03). We will then follow up with the principal to confirm the school visit and, for Groups 2a and 2b, identify a school liaison to facilitate student-level data collection and outline next steps (Appendix C21). We will also invite SNMs in Group 3 to complete a School Planning Interview on the web (Appendix C22), providing information needed to plan for on-site data collection. Approximately two weeks before in-person visits, all named SFA and school contacts in Group 2a, 2b, or 3 will receive a pre-visit reminder email about the visit (Appendix C23).</w:t>
      </w:r>
    </w:p>
    <w:p w:rsidR="004B3C0D" w:rsidP="004B3C0D" w14:paraId="78547E99" w14:textId="77777777">
      <w:r>
        <w:t xml:space="preserve">Student sampling in Groups 2a and 2b will initially be coordinated through the districts to streamline the process and establish a consistent approach across the districts’ sampled schools. We will obtain student rosters to use in selecting </w:t>
      </w:r>
      <w:r>
        <w:t>the sample (Appendix D01). Otherwise, we will request the rosters directly from school liaisons. The liaisons will also be asked to complete the School Planning Interview on the web (Appendix C22).</w:t>
      </w:r>
    </w:p>
    <w:p w:rsidR="004B3C0D" w:rsidP="004B3C0D" w14:paraId="5C899AC2" w14:textId="77777777">
      <w:r>
        <w:t>We will contact Group 2a and 2b school liaisons before any direct outreach to parents and students. As authorized under the statutory exception at 20 U.S.C. 1232g(b)(1)(K), we will request contact information and key demographic information on the rosters to monitor whether the completed sample is representative of the student universe from which it was drawn. School liaisons will assist with the distribution of recruiting materials to the parents of selected students. The materials will be available in English and Spanish. We will provide schools with a sample endorsement letter and ask them to distribute the information about the study broadly to all families through the school’s usual communication channels (Appendices D02/D03). For sampled students, we will typically mail a consent packet that includes an invitation letter (Appendices D04/D05); a study brochure (Appendices D06/D07); the endorsement letter signed by a school or district administrator (Appendices D02/D03); parent consent (Appendices D08/D09 and D10/D11) and child assent forms (Appendices D12/D13); and a postage-paid return envelope. If school districts agree, we plan to use a consent process that provides parents and students with the opportunity to decline to participate.  Parents or students who do not wish to participate can return their signed forms in postage-paid return envelopes addressed to Mathematica. This opt-out approach, used successfully in SNMCS-I and authorized under a statutory exception at 20 U.S.C. 1232g(b)(1)(K), will yield the largest proportion of participating sample members while still protecting human subjects.</w:t>
      </w:r>
    </w:p>
    <w:p w:rsidR="004B3C0D" w:rsidP="004B3C0D" w14:paraId="2602E2F7" w14:textId="77777777">
      <w:r>
        <w:t>When active consent (in which the parent provides permission for the minor to participate in the study) is required by the school district, we will ask the liaison to assist in the consent return process by following up with parents directly or providing updated contact information for reaching the parent directly. In addition to collecting hard-copy consent forms, we will digitally record oral consents in districts that allow it.</w:t>
      </w:r>
    </w:p>
    <w:p w:rsidR="004B3C0D" w:rsidRPr="004B3C0D" w:rsidP="004B3C0D" w14:paraId="57C9D314" w14:textId="49BAABB9">
      <w:pPr>
        <w:rPr>
          <w:rFonts w:ascii="Segoe UI" w:hAnsi="Segoe UI" w:cs="Segoe UI"/>
          <w:b/>
          <w:bCs/>
        </w:rPr>
      </w:pPr>
      <w:r w:rsidRPr="004B3C0D">
        <w:rPr>
          <w:rFonts w:ascii="Segoe UI" w:hAnsi="Segoe UI" w:cs="Segoe UI"/>
          <w:b/>
          <w:bCs/>
        </w:rPr>
        <w:t>FOA recruitment</w:t>
      </w:r>
    </w:p>
    <w:p w:rsidR="004B3C0D" w:rsidP="004B3C0D" w14:paraId="74B38CB1" w14:textId="77777777">
      <w:r>
        <w:t>When we notify ROs about Groups 1a, 1b, 1c, 2a, 2b, and 3, we will also include, for relevant ROs, an overview of FOA (Appendix E01). We will then email State CN agencies to describe the study, schedule, and procedures and to request information about the sampled SFAs and schools (Appendix E02). We will attach a copy of the study overview (Appendix E01) and the list of sampled SFAs and schools and request that States provide information about SFA and school characteristics. We will also include a sample SFA notification email that States/Territories can send to sampled SFAs (Appendix E03). During SY 2019–2020, an FSMC operated in some of the SFAs in Alaska. If it still has contracts with sampled SFAs, we will contact the FSMC with a study letter and email (Appendix C08), endorsement letter (Appendix C09), and a study overview (Appendix E01), followed by a call from the study team to obtain FSMC endorsement (Appendix C10).</w:t>
      </w:r>
    </w:p>
    <w:p w:rsidR="004B3C0D" w:rsidP="004B3C0D" w14:paraId="272947C1" w14:textId="77777777">
      <w:r>
        <w:t>We will then recruit SFAs following the procedures described in Section A.2.1. First, we will send an introductory letter and email from FNS (Appendix E04), the endorsement letter (Alaska and Hawaii only; Appendix C09), study overview (Appendix E01), and a list of sampled schools.  Recruiters will then follow up by telephone (Appendix C13). SFA directors who agree to participate will complete the SFA Director Planning Interview (Appendix C16). Then, we will send the SFA director a post-planning email summarizing the data collection and respondents (Appendices E05 and C18).</w:t>
      </w:r>
    </w:p>
    <w:p w:rsidR="004B3C0D" w:rsidP="004B3C0D" w14:paraId="75B28EDA" w14:textId="77777777">
      <w:r>
        <w:t xml:space="preserve">Guam’s SFA will likely contract with an FSMC for SY 2024–2025 that will be contacted during recruitment of Groups 1a, 1b, 1c, 2a, 2b, and 3; this FSMC will be recruited to participate in FOA.  When we contact this FSMC (described in Section A.2.1), we will include information about FOA, including a recruitment letter and study overview (Appendices E01 and E04). We will call the FSMC manager in Guam to recruit participation (Appendix C13). </w:t>
      </w:r>
    </w:p>
    <w:p w:rsidR="004B3C0D" w:rsidP="004B3C0D" w14:paraId="5E1F35EF" w14:textId="77777777">
      <w:r>
        <w:t>After SFAs are recruited, we will contact schools by sending introductory letters to principals (Appendix E06) and SNMs (Appendix E07) and enclose the study overview (Appendix E01). We will then follow up with the school principal and SNM to confirm the target week and ask SNMs a few questions from the School Planning Interview about working hours and internet connectivity (Appendix C22). All named contacts in each SFA will receive a reminder email to confirm the scheduled data collection activities (Appendix E08).</w:t>
      </w:r>
    </w:p>
    <w:p w:rsidR="004B3C0D" w:rsidRPr="004B3C0D" w:rsidP="004B3C0D" w14:paraId="6E64EBA9" w14:textId="493A4187">
      <w:pPr>
        <w:rPr>
          <w:rFonts w:ascii="Segoe UI" w:hAnsi="Segoe UI" w:cs="Segoe UI"/>
          <w:b/>
          <w:bCs/>
        </w:rPr>
      </w:pPr>
      <w:r w:rsidRPr="004B3C0D">
        <w:rPr>
          <w:rFonts w:ascii="Segoe UI" w:hAnsi="Segoe UI" w:cs="Segoe UI"/>
          <w:b/>
          <w:bCs/>
        </w:rPr>
        <w:t>LOA recruitment</w:t>
      </w:r>
    </w:p>
    <w:p w:rsidR="004B3C0D" w:rsidP="004B3C0D" w14:paraId="30B1AA6E" w14:textId="77777777">
      <w:r>
        <w:t>Outreach procedures to FNS ROs, Puerto Rico, and USVI for LOA will be the same as those described for FOA, except no FSMCs are involved in LOA, and Puerto Rico recruitment will be conducted in Spanish using translated contact materials (Appendices E09, E10, E11, E12, E13, E14, E15, E16, E17, and E18). We will recruit SFAs by following procedures like those described above for FOA:</w:t>
      </w:r>
    </w:p>
    <w:p w:rsidR="004B3C0D" w:rsidP="004B3C0D" w14:paraId="2AE41780" w14:textId="6CE4DF80">
      <w:pPr>
        <w:pStyle w:val="ListParagraph"/>
        <w:numPr>
          <w:ilvl w:val="0"/>
          <w:numId w:val="2"/>
        </w:numPr>
      </w:pPr>
      <w:r>
        <w:t xml:space="preserve">Send an email to State CN agencies to request information about the sampled SFAs (Appendices E02/E13), including study objectives (Appendices E01/E14) and sample SFA director notification (Appendices E03/E15). </w:t>
      </w:r>
    </w:p>
    <w:p w:rsidR="004B3C0D" w:rsidP="004B3C0D" w14:paraId="0B6665AA" w14:textId="68FF529B">
      <w:pPr>
        <w:pStyle w:val="ListParagraph"/>
        <w:numPr>
          <w:ilvl w:val="0"/>
          <w:numId w:val="2"/>
        </w:numPr>
      </w:pPr>
      <w:r>
        <w:t xml:space="preserve">Send an introductory letter and email from FNS to SFA directors (Appendices E04/E16), including the study overview (Appendices E01/E14). </w:t>
      </w:r>
    </w:p>
    <w:p w:rsidR="004B3C0D" w:rsidP="004B3C0D" w14:paraId="7256EE44" w14:textId="74C9F8FC">
      <w:pPr>
        <w:pStyle w:val="ListParagraph"/>
        <w:numPr>
          <w:ilvl w:val="0"/>
          <w:numId w:val="2"/>
        </w:numPr>
      </w:pPr>
      <w:r>
        <w:t xml:space="preserve">Conduct follow-up telephone calls to SFA directors and superintendents (Appendices C13/E09). </w:t>
      </w:r>
    </w:p>
    <w:p w:rsidR="004B3C0D" w:rsidP="004B3C0D" w14:paraId="0BFF99CC" w14:textId="57F0E979">
      <w:pPr>
        <w:pStyle w:val="ListParagraph"/>
        <w:numPr>
          <w:ilvl w:val="0"/>
          <w:numId w:val="2"/>
        </w:numPr>
      </w:pPr>
      <w:r>
        <w:t>Invite SFA directors to attend a webinar to learn more about the study and its importance (Appendices C11/E10).</w:t>
      </w:r>
    </w:p>
    <w:p w:rsidR="004B3C0D" w:rsidP="004B3C0D" w14:paraId="67BBDA95" w14:textId="169E271C">
      <w:pPr>
        <w:pStyle w:val="ListParagraph"/>
        <w:numPr>
          <w:ilvl w:val="0"/>
          <w:numId w:val="2"/>
        </w:numPr>
      </w:pPr>
      <w:r>
        <w:t xml:space="preserve">Complete the SFA Director Planning Interview (Appendices C16/E11) and send the SFA director a summary of the data collection in a post-planning email (Appendices E05/E18) with a document describing specific activities and respondents (Appendices C18/E12). </w:t>
      </w:r>
    </w:p>
    <w:p w:rsidR="004B3C0D" w:rsidP="004B3C0D" w14:paraId="7F25CE7B" w14:textId="21884733">
      <w:pPr>
        <w:pStyle w:val="ListParagraph"/>
        <w:numPr>
          <w:ilvl w:val="0"/>
          <w:numId w:val="2"/>
        </w:numPr>
      </w:pPr>
      <w:r>
        <w:t xml:space="preserve">Send a reminder email to SFA directors and district business managers to confirm the scheduled interview (Appendices E08/E17).  </w:t>
      </w:r>
    </w:p>
    <w:sectPr w:rsidSect="00EF55F4">
      <w:pgSz w:w="12240" w:h="15840"/>
      <w:pgMar w:top="117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302BF"/>
    <w:multiLevelType w:val="hybridMultilevel"/>
    <w:tmpl w:val="0D664B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0530FA"/>
    <w:multiLevelType w:val="hybridMultilevel"/>
    <w:tmpl w:val="3E6290BE"/>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0619199">
    <w:abstractNumId w:val="0"/>
  </w:num>
  <w:num w:numId="2" w16cid:durableId="137595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8F"/>
    <w:rsid w:val="00187642"/>
    <w:rsid w:val="00273D41"/>
    <w:rsid w:val="002A56B1"/>
    <w:rsid w:val="002A6B2A"/>
    <w:rsid w:val="002F6C72"/>
    <w:rsid w:val="003A4AEB"/>
    <w:rsid w:val="003B19CF"/>
    <w:rsid w:val="00423579"/>
    <w:rsid w:val="004B3C0D"/>
    <w:rsid w:val="004C1503"/>
    <w:rsid w:val="004E3E8F"/>
    <w:rsid w:val="005E3D8D"/>
    <w:rsid w:val="007E5C0A"/>
    <w:rsid w:val="008C0F4D"/>
    <w:rsid w:val="00E079DB"/>
    <w:rsid w:val="00E954C9"/>
    <w:rsid w:val="00EF55F4"/>
    <w:rsid w:val="00F428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7F6C6"/>
  <w15:chartTrackingRefBased/>
  <w15:docId w15:val="{795D2EFD-28DD-4A55-85B3-65402E4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E3E8F"/>
    <w:pPr>
      <w:spacing w:after="180" w:line="240" w:lineRule="auto"/>
    </w:pPr>
    <w:rPr>
      <w:sz w:val="20"/>
      <w:szCs w:val="20"/>
    </w:rPr>
  </w:style>
  <w:style w:type="character" w:customStyle="1" w:styleId="CommentTextChar">
    <w:name w:val="Comment Text Char"/>
    <w:basedOn w:val="DefaultParagraphFont"/>
    <w:link w:val="CommentText"/>
    <w:rsid w:val="004E3E8F"/>
    <w:rPr>
      <w:sz w:val="20"/>
      <w:szCs w:val="20"/>
    </w:rPr>
  </w:style>
  <w:style w:type="table" w:customStyle="1" w:styleId="D3Table-Blue">
    <w:name w:val="D3 Table-Blue"/>
    <w:basedOn w:val="TableNormal"/>
    <w:rsid w:val="004E3E8F"/>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character" w:styleId="CommentReference">
    <w:name w:val="annotation reference"/>
    <w:basedOn w:val="DefaultParagraphFont"/>
    <w:semiHidden/>
    <w:rsid w:val="004E3E8F"/>
    <w:rPr>
      <w:sz w:val="16"/>
      <w:szCs w:val="16"/>
    </w:rPr>
  </w:style>
  <w:style w:type="paragraph" w:styleId="CommentSubject">
    <w:name w:val="annotation subject"/>
    <w:basedOn w:val="CommentText"/>
    <w:next w:val="CommentText"/>
    <w:link w:val="CommentSubjectChar"/>
    <w:uiPriority w:val="99"/>
    <w:semiHidden/>
    <w:unhideWhenUsed/>
    <w:rsid w:val="004E3E8F"/>
    <w:pPr>
      <w:spacing w:after="160"/>
    </w:pPr>
    <w:rPr>
      <w:b/>
      <w:bCs/>
    </w:rPr>
  </w:style>
  <w:style w:type="character" w:customStyle="1" w:styleId="CommentSubjectChar">
    <w:name w:val="Comment Subject Char"/>
    <w:basedOn w:val="CommentTextChar"/>
    <w:link w:val="CommentSubject"/>
    <w:uiPriority w:val="99"/>
    <w:semiHidden/>
    <w:rsid w:val="004E3E8F"/>
    <w:rPr>
      <w:b/>
      <w:bCs/>
      <w:sz w:val="20"/>
      <w:szCs w:val="20"/>
    </w:rPr>
  </w:style>
  <w:style w:type="table" w:customStyle="1" w:styleId="D3Table-Blue1">
    <w:name w:val="D3 Table-Blue1"/>
    <w:basedOn w:val="TableNormal"/>
    <w:rsid w:val="008C0F4D"/>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table" w:customStyle="1" w:styleId="D3Table-Blue2">
    <w:name w:val="D3 Table-Blue2"/>
    <w:basedOn w:val="TableNormal"/>
    <w:rsid w:val="008C0F4D"/>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table" w:customStyle="1" w:styleId="D3Table-Blue3">
    <w:name w:val="D3 Table-Blue3"/>
    <w:basedOn w:val="TableNormal"/>
    <w:rsid w:val="00E954C9"/>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table" w:customStyle="1" w:styleId="D3Table-Blue4">
    <w:name w:val="D3 Table-Blue4"/>
    <w:basedOn w:val="TableNormal"/>
    <w:rsid w:val="00E954C9"/>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table" w:customStyle="1" w:styleId="D3Table-Blue5">
    <w:name w:val="D3 Table-Blue5"/>
    <w:basedOn w:val="TableNormal"/>
    <w:rsid w:val="00E954C9"/>
    <w:pPr>
      <w:spacing w:after="0" w:line="240" w:lineRule="auto"/>
    </w:pPr>
    <w:rPr>
      <w:rFonts w:eastAsia="Times New Roman" w:cs="Times New Roman"/>
      <w:color w:val="00467F"/>
      <w:sz w:val="20"/>
      <w:szCs w:val="20"/>
    </w:rPr>
    <w:tblPr>
      <w:tblBorders>
        <w:top w:val="single" w:sz="4" w:space="0" w:color="0098C8"/>
        <w:left w:val="single" w:sz="4" w:space="0" w:color="0098C8"/>
        <w:bottom w:val="single" w:sz="4" w:space="0" w:color="0098C8"/>
        <w:right w:val="single" w:sz="4" w:space="0" w:color="0098C8"/>
        <w:insideH w:val="single" w:sz="4" w:space="0" w:color="0098C8"/>
        <w:insideV w:val="single" w:sz="4" w:space="0" w:color="0098C8"/>
      </w:tblBorders>
      <w:tblCellMar>
        <w:left w:w="115" w:type="dxa"/>
        <w:right w:w="115" w:type="dxa"/>
      </w:tblCellMar>
    </w:tblPr>
    <w:tcPr>
      <w:vAlign w:val="center"/>
    </w:tcPr>
    <w:tblStylePr w:type="firstRow">
      <w:pPr>
        <w:jc w:val="center"/>
      </w:pPr>
      <w:tblPr/>
      <w:tcPr>
        <w:shd w:val="clear" w:color="auto" w:fill="BBE3F3"/>
      </w:tcPr>
    </w:tblStylePr>
    <w:tblStylePr w:type="firstCol">
      <w:pPr>
        <w:jc w:val="left"/>
      </w:pPr>
      <w:rPr>
        <w:rFonts w:ascii="Segoe UI" w:hAnsi="Segoe UI"/>
        <w:sz w:val="20"/>
      </w:rPr>
      <w:tblPr/>
      <w:tcPr>
        <w:shd w:val="clear" w:color="auto" w:fill="BBE3F3"/>
      </w:tcPr>
    </w:tblStylePr>
  </w:style>
  <w:style w:type="paragraph" w:styleId="ListParagraph">
    <w:name w:val="List Paragraph"/>
    <w:basedOn w:val="Normal"/>
    <w:uiPriority w:val="34"/>
    <w:qFormat/>
    <w:rsid w:val="004B3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03CC-DACA-4396-BF6E-DCBBD4394533}">
  <ds:schemaRefs>
    <ds:schemaRef ds:uri="http://schemas.openxmlformats.org/officeDocument/2006/bibliography"/>
  </ds:schemaRefs>
</ds:datastoreItem>
</file>

<file path=customXml/itemProps2.xml><?xml version="1.0" encoding="utf-8"?>
<ds:datastoreItem xmlns:ds="http://schemas.openxmlformats.org/officeDocument/2006/customXml" ds:itemID="{ED00B997-23BE-4010-93DB-0F3326A3B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A2811-70F1-45AC-AF9F-7715946701C4}">
  <ds:schemaRefs>
    <ds:schemaRef ds:uri="http://schemas.microsoft.com/sharepoint/v3/contenttype/forms"/>
  </ds:schemaRefs>
</ds:datastoreItem>
</file>

<file path=customXml/itemProps4.xml><?xml version="1.0" encoding="utf-8"?>
<ds:datastoreItem xmlns:ds="http://schemas.openxmlformats.org/officeDocument/2006/customXml" ds:itemID="{4D5522E0-5541-42E8-9387-0ADC77D71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Hollister</dc:creator>
  <cp:lastModifiedBy>Chaifetz, Ashley - FNS</cp:lastModifiedBy>
  <cp:revision>3</cp:revision>
  <dcterms:created xsi:type="dcterms:W3CDTF">2024-05-15T20:16:00Z</dcterms:created>
  <dcterms:modified xsi:type="dcterms:W3CDTF">2024-05-15T20:17:00Z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ies>
</file>