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11A53264"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11A53265"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11A53266" w14:textId="77777777">
      <w:pPr>
        <w:pStyle w:val="NoSpacing"/>
        <w:jc w:val="center"/>
        <w:rPr>
          <w:rFonts w:ascii="Calibri" w:hAnsi="Calibri" w:cs="Calibri"/>
          <w:b/>
          <w:sz w:val="24"/>
        </w:rPr>
      </w:pPr>
      <w:r>
        <w:rPr>
          <w:rFonts w:ascii="Calibri" w:hAnsi="Calibri" w:cs="Calibri"/>
          <w:b/>
          <w:sz w:val="24"/>
        </w:rPr>
        <w:t>U.S. Census Bureau</w:t>
      </w:r>
    </w:p>
    <w:p w:rsidR="00A11269" w:rsidRPr="00301A3B" w:rsidP="00A11269" w14:paraId="52E7191C" w14:textId="77777777">
      <w:pPr>
        <w:pStyle w:val="NoSpacing"/>
        <w:jc w:val="center"/>
        <w:rPr>
          <w:rFonts w:ascii="Calibri" w:hAnsi="Calibri" w:cs="Calibri"/>
          <w:b/>
          <w:bCs/>
          <w:sz w:val="24"/>
          <w:szCs w:val="24"/>
        </w:rPr>
      </w:pPr>
      <w:r w:rsidRPr="00301A3B">
        <w:rPr>
          <w:rFonts w:ascii="Calibri" w:hAnsi="Calibri" w:cs="Calibri"/>
          <w:b/>
          <w:bCs/>
          <w:sz w:val="24"/>
          <w:szCs w:val="24"/>
        </w:rPr>
        <w:t>American Community Survey Methods Panel: 2024 Sexual Orientation and Gender Identity Test</w:t>
      </w:r>
    </w:p>
    <w:p w:rsidR="005367D0" w:rsidRPr="00301A3B" w:rsidP="005367D0" w14:paraId="11A53268" w14:textId="30C72D88">
      <w:pPr>
        <w:pStyle w:val="NoSpacing"/>
        <w:jc w:val="center"/>
        <w:rPr>
          <w:rFonts w:ascii="Calibri" w:hAnsi="Calibri" w:cs="Calibri"/>
          <w:b/>
          <w:sz w:val="24"/>
        </w:rPr>
      </w:pPr>
      <w:r w:rsidRPr="00301A3B">
        <w:rPr>
          <w:rFonts w:ascii="Calibri" w:hAnsi="Calibri" w:cs="Calibri"/>
          <w:b/>
          <w:sz w:val="24"/>
        </w:rPr>
        <w:t>OMB Control No. 0607-</w:t>
      </w:r>
      <w:r w:rsidRPr="00301A3B" w:rsidR="00A11269">
        <w:rPr>
          <w:rFonts w:ascii="Calibri" w:hAnsi="Calibri" w:cs="Calibri"/>
          <w:b/>
          <w:sz w:val="24"/>
        </w:rPr>
        <w:t>0936</w:t>
      </w:r>
    </w:p>
    <w:p w:rsidR="00B955B7" w:rsidP="005132F3" w14:paraId="11A53269" w14:textId="77777777"/>
    <w:p w:rsidR="00B955B7" w:rsidRPr="00124446" w:rsidP="005132F3" w14:paraId="11A5326E" w14:textId="77777777">
      <w:pPr>
        <w:pStyle w:val="Heading1"/>
        <w:numPr>
          <w:ilvl w:val="0"/>
          <w:numId w:val="0"/>
        </w:numPr>
        <w:ind w:left="400" w:hanging="400"/>
      </w:pPr>
      <w:r w:rsidRPr="00124446">
        <w:t>B. Collections of Information Employing Statistical Methods</w:t>
      </w:r>
    </w:p>
    <w:p w:rsidR="00B955B7" w:rsidRPr="00124446" w:rsidP="005132F3" w14:paraId="11A53270" w14:textId="77777777">
      <w:pPr>
        <w:pStyle w:val="Heading1"/>
      </w:pPr>
      <w:bookmarkStart w:id="0" w:name="_Hlk154128527"/>
      <w:r w:rsidRPr="00124446">
        <w:t>Describe (in</w:t>
      </w:r>
      <w:r w:rsidRPr="00115ED1">
        <w:t>clu</w:t>
      </w:r>
      <w:r w:rsidRPr="00124446">
        <w:t xml:space="preserve">ding a numerical estimate) the potential respondent universe and any sampling or other respondent selection method to be used. Data on the number of entities (e.g., establishments, State and local government units, households, or persons) in </w:t>
      </w:r>
      <w:r w:rsidRPr="00124446">
        <w:rPr>
          <w:spacing w:val="-2"/>
        </w:rPr>
        <w:t xml:space="preserve">the </w:t>
      </w:r>
      <w:r w:rsidRPr="00124446">
        <w:t xml:space="preserve">universe covered by the collection and in the corresponding sample are to be provided in tabular form for the universe as a whole and for each of the strata in the proposed sample. Indicate expected response rates for the </w:t>
      </w:r>
      <w:r w:rsidRPr="00124446">
        <w:t>collection as a whole</w:t>
      </w:r>
      <w:r w:rsidRPr="00124446">
        <w:t>. If the collection had been conducted previously, include the actual response rate achieved during the last</w:t>
      </w:r>
      <w:r w:rsidRPr="00124446">
        <w:rPr>
          <w:spacing w:val="-43"/>
        </w:rPr>
        <w:t xml:space="preserve"> </w:t>
      </w:r>
      <w:r w:rsidRPr="00124446">
        <w:t>collection.</w:t>
      </w:r>
    </w:p>
    <w:p w:rsidR="00CA15F3" w:rsidRPr="007842A3" w:rsidP="005132F3" w14:paraId="3C3468D4" w14:textId="4B322946">
      <w:r>
        <w:t xml:space="preserve">For </w:t>
      </w:r>
      <w:r w:rsidRPr="005132F3">
        <w:t>the 2024 A</w:t>
      </w:r>
      <w:r w:rsidRPr="005132F3" w:rsidR="00C41B09">
        <w:t xml:space="preserve">merican </w:t>
      </w:r>
      <w:r w:rsidRPr="005132F3">
        <w:t>C</w:t>
      </w:r>
      <w:r w:rsidRPr="005132F3" w:rsidR="00C41B09">
        <w:t xml:space="preserve">ommunity </w:t>
      </w:r>
      <w:r w:rsidRPr="005132F3">
        <w:t>S</w:t>
      </w:r>
      <w:r w:rsidRPr="005132F3" w:rsidR="00C41B09">
        <w:t>urvey (ACS)</w:t>
      </w:r>
      <w:r w:rsidRPr="005132F3">
        <w:t xml:space="preserve"> Sexual Orientation and Gender Identity (SOGI) test, the U.S. Census Bureau plans to sample about 480,000 housing unit addresses. </w:t>
      </w:r>
      <w:r w:rsidRPr="005132F3" w:rsidR="003D46EB">
        <w:t>This test will exclude addresses in</w:t>
      </w:r>
      <w:r w:rsidR="003D46EB">
        <w:t xml:space="preserve"> </w:t>
      </w:r>
      <w:r w:rsidR="00E0123E">
        <w:t>R</w:t>
      </w:r>
      <w:r w:rsidR="003D46EB">
        <w:t xml:space="preserve">emote Alaska, Puerto Rico, and group quarters facilities. </w:t>
      </w:r>
      <w:r>
        <w:t xml:space="preserve">The universe of eligible </w:t>
      </w:r>
      <w:r w:rsidR="004E7166">
        <w:t>housing unit</w:t>
      </w:r>
      <w:r>
        <w:t xml:space="preserve"> addresses comes from the Census Bureau’s Master Address File </w:t>
      </w:r>
      <w:r w:rsidRPr="007842A3">
        <w:t xml:space="preserve">(MAF). For </w:t>
      </w:r>
      <w:r w:rsidRPr="007842A3" w:rsidR="007842A3">
        <w:t>more</w:t>
      </w:r>
      <w:r w:rsidRPr="007842A3">
        <w:t xml:space="preserve"> information about the MAF and how it is used for ACS sampling, see Chapter 3 </w:t>
      </w:r>
      <w:r w:rsidRPr="007842A3">
        <w:rPr>
          <w:rFonts w:asciiTheme="minorHAnsi" w:hAnsiTheme="minorHAnsi" w:cstheme="minorHAnsi"/>
        </w:rPr>
        <w:t xml:space="preserve">of the ACS </w:t>
      </w:r>
      <w:hyperlink r:id="rId9" w:history="1">
        <w:r w:rsidRPr="007842A3">
          <w:rPr>
            <w:rStyle w:val="Hyperlink"/>
            <w:rFonts w:asciiTheme="minorHAnsi" w:hAnsiTheme="minorHAnsi" w:cstheme="minorHAnsi"/>
          </w:rPr>
          <w:t>Design and Methodology Report (census.gov)</w:t>
        </w:r>
      </w:hyperlink>
      <w:r w:rsidRPr="007842A3">
        <w:rPr>
          <w:rStyle w:val="Hyperlink"/>
          <w:rFonts w:asciiTheme="minorHAnsi" w:hAnsiTheme="minorHAnsi" w:cstheme="minorHAnsi"/>
        </w:rPr>
        <w:t>.</w:t>
      </w:r>
    </w:p>
    <w:p w:rsidR="004D6E89" w:rsidP="005132F3" w14:paraId="40C3834F" w14:textId="66A23D8E">
      <w:pPr>
        <w:rPr>
          <w:i/>
          <w:iCs/>
        </w:rPr>
      </w:pPr>
      <w:bookmarkStart w:id="1" w:name="_Hlk159532514"/>
      <w:r>
        <w:t>Ab</w:t>
      </w:r>
      <w:r w:rsidRPr="09047A2F">
        <w:t xml:space="preserve">out </w:t>
      </w:r>
      <w:r>
        <w:t>476</w:t>
      </w:r>
      <w:r w:rsidRPr="09047A2F">
        <w:t>,</w:t>
      </w:r>
      <w:r>
        <w:t>0</w:t>
      </w:r>
      <w:r w:rsidRPr="09047A2F">
        <w:t xml:space="preserve">00 </w:t>
      </w:r>
      <w:r>
        <w:t>of the</w:t>
      </w:r>
      <w:r w:rsidR="007842A3">
        <w:t xml:space="preserve"> sampled</w:t>
      </w:r>
      <w:r>
        <w:t xml:space="preserve"> addresses are</w:t>
      </w:r>
      <w:r w:rsidRPr="09047A2F">
        <w:t xml:space="preserve"> </w:t>
      </w:r>
      <w:r>
        <w:t xml:space="preserve">expected to be </w:t>
      </w:r>
      <w:r w:rsidRPr="09047A2F">
        <w:t>mail</w:t>
      </w:r>
      <w:r>
        <w:t>able</w:t>
      </w:r>
      <w:r w:rsidRPr="09047A2F">
        <w:t xml:space="preserve"> </w:t>
      </w:r>
      <w:r>
        <w:t>by the U.S. Postal Service</w:t>
      </w:r>
      <w:r w:rsidRPr="09047A2F">
        <w:t xml:space="preserve">. </w:t>
      </w:r>
      <w:r w:rsidR="00AA1B82">
        <w:t xml:space="preserve">To solicit self-response, the Census Bureau sends up to five mailings to potential respondents. </w:t>
      </w:r>
      <w:r w:rsidRPr="09047A2F">
        <w:t xml:space="preserve">For addresses </w:t>
      </w:r>
      <w:r w:rsidRPr="00115ED1">
        <w:t>that were ma</w:t>
      </w:r>
      <w:r w:rsidRPr="09047A2F">
        <w:t>iled survey materials but did not respond by mail, internet, or by calling our telephone questionnaire assistance line, the Census Bureau selects a subsample of all households and assigns them to the  nonresponse follow</w:t>
      </w:r>
      <w:r w:rsidR="003D46EB">
        <w:t>-</w:t>
      </w:r>
      <w:r w:rsidRPr="09047A2F">
        <w:t xml:space="preserve">up data collection mode. Unmailable household addresses are sampled </w:t>
      </w:r>
      <w:r w:rsidRPr="09047A2F">
        <w:t xml:space="preserve">and </w:t>
      </w:r>
      <w:r w:rsidR="00B20767">
        <w:t>also</w:t>
      </w:r>
      <w:r w:rsidR="00B20767">
        <w:t xml:space="preserve"> </w:t>
      </w:r>
      <w:r w:rsidRPr="09047A2F">
        <w:t xml:space="preserve">included in the </w:t>
      </w:r>
      <w:r w:rsidR="00B20767">
        <w:t>nonresponse follow-up</w:t>
      </w:r>
      <w:r w:rsidRPr="09047A2F" w:rsidR="00B20767">
        <w:t xml:space="preserve"> </w:t>
      </w:r>
      <w:r w:rsidRPr="09047A2F">
        <w:t xml:space="preserve">data collection </w:t>
      </w:r>
      <w:r w:rsidR="00D154E6">
        <w:t>operation</w:t>
      </w:r>
      <w:r w:rsidRPr="09047A2F">
        <w:rPr>
          <w:i/>
          <w:iCs/>
        </w:rPr>
        <w:t>.</w:t>
      </w:r>
    </w:p>
    <w:bookmarkEnd w:id="1"/>
    <w:p w:rsidR="004D6E89" w:rsidP="005132F3" w14:paraId="0D6C340C" w14:textId="79C059F4">
      <w:r>
        <w:t xml:space="preserve">This approach to solicit survey response is the same as is used in the production ACS. </w:t>
      </w:r>
      <w:r w:rsidRPr="4E72004C">
        <w:t>In 20</w:t>
      </w:r>
      <w:r>
        <w:t>2</w:t>
      </w:r>
      <w:r w:rsidR="002A5C92">
        <w:t>2</w:t>
      </w:r>
      <w:r w:rsidRPr="4E72004C">
        <w:t xml:space="preserve">, </w:t>
      </w:r>
      <w:r w:rsidR="00E44CEA">
        <w:t xml:space="preserve">the </w:t>
      </w:r>
      <w:r w:rsidRPr="4E72004C">
        <w:t xml:space="preserve">final weighted response rate for ACS was </w:t>
      </w:r>
      <w:r>
        <w:t>8</w:t>
      </w:r>
      <w:r w:rsidR="002A5C92">
        <w:t>4</w:t>
      </w:r>
      <w:r w:rsidRPr="4E72004C">
        <w:t xml:space="preserve"> percent.</w:t>
      </w:r>
      <w:r>
        <w:t xml:space="preserve"> We </w:t>
      </w:r>
      <w:r w:rsidR="006339BD">
        <w:t xml:space="preserve">expect this test to achieve a similar response rate. </w:t>
      </w:r>
    </w:p>
    <w:p w:rsidR="00B955B7" w:rsidRPr="00115ED1" w:rsidP="005132F3" w14:paraId="11A53274" w14:textId="408C6CA3">
      <w:pPr>
        <w:pStyle w:val="Heading1"/>
      </w:pPr>
      <w:r w:rsidRPr="00115ED1">
        <w:rPr>
          <w:rStyle w:val="Heading1Char"/>
          <w:b/>
          <w:bCs/>
        </w:rPr>
        <w:t>Describe the procedures for the collection of information including</w:t>
      </w:r>
      <w:r w:rsidRPr="00115ED1">
        <w:t>:</w:t>
      </w:r>
    </w:p>
    <w:p w:rsidR="00B955B7" w:rsidRPr="00442F57" w:rsidP="002E67A6" w14:paraId="11A53275" w14:textId="77777777">
      <w:pPr>
        <w:pStyle w:val="Heading1"/>
        <w:numPr>
          <w:ilvl w:val="0"/>
          <w:numId w:val="10"/>
        </w:numPr>
        <w:tabs>
          <w:tab w:val="clear" w:pos="669"/>
          <w:tab w:val="left" w:pos="1080"/>
        </w:tabs>
        <w:ind w:left="630" w:firstLine="90"/>
      </w:pPr>
      <w:r w:rsidRPr="00442F57">
        <w:t>Statistical methodology for stratification and sample</w:t>
      </w:r>
      <w:r w:rsidRPr="00442F57">
        <w:rPr>
          <w:spacing w:val="-32"/>
        </w:rPr>
        <w:t xml:space="preserve"> </w:t>
      </w:r>
      <w:r w:rsidRPr="00442F57">
        <w:t>selection,</w:t>
      </w:r>
    </w:p>
    <w:p w:rsidR="00B955B7" w:rsidRPr="00442F57" w:rsidP="002E67A6" w14:paraId="11A53276" w14:textId="77777777">
      <w:pPr>
        <w:pStyle w:val="Heading1"/>
        <w:numPr>
          <w:ilvl w:val="0"/>
          <w:numId w:val="10"/>
        </w:numPr>
        <w:tabs>
          <w:tab w:val="clear" w:pos="669"/>
          <w:tab w:val="left" w:pos="1080"/>
        </w:tabs>
        <w:ind w:left="630" w:firstLine="90"/>
      </w:pPr>
      <w:r w:rsidRPr="00442F57">
        <w:t>Estimation</w:t>
      </w:r>
      <w:r w:rsidRPr="00442F57">
        <w:rPr>
          <w:spacing w:val="-2"/>
        </w:rPr>
        <w:t xml:space="preserve"> </w:t>
      </w:r>
      <w:r w:rsidRPr="00442F57">
        <w:t>procedure,</w:t>
      </w:r>
    </w:p>
    <w:p w:rsidR="00B955B7" w:rsidRPr="00442F57" w:rsidP="002E67A6" w14:paraId="11A53277" w14:textId="77777777">
      <w:pPr>
        <w:pStyle w:val="Heading1"/>
        <w:numPr>
          <w:ilvl w:val="0"/>
          <w:numId w:val="10"/>
        </w:numPr>
        <w:tabs>
          <w:tab w:val="clear" w:pos="669"/>
          <w:tab w:val="left" w:pos="1080"/>
        </w:tabs>
        <w:ind w:left="630" w:firstLine="90"/>
      </w:pPr>
      <w:r w:rsidRPr="00442F57">
        <w:t>Degree of accuracy needed for the purpose described in the</w:t>
      </w:r>
      <w:r w:rsidRPr="00442F57">
        <w:rPr>
          <w:spacing w:val="-8"/>
        </w:rPr>
        <w:t xml:space="preserve"> </w:t>
      </w:r>
      <w:r w:rsidRPr="00442F57">
        <w:t>justification,</w:t>
      </w:r>
    </w:p>
    <w:p w:rsidR="00B955B7" w:rsidRPr="00442F57" w:rsidP="002E67A6" w14:paraId="11A53278" w14:textId="77777777">
      <w:pPr>
        <w:pStyle w:val="Heading1"/>
        <w:numPr>
          <w:ilvl w:val="0"/>
          <w:numId w:val="10"/>
        </w:numPr>
        <w:tabs>
          <w:tab w:val="clear" w:pos="669"/>
          <w:tab w:val="left" w:pos="1080"/>
        </w:tabs>
        <w:ind w:left="630" w:firstLine="90"/>
      </w:pPr>
      <w:r w:rsidRPr="00442F57">
        <w:t>Unusual problems requiring specialized sampling procedures,</w:t>
      </w:r>
      <w:r w:rsidRPr="00442F57">
        <w:rPr>
          <w:spacing w:val="-3"/>
        </w:rPr>
        <w:t xml:space="preserve"> </w:t>
      </w:r>
      <w:r w:rsidRPr="00442F57">
        <w:t>and</w:t>
      </w:r>
    </w:p>
    <w:p w:rsidR="00B955B7" w:rsidRPr="00442F57" w:rsidP="002E67A6" w14:paraId="11A53279" w14:textId="77777777">
      <w:pPr>
        <w:pStyle w:val="Heading1"/>
        <w:numPr>
          <w:ilvl w:val="0"/>
          <w:numId w:val="10"/>
        </w:numPr>
        <w:tabs>
          <w:tab w:val="clear" w:pos="669"/>
          <w:tab w:val="left" w:pos="1080"/>
        </w:tabs>
        <w:ind w:left="630" w:firstLine="90"/>
      </w:pPr>
      <w:r w:rsidRPr="00442F57">
        <w:t>Any use of periodic (less frequent than annual) data collection cycles to reduce</w:t>
      </w:r>
      <w:r w:rsidRPr="00442F57">
        <w:rPr>
          <w:spacing w:val="-21"/>
        </w:rPr>
        <w:t xml:space="preserve"> </w:t>
      </w:r>
      <w:r w:rsidRPr="00442F57">
        <w:t>burden.</w:t>
      </w:r>
    </w:p>
    <w:p w:rsidR="00F86682" w:rsidP="005132F3" w14:paraId="2552245A" w14:textId="7072CA3F">
      <w:r w:rsidRPr="00671A45">
        <w:t xml:space="preserve">The </w:t>
      </w:r>
      <w:r>
        <w:t xml:space="preserve">2024 ACS SOGI </w:t>
      </w:r>
      <w:r w:rsidRPr="00671A45">
        <w:t xml:space="preserve">Test will consist of a national sample of roughly </w:t>
      </w:r>
      <w:r>
        <w:t>48</w:t>
      </w:r>
      <w:r w:rsidRPr="00671A45">
        <w:t xml:space="preserve">0,000 housing unit addresses </w:t>
      </w:r>
      <w:r>
        <w:t>equally allocated</w:t>
      </w:r>
      <w:r w:rsidRPr="00671A45">
        <w:t xml:space="preserve"> across </w:t>
      </w:r>
      <w:r>
        <w:t>four treatments</w:t>
      </w:r>
      <w:r w:rsidRPr="00671A45">
        <w:t xml:space="preserve">. The sample will not include housing units in </w:t>
      </w:r>
      <w:r w:rsidR="00E0123E">
        <w:t>R</w:t>
      </w:r>
      <w:r>
        <w:t xml:space="preserve">emote </w:t>
      </w:r>
      <w:r w:rsidRPr="00671A45">
        <w:t>Alaska</w:t>
      </w:r>
      <w:r>
        <w:t xml:space="preserve"> </w:t>
      </w:r>
      <w:r w:rsidRPr="00671A45">
        <w:t>or Puerto Rico. Group quarters facilities are out of scope for the test.</w:t>
      </w:r>
    </w:p>
    <w:p w:rsidR="00F86682" w:rsidRPr="00B53EE5" w:rsidP="005132F3" w14:paraId="5B494D29" w14:textId="112B73BC">
      <w:r w:rsidRPr="00B53EE5">
        <w:t xml:space="preserve">The sampling methodology for the test </w:t>
      </w:r>
      <w:r w:rsidR="00E453D5">
        <w:t>is based on</w:t>
      </w:r>
      <w:r w:rsidRPr="00B53EE5">
        <w:t xml:space="preserve"> the ACS production sampling procedures that employs a two-phase, two-stage sample design (see </w:t>
      </w:r>
      <w:r>
        <w:t xml:space="preserve">Chapter </w:t>
      </w:r>
      <w:r w:rsidRPr="006C1521">
        <w:t xml:space="preserve">4 of the ACS </w:t>
      </w:r>
      <w:hyperlink r:id="rId9" w:history="1">
        <w:r w:rsidRPr="006C1521">
          <w:rPr>
            <w:rStyle w:val="Hyperlink"/>
            <w:rFonts w:asciiTheme="minorHAnsi" w:hAnsiTheme="minorHAnsi" w:cstheme="minorHAnsi"/>
          </w:rPr>
          <w:t>Design and Methodology Report (census.gov)</w:t>
        </w:r>
      </w:hyperlink>
      <w:r>
        <w:t xml:space="preserve"> </w:t>
      </w:r>
      <w:r w:rsidRPr="006C1521">
        <w:t>for more information</w:t>
      </w:r>
      <w:r w:rsidRPr="00B53EE5">
        <w:t>).</w:t>
      </w:r>
    </w:p>
    <w:p w:rsidR="00F86682" w:rsidRPr="00E453D5" w:rsidP="005132F3" w14:paraId="26220E24" w14:textId="08420515">
      <w:r w:rsidRPr="00B53EE5">
        <w:t xml:space="preserve">Among addresses eligible to be sampled for the </w:t>
      </w:r>
      <w:r w:rsidR="006E4E89">
        <w:t xml:space="preserve">2024 ACS </w:t>
      </w:r>
      <w:r w:rsidRPr="00B53EE5">
        <w:t xml:space="preserve">SOGI test, a stratified systematic sampling methodology will be used to select the overall </w:t>
      </w:r>
      <w:r w:rsidRPr="00E453D5">
        <w:t xml:space="preserve">sample. </w:t>
      </w:r>
      <w:r w:rsidRPr="00E453D5" w:rsidR="00E453D5">
        <w:t xml:space="preserve">The strata were defined to increase the number of sampled households with </w:t>
      </w:r>
      <w:r w:rsidR="006E4E89">
        <w:t xml:space="preserve">sexual and </w:t>
      </w:r>
      <w:r w:rsidRPr="00E453D5" w:rsidR="00E453D5">
        <w:t>gender minorities</w:t>
      </w:r>
      <w:r w:rsidR="00BA10D9">
        <w:t xml:space="preserve"> (SGM)</w:t>
      </w:r>
      <w:r w:rsidRPr="00E453D5" w:rsidR="00E453D5">
        <w:t xml:space="preserve"> while ensuring adequate representation of rural households. </w:t>
      </w:r>
      <w:r w:rsidRPr="00E453D5">
        <w:t>There will be three sampling strata, defined based on the percent</w:t>
      </w:r>
      <w:r w:rsidR="007C68BB">
        <w:t>age</w:t>
      </w:r>
      <w:r w:rsidRPr="00E453D5">
        <w:t xml:space="preserve"> of households with a same-sex couple and percent</w:t>
      </w:r>
      <w:r w:rsidR="007C68BB">
        <w:t>age</w:t>
      </w:r>
      <w:r w:rsidRPr="00E453D5">
        <w:t xml:space="preserve"> of rural areas in the tract according to the following rules:</w:t>
      </w:r>
      <w:r>
        <w:rPr>
          <w:rStyle w:val="FootnoteReference"/>
          <w:rFonts w:asciiTheme="minorHAnsi" w:hAnsiTheme="minorHAnsi" w:cstheme="minorHAnsi"/>
        </w:rPr>
        <w:footnoteReference w:id="3"/>
      </w:r>
    </w:p>
    <w:p w:rsidR="00F86682" w:rsidRPr="00E453D5" w:rsidP="005132F3" w14:paraId="0385324E" w14:textId="14EA6DB9">
      <w:pPr>
        <w:pStyle w:val="ListParagraph"/>
      </w:pPr>
      <w:r w:rsidRPr="00E453D5">
        <w:t>Stratum 1: If the address is in a tract where the percent</w:t>
      </w:r>
      <w:r w:rsidR="007C68BB">
        <w:t>age</w:t>
      </w:r>
      <w:r w:rsidRPr="00E453D5">
        <w:t xml:space="preserve"> of households with same-sex partners is greater than or equal to 1 percent, then the address is in Stratum 1.</w:t>
      </w:r>
    </w:p>
    <w:p w:rsidR="00F86682" w:rsidRPr="00E453D5" w:rsidP="005132F3" w14:paraId="27E788CB" w14:textId="0404C601">
      <w:pPr>
        <w:pStyle w:val="ListParagraph"/>
      </w:pPr>
      <w:r w:rsidRPr="00E453D5">
        <w:t>Stratum 2: If the address is in a tract where the percent</w:t>
      </w:r>
      <w:r w:rsidR="007C68BB">
        <w:t>age</w:t>
      </w:r>
      <w:r w:rsidRPr="00E453D5">
        <w:t xml:space="preserve"> of households with same-sex partners is less than 1 percent, but the percent</w:t>
      </w:r>
      <w:r w:rsidR="007C68BB">
        <w:t>age</w:t>
      </w:r>
      <w:r w:rsidRPr="00E453D5">
        <w:t xml:space="preserve"> of addresses in the tract considered rural is greater than or equal to 50 percent, then the address is in Stratum 2.</w:t>
      </w:r>
    </w:p>
    <w:p w:rsidR="00F86682" w:rsidRPr="00E453D5" w:rsidP="005132F3" w14:paraId="78779EE5" w14:textId="40F146F0">
      <w:pPr>
        <w:pStyle w:val="ListParagraph"/>
      </w:pPr>
      <w:r w:rsidRPr="00E453D5">
        <w:t>Stratum 3: Otherwise, the address is in Stratum 3 (percent</w:t>
      </w:r>
      <w:r w:rsidR="007C68BB">
        <w:t>age</w:t>
      </w:r>
      <w:r w:rsidRPr="00E453D5">
        <w:t xml:space="preserve"> of households featuring same-sex partners in a tract is less than 1 percent and the percent</w:t>
      </w:r>
      <w:r w:rsidR="007C68BB">
        <w:t>age</w:t>
      </w:r>
      <w:r w:rsidRPr="00E453D5">
        <w:t xml:space="preserve"> of addresses in the tract considered rural is less than 50 percent).</w:t>
      </w:r>
    </w:p>
    <w:p w:rsidR="00F86682" w:rsidP="005132F3" w14:paraId="2017BE84" w14:textId="51976EBC">
      <w:r w:rsidRPr="00E453D5">
        <w:t xml:space="preserve">Addresses within defined sampling strata will be geographically sorted and selected by systematic sampling. </w:t>
      </w:r>
      <w:r w:rsidRPr="00E453D5">
        <w:t>The strata will be sampled such that 45 percent of the households in sample are from Stratum 1, 30 percent are from Stratum</w:t>
      </w:r>
      <w:r w:rsidRPr="00B53EE5">
        <w:t xml:space="preserve"> 2, and 25 percent are from Stratum 3.</w:t>
      </w:r>
    </w:p>
    <w:p w:rsidR="00F86682" w:rsidP="005132F3" w14:paraId="49F4833A" w14:textId="3FDBB64F">
      <w:r>
        <w:t xml:space="preserve">With limited data available at low levels of geography for the </w:t>
      </w:r>
      <w:r w:rsidR="00E0123E">
        <w:t>l</w:t>
      </w:r>
      <w:r w:rsidR="0015742F">
        <w:t xml:space="preserve">esbian, </w:t>
      </w:r>
      <w:r w:rsidR="00E0123E">
        <w:t>g</w:t>
      </w:r>
      <w:r w:rsidR="0015742F">
        <w:t xml:space="preserve">ay, </w:t>
      </w:r>
      <w:r w:rsidR="00E0123E">
        <w:t>b</w:t>
      </w:r>
      <w:r w:rsidR="0015742F">
        <w:t xml:space="preserve">isexual, </w:t>
      </w:r>
      <w:r w:rsidR="00E0123E">
        <w:t>t</w:t>
      </w:r>
      <w:r w:rsidR="0015742F">
        <w:t xml:space="preserve">ransgender, </w:t>
      </w:r>
      <w:r w:rsidR="00E0123E">
        <w:t>q</w:t>
      </w:r>
      <w:r w:rsidR="0015742F">
        <w:t>ueer,</w:t>
      </w:r>
      <w:r w:rsidR="004E7166">
        <w:t xml:space="preserve"> and</w:t>
      </w:r>
      <w:r w:rsidR="0015742F">
        <w:t xml:space="preserve"> </w:t>
      </w:r>
      <w:r w:rsidR="00E0123E">
        <w:t>i</w:t>
      </w:r>
      <w:r w:rsidR="0015742F">
        <w:t>ntersex (</w:t>
      </w:r>
      <w:r>
        <w:t>LGBTQ</w:t>
      </w:r>
      <w:r w:rsidR="00245185">
        <w:t>I+</w:t>
      </w:r>
      <w:r w:rsidR="0015742F">
        <w:t>)</w:t>
      </w:r>
      <w:r>
        <w:t xml:space="preserve"> populations, defining strata was a challenge. Since data on same-sex couples </w:t>
      </w:r>
      <w:r w:rsidR="007C68BB">
        <w:t>are</w:t>
      </w:r>
      <w:r>
        <w:t xml:space="preserve"> available from the 2020 Census</w:t>
      </w:r>
      <w:r w:rsidR="00104D6C">
        <w:t>,</w:t>
      </w:r>
      <w:r>
        <w:t xml:space="preserve"> we are using t</w:t>
      </w:r>
      <w:r w:rsidR="007C68BB">
        <w:t>hose data</w:t>
      </w:r>
      <w:r>
        <w:t xml:space="preserve"> as a proxy to define the strata but recognize the limitations in doing so.</w:t>
      </w:r>
      <w:r>
        <w:rPr>
          <w:rStyle w:val="FootnoteReference"/>
        </w:rPr>
        <w:footnoteReference w:id="4"/>
      </w:r>
    </w:p>
    <w:p w:rsidR="00F86682" w:rsidRPr="00B53EE5" w:rsidP="005132F3" w14:paraId="445B2787" w14:textId="79117CA4">
      <w:r>
        <w:t xml:space="preserve">Housing unit addresses selected for production ACS are not eligible to be included in the </w:t>
      </w:r>
      <w:r w:rsidR="006E4E89">
        <w:t xml:space="preserve">2024 ACS </w:t>
      </w:r>
      <w:r>
        <w:t>SOGI test.</w:t>
      </w:r>
      <w:r w:rsidR="005132F3">
        <w:t xml:space="preserve"> </w:t>
      </w:r>
      <w:r>
        <w:t xml:space="preserve">Additionally, </w:t>
      </w:r>
      <w:r w:rsidR="004E7166">
        <w:t>housing unit</w:t>
      </w:r>
      <w:r>
        <w:t xml:space="preserve"> addresses selected for the test are not eligible to be selected for production ACS for a period of </w:t>
      </w:r>
      <w:r w:rsidR="00E0123E">
        <w:t xml:space="preserve">five </w:t>
      </w:r>
      <w:r>
        <w:t>years, consistent with the ACS restriction on sampling. This avoids burdening the public again with a similar request for data.</w:t>
      </w:r>
    </w:p>
    <w:p w:rsidR="00F86682" w:rsidP="005132F3" w14:paraId="6960D5CC" w14:textId="5CF8041C">
      <w:r>
        <w:t xml:space="preserve">For the </w:t>
      </w:r>
      <w:r w:rsidR="00E0123E">
        <w:t>c</w:t>
      </w:r>
      <w:r>
        <w:t xml:space="preserve">ontent </w:t>
      </w:r>
      <w:r w:rsidR="00E0123E">
        <w:t>f</w:t>
      </w:r>
      <w:r>
        <w:t xml:space="preserve">ollow-up </w:t>
      </w:r>
      <w:r w:rsidR="007842A3">
        <w:t xml:space="preserve">(CFU) </w:t>
      </w:r>
      <w:r w:rsidR="00104D6C">
        <w:t>r</w:t>
      </w:r>
      <w:r>
        <w:t>einterview, nearly all sampled addresses from which we</w:t>
      </w:r>
      <w:r w:rsidR="007842A3">
        <w:t xml:space="preserve"> receive a response are eligible. Exceptions are made for responses that do not contain any names or contact information, for example.</w:t>
      </w:r>
      <w:r w:rsidR="002016C5">
        <w:t xml:space="preserve"> Sampling methods may be employed for CFU </w:t>
      </w:r>
      <w:r w:rsidR="00E0123E">
        <w:t>because of</w:t>
      </w:r>
      <w:r w:rsidR="002016C5">
        <w:t xml:space="preserve"> budgetary or operational reasons.</w:t>
      </w:r>
    </w:p>
    <w:bookmarkEnd w:id="0"/>
    <w:p w:rsidR="00B955B7" w:rsidRPr="00124446" w:rsidP="005132F3" w14:paraId="11A5327D" w14:textId="77777777">
      <w:pPr>
        <w:pStyle w:val="Heading1"/>
      </w:pPr>
      <w:r w:rsidRPr="00124446">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spacing w:val="-32"/>
        </w:rPr>
        <w:t xml:space="preserve"> </w:t>
      </w:r>
      <w:r w:rsidRPr="00124446">
        <w:t>studied.</w:t>
      </w:r>
    </w:p>
    <w:p w:rsidR="003D46EB" w:rsidRPr="00D67164" w:rsidP="005132F3" w14:paraId="7D98ECD5" w14:textId="6189113F">
      <w:r w:rsidRPr="00D67164">
        <w:t>Similar to</w:t>
      </w:r>
      <w:r w:rsidRPr="00D67164">
        <w:t xml:space="preserve"> the production ACS, this test will employ a well-researched mail contact strategy to encourage self-response</w:t>
      </w:r>
      <w:r w:rsidR="00D154E6">
        <w:t xml:space="preserve"> to the survey. </w:t>
      </w:r>
      <w:r w:rsidRPr="09047A2F" w:rsidR="00D154E6">
        <w:t xml:space="preserve">For addresses </w:t>
      </w:r>
      <w:r w:rsidRPr="00115ED1" w:rsidR="00D154E6">
        <w:t>that were ma</w:t>
      </w:r>
      <w:r w:rsidRPr="09047A2F" w:rsidR="00D154E6">
        <w:t xml:space="preserve">iled survey materials but did not respond by mail, internet, or by calling our telephone questionnaire assistance line, the Census Bureau selects a subsample of all households and assigns them to the </w:t>
      </w:r>
      <w:r w:rsidRPr="09047A2F" w:rsidR="00D154E6">
        <w:t>the</w:t>
      </w:r>
      <w:r w:rsidRPr="09047A2F" w:rsidR="00D154E6">
        <w:t xml:space="preserve"> nonresponse follow</w:t>
      </w:r>
      <w:r w:rsidR="00D154E6">
        <w:t>-</w:t>
      </w:r>
      <w:r w:rsidRPr="09047A2F" w:rsidR="00D154E6">
        <w:t xml:space="preserve">up data collection </w:t>
      </w:r>
      <w:r w:rsidR="00D154E6">
        <w:t>operation</w:t>
      </w:r>
      <w:r w:rsidRPr="09047A2F" w:rsidR="00D154E6">
        <w:t xml:space="preserve">. Unmailable household addresses are sampled </w:t>
      </w:r>
      <w:r w:rsidRPr="09047A2F" w:rsidR="00D154E6">
        <w:t xml:space="preserve">and </w:t>
      </w:r>
      <w:r w:rsidR="00D154E6">
        <w:t>also</w:t>
      </w:r>
      <w:r w:rsidR="00D154E6">
        <w:t xml:space="preserve"> </w:t>
      </w:r>
      <w:r w:rsidRPr="09047A2F" w:rsidR="00D154E6">
        <w:t xml:space="preserve">included in the </w:t>
      </w:r>
      <w:r w:rsidR="00D154E6">
        <w:t>nonresponse follow-up</w:t>
      </w:r>
      <w:r w:rsidRPr="09047A2F" w:rsidR="00D154E6">
        <w:t xml:space="preserve"> data collection </w:t>
      </w:r>
      <w:r w:rsidR="00D154E6">
        <w:t>operation</w:t>
      </w:r>
      <w:r w:rsidRPr="09047A2F" w:rsidR="00D154E6">
        <w:rPr>
          <w:i/>
          <w:iCs/>
        </w:rPr>
        <w:t>.</w:t>
      </w:r>
      <w:r w:rsidRPr="00D67164">
        <w:t xml:space="preserve"> </w:t>
      </w:r>
    </w:p>
    <w:p w:rsidR="00A60480" w:rsidRPr="00D67164" w:rsidP="005132F3" w14:paraId="3C9E1123" w14:textId="4F94FCCF">
      <w:r w:rsidRPr="00D67164">
        <w:t xml:space="preserve">To solicit self-response, the Census Bureau sends up to five mailings to potential respondents. The first two mailings are sent to all </w:t>
      </w:r>
      <w:r w:rsidRPr="00403664">
        <w:t xml:space="preserve">mailable addresses in the sample. </w:t>
      </w:r>
      <w:r w:rsidRPr="00D67164">
        <w:t xml:space="preserve">The first contact is a letter </w:t>
      </w:r>
      <w:r w:rsidRPr="00D67164" w:rsidR="00317EA8">
        <w:t xml:space="preserve">(Attachment A) </w:t>
      </w:r>
      <w:r w:rsidRPr="00D67164">
        <w:t xml:space="preserve">that provides instructions on how to complete the survey online, prominently displays the user identification number, explains that a paper questionnaire will be sent later if the respondent is unable to complete the survey online, and provides a phone number for respondents to call if they have questions. </w:t>
      </w:r>
    </w:p>
    <w:p w:rsidR="00A60480" w:rsidRPr="00AC354D" w:rsidP="005132F3" w14:paraId="166692DE" w14:textId="5AACF1B4">
      <w:r w:rsidRPr="00AC354D">
        <w:t xml:space="preserve">The internet version of the questionnaire is available in English and Spanish and includes questions about the </w:t>
      </w:r>
      <w:r w:rsidR="004E7166">
        <w:t>housing unit</w:t>
      </w:r>
      <w:r w:rsidRPr="00AC354D">
        <w:t xml:space="preserve"> and the people living in the </w:t>
      </w:r>
      <w:r w:rsidR="004E7166">
        <w:t>housing unit</w:t>
      </w:r>
      <w:r w:rsidRPr="00AC354D">
        <w:t xml:space="preserve">. The internet questionnaire has space to collect detailed information for </w:t>
      </w:r>
      <w:r w:rsidR="00E0123E">
        <w:t>20</w:t>
      </w:r>
      <w:r w:rsidRPr="00AC354D">
        <w:t xml:space="preserve"> people in the household. </w:t>
      </w:r>
    </w:p>
    <w:p w:rsidR="00A60480" w:rsidRPr="00403664" w:rsidP="005132F3" w14:paraId="100927B5" w14:textId="77777777">
      <w:r w:rsidRPr="00403664">
        <w:t xml:space="preserve">The second mailing, sent about a week after the first, is a letter (Attachment B) that reminds respondents to complete the survey online, thanks them if they have already done so, and informs them that a paper form will be sent </w:t>
      </w:r>
      <w:r w:rsidRPr="00403664">
        <w:t>at a later date</w:t>
      </w:r>
      <w:r w:rsidRPr="00403664">
        <w:t xml:space="preserve"> if the Census Bureau does not receive their response. This letter includes clear instructions to log in, including an explicit reference to the user identification number. </w:t>
      </w:r>
    </w:p>
    <w:p w:rsidR="00A60480" w:rsidRPr="00403664" w:rsidP="005132F3" w14:paraId="56805095" w14:textId="001D979D">
      <w:r w:rsidRPr="00403664">
        <w:t xml:space="preserve">Responding addresses are removed from </w:t>
      </w:r>
      <w:r w:rsidR="008E1266">
        <w:t xml:space="preserve">being contacted again </w:t>
      </w:r>
      <w:r w:rsidRPr="00403664">
        <w:t>after the second mailing</w:t>
      </w:r>
      <w:r w:rsidR="008E1266">
        <w:t xml:space="preserve">. The remaining nonresponding addresses </w:t>
      </w:r>
      <w:r w:rsidRPr="00403664">
        <w:t xml:space="preserve">are sent the third and fourth mailings. The third mailing is a </w:t>
      </w:r>
      <w:r w:rsidRPr="00403664">
        <w:t xml:space="preserve">paper questionnaire package (Attachment C). This package includes </w:t>
      </w:r>
      <w:r w:rsidRPr="00403664">
        <w:t xml:space="preserve">a letter, a paper questionnaire, and a business reply envelope. </w:t>
      </w:r>
      <w:r w:rsidRPr="00403664">
        <w:t xml:space="preserve">The letter reminds the household of the importance of the ACS and asks them to respond soon either by completing the survey online or by returning a completed paper questionnaire. The back of the letter includes frequently asked questions and </w:t>
      </w:r>
      <w:r w:rsidRPr="00403664">
        <w:t xml:space="preserve">provides basic information about the survey in English, Spanish, Russian, Chinese, </w:t>
      </w:r>
      <w:r w:rsidRPr="00403664">
        <w:t>Vietnamese</w:t>
      </w:r>
      <w:r w:rsidRPr="00403664">
        <w:t xml:space="preserve"> and Korean, and provides a phone number to call for assistance in each language. The paper questionnaire has room to collect data on all questions for five people and for a few questions for seven more people. </w:t>
      </w:r>
    </w:p>
    <w:p w:rsidR="00A60480" w:rsidRPr="00403664" w:rsidP="005132F3" w14:paraId="091F3A9C" w14:textId="37B95DDF">
      <w:r w:rsidRPr="00403664">
        <w:t>Four days later, these addresses are sent a fourth mailing</w:t>
      </w:r>
      <w:r w:rsidRPr="00403664">
        <w:t xml:space="preserve">. This mailing is a postcard </w:t>
      </w:r>
      <w:r w:rsidR="00317EA8">
        <w:t xml:space="preserve">(Attachment D) </w:t>
      </w:r>
      <w:r w:rsidRPr="00403664">
        <w:t>that reminds respondents to mail back the questionnaire or respond on the internet. It also informs them that an interviewer may contact them if they do not complete the survey and reminds them of the importance of the ACS.</w:t>
      </w:r>
    </w:p>
    <w:p w:rsidR="00A60480" w:rsidRPr="00403664" w:rsidP="005132F3" w14:paraId="4F4E538C" w14:textId="275CB794">
      <w:r w:rsidRPr="00403664">
        <w:t xml:space="preserve">After the fourth mailing, responding addresses are again removed from </w:t>
      </w:r>
      <w:r w:rsidR="008E1266">
        <w:t xml:space="preserve">being contacted again. The </w:t>
      </w:r>
      <w:r w:rsidR="006E4E89">
        <w:t>remaining</w:t>
      </w:r>
      <w:r w:rsidR="008E1266">
        <w:t xml:space="preserve"> nonres</w:t>
      </w:r>
      <w:r w:rsidRPr="00403664">
        <w:t>pond</w:t>
      </w:r>
      <w:r w:rsidR="008E1266">
        <w:t xml:space="preserve">ing </w:t>
      </w:r>
      <w:r w:rsidRPr="00403664">
        <w:t>sample addresses are sent the fifth mailing</w:t>
      </w:r>
      <w:r w:rsidR="000D677C">
        <w:t xml:space="preserve"> (Attachment E)</w:t>
      </w:r>
      <w:r w:rsidRPr="00403664" w:rsidR="00403664">
        <w:t xml:space="preserve">. This mailing </w:t>
      </w:r>
      <w:r w:rsidR="00317EA8">
        <w:t xml:space="preserve">is a letter that </w:t>
      </w:r>
      <w:r w:rsidRPr="00403664" w:rsidR="00403664">
        <w:t xml:space="preserve">includes a due date reminding these respondents to return their questionnaires by a specified deadline to be removed from the list of </w:t>
      </w:r>
      <w:r w:rsidR="004E7166">
        <w:t>housing unit</w:t>
      </w:r>
      <w:r w:rsidRPr="00403664" w:rsidR="00403664">
        <w:t>s that will be contacted by Census Bureau interviewers and thanks them if they have already done so. This letter includes clear instructions to log in, including an explicit reference to the user identification number and provides a telephone number to call if assistance is needed</w:t>
      </w:r>
      <w:r w:rsidRPr="00403664">
        <w:t>.</w:t>
      </w:r>
    </w:p>
    <w:p w:rsidR="00A60480" w:rsidRPr="00403664" w:rsidP="005132F3" w14:paraId="7F00A718" w14:textId="29A24D20">
      <w:r w:rsidRPr="00403664">
        <w:t xml:space="preserve">If a respondent starts to answer the survey online and provides an email address but does not complete the survey, an email (Attachment </w:t>
      </w:r>
      <w:r w:rsidR="000D677C">
        <w:t>F</w:t>
      </w:r>
      <w:r w:rsidRPr="00403664">
        <w:t>) will be sent to the respondent to remind them to return to the survey to complete their online questionnaire. This email includes a link to the online survey</w:t>
      </w:r>
      <w:r w:rsidR="00104D6C">
        <w:t xml:space="preserve"> and</w:t>
      </w:r>
      <w:r w:rsidRPr="00403664">
        <w:t xml:space="preserve"> clear instructions to log in, including an explicit reference to the user identification number. This email is sent only once to a respondent, either prior to the third mailing or prior to the fifth mailing depending on when they started filling out the online survey. </w:t>
      </w:r>
    </w:p>
    <w:p w:rsidR="003D46EB" w:rsidRPr="00403664" w:rsidP="005132F3" w14:paraId="332AFFC2" w14:textId="14D004AF">
      <w:r w:rsidRPr="00D67164">
        <w:t xml:space="preserve">The Census Bureau provides </w:t>
      </w:r>
      <w:r w:rsidRPr="00D67164" w:rsidR="00CF738F">
        <w:t>telephone questionnaire assistance (</w:t>
      </w:r>
      <w:r w:rsidRPr="00D67164">
        <w:t>TQA</w:t>
      </w:r>
      <w:r w:rsidRPr="00D67164" w:rsidR="00CF738F">
        <w:t>)</w:t>
      </w:r>
      <w:r w:rsidRPr="00D67164">
        <w:t xml:space="preserve"> for respondents who need assistance with completing the paper or internet questionnaires</w:t>
      </w:r>
      <w:r w:rsidRPr="00403664" w:rsidR="00403664">
        <w:t xml:space="preserve"> or who have questions about the survey. </w:t>
      </w:r>
      <w:r w:rsidR="00D154E6">
        <w:t xml:space="preserve">Respondents may also complete the interview over the phone with a TQA interviewer. </w:t>
      </w:r>
      <w:r w:rsidRPr="00403664" w:rsidR="00403664">
        <w:t xml:space="preserve">Respondents may call the ACS toll-free TQA numbers listed on various ACS mail materials, including information </w:t>
      </w:r>
      <w:r w:rsidR="00104D6C">
        <w:t xml:space="preserve">in </w:t>
      </w:r>
      <w:r w:rsidRPr="00403664" w:rsidR="00403664">
        <w:t>and telephone numbers dedicated to</w:t>
      </w:r>
      <w:r w:rsidR="00104D6C">
        <w:t xml:space="preserve"> </w:t>
      </w:r>
      <w:r w:rsidRPr="00403664" w:rsidR="00403664">
        <w:t xml:space="preserve">the Spanish, Chinese, Vietnamese, Korean, Japanese, and Russian languages. </w:t>
      </w:r>
    </w:p>
    <w:p w:rsidR="00317EA8" w:rsidP="005132F3" w14:paraId="6FBA2B59" w14:textId="5A97A195">
      <w:r w:rsidRPr="00403664">
        <w:t>A</w:t>
      </w:r>
      <w:r w:rsidRPr="00403664" w:rsidR="003D46EB">
        <w:t xml:space="preserve">fter the fifth mailing is sent, responding addresses are removed and the unmailable and undeliverable addresses (from the initial sample) are added to create the universe of addresses eligible for </w:t>
      </w:r>
      <w:r w:rsidRPr="00403664">
        <w:t>a n</w:t>
      </w:r>
      <w:r w:rsidRPr="00403664" w:rsidR="003D46EB">
        <w:t xml:space="preserve">onresponse </w:t>
      </w:r>
      <w:r w:rsidRPr="00403664">
        <w:t>f</w:t>
      </w:r>
      <w:r w:rsidRPr="00403664" w:rsidR="003D46EB">
        <w:t>ollow</w:t>
      </w:r>
      <w:r w:rsidR="00104D6C">
        <w:t>-</w:t>
      </w:r>
      <w:r w:rsidRPr="00403664" w:rsidR="003D46EB">
        <w:t xml:space="preserve">up </w:t>
      </w:r>
      <w:r w:rsidRPr="00403664">
        <w:t>interview</w:t>
      </w:r>
      <w:r w:rsidR="00104D6C">
        <w:t xml:space="preserve"> </w:t>
      </w:r>
      <w:r w:rsidRPr="00403664" w:rsidR="003D46EB">
        <w:t xml:space="preserve">. Of this universe, a subsample is chosen to be included. A pressure seal reminder letter is sent to all mailable addresses sampled for </w:t>
      </w:r>
      <w:r w:rsidRPr="00403664">
        <w:t>the follow</w:t>
      </w:r>
      <w:r w:rsidR="00E0123E">
        <w:t>-</w:t>
      </w:r>
      <w:r w:rsidRPr="00403664">
        <w:t>up interview</w:t>
      </w:r>
      <w:r w:rsidRPr="00403664" w:rsidR="003D46EB">
        <w:t xml:space="preserve"> at the start of the interviewing month</w:t>
      </w:r>
      <w:r w:rsidRPr="00403664" w:rsidR="00403664">
        <w:t>.</w:t>
      </w:r>
      <w:r w:rsidRPr="00403664" w:rsidR="003D46EB">
        <w:t xml:space="preserve"> This letter lets respondents know that a Census Bureau</w:t>
      </w:r>
      <w:r>
        <w:t xml:space="preserve"> interviewer</w:t>
      </w:r>
      <w:r w:rsidRPr="00403664" w:rsidR="003D46EB">
        <w:t xml:space="preserve"> may call or visit them to complete the interview and encourages them to complete the survey online, if possible. </w:t>
      </w:r>
      <w:r w:rsidR="000D677C">
        <w:t xml:space="preserve">This letter has not been finalized for the </w:t>
      </w:r>
      <w:r w:rsidR="008E1266">
        <w:t xml:space="preserve">2024 ACS </w:t>
      </w:r>
      <w:r w:rsidR="000D677C">
        <w:t xml:space="preserve">SOGI </w:t>
      </w:r>
      <w:r w:rsidR="008E1266">
        <w:t>T</w:t>
      </w:r>
      <w:r w:rsidR="00104D6C">
        <w:t>est but</w:t>
      </w:r>
      <w:r w:rsidR="000D677C">
        <w:t xml:space="preserve"> will be </w:t>
      </w:r>
      <w:r w:rsidR="000D677C">
        <w:t>similar to</w:t>
      </w:r>
      <w:r w:rsidR="000D677C">
        <w:t xml:space="preserve"> the ACS </w:t>
      </w:r>
      <w:r w:rsidR="007249AE">
        <w:t xml:space="preserve">production </w:t>
      </w:r>
      <w:r w:rsidR="000D677C">
        <w:t xml:space="preserve">letter (see Attachment G). The final letter will be provided to OMB as a </w:t>
      </w:r>
      <w:r w:rsidR="000D677C">
        <w:t>nonsubstantive</w:t>
      </w:r>
      <w:r w:rsidR="000D677C">
        <w:t xml:space="preserve"> change request prior to use in the field. </w:t>
      </w:r>
    </w:p>
    <w:p w:rsidR="007249AE" w:rsidP="005132F3" w14:paraId="33F73264" w14:textId="6A46B45E">
      <w:r>
        <w:t xml:space="preserve">During </w:t>
      </w:r>
      <w:r w:rsidR="00D154E6">
        <w:t>the nonresponse follow-up data collection operation</w:t>
      </w:r>
      <w:r>
        <w:t xml:space="preserve">, </w:t>
      </w:r>
      <w:r w:rsidRPr="00403664" w:rsidR="003D46EB">
        <w:t xml:space="preserve">Census Bureau </w:t>
      </w:r>
      <w:r>
        <w:t>interviewer</w:t>
      </w:r>
      <w:r w:rsidRPr="00403664" w:rsidR="003D46EB">
        <w:t>s first attempt to</w:t>
      </w:r>
      <w:r w:rsidRPr="00403664" w:rsidR="00CF738F">
        <w:t xml:space="preserve"> conduct an </w:t>
      </w:r>
      <w:r w:rsidRPr="00403664" w:rsidR="003D46EB">
        <w:t>interview by phone</w:t>
      </w:r>
      <w:r w:rsidRPr="00403664" w:rsidR="00CF738F">
        <w:t>, in most cases</w:t>
      </w:r>
      <w:r w:rsidRPr="00403664" w:rsidR="003D46EB">
        <w:t xml:space="preserve">. If the </w:t>
      </w:r>
      <w:r>
        <w:t>interviewer</w:t>
      </w:r>
      <w:r w:rsidRPr="00403664" w:rsidR="003D46EB">
        <w:t xml:space="preserve"> is unable to complete </w:t>
      </w:r>
      <w:r w:rsidRPr="00403664" w:rsidR="003D46EB">
        <w:t>a phone interview, they visit the address to conduct an in-person interview.</w:t>
      </w:r>
      <w:r>
        <w:t xml:space="preserve"> </w:t>
      </w:r>
      <w:r w:rsidRPr="00403664" w:rsidR="007C4480">
        <w:t xml:space="preserve">The interviewers have several materials available to explain the ACS to households. </w:t>
      </w:r>
      <w:r>
        <w:t xml:space="preserve">The materials described below are the same as those used in the production ACS and are available in English, Spanish, and other languages. </w:t>
      </w:r>
    </w:p>
    <w:p w:rsidR="007C4480" w:rsidP="005132F3" w14:paraId="5BFCA3A5" w14:textId="6D2FFC56">
      <w:r w:rsidRPr="00403664">
        <w:t xml:space="preserve">Interviewers may provide an introductory letter and the </w:t>
      </w:r>
      <w:r w:rsidR="004E7166">
        <w:t xml:space="preserve">housing unit </w:t>
      </w:r>
      <w:r w:rsidRPr="00403664">
        <w:t xml:space="preserve">informational brochure to respondents during the initial contact. The introductory letter provides respondents with a better understanding of the ACS, and how their information is kept confidential. The </w:t>
      </w:r>
      <w:r w:rsidR="004E7166">
        <w:t>housing unit</w:t>
      </w:r>
      <w:r w:rsidRPr="00403664">
        <w:t xml:space="preserve"> informational brochure helps respondents understand the value of ACS data, how people use ACS data to help their communities, and how to contact a regional office by telephone for additional questions. The letter and brochure </w:t>
      </w:r>
      <w:r w:rsidR="007249AE">
        <w:t xml:space="preserve">in English </w:t>
      </w:r>
      <w:r w:rsidRPr="00403664">
        <w:t xml:space="preserve">are included in Attachment </w:t>
      </w:r>
      <w:r w:rsidR="000D677C">
        <w:t>H</w:t>
      </w:r>
      <w:r w:rsidRPr="00403664">
        <w:t>.</w:t>
      </w:r>
    </w:p>
    <w:p w:rsidR="00403664" w:rsidRPr="00403664" w:rsidP="005132F3" w14:paraId="061EC5C4" w14:textId="5C0D4112">
      <w:r>
        <w:t>T</w:t>
      </w:r>
      <w:r w:rsidRPr="00403664">
        <w:t xml:space="preserve">he interviewers may also </w:t>
      </w:r>
      <w:r w:rsidR="00A77E23">
        <w:t xml:space="preserve">request that </w:t>
      </w:r>
      <w:r w:rsidRPr="00403664">
        <w:t xml:space="preserve">additional materials </w:t>
      </w:r>
      <w:r w:rsidR="00A77E23">
        <w:t xml:space="preserve">are mailed </w:t>
      </w:r>
      <w:r w:rsidRPr="00403664">
        <w:t xml:space="preserve">to households depending on questions raised by potential respondents. The “better understanding” letter emphasizes the confidentiality of the survey data and the benefits of the survey to motivate response. The ACS uses </w:t>
      </w:r>
      <w:r w:rsidR="00104D6C">
        <w:t>a</w:t>
      </w:r>
      <w:r w:rsidRPr="00403664">
        <w:t xml:space="preserve"> </w:t>
      </w:r>
      <w:r w:rsidR="00104D6C">
        <w:t>“</w:t>
      </w:r>
      <w:r w:rsidRPr="00403664">
        <w:t>confidentiality letter</w:t>
      </w:r>
      <w:r w:rsidR="00104D6C">
        <w:t>”</w:t>
      </w:r>
      <w:r w:rsidRPr="00403664">
        <w:t xml:space="preserve"> when a respondent indicates they have specific concerns about their response being kept confidential or their data being secure. The ACS sends </w:t>
      </w:r>
      <w:r w:rsidR="00104D6C">
        <w:t>a</w:t>
      </w:r>
      <w:r w:rsidRPr="00403664">
        <w:t xml:space="preserve"> </w:t>
      </w:r>
      <w:r w:rsidR="00104D6C">
        <w:t>“</w:t>
      </w:r>
      <w:r w:rsidRPr="00403664">
        <w:t>refusal letter</w:t>
      </w:r>
      <w:r w:rsidR="00104D6C">
        <w:t>”</w:t>
      </w:r>
      <w:r w:rsidRPr="00403664">
        <w:t xml:space="preserve"> when a respondent explicitly refuses to participate in the survey. The letter is short and to the point regarding confidentiality and the legal requirements to participate. It provides response options and emphasizes that the respondent will be contacted again soon to complete the interview. A Frequently Asked Questions brochure is given to reluctant respondents to provide answers to frequently asked questions regarding the ACS including information about the ACS, how the data are used, and protections for participant information. The letters and brochure </w:t>
      </w:r>
      <w:r w:rsidR="007249AE">
        <w:t xml:space="preserve">in English </w:t>
      </w:r>
      <w:r w:rsidRPr="00403664">
        <w:t xml:space="preserve">are included in Attachment </w:t>
      </w:r>
      <w:r>
        <w:t>H</w:t>
      </w:r>
      <w:r w:rsidRPr="00403664">
        <w:t>.</w:t>
      </w:r>
    </w:p>
    <w:p w:rsidR="00403664" w:rsidRPr="00403664" w:rsidP="005132F3" w14:paraId="3681B53B" w14:textId="414F7315">
      <w:r w:rsidRPr="00403664">
        <w:t xml:space="preserve">Interviewers have three types of letters available to send to addresses that interviewers are unable to contact. The ACS sends a “no one home” letter to an address when the interviewer is unable to </w:t>
      </w:r>
      <w:r w:rsidRPr="00403664" w:rsidR="00C80F0F">
        <w:t>contact</w:t>
      </w:r>
      <w:r w:rsidRPr="00403664">
        <w:t xml:space="preserve"> anyone at the sample address but thinks someone lives there. It emphasizes the confidentiality of the survey data and the benefits of the survey to motivate response. The respondent is told to call the interviewer or go online to respond. The ACS sends the “please call me” letter to respondents to encourage response. This letter can be used in lieu of other letters. The letter is short and straight to the point, as research with similar letters has shown to be highly successful in gaining response. The ACS uses the </w:t>
      </w:r>
      <w:r w:rsidR="00104D6C">
        <w:t>“f</w:t>
      </w:r>
      <w:r w:rsidRPr="00403664">
        <w:t xml:space="preserve">inal </w:t>
      </w:r>
      <w:r w:rsidR="00104D6C">
        <w:t>a</w:t>
      </w:r>
      <w:r w:rsidRPr="00403664">
        <w:t>ttempt</w:t>
      </w:r>
      <w:r w:rsidR="00104D6C">
        <w:t>”</w:t>
      </w:r>
      <w:r w:rsidRPr="00403664">
        <w:t xml:space="preserve"> letter at the end of the data collection period. The letter is short; it expresses the uniqueness of being selected for the survey, the legal requirement for participation, and the different ways to respond. The letters </w:t>
      </w:r>
      <w:r w:rsidR="007249AE">
        <w:t xml:space="preserve">in English </w:t>
      </w:r>
      <w:r w:rsidRPr="00403664">
        <w:t xml:space="preserve">are included in Attachment </w:t>
      </w:r>
      <w:r w:rsidR="00267AB4">
        <w:t>H</w:t>
      </w:r>
      <w:r w:rsidRPr="00403664">
        <w:t>.</w:t>
      </w:r>
    </w:p>
    <w:p w:rsidR="00403664" w:rsidRPr="00403664" w:rsidP="005132F3" w14:paraId="43F5F642" w14:textId="07679DBF">
      <w:r w:rsidRPr="00403664">
        <w:t xml:space="preserve">If the interviewer is having access issues, three types of letters are available. The </w:t>
      </w:r>
      <w:r w:rsidR="00104D6C">
        <w:t>“</w:t>
      </w:r>
      <w:r w:rsidRPr="00403664">
        <w:t>management letter for multiunit buildings</w:t>
      </w:r>
      <w:r w:rsidR="00104D6C">
        <w:t>”</w:t>
      </w:r>
      <w:r w:rsidRPr="00403664">
        <w:t xml:space="preserve"> help</w:t>
      </w:r>
      <w:r w:rsidR="00104D6C">
        <w:t>s</w:t>
      </w:r>
      <w:r w:rsidRPr="00403664">
        <w:t xml:space="preserve"> interviewers gain access to multiunit buildings when they cannot directly access the sampled address. The </w:t>
      </w:r>
      <w:r w:rsidR="00104D6C">
        <w:t>“</w:t>
      </w:r>
      <w:r w:rsidRPr="00403664">
        <w:t>management letter for gated communities</w:t>
      </w:r>
      <w:r w:rsidR="00104D6C">
        <w:t>”</w:t>
      </w:r>
      <w:r w:rsidRPr="00403664">
        <w:t xml:space="preserve"> helps interviewers gain access to addresses located in gated communities. A “seasonal </w:t>
      </w:r>
      <w:r w:rsidR="00A77E23">
        <w:t>home</w:t>
      </w:r>
      <w:r w:rsidRPr="00403664">
        <w:t xml:space="preserve">” letter is sent when the field representative suspects that the sampled address is only used seasonally and cannot </w:t>
      </w:r>
      <w:r w:rsidRPr="00403664" w:rsidR="00C80F0F">
        <w:t>contact</w:t>
      </w:r>
      <w:r w:rsidRPr="00403664">
        <w:t xml:space="preserve"> anyone at the sample address. Field representatives may send this </w:t>
      </w:r>
      <w:r w:rsidRPr="00403664">
        <w:t xml:space="preserve">letter to someone who may be able to verify that the unit is seasonal. The letters </w:t>
      </w:r>
      <w:r w:rsidR="007249AE">
        <w:t xml:space="preserve">in English </w:t>
      </w:r>
      <w:r w:rsidRPr="00403664">
        <w:t xml:space="preserve">are included in Attachment </w:t>
      </w:r>
      <w:r w:rsidR="00267AB4">
        <w:t>H</w:t>
      </w:r>
      <w:r w:rsidRPr="00403664">
        <w:t>.</w:t>
      </w:r>
    </w:p>
    <w:p w:rsidR="00403664" w:rsidRPr="00403664" w:rsidP="005132F3" w14:paraId="4D110B6D" w14:textId="66554621">
      <w:r w:rsidRPr="00403664">
        <w:t xml:space="preserve">Finally, the interviewer may also give a </w:t>
      </w:r>
      <w:r w:rsidR="00104D6C">
        <w:t>“</w:t>
      </w:r>
      <w:r w:rsidRPr="00403664">
        <w:t>thank you</w:t>
      </w:r>
      <w:r w:rsidR="00104D6C">
        <w:t>”</w:t>
      </w:r>
      <w:r w:rsidRPr="00403664">
        <w:t xml:space="preserve"> bookmark to respondents who completed the interview in person or may send a </w:t>
      </w:r>
      <w:r w:rsidR="00104D6C">
        <w:t>“</w:t>
      </w:r>
      <w:r w:rsidRPr="00403664">
        <w:t>thank you</w:t>
      </w:r>
      <w:r w:rsidR="00104D6C">
        <w:t>”</w:t>
      </w:r>
      <w:r w:rsidRPr="00403664">
        <w:t xml:space="preserve"> letter to respondents who completed the interview by phone. These materials thank the respondent for their participation and let them know they may be contacted for quality assurance purposes. These thank you materials </w:t>
      </w:r>
      <w:r w:rsidR="007249AE">
        <w:t xml:space="preserve">in English </w:t>
      </w:r>
      <w:r w:rsidRPr="00403664">
        <w:t xml:space="preserve">are included in Attachment </w:t>
      </w:r>
      <w:r w:rsidR="00267AB4">
        <w:t>H</w:t>
      </w:r>
      <w:r w:rsidR="00C2372A">
        <w:t>.</w:t>
      </w:r>
    </w:p>
    <w:p w:rsidR="00775E10" w:rsidRPr="00D67164" w:rsidP="005132F3" w14:paraId="29202BD7" w14:textId="32E639C2">
      <w:r w:rsidRPr="00403664">
        <w:t xml:space="preserve">Data collection instruments are available to respondents and interviewers in English </w:t>
      </w:r>
      <w:r w:rsidR="007249AE">
        <w:t xml:space="preserve">(Attachment I) </w:t>
      </w:r>
      <w:r w:rsidRPr="00403664">
        <w:t>and Spanish</w:t>
      </w:r>
      <w:r w:rsidR="00267AB4">
        <w:t xml:space="preserve"> (Attachment </w:t>
      </w:r>
      <w:r w:rsidR="007249AE">
        <w:t>J</w:t>
      </w:r>
      <w:r w:rsidR="00267AB4">
        <w:t>)</w:t>
      </w:r>
      <w:r w:rsidRPr="00403664">
        <w:t xml:space="preserve">. </w:t>
      </w:r>
      <w:r w:rsidR="00D154E6">
        <w:t>W</w:t>
      </w:r>
      <w:r>
        <w:t xml:space="preserve">ording </w:t>
      </w:r>
      <w:r w:rsidR="00D154E6">
        <w:t xml:space="preserve">is presented for in-person interviews, but telephone interview wording </w:t>
      </w:r>
      <w:r>
        <w:t xml:space="preserve">will be the same or very similar (the only differences would be related to administering the mode). Flashcards will also be used for </w:t>
      </w:r>
      <w:r w:rsidR="00D154E6">
        <w:t>in person interviews</w:t>
      </w:r>
      <w:r>
        <w:t>. T</w:t>
      </w:r>
      <w:r w:rsidRPr="00D67164">
        <w:t xml:space="preserve">he Census Bureau will provide </w:t>
      </w:r>
      <w:r>
        <w:t>an update</w:t>
      </w:r>
      <w:r w:rsidRPr="00D67164">
        <w:t xml:space="preserve"> to OMB via a Non-Substantive Change Request</w:t>
      </w:r>
      <w:r>
        <w:t xml:space="preserve"> with the final materials</w:t>
      </w:r>
      <w:r w:rsidRPr="00D67164">
        <w:t xml:space="preserve">. </w:t>
      </w:r>
    </w:p>
    <w:p w:rsidR="00832FF8" w:rsidRPr="00D67164" w:rsidP="005132F3" w14:paraId="36100375" w14:textId="768133E0">
      <w:r w:rsidRPr="00D67164">
        <w:t xml:space="preserve">The </w:t>
      </w:r>
      <w:r w:rsidRPr="00115ED1">
        <w:t xml:space="preserve">large sample size needed for this test creates operational and budgetary challenges in administering this test. Therefore, the sample will be split between two monthly panels. </w:t>
      </w:r>
      <w:r w:rsidRPr="00115ED1" w:rsidR="007C4480">
        <w:t>Each panel will follow the multimode data collection process outlined above. The self-response phase of this last</w:t>
      </w:r>
      <w:r w:rsidR="008E1266">
        <w:t>s</w:t>
      </w:r>
      <w:r w:rsidRPr="00115ED1" w:rsidR="007C4480">
        <w:t xml:space="preserve"> for roughly</w:t>
      </w:r>
      <w:r w:rsidRPr="00D67164" w:rsidR="007C4480">
        <w:t xml:space="preserve"> </w:t>
      </w:r>
      <w:r w:rsidR="00E0123E">
        <w:t>two</w:t>
      </w:r>
      <w:r w:rsidRPr="00D67164" w:rsidR="007C4480">
        <w:t xml:space="preserve"> months for each panel. </w:t>
      </w:r>
      <w:r w:rsidRPr="00D67164" w:rsidR="007C4480">
        <w:t>The nonresponse follow-up portion of the test ,</w:t>
      </w:r>
      <w:r w:rsidRPr="00D67164" w:rsidR="007C4480">
        <w:t xml:space="preserve"> typically takes place in the third month of data collection following the self-response phase. </w:t>
      </w:r>
      <w:r w:rsidRPr="00E0123E" w:rsidR="00E0123E">
        <w:rPr>
          <w:b/>
          <w:bCs/>
        </w:rPr>
        <w:t>Because of</w:t>
      </w:r>
      <w:r w:rsidRPr="00C80F0F" w:rsidR="007C4480">
        <w:rPr>
          <w:b/>
        </w:rPr>
        <w:t xml:space="preserve"> operational and budgetary considerations, the </w:t>
      </w:r>
      <w:r w:rsidR="00D154E6">
        <w:rPr>
          <w:b/>
        </w:rPr>
        <w:t>nonresponse follow-up</w:t>
      </w:r>
      <w:r w:rsidRPr="00C80F0F" w:rsidR="00D154E6">
        <w:rPr>
          <w:b/>
        </w:rPr>
        <w:t xml:space="preserve"> </w:t>
      </w:r>
      <w:r w:rsidRPr="00C80F0F" w:rsidR="007C4480">
        <w:rPr>
          <w:b/>
        </w:rPr>
        <w:t xml:space="preserve">portion of the test will </w:t>
      </w:r>
      <w:r w:rsidR="009C04B9">
        <w:rPr>
          <w:b/>
        </w:rPr>
        <w:t>be delayed to spring 2025</w:t>
      </w:r>
      <w:r w:rsidRPr="00C80F0F" w:rsidR="007C4480">
        <w:rPr>
          <w:b/>
        </w:rPr>
        <w:t xml:space="preserve">. Additionally, the </w:t>
      </w:r>
      <w:r w:rsidR="00D154E6">
        <w:rPr>
          <w:b/>
        </w:rPr>
        <w:t>nonresponse follow-up</w:t>
      </w:r>
      <w:r w:rsidR="00B20767">
        <w:rPr>
          <w:b/>
        </w:rPr>
        <w:t xml:space="preserve"> </w:t>
      </w:r>
      <w:r w:rsidRPr="00C80F0F" w:rsidR="007C4480">
        <w:rPr>
          <w:b/>
        </w:rPr>
        <w:t>workload may be spread across multiple months.</w:t>
      </w:r>
      <w:r w:rsidR="006339BD">
        <w:rPr>
          <w:b/>
        </w:rPr>
        <w:t xml:space="preserve"> </w:t>
      </w:r>
      <w:r w:rsidRPr="006339BD" w:rsidR="006339BD">
        <w:rPr>
          <w:bCs/>
        </w:rPr>
        <w:t xml:space="preserve">The delay in </w:t>
      </w:r>
      <w:r w:rsidR="00D154E6">
        <w:rPr>
          <w:bCs/>
        </w:rPr>
        <w:t xml:space="preserve">the nonresponse follow-up </w:t>
      </w:r>
      <w:r w:rsidRPr="006339BD" w:rsidR="006339BD">
        <w:rPr>
          <w:bCs/>
        </w:rPr>
        <w:t>administratio</w:t>
      </w:r>
      <w:r w:rsidR="006339BD">
        <w:rPr>
          <w:bCs/>
        </w:rPr>
        <w:t xml:space="preserve">n could result in lower response rates, but we have no experience or literature to draw on to determine the impact. </w:t>
      </w:r>
    </w:p>
    <w:p w:rsidR="00245185" w:rsidP="005132F3" w14:paraId="4AD87DCC" w14:textId="460ABE7E">
      <w:r w:rsidRPr="00D67164">
        <w:t xml:space="preserve">As part of the test a CFU reinterview will also be conducted. The CFU reinterview provides the data to assess response reliability. </w:t>
      </w:r>
      <w:r w:rsidRPr="00D67164" w:rsidR="00A934DA">
        <w:t xml:space="preserve">CFU has historically </w:t>
      </w:r>
      <w:r w:rsidRPr="00403664" w:rsidR="00403664">
        <w:t>been</w:t>
      </w:r>
      <w:r w:rsidRPr="00D67164" w:rsidR="00A934DA">
        <w:t xml:space="preserve"> conducted as a telephone follow-up</w:t>
      </w:r>
      <w:r w:rsidR="00AC354D">
        <w:t xml:space="preserve"> only</w:t>
      </w:r>
      <w:r w:rsidRPr="00D67164" w:rsidR="00A934DA">
        <w:t xml:space="preserve">. </w:t>
      </w:r>
      <w:r w:rsidR="00E0123E">
        <w:t>Because of</w:t>
      </w:r>
      <w:r w:rsidRPr="00D67164" w:rsidR="00A934DA">
        <w:t xml:space="preserve"> the size of this test</w:t>
      </w:r>
      <w:r w:rsidR="00AA1B82">
        <w:t xml:space="preserve"> and due to decreasing telephone response rates</w:t>
      </w:r>
      <w:r w:rsidRPr="00D67164" w:rsidR="00A934DA">
        <w:t xml:space="preserve">, we will use both an internet CFU and a telephone CFU for this test. Respondents who initially respond online will be sent </w:t>
      </w:r>
      <w:r>
        <w:t>a notice</w:t>
      </w:r>
      <w:r w:rsidRPr="00D67164" w:rsidR="00A934DA">
        <w:t xml:space="preserve"> inviting them to complete </w:t>
      </w:r>
      <w:r>
        <w:t>the CFU</w:t>
      </w:r>
      <w:r w:rsidRPr="00D67164" w:rsidR="00A934DA">
        <w:t xml:space="preserve"> follow-up surve</w:t>
      </w:r>
      <w:r>
        <w:t xml:space="preserve">y online. They will also receive a reminder mailing (if a response hasn’t been received) and an </w:t>
      </w:r>
      <w:r w:rsidRPr="00D67164" w:rsidR="00A934DA">
        <w:t>email reminder</w:t>
      </w:r>
      <w:r>
        <w:t xml:space="preserve"> (if a response hasn’t been received</w:t>
      </w:r>
      <w:r w:rsidRPr="00267AB4">
        <w:t>)</w:t>
      </w:r>
      <w:r w:rsidRPr="00267AB4" w:rsidR="00403664">
        <w:t>.</w:t>
      </w:r>
      <w:r w:rsidRPr="00267AB4" w:rsidR="00A934DA">
        <w:t xml:space="preserve"> </w:t>
      </w:r>
      <w:r w:rsidRPr="00267AB4">
        <w:t xml:space="preserve">See Attachment </w:t>
      </w:r>
      <w:r w:rsidR="007249AE">
        <w:t>K</w:t>
      </w:r>
      <w:r w:rsidRPr="00267AB4">
        <w:t xml:space="preserve">. </w:t>
      </w:r>
      <w:r w:rsidRPr="00267AB4" w:rsidR="00A934DA">
        <w:t xml:space="preserve">Respondents who initially respond via the paper questionnaire will </w:t>
      </w:r>
      <w:r w:rsidR="00104D6C">
        <w:t xml:space="preserve">be eligible to </w:t>
      </w:r>
      <w:r w:rsidRPr="00267AB4">
        <w:t xml:space="preserve">complete the CFU by </w:t>
      </w:r>
      <w:r w:rsidRPr="00267AB4" w:rsidR="00A934DA">
        <w:t>telephone</w:t>
      </w:r>
      <w:r w:rsidRPr="00267AB4">
        <w:t>.</w:t>
      </w:r>
      <w:r w:rsidRPr="00267AB4" w:rsidR="00A934DA">
        <w:t xml:space="preserve"> </w:t>
      </w:r>
      <w:r w:rsidRPr="00267AB4">
        <w:t>To</w:t>
      </w:r>
      <w:r w:rsidRPr="00267AB4" w:rsidR="00A934DA">
        <w:t xml:space="preserve"> improve response rates to the telephone CFU</w:t>
      </w:r>
      <w:r w:rsidR="00104D6C">
        <w:t>,</w:t>
      </w:r>
      <w:r w:rsidRPr="00267AB4" w:rsidR="00A934DA">
        <w:t xml:space="preserve"> we will</w:t>
      </w:r>
      <w:r w:rsidRPr="00267AB4">
        <w:t xml:space="preserve"> send a prenotice letter</w:t>
      </w:r>
      <w:r w:rsidRPr="00267AB4" w:rsidR="00A934DA">
        <w:t xml:space="preserve"> </w:t>
      </w:r>
      <w:r w:rsidRPr="00267AB4">
        <w:t>informing them of the follow-up survey (see Attachment</w:t>
      </w:r>
      <w:r w:rsidRPr="00267AB4" w:rsidR="00267AB4">
        <w:t xml:space="preserve"> </w:t>
      </w:r>
      <w:r w:rsidR="007249AE">
        <w:t>K</w:t>
      </w:r>
      <w:r w:rsidRPr="00267AB4">
        <w:t>). Telephone interviewers will then call the</w:t>
      </w:r>
      <w:r>
        <w:t xml:space="preserve"> households to complete the CFU interview over the phone.</w:t>
      </w:r>
      <w:r w:rsidRPr="00D67164" w:rsidR="00A934DA">
        <w:t xml:space="preserve"> </w:t>
      </w:r>
    </w:p>
    <w:p w:rsidR="002859B8" w:rsidRPr="00D67164" w:rsidP="005132F3" w14:paraId="77F5596A" w14:textId="613CB896">
      <w:r w:rsidRPr="00D67164">
        <w:t xml:space="preserve">Respondents who respond during the </w:t>
      </w:r>
      <w:r w:rsidR="00D154E6">
        <w:t>nonresponse follow-up data collection</w:t>
      </w:r>
      <w:r w:rsidRPr="00D67164" w:rsidR="00D154E6">
        <w:t xml:space="preserve"> </w:t>
      </w:r>
      <w:r w:rsidRPr="00D67164">
        <w:t xml:space="preserve">operation will also be asked to complete the </w:t>
      </w:r>
      <w:r w:rsidRPr="00403664" w:rsidR="00403664">
        <w:t xml:space="preserve">telephone </w:t>
      </w:r>
      <w:r w:rsidR="007249AE">
        <w:t>CFU</w:t>
      </w:r>
      <w:r w:rsidRPr="00D67164">
        <w:t xml:space="preserve">. </w:t>
      </w:r>
      <w:r w:rsidR="007249AE">
        <w:t xml:space="preserve">Prenotice materials, like a letter, will be used as well. </w:t>
      </w:r>
      <w:r w:rsidRPr="00D67164">
        <w:t xml:space="preserve">The </w:t>
      </w:r>
      <w:r w:rsidR="007249AE">
        <w:t xml:space="preserve">exact </w:t>
      </w:r>
      <w:r w:rsidRPr="00D67164">
        <w:t xml:space="preserve">methods of contact and </w:t>
      </w:r>
      <w:r w:rsidR="007249AE">
        <w:t>materials</w:t>
      </w:r>
      <w:r w:rsidRPr="00D67164">
        <w:t xml:space="preserve"> for that operation are still to be determined</w:t>
      </w:r>
      <w:r w:rsidR="007249AE">
        <w:t xml:space="preserve"> but will look </w:t>
      </w:r>
      <w:r w:rsidR="007249AE">
        <w:t>similar to</w:t>
      </w:r>
      <w:r w:rsidR="007249AE">
        <w:t xml:space="preserve"> those provided in Attachment K. T</w:t>
      </w:r>
      <w:r w:rsidRPr="00D67164">
        <w:t xml:space="preserve">he Census Bureau will provide </w:t>
      </w:r>
      <w:r w:rsidR="00775E10">
        <w:t>an update</w:t>
      </w:r>
      <w:r w:rsidRPr="00D67164">
        <w:t xml:space="preserve"> to OMB via a Non-Substantive Change Request</w:t>
      </w:r>
      <w:r w:rsidR="00775E10">
        <w:t xml:space="preserve"> with the final materials</w:t>
      </w:r>
      <w:r w:rsidRPr="00D67164">
        <w:t xml:space="preserve">. </w:t>
      </w:r>
    </w:p>
    <w:p w:rsidR="00B955B7" w:rsidRPr="00124446" w:rsidP="005132F3" w14:paraId="11A53282" w14:textId="77777777">
      <w:pPr>
        <w:pStyle w:val="Heading1"/>
      </w:pPr>
      <w:r w:rsidRPr="00124446">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spacing w:val="-4"/>
        </w:rPr>
        <w:t xml:space="preserve"> </w:t>
      </w:r>
      <w:r w:rsidRPr="00124446">
        <w:t>information.</w:t>
      </w:r>
    </w:p>
    <w:p w:rsidR="00942196" w:rsidRPr="006E0A0D" w:rsidP="005132F3" w14:paraId="11A53285" w14:textId="7F8CF36B">
      <w:r w:rsidRPr="006E0A0D">
        <w:t>T</w:t>
      </w:r>
      <w:r w:rsidRPr="006E0A0D" w:rsidR="00774472">
        <w:t>he Census Bureau received requests from federal agencies to add SOGI questions to the ACS. These requests identified legal uses for this information, including civil rights and equal employment enforcement, which met the strict requirements for adding survey content to the ACS.</w:t>
      </w:r>
    </w:p>
    <w:p w:rsidR="00E453D5" w:rsidP="005132F3" w14:paraId="253EB254" w14:textId="7609E3A2">
      <w:r w:rsidRPr="006E0A0D">
        <w:t xml:space="preserve">The test </w:t>
      </w:r>
      <w:r w:rsidRPr="0036402A">
        <w:t xml:space="preserve">will include new questions about </w:t>
      </w:r>
      <w:r w:rsidR="00E0123E">
        <w:t>s</w:t>
      </w:r>
      <w:r w:rsidRPr="0036402A">
        <w:t xml:space="preserve">exual </w:t>
      </w:r>
      <w:r w:rsidR="00E0123E">
        <w:t>o</w:t>
      </w:r>
      <w:r w:rsidRPr="0036402A">
        <w:t xml:space="preserve">rientation and </w:t>
      </w:r>
      <w:r w:rsidR="00E0123E">
        <w:t>g</w:t>
      </w:r>
      <w:r w:rsidRPr="0036402A">
        <w:t xml:space="preserve">ender </w:t>
      </w:r>
      <w:r w:rsidR="00E0123E">
        <w:t>i</w:t>
      </w:r>
      <w:r w:rsidRPr="0036402A">
        <w:t xml:space="preserve">dentity. </w:t>
      </w:r>
      <w:r w:rsidRPr="0036402A">
        <w:t xml:space="preserve">Sexual </w:t>
      </w:r>
      <w:r w:rsidR="00E0123E">
        <w:t>o</w:t>
      </w:r>
      <w:r w:rsidRPr="0036402A">
        <w:t xml:space="preserve">rientation will be measured with one question. Gender </w:t>
      </w:r>
      <w:r w:rsidR="00E0123E">
        <w:t>i</w:t>
      </w:r>
      <w:r w:rsidRPr="0036402A">
        <w:t xml:space="preserve">dentity will be measured with a two-part series: </w:t>
      </w:r>
      <w:r w:rsidR="00E0123E">
        <w:t>s</w:t>
      </w:r>
      <w:r w:rsidRPr="0036402A">
        <w:t xml:space="preserve">ex </w:t>
      </w:r>
      <w:r w:rsidR="00E0123E">
        <w:t>a</w:t>
      </w:r>
      <w:r w:rsidRPr="0036402A">
        <w:t xml:space="preserve">ssigned at </w:t>
      </w:r>
      <w:r w:rsidR="00E0123E">
        <w:t>b</w:t>
      </w:r>
      <w:r w:rsidRPr="0036402A">
        <w:t xml:space="preserve">irth and </w:t>
      </w:r>
      <w:r w:rsidR="00E0123E">
        <w:t>c</w:t>
      </w:r>
      <w:r w:rsidRPr="0036402A">
        <w:t xml:space="preserve">urrent </w:t>
      </w:r>
      <w:r w:rsidR="00E0123E">
        <w:t>g</w:t>
      </w:r>
      <w:r w:rsidRPr="0036402A">
        <w:t xml:space="preserve">ender. Two wording treatments will be tested for the </w:t>
      </w:r>
      <w:r w:rsidR="00E0123E">
        <w:t>c</w:t>
      </w:r>
      <w:r w:rsidRPr="0036402A">
        <w:t xml:space="preserve">urrent </w:t>
      </w:r>
      <w:r w:rsidR="00E0123E">
        <w:t>g</w:t>
      </w:r>
      <w:r w:rsidRPr="0036402A">
        <w:t xml:space="preserve">ender question. </w:t>
      </w:r>
      <w:r w:rsidRPr="0036402A" w:rsidR="00DE0199">
        <w:t xml:space="preserve">Version 1 </w:t>
      </w:r>
      <w:r w:rsidR="008C2270">
        <w:t xml:space="preserve">of the </w:t>
      </w:r>
      <w:r w:rsidR="00E0123E">
        <w:t>c</w:t>
      </w:r>
      <w:r w:rsidR="008C2270">
        <w:t xml:space="preserve">urrent </w:t>
      </w:r>
      <w:r w:rsidR="00E0123E">
        <w:t>g</w:t>
      </w:r>
      <w:r w:rsidR="008C2270">
        <w:t xml:space="preserve">ender question </w:t>
      </w:r>
      <w:r w:rsidRPr="0036402A" w:rsidR="00DE0199">
        <w:t xml:space="preserve">will allow for only one response category to </w:t>
      </w:r>
      <w:r w:rsidRPr="0036402A" w:rsidR="00D707C8">
        <w:t>be selected;</w:t>
      </w:r>
      <w:r w:rsidRPr="0036402A" w:rsidR="00DE0199">
        <w:t xml:space="preserve"> Version 2 will allow for multiple response categories to be selected.</w:t>
      </w:r>
    </w:p>
    <w:p w:rsidR="0036402A" w:rsidRPr="009C04B9" w:rsidP="009C04B9" w14:paraId="7738355B" w14:textId="419CF632">
      <w:pPr>
        <w:pStyle w:val="TableTitle"/>
      </w:pPr>
      <w:r w:rsidRPr="009C04B9">
        <w:t>Table 1. Wording Treatments</w:t>
      </w:r>
      <w:r w:rsidRPr="009C04B9" w:rsidR="00D707C8">
        <w:t xml:space="preserve"> Experimental Design</w:t>
      </w:r>
    </w:p>
    <w:tbl>
      <w:tblPr>
        <w:tblStyle w:val="PlainTable2"/>
        <w:tblW w:w="8460" w:type="dxa"/>
        <w:tblInd w:w="450" w:type="dxa"/>
        <w:tblLook w:val="04A0"/>
      </w:tblPr>
      <w:tblGrid>
        <w:gridCol w:w="4680"/>
        <w:gridCol w:w="2070"/>
        <w:gridCol w:w="1710"/>
      </w:tblGrid>
      <w:tr w14:paraId="05836650" w14:textId="77777777" w:rsidTr="00E0123E">
        <w:tblPrEx>
          <w:tblW w:w="8460" w:type="dxa"/>
          <w:tblInd w:w="450" w:type="dxa"/>
          <w:tblLook w:val="04A0"/>
        </w:tblPrEx>
        <w:trPr>
          <w:trHeight w:val="350"/>
        </w:trPr>
        <w:tc>
          <w:tcPr>
            <w:tcW w:w="4680" w:type="dxa"/>
          </w:tcPr>
          <w:p w:rsidR="00E453D5" w:rsidRPr="009C04B9" w:rsidP="009C04B9" w14:paraId="49B210B3" w14:textId="77777777">
            <w:pPr>
              <w:pStyle w:val="TableText"/>
              <w:rPr>
                <w:b/>
                <w:bCs/>
              </w:rPr>
            </w:pPr>
            <w:r w:rsidRPr="009C04B9">
              <w:rPr>
                <w:b/>
                <w:bCs/>
              </w:rPr>
              <w:t>Topic</w:t>
            </w:r>
          </w:p>
        </w:tc>
        <w:tc>
          <w:tcPr>
            <w:tcW w:w="2070" w:type="dxa"/>
          </w:tcPr>
          <w:p w:rsidR="00E453D5" w:rsidRPr="009C04B9" w:rsidP="009C04B9" w14:paraId="4F37913F" w14:textId="4E02C574">
            <w:pPr>
              <w:pStyle w:val="TableText"/>
              <w:rPr>
                <w:b/>
                <w:bCs/>
              </w:rPr>
            </w:pPr>
            <w:r w:rsidRPr="009C04B9">
              <w:rPr>
                <w:b/>
                <w:bCs/>
              </w:rPr>
              <w:t>Treatment 1</w:t>
            </w:r>
          </w:p>
        </w:tc>
        <w:tc>
          <w:tcPr>
            <w:tcW w:w="1710" w:type="dxa"/>
          </w:tcPr>
          <w:p w:rsidR="00E453D5" w:rsidRPr="009C04B9" w:rsidP="009C04B9" w14:paraId="2A07FF71" w14:textId="239D9351">
            <w:pPr>
              <w:pStyle w:val="TableText"/>
              <w:rPr>
                <w:b/>
                <w:bCs/>
              </w:rPr>
            </w:pPr>
            <w:r w:rsidRPr="009C04B9">
              <w:rPr>
                <w:b/>
                <w:bCs/>
              </w:rPr>
              <w:t>Treatment 2</w:t>
            </w:r>
          </w:p>
        </w:tc>
      </w:tr>
      <w:tr w14:paraId="024ACD91" w14:textId="77777777" w:rsidTr="00E0123E">
        <w:tblPrEx>
          <w:tblW w:w="8460" w:type="dxa"/>
          <w:tblInd w:w="450" w:type="dxa"/>
          <w:tblLook w:val="04A0"/>
        </w:tblPrEx>
        <w:tc>
          <w:tcPr>
            <w:tcW w:w="4680" w:type="dxa"/>
          </w:tcPr>
          <w:p w:rsidR="00E453D5" w:rsidRPr="009C04B9" w:rsidP="009C04B9" w14:paraId="1CF8AD15" w14:textId="0B8C63F6">
            <w:pPr>
              <w:pStyle w:val="TableText"/>
            </w:pPr>
            <w:r w:rsidRPr="009C04B9">
              <w:t xml:space="preserve">Sex </w:t>
            </w:r>
            <w:r w:rsidR="00E0123E">
              <w:t>A</w:t>
            </w:r>
            <w:r w:rsidRPr="009C04B9" w:rsidR="00104D6C">
              <w:t xml:space="preserve">ssigned </w:t>
            </w:r>
            <w:r w:rsidRPr="009C04B9">
              <w:t xml:space="preserve">at Birth </w:t>
            </w:r>
            <w:r w:rsidR="00E0123E">
              <w:t>Q</w:t>
            </w:r>
            <w:r w:rsidRPr="009C04B9">
              <w:t xml:space="preserve">uestion </w:t>
            </w:r>
            <w:r w:rsidR="00E0123E">
              <w:t>W</w:t>
            </w:r>
            <w:r w:rsidRPr="009C04B9">
              <w:t>ording</w:t>
            </w:r>
          </w:p>
        </w:tc>
        <w:tc>
          <w:tcPr>
            <w:tcW w:w="2070" w:type="dxa"/>
          </w:tcPr>
          <w:p w:rsidR="00E453D5" w:rsidRPr="009C04B9" w:rsidP="009C04B9" w14:paraId="0B14C3F1" w14:textId="77777777">
            <w:pPr>
              <w:pStyle w:val="TableText"/>
              <w:rPr>
                <w:b w:val="0"/>
                <w:bCs w:val="0"/>
              </w:rPr>
            </w:pPr>
            <w:r w:rsidRPr="009C04B9">
              <w:rPr>
                <w:b w:val="0"/>
                <w:bCs w:val="0"/>
              </w:rPr>
              <w:t>Version 1</w:t>
            </w:r>
          </w:p>
        </w:tc>
        <w:tc>
          <w:tcPr>
            <w:tcW w:w="1710" w:type="dxa"/>
          </w:tcPr>
          <w:p w:rsidR="00E453D5" w:rsidRPr="009C04B9" w:rsidP="009C04B9" w14:paraId="3F2DC50D" w14:textId="77777777">
            <w:pPr>
              <w:pStyle w:val="TableText"/>
              <w:rPr>
                <w:b w:val="0"/>
                <w:bCs w:val="0"/>
              </w:rPr>
            </w:pPr>
            <w:r w:rsidRPr="009C04B9">
              <w:rPr>
                <w:b w:val="0"/>
                <w:bCs w:val="0"/>
              </w:rPr>
              <w:t>Version 1</w:t>
            </w:r>
          </w:p>
        </w:tc>
      </w:tr>
      <w:tr w14:paraId="300FB895" w14:textId="77777777" w:rsidTr="00E0123E">
        <w:tblPrEx>
          <w:tblW w:w="8460" w:type="dxa"/>
          <w:tblInd w:w="450" w:type="dxa"/>
          <w:tblLook w:val="04A0"/>
        </w:tblPrEx>
        <w:tc>
          <w:tcPr>
            <w:tcW w:w="4680" w:type="dxa"/>
          </w:tcPr>
          <w:p w:rsidR="00E453D5" w:rsidRPr="009C04B9" w:rsidP="009C04B9" w14:paraId="0ABCDFBD" w14:textId="1AADBD9B">
            <w:pPr>
              <w:pStyle w:val="TableText"/>
            </w:pPr>
            <w:r w:rsidRPr="009C04B9">
              <w:t>Current</w:t>
            </w:r>
            <w:r w:rsidRPr="009C04B9" w:rsidR="00DE0199">
              <w:t xml:space="preserve"> </w:t>
            </w:r>
            <w:r w:rsidRPr="009C04B9">
              <w:t xml:space="preserve">Gender </w:t>
            </w:r>
            <w:r w:rsidR="00E0123E">
              <w:t>Q</w:t>
            </w:r>
            <w:r w:rsidRPr="009C04B9">
              <w:t xml:space="preserve">uestion </w:t>
            </w:r>
            <w:r w:rsidR="00E0123E">
              <w:t>W</w:t>
            </w:r>
            <w:r w:rsidRPr="009C04B9">
              <w:t>ording</w:t>
            </w:r>
          </w:p>
        </w:tc>
        <w:tc>
          <w:tcPr>
            <w:tcW w:w="2070" w:type="dxa"/>
          </w:tcPr>
          <w:p w:rsidR="00E453D5" w:rsidRPr="009C04B9" w:rsidP="009C04B9" w14:paraId="0AE001A6" w14:textId="77777777">
            <w:pPr>
              <w:pStyle w:val="TableText"/>
              <w:rPr>
                <w:b w:val="0"/>
                <w:bCs w:val="0"/>
              </w:rPr>
            </w:pPr>
            <w:r w:rsidRPr="009C04B9">
              <w:rPr>
                <w:b w:val="0"/>
                <w:bCs w:val="0"/>
              </w:rPr>
              <w:t>Version 1</w:t>
            </w:r>
          </w:p>
        </w:tc>
        <w:tc>
          <w:tcPr>
            <w:tcW w:w="1710" w:type="dxa"/>
          </w:tcPr>
          <w:p w:rsidR="00E453D5" w:rsidRPr="009C04B9" w:rsidP="009C04B9" w14:paraId="36884F9A" w14:textId="77777777">
            <w:pPr>
              <w:pStyle w:val="TableText"/>
              <w:rPr>
                <w:b w:val="0"/>
                <w:bCs w:val="0"/>
              </w:rPr>
            </w:pPr>
            <w:r w:rsidRPr="009C04B9">
              <w:rPr>
                <w:b w:val="0"/>
                <w:bCs w:val="0"/>
              </w:rPr>
              <w:t>Version 2</w:t>
            </w:r>
          </w:p>
        </w:tc>
      </w:tr>
      <w:tr w14:paraId="3DEC759E" w14:textId="77777777" w:rsidTr="00E0123E">
        <w:tblPrEx>
          <w:tblW w:w="8460" w:type="dxa"/>
          <w:tblInd w:w="450" w:type="dxa"/>
          <w:tblLook w:val="04A0"/>
        </w:tblPrEx>
        <w:tc>
          <w:tcPr>
            <w:tcW w:w="4680" w:type="dxa"/>
          </w:tcPr>
          <w:p w:rsidR="00E453D5" w:rsidRPr="009C04B9" w:rsidP="009C04B9" w14:paraId="3879B93E" w14:textId="67BDD11A">
            <w:pPr>
              <w:pStyle w:val="TableText"/>
            </w:pPr>
            <w:r w:rsidRPr="009C04B9">
              <w:t xml:space="preserve">Sexual Orientation </w:t>
            </w:r>
            <w:r w:rsidR="00E0123E">
              <w:t>Q</w:t>
            </w:r>
            <w:r w:rsidRPr="009C04B9">
              <w:t xml:space="preserve">uestion </w:t>
            </w:r>
            <w:r w:rsidR="00E0123E">
              <w:t>W</w:t>
            </w:r>
            <w:r w:rsidRPr="009C04B9">
              <w:t>ording</w:t>
            </w:r>
          </w:p>
        </w:tc>
        <w:tc>
          <w:tcPr>
            <w:tcW w:w="2070" w:type="dxa"/>
          </w:tcPr>
          <w:p w:rsidR="00E453D5" w:rsidRPr="009C04B9" w:rsidP="009C04B9" w14:paraId="30C455B1" w14:textId="77777777">
            <w:pPr>
              <w:pStyle w:val="TableText"/>
              <w:rPr>
                <w:b w:val="0"/>
                <w:bCs w:val="0"/>
              </w:rPr>
            </w:pPr>
            <w:r w:rsidRPr="009C04B9">
              <w:rPr>
                <w:b w:val="0"/>
                <w:bCs w:val="0"/>
              </w:rPr>
              <w:t>Version 1</w:t>
            </w:r>
          </w:p>
        </w:tc>
        <w:tc>
          <w:tcPr>
            <w:tcW w:w="1710" w:type="dxa"/>
          </w:tcPr>
          <w:p w:rsidR="00E453D5" w:rsidRPr="009C04B9" w:rsidP="009C04B9" w14:paraId="77E11B3F" w14:textId="77777777">
            <w:pPr>
              <w:pStyle w:val="TableText"/>
              <w:rPr>
                <w:b w:val="0"/>
                <w:bCs w:val="0"/>
              </w:rPr>
            </w:pPr>
            <w:r w:rsidRPr="009C04B9">
              <w:rPr>
                <w:b w:val="0"/>
                <w:bCs w:val="0"/>
              </w:rPr>
              <w:t>Version 1</w:t>
            </w:r>
          </w:p>
        </w:tc>
      </w:tr>
    </w:tbl>
    <w:p w:rsidR="00E453D5" w:rsidRPr="009C04B9" w:rsidP="009C04B9" w14:paraId="25410037" w14:textId="18501000">
      <w:pPr>
        <w:pStyle w:val="TextAfterTable"/>
      </w:pPr>
      <w:r w:rsidRPr="009C04B9">
        <w:t xml:space="preserve">In addition to testing question wording, for the internet instrument we will also test how the write-in for </w:t>
      </w:r>
      <w:r w:rsidR="00E0123E">
        <w:t>c</w:t>
      </w:r>
      <w:r w:rsidRPr="009C04B9">
        <w:t xml:space="preserve">urrent </w:t>
      </w:r>
      <w:r w:rsidR="00E0123E">
        <w:t>g</w:t>
      </w:r>
      <w:r w:rsidRPr="009C04B9">
        <w:t xml:space="preserve">ender and </w:t>
      </w:r>
      <w:r w:rsidR="00E0123E">
        <w:t>s</w:t>
      </w:r>
      <w:r w:rsidRPr="009C04B9">
        <w:t xml:space="preserve">exual </w:t>
      </w:r>
      <w:r w:rsidR="00E0123E">
        <w:t>o</w:t>
      </w:r>
      <w:r w:rsidRPr="009C04B9">
        <w:t>rientation is displayed</w:t>
      </w:r>
      <w:r w:rsidRPr="009C04B9" w:rsidR="00C76BF5">
        <w:t>.</w:t>
      </w:r>
      <w:r w:rsidRPr="009C04B9" w:rsidR="0036402A">
        <w:t xml:space="preserve"> (Sex </w:t>
      </w:r>
      <w:r w:rsidR="00E0123E">
        <w:t>a</w:t>
      </w:r>
      <w:r w:rsidRPr="009C04B9" w:rsidR="00104D6C">
        <w:t xml:space="preserve">ssigned </w:t>
      </w:r>
      <w:r w:rsidRPr="009C04B9" w:rsidR="0036402A">
        <w:t xml:space="preserve">at </w:t>
      </w:r>
      <w:r w:rsidR="00E0123E">
        <w:t>b</w:t>
      </w:r>
      <w:r w:rsidRPr="009C04B9" w:rsidR="0036402A">
        <w:t>irth does not have a write-in</w:t>
      </w:r>
      <w:r w:rsidRPr="009C04B9" w:rsidR="00C76BF5">
        <w:t>.</w:t>
      </w:r>
      <w:r w:rsidRPr="009C04B9" w:rsidR="0036402A">
        <w:t>)</w:t>
      </w:r>
      <w:r w:rsidRPr="009C04B9">
        <w:t xml:space="preserve"> In Version A, </w:t>
      </w:r>
      <w:r w:rsidRPr="009C04B9" w:rsidR="00331F17">
        <w:t xml:space="preserve">the respondent will see </w:t>
      </w:r>
      <w:r w:rsidRPr="009C04B9" w:rsidR="00C76BF5">
        <w:t>all</w:t>
      </w:r>
      <w:r w:rsidRPr="009C04B9" w:rsidR="00331F17">
        <w:t xml:space="preserve"> the response categories along with </w:t>
      </w:r>
      <w:r w:rsidRPr="009C04B9">
        <w:t>the write-in w</w:t>
      </w:r>
      <w:r w:rsidRPr="009C04B9" w:rsidR="00331F17">
        <w:t>hich will</w:t>
      </w:r>
      <w:r w:rsidRPr="009C04B9">
        <w:t xml:space="preserve"> be displayed next to the “This person uses a different term” category. In Version B, only the response categories will be displayed. After a respondent selects “This person uses a different term” </w:t>
      </w:r>
      <w:r w:rsidRPr="009C04B9" w:rsidR="005132F3">
        <w:t>a</w:t>
      </w:r>
      <w:r w:rsidR="00E0123E">
        <w:t>nd</w:t>
      </w:r>
      <w:r w:rsidRPr="009C04B9" w:rsidR="005132F3">
        <w:t xml:space="preserve"> clicks the “next” button, </w:t>
      </w:r>
      <w:r w:rsidRPr="009C04B9">
        <w:t>a new question will prompt the respondent to write-in the term.</w:t>
      </w:r>
    </w:p>
    <w:p w:rsidR="0036402A" w:rsidRPr="00D707C8" w:rsidP="009C04B9" w14:paraId="513124B7" w14:textId="0CE7E5D3">
      <w:pPr>
        <w:pStyle w:val="TableTitle"/>
      </w:pPr>
      <w:r w:rsidRPr="00D707C8">
        <w:t>Table 2. Write-in Display Treatments</w:t>
      </w:r>
      <w:r w:rsidRPr="00D707C8" w:rsidR="00D707C8">
        <w:t xml:space="preserve"> Experimental Design</w:t>
      </w:r>
    </w:p>
    <w:tbl>
      <w:tblPr>
        <w:tblStyle w:val="PlainTable2"/>
        <w:tblW w:w="7650" w:type="dxa"/>
        <w:tblInd w:w="450" w:type="dxa"/>
        <w:tblLook w:val="04A0"/>
      </w:tblPr>
      <w:tblGrid>
        <w:gridCol w:w="3870"/>
        <w:gridCol w:w="1800"/>
        <w:gridCol w:w="1980"/>
      </w:tblGrid>
      <w:tr w14:paraId="181CF20B" w14:textId="77777777" w:rsidTr="00C80371">
        <w:tblPrEx>
          <w:tblW w:w="7650" w:type="dxa"/>
          <w:tblInd w:w="450" w:type="dxa"/>
          <w:tblLook w:val="04A0"/>
        </w:tblPrEx>
        <w:trPr>
          <w:trHeight w:val="350"/>
        </w:trPr>
        <w:tc>
          <w:tcPr>
            <w:tcW w:w="3870" w:type="dxa"/>
          </w:tcPr>
          <w:p w:rsidR="00DE0199" w:rsidRPr="009C04B9" w:rsidP="009C04B9" w14:paraId="5013E059" w14:textId="77777777">
            <w:pPr>
              <w:pStyle w:val="TableText"/>
              <w:rPr>
                <w:b/>
                <w:bCs/>
              </w:rPr>
            </w:pPr>
            <w:r w:rsidRPr="009C04B9">
              <w:rPr>
                <w:b/>
                <w:bCs/>
              </w:rPr>
              <w:t>Topic</w:t>
            </w:r>
          </w:p>
        </w:tc>
        <w:tc>
          <w:tcPr>
            <w:tcW w:w="1800" w:type="dxa"/>
          </w:tcPr>
          <w:p w:rsidR="00DE0199" w:rsidRPr="009C04B9" w:rsidP="009C04B9" w14:paraId="2592A5AD" w14:textId="060718C0">
            <w:pPr>
              <w:pStyle w:val="TableText"/>
              <w:rPr>
                <w:b/>
                <w:bCs/>
              </w:rPr>
            </w:pPr>
            <w:r w:rsidRPr="009C04B9">
              <w:rPr>
                <w:b/>
                <w:bCs/>
              </w:rPr>
              <w:t>Treatment A</w:t>
            </w:r>
          </w:p>
        </w:tc>
        <w:tc>
          <w:tcPr>
            <w:tcW w:w="1980" w:type="dxa"/>
          </w:tcPr>
          <w:p w:rsidR="00DE0199" w:rsidRPr="009C04B9" w:rsidP="009C04B9" w14:paraId="05EAB48B" w14:textId="031E1BF6">
            <w:pPr>
              <w:pStyle w:val="TableText"/>
              <w:rPr>
                <w:b/>
                <w:bCs/>
              </w:rPr>
            </w:pPr>
            <w:r w:rsidRPr="009C04B9">
              <w:rPr>
                <w:b/>
                <w:bCs/>
              </w:rPr>
              <w:t>Treatment B</w:t>
            </w:r>
          </w:p>
        </w:tc>
      </w:tr>
      <w:tr w14:paraId="6BEEB0E2" w14:textId="77777777" w:rsidTr="00C80371">
        <w:tblPrEx>
          <w:tblW w:w="7650" w:type="dxa"/>
          <w:tblInd w:w="450" w:type="dxa"/>
          <w:tblLook w:val="04A0"/>
        </w:tblPrEx>
        <w:tc>
          <w:tcPr>
            <w:tcW w:w="3870" w:type="dxa"/>
          </w:tcPr>
          <w:p w:rsidR="00DE0199" w:rsidRPr="009C04B9" w:rsidP="009C04B9" w14:paraId="720951D0" w14:textId="0A9779E7">
            <w:pPr>
              <w:pStyle w:val="TableText"/>
            </w:pPr>
            <w:r w:rsidRPr="009C04B9">
              <w:t xml:space="preserve">Current Gender </w:t>
            </w:r>
            <w:r w:rsidR="00E0123E">
              <w:t>W</w:t>
            </w:r>
            <w:r w:rsidRPr="009C04B9">
              <w:t>rite-</w:t>
            </w:r>
            <w:r w:rsidR="00E0123E">
              <w:t>I</w:t>
            </w:r>
            <w:r w:rsidRPr="009C04B9">
              <w:t xml:space="preserve">n </w:t>
            </w:r>
            <w:r w:rsidR="00E0123E">
              <w:t>D</w:t>
            </w:r>
            <w:r w:rsidRPr="009C04B9">
              <w:t>isplay</w:t>
            </w:r>
          </w:p>
        </w:tc>
        <w:tc>
          <w:tcPr>
            <w:tcW w:w="1800" w:type="dxa"/>
          </w:tcPr>
          <w:p w:rsidR="00DE0199" w:rsidRPr="009C04B9" w:rsidP="009C04B9" w14:paraId="6A9499F6" w14:textId="4117F2C3">
            <w:pPr>
              <w:pStyle w:val="TableText"/>
              <w:rPr>
                <w:b w:val="0"/>
                <w:bCs w:val="0"/>
              </w:rPr>
            </w:pPr>
            <w:r w:rsidRPr="009C04B9">
              <w:rPr>
                <w:b w:val="0"/>
                <w:bCs w:val="0"/>
              </w:rPr>
              <w:t>Version A</w:t>
            </w:r>
          </w:p>
        </w:tc>
        <w:tc>
          <w:tcPr>
            <w:tcW w:w="1980" w:type="dxa"/>
          </w:tcPr>
          <w:p w:rsidR="00DE0199" w:rsidRPr="009C04B9" w:rsidP="009C04B9" w14:paraId="61E366E1" w14:textId="1D92C03C">
            <w:pPr>
              <w:pStyle w:val="TableText"/>
              <w:rPr>
                <w:b w:val="0"/>
                <w:bCs w:val="0"/>
              </w:rPr>
            </w:pPr>
            <w:r w:rsidRPr="009C04B9">
              <w:rPr>
                <w:b w:val="0"/>
                <w:bCs w:val="0"/>
              </w:rPr>
              <w:t>Version B</w:t>
            </w:r>
          </w:p>
        </w:tc>
      </w:tr>
      <w:tr w14:paraId="4641E2A8" w14:textId="77777777" w:rsidTr="00C80371">
        <w:tblPrEx>
          <w:tblW w:w="7650" w:type="dxa"/>
          <w:tblInd w:w="450" w:type="dxa"/>
          <w:tblLook w:val="04A0"/>
        </w:tblPrEx>
        <w:tc>
          <w:tcPr>
            <w:tcW w:w="3870" w:type="dxa"/>
          </w:tcPr>
          <w:p w:rsidR="00DE0199" w:rsidRPr="009C04B9" w:rsidP="009C04B9" w14:paraId="3F04C490" w14:textId="060AE1DA">
            <w:pPr>
              <w:pStyle w:val="TableText"/>
            </w:pPr>
            <w:r w:rsidRPr="009C04B9">
              <w:t xml:space="preserve">Sexual Orientation </w:t>
            </w:r>
            <w:r w:rsidR="00E0123E">
              <w:t>W</w:t>
            </w:r>
            <w:r w:rsidRPr="009C04B9">
              <w:t>rite-</w:t>
            </w:r>
            <w:r w:rsidR="00E0123E">
              <w:t>I</w:t>
            </w:r>
            <w:r w:rsidRPr="009C04B9">
              <w:t xml:space="preserve">n </w:t>
            </w:r>
            <w:r w:rsidR="00E0123E">
              <w:t>D</w:t>
            </w:r>
            <w:r w:rsidRPr="009C04B9">
              <w:t>isplay</w:t>
            </w:r>
          </w:p>
        </w:tc>
        <w:tc>
          <w:tcPr>
            <w:tcW w:w="1800" w:type="dxa"/>
          </w:tcPr>
          <w:p w:rsidR="00DE0199" w:rsidRPr="009C04B9" w:rsidP="009C04B9" w14:paraId="34F5A8E5" w14:textId="0E1701F5">
            <w:pPr>
              <w:pStyle w:val="TableText"/>
              <w:rPr>
                <w:b w:val="0"/>
                <w:bCs w:val="0"/>
              </w:rPr>
            </w:pPr>
            <w:r w:rsidRPr="009C04B9">
              <w:rPr>
                <w:b w:val="0"/>
                <w:bCs w:val="0"/>
              </w:rPr>
              <w:t>Version A</w:t>
            </w:r>
          </w:p>
        </w:tc>
        <w:tc>
          <w:tcPr>
            <w:tcW w:w="1980" w:type="dxa"/>
          </w:tcPr>
          <w:p w:rsidR="00DE0199" w:rsidRPr="009C04B9" w:rsidP="009C04B9" w14:paraId="4F5D3833" w14:textId="7E872A70">
            <w:pPr>
              <w:pStyle w:val="TableText"/>
              <w:rPr>
                <w:b w:val="0"/>
                <w:bCs w:val="0"/>
              </w:rPr>
            </w:pPr>
            <w:r w:rsidRPr="009C04B9">
              <w:rPr>
                <w:b w:val="0"/>
                <w:bCs w:val="0"/>
              </w:rPr>
              <w:t>Version B</w:t>
            </w:r>
          </w:p>
        </w:tc>
      </w:tr>
    </w:tbl>
    <w:p w:rsidR="0036402A" w:rsidRPr="0036402A" w:rsidP="009C04B9" w14:paraId="3006B491" w14:textId="748E83A4">
      <w:pPr>
        <w:pStyle w:val="TextAfterTable"/>
      </w:pPr>
      <w:r w:rsidRPr="0036402A">
        <w:t>The</w:t>
      </w:r>
      <w:r w:rsidR="009A3994">
        <w:t xml:space="preserve"> wording and write-in display </w:t>
      </w:r>
      <w:r w:rsidRPr="0036402A">
        <w:t>treatment conditions will be fully crossed to create four treatments</w:t>
      </w:r>
      <w:r w:rsidRPr="00115ED1">
        <w:t xml:space="preserve">: Treatment 1A, Treatment 1B, Treatment 2A, and Treatment 2B. </w:t>
      </w:r>
      <w:r w:rsidRPr="00115ED1" w:rsidR="00125297">
        <w:t>The treatments are defined by their</w:t>
      </w:r>
      <w:r w:rsidRPr="0036402A" w:rsidR="00125297">
        <w:t xml:space="preserve"> unique combination of question wording for the </w:t>
      </w:r>
      <w:r w:rsidR="00E0123E">
        <w:t>c</w:t>
      </w:r>
      <w:r w:rsidRPr="0036402A" w:rsidR="00125297">
        <w:t xml:space="preserve">urrent </w:t>
      </w:r>
      <w:r w:rsidR="00E0123E">
        <w:t>g</w:t>
      </w:r>
      <w:r w:rsidRPr="0036402A" w:rsidR="00125297">
        <w:t xml:space="preserve">ender question and write-in box display for the </w:t>
      </w:r>
      <w:r w:rsidR="00E0123E">
        <w:t>c</w:t>
      </w:r>
      <w:r w:rsidRPr="0036402A" w:rsidR="00125297">
        <w:t xml:space="preserve">urrent </w:t>
      </w:r>
      <w:r w:rsidR="00E0123E">
        <w:t>g</w:t>
      </w:r>
      <w:r w:rsidRPr="0036402A" w:rsidR="00125297">
        <w:t xml:space="preserve">ender and </w:t>
      </w:r>
      <w:r w:rsidR="00E0123E">
        <w:t>s</w:t>
      </w:r>
      <w:r w:rsidRPr="0036402A" w:rsidR="00125297">
        <w:t xml:space="preserve">exual </w:t>
      </w:r>
      <w:r w:rsidR="00E0123E">
        <w:t>o</w:t>
      </w:r>
      <w:r w:rsidRPr="0036402A" w:rsidR="00125297">
        <w:t xml:space="preserve">rientation questions. </w:t>
      </w:r>
    </w:p>
    <w:p w:rsidR="00125297" w:rsidRPr="008E1266" w:rsidP="009C04B9" w14:paraId="24436A0A" w14:textId="4DFDC707">
      <w:pPr>
        <w:pStyle w:val="TableTitle"/>
      </w:pPr>
      <w:bookmarkStart w:id="2" w:name="_Ref150354406"/>
      <w:r w:rsidRPr="008E1266">
        <w:t xml:space="preserve">Table </w:t>
      </w:r>
      <w:r>
        <w:fldChar w:fldCharType="begin"/>
      </w:r>
      <w:r>
        <w:instrText xml:space="preserve"> SEQ Table \* ARABIC </w:instrText>
      </w:r>
      <w:r>
        <w:fldChar w:fldCharType="separate"/>
      </w:r>
      <w:r w:rsidRPr="008E1266">
        <w:rPr>
          <w:noProof/>
        </w:rPr>
        <w:t>3</w:t>
      </w:r>
      <w:r w:rsidRPr="008E1266">
        <w:rPr>
          <w:noProof/>
        </w:rPr>
        <w:fldChar w:fldCharType="end"/>
      </w:r>
      <w:bookmarkEnd w:id="2"/>
      <w:r w:rsidRPr="008E1266">
        <w:t xml:space="preserve">. </w:t>
      </w:r>
      <w:r w:rsidRPr="008E1266" w:rsidR="00D707C8">
        <w:t xml:space="preserve">Overall </w:t>
      </w:r>
      <w:r w:rsidRPr="008E1266">
        <w:rPr>
          <w:rStyle w:val="TableTitleChar"/>
          <w:b/>
          <w:bCs/>
        </w:rPr>
        <w:t>Test Treatments</w:t>
      </w:r>
      <w:r w:rsidRPr="008E1266" w:rsidR="00D707C8">
        <w:rPr>
          <w:rStyle w:val="TableTitleChar"/>
          <w:b/>
          <w:bCs/>
        </w:rPr>
        <w:t xml:space="preserve"> Experimental Design</w:t>
      </w:r>
    </w:p>
    <w:tbl>
      <w:tblPr>
        <w:tblStyle w:val="PlainTable2"/>
        <w:tblW w:w="9540" w:type="dxa"/>
        <w:tblInd w:w="450" w:type="dxa"/>
        <w:tblLayout w:type="fixed"/>
        <w:tblLook w:val="04A0"/>
      </w:tblPr>
      <w:tblGrid>
        <w:gridCol w:w="2340"/>
        <w:gridCol w:w="1710"/>
        <w:gridCol w:w="1800"/>
        <w:gridCol w:w="1890"/>
        <w:gridCol w:w="1800"/>
      </w:tblGrid>
      <w:tr w14:paraId="5F053DB3" w14:textId="77777777" w:rsidTr="005132F3">
        <w:tblPrEx>
          <w:tblW w:w="9540" w:type="dxa"/>
          <w:tblInd w:w="450" w:type="dxa"/>
          <w:tblLayout w:type="fixed"/>
          <w:tblLook w:val="04A0"/>
        </w:tblPrEx>
        <w:trPr>
          <w:trHeight w:val="350"/>
        </w:trPr>
        <w:tc>
          <w:tcPr>
            <w:tcW w:w="2340" w:type="dxa"/>
          </w:tcPr>
          <w:p w:rsidR="00125297" w:rsidRPr="009C04B9" w:rsidP="009C04B9" w14:paraId="4947CAEA" w14:textId="77777777">
            <w:pPr>
              <w:pStyle w:val="TableText"/>
              <w:rPr>
                <w:b/>
                <w:bCs/>
              </w:rPr>
            </w:pPr>
            <w:r w:rsidRPr="009C04B9">
              <w:rPr>
                <w:b/>
                <w:bCs/>
              </w:rPr>
              <w:t>Topic</w:t>
            </w:r>
          </w:p>
        </w:tc>
        <w:tc>
          <w:tcPr>
            <w:tcW w:w="1710" w:type="dxa"/>
            <w:vAlign w:val="center"/>
          </w:tcPr>
          <w:p w:rsidR="00125297" w:rsidRPr="009C04B9" w:rsidP="009C04B9" w14:paraId="62403F35" w14:textId="77777777">
            <w:pPr>
              <w:pStyle w:val="TableText"/>
              <w:rPr>
                <w:b/>
                <w:bCs/>
              </w:rPr>
            </w:pPr>
            <w:r w:rsidRPr="009C04B9">
              <w:rPr>
                <w:b/>
                <w:bCs/>
              </w:rPr>
              <w:t>Treatment 1A</w:t>
            </w:r>
          </w:p>
        </w:tc>
        <w:tc>
          <w:tcPr>
            <w:tcW w:w="1800" w:type="dxa"/>
            <w:vAlign w:val="center"/>
          </w:tcPr>
          <w:p w:rsidR="00125297" w:rsidRPr="009C04B9" w:rsidP="009C04B9" w14:paraId="55C5CA0A" w14:textId="01890078">
            <w:pPr>
              <w:pStyle w:val="TableText"/>
              <w:rPr>
                <w:b/>
                <w:bCs/>
              </w:rPr>
            </w:pPr>
            <w:r w:rsidRPr="009C04B9">
              <w:rPr>
                <w:b/>
                <w:bCs/>
              </w:rPr>
              <w:t>Treatment 1B</w:t>
            </w:r>
            <w:r w:rsidRPr="009C04B9" w:rsidR="0036402A">
              <w:rPr>
                <w:b/>
                <w:bCs/>
              </w:rPr>
              <w:t>*</w:t>
            </w:r>
          </w:p>
        </w:tc>
        <w:tc>
          <w:tcPr>
            <w:tcW w:w="1890" w:type="dxa"/>
            <w:vAlign w:val="center"/>
          </w:tcPr>
          <w:p w:rsidR="00125297" w:rsidRPr="009C04B9" w:rsidP="009C04B9" w14:paraId="1FE4D028" w14:textId="77777777">
            <w:pPr>
              <w:pStyle w:val="TableText"/>
              <w:rPr>
                <w:b/>
                <w:bCs/>
              </w:rPr>
            </w:pPr>
            <w:r w:rsidRPr="009C04B9">
              <w:rPr>
                <w:b/>
                <w:bCs/>
              </w:rPr>
              <w:t>Treatment 2A</w:t>
            </w:r>
          </w:p>
        </w:tc>
        <w:tc>
          <w:tcPr>
            <w:tcW w:w="1800" w:type="dxa"/>
            <w:vAlign w:val="center"/>
          </w:tcPr>
          <w:p w:rsidR="00125297" w:rsidRPr="009C04B9" w:rsidP="009C04B9" w14:paraId="28123EF0" w14:textId="7FE3BEBA">
            <w:pPr>
              <w:pStyle w:val="TableText"/>
              <w:rPr>
                <w:b/>
                <w:bCs/>
              </w:rPr>
            </w:pPr>
            <w:r w:rsidRPr="009C04B9">
              <w:rPr>
                <w:b/>
                <w:bCs/>
              </w:rPr>
              <w:t>Treatment 2B</w:t>
            </w:r>
            <w:r w:rsidRPr="009C04B9" w:rsidR="0036402A">
              <w:rPr>
                <w:b/>
                <w:bCs/>
              </w:rPr>
              <w:t>*</w:t>
            </w:r>
          </w:p>
        </w:tc>
      </w:tr>
      <w:tr w14:paraId="134B83BA" w14:textId="77777777" w:rsidTr="005132F3">
        <w:tblPrEx>
          <w:tblW w:w="9540" w:type="dxa"/>
          <w:tblInd w:w="450" w:type="dxa"/>
          <w:tblLayout w:type="fixed"/>
          <w:tblLook w:val="04A0"/>
        </w:tblPrEx>
        <w:tc>
          <w:tcPr>
            <w:tcW w:w="2340" w:type="dxa"/>
          </w:tcPr>
          <w:p w:rsidR="00125297" w:rsidRPr="009C04B9" w:rsidP="009C04B9" w14:paraId="671CE4ED" w14:textId="0CF18E40">
            <w:pPr>
              <w:pStyle w:val="TableText"/>
            </w:pPr>
            <w:r w:rsidRPr="009C04B9">
              <w:t xml:space="preserve">Sex </w:t>
            </w:r>
            <w:r w:rsidRPr="009C04B9" w:rsidR="00104D6C">
              <w:t xml:space="preserve">Assigned </w:t>
            </w:r>
            <w:r w:rsidRPr="009C04B9">
              <w:t xml:space="preserve">at Birth </w:t>
            </w:r>
            <w:r w:rsidR="00E0123E">
              <w:t>Q</w:t>
            </w:r>
            <w:r w:rsidRPr="009C04B9">
              <w:t xml:space="preserve">uestion </w:t>
            </w:r>
            <w:r w:rsidR="00E0123E">
              <w:t>W</w:t>
            </w:r>
            <w:r w:rsidRPr="009C04B9">
              <w:t>ording</w:t>
            </w:r>
          </w:p>
        </w:tc>
        <w:tc>
          <w:tcPr>
            <w:tcW w:w="1710" w:type="dxa"/>
            <w:vAlign w:val="center"/>
          </w:tcPr>
          <w:p w:rsidR="00125297" w:rsidRPr="009C04B9" w:rsidP="009C04B9" w14:paraId="5A873D53" w14:textId="77777777">
            <w:pPr>
              <w:pStyle w:val="TableText"/>
              <w:rPr>
                <w:b w:val="0"/>
                <w:bCs w:val="0"/>
              </w:rPr>
            </w:pPr>
            <w:r w:rsidRPr="009C04B9">
              <w:rPr>
                <w:b w:val="0"/>
                <w:bCs w:val="0"/>
              </w:rPr>
              <w:t>Version 1</w:t>
            </w:r>
          </w:p>
        </w:tc>
        <w:tc>
          <w:tcPr>
            <w:tcW w:w="1800" w:type="dxa"/>
            <w:vAlign w:val="center"/>
          </w:tcPr>
          <w:p w:rsidR="00125297" w:rsidRPr="009C04B9" w:rsidP="009C04B9" w14:paraId="11488234" w14:textId="77777777">
            <w:pPr>
              <w:pStyle w:val="TableText"/>
              <w:rPr>
                <w:b w:val="0"/>
                <w:bCs w:val="0"/>
              </w:rPr>
            </w:pPr>
            <w:r w:rsidRPr="009C04B9">
              <w:rPr>
                <w:b w:val="0"/>
                <w:bCs w:val="0"/>
              </w:rPr>
              <w:t>Version 1</w:t>
            </w:r>
          </w:p>
        </w:tc>
        <w:tc>
          <w:tcPr>
            <w:tcW w:w="1890" w:type="dxa"/>
            <w:vAlign w:val="center"/>
          </w:tcPr>
          <w:p w:rsidR="00125297" w:rsidRPr="009C04B9" w:rsidP="009C04B9" w14:paraId="25B7D1B2" w14:textId="77777777">
            <w:pPr>
              <w:pStyle w:val="TableText"/>
              <w:rPr>
                <w:b w:val="0"/>
                <w:bCs w:val="0"/>
              </w:rPr>
            </w:pPr>
            <w:r w:rsidRPr="009C04B9">
              <w:rPr>
                <w:b w:val="0"/>
                <w:bCs w:val="0"/>
              </w:rPr>
              <w:t>Version 1</w:t>
            </w:r>
          </w:p>
        </w:tc>
        <w:tc>
          <w:tcPr>
            <w:tcW w:w="1800" w:type="dxa"/>
            <w:vAlign w:val="center"/>
          </w:tcPr>
          <w:p w:rsidR="00125297" w:rsidRPr="009C04B9" w:rsidP="009C04B9" w14:paraId="17F4541C" w14:textId="77777777">
            <w:pPr>
              <w:pStyle w:val="TableText"/>
              <w:rPr>
                <w:b w:val="0"/>
                <w:bCs w:val="0"/>
              </w:rPr>
            </w:pPr>
            <w:r w:rsidRPr="009C04B9">
              <w:rPr>
                <w:b w:val="0"/>
                <w:bCs w:val="0"/>
              </w:rPr>
              <w:t>Version 1</w:t>
            </w:r>
          </w:p>
        </w:tc>
      </w:tr>
      <w:tr w14:paraId="1EA2AC82" w14:textId="77777777" w:rsidTr="005132F3">
        <w:tblPrEx>
          <w:tblW w:w="9540" w:type="dxa"/>
          <w:tblInd w:w="450" w:type="dxa"/>
          <w:tblLayout w:type="fixed"/>
          <w:tblLook w:val="04A0"/>
        </w:tblPrEx>
        <w:tc>
          <w:tcPr>
            <w:tcW w:w="2340" w:type="dxa"/>
          </w:tcPr>
          <w:p w:rsidR="00125297" w:rsidRPr="009C04B9" w:rsidP="009C04B9" w14:paraId="154F8D4E" w14:textId="497B6A5E">
            <w:pPr>
              <w:pStyle w:val="TableText"/>
            </w:pPr>
            <w:r w:rsidRPr="009C04B9">
              <w:t>Current</w:t>
            </w:r>
            <w:r w:rsidRPr="009C04B9" w:rsidR="0036402A">
              <w:t xml:space="preserve"> </w:t>
            </w:r>
            <w:r w:rsidRPr="009C04B9">
              <w:t xml:space="preserve">Gender </w:t>
            </w:r>
            <w:r w:rsidRPr="009C04B9" w:rsidR="005132F3">
              <w:br/>
            </w:r>
            <w:r w:rsidR="00E0123E">
              <w:t>Q</w:t>
            </w:r>
            <w:r w:rsidRPr="009C04B9">
              <w:t xml:space="preserve">uestion </w:t>
            </w:r>
            <w:r w:rsidR="00E0123E">
              <w:t>W</w:t>
            </w:r>
            <w:r w:rsidRPr="009C04B9">
              <w:t>ording</w:t>
            </w:r>
          </w:p>
        </w:tc>
        <w:tc>
          <w:tcPr>
            <w:tcW w:w="1710" w:type="dxa"/>
            <w:vAlign w:val="center"/>
          </w:tcPr>
          <w:p w:rsidR="00125297" w:rsidRPr="009C04B9" w:rsidP="009C04B9" w14:paraId="27ECB76A" w14:textId="77777777">
            <w:pPr>
              <w:pStyle w:val="TableText"/>
              <w:rPr>
                <w:b w:val="0"/>
                <w:bCs w:val="0"/>
              </w:rPr>
            </w:pPr>
            <w:r w:rsidRPr="009C04B9">
              <w:rPr>
                <w:b w:val="0"/>
                <w:bCs w:val="0"/>
              </w:rPr>
              <w:t>Version 1</w:t>
            </w:r>
          </w:p>
        </w:tc>
        <w:tc>
          <w:tcPr>
            <w:tcW w:w="1800" w:type="dxa"/>
            <w:vAlign w:val="center"/>
          </w:tcPr>
          <w:p w:rsidR="00125297" w:rsidRPr="009C04B9" w:rsidP="009C04B9" w14:paraId="3F451B53" w14:textId="77777777">
            <w:pPr>
              <w:pStyle w:val="TableText"/>
              <w:rPr>
                <w:b w:val="0"/>
                <w:bCs w:val="0"/>
              </w:rPr>
            </w:pPr>
            <w:r w:rsidRPr="009C04B9">
              <w:rPr>
                <w:b w:val="0"/>
                <w:bCs w:val="0"/>
              </w:rPr>
              <w:t>Version 1</w:t>
            </w:r>
          </w:p>
        </w:tc>
        <w:tc>
          <w:tcPr>
            <w:tcW w:w="1890" w:type="dxa"/>
            <w:vAlign w:val="center"/>
          </w:tcPr>
          <w:p w:rsidR="00125297" w:rsidRPr="009C04B9" w:rsidP="009C04B9" w14:paraId="5936135F" w14:textId="77777777">
            <w:pPr>
              <w:pStyle w:val="TableText"/>
              <w:rPr>
                <w:b w:val="0"/>
                <w:bCs w:val="0"/>
              </w:rPr>
            </w:pPr>
            <w:r w:rsidRPr="009C04B9">
              <w:rPr>
                <w:b w:val="0"/>
                <w:bCs w:val="0"/>
              </w:rPr>
              <w:t>Version 2</w:t>
            </w:r>
          </w:p>
        </w:tc>
        <w:tc>
          <w:tcPr>
            <w:tcW w:w="1800" w:type="dxa"/>
            <w:vAlign w:val="center"/>
          </w:tcPr>
          <w:p w:rsidR="00125297" w:rsidRPr="009C04B9" w:rsidP="009C04B9" w14:paraId="0A9203A6" w14:textId="77777777">
            <w:pPr>
              <w:pStyle w:val="TableText"/>
              <w:rPr>
                <w:b w:val="0"/>
                <w:bCs w:val="0"/>
              </w:rPr>
            </w:pPr>
            <w:r w:rsidRPr="009C04B9">
              <w:rPr>
                <w:b w:val="0"/>
                <w:bCs w:val="0"/>
              </w:rPr>
              <w:t>Version 2</w:t>
            </w:r>
          </w:p>
        </w:tc>
      </w:tr>
      <w:tr w14:paraId="7D433911" w14:textId="77777777" w:rsidTr="005132F3">
        <w:tblPrEx>
          <w:tblW w:w="9540" w:type="dxa"/>
          <w:tblInd w:w="450" w:type="dxa"/>
          <w:tblLayout w:type="fixed"/>
          <w:tblLook w:val="04A0"/>
        </w:tblPrEx>
        <w:tc>
          <w:tcPr>
            <w:tcW w:w="2340" w:type="dxa"/>
          </w:tcPr>
          <w:p w:rsidR="00125297" w:rsidRPr="009C04B9" w:rsidP="009C04B9" w14:paraId="61C0A95A" w14:textId="5C1F5416">
            <w:pPr>
              <w:pStyle w:val="TableText"/>
            </w:pPr>
            <w:r w:rsidRPr="009C04B9">
              <w:t>Current</w:t>
            </w:r>
            <w:r w:rsidRPr="009C04B9" w:rsidR="0036402A">
              <w:t xml:space="preserve"> </w:t>
            </w:r>
            <w:r w:rsidRPr="009C04B9">
              <w:t xml:space="preserve">Gender </w:t>
            </w:r>
            <w:r w:rsidRPr="009C04B9" w:rsidR="005132F3">
              <w:br/>
            </w:r>
            <w:r w:rsidR="00E0123E">
              <w:t>W</w:t>
            </w:r>
            <w:r w:rsidRPr="009C04B9">
              <w:t>rite-</w:t>
            </w:r>
            <w:r w:rsidR="00E0123E">
              <w:t>I</w:t>
            </w:r>
            <w:r w:rsidRPr="009C04B9">
              <w:t xml:space="preserve">n </w:t>
            </w:r>
            <w:r w:rsidR="00E0123E">
              <w:t>D</w:t>
            </w:r>
            <w:r w:rsidRPr="009C04B9">
              <w:t>isplay</w:t>
            </w:r>
          </w:p>
        </w:tc>
        <w:tc>
          <w:tcPr>
            <w:tcW w:w="1710" w:type="dxa"/>
            <w:vAlign w:val="center"/>
          </w:tcPr>
          <w:p w:rsidR="00125297" w:rsidRPr="009C04B9" w:rsidP="009C04B9" w14:paraId="372DCF64" w14:textId="77777777">
            <w:pPr>
              <w:pStyle w:val="TableText"/>
              <w:rPr>
                <w:b w:val="0"/>
                <w:bCs w:val="0"/>
              </w:rPr>
            </w:pPr>
            <w:r w:rsidRPr="009C04B9">
              <w:rPr>
                <w:b w:val="0"/>
                <w:bCs w:val="0"/>
              </w:rPr>
              <w:t>Version A</w:t>
            </w:r>
          </w:p>
        </w:tc>
        <w:tc>
          <w:tcPr>
            <w:tcW w:w="1800" w:type="dxa"/>
            <w:vAlign w:val="center"/>
          </w:tcPr>
          <w:p w:rsidR="00125297" w:rsidRPr="009C04B9" w:rsidP="009C04B9" w14:paraId="737A062B" w14:textId="77777777">
            <w:pPr>
              <w:pStyle w:val="TableText"/>
              <w:rPr>
                <w:b w:val="0"/>
                <w:bCs w:val="0"/>
              </w:rPr>
            </w:pPr>
            <w:r w:rsidRPr="009C04B9">
              <w:rPr>
                <w:b w:val="0"/>
                <w:bCs w:val="0"/>
              </w:rPr>
              <w:t>Version B</w:t>
            </w:r>
          </w:p>
        </w:tc>
        <w:tc>
          <w:tcPr>
            <w:tcW w:w="1890" w:type="dxa"/>
            <w:vAlign w:val="center"/>
          </w:tcPr>
          <w:p w:rsidR="00125297" w:rsidRPr="009C04B9" w:rsidP="009C04B9" w14:paraId="2B4B8D78" w14:textId="77777777">
            <w:pPr>
              <w:pStyle w:val="TableText"/>
              <w:rPr>
                <w:b w:val="0"/>
                <w:bCs w:val="0"/>
              </w:rPr>
            </w:pPr>
            <w:r w:rsidRPr="009C04B9">
              <w:rPr>
                <w:b w:val="0"/>
                <w:bCs w:val="0"/>
              </w:rPr>
              <w:t>Version A</w:t>
            </w:r>
          </w:p>
        </w:tc>
        <w:tc>
          <w:tcPr>
            <w:tcW w:w="1800" w:type="dxa"/>
            <w:vAlign w:val="center"/>
          </w:tcPr>
          <w:p w:rsidR="00125297" w:rsidRPr="009C04B9" w:rsidP="009C04B9" w14:paraId="0C7EF32A" w14:textId="77777777">
            <w:pPr>
              <w:pStyle w:val="TableText"/>
              <w:rPr>
                <w:b w:val="0"/>
                <w:bCs w:val="0"/>
              </w:rPr>
            </w:pPr>
            <w:r w:rsidRPr="009C04B9">
              <w:rPr>
                <w:b w:val="0"/>
                <w:bCs w:val="0"/>
              </w:rPr>
              <w:t>Version B</w:t>
            </w:r>
          </w:p>
        </w:tc>
      </w:tr>
      <w:tr w14:paraId="60AA74BD" w14:textId="77777777" w:rsidTr="005132F3">
        <w:tblPrEx>
          <w:tblW w:w="9540" w:type="dxa"/>
          <w:tblInd w:w="450" w:type="dxa"/>
          <w:tblLayout w:type="fixed"/>
          <w:tblLook w:val="04A0"/>
        </w:tblPrEx>
        <w:tc>
          <w:tcPr>
            <w:tcW w:w="2340" w:type="dxa"/>
          </w:tcPr>
          <w:p w:rsidR="00125297" w:rsidRPr="009C04B9" w:rsidP="009C04B9" w14:paraId="16F144D4" w14:textId="00801D5B">
            <w:pPr>
              <w:pStyle w:val="TableText"/>
            </w:pPr>
            <w:r w:rsidRPr="009C04B9">
              <w:t xml:space="preserve">Sexual Orientation </w:t>
            </w:r>
            <w:r w:rsidRPr="009C04B9" w:rsidR="005132F3">
              <w:br/>
            </w:r>
            <w:r w:rsidR="00E0123E">
              <w:t>Q</w:t>
            </w:r>
            <w:r w:rsidRPr="009C04B9">
              <w:t xml:space="preserve">uestion </w:t>
            </w:r>
            <w:r w:rsidR="00E0123E">
              <w:t>W</w:t>
            </w:r>
            <w:r w:rsidRPr="009C04B9">
              <w:t>ording</w:t>
            </w:r>
          </w:p>
        </w:tc>
        <w:tc>
          <w:tcPr>
            <w:tcW w:w="1710" w:type="dxa"/>
            <w:vAlign w:val="center"/>
          </w:tcPr>
          <w:p w:rsidR="00125297" w:rsidRPr="009C04B9" w:rsidP="009C04B9" w14:paraId="40EA3209" w14:textId="77777777">
            <w:pPr>
              <w:pStyle w:val="TableText"/>
              <w:rPr>
                <w:b w:val="0"/>
                <w:bCs w:val="0"/>
              </w:rPr>
            </w:pPr>
            <w:r w:rsidRPr="009C04B9">
              <w:rPr>
                <w:b w:val="0"/>
                <w:bCs w:val="0"/>
              </w:rPr>
              <w:t>Version 1</w:t>
            </w:r>
          </w:p>
        </w:tc>
        <w:tc>
          <w:tcPr>
            <w:tcW w:w="1800" w:type="dxa"/>
            <w:vAlign w:val="center"/>
          </w:tcPr>
          <w:p w:rsidR="00125297" w:rsidRPr="009C04B9" w:rsidP="009C04B9" w14:paraId="738E65DF" w14:textId="77777777">
            <w:pPr>
              <w:pStyle w:val="TableText"/>
              <w:rPr>
                <w:b w:val="0"/>
                <w:bCs w:val="0"/>
              </w:rPr>
            </w:pPr>
            <w:r w:rsidRPr="009C04B9">
              <w:rPr>
                <w:b w:val="0"/>
                <w:bCs w:val="0"/>
              </w:rPr>
              <w:t>Version 1</w:t>
            </w:r>
          </w:p>
        </w:tc>
        <w:tc>
          <w:tcPr>
            <w:tcW w:w="1890" w:type="dxa"/>
            <w:vAlign w:val="center"/>
          </w:tcPr>
          <w:p w:rsidR="00125297" w:rsidRPr="009C04B9" w:rsidP="009C04B9" w14:paraId="38E71DB7" w14:textId="77777777">
            <w:pPr>
              <w:pStyle w:val="TableText"/>
              <w:rPr>
                <w:b w:val="0"/>
                <w:bCs w:val="0"/>
              </w:rPr>
            </w:pPr>
            <w:r w:rsidRPr="009C04B9">
              <w:rPr>
                <w:b w:val="0"/>
                <w:bCs w:val="0"/>
              </w:rPr>
              <w:t>Version 1</w:t>
            </w:r>
          </w:p>
        </w:tc>
        <w:tc>
          <w:tcPr>
            <w:tcW w:w="1800" w:type="dxa"/>
            <w:vAlign w:val="center"/>
          </w:tcPr>
          <w:p w:rsidR="00125297" w:rsidRPr="009C04B9" w:rsidP="009C04B9" w14:paraId="156BB925" w14:textId="77777777">
            <w:pPr>
              <w:pStyle w:val="TableText"/>
              <w:rPr>
                <w:b w:val="0"/>
                <w:bCs w:val="0"/>
              </w:rPr>
            </w:pPr>
            <w:r w:rsidRPr="009C04B9">
              <w:rPr>
                <w:b w:val="0"/>
                <w:bCs w:val="0"/>
              </w:rPr>
              <w:t>Version 1</w:t>
            </w:r>
          </w:p>
        </w:tc>
      </w:tr>
      <w:tr w14:paraId="61A28BE4" w14:textId="77777777" w:rsidTr="005132F3">
        <w:tblPrEx>
          <w:tblW w:w="9540" w:type="dxa"/>
          <w:tblInd w:w="450" w:type="dxa"/>
          <w:tblLayout w:type="fixed"/>
          <w:tblLook w:val="04A0"/>
        </w:tblPrEx>
        <w:tc>
          <w:tcPr>
            <w:tcW w:w="2340" w:type="dxa"/>
          </w:tcPr>
          <w:p w:rsidR="00125297" w:rsidRPr="009C04B9" w:rsidP="009C04B9" w14:paraId="064D6EA0" w14:textId="48A70B83">
            <w:pPr>
              <w:pStyle w:val="TableText"/>
            </w:pPr>
            <w:r w:rsidRPr="009C04B9">
              <w:t xml:space="preserve">Sexual Orientation </w:t>
            </w:r>
            <w:r w:rsidRPr="009C04B9" w:rsidR="005132F3">
              <w:br/>
            </w:r>
            <w:r w:rsidR="00E0123E">
              <w:t>W</w:t>
            </w:r>
            <w:r w:rsidRPr="009C04B9">
              <w:t>rite-</w:t>
            </w:r>
            <w:r w:rsidR="00E0123E">
              <w:t>I</w:t>
            </w:r>
            <w:r w:rsidRPr="009C04B9">
              <w:t xml:space="preserve">n </w:t>
            </w:r>
            <w:r w:rsidR="00E0123E">
              <w:t>D</w:t>
            </w:r>
            <w:r w:rsidRPr="009C04B9">
              <w:t>isplay</w:t>
            </w:r>
          </w:p>
        </w:tc>
        <w:tc>
          <w:tcPr>
            <w:tcW w:w="1710" w:type="dxa"/>
            <w:vAlign w:val="center"/>
          </w:tcPr>
          <w:p w:rsidR="00125297" w:rsidRPr="009C04B9" w:rsidP="009C04B9" w14:paraId="63999C2E" w14:textId="77777777">
            <w:pPr>
              <w:pStyle w:val="TableText"/>
              <w:rPr>
                <w:b w:val="0"/>
                <w:bCs w:val="0"/>
              </w:rPr>
            </w:pPr>
            <w:r w:rsidRPr="009C04B9">
              <w:rPr>
                <w:b w:val="0"/>
                <w:bCs w:val="0"/>
              </w:rPr>
              <w:t>Version A</w:t>
            </w:r>
          </w:p>
        </w:tc>
        <w:tc>
          <w:tcPr>
            <w:tcW w:w="1800" w:type="dxa"/>
            <w:vAlign w:val="center"/>
          </w:tcPr>
          <w:p w:rsidR="00125297" w:rsidRPr="009C04B9" w:rsidP="009C04B9" w14:paraId="1709896C" w14:textId="77777777">
            <w:pPr>
              <w:pStyle w:val="TableText"/>
              <w:rPr>
                <w:b w:val="0"/>
                <w:bCs w:val="0"/>
              </w:rPr>
            </w:pPr>
            <w:r w:rsidRPr="009C04B9">
              <w:rPr>
                <w:b w:val="0"/>
                <w:bCs w:val="0"/>
              </w:rPr>
              <w:t>Version B</w:t>
            </w:r>
          </w:p>
        </w:tc>
        <w:tc>
          <w:tcPr>
            <w:tcW w:w="1890" w:type="dxa"/>
            <w:vAlign w:val="center"/>
          </w:tcPr>
          <w:p w:rsidR="00125297" w:rsidRPr="009C04B9" w:rsidP="009C04B9" w14:paraId="63E9BF9C" w14:textId="77777777">
            <w:pPr>
              <w:pStyle w:val="TableText"/>
              <w:rPr>
                <w:b w:val="0"/>
                <w:bCs w:val="0"/>
              </w:rPr>
            </w:pPr>
            <w:r w:rsidRPr="009C04B9">
              <w:rPr>
                <w:b w:val="0"/>
                <w:bCs w:val="0"/>
              </w:rPr>
              <w:t>Version A</w:t>
            </w:r>
          </w:p>
        </w:tc>
        <w:tc>
          <w:tcPr>
            <w:tcW w:w="1800" w:type="dxa"/>
            <w:vAlign w:val="center"/>
          </w:tcPr>
          <w:p w:rsidR="00125297" w:rsidRPr="009C04B9" w:rsidP="009C04B9" w14:paraId="1968B989" w14:textId="77777777">
            <w:pPr>
              <w:pStyle w:val="TableText"/>
              <w:rPr>
                <w:b w:val="0"/>
                <w:bCs w:val="0"/>
              </w:rPr>
            </w:pPr>
            <w:r w:rsidRPr="009C04B9">
              <w:rPr>
                <w:b w:val="0"/>
                <w:bCs w:val="0"/>
              </w:rPr>
              <w:t>Version B</w:t>
            </w:r>
          </w:p>
        </w:tc>
      </w:tr>
    </w:tbl>
    <w:p w:rsidR="0036402A" w:rsidRPr="009C04B9" w:rsidP="009C04B9" w14:paraId="57C3CAC5" w14:textId="15827CC9">
      <w:pPr>
        <w:pStyle w:val="BodyText"/>
      </w:pPr>
      <w:r w:rsidRPr="009C04B9">
        <w:t>* In the paper and interviewer-administered modes, Treatment 1B is identical to Treatment 1A, and Treatment 2B is identical to Treatment 2A.</w:t>
      </w:r>
    </w:p>
    <w:p w:rsidR="00331F17" w:rsidP="009C04B9" w14:paraId="491EA49A" w14:textId="76211F1D">
      <w:r w:rsidRPr="006E0A0D">
        <w:t xml:space="preserve">The </w:t>
      </w:r>
      <w:r w:rsidRPr="009C04B9">
        <w:t>remainder of the questionnaire will include all ACS questions</w:t>
      </w:r>
      <w:r w:rsidRPr="009C04B9">
        <w:t>. T</w:t>
      </w:r>
      <w:r w:rsidRPr="009C04B9">
        <w:t xml:space="preserve">he current production wording </w:t>
      </w:r>
      <w:r w:rsidRPr="009C04B9">
        <w:t>will be used for the questions</w:t>
      </w:r>
      <w:r>
        <w:t xml:space="preserve"> </w:t>
      </w:r>
      <w:r w:rsidRPr="006E0A0D">
        <w:t xml:space="preserve">except the following: </w:t>
      </w:r>
    </w:p>
    <w:p w:rsidR="00331F17" w:rsidP="005132F3" w14:paraId="513AE0AA" w14:textId="5C80D37A">
      <w:pPr>
        <w:pStyle w:val="ListParagraph"/>
      </w:pPr>
      <w:r>
        <w:t xml:space="preserve">Relationship </w:t>
      </w:r>
      <w:r w:rsidR="00E0123E">
        <w:t>q</w:t>
      </w:r>
      <w:r>
        <w:t>uestion: c</w:t>
      </w:r>
      <w:r w:rsidRPr="006E0A0D" w:rsidR="009A5EE9">
        <w:t xml:space="preserve">ategories will be updated to remove gendered terms and same-sex/opposite-sex </w:t>
      </w:r>
      <w:r w:rsidRPr="006E0A0D">
        <w:t>designations.</w:t>
      </w:r>
    </w:p>
    <w:p w:rsidR="00331F17" w:rsidP="005132F3" w14:paraId="273888E4" w14:textId="63E95CF7">
      <w:pPr>
        <w:pStyle w:val="ListParagraph"/>
      </w:pPr>
      <w:r>
        <w:t>R</w:t>
      </w:r>
      <w:r w:rsidRPr="006E0A0D" w:rsidR="009A5EE9">
        <w:t xml:space="preserve">elationship check in automated instruments will be </w:t>
      </w:r>
      <w:r w:rsidRPr="006E0A0D">
        <w:t>removed.</w:t>
      </w:r>
    </w:p>
    <w:p w:rsidR="00331F17" w:rsidP="005132F3" w14:paraId="416A4A6E" w14:textId="4649890D">
      <w:pPr>
        <w:pStyle w:val="ListParagraph"/>
      </w:pPr>
      <w:r>
        <w:t>A</w:t>
      </w:r>
      <w:r w:rsidRPr="006E0A0D" w:rsidR="009A5EE9">
        <w:t>ge will be asked before sex</w:t>
      </w:r>
      <w:r>
        <w:t xml:space="preserve"> </w:t>
      </w:r>
      <w:r w:rsidR="00104D6C">
        <w:t xml:space="preserve">assigned </w:t>
      </w:r>
      <w:r>
        <w:t>at birth.</w:t>
      </w:r>
    </w:p>
    <w:p w:rsidR="00331F17" w:rsidP="005132F3" w14:paraId="386AC814" w14:textId="679A4B05">
      <w:pPr>
        <w:pStyle w:val="ListParagraph"/>
      </w:pPr>
      <w:r>
        <w:t>Fertility question: the s</w:t>
      </w:r>
      <w:r w:rsidRPr="006E0A0D" w:rsidR="009A5EE9">
        <w:t xml:space="preserve">kip pattern for the fertility question will be modified to include people whose sex </w:t>
      </w:r>
      <w:r w:rsidR="00104D6C">
        <w:t xml:space="preserve">assigned </w:t>
      </w:r>
      <w:r w:rsidRPr="006E0A0D" w:rsidR="009A5EE9">
        <w:t xml:space="preserve">at birth was </w:t>
      </w:r>
      <w:r w:rsidRPr="006E0A0D">
        <w:t>female.</w:t>
      </w:r>
    </w:p>
    <w:p w:rsidR="00331F17" w:rsidP="005132F3" w14:paraId="05FEF68B" w14:textId="440BA1D3">
      <w:pPr>
        <w:pStyle w:val="ListParagraph"/>
      </w:pPr>
      <w:r>
        <w:t>S</w:t>
      </w:r>
      <w:r w:rsidR="000C69C4">
        <w:t>everal question</w:t>
      </w:r>
      <w:r w:rsidR="000C25A2">
        <w:t>s</w:t>
      </w:r>
      <w:r w:rsidR="000C69C4">
        <w:t xml:space="preserve"> </w:t>
      </w:r>
      <w:r w:rsidRPr="006E0A0D" w:rsidR="009A5EE9">
        <w:t xml:space="preserve">will </w:t>
      </w:r>
      <w:r>
        <w:t xml:space="preserve">use “they” instead of </w:t>
      </w:r>
      <w:r w:rsidRPr="006E0A0D" w:rsidR="009A5EE9">
        <w:t xml:space="preserve">“he/she.” </w:t>
      </w:r>
    </w:p>
    <w:p w:rsidR="00E453D5" w:rsidP="005132F3" w14:paraId="53FBAD66" w14:textId="6748549E">
      <w:r>
        <w:t>(</w:t>
      </w:r>
      <w:r w:rsidR="00331F17">
        <w:t>S</w:t>
      </w:r>
      <w:r>
        <w:t xml:space="preserve">ee </w:t>
      </w:r>
      <w:r w:rsidR="000C25A2">
        <w:t>A</w:t>
      </w:r>
      <w:r>
        <w:t xml:space="preserve">ttachment </w:t>
      </w:r>
      <w:r w:rsidR="007249AE">
        <w:t>C</w:t>
      </w:r>
      <w:r>
        <w:t xml:space="preserve"> for </w:t>
      </w:r>
      <w:r w:rsidR="007249AE">
        <w:t xml:space="preserve">the </w:t>
      </w:r>
      <w:r>
        <w:t xml:space="preserve">paper questionnaires </w:t>
      </w:r>
      <w:r w:rsidRPr="002E7CE3">
        <w:t xml:space="preserve">and Attachment </w:t>
      </w:r>
      <w:r w:rsidRPr="002E7CE3" w:rsidR="007249AE">
        <w:t xml:space="preserve">I and J </w:t>
      </w:r>
      <w:r w:rsidRPr="002E7CE3">
        <w:t xml:space="preserve">for wording </w:t>
      </w:r>
      <w:r w:rsidRPr="002E7CE3" w:rsidR="007249AE">
        <w:t>for the other</w:t>
      </w:r>
      <w:r w:rsidRPr="002E7CE3">
        <w:t xml:space="preserve"> modes</w:t>
      </w:r>
      <w:r w:rsidRPr="002E7CE3" w:rsidR="007249AE">
        <w:t xml:space="preserve"> in English and Spanish</w:t>
      </w:r>
      <w:r w:rsidRPr="002E7CE3">
        <w:t>).</w:t>
      </w:r>
      <w:r w:rsidRPr="006E0A0D">
        <w:t xml:space="preserve"> </w:t>
      </w:r>
    </w:p>
    <w:p w:rsidR="007249AE" w:rsidP="005132F3" w14:paraId="0EF76538" w14:textId="654091F6">
      <w:r w:rsidRPr="006E0A0D">
        <w:t>In addition, in the internet instrument</w:t>
      </w:r>
      <w:r>
        <w:t>,</w:t>
      </w:r>
      <w:r w:rsidRPr="006E0A0D">
        <w:t xml:space="preserve"> open-ended </w:t>
      </w:r>
      <w:r>
        <w:t xml:space="preserve">questions </w:t>
      </w:r>
      <w:r w:rsidRPr="006E0A0D">
        <w:t xml:space="preserve">will be asked at the end of the interview for </w:t>
      </w:r>
      <w:r>
        <w:t xml:space="preserve">qualitative </w:t>
      </w:r>
      <w:r w:rsidRPr="006E0A0D">
        <w:t xml:space="preserve">evaluation purposes only. </w:t>
      </w:r>
      <w:r w:rsidRPr="002E7CE3">
        <w:t xml:space="preserve">See </w:t>
      </w:r>
      <w:r w:rsidRPr="002E7CE3" w:rsidR="000C25A2">
        <w:t>A</w:t>
      </w:r>
      <w:r w:rsidRPr="002E7CE3">
        <w:t>ttachment</w:t>
      </w:r>
      <w:r w:rsidRPr="002E7CE3" w:rsidR="002E7CE3">
        <w:t>s I and J</w:t>
      </w:r>
      <w:r w:rsidRPr="002E7CE3">
        <w:t>.</w:t>
      </w:r>
    </w:p>
    <w:p w:rsidR="00671CB6" w:rsidP="005132F3" w14:paraId="793F1951" w14:textId="0F16407C">
      <w:r w:rsidRPr="006E0A0D">
        <w:t>Comparing response reliability</w:t>
      </w:r>
      <w:r w:rsidR="006339BD">
        <w:t xml:space="preserve"> (as measured by a gross difference rate)</w:t>
      </w:r>
      <w:r w:rsidRPr="006E0A0D">
        <w:t xml:space="preserve"> between two wording treatments of </w:t>
      </w:r>
      <w:r w:rsidR="006339BD">
        <w:t>240,000</w:t>
      </w:r>
      <w:r w:rsidRPr="006E0A0D">
        <w:t xml:space="preserve"> addresses allows us to detect at least a </w:t>
      </w:r>
      <w:r w:rsidR="006339BD">
        <w:t>one</w:t>
      </w:r>
      <w:r w:rsidRPr="006E0A0D">
        <w:t xml:space="preserve"> percentage point difference in </w:t>
      </w:r>
      <w:r w:rsidR="00AA1B82">
        <w:t xml:space="preserve">a </w:t>
      </w:r>
      <w:r w:rsidR="006339BD">
        <w:t xml:space="preserve">five percent gross difference rate </w:t>
      </w:r>
      <w:r w:rsidRPr="006E0A0D">
        <w:t xml:space="preserve">with 80 percent power and α=0.1; this calculation assumes a </w:t>
      </w:r>
      <w:r w:rsidRPr="006E0A0D">
        <w:t>50 percent unit response rate</w:t>
      </w:r>
      <w:r w:rsidR="006339BD">
        <w:t xml:space="preserve"> and a 33 percent CFU response rate</w:t>
      </w:r>
      <w:r w:rsidRPr="006E0A0D">
        <w:t>. The minimum detectable difference for other evaluation measures will vary for each item being evaluated.</w:t>
      </w:r>
    </w:p>
    <w:p w:rsidR="005C2595" w:rsidRPr="006E0A0D" w:rsidP="005132F3" w14:paraId="349C129E" w14:textId="77777777">
      <w:r w:rsidRPr="006E0A0D">
        <w:t xml:space="preserve">A content follow-up (CFU) reinterview will be conducted to measure response reliability. </w:t>
      </w:r>
      <w:r w:rsidRPr="006E0A0D">
        <w:t>The content reinterview will re-ask a subset of questions from the original interview including the following:</w:t>
      </w:r>
    </w:p>
    <w:p w:rsidR="005C2595" w:rsidRPr="00115ED1" w:rsidP="005132F3" w14:paraId="77730208" w14:textId="73EAC13E">
      <w:pPr>
        <w:pStyle w:val="ListParagraph"/>
      </w:pPr>
      <w:r w:rsidRPr="006E0A0D">
        <w:t xml:space="preserve">Basic </w:t>
      </w:r>
      <w:r w:rsidR="00E0123E">
        <w:t>p</w:t>
      </w:r>
      <w:r w:rsidRPr="00115ED1">
        <w:t xml:space="preserve">erson </w:t>
      </w:r>
      <w:r w:rsidR="00E0123E">
        <w:t>q</w:t>
      </w:r>
      <w:r w:rsidRPr="00115ED1">
        <w:t xml:space="preserve">uestions: </w:t>
      </w:r>
      <w:r w:rsidR="00E0123E">
        <w:t>a</w:t>
      </w:r>
      <w:r w:rsidRPr="00115ED1">
        <w:t xml:space="preserve">ge, Hispanic </w:t>
      </w:r>
      <w:r w:rsidR="00E0123E">
        <w:t>o</w:t>
      </w:r>
      <w:r w:rsidRPr="00115ED1">
        <w:t xml:space="preserve">rigin, </w:t>
      </w:r>
      <w:r w:rsidR="00E0123E">
        <w:t>r</w:t>
      </w:r>
      <w:r w:rsidRPr="00115ED1">
        <w:t xml:space="preserve">ace, </w:t>
      </w:r>
      <w:r w:rsidR="00E0123E">
        <w:t>r</w:t>
      </w:r>
      <w:r w:rsidRPr="00115ED1">
        <w:t xml:space="preserve">elationship, </w:t>
      </w:r>
      <w:r w:rsidR="00E0123E">
        <w:t>s</w:t>
      </w:r>
      <w:r w:rsidRPr="00115ED1">
        <w:t xml:space="preserve">ex </w:t>
      </w:r>
      <w:r w:rsidR="00E0123E">
        <w:t>a</w:t>
      </w:r>
      <w:r w:rsidRPr="00115ED1" w:rsidR="00104D6C">
        <w:t xml:space="preserve">ssigned </w:t>
      </w:r>
      <w:r w:rsidRPr="00115ED1">
        <w:t xml:space="preserve">at </w:t>
      </w:r>
      <w:r w:rsidR="00E0123E">
        <w:t>b</w:t>
      </w:r>
      <w:r w:rsidRPr="00115ED1">
        <w:t xml:space="preserve">irth, </w:t>
      </w:r>
      <w:r w:rsidR="00E0123E">
        <w:t>c</w:t>
      </w:r>
      <w:r w:rsidRPr="00115ED1">
        <w:t xml:space="preserve">urrent </w:t>
      </w:r>
      <w:r w:rsidR="00E0123E">
        <w:t>g</w:t>
      </w:r>
      <w:r w:rsidRPr="00115ED1">
        <w:t>ender</w:t>
      </w:r>
      <w:r w:rsidR="00E0123E">
        <w:t>.</w:t>
      </w:r>
    </w:p>
    <w:p w:rsidR="005C2595" w:rsidRPr="00115ED1" w:rsidP="005132F3" w14:paraId="1221ECF6" w14:textId="10044ABB">
      <w:pPr>
        <w:pStyle w:val="ListParagraph"/>
      </w:pPr>
      <w:r w:rsidRPr="00115ED1">
        <w:t>Housing questions: none</w:t>
      </w:r>
      <w:r w:rsidR="00E0123E">
        <w:t>.</w:t>
      </w:r>
    </w:p>
    <w:p w:rsidR="005C2595" w:rsidRPr="006E0A0D" w:rsidP="005132F3" w14:paraId="3A8C5D2E" w14:textId="0FB3AE4B">
      <w:pPr>
        <w:pStyle w:val="ListParagraph"/>
      </w:pPr>
      <w:r w:rsidRPr="00115ED1">
        <w:t xml:space="preserve">Detailed </w:t>
      </w:r>
      <w:r w:rsidR="00E0123E">
        <w:t>p</w:t>
      </w:r>
      <w:r w:rsidRPr="00115ED1">
        <w:t xml:space="preserve">erson questions: </w:t>
      </w:r>
      <w:r w:rsidR="00E0123E">
        <w:t>p</w:t>
      </w:r>
      <w:r w:rsidRPr="00115ED1">
        <w:t xml:space="preserve">lace of </w:t>
      </w:r>
      <w:r w:rsidR="00E0123E">
        <w:t>b</w:t>
      </w:r>
      <w:r w:rsidRPr="00115ED1">
        <w:t xml:space="preserve">irth, </w:t>
      </w:r>
      <w:r w:rsidR="00E0123E">
        <w:t>e</w:t>
      </w:r>
      <w:r w:rsidRPr="00115ED1">
        <w:t xml:space="preserve">ducational </w:t>
      </w:r>
      <w:r w:rsidR="00E0123E">
        <w:t>a</w:t>
      </w:r>
      <w:r w:rsidRPr="00115ED1">
        <w:t xml:space="preserve">ttainment, </w:t>
      </w:r>
      <w:r w:rsidR="00E0123E">
        <w:t>h</w:t>
      </w:r>
      <w:r w:rsidRPr="00115ED1">
        <w:t xml:space="preserve">ealth </w:t>
      </w:r>
      <w:r w:rsidR="00E0123E">
        <w:t>i</w:t>
      </w:r>
      <w:r w:rsidRPr="00115ED1">
        <w:t xml:space="preserve">nsurance </w:t>
      </w:r>
      <w:r w:rsidR="00E0123E">
        <w:t>c</w:t>
      </w:r>
      <w:r w:rsidRPr="00115ED1">
        <w:t xml:space="preserve">overage, </w:t>
      </w:r>
      <w:r w:rsidR="00E0123E">
        <w:t>d</w:t>
      </w:r>
      <w:r w:rsidRPr="00115ED1">
        <w:t>isability</w:t>
      </w:r>
      <w:r w:rsidRPr="006E0A0D">
        <w:t xml:space="preserve">, </w:t>
      </w:r>
      <w:r w:rsidR="00E0123E">
        <w:t>f</w:t>
      </w:r>
      <w:r w:rsidRPr="006E0A0D">
        <w:t xml:space="preserve">ertility, </w:t>
      </w:r>
      <w:r w:rsidR="00E0123E">
        <w:t>m</w:t>
      </w:r>
      <w:r w:rsidRPr="006E0A0D">
        <w:t>arital</w:t>
      </w:r>
      <w:r w:rsidR="00E0123E">
        <w:t xml:space="preserve"> s</w:t>
      </w:r>
      <w:r w:rsidRPr="006E0A0D">
        <w:t>tatus/</w:t>
      </w:r>
      <w:r w:rsidR="00E0123E">
        <w:t>h</w:t>
      </w:r>
      <w:r w:rsidRPr="006E0A0D">
        <w:t xml:space="preserve">istory, </w:t>
      </w:r>
      <w:r w:rsidR="00E0123E">
        <w:t>s</w:t>
      </w:r>
      <w:r w:rsidRPr="006E0A0D">
        <w:t xml:space="preserve">exual </w:t>
      </w:r>
      <w:r w:rsidR="00E0123E">
        <w:t>o</w:t>
      </w:r>
      <w:r w:rsidRPr="006E0A0D">
        <w:t xml:space="preserve">rientation, and </w:t>
      </w:r>
      <w:r w:rsidR="00E0123E">
        <w:t>t</w:t>
      </w:r>
      <w:r w:rsidRPr="006E0A0D">
        <w:t xml:space="preserve">otal </w:t>
      </w:r>
      <w:r w:rsidR="00E0123E">
        <w:t>i</w:t>
      </w:r>
      <w:r w:rsidRPr="006E0A0D">
        <w:t>ncome</w:t>
      </w:r>
      <w:r w:rsidR="00E0123E">
        <w:t>.</w:t>
      </w:r>
      <w:r w:rsidRPr="006E0A0D">
        <w:t xml:space="preserve"> </w:t>
      </w:r>
    </w:p>
    <w:p w:rsidR="00671CB6" w:rsidP="005132F3" w14:paraId="2D03404D" w14:textId="3F7CA7C0">
      <w:r w:rsidRPr="00115ED1">
        <w:t xml:space="preserve">For the </w:t>
      </w:r>
      <w:r w:rsidRPr="00115ED1">
        <w:t>CFU,</w:t>
      </w:r>
      <w:r w:rsidRPr="00115ED1">
        <w:t xml:space="preserve"> households will receive the same question treatment they were asked in the original interview.</w:t>
      </w:r>
      <w:r w:rsidRPr="00115ED1">
        <w:t xml:space="preserve"> A</w:t>
      </w:r>
      <w:r w:rsidRPr="00115ED1">
        <w:t>nswers to questions in the original interview will not be provided to the respondents in the content reinterview.</w:t>
      </w:r>
      <w:r w:rsidRPr="00115ED1" w:rsidR="007249AE">
        <w:t xml:space="preserve"> The question wording for these items is identical to the wording used in the initial interview</w:t>
      </w:r>
      <w:r w:rsidR="007249AE">
        <w:t>.</w:t>
      </w:r>
    </w:p>
    <w:p w:rsidR="007249AE" w:rsidP="005132F3" w14:paraId="00885373" w14:textId="419A8E41">
      <w:r w:rsidRPr="006E0A0D">
        <w:t xml:space="preserve">In addition, open-ended </w:t>
      </w:r>
      <w:r>
        <w:t xml:space="preserve">questions </w:t>
      </w:r>
      <w:r w:rsidRPr="006E0A0D">
        <w:t xml:space="preserve">will be asked at the end of the interview for </w:t>
      </w:r>
      <w:r w:rsidR="000C25A2">
        <w:t>qualitative</w:t>
      </w:r>
      <w:r>
        <w:t xml:space="preserve"> </w:t>
      </w:r>
      <w:r w:rsidRPr="006E0A0D">
        <w:t xml:space="preserve">evaluation purposes only. </w:t>
      </w:r>
      <w:r w:rsidRPr="002E7CE3">
        <w:t xml:space="preserve">See </w:t>
      </w:r>
      <w:r w:rsidRPr="002E7CE3" w:rsidR="000C25A2">
        <w:t>A</w:t>
      </w:r>
      <w:r w:rsidRPr="002E7CE3">
        <w:t>ttachment</w:t>
      </w:r>
      <w:r w:rsidRPr="002E7CE3" w:rsidR="002E7CE3">
        <w:t>s I and J</w:t>
      </w:r>
      <w:r w:rsidRPr="002E7CE3">
        <w:t>.</w:t>
      </w:r>
    </w:p>
    <w:p w:rsidR="000B49D9" w:rsidRPr="00671CB6" w:rsidP="005132F3" w14:paraId="4614C5E8" w14:textId="2A2C3309">
      <w:r w:rsidRPr="00671CB6">
        <w:t xml:space="preserve">One critical aspect of this test is to understand how proxy respondents answer questions compared to those who self-report. </w:t>
      </w:r>
      <w:r w:rsidRPr="00671CB6">
        <w:t xml:space="preserve">To conduct that analysis, some </w:t>
      </w:r>
      <w:r w:rsidR="00671CB6">
        <w:t xml:space="preserve">CFU </w:t>
      </w:r>
      <w:r w:rsidRPr="00671CB6">
        <w:t xml:space="preserve">reinterviews will be conducted with the same respondent as the original interview and some will be conducted with a different adult </w:t>
      </w:r>
      <w:r w:rsidR="00A77E23">
        <w:t xml:space="preserve">(18 or older) </w:t>
      </w:r>
      <w:r w:rsidRPr="00671CB6">
        <w:t xml:space="preserve">household member. Among eligible households, </w:t>
      </w:r>
      <w:bookmarkStart w:id="3" w:name="_Ref146792823"/>
      <w:r w:rsidRPr="00671CB6">
        <w:t>there will be three treatments for the assignment of CFU respondents</w:t>
      </w:r>
      <w:bookmarkEnd w:id="3"/>
      <w:r w:rsidR="00671CB6">
        <w:t>:</w:t>
      </w:r>
    </w:p>
    <w:p w:rsidR="000B49D9" w:rsidRPr="006E0A0D" w:rsidP="005132F3" w14:paraId="25F939E9" w14:textId="77777777">
      <w:pPr>
        <w:pStyle w:val="ListParagraph"/>
      </w:pPr>
      <w:r w:rsidRPr="006E0A0D">
        <w:t xml:space="preserve">CFU Respondent Treatment 1 will consist of households with only one adult with a valid name. These cannot be included in the assignment to the same-respondent and different-respondent groups, but CFU responses should still be collected from them. In the CFU interview, they will be treated </w:t>
      </w:r>
      <w:r w:rsidRPr="006E0A0D">
        <w:t>exactly the same</w:t>
      </w:r>
      <w:r w:rsidRPr="006E0A0D">
        <w:t xml:space="preserve"> as CFU Respondent Treatment 2.</w:t>
      </w:r>
    </w:p>
    <w:p w:rsidR="000B49D9" w:rsidRPr="006E0A0D" w:rsidP="005132F3" w14:paraId="652F774F" w14:textId="6113DFA4">
      <w:pPr>
        <w:pStyle w:val="ListParagraph"/>
      </w:pPr>
      <w:r w:rsidRPr="006E0A0D">
        <w:t>CFU Respondent Treatment 2 will consist of households with more than one adult</w:t>
      </w:r>
      <w:r w:rsidR="00671CB6">
        <w:t xml:space="preserve"> (</w:t>
      </w:r>
      <w:r w:rsidR="00A96165">
        <w:t>people</w:t>
      </w:r>
      <w:r w:rsidR="00671CB6">
        <w:t xml:space="preserve"> </w:t>
      </w:r>
      <w:r w:rsidR="00671CB6">
        <w:t>age</w:t>
      </w:r>
      <w:r w:rsidR="00671CB6">
        <w:t xml:space="preserve"> 18 or over)</w:t>
      </w:r>
      <w:r w:rsidRPr="006E0A0D">
        <w:t>, who have been assigned to have the original interview respondent respond again in CFU.</w:t>
      </w:r>
    </w:p>
    <w:p w:rsidR="000B49D9" w:rsidRPr="006E0A0D" w:rsidP="005132F3" w14:paraId="6900FF78" w14:textId="324C92D6">
      <w:pPr>
        <w:pStyle w:val="ListParagraph"/>
      </w:pPr>
      <w:r w:rsidRPr="006E0A0D">
        <w:t>CFU Respondent Treatment 3 will consist of households with more than one adult, who have been assigned to have a different person respond in CFU.</w:t>
      </w:r>
    </w:p>
    <w:p w:rsidR="000B49D9" w:rsidRPr="006E0A0D" w:rsidP="005132F3" w14:paraId="3EA9E82B" w14:textId="0DEAEE5F">
      <w:r>
        <w:t xml:space="preserve">To assign </w:t>
      </w:r>
      <w:r w:rsidR="00671CB6">
        <w:t>CFU Respondent Treatments 2 and 3</w:t>
      </w:r>
      <w:r w:rsidR="000C25A2">
        <w:t>,</w:t>
      </w:r>
      <w:r w:rsidR="00671CB6">
        <w:t xml:space="preserve"> </w:t>
      </w:r>
      <w:r>
        <w:t>h</w:t>
      </w:r>
      <w:r w:rsidRPr="006E0A0D">
        <w:t xml:space="preserve">ouseholds that have at least two </w:t>
      </w:r>
      <w:r w:rsidR="00671CB6">
        <w:t>adults</w:t>
      </w:r>
      <w:r w:rsidRPr="006E0A0D">
        <w:t xml:space="preserve"> </w:t>
      </w:r>
      <w:r w:rsidR="00671CB6">
        <w:t xml:space="preserve">will be stratified </w:t>
      </w:r>
      <w:r w:rsidRPr="006E0A0D">
        <w:t xml:space="preserve">into </w:t>
      </w:r>
      <w:r w:rsidR="00671CB6">
        <w:t>two strata: t</w:t>
      </w:r>
      <w:r w:rsidRPr="006E0A0D">
        <w:t xml:space="preserve">hose with a sexual or gender minority, and those without a sexual or gender minority. Within each </w:t>
      </w:r>
      <w:r>
        <w:t>strata</w:t>
      </w:r>
      <w:r w:rsidRPr="006E0A0D">
        <w:t xml:space="preserve">, </w:t>
      </w:r>
      <w:r>
        <w:t xml:space="preserve">a household will be </w:t>
      </w:r>
      <w:r w:rsidRPr="006E0A0D">
        <w:t>assign</w:t>
      </w:r>
      <w:r>
        <w:t>ed</w:t>
      </w:r>
      <w:r w:rsidRPr="006E0A0D">
        <w:t xml:space="preserve"> </w:t>
      </w:r>
      <w:r>
        <w:t>to ei</w:t>
      </w:r>
      <w:r w:rsidRPr="006E0A0D">
        <w:t xml:space="preserve">ther CFU Respondent </w:t>
      </w:r>
      <w:r w:rsidRPr="006E0A0D">
        <w:t xml:space="preserve">Treatment 2 or CFU Respondent Treatment 3 using a systematic sampling method with 50-50 probability. </w:t>
      </w:r>
    </w:p>
    <w:p w:rsidR="00F37854" w:rsidP="009C04B9" w14:paraId="098CA30B" w14:textId="03D8D0CA">
      <w:r>
        <w:t>By</w:t>
      </w:r>
      <w:r w:rsidRPr="006E0A0D" w:rsidR="00144C53">
        <w:t xml:space="preserve"> </w:t>
      </w:r>
      <w:r w:rsidRPr="00115ED1">
        <w:t>using a variety of metrics (item nonresponse, response distributions, response reliability, etc.) outlined in the</w:t>
      </w:r>
      <w:r>
        <w:t xml:space="preserve"> analysis </w:t>
      </w:r>
      <w:r w:rsidRPr="006E4E89">
        <w:t xml:space="preserve">plan (Attachment </w:t>
      </w:r>
      <w:r w:rsidRPr="006E4E89" w:rsidR="006E4E89">
        <w:t>M</w:t>
      </w:r>
      <w:r w:rsidRPr="006E4E89">
        <w:t>), this test</w:t>
      </w:r>
      <w:r>
        <w:t xml:space="preserve"> will determine:</w:t>
      </w:r>
    </w:p>
    <w:p w:rsidR="00F37854" w:rsidRPr="006E0A0D" w:rsidP="005132F3" w14:paraId="6442E27B" w14:textId="4EB86128">
      <w:pPr>
        <w:pStyle w:val="ListParagraph"/>
      </w:pPr>
      <w:r>
        <w:t>H</w:t>
      </w:r>
      <w:r>
        <w:t>ow well the</w:t>
      </w:r>
      <w:r w:rsidRPr="006E0A0D">
        <w:t xml:space="preserve"> estimates </w:t>
      </w:r>
      <w:r>
        <w:t xml:space="preserve">for sexual orientation and gender identity </w:t>
      </w:r>
      <w:r w:rsidRPr="006E0A0D">
        <w:t>compar</w:t>
      </w:r>
      <w:r>
        <w:t>e</w:t>
      </w:r>
      <w:r w:rsidRPr="006E0A0D">
        <w:t xml:space="preserve"> to existing data sources</w:t>
      </w:r>
      <w:r w:rsidR="009C04B9">
        <w:t>.</w:t>
      </w:r>
    </w:p>
    <w:p w:rsidR="00F37854" w:rsidP="005132F3" w14:paraId="5FC02E5F" w14:textId="25859294">
      <w:pPr>
        <w:pStyle w:val="ListParagraph"/>
      </w:pPr>
      <w:r>
        <w:t>W</w:t>
      </w:r>
      <w:r>
        <w:t xml:space="preserve">hich version of the </w:t>
      </w:r>
      <w:r>
        <w:t>c</w:t>
      </w:r>
      <w:r>
        <w:t xml:space="preserve">urrent </w:t>
      </w:r>
      <w:r>
        <w:t>g</w:t>
      </w:r>
      <w:r>
        <w:t>ender question wording is recommended for production implementation</w:t>
      </w:r>
      <w:r w:rsidR="009C04B9">
        <w:t>.</w:t>
      </w:r>
    </w:p>
    <w:p w:rsidR="00F37854" w:rsidP="005132F3" w14:paraId="5E202253" w14:textId="29D38185">
      <w:pPr>
        <w:pStyle w:val="ListParagraph"/>
      </w:pPr>
      <w:r>
        <w:t>W</w:t>
      </w:r>
      <w:r>
        <w:t>hich version of the write-in display is recommended for production implementation</w:t>
      </w:r>
      <w:r w:rsidR="009C04B9">
        <w:t>.</w:t>
      </w:r>
    </w:p>
    <w:p w:rsidR="00F37854" w:rsidP="005132F3" w14:paraId="650A6849" w14:textId="0AABFE40">
      <w:pPr>
        <w:pStyle w:val="ListParagraph"/>
      </w:pPr>
      <w:r>
        <w:t>W</w:t>
      </w:r>
      <w:r>
        <w:t xml:space="preserve">hether the confirmation question should be asked for everyone or only for people where the sex </w:t>
      </w:r>
      <w:r w:rsidR="00104D6C">
        <w:t xml:space="preserve">assigned </w:t>
      </w:r>
      <w:r>
        <w:t xml:space="preserve">at birth and current gender question </w:t>
      </w:r>
      <w:r w:rsidR="00C76BF5">
        <w:t>do not</w:t>
      </w:r>
      <w:r>
        <w:t xml:space="preserve"> match</w:t>
      </w:r>
      <w:r w:rsidR="009C04B9">
        <w:t>.</w:t>
      </w:r>
    </w:p>
    <w:p w:rsidR="00AA1B82" w:rsidP="00AA1B82" w14:paraId="759DF793" w14:textId="5C247466">
      <w:pPr>
        <w:pStyle w:val="ListParagraph"/>
        <w:ind w:left="1170"/>
      </w:pPr>
      <w:r>
        <w:t>How well responses provided by proxy align with responses provided by self-report.</w:t>
      </w:r>
    </w:p>
    <w:p w:rsidR="00B955B7" w:rsidRPr="00124446" w:rsidP="005132F3" w14:paraId="11A53286" w14:textId="77777777">
      <w:pPr>
        <w:pStyle w:val="Heading1"/>
      </w:pPr>
      <w:r w:rsidRPr="00124446">
        <w:t xml:space="preserve">Provide the name and telephone number of individuals consulted on statistical aspects of the design and the name of the agency unit, contractor(s), grantee(s), or other person(s) who will </w:t>
      </w:r>
      <w:r w:rsidRPr="00124446">
        <w:t>actually collect</w:t>
      </w:r>
      <w:r w:rsidRPr="00124446">
        <w:t xml:space="preserve"> and/or analyze the information for the</w:t>
      </w:r>
      <w:r w:rsidRPr="00124446">
        <w:rPr>
          <w:spacing w:val="-6"/>
        </w:rPr>
        <w:t xml:space="preserve"> </w:t>
      </w:r>
      <w:r w:rsidRPr="00124446">
        <w:t>agency.</w:t>
      </w:r>
    </w:p>
    <w:p w:rsidR="00CF738F" w:rsidRPr="00DC2C83" w:rsidP="005132F3" w14:paraId="47B9917D" w14:textId="300D3061">
      <w:r w:rsidRPr="00115ED1">
        <w:t>The Census Bureau will collect and process these data. Within the Census Bureau, please consult the following individuals</w:t>
      </w:r>
      <w:r w:rsidRPr="00C712B2">
        <w:t xml:space="preserve"> for further information on their area of expertise.</w:t>
      </w:r>
    </w:p>
    <w:p w:rsidR="00B820A4" w:rsidRPr="009C04B9" w:rsidP="005132F3" w14:paraId="509C615D" w14:textId="77777777">
      <w:pPr>
        <w:rPr>
          <w:u w:val="single"/>
        </w:rPr>
      </w:pPr>
      <w:r w:rsidRPr="009C04B9">
        <w:rPr>
          <w:u w:val="single"/>
        </w:rPr>
        <w:t>Statistical Aspects</w:t>
      </w:r>
    </w:p>
    <w:p w:rsidR="00B820A4" w:rsidRPr="00DC2C83" w:rsidP="009C04B9" w14:paraId="0BFB2FB7" w14:textId="6B576531">
      <w:pPr>
        <w:spacing w:after="0"/>
      </w:pPr>
      <w:r w:rsidRPr="00DC2C83">
        <w:t>Joan Hill</w:t>
      </w:r>
      <w:r w:rsidRPr="00DC2C83">
        <w:tab/>
      </w:r>
      <w:r w:rsidRPr="00DC2C83">
        <w:tab/>
      </w:r>
      <w:r w:rsidR="00115ED1">
        <w:tab/>
      </w:r>
      <w:r w:rsidRPr="00DC2C83">
        <w:t>Assistant Division Chief for Experiments and Evaluations</w:t>
      </w:r>
    </w:p>
    <w:p w:rsidR="00B820A4" w:rsidRPr="00DC2C83" w:rsidP="009C04B9" w14:paraId="3E6223F9" w14:textId="12D1F141">
      <w:pPr>
        <w:spacing w:after="0"/>
      </w:pPr>
      <w:r w:rsidRPr="00DC2C83">
        <w:tab/>
      </w:r>
      <w:r w:rsidRPr="00DC2C83">
        <w:tab/>
      </w:r>
      <w:r w:rsidRPr="00DC2C83">
        <w:tab/>
      </w:r>
      <w:r w:rsidRPr="00DC2C83">
        <w:tab/>
      </w:r>
      <w:r w:rsidR="00115ED1">
        <w:tab/>
      </w:r>
      <w:r w:rsidRPr="00DC2C83">
        <w:t>Decennial Statistical Studies Division</w:t>
      </w:r>
    </w:p>
    <w:p w:rsidR="00B820A4" w:rsidRPr="00DC2C83" w:rsidP="009C04B9" w14:paraId="560ACC8A" w14:textId="1B21062F">
      <w:pPr>
        <w:spacing w:after="0"/>
      </w:pPr>
      <w:r w:rsidRPr="00DC2C83">
        <w:tab/>
      </w:r>
      <w:r w:rsidRPr="00DC2C83">
        <w:tab/>
      </w:r>
      <w:r w:rsidRPr="00DC2C83">
        <w:tab/>
      </w:r>
      <w:r w:rsidRPr="00DC2C83">
        <w:tab/>
      </w:r>
      <w:r w:rsidR="00115ED1">
        <w:tab/>
      </w:r>
      <w:r w:rsidRPr="00DC2C83">
        <w:t>Phone: (301) 763-4286</w:t>
      </w:r>
    </w:p>
    <w:p w:rsidR="00B820A4" w:rsidRPr="00DC2C83" w:rsidP="005132F3" w14:paraId="7755B61A" w14:textId="77777777"/>
    <w:p w:rsidR="00B820A4" w:rsidRPr="009C04B9" w:rsidP="005132F3" w14:paraId="2E37F9D5" w14:textId="77777777">
      <w:pPr>
        <w:rPr>
          <w:u w:val="single"/>
        </w:rPr>
      </w:pPr>
      <w:r w:rsidRPr="009C04B9">
        <w:rPr>
          <w:u w:val="single"/>
        </w:rPr>
        <w:t>Overall Data Collection</w:t>
      </w:r>
    </w:p>
    <w:p w:rsidR="00D4279C" w:rsidP="009C04B9" w14:paraId="5135D740" w14:textId="3CFEC7A8">
      <w:pPr>
        <w:spacing w:after="0"/>
      </w:pPr>
      <w:r>
        <w:t>Elizabeth Poehler</w:t>
      </w:r>
      <w:r>
        <w:tab/>
      </w:r>
      <w:r>
        <w:tab/>
        <w:t>Assistant Division Chief for Survey Methods</w:t>
      </w:r>
    </w:p>
    <w:p w:rsidR="00D4279C" w:rsidP="009C04B9" w14:paraId="153E4536" w14:textId="198B88E9">
      <w:pPr>
        <w:spacing w:after="0"/>
      </w:pPr>
      <w:r>
        <w:tab/>
      </w:r>
      <w:r>
        <w:tab/>
      </w:r>
      <w:r>
        <w:tab/>
      </w:r>
      <w:r>
        <w:tab/>
      </w:r>
      <w:r w:rsidR="00115ED1">
        <w:tab/>
      </w:r>
      <w:r>
        <w:t>American Community Survey Office</w:t>
      </w:r>
    </w:p>
    <w:p w:rsidR="00D4279C" w:rsidRPr="00DC2C83" w:rsidP="009C04B9" w14:paraId="0BD79BB3" w14:textId="19101F4D">
      <w:pPr>
        <w:spacing w:after="0"/>
      </w:pPr>
      <w:r>
        <w:tab/>
      </w:r>
      <w:r>
        <w:tab/>
      </w:r>
      <w:r>
        <w:tab/>
      </w:r>
      <w:r>
        <w:tab/>
      </w:r>
      <w:r w:rsidR="00115ED1">
        <w:tab/>
      </w:r>
      <w:r>
        <w:t>Phone: (301) 763-9305</w:t>
      </w:r>
    </w:p>
    <w:p w:rsidR="00677C42" w:rsidP="0015742F" w14:paraId="11A5328A" w14:textId="77777777">
      <w:pPr>
        <w:ind w:left="0"/>
      </w:pPr>
    </w:p>
    <w:sectPr w:rsidSect="00942196">
      <w:footerReference w:type="default" r:id="rId10"/>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C1E42" w:rsidP="004E7166" w14:paraId="11A53290" w14:textId="0AAD6ECA">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1E42" w:rsidP="005132F3" w14:paraId="2DB19E41" w14:textId="77777777">
      <w:r>
        <w:separator/>
      </w:r>
    </w:p>
  </w:footnote>
  <w:footnote w:type="continuationSeparator" w:id="1">
    <w:p w:rsidR="00BC1E42" w:rsidP="005132F3" w14:paraId="2E9936AE" w14:textId="77777777">
      <w:r>
        <w:continuationSeparator/>
      </w:r>
    </w:p>
  </w:footnote>
  <w:footnote w:type="continuationNotice" w:id="2">
    <w:p w:rsidR="0054622A" w:rsidP="005132F3" w14:paraId="53004475" w14:textId="77777777"/>
  </w:footnote>
  <w:footnote w:id="3">
    <w:p w:rsidR="00F86682" w:rsidP="004E7166" w14:paraId="2BAE5D7A" w14:textId="5074EB21">
      <w:pPr>
        <w:pStyle w:val="FootnoteText"/>
        <w:tabs>
          <w:tab w:val="clear" w:pos="216"/>
        </w:tabs>
        <w:ind w:left="360" w:firstLine="0"/>
      </w:pPr>
      <w:r>
        <w:rPr>
          <w:rStyle w:val="FootnoteReference"/>
        </w:rPr>
        <w:footnoteRef/>
      </w:r>
      <w:r>
        <w:t xml:space="preserve"> </w:t>
      </w:r>
      <w:r w:rsidR="00BA10D9">
        <w:t xml:space="preserve">Because low-level geographic data is not available for many of the SGM groups, data on same-sex partners is being used. </w:t>
      </w:r>
      <w:r w:rsidRPr="001F1B65">
        <w:rPr>
          <w:rFonts w:cstheme="minorHAnsi"/>
        </w:rPr>
        <w:t xml:space="preserve">The data </w:t>
      </w:r>
      <w:r w:rsidRPr="004E7166">
        <w:t>for this come</w:t>
      </w:r>
      <w:r w:rsidRPr="001F1B65">
        <w:rPr>
          <w:rFonts w:cstheme="minorHAnsi"/>
        </w:rPr>
        <w:t xml:space="preserve"> from the 2020 Census Demogr</w:t>
      </w:r>
      <w:r w:rsidRPr="004E7166">
        <w:t>aph</w:t>
      </w:r>
      <w:r w:rsidRPr="001F1B65">
        <w:rPr>
          <w:rFonts w:cstheme="minorHAnsi"/>
        </w:rPr>
        <w:t xml:space="preserve">ic and Housing Characteristics File: </w:t>
      </w:r>
      <w:hyperlink r:id="rId1" w:history="1">
        <w:r w:rsidRPr="001F1B65">
          <w:rPr>
            <w:rStyle w:val="Hyperlink"/>
            <w:rFonts w:cstheme="minorHAnsi"/>
          </w:rPr>
          <w:t>PCT15: COUPLED HOUSEHOLDS, BY TYPE - Census Bureau Table</w:t>
        </w:r>
      </w:hyperlink>
      <w:r w:rsidRPr="001F1B65">
        <w:rPr>
          <w:rFonts w:cstheme="minorHAnsi"/>
        </w:rPr>
        <w:t xml:space="preserve">, and </w:t>
      </w:r>
      <w:hyperlink r:id="rId2" w:history="1">
        <w:r w:rsidRPr="001F1B65">
          <w:rPr>
            <w:rStyle w:val="Hyperlink"/>
            <w:rFonts w:cstheme="minorHAnsi"/>
          </w:rPr>
          <w:t>H2: URBAN AND RURAL - Census Bureau Table</w:t>
        </w:r>
      </w:hyperlink>
      <w:r w:rsidRPr="001F1B65">
        <w:rPr>
          <w:rFonts w:cstheme="minorHAnsi"/>
        </w:rPr>
        <w:t>.</w:t>
      </w:r>
      <w:r>
        <w:t xml:space="preserve"> </w:t>
      </w:r>
    </w:p>
  </w:footnote>
  <w:footnote w:id="4">
    <w:p w:rsidR="00E0123E" w:rsidRPr="004E7166" w:rsidP="00E0123E" w14:paraId="2B9315C6" w14:textId="2707ECE6">
      <w:pPr>
        <w:pStyle w:val="FootnoteText"/>
        <w:tabs>
          <w:tab w:val="clear" w:pos="216"/>
          <w:tab w:val="left" w:pos="360"/>
        </w:tabs>
        <w:ind w:left="360" w:firstLine="0"/>
      </w:pPr>
      <w:r>
        <w:rPr>
          <w:rStyle w:val="FootnoteReference"/>
        </w:rPr>
        <w:footnoteRef/>
      </w:r>
      <w:r>
        <w:t xml:space="preserve"> </w:t>
      </w:r>
      <w:r w:rsidRPr="004E7166">
        <w:t xml:space="preserve">Some people define the </w:t>
      </w:r>
      <w:r>
        <w:t>“</w:t>
      </w:r>
      <w:r w:rsidRPr="004E7166">
        <w:t>Q</w:t>
      </w:r>
      <w:r>
        <w:t>”</w:t>
      </w:r>
      <w:r w:rsidRPr="004E7166">
        <w:t xml:space="preserve"> in th</w:t>
      </w:r>
      <w:r>
        <w:t xml:space="preserve">e LGBTQI+ acronym </w:t>
      </w:r>
      <w:r w:rsidRPr="004E7166">
        <w:t>to represent “questioning” instead of “queer</w:t>
      </w:r>
      <w:r>
        <w:t>.</w:t>
      </w:r>
      <w:r w:rsidRPr="004E7166">
        <w:t>” The + (plus) in the acronym represents other sexual identities, including asexual, pansexual, Two-Spirit, and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99AA0EC"/>
    <w:lvl w:ilvl="0">
      <w:start w:val="1"/>
      <w:numFmt w:val="decimal"/>
      <w:pStyle w:val="Heading1"/>
      <w:lvlText w:val="%1."/>
      <w:lvlJc w:val="left"/>
      <w:pPr>
        <w:ind w:left="400" w:hanging="269"/>
      </w:pPr>
      <w:rPr>
        <w:rFonts w:asciiTheme="minorHAnsi" w:hAnsiTheme="minorHAnsi" w:cstheme="minorHAnsi" w:hint="default"/>
        <w:b/>
        <w:bCs/>
        <w:sz w:val="24"/>
        <w:szCs w:val="24"/>
        <w:lang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111174F8"/>
    <w:multiLevelType w:val="hybridMultilevel"/>
    <w:tmpl w:val="1E8AEF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1CE26FA"/>
    <w:multiLevelType w:val="hybridMultilevel"/>
    <w:tmpl w:val="F7F04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F45343"/>
    <w:multiLevelType w:val="hybridMultilevel"/>
    <w:tmpl w:val="81A884DC"/>
    <w:lvl w:ilvl="0">
      <w:start w:val="1"/>
      <w:numFmt w:val="bullet"/>
      <w:lvlText w:val=""/>
      <w:lvlJc w:val="left"/>
      <w:pPr>
        <w:ind w:left="1120" w:hanging="360"/>
      </w:pPr>
      <w:rPr>
        <w:rFonts w:ascii="Symbol" w:hAnsi="Symbol" w:hint="default"/>
      </w:rPr>
    </w:lvl>
    <w:lvl w:ilvl="1">
      <w:start w:val="0"/>
      <w:numFmt w:val="bullet"/>
      <w:lvlText w:val="·"/>
      <w:lvlJc w:val="left"/>
      <w:pPr>
        <w:ind w:left="1840" w:hanging="360"/>
      </w:pPr>
      <w:rPr>
        <w:rFonts w:ascii="Calibri" w:eastAsia="Arial" w:hAnsi="Calibri" w:cs="Calibri"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4">
    <w:nsid w:val="31C22ED5"/>
    <w:multiLevelType w:val="hybridMultilevel"/>
    <w:tmpl w:val="69EAC07E"/>
    <w:lvl w:ilvl="0">
      <w:start w:val="1"/>
      <w:numFmt w:val="bullet"/>
      <w:lvlText w:val=""/>
      <w:lvlJc w:val="left"/>
      <w:pPr>
        <w:ind w:left="400" w:hanging="269"/>
      </w:pPr>
      <w:rPr>
        <w:rFonts w:ascii="Symbol" w:hAnsi="Symbol" w:hint="default"/>
        <w:b/>
        <w:bCs/>
        <w:sz w:val="24"/>
        <w:szCs w:val="24"/>
        <w:lang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5">
    <w:nsid w:val="3DBE5318"/>
    <w:multiLevelType w:val="hybridMultilevel"/>
    <w:tmpl w:val="87A68D60"/>
    <w:lvl w:ilvl="0">
      <w:start w:val="1"/>
      <w:numFmt w:val="bullet"/>
      <w:pStyle w:val="ListParagraph"/>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cs="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cs="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cs="Courier New" w:hint="default"/>
      </w:rPr>
    </w:lvl>
    <w:lvl w:ilvl="8" w:tentative="1">
      <w:start w:val="1"/>
      <w:numFmt w:val="bullet"/>
      <w:lvlText w:val=""/>
      <w:lvlJc w:val="left"/>
      <w:pPr>
        <w:ind w:left="6926" w:hanging="360"/>
      </w:pPr>
      <w:rPr>
        <w:rFonts w:ascii="Wingdings" w:hAnsi="Wingdings" w:hint="default"/>
      </w:rPr>
    </w:lvl>
  </w:abstractNum>
  <w:abstractNum w:abstractNumId="6">
    <w:nsid w:val="44F53146"/>
    <w:multiLevelType w:val="hybridMultilevel"/>
    <w:tmpl w:val="2C8A2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5F5C7F"/>
    <w:multiLevelType w:val="multilevel"/>
    <w:tmpl w:val="2B585CDE"/>
    <w:lvl w:ilvl="0">
      <w:start w:val="1"/>
      <w:numFmt w:val="decimal"/>
      <w:lvlText w:val="4.%1."/>
      <w:lvlJc w:val="left"/>
      <w:pPr>
        <w:ind w:left="648" w:hanging="648"/>
      </w:pPr>
      <w:rPr>
        <w:rFonts w:hint="default"/>
      </w:rPr>
    </w:lvl>
    <w:lvl w:ilvl="1">
      <w:start w:val="1"/>
      <w:numFmt w:val="decimal"/>
      <w:lvlText w:val="4.%1.%2."/>
      <w:lvlJc w:val="left"/>
      <w:pPr>
        <w:ind w:left="1008" w:hanging="648"/>
      </w:pPr>
      <w:rPr>
        <w:rFonts w:hint="default"/>
      </w:rPr>
    </w:lvl>
    <w:lvl w:ilvl="2">
      <w:start w:val="1"/>
      <w:numFmt w:val="decimal"/>
      <w:lvlText w:val="4.%1.%2.%3."/>
      <w:lvlJc w:val="left"/>
      <w:pPr>
        <w:ind w:left="1224" w:hanging="504"/>
      </w:pPr>
      <w:rPr>
        <w:rFonts w:hint="default"/>
      </w:rPr>
    </w:lvl>
    <w:lvl w:ilvl="3">
      <w:start w:val="1"/>
      <w:numFmt w:val="decimal"/>
      <w:lvlText w:val="4.%1.%2.%3.%4."/>
      <w:lvlJc w:val="left"/>
      <w:pPr>
        <w:ind w:left="1728" w:hanging="648"/>
      </w:pPr>
      <w:rPr>
        <w:rFonts w:hint="default"/>
      </w:rPr>
    </w:lvl>
    <w:lvl w:ilvl="4">
      <w:start w:val="1"/>
      <w:numFmt w:val="decimal"/>
      <w:lvlText w:val="4.%2.%3.%4.%5."/>
      <w:lvlJc w:val="left"/>
      <w:pPr>
        <w:ind w:left="2232" w:hanging="792"/>
      </w:pPr>
      <w:rPr>
        <w:rFonts w:hint="default"/>
      </w:rPr>
    </w:lvl>
    <w:lvl w:ilvl="5">
      <w:start w:val="1"/>
      <w:numFmt w:val="decimal"/>
      <w:lvlText w:val="4.%2.%3.%4.%5.%6."/>
      <w:lvlJc w:val="left"/>
      <w:pPr>
        <w:ind w:left="2736" w:hanging="936"/>
      </w:pPr>
      <w:rPr>
        <w:rFonts w:hint="default"/>
      </w:rPr>
    </w:lvl>
    <w:lvl w:ilvl="6">
      <w:start w:val="1"/>
      <w:numFmt w:val="decimal"/>
      <w:lvlText w:val="4.%2.%3.%4.%5.%6.%7."/>
      <w:lvlJc w:val="left"/>
      <w:pPr>
        <w:ind w:left="3240" w:hanging="1080"/>
      </w:pPr>
      <w:rPr>
        <w:rFonts w:hint="default"/>
      </w:rPr>
    </w:lvl>
    <w:lvl w:ilvl="7">
      <w:start w:val="1"/>
      <w:numFmt w:val="decimal"/>
      <w:lvlText w:val="4.%2.%3.%4.%5.%6.%7.%8."/>
      <w:lvlJc w:val="left"/>
      <w:pPr>
        <w:ind w:left="3744" w:hanging="1224"/>
      </w:pPr>
      <w:rPr>
        <w:rFonts w:hint="default"/>
      </w:rPr>
    </w:lvl>
    <w:lvl w:ilvl="8">
      <w:start w:val="1"/>
      <w:numFmt w:val="decimal"/>
      <w:lvlText w:val="4.%2.%3.%4.%5.%6.%7.%8.%9."/>
      <w:lvlJc w:val="left"/>
      <w:pPr>
        <w:ind w:left="4320" w:hanging="1440"/>
      </w:pPr>
      <w:rPr>
        <w:rFonts w:hint="default"/>
      </w:rPr>
    </w:lvl>
  </w:abstractNum>
  <w:abstractNum w:abstractNumId="8">
    <w:nsid w:val="52D73EB5"/>
    <w:multiLevelType w:val="hybridMultilevel"/>
    <w:tmpl w:val="CF5A48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8EB6AA7"/>
    <w:multiLevelType w:val="multilevel"/>
    <w:tmpl w:val="4B7AD800"/>
    <w:lvl w:ilvl="0">
      <w:start w:val="1"/>
      <w:numFmt w:val="decimal"/>
      <w:lvlText w:val="5.%1."/>
      <w:lvlJc w:val="left"/>
      <w:pPr>
        <w:ind w:left="648" w:hanging="648"/>
      </w:pPr>
      <w:rPr>
        <w:rFonts w:hint="default"/>
      </w:rPr>
    </w:lvl>
    <w:lvl w:ilvl="1">
      <w:start w:val="1"/>
      <w:numFmt w:val="decimal"/>
      <w:lvlText w:val="5.%1.%2."/>
      <w:lvlJc w:val="left"/>
      <w:pPr>
        <w:ind w:left="1008" w:hanging="648"/>
      </w:pPr>
      <w:rPr>
        <w:rFonts w:hint="default"/>
      </w:rPr>
    </w:lvl>
    <w:lvl w:ilvl="2">
      <w:start w:val="1"/>
      <w:numFmt w:val="decimal"/>
      <w:lvlText w:val="5.%1.%2.%3."/>
      <w:lvlJc w:val="left"/>
      <w:pPr>
        <w:ind w:left="1224" w:hanging="504"/>
      </w:pPr>
      <w:rPr>
        <w:rFonts w:hint="default"/>
      </w:rPr>
    </w:lvl>
    <w:lvl w:ilvl="3">
      <w:start w:val="1"/>
      <w:numFmt w:val="decimal"/>
      <w:lvlText w:val="5.%1.%2.%3.%4."/>
      <w:lvlJc w:val="left"/>
      <w:pPr>
        <w:ind w:left="1728" w:hanging="648"/>
      </w:pPr>
      <w:rPr>
        <w:rFonts w:hint="default"/>
      </w:rPr>
    </w:lvl>
    <w:lvl w:ilvl="4">
      <w:start w:val="1"/>
      <w:numFmt w:val="decimal"/>
      <w:lvlText w:val="5.%2.%3.%4.%5.1."/>
      <w:lvlJc w:val="left"/>
      <w:pPr>
        <w:ind w:left="2232" w:hanging="792"/>
      </w:pPr>
      <w:rPr>
        <w:rFonts w:hint="default"/>
      </w:rPr>
    </w:lvl>
    <w:lvl w:ilvl="5">
      <w:start w:val="1"/>
      <w:numFmt w:val="decimal"/>
      <w:lvlText w:val="5.%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65E3141F"/>
    <w:multiLevelType w:val="hybridMultilevel"/>
    <w:tmpl w:val="8C6CA5D2"/>
    <w:lvl w:ilvl="0">
      <w:start w:val="1"/>
      <w:numFmt w:val="bullet"/>
      <w:lvlText w:val=""/>
      <w:lvlJc w:val="left"/>
      <w:pPr>
        <w:ind w:left="11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num w:numId="1" w16cid:durableId="1762529925">
    <w:abstractNumId w:val="0"/>
  </w:num>
  <w:num w:numId="2" w16cid:durableId="1984578996">
    <w:abstractNumId w:val="10"/>
  </w:num>
  <w:num w:numId="3" w16cid:durableId="2051684026">
    <w:abstractNumId w:val="2"/>
  </w:num>
  <w:num w:numId="4" w16cid:durableId="1134788257">
    <w:abstractNumId w:val="3"/>
  </w:num>
  <w:num w:numId="5" w16cid:durableId="393237721">
    <w:abstractNumId w:val="11"/>
  </w:num>
  <w:num w:numId="6" w16cid:durableId="1674451997">
    <w:abstractNumId w:val="9"/>
  </w:num>
  <w:num w:numId="7" w16cid:durableId="1574197855">
    <w:abstractNumId w:val="7"/>
  </w:num>
  <w:num w:numId="8" w16cid:durableId="275329352">
    <w:abstractNumId w:val="8"/>
  </w:num>
  <w:num w:numId="9" w16cid:durableId="1539314815">
    <w:abstractNumId w:val="1"/>
  </w:num>
  <w:num w:numId="10" w16cid:durableId="1332367229">
    <w:abstractNumId w:val="4"/>
  </w:num>
  <w:num w:numId="11" w16cid:durableId="1768236088">
    <w:abstractNumId w:val="5"/>
  </w:num>
  <w:num w:numId="12" w16cid:durableId="1888763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80B4A"/>
    <w:rsid w:val="000B2AA7"/>
    <w:rsid w:val="000B49D9"/>
    <w:rsid w:val="000C25A2"/>
    <w:rsid w:val="000C3044"/>
    <w:rsid w:val="000C69C4"/>
    <w:rsid w:val="000D677C"/>
    <w:rsid w:val="000E429B"/>
    <w:rsid w:val="00104D6C"/>
    <w:rsid w:val="00115ED1"/>
    <w:rsid w:val="00124446"/>
    <w:rsid w:val="00125297"/>
    <w:rsid w:val="00130530"/>
    <w:rsid w:val="00136383"/>
    <w:rsid w:val="00144C53"/>
    <w:rsid w:val="0015742F"/>
    <w:rsid w:val="0017422B"/>
    <w:rsid w:val="001962E8"/>
    <w:rsid w:val="001F1B65"/>
    <w:rsid w:val="002016C5"/>
    <w:rsid w:val="00245185"/>
    <w:rsid w:val="00267AB4"/>
    <w:rsid w:val="002859B8"/>
    <w:rsid w:val="002A5C92"/>
    <w:rsid w:val="002E67A6"/>
    <w:rsid w:val="002E7CE3"/>
    <w:rsid w:val="002F5135"/>
    <w:rsid w:val="00301A3B"/>
    <w:rsid w:val="00314481"/>
    <w:rsid w:val="00317EA8"/>
    <w:rsid w:val="00331F17"/>
    <w:rsid w:val="003428C9"/>
    <w:rsid w:val="0036402A"/>
    <w:rsid w:val="003D46EB"/>
    <w:rsid w:val="00403664"/>
    <w:rsid w:val="00422524"/>
    <w:rsid w:val="00442F57"/>
    <w:rsid w:val="00463CB2"/>
    <w:rsid w:val="004D6E89"/>
    <w:rsid w:val="004E7166"/>
    <w:rsid w:val="00510162"/>
    <w:rsid w:val="005132F3"/>
    <w:rsid w:val="0052552C"/>
    <w:rsid w:val="005367D0"/>
    <w:rsid w:val="0054622A"/>
    <w:rsid w:val="005C2595"/>
    <w:rsid w:val="00615B02"/>
    <w:rsid w:val="006339BD"/>
    <w:rsid w:val="00671A45"/>
    <w:rsid w:val="00671CB6"/>
    <w:rsid w:val="00677C42"/>
    <w:rsid w:val="006B50CA"/>
    <w:rsid w:val="006C1521"/>
    <w:rsid w:val="006E0A0D"/>
    <w:rsid w:val="006E4E89"/>
    <w:rsid w:val="006E5EDF"/>
    <w:rsid w:val="007249AE"/>
    <w:rsid w:val="00774472"/>
    <w:rsid w:val="00775E10"/>
    <w:rsid w:val="00781C56"/>
    <w:rsid w:val="007842A3"/>
    <w:rsid w:val="007B36BA"/>
    <w:rsid w:val="007C4480"/>
    <w:rsid w:val="007C68BB"/>
    <w:rsid w:val="00832FF8"/>
    <w:rsid w:val="00837B80"/>
    <w:rsid w:val="008715AE"/>
    <w:rsid w:val="008A2FD0"/>
    <w:rsid w:val="008C2270"/>
    <w:rsid w:val="008C4607"/>
    <w:rsid w:val="008D1298"/>
    <w:rsid w:val="008E1266"/>
    <w:rsid w:val="008E70B7"/>
    <w:rsid w:val="008F3F70"/>
    <w:rsid w:val="00942196"/>
    <w:rsid w:val="00962A1D"/>
    <w:rsid w:val="009A3994"/>
    <w:rsid w:val="009A5EE9"/>
    <w:rsid w:val="009C04B9"/>
    <w:rsid w:val="009C4338"/>
    <w:rsid w:val="00A036EE"/>
    <w:rsid w:val="00A057FA"/>
    <w:rsid w:val="00A11269"/>
    <w:rsid w:val="00A60480"/>
    <w:rsid w:val="00A63C05"/>
    <w:rsid w:val="00A77E23"/>
    <w:rsid w:val="00A934DA"/>
    <w:rsid w:val="00A96165"/>
    <w:rsid w:val="00AA1B82"/>
    <w:rsid w:val="00AA3795"/>
    <w:rsid w:val="00AB25F5"/>
    <w:rsid w:val="00AC354D"/>
    <w:rsid w:val="00AD058C"/>
    <w:rsid w:val="00B13C33"/>
    <w:rsid w:val="00B20767"/>
    <w:rsid w:val="00B53EE5"/>
    <w:rsid w:val="00B820A4"/>
    <w:rsid w:val="00B90413"/>
    <w:rsid w:val="00B955B7"/>
    <w:rsid w:val="00BA10D9"/>
    <w:rsid w:val="00BC1E42"/>
    <w:rsid w:val="00C2372A"/>
    <w:rsid w:val="00C41B09"/>
    <w:rsid w:val="00C44499"/>
    <w:rsid w:val="00C56DB4"/>
    <w:rsid w:val="00C66829"/>
    <w:rsid w:val="00C712B2"/>
    <w:rsid w:val="00C76BF5"/>
    <w:rsid w:val="00C80371"/>
    <w:rsid w:val="00C80F0F"/>
    <w:rsid w:val="00C90463"/>
    <w:rsid w:val="00C90849"/>
    <w:rsid w:val="00C97716"/>
    <w:rsid w:val="00CA15F3"/>
    <w:rsid w:val="00CB2727"/>
    <w:rsid w:val="00CF738F"/>
    <w:rsid w:val="00D154E6"/>
    <w:rsid w:val="00D22A80"/>
    <w:rsid w:val="00D4279C"/>
    <w:rsid w:val="00D5383C"/>
    <w:rsid w:val="00D67164"/>
    <w:rsid w:val="00D707C8"/>
    <w:rsid w:val="00DC1480"/>
    <w:rsid w:val="00DC2C83"/>
    <w:rsid w:val="00DE0199"/>
    <w:rsid w:val="00E0123E"/>
    <w:rsid w:val="00E023A4"/>
    <w:rsid w:val="00E12A81"/>
    <w:rsid w:val="00E44CEA"/>
    <w:rsid w:val="00E453D5"/>
    <w:rsid w:val="00EC6F21"/>
    <w:rsid w:val="00ED6993"/>
    <w:rsid w:val="00F054D7"/>
    <w:rsid w:val="00F30291"/>
    <w:rsid w:val="00F36F03"/>
    <w:rsid w:val="00F37854"/>
    <w:rsid w:val="00F86682"/>
    <w:rsid w:val="09047A2F"/>
    <w:rsid w:val="4E7200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A53264"/>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132F3"/>
    <w:pPr>
      <w:tabs>
        <w:tab w:val="left" w:pos="450"/>
      </w:tabs>
      <w:autoSpaceDE w:val="0"/>
      <w:autoSpaceDN w:val="0"/>
      <w:spacing w:after="240" w:line="240" w:lineRule="auto"/>
      <w:ind w:left="446"/>
    </w:pPr>
    <w:rPr>
      <w:rFonts w:ascii="Calibri" w:eastAsia="Arial" w:hAnsi="Calibri"/>
      <w:sz w:val="24"/>
      <w:szCs w:val="24"/>
      <w:lang w:bidi="en-US"/>
    </w:rPr>
  </w:style>
  <w:style w:type="paragraph" w:styleId="Heading1">
    <w:name w:val="heading 1"/>
    <w:basedOn w:val="Normal"/>
    <w:link w:val="Heading1Char"/>
    <w:uiPriority w:val="1"/>
    <w:qFormat/>
    <w:rsid w:val="00115ED1"/>
    <w:pPr>
      <w:numPr>
        <w:numId w:val="1"/>
      </w:numPr>
      <w:tabs>
        <w:tab w:val="left" w:pos="669"/>
      </w:tabs>
      <w:spacing w:before="185"/>
      <w:ind w:hanging="400"/>
      <w:outlineLvl w:val="0"/>
    </w:pPr>
    <w:rPr>
      <w:rFonts w:cs="Calibri"/>
      <w:b/>
      <w:bCs/>
    </w:rPr>
  </w:style>
  <w:style w:type="paragraph" w:styleId="Heading2">
    <w:name w:val="heading 2"/>
    <w:basedOn w:val="Normal"/>
    <w:next w:val="Normal"/>
    <w:link w:val="Heading2Char"/>
    <w:uiPriority w:val="9"/>
    <w:semiHidden/>
    <w:unhideWhenUsed/>
    <w:qFormat/>
    <w:rsid w:val="00B53EE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5ED1"/>
    <w:rPr>
      <w:rFonts w:ascii="Calibri" w:eastAsia="Arial" w:hAnsi="Calibri" w:cs="Calibri"/>
      <w:b/>
      <w:bCs/>
      <w:sz w:val="24"/>
      <w:szCs w:val="24"/>
      <w:lang w:bidi="en-US"/>
    </w:rPr>
  </w:style>
  <w:style w:type="paragraph" w:styleId="BodyText">
    <w:name w:val="Body Text"/>
    <w:basedOn w:val="Normal"/>
    <w:link w:val="BodyTextChar"/>
    <w:uiPriority w:val="1"/>
    <w:qFormat/>
    <w:rsid w:val="009C04B9"/>
    <w:pPr>
      <w:ind w:left="403"/>
    </w:pPr>
    <w:rPr>
      <w:sz w:val="20"/>
      <w:szCs w:val="20"/>
    </w:rPr>
  </w:style>
  <w:style w:type="character" w:customStyle="1" w:styleId="BodyTextChar">
    <w:name w:val="Body Text Char"/>
    <w:basedOn w:val="DefaultParagraphFont"/>
    <w:link w:val="BodyText"/>
    <w:uiPriority w:val="1"/>
    <w:rsid w:val="009C04B9"/>
    <w:rPr>
      <w:rFonts w:ascii="Calibri" w:eastAsia="Arial" w:hAnsi="Calibri"/>
      <w:sz w:val="20"/>
      <w:szCs w:val="20"/>
      <w:lang w:bidi="en-US"/>
    </w:rPr>
  </w:style>
  <w:style w:type="paragraph" w:styleId="ListParagraph">
    <w:name w:val="List Paragraph"/>
    <w:basedOn w:val="Normal"/>
    <w:uiPriority w:val="34"/>
    <w:qFormat/>
    <w:rsid w:val="00115ED1"/>
    <w:pPr>
      <w:numPr>
        <w:numId w:val="11"/>
      </w:numPr>
      <w:spacing w:before="161"/>
    </w:pPr>
  </w:style>
  <w:style w:type="paragraph" w:styleId="NoSpacing">
    <w:name w:val="No Spacing"/>
    <w:link w:val="NoSpacingChar"/>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paragraph" w:styleId="BodyTextIndent">
    <w:name w:val="Body Text Indent"/>
    <w:basedOn w:val="Normal"/>
    <w:link w:val="BodyTextIndentChar"/>
    <w:uiPriority w:val="99"/>
    <w:unhideWhenUsed/>
    <w:rsid w:val="00CF738F"/>
    <w:pPr>
      <w:spacing w:after="120"/>
      <w:ind w:left="360"/>
    </w:pPr>
  </w:style>
  <w:style w:type="character" w:customStyle="1" w:styleId="BodyTextIndentChar">
    <w:name w:val="Body Text Indent Char"/>
    <w:basedOn w:val="DefaultParagraphFont"/>
    <w:link w:val="BodyTextIndent"/>
    <w:uiPriority w:val="99"/>
    <w:rsid w:val="00CF738F"/>
    <w:rPr>
      <w:rFonts w:ascii="Arial" w:eastAsia="Arial" w:hAnsi="Arial" w:cs="Arial"/>
      <w:lang w:bidi="en-US"/>
    </w:rPr>
  </w:style>
  <w:style w:type="paragraph" w:styleId="NormalWeb">
    <w:name w:val="Normal (Web)"/>
    <w:basedOn w:val="Normal"/>
    <w:uiPriority w:val="99"/>
    <w:unhideWhenUsed/>
    <w:rsid w:val="00CF738F"/>
    <w:pPr>
      <w:autoSpaceDE/>
      <w:autoSpaceDN/>
      <w:spacing w:before="100" w:beforeAutospacing="1" w:after="100" w:afterAutospacing="1"/>
    </w:pPr>
    <w:rPr>
      <w:rFonts w:ascii="Times New Roman" w:eastAsia="Times New Roman" w:hAnsi="Times New Roman" w:cs="Times New Roman"/>
      <w:lang w:bidi="ar-SA"/>
    </w:rPr>
  </w:style>
  <w:style w:type="character" w:customStyle="1" w:styleId="Heading2Char">
    <w:name w:val="Heading 2 Char"/>
    <w:basedOn w:val="DefaultParagraphFont"/>
    <w:link w:val="Heading2"/>
    <w:uiPriority w:val="9"/>
    <w:semiHidden/>
    <w:rsid w:val="00B53EE5"/>
    <w:rPr>
      <w:rFonts w:asciiTheme="majorHAnsi" w:eastAsiaTheme="majorEastAsia" w:hAnsiTheme="majorHAnsi" w:cstheme="majorBidi"/>
      <w:color w:val="2E74B5" w:themeColor="accent1" w:themeShade="BF"/>
      <w:sz w:val="26"/>
      <w:szCs w:val="26"/>
      <w:lang w:bidi="en-US"/>
    </w:rPr>
  </w:style>
  <w:style w:type="paragraph" w:styleId="FootnoteText">
    <w:name w:val="footnote text"/>
    <w:basedOn w:val="Normal"/>
    <w:link w:val="FootnoteTextChar"/>
    <w:uiPriority w:val="99"/>
    <w:rsid w:val="004E7166"/>
    <w:pPr>
      <w:tabs>
        <w:tab w:val="left" w:pos="216"/>
      </w:tabs>
      <w:autoSpaceDE/>
      <w:autoSpaceDN/>
      <w:spacing w:after="60"/>
      <w:ind w:left="216" w:hanging="216"/>
    </w:pPr>
    <w:rPr>
      <w:rFonts w:asciiTheme="minorHAnsi" w:eastAsiaTheme="minorHAnsi" w:hAnsiTheme="minorHAnsi"/>
      <w:sz w:val="20"/>
      <w:szCs w:val="20"/>
      <w:lang w:bidi="ar-SA"/>
    </w:rPr>
  </w:style>
  <w:style w:type="character" w:customStyle="1" w:styleId="FootnoteTextChar">
    <w:name w:val="Footnote Text Char"/>
    <w:basedOn w:val="DefaultParagraphFont"/>
    <w:link w:val="FootnoteText"/>
    <w:uiPriority w:val="99"/>
    <w:rsid w:val="004E7166"/>
    <w:rPr>
      <w:sz w:val="20"/>
      <w:szCs w:val="20"/>
    </w:rPr>
  </w:style>
  <w:style w:type="character" w:styleId="FootnoteReference">
    <w:name w:val="footnote reference"/>
    <w:basedOn w:val="DefaultParagraphFont"/>
    <w:uiPriority w:val="99"/>
    <w:rsid w:val="00B53EE5"/>
    <w:rPr>
      <w:vertAlign w:val="superscript"/>
    </w:rPr>
  </w:style>
  <w:style w:type="paragraph" w:styleId="Revision">
    <w:name w:val="Revision"/>
    <w:hidden/>
    <w:uiPriority w:val="99"/>
    <w:semiHidden/>
    <w:rsid w:val="00422524"/>
    <w:pPr>
      <w:spacing w:after="0" w:line="240" w:lineRule="auto"/>
    </w:pPr>
    <w:rPr>
      <w:rFonts w:ascii="Arial" w:eastAsia="Arial" w:hAnsi="Arial" w:cs="Arial"/>
      <w:lang w:bidi="en-US"/>
    </w:rPr>
  </w:style>
  <w:style w:type="character" w:styleId="CommentReference">
    <w:name w:val="annotation reference"/>
    <w:basedOn w:val="DefaultParagraphFont"/>
    <w:uiPriority w:val="99"/>
    <w:semiHidden/>
    <w:unhideWhenUsed/>
    <w:rsid w:val="00422524"/>
    <w:rPr>
      <w:sz w:val="16"/>
      <w:szCs w:val="16"/>
    </w:rPr>
  </w:style>
  <w:style w:type="paragraph" w:styleId="CommentText">
    <w:name w:val="annotation text"/>
    <w:basedOn w:val="Normal"/>
    <w:link w:val="CommentTextChar"/>
    <w:uiPriority w:val="99"/>
    <w:unhideWhenUsed/>
    <w:rsid w:val="00422524"/>
    <w:rPr>
      <w:sz w:val="20"/>
      <w:szCs w:val="20"/>
    </w:rPr>
  </w:style>
  <w:style w:type="character" w:customStyle="1" w:styleId="CommentTextChar">
    <w:name w:val="Comment Text Char"/>
    <w:basedOn w:val="DefaultParagraphFont"/>
    <w:link w:val="CommentText"/>
    <w:uiPriority w:val="99"/>
    <w:rsid w:val="0042252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22524"/>
    <w:rPr>
      <w:b/>
      <w:bCs/>
    </w:rPr>
  </w:style>
  <w:style w:type="character" w:customStyle="1" w:styleId="CommentSubjectChar">
    <w:name w:val="Comment Subject Char"/>
    <w:basedOn w:val="CommentTextChar"/>
    <w:link w:val="CommentSubject"/>
    <w:uiPriority w:val="99"/>
    <w:semiHidden/>
    <w:rsid w:val="00422524"/>
    <w:rPr>
      <w:rFonts w:ascii="Arial" w:eastAsia="Arial" w:hAnsi="Arial" w:cs="Arial"/>
      <w:b/>
      <w:bCs/>
      <w:sz w:val="20"/>
      <w:szCs w:val="20"/>
      <w:lang w:bidi="en-US"/>
    </w:rPr>
  </w:style>
  <w:style w:type="character" w:styleId="Hyperlink">
    <w:name w:val="Hyperlink"/>
    <w:basedOn w:val="DefaultParagraphFont"/>
    <w:uiPriority w:val="99"/>
    <w:unhideWhenUsed/>
    <w:rsid w:val="006C1521"/>
    <w:rPr>
      <w:color w:val="0000FF"/>
      <w:u w:val="single"/>
    </w:rPr>
  </w:style>
  <w:style w:type="character" w:styleId="UnresolvedMention">
    <w:name w:val="Unresolved Mention"/>
    <w:basedOn w:val="DefaultParagraphFont"/>
    <w:uiPriority w:val="99"/>
    <w:semiHidden/>
    <w:unhideWhenUsed/>
    <w:rsid w:val="002A5C92"/>
    <w:rPr>
      <w:color w:val="605E5C"/>
      <w:shd w:val="clear" w:color="auto" w:fill="E1DFDD"/>
    </w:rPr>
  </w:style>
  <w:style w:type="character" w:styleId="FollowedHyperlink">
    <w:name w:val="FollowedHyperlink"/>
    <w:basedOn w:val="DefaultParagraphFont"/>
    <w:uiPriority w:val="99"/>
    <w:semiHidden/>
    <w:unhideWhenUsed/>
    <w:rsid w:val="00CA15F3"/>
    <w:rPr>
      <w:color w:val="954F72" w:themeColor="followedHyperlink"/>
      <w:u w:val="single"/>
    </w:rPr>
  </w:style>
  <w:style w:type="paragraph" w:customStyle="1" w:styleId="Body">
    <w:name w:val="Body"/>
    <w:rsid w:val="00A60480"/>
    <w:pPr>
      <w:widowControl w:val="0"/>
      <w:pBdr>
        <w:top w:val="nil"/>
        <w:left w:val="nil"/>
        <w:bottom w:val="nil"/>
        <w:right w:val="nil"/>
        <w:between w:val="nil"/>
        <w:bar w:val="nil"/>
      </w:pBdr>
      <w:spacing w:after="0" w:line="240" w:lineRule="auto"/>
    </w:pPr>
    <w:rPr>
      <w:rFonts w:ascii="Courier" w:eastAsia="Arial Unicode MS" w:hAnsi="Courier" w:cs="Arial Unicode MS"/>
      <w:color w:val="000000"/>
      <w:sz w:val="24"/>
      <w:szCs w:val="24"/>
      <w:u w:color="000000"/>
      <w:bdr w:val="nil"/>
      <w:lang w:val="de-DE"/>
    </w:rPr>
  </w:style>
  <w:style w:type="character" w:customStyle="1" w:styleId="NoSpacingChar">
    <w:name w:val="No Spacing Char"/>
    <w:basedOn w:val="DefaultParagraphFont"/>
    <w:link w:val="NoSpacing"/>
    <w:uiPriority w:val="1"/>
    <w:locked/>
    <w:rsid w:val="000B49D9"/>
    <w:rPr>
      <w:rFonts w:ascii="Arial" w:eastAsia="Arial" w:hAnsi="Arial" w:cs="Arial"/>
      <w:lang w:bidi="en-US"/>
    </w:rPr>
  </w:style>
  <w:style w:type="paragraph" w:styleId="Caption">
    <w:name w:val="caption"/>
    <w:basedOn w:val="Normal"/>
    <w:next w:val="Normal"/>
    <w:uiPriority w:val="4"/>
    <w:qFormat/>
    <w:rsid w:val="00125297"/>
    <w:pPr>
      <w:keepNext/>
      <w:keepLines/>
      <w:autoSpaceDE/>
      <w:autoSpaceDN/>
    </w:pPr>
    <w:rPr>
      <w:rFonts w:asciiTheme="minorHAnsi" w:eastAsiaTheme="minorHAnsi" w:hAnsiTheme="minorHAnsi"/>
      <w:b/>
      <w:iCs/>
      <w:szCs w:val="18"/>
      <w:lang w:bidi="ar-SA"/>
    </w:rPr>
  </w:style>
  <w:style w:type="table" w:styleId="GridTable4Accent3">
    <w:name w:val="Grid Table 4 Accent 3"/>
    <w:basedOn w:val="TableNormal"/>
    <w:uiPriority w:val="49"/>
    <w:rsid w:val="00125297"/>
    <w:pPr>
      <w:spacing w:after="0" w:line="240" w:lineRule="auto"/>
    </w:pPr>
    <w:rPr>
      <w:rFonts w:ascii="Times New Roman" w:hAnsi="Times New Roman"/>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Title">
    <w:name w:val="Table Title"/>
    <w:basedOn w:val="BodyText"/>
    <w:link w:val="TableTitleChar"/>
    <w:uiPriority w:val="1"/>
    <w:qFormat/>
    <w:rsid w:val="009C04B9"/>
    <w:pPr>
      <w:spacing w:before="240" w:after="0"/>
    </w:pPr>
    <w:rPr>
      <w:b/>
      <w:bCs/>
      <w:sz w:val="24"/>
      <w:szCs w:val="24"/>
    </w:rPr>
  </w:style>
  <w:style w:type="character" w:customStyle="1" w:styleId="TableTitleChar">
    <w:name w:val="Table Title Char"/>
    <w:basedOn w:val="BodyTextChar"/>
    <w:link w:val="TableTitle"/>
    <w:uiPriority w:val="1"/>
    <w:rsid w:val="009C04B9"/>
    <w:rPr>
      <w:rFonts w:ascii="Calibri" w:eastAsia="Arial" w:hAnsi="Calibri"/>
      <w:b/>
      <w:bCs/>
      <w:sz w:val="24"/>
      <w:szCs w:val="24"/>
      <w:lang w:bidi="en-US"/>
    </w:rPr>
  </w:style>
  <w:style w:type="paragraph" w:customStyle="1" w:styleId="TextAfterTable">
    <w:name w:val="TextAfterTable"/>
    <w:basedOn w:val="BodyText"/>
    <w:uiPriority w:val="1"/>
    <w:qFormat/>
    <w:rsid w:val="009C04B9"/>
    <w:pPr>
      <w:spacing w:before="240"/>
    </w:pPr>
    <w:rPr>
      <w:sz w:val="24"/>
      <w:szCs w:val="24"/>
    </w:rPr>
  </w:style>
  <w:style w:type="paragraph" w:customStyle="1" w:styleId="TableText">
    <w:name w:val="TableText"/>
    <w:basedOn w:val="BodyText"/>
    <w:uiPriority w:val="1"/>
    <w:qFormat/>
    <w:rsid w:val="009C04B9"/>
    <w:pPr>
      <w:tabs>
        <w:tab w:val="left" w:pos="164"/>
        <w:tab w:val="clear" w:pos="450"/>
      </w:tabs>
      <w:spacing w:before="80" w:after="80"/>
      <w:ind w:left="164"/>
    </w:pPr>
    <w:rPr>
      <w:b/>
      <w:bCs/>
      <w:sz w:val="24"/>
      <w:szCs w:val="24"/>
    </w:rPr>
  </w:style>
  <w:style w:type="table" w:styleId="PlainTable2">
    <w:name w:val="Plain Table 2"/>
    <w:basedOn w:val="TableNormal"/>
    <w:uiPriority w:val="42"/>
    <w:rsid w:val="00C803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ensus.gov/programs-surveys/acs/methodology/design-and-methodology.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ata.census.gov/table/DECENNIALDHC2020.PCT15?q=PCT15&amp;d=DEC%20Demographic%20and%20Housing%20Characteristics" TargetMode="External" /><Relationship Id="rId2" Type="http://schemas.openxmlformats.org/officeDocument/2006/relationships/hyperlink" Target="https://data.census.gov/table/DECENNIALDHC2020.H2?q=H2&amp;d=DEC%20Demographic%20and%20Housing%20Characteris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0954F25DB22409015ED825CC81A2A" ma:contentTypeVersion="1" ma:contentTypeDescription="Create a new document." ma:contentTypeScope="" ma:versionID="90dff8c768d41f89f7e13c7c519b4041">
  <xsd:schema xmlns:xsd="http://www.w3.org/2001/XMLSchema" xmlns:xs="http://www.w3.org/2001/XMLSchema" xmlns:p="http://schemas.microsoft.com/office/2006/metadata/properties" xmlns:ns2="9a918d7b-22aa-4761-b7fa-2ca2aac7aa25" targetNamespace="http://schemas.microsoft.com/office/2006/metadata/properties" ma:root="true" ma:fieldsID="d33e5ba0a53dacad4eea62939b685871" ns2:_="">
    <xsd:import namespace="9a918d7b-22aa-4761-b7fa-2ca2aac7aa2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2.xml><?xml version="1.0" encoding="utf-8"?>
<ds:datastoreItem xmlns:ds="http://schemas.openxmlformats.org/officeDocument/2006/customXml" ds:itemID="{320CED97-1B69-4606-ADA0-CF29F51BD7D2}">
  <ds:schemaRefs>
    <ds:schemaRef ds:uri="http://schemas.openxmlformats.org/officeDocument/2006/bibliography"/>
  </ds:schemaRefs>
</ds:datastoreItem>
</file>

<file path=customXml/itemProps3.xml><?xml version="1.0" encoding="utf-8"?>
<ds:datastoreItem xmlns:ds="http://schemas.openxmlformats.org/officeDocument/2006/customXml" ds:itemID="{DADCDF7C-A524-4C82-A864-B81CABA0B5DB}">
  <ds:schemaRef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9a918d7b-22aa-4761-b7fa-2ca2aac7aa25"/>
  </ds:schemaRefs>
</ds:datastoreItem>
</file>

<file path=customXml/itemProps4.xml><?xml version="1.0" encoding="utf-8"?>
<ds:datastoreItem xmlns:ds="http://schemas.openxmlformats.org/officeDocument/2006/customXml" ds:itemID="{EA1AFFD0-E93A-4D7C-A21B-83D16E0E2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4177</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ACS SOGI Test Supporting Statement Part B</dc:title>
  <dc:creator>U.S. Census Bureau</dc:creator>
  <cp:lastModifiedBy>Michael S Snow (CENSUS/DCMD FED)</cp:lastModifiedBy>
  <cp:revision>3</cp:revision>
  <dcterms:created xsi:type="dcterms:W3CDTF">2024-04-18T21:11:00Z</dcterms:created>
  <dcterms:modified xsi:type="dcterms:W3CDTF">2024-04-22T13:34:00Z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0x0101009F00954F25DB22409015ED825CC81A2A</vt:lpwstr>
  </property>
  <property fmtid="{D5CDD505-2E9C-101B-9397-08002B2CF9AE}" pid="3" name="GrammarlyDocumentId">
    <vt:lpwstr>0ecec81ef4c3d74f3c19cf4e61b72c2d0b26709a82223b37b35048f201990da0</vt:lpwstr>
  </property>
  <property fmtid="{D5CDD505-2E9C-101B-9397-08002B2CF9AE}" pid="4" name="_dlc_DocIdItemGuid">
    <vt:lpwstr>5a86410b-1247-43c2-ad4e-0d29e9645750</vt:lpwstr>
  </property>
</Properties>
</file>