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5C1A" w:rsidRPr="00EA5C1A" w:rsidP="00EA5C1A" w14:paraId="38DFE413" w14:textId="77777777">
      <w:pPr>
        <w:spacing w:before="80"/>
        <w:ind w:left="100"/>
        <w:jc w:val="center"/>
        <w:rPr>
          <w:b/>
          <w:sz w:val="24"/>
        </w:rPr>
      </w:pPr>
      <w:r w:rsidRPr="00EA5C1A">
        <w:rPr>
          <w:b/>
          <w:sz w:val="24"/>
        </w:rPr>
        <w:t>SUPPORTING STATEMENT</w:t>
      </w:r>
    </w:p>
    <w:p w:rsidR="00EA5C1A" w:rsidRPr="00EA5C1A" w:rsidP="00EA5C1A" w14:paraId="003D8A0B" w14:textId="77777777">
      <w:pPr>
        <w:spacing w:before="80"/>
        <w:ind w:left="100"/>
        <w:jc w:val="center"/>
        <w:rPr>
          <w:b/>
          <w:sz w:val="24"/>
        </w:rPr>
      </w:pPr>
      <w:r w:rsidRPr="00EA5C1A">
        <w:rPr>
          <w:b/>
          <w:sz w:val="24"/>
        </w:rPr>
        <w:t>U.S. Department of Commerce International Trade Administration</w:t>
      </w:r>
    </w:p>
    <w:p w:rsidR="00EA5C1A" w:rsidRPr="00EA5C1A" w:rsidP="00EA5C1A" w14:paraId="53E57301" w14:textId="77777777">
      <w:pPr>
        <w:spacing w:before="80"/>
        <w:ind w:left="100"/>
        <w:jc w:val="center"/>
        <w:rPr>
          <w:b/>
          <w:sz w:val="24"/>
        </w:rPr>
      </w:pPr>
      <w:r w:rsidRPr="00EA5C1A">
        <w:rPr>
          <w:b/>
          <w:sz w:val="24"/>
        </w:rPr>
        <w:t>SABIT Program Applications and Questionnaires</w:t>
      </w:r>
    </w:p>
    <w:p w:rsidR="00EA5C1A" w:rsidP="00EA5C1A" w14:paraId="63003010" w14:textId="2479D13F">
      <w:pPr>
        <w:spacing w:before="80"/>
        <w:ind w:left="100"/>
        <w:jc w:val="center"/>
        <w:rPr>
          <w:b/>
          <w:sz w:val="24"/>
        </w:rPr>
      </w:pPr>
      <w:r w:rsidRPr="00EA5C1A">
        <w:rPr>
          <w:b/>
          <w:sz w:val="24"/>
        </w:rPr>
        <w:t>OMB Control No. 0625-0225</w:t>
      </w:r>
    </w:p>
    <w:p w:rsidR="00EA5C1A" w:rsidP="00EA5C1A" w14:paraId="650EA7C1" w14:textId="77777777">
      <w:pPr>
        <w:spacing w:before="80"/>
        <w:ind w:left="100"/>
        <w:rPr>
          <w:b/>
          <w:sz w:val="24"/>
        </w:rPr>
      </w:pPr>
    </w:p>
    <w:p w:rsidR="00EA5C1A" w:rsidRPr="0076237C" w:rsidP="00EA5C1A" w14:paraId="1CE8DDF2" w14:textId="3873515D">
      <w:pPr>
        <w:spacing w:before="80"/>
        <w:ind w:left="100"/>
        <w:rPr>
          <w:b/>
          <w:sz w:val="24"/>
        </w:rPr>
      </w:pPr>
      <w:r w:rsidRPr="0076237C">
        <w:rPr>
          <w:b/>
          <w:sz w:val="24"/>
        </w:rPr>
        <w:t>SUPPORTING STATEMENT PART B</w:t>
      </w:r>
    </w:p>
    <w:p w:rsidR="00EA5C1A" w:rsidP="00EA5C1A" w14:paraId="2C974EA1" w14:textId="77777777">
      <w:pPr>
        <w:pStyle w:val="BodyText"/>
        <w:spacing w:before="10"/>
        <w:ind w:left="0"/>
        <w:rPr>
          <w:b/>
          <w:sz w:val="32"/>
        </w:rPr>
      </w:pPr>
    </w:p>
    <w:p w:rsidR="00EA5C1A" w:rsidP="00EA5C1A" w14:paraId="43B0356E" w14:textId="77777777">
      <w:pPr>
        <w:ind w:left="100" w:right="183"/>
        <w:rPr>
          <w:b/>
          <w:sz w:val="24"/>
        </w:rPr>
      </w:pPr>
      <w:r>
        <w:rPr>
          <w:b/>
          <w:sz w:val="24"/>
        </w:rPr>
        <w:t>Agencies are instructed to complete Supporting Statement Part B if they are using statistical methods, such as sampling, imputation, or other statistical estimation techniques; most research collections or program evaluations should also complete Part B. If an agency is planning to conduct a sample survey as part of its information collection, Part B of the ICR supporting statement must be completed, and an agency should also complete relevant portions of Part B when conducting a census survey (collections that are sent to the entire universe or population under study). For example, an agency doing a census of a small, well- defined population may not need to describe sampling procedures requested in Part B, but it should address what pretesting has taken place, what its data collection procedures are, how it will maximize response rates, and how it will deal with missing unit and item data.</w:t>
      </w:r>
    </w:p>
    <w:p w:rsidR="00EA5C1A" w:rsidP="00EA5C1A" w14:paraId="59FE869D" w14:textId="77777777">
      <w:pPr>
        <w:spacing w:before="160"/>
        <w:ind w:left="100" w:right="479"/>
        <w:rPr>
          <w:b/>
          <w:sz w:val="24"/>
        </w:rPr>
      </w:pPr>
      <w:r>
        <w:rPr>
          <w:b/>
          <w:sz w:val="24"/>
        </w:rPr>
        <w:t>Agencies conducting qualitative research studies or program evaluations, including case studies or focus groups, should also complete the relevant sections of Part B to provide a more complete description of the use of the information and the methods for collecting the information.</w:t>
      </w:r>
    </w:p>
    <w:p w:rsidR="00EA5C1A" w:rsidP="00EA5C1A" w14:paraId="147F2415" w14:textId="77777777">
      <w:pPr>
        <w:pStyle w:val="ListParagraph"/>
        <w:numPr>
          <w:ilvl w:val="0"/>
          <w:numId w:val="1"/>
        </w:numPr>
        <w:tabs>
          <w:tab w:val="left" w:pos="408"/>
        </w:tabs>
        <w:spacing w:before="160"/>
        <w:ind w:hanging="307"/>
        <w:contextualSpacing w:val="0"/>
        <w:rPr>
          <w:b/>
          <w:sz w:val="24"/>
        </w:rPr>
      </w:pPr>
      <w:r>
        <w:rPr>
          <w:b/>
          <w:sz w:val="24"/>
        </w:rPr>
        <w:t>Collections of Information Employing Statistical</w:t>
      </w:r>
      <w:r>
        <w:rPr>
          <w:b/>
          <w:spacing w:val="-29"/>
          <w:sz w:val="24"/>
        </w:rPr>
        <w:t xml:space="preserve"> </w:t>
      </w:r>
      <w:r>
        <w:rPr>
          <w:b/>
          <w:sz w:val="24"/>
        </w:rPr>
        <w:t>Methods</w:t>
      </w:r>
    </w:p>
    <w:p w:rsidR="00EA5C1A" w:rsidRPr="00FF35C0" w:rsidP="00EA5C1A" w14:paraId="6C97F472" w14:textId="77777777">
      <w:pPr>
        <w:spacing w:before="160"/>
        <w:ind w:left="100" w:right="122"/>
        <w:rPr>
          <w:b/>
          <w:sz w:val="24"/>
        </w:rPr>
      </w:pPr>
      <w:r w:rsidRPr="00FF35C0">
        <w:rPr>
          <w:sz w:val="24"/>
        </w:rPr>
        <w:t xml:space="preserve">The SABIT Program will use the </w:t>
      </w:r>
      <w:r>
        <w:rPr>
          <w:sz w:val="24"/>
        </w:rPr>
        <w:t xml:space="preserve">Long-Term Survey and the </w:t>
      </w:r>
      <w:r w:rsidRPr="00FF35C0">
        <w:rPr>
          <w:sz w:val="24"/>
        </w:rPr>
        <w:t xml:space="preserve">Alumni Success Form to gather successes from the delegates who have returned from the program.  Approximately </w:t>
      </w:r>
      <w:r>
        <w:rPr>
          <w:sz w:val="24"/>
        </w:rPr>
        <w:t>1,1</w:t>
      </w:r>
      <w:r w:rsidRPr="00FF35C0">
        <w:rPr>
          <w:sz w:val="24"/>
        </w:rPr>
        <w:t>00 will be contacted each year and the information will be analyzed.  These respondents’ data may be used to extrapolate activity of the entire SABIT cohort they represent (such as SABIT participants from a particular country or industry sector)</w:t>
      </w:r>
      <w:r>
        <w:rPr>
          <w:sz w:val="24"/>
        </w:rPr>
        <w:t>.</w:t>
      </w:r>
    </w:p>
    <w:p w:rsidR="00EA5C1A" w:rsidRPr="00EA5C1A" w:rsidP="00EA5C1A" w14:paraId="1C89A9CF" w14:textId="77777777">
      <w:pPr>
        <w:pStyle w:val="Heading1"/>
        <w:numPr>
          <w:ilvl w:val="1"/>
          <w:numId w:val="1"/>
        </w:numPr>
        <w:tabs>
          <w:tab w:val="left" w:pos="369"/>
        </w:tabs>
        <w:spacing w:before="184"/>
        <w:ind w:right="504" w:firstLine="0"/>
        <w:rPr>
          <w:sz w:val="28"/>
          <w:szCs w:val="28"/>
        </w:rPr>
      </w:pPr>
      <w:r w:rsidRPr="00EA5C1A">
        <w:rPr>
          <w:sz w:val="28"/>
          <w:szCs w:val="28"/>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EA5C1A">
        <w:rPr>
          <w:spacing w:val="-2"/>
          <w:sz w:val="28"/>
          <w:szCs w:val="28"/>
        </w:rPr>
        <w:t xml:space="preserve">the </w:t>
      </w:r>
      <w:r w:rsidRPr="00EA5C1A">
        <w:rPr>
          <w:sz w:val="28"/>
          <w:szCs w:val="28"/>
        </w:rPr>
        <w:t xml:space="preserve">universe covered by the collection and in the corresponding sample are to be provided in tabular form for the universe as a whole and for each of the strata in the proposed sample. Indicate expected response rates for the </w:t>
      </w:r>
      <w:r w:rsidRPr="00EA5C1A">
        <w:rPr>
          <w:sz w:val="28"/>
          <w:szCs w:val="28"/>
        </w:rPr>
        <w:t>collection as a whole</w:t>
      </w:r>
      <w:r w:rsidRPr="00EA5C1A">
        <w:rPr>
          <w:sz w:val="28"/>
          <w:szCs w:val="28"/>
        </w:rPr>
        <w:t>. If the collection had been conducted previously, include the actual response rate achieved during the last</w:t>
      </w:r>
      <w:r w:rsidRPr="00EA5C1A">
        <w:rPr>
          <w:spacing w:val="-46"/>
          <w:sz w:val="28"/>
          <w:szCs w:val="28"/>
        </w:rPr>
        <w:t xml:space="preserve"> </w:t>
      </w:r>
      <w:r w:rsidRPr="00EA5C1A">
        <w:rPr>
          <w:sz w:val="28"/>
          <w:szCs w:val="28"/>
        </w:rPr>
        <w:t>collection.</w:t>
      </w:r>
    </w:p>
    <w:p w:rsidR="00EA5C1A" w:rsidRPr="0074605B" w:rsidP="00EA5C1A" w14:paraId="68442F5B" w14:textId="77777777">
      <w:pPr>
        <w:spacing w:before="160"/>
        <w:ind w:left="100" w:right="122"/>
        <w:rPr>
          <w:sz w:val="24"/>
        </w:rPr>
      </w:pPr>
      <w:r w:rsidRPr="0074605B">
        <w:rPr>
          <w:sz w:val="24"/>
        </w:rPr>
        <w:t xml:space="preserve">The universe </w:t>
      </w:r>
      <w:r w:rsidRPr="0074605B">
        <w:rPr>
          <w:sz w:val="24"/>
        </w:rPr>
        <w:t>is</w:t>
      </w:r>
      <w:r w:rsidRPr="0074605B">
        <w:rPr>
          <w:sz w:val="24"/>
        </w:rPr>
        <w:t xml:space="preserve"> approximately 7,000 potential participants.  We will not contact more than 1500 of those each year. The population surveyed will be determined by program year, industry, and/or country of alumnus. </w:t>
      </w:r>
      <w:r>
        <w:rPr>
          <w:sz w:val="24"/>
        </w:rPr>
        <w:t xml:space="preserve">SABIT will email and call individuals. </w:t>
      </w:r>
    </w:p>
    <w:p w:rsidR="00EA5C1A" w:rsidP="00EA5C1A" w14:paraId="1AD9A900" w14:textId="77777777">
      <w:pPr>
        <w:rPr>
          <w:sz w:val="24"/>
        </w:rPr>
        <w:sectPr w:rsidSect="00EA5C1A">
          <w:pgSz w:w="12240" w:h="15840"/>
          <w:pgMar w:top="640" w:right="660" w:bottom="1200" w:left="620" w:header="0" w:footer="1014" w:gutter="0"/>
          <w:cols w:space="720"/>
        </w:sectPr>
      </w:pPr>
    </w:p>
    <w:p w:rsidR="00EA5C1A" w:rsidRPr="00EA5C1A" w:rsidP="00EA5C1A" w14:paraId="2B3530E7" w14:textId="77777777">
      <w:pPr>
        <w:pStyle w:val="Heading1"/>
        <w:numPr>
          <w:ilvl w:val="1"/>
          <w:numId w:val="1"/>
        </w:numPr>
        <w:tabs>
          <w:tab w:val="left" w:pos="369"/>
        </w:tabs>
        <w:spacing w:before="80"/>
        <w:ind w:left="368" w:hanging="268"/>
        <w:rPr>
          <w:sz w:val="28"/>
          <w:szCs w:val="28"/>
        </w:rPr>
      </w:pPr>
      <w:r w:rsidRPr="00EA5C1A">
        <w:rPr>
          <w:sz w:val="28"/>
          <w:szCs w:val="28"/>
        </w:rPr>
        <w:t>Describe the procedures for the collection of information</w:t>
      </w:r>
      <w:r w:rsidRPr="00EA5C1A">
        <w:rPr>
          <w:spacing w:val="-34"/>
          <w:sz w:val="28"/>
          <w:szCs w:val="28"/>
        </w:rPr>
        <w:t xml:space="preserve"> </w:t>
      </w:r>
      <w:r w:rsidRPr="00EA5C1A">
        <w:rPr>
          <w:sz w:val="28"/>
          <w:szCs w:val="28"/>
        </w:rPr>
        <w:t>including:</w:t>
      </w:r>
    </w:p>
    <w:p w:rsidR="00EA5C1A" w:rsidRPr="00373208" w:rsidP="00EA5C1A" w14:paraId="32A1E7D5" w14:textId="77777777">
      <w:pPr>
        <w:pStyle w:val="ListParagraph"/>
        <w:numPr>
          <w:ilvl w:val="2"/>
          <w:numId w:val="1"/>
        </w:numPr>
        <w:tabs>
          <w:tab w:val="left" w:pos="819"/>
          <w:tab w:val="left" w:pos="820"/>
        </w:tabs>
        <w:spacing w:before="182"/>
        <w:contextualSpacing w:val="0"/>
        <w:rPr>
          <w:b/>
          <w:bCs/>
          <w:sz w:val="24"/>
        </w:rPr>
      </w:pPr>
      <w:r w:rsidRPr="00373208">
        <w:rPr>
          <w:b/>
          <w:bCs/>
          <w:sz w:val="24"/>
        </w:rPr>
        <w:t>Statistical methodology for stratification and sample</w:t>
      </w:r>
      <w:r w:rsidRPr="00373208">
        <w:rPr>
          <w:b/>
          <w:bCs/>
          <w:spacing w:val="-32"/>
          <w:sz w:val="24"/>
        </w:rPr>
        <w:t xml:space="preserve"> </w:t>
      </w:r>
      <w:r w:rsidRPr="00373208">
        <w:rPr>
          <w:b/>
          <w:bCs/>
          <w:sz w:val="24"/>
        </w:rPr>
        <w:t>selection,</w:t>
      </w:r>
    </w:p>
    <w:p w:rsidR="00EA5C1A" w:rsidRPr="00BF2134" w:rsidP="00EA5C1A" w14:paraId="0847AF06" w14:textId="77777777">
      <w:pPr>
        <w:pStyle w:val="ListParagraph"/>
        <w:tabs>
          <w:tab w:val="left" w:pos="819"/>
          <w:tab w:val="left" w:pos="820"/>
        </w:tabs>
        <w:spacing w:before="182"/>
        <w:ind w:left="820"/>
        <w:rPr>
          <w:sz w:val="24"/>
        </w:rPr>
      </w:pPr>
      <w:r w:rsidRPr="00BF2134">
        <w:rPr>
          <w:sz w:val="24"/>
        </w:rPr>
        <w:t xml:space="preserve">Sample selection for the </w:t>
      </w:r>
      <w:r>
        <w:rPr>
          <w:sz w:val="24"/>
        </w:rPr>
        <w:t xml:space="preserve">Pre-Program Survey will be program selectees, Post-Program Survey, Long-Term Survey, and Alumni Success Form </w:t>
      </w:r>
      <w:r w:rsidRPr="00BF2134">
        <w:rPr>
          <w:sz w:val="24"/>
        </w:rPr>
        <w:t>will be the former participants of the program only.</w:t>
      </w:r>
    </w:p>
    <w:p w:rsidR="00EA5C1A" w:rsidRPr="00373208" w:rsidP="00EA5C1A" w14:paraId="41122816" w14:textId="77777777">
      <w:pPr>
        <w:pStyle w:val="ListParagraph"/>
        <w:numPr>
          <w:ilvl w:val="2"/>
          <w:numId w:val="1"/>
        </w:numPr>
        <w:tabs>
          <w:tab w:val="left" w:pos="819"/>
          <w:tab w:val="left" w:pos="820"/>
        </w:tabs>
        <w:spacing w:before="182"/>
        <w:contextualSpacing w:val="0"/>
        <w:rPr>
          <w:b/>
          <w:bCs/>
          <w:sz w:val="24"/>
        </w:rPr>
      </w:pPr>
      <w:r w:rsidRPr="00373208">
        <w:rPr>
          <w:b/>
          <w:bCs/>
          <w:sz w:val="24"/>
        </w:rPr>
        <w:t>Estimation</w:t>
      </w:r>
      <w:r w:rsidRPr="00373208">
        <w:rPr>
          <w:b/>
          <w:bCs/>
          <w:spacing w:val="-9"/>
          <w:sz w:val="24"/>
        </w:rPr>
        <w:t xml:space="preserve"> </w:t>
      </w:r>
      <w:r w:rsidRPr="00373208">
        <w:rPr>
          <w:b/>
          <w:bCs/>
          <w:sz w:val="24"/>
        </w:rPr>
        <w:t>procedure,</w:t>
      </w:r>
    </w:p>
    <w:p w:rsidR="00EA5C1A" w:rsidRPr="00BF2134" w:rsidP="00EA5C1A" w14:paraId="7098A297" w14:textId="77777777">
      <w:pPr>
        <w:pStyle w:val="ListParagraph"/>
        <w:tabs>
          <w:tab w:val="left" w:pos="819"/>
          <w:tab w:val="left" w:pos="820"/>
        </w:tabs>
        <w:spacing w:before="182"/>
        <w:ind w:left="820"/>
        <w:rPr>
          <w:sz w:val="24"/>
        </w:rPr>
      </w:pPr>
      <w:r w:rsidRPr="00BF2134">
        <w:rPr>
          <w:sz w:val="24"/>
        </w:rPr>
        <w:t>Alumni are contacted by email</w:t>
      </w:r>
      <w:r>
        <w:rPr>
          <w:sz w:val="24"/>
        </w:rPr>
        <w:t xml:space="preserve"> or phone.</w:t>
      </w:r>
    </w:p>
    <w:p w:rsidR="00EA5C1A" w:rsidRPr="00373208" w:rsidP="00EA5C1A" w14:paraId="2AA26974" w14:textId="77777777">
      <w:pPr>
        <w:pStyle w:val="ListParagraph"/>
        <w:numPr>
          <w:ilvl w:val="2"/>
          <w:numId w:val="1"/>
        </w:numPr>
        <w:tabs>
          <w:tab w:val="left" w:pos="819"/>
          <w:tab w:val="left" w:pos="820"/>
        </w:tabs>
        <w:spacing w:before="179"/>
        <w:contextualSpacing w:val="0"/>
        <w:rPr>
          <w:b/>
          <w:bCs/>
          <w:sz w:val="24"/>
        </w:rPr>
      </w:pPr>
      <w:r w:rsidRPr="00373208">
        <w:rPr>
          <w:b/>
          <w:bCs/>
          <w:sz w:val="24"/>
        </w:rPr>
        <w:t>Degree of accuracy needed for the purpose described in the</w:t>
      </w:r>
      <w:r w:rsidRPr="00373208">
        <w:rPr>
          <w:b/>
          <w:bCs/>
          <w:spacing w:val="-33"/>
          <w:sz w:val="24"/>
        </w:rPr>
        <w:t xml:space="preserve"> </w:t>
      </w:r>
      <w:r w:rsidRPr="00373208">
        <w:rPr>
          <w:b/>
          <w:bCs/>
          <w:sz w:val="24"/>
        </w:rPr>
        <w:t>justification,</w:t>
      </w:r>
    </w:p>
    <w:p w:rsidR="00EA5C1A" w:rsidRPr="00BF2134" w:rsidP="00EA5C1A" w14:paraId="33B43E84" w14:textId="77777777">
      <w:pPr>
        <w:pStyle w:val="ListParagraph"/>
        <w:tabs>
          <w:tab w:val="left" w:pos="819"/>
          <w:tab w:val="left" w:pos="820"/>
        </w:tabs>
        <w:spacing w:before="179"/>
        <w:ind w:left="820"/>
        <w:rPr>
          <w:sz w:val="24"/>
        </w:rPr>
      </w:pPr>
      <w:r w:rsidRPr="00BF2134">
        <w:rPr>
          <w:sz w:val="24"/>
        </w:rPr>
        <w:t>In order to</w:t>
      </w:r>
      <w:r w:rsidRPr="00BF2134">
        <w:rPr>
          <w:sz w:val="24"/>
        </w:rPr>
        <w:t xml:space="preserve"> evaluate the program, more than 50% of alumni from a particular program should respond.</w:t>
      </w:r>
    </w:p>
    <w:p w:rsidR="00EA5C1A" w:rsidRPr="00373208" w:rsidP="00EA5C1A" w14:paraId="24CF0A59" w14:textId="77777777">
      <w:pPr>
        <w:pStyle w:val="ListParagraph"/>
        <w:numPr>
          <w:ilvl w:val="2"/>
          <w:numId w:val="1"/>
        </w:numPr>
        <w:tabs>
          <w:tab w:val="left" w:pos="819"/>
          <w:tab w:val="left" w:pos="820"/>
        </w:tabs>
        <w:spacing w:before="182"/>
        <w:contextualSpacing w:val="0"/>
        <w:rPr>
          <w:b/>
          <w:bCs/>
          <w:sz w:val="24"/>
        </w:rPr>
      </w:pPr>
      <w:r w:rsidRPr="00373208">
        <w:rPr>
          <w:b/>
          <w:bCs/>
          <w:sz w:val="24"/>
        </w:rPr>
        <w:t>Unusual problems requiring specialized sampling procedures,</w:t>
      </w:r>
      <w:r w:rsidRPr="00373208">
        <w:rPr>
          <w:b/>
          <w:bCs/>
          <w:spacing w:val="-32"/>
          <w:sz w:val="24"/>
        </w:rPr>
        <w:t xml:space="preserve"> </w:t>
      </w:r>
      <w:r w:rsidRPr="00373208">
        <w:rPr>
          <w:b/>
          <w:bCs/>
          <w:sz w:val="24"/>
        </w:rPr>
        <w:t>and</w:t>
      </w:r>
    </w:p>
    <w:p w:rsidR="00EA5C1A" w:rsidRPr="00BF2134" w:rsidP="00EA5C1A" w14:paraId="35CCBB3E" w14:textId="77777777">
      <w:pPr>
        <w:pStyle w:val="ListParagraph"/>
        <w:tabs>
          <w:tab w:val="left" w:pos="819"/>
          <w:tab w:val="left" w:pos="820"/>
        </w:tabs>
        <w:spacing w:before="182"/>
        <w:ind w:left="820"/>
        <w:rPr>
          <w:sz w:val="24"/>
        </w:rPr>
      </w:pPr>
      <w:r w:rsidRPr="00BF2134">
        <w:rPr>
          <w:sz w:val="24"/>
        </w:rPr>
        <w:t>No unusual problems are anticipated</w:t>
      </w:r>
      <w:r>
        <w:rPr>
          <w:sz w:val="24"/>
        </w:rPr>
        <w:t>.</w:t>
      </w:r>
    </w:p>
    <w:p w:rsidR="00EA5C1A" w:rsidRPr="00373208" w:rsidP="00EA5C1A" w14:paraId="0A381B3C" w14:textId="77777777">
      <w:pPr>
        <w:pStyle w:val="ListParagraph"/>
        <w:numPr>
          <w:ilvl w:val="2"/>
          <w:numId w:val="1"/>
        </w:numPr>
        <w:tabs>
          <w:tab w:val="left" w:pos="819"/>
          <w:tab w:val="left" w:pos="820"/>
        </w:tabs>
        <w:spacing w:before="182"/>
        <w:contextualSpacing w:val="0"/>
        <w:rPr>
          <w:b/>
          <w:bCs/>
          <w:sz w:val="24"/>
        </w:rPr>
      </w:pPr>
      <w:r w:rsidRPr="00373208">
        <w:rPr>
          <w:b/>
          <w:bCs/>
          <w:sz w:val="24"/>
        </w:rPr>
        <w:t>Any use of periodic (less frequent than annual) data collection cycles to reduce</w:t>
      </w:r>
      <w:r w:rsidRPr="00373208">
        <w:rPr>
          <w:b/>
          <w:bCs/>
          <w:spacing w:val="-44"/>
          <w:sz w:val="24"/>
        </w:rPr>
        <w:t xml:space="preserve"> </w:t>
      </w:r>
      <w:r w:rsidRPr="00373208">
        <w:rPr>
          <w:b/>
          <w:bCs/>
          <w:sz w:val="24"/>
        </w:rPr>
        <w:t>burden.</w:t>
      </w:r>
    </w:p>
    <w:p w:rsidR="00EA5C1A" w:rsidRPr="00BF2134" w:rsidP="00EA5C1A" w14:paraId="25797AE1" w14:textId="77777777">
      <w:pPr>
        <w:pStyle w:val="ListParagraph"/>
        <w:tabs>
          <w:tab w:val="left" w:pos="819"/>
          <w:tab w:val="left" w:pos="820"/>
        </w:tabs>
        <w:spacing w:before="182"/>
        <w:ind w:left="820"/>
        <w:rPr>
          <w:sz w:val="24"/>
        </w:rPr>
      </w:pPr>
      <w:r w:rsidRPr="00BF2134">
        <w:rPr>
          <w:sz w:val="24"/>
        </w:rPr>
        <w:t>Response is not mandatory.  However, if requested, the Program will contact them later if told they cannot complete the form or complete the interview.</w:t>
      </w:r>
    </w:p>
    <w:p w:rsidR="00EA5C1A" w:rsidRPr="00EA5C1A" w:rsidP="00EA5C1A" w14:paraId="406BD86A" w14:textId="77777777">
      <w:pPr>
        <w:pStyle w:val="Heading1"/>
        <w:numPr>
          <w:ilvl w:val="1"/>
          <w:numId w:val="1"/>
        </w:numPr>
        <w:tabs>
          <w:tab w:val="left" w:pos="369"/>
        </w:tabs>
        <w:ind w:right="132" w:firstLine="0"/>
        <w:rPr>
          <w:sz w:val="28"/>
          <w:szCs w:val="28"/>
        </w:rPr>
      </w:pPr>
      <w:r w:rsidRPr="00EA5C1A">
        <w:rPr>
          <w:sz w:val="28"/>
          <w:szCs w:val="28"/>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EA5C1A">
        <w:rPr>
          <w:spacing w:val="-46"/>
          <w:sz w:val="28"/>
          <w:szCs w:val="28"/>
        </w:rPr>
        <w:t xml:space="preserve"> </w:t>
      </w:r>
      <w:r w:rsidRPr="00EA5C1A">
        <w:rPr>
          <w:sz w:val="28"/>
          <w:szCs w:val="28"/>
        </w:rPr>
        <w:t>studied.</w:t>
      </w:r>
    </w:p>
    <w:p w:rsidR="00EA5C1A" w:rsidP="00EA5C1A" w14:paraId="045A29B6" w14:textId="77777777">
      <w:pPr>
        <w:pStyle w:val="BodyText"/>
        <w:spacing w:before="157" w:line="259" w:lineRule="auto"/>
        <w:ind w:right="327"/>
      </w:pPr>
      <w:r w:rsidRPr="00BF2134">
        <w:t>None of the forms are mandatory.</w:t>
      </w:r>
      <w:r>
        <w:t xml:space="preserve"> Responses are individual.  If there are not enough alumni responses to extrapolate data, the individual data is simply reported.</w:t>
      </w:r>
    </w:p>
    <w:p w:rsidR="00EA5C1A" w:rsidRPr="00EA5C1A" w:rsidP="00EA5C1A" w14:paraId="11FEDE5F" w14:textId="77777777">
      <w:pPr>
        <w:pStyle w:val="Heading1"/>
        <w:numPr>
          <w:ilvl w:val="1"/>
          <w:numId w:val="1"/>
        </w:numPr>
        <w:tabs>
          <w:tab w:val="left" w:pos="369"/>
        </w:tabs>
        <w:spacing w:before="182"/>
        <w:ind w:right="107" w:firstLine="0"/>
        <w:rPr>
          <w:sz w:val="28"/>
          <w:szCs w:val="28"/>
        </w:rPr>
      </w:pPr>
      <w:r w:rsidRPr="00EA5C1A">
        <w:rPr>
          <w:sz w:val="28"/>
          <w:szCs w:val="28"/>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EA5C1A">
        <w:rPr>
          <w:spacing w:val="-25"/>
          <w:sz w:val="28"/>
          <w:szCs w:val="28"/>
        </w:rPr>
        <w:t xml:space="preserve"> </w:t>
      </w:r>
      <w:r w:rsidRPr="00EA5C1A">
        <w:rPr>
          <w:sz w:val="28"/>
          <w:szCs w:val="28"/>
        </w:rPr>
        <w:t>information.</w:t>
      </w:r>
    </w:p>
    <w:p w:rsidR="00EA5C1A" w:rsidP="00EA5C1A" w14:paraId="79A59F46" w14:textId="77777777">
      <w:pPr>
        <w:pStyle w:val="BodyText"/>
        <w:spacing w:before="161" w:line="259" w:lineRule="auto"/>
        <w:ind w:right="207"/>
      </w:pPr>
      <w:r w:rsidRPr="00B87EE2">
        <w:t>No tests are to be undertaken.</w:t>
      </w:r>
    </w:p>
    <w:p w:rsidR="00EA5C1A" w:rsidRPr="00EA5C1A" w:rsidP="00EA5C1A" w14:paraId="61DC4C8B" w14:textId="77777777">
      <w:pPr>
        <w:pStyle w:val="Heading1"/>
        <w:numPr>
          <w:ilvl w:val="1"/>
          <w:numId w:val="1"/>
        </w:numPr>
        <w:tabs>
          <w:tab w:val="left" w:pos="369"/>
        </w:tabs>
        <w:spacing w:before="185"/>
        <w:ind w:right="309" w:firstLine="0"/>
        <w:rPr>
          <w:sz w:val="28"/>
          <w:szCs w:val="28"/>
        </w:rPr>
      </w:pPr>
      <w:r w:rsidRPr="00EA5C1A">
        <w:rPr>
          <w:sz w:val="28"/>
          <w:szCs w:val="28"/>
        </w:rPr>
        <w:t xml:space="preserve">Provide the name and telephone number of individuals consulted on statistical aspects of the design and the name of the agency unit, contractor(s), grantee(s), or other person(s) who will </w:t>
      </w:r>
      <w:r w:rsidRPr="00EA5C1A">
        <w:rPr>
          <w:sz w:val="28"/>
          <w:szCs w:val="28"/>
        </w:rPr>
        <w:t>actually collect</w:t>
      </w:r>
      <w:r w:rsidRPr="00EA5C1A">
        <w:rPr>
          <w:sz w:val="28"/>
          <w:szCs w:val="28"/>
        </w:rPr>
        <w:t xml:space="preserve"> and/or analyze the information for the</w:t>
      </w:r>
      <w:r w:rsidRPr="00EA5C1A">
        <w:rPr>
          <w:spacing w:val="-32"/>
          <w:sz w:val="28"/>
          <w:szCs w:val="28"/>
        </w:rPr>
        <w:t xml:space="preserve"> </w:t>
      </w:r>
      <w:r w:rsidRPr="00EA5C1A">
        <w:rPr>
          <w:sz w:val="28"/>
          <w:szCs w:val="28"/>
        </w:rPr>
        <w:t>agency.</w:t>
      </w:r>
    </w:p>
    <w:p w:rsidR="00EA5C1A" w:rsidRPr="00FF35C0" w:rsidP="00EA5C1A" w14:paraId="5B71641C" w14:textId="77777777">
      <w:pPr>
        <w:pStyle w:val="BodyText"/>
        <w:spacing w:before="161" w:line="259" w:lineRule="auto"/>
        <w:ind w:right="181"/>
      </w:pPr>
      <w:r w:rsidRPr="00FF35C0">
        <w:t xml:space="preserve">Tracy M. Rollins, Director, SABIT Program, </w:t>
      </w:r>
      <w:hyperlink r:id="rId4" w:history="1">
        <w:r w:rsidRPr="00FF35C0">
          <w:rPr>
            <w:rStyle w:val="Hyperlink"/>
          </w:rPr>
          <w:t>tracy.rollins@trade.gov</w:t>
        </w:r>
      </w:hyperlink>
    </w:p>
    <w:p w:rsidR="00EA5C1A" w:rsidRPr="00FF35C0" w:rsidP="00EA5C1A" w14:paraId="281A6A6D" w14:textId="77777777">
      <w:pPr>
        <w:pStyle w:val="BodyText"/>
        <w:spacing w:before="161" w:line="259" w:lineRule="auto"/>
        <w:ind w:right="181"/>
      </w:pPr>
      <w:r w:rsidRPr="00FF35C0">
        <w:t xml:space="preserve">Liza Sobol, Deputy Director, SABIT Program, </w:t>
      </w:r>
      <w:hyperlink r:id="rId5" w:history="1">
        <w:r w:rsidRPr="00FF35C0">
          <w:rPr>
            <w:rStyle w:val="Hyperlink"/>
          </w:rPr>
          <w:t>liza.sobol@trade.gov</w:t>
        </w:r>
      </w:hyperlink>
    </w:p>
    <w:p w:rsidR="00EA5C1A" w:rsidRPr="00FF35C0" w:rsidP="00EA5C1A" w14:paraId="1871B2CA" w14:textId="77777777">
      <w:pPr>
        <w:pStyle w:val="BodyText"/>
        <w:spacing w:before="161" w:line="259" w:lineRule="auto"/>
        <w:ind w:right="181"/>
      </w:pPr>
      <w:r w:rsidRPr="00FF35C0">
        <w:t xml:space="preserve">Justyna </w:t>
      </w:r>
      <w:r w:rsidRPr="00FF35C0">
        <w:t>Swica</w:t>
      </w:r>
      <w:r w:rsidRPr="00FF35C0">
        <w:t xml:space="preserve">, Senior International Trade Specialist, SABIT Program, </w:t>
      </w:r>
      <w:hyperlink r:id="rId6" w:history="1">
        <w:r w:rsidRPr="00FF35C0">
          <w:rPr>
            <w:rStyle w:val="Hyperlink"/>
          </w:rPr>
          <w:t>justyna.swica@trade.gov</w:t>
        </w:r>
      </w:hyperlink>
    </w:p>
    <w:p w:rsidR="00EA5C1A" w:rsidP="00EA5C1A" w14:paraId="5CE4A508" w14:textId="77777777">
      <w:pPr>
        <w:pStyle w:val="BodyText"/>
        <w:spacing w:before="161" w:line="259" w:lineRule="auto"/>
        <w:ind w:right="181"/>
      </w:pPr>
      <w:r>
        <w:t xml:space="preserve">Wondy Joseph, International Trade Specialist, SABIT Program, </w:t>
      </w:r>
      <w:hyperlink r:id="rId7" w:history="1">
        <w:r w:rsidRPr="00372EBB">
          <w:rPr>
            <w:rStyle w:val="Hyperlink"/>
          </w:rPr>
          <w:t>wondy.joseph@trade.gov</w:t>
        </w:r>
      </w:hyperlink>
    </w:p>
    <w:p w:rsidR="00EA5C1A" w:rsidP="00EA5C1A" w14:paraId="4A9BFFD8" w14:textId="77777777">
      <w:pPr>
        <w:pStyle w:val="BodyText"/>
        <w:spacing w:before="161" w:line="259" w:lineRule="auto"/>
        <w:ind w:right="181"/>
      </w:pPr>
      <w:r>
        <w:t xml:space="preserve">Iryna </w:t>
      </w:r>
      <w:r>
        <w:t>Reshevska</w:t>
      </w:r>
      <w:r>
        <w:t xml:space="preserve">, International Trade Specialist, SABIT Program, </w:t>
      </w:r>
      <w:hyperlink r:id="rId8" w:history="1">
        <w:r w:rsidRPr="00372EBB">
          <w:rPr>
            <w:rStyle w:val="Hyperlink"/>
          </w:rPr>
          <w:t>Iryna.reshevska@trade.gov</w:t>
        </w:r>
      </w:hyperlink>
    </w:p>
    <w:p w:rsidR="00EA5C1A" w:rsidP="00EA5C1A" w14:paraId="5DB2D670" w14:textId="77777777">
      <w:pPr>
        <w:pStyle w:val="BodyText"/>
        <w:spacing w:before="161" w:line="259" w:lineRule="auto"/>
        <w:ind w:right="181"/>
      </w:pPr>
      <w:r>
        <w:t xml:space="preserve">Kristine Carrillo, International Trade Specialist, SABIT Program, </w:t>
      </w:r>
      <w:hyperlink r:id="rId9" w:history="1">
        <w:r w:rsidRPr="00372EBB">
          <w:rPr>
            <w:rStyle w:val="Hyperlink"/>
          </w:rPr>
          <w:t>Kristine.carrillo@trade.gov</w:t>
        </w:r>
      </w:hyperlink>
    </w:p>
    <w:p w:rsidR="00EA5C1A" w:rsidP="00EA5C1A" w14:paraId="30D95FC7" w14:textId="77777777">
      <w:pPr>
        <w:pStyle w:val="BodyText"/>
        <w:spacing w:before="161" w:line="259" w:lineRule="auto"/>
        <w:ind w:right="181"/>
      </w:pPr>
      <w:r>
        <w:t xml:space="preserve">Oksana </w:t>
      </w:r>
      <w:r>
        <w:t>Semenyshyn</w:t>
      </w:r>
      <w:r>
        <w:t xml:space="preserve">, SABIT Coordinator, Ukraine, </w:t>
      </w:r>
      <w:hyperlink r:id="rId10" w:history="1">
        <w:r w:rsidRPr="00372EBB">
          <w:rPr>
            <w:rStyle w:val="Hyperlink"/>
          </w:rPr>
          <w:t>Oksana.Semenyshyn@trade.gov</w:t>
        </w:r>
      </w:hyperlink>
    </w:p>
    <w:p w:rsidR="00EA5C1A" w:rsidP="00EA5C1A" w14:paraId="1E3C2E03" w14:textId="77777777">
      <w:pPr>
        <w:pStyle w:val="BodyText"/>
        <w:spacing w:before="161" w:line="259" w:lineRule="auto"/>
        <w:ind w:right="181"/>
      </w:pPr>
      <w:r>
        <w:t xml:space="preserve">Aizhan </w:t>
      </w:r>
      <w:r>
        <w:t>Mukhyshbayeva</w:t>
      </w:r>
      <w:r>
        <w:t xml:space="preserve">, SABIT Coordinator, Kazakhstan, </w:t>
      </w:r>
      <w:hyperlink r:id="rId11" w:history="1">
        <w:r w:rsidRPr="00372EBB">
          <w:rPr>
            <w:rStyle w:val="Hyperlink"/>
          </w:rPr>
          <w:t>Aizhan.mukyshbayeva@trade.gov</w:t>
        </w:r>
      </w:hyperlink>
    </w:p>
    <w:p w:rsidR="00EA5C1A" w:rsidP="00EA5C1A" w14:paraId="05BDDEF8" w14:textId="77777777">
      <w:pPr>
        <w:pStyle w:val="BodyText"/>
        <w:spacing w:before="161" w:line="259" w:lineRule="auto"/>
        <w:ind w:right="181"/>
      </w:pPr>
    </w:p>
    <w:p w:rsidR="00EA5C1A" w14:paraId="4739D411" w14:textId="77777777"/>
    <w:sectPr w:rsidSect="00EA5C1A">
      <w:pgSz w:w="12240" w:h="15840"/>
      <w:pgMar w:top="640" w:right="620" w:bottom="1200" w:left="6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006679"/>
    <w:multiLevelType w:val="hybridMultilevel"/>
    <w:tmpl w:val="3D487A22"/>
    <w:lvl w:ilvl="0">
      <w:start w:val="2"/>
      <w:numFmt w:val="upperLetter"/>
      <w:lvlText w:val="%1."/>
      <w:lvlJc w:val="left"/>
      <w:pPr>
        <w:ind w:left="407" w:hanging="308"/>
      </w:pPr>
      <w:rPr>
        <w:rFonts w:ascii="Arial" w:eastAsia="Arial" w:hAnsi="Arial" w:cs="Arial" w:hint="default"/>
        <w:b/>
        <w:bCs/>
        <w:spacing w:val="-1"/>
        <w:w w:val="99"/>
        <w:sz w:val="24"/>
        <w:szCs w:val="24"/>
      </w:rPr>
    </w:lvl>
    <w:lvl w:ilvl="1">
      <w:start w:val="1"/>
      <w:numFmt w:val="decimal"/>
      <w:lvlText w:val="%2."/>
      <w:lvlJc w:val="left"/>
      <w:pPr>
        <w:ind w:left="100" w:hanging="269"/>
      </w:pPr>
      <w:rPr>
        <w:rFonts w:ascii="Arial" w:eastAsia="Arial" w:hAnsi="Arial" w:cs="Arial" w:hint="default"/>
        <w:b/>
        <w:bCs/>
        <w:w w:val="100"/>
        <w:sz w:val="24"/>
        <w:szCs w:val="24"/>
      </w:rPr>
    </w:lvl>
    <w:lvl w:ilvl="2">
      <w:start w:val="0"/>
      <w:numFmt w:val="bullet"/>
      <w:lvlText w:val=""/>
      <w:lvlJc w:val="left"/>
      <w:pPr>
        <w:ind w:left="820" w:hanging="360"/>
      </w:pPr>
      <w:rPr>
        <w:rFonts w:ascii="Symbol" w:eastAsia="Symbol" w:hAnsi="Symbol" w:cs="Symbol" w:hint="default"/>
        <w:color w:val="auto"/>
        <w:w w:val="99"/>
        <w:sz w:val="20"/>
        <w:szCs w:val="20"/>
      </w:rPr>
    </w:lvl>
    <w:lvl w:ilvl="3">
      <w:start w:val="0"/>
      <w:numFmt w:val="bullet"/>
      <w:lvlText w:val="•"/>
      <w:lvlJc w:val="left"/>
      <w:pPr>
        <w:ind w:left="2087" w:hanging="360"/>
      </w:pPr>
      <w:rPr>
        <w:rFonts w:hint="default"/>
      </w:rPr>
    </w:lvl>
    <w:lvl w:ilvl="4">
      <w:start w:val="0"/>
      <w:numFmt w:val="bullet"/>
      <w:lvlText w:val="•"/>
      <w:lvlJc w:val="left"/>
      <w:pPr>
        <w:ind w:left="3355" w:hanging="360"/>
      </w:pPr>
      <w:rPr>
        <w:rFonts w:hint="default"/>
      </w:rPr>
    </w:lvl>
    <w:lvl w:ilvl="5">
      <w:start w:val="0"/>
      <w:numFmt w:val="bullet"/>
      <w:lvlText w:val="•"/>
      <w:lvlJc w:val="left"/>
      <w:pPr>
        <w:ind w:left="4622" w:hanging="360"/>
      </w:pPr>
      <w:rPr>
        <w:rFonts w:hint="default"/>
      </w:rPr>
    </w:lvl>
    <w:lvl w:ilvl="6">
      <w:start w:val="0"/>
      <w:numFmt w:val="bullet"/>
      <w:lvlText w:val="•"/>
      <w:lvlJc w:val="left"/>
      <w:pPr>
        <w:ind w:left="5890" w:hanging="360"/>
      </w:pPr>
      <w:rPr>
        <w:rFonts w:hint="default"/>
      </w:rPr>
    </w:lvl>
    <w:lvl w:ilvl="7">
      <w:start w:val="0"/>
      <w:numFmt w:val="bullet"/>
      <w:lvlText w:val="•"/>
      <w:lvlJc w:val="left"/>
      <w:pPr>
        <w:ind w:left="7157" w:hanging="360"/>
      </w:pPr>
      <w:rPr>
        <w:rFonts w:hint="default"/>
      </w:rPr>
    </w:lvl>
    <w:lvl w:ilvl="8">
      <w:start w:val="0"/>
      <w:numFmt w:val="bullet"/>
      <w:lvlText w:val="•"/>
      <w:lvlJc w:val="left"/>
      <w:pPr>
        <w:ind w:left="8425" w:hanging="360"/>
      </w:pPr>
      <w:rPr>
        <w:rFonts w:hint="default"/>
      </w:rPr>
    </w:lvl>
  </w:abstractNum>
  <w:num w:numId="1" w16cid:durableId="733040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C1A"/>
    <w:rsid w:val="00372EBB"/>
    <w:rsid w:val="00373208"/>
    <w:rsid w:val="0074605B"/>
    <w:rsid w:val="0076237C"/>
    <w:rsid w:val="008F536F"/>
    <w:rsid w:val="00B87EE2"/>
    <w:rsid w:val="00BF2134"/>
    <w:rsid w:val="00EA5C1A"/>
    <w:rsid w:val="00FF35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B00D16"/>
  <w15:chartTrackingRefBased/>
  <w15:docId w15:val="{7EEC40C2-66C2-46A3-9E8A-798AB8B3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5C1A"/>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EA5C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C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5C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C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C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C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C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C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C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C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C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5C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C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C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C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C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C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C1A"/>
    <w:rPr>
      <w:rFonts w:eastAsiaTheme="majorEastAsia" w:cstheme="majorBidi"/>
      <w:color w:val="272727" w:themeColor="text1" w:themeTint="D8"/>
    </w:rPr>
  </w:style>
  <w:style w:type="paragraph" w:styleId="Title">
    <w:name w:val="Title"/>
    <w:basedOn w:val="Normal"/>
    <w:next w:val="Normal"/>
    <w:link w:val="TitleChar"/>
    <w:uiPriority w:val="10"/>
    <w:qFormat/>
    <w:rsid w:val="00EA5C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C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C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C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C1A"/>
    <w:pPr>
      <w:spacing w:before="160"/>
      <w:jc w:val="center"/>
    </w:pPr>
    <w:rPr>
      <w:i/>
      <w:iCs/>
      <w:color w:val="404040" w:themeColor="text1" w:themeTint="BF"/>
    </w:rPr>
  </w:style>
  <w:style w:type="character" w:customStyle="1" w:styleId="QuoteChar">
    <w:name w:val="Quote Char"/>
    <w:basedOn w:val="DefaultParagraphFont"/>
    <w:link w:val="Quote"/>
    <w:uiPriority w:val="29"/>
    <w:rsid w:val="00EA5C1A"/>
    <w:rPr>
      <w:i/>
      <w:iCs/>
      <w:color w:val="404040" w:themeColor="text1" w:themeTint="BF"/>
    </w:rPr>
  </w:style>
  <w:style w:type="paragraph" w:styleId="ListParagraph">
    <w:name w:val="List Paragraph"/>
    <w:basedOn w:val="Normal"/>
    <w:uiPriority w:val="1"/>
    <w:qFormat/>
    <w:rsid w:val="00EA5C1A"/>
    <w:pPr>
      <w:ind w:left="720"/>
      <w:contextualSpacing/>
    </w:pPr>
  </w:style>
  <w:style w:type="character" w:styleId="IntenseEmphasis">
    <w:name w:val="Intense Emphasis"/>
    <w:basedOn w:val="DefaultParagraphFont"/>
    <w:uiPriority w:val="21"/>
    <w:qFormat/>
    <w:rsid w:val="00EA5C1A"/>
    <w:rPr>
      <w:i/>
      <w:iCs/>
      <w:color w:val="0F4761" w:themeColor="accent1" w:themeShade="BF"/>
    </w:rPr>
  </w:style>
  <w:style w:type="paragraph" w:styleId="IntenseQuote">
    <w:name w:val="Intense Quote"/>
    <w:basedOn w:val="Normal"/>
    <w:next w:val="Normal"/>
    <w:link w:val="IntenseQuoteChar"/>
    <w:uiPriority w:val="30"/>
    <w:qFormat/>
    <w:rsid w:val="00EA5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C1A"/>
    <w:rPr>
      <w:i/>
      <w:iCs/>
      <w:color w:val="0F4761" w:themeColor="accent1" w:themeShade="BF"/>
    </w:rPr>
  </w:style>
  <w:style w:type="character" w:styleId="IntenseReference">
    <w:name w:val="Intense Reference"/>
    <w:basedOn w:val="DefaultParagraphFont"/>
    <w:uiPriority w:val="32"/>
    <w:qFormat/>
    <w:rsid w:val="00EA5C1A"/>
    <w:rPr>
      <w:b/>
      <w:bCs/>
      <w:smallCaps/>
      <w:color w:val="0F4761" w:themeColor="accent1" w:themeShade="BF"/>
      <w:spacing w:val="5"/>
    </w:rPr>
  </w:style>
  <w:style w:type="paragraph" w:styleId="BodyText">
    <w:name w:val="Body Text"/>
    <w:basedOn w:val="Normal"/>
    <w:link w:val="BodyTextChar"/>
    <w:uiPriority w:val="1"/>
    <w:qFormat/>
    <w:rsid w:val="00EA5C1A"/>
    <w:pPr>
      <w:spacing w:before="160"/>
      <w:ind w:left="100"/>
    </w:pPr>
    <w:rPr>
      <w:sz w:val="24"/>
      <w:szCs w:val="24"/>
    </w:rPr>
  </w:style>
  <w:style w:type="character" w:customStyle="1" w:styleId="BodyTextChar">
    <w:name w:val="Body Text Char"/>
    <w:basedOn w:val="DefaultParagraphFont"/>
    <w:link w:val="BodyText"/>
    <w:uiPriority w:val="1"/>
    <w:rsid w:val="00EA5C1A"/>
    <w:rPr>
      <w:rFonts w:ascii="Arial" w:eastAsia="Arial" w:hAnsi="Arial" w:cs="Arial"/>
      <w:kern w:val="0"/>
      <w14:ligatures w14:val="none"/>
    </w:rPr>
  </w:style>
  <w:style w:type="character" w:styleId="Hyperlink">
    <w:name w:val="Hyperlink"/>
    <w:basedOn w:val="DefaultParagraphFont"/>
    <w:uiPriority w:val="99"/>
    <w:unhideWhenUsed/>
    <w:rsid w:val="00EA5C1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ksana.Semenyshyn@trade.gov" TargetMode="External" /><Relationship Id="rId11" Type="http://schemas.openxmlformats.org/officeDocument/2006/relationships/hyperlink" Target="mailto:Aizhan.mukyshbayeva@trade.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tracy.rollins@trade.gov" TargetMode="External" /><Relationship Id="rId5" Type="http://schemas.openxmlformats.org/officeDocument/2006/relationships/hyperlink" Target="mailto:liza.sobol@trade.gov" TargetMode="External" /><Relationship Id="rId6" Type="http://schemas.openxmlformats.org/officeDocument/2006/relationships/hyperlink" Target="mailto:justyna.swica@trade.gov" TargetMode="External" /><Relationship Id="rId7" Type="http://schemas.openxmlformats.org/officeDocument/2006/relationships/hyperlink" Target="mailto:wondy.joseph@trade.gov" TargetMode="External" /><Relationship Id="rId8" Type="http://schemas.openxmlformats.org/officeDocument/2006/relationships/hyperlink" Target="mailto:Iryna.reshevska@trade.gov" TargetMode="External" /><Relationship Id="rId9" Type="http://schemas.openxmlformats.org/officeDocument/2006/relationships/hyperlink" Target="mailto:Kristine.carrillo@trad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878</Words>
  <Characters>5009</Characters>
  <Application>Microsoft Office Word</Application>
  <DocSecurity>0</DocSecurity>
  <Lines>41</Lines>
  <Paragraphs>11</Paragraphs>
  <ScaleCrop>false</ScaleCrop>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Katelynn Byers (Contractor)</dc:creator>
  <cp:lastModifiedBy>Katelynn Byers (Contractor)</cp:lastModifiedBy>
  <cp:revision>1</cp:revision>
  <dcterms:created xsi:type="dcterms:W3CDTF">2024-07-17T19:02:00Z</dcterms:created>
  <dcterms:modified xsi:type="dcterms:W3CDTF">2024-07-17T19:04:00Z</dcterms:modified>
</cp:coreProperties>
</file>