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5E1E">
      <w:pPr>
        <w:pStyle w:val="Heading1"/>
        <w:ind w:left="0"/>
        <w:jc w:val="center"/>
      </w:pPr>
      <w:r>
        <w:t>SUPPORTING STATEMENT</w:t>
      </w:r>
    </w:p>
    <w:p w:rsidR="009A5E1E">
      <w:pPr>
        <w:spacing w:before="22" w:line="259" w:lineRule="auto"/>
        <w:ind w:firstLine="14"/>
        <w:jc w:val="center"/>
        <w:rPr>
          <w:b/>
        </w:rPr>
      </w:pPr>
      <w:r>
        <w:rPr>
          <w:b/>
        </w:rPr>
        <w:t>U.S. Department of Commerce</w:t>
      </w:r>
    </w:p>
    <w:p w:rsidR="009A5E1E">
      <w:pPr>
        <w:spacing w:before="22" w:line="259" w:lineRule="auto"/>
        <w:ind w:firstLine="14"/>
        <w:jc w:val="center"/>
        <w:rPr>
          <w:b/>
        </w:rPr>
      </w:pPr>
      <w:r>
        <w:rPr>
          <w:b/>
        </w:rPr>
        <w:t>National Oceanic &amp; Atmospheric Administration</w:t>
      </w:r>
    </w:p>
    <w:p w:rsidR="009A5E1E">
      <w:pPr>
        <w:spacing w:line="259" w:lineRule="auto"/>
        <w:ind w:hanging="6"/>
        <w:jc w:val="center"/>
        <w:rPr>
          <w:b/>
        </w:rPr>
      </w:pPr>
      <w:r>
        <w:rPr>
          <w:b/>
        </w:rPr>
        <w:t>Application for Appointment in the NOAA Commissioned Officer Corps</w:t>
      </w:r>
    </w:p>
    <w:p w:rsidR="009A5E1E">
      <w:pPr>
        <w:spacing w:line="259" w:lineRule="auto"/>
        <w:ind w:hanging="6"/>
        <w:jc w:val="center"/>
        <w:rPr>
          <w:b/>
        </w:rPr>
      </w:pPr>
      <w:r>
        <w:rPr>
          <w:b/>
        </w:rPr>
        <w:t>OMB Control No. 0648-0047</w:t>
      </w:r>
    </w:p>
    <w:p w:rsidR="009A5E1E">
      <w:pPr>
        <w:pBdr>
          <w:top w:val="nil"/>
          <w:left w:val="nil"/>
          <w:bottom w:val="nil"/>
          <w:right w:val="nil"/>
          <w:between w:val="nil"/>
        </w:pBdr>
        <w:spacing w:before="1"/>
        <w:jc w:val="center"/>
        <w:rPr>
          <w:b/>
          <w:color w:val="000000"/>
        </w:rPr>
      </w:pPr>
    </w:p>
    <w:p w:rsidR="009A5E1E">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9A5E1E">
      <w:pPr>
        <w:pStyle w:val="Heading1"/>
        <w:spacing w:before="199"/>
        <w:ind w:left="0"/>
      </w:pPr>
      <w:r>
        <w:t>Abstract</w:t>
      </w:r>
    </w:p>
    <w:p w:rsidR="009A5E1E">
      <w:pPr>
        <w:spacing w:before="22" w:line="259" w:lineRule="auto"/>
      </w:pPr>
      <w:r>
        <w:t xml:space="preserve">This request is for </w:t>
      </w:r>
      <w:r w:rsidR="008D40AB">
        <w:t xml:space="preserve">a </w:t>
      </w:r>
      <w:r>
        <w:t>revision and extension of an existing information collection.</w:t>
      </w:r>
      <w:r w:rsidR="00EE5872">
        <w:t xml:space="preserve">  </w:t>
      </w:r>
      <w:r>
        <w:t>This request is to add a new form to the collection in order to collect information about an applicant’s aviation experience. Form 56-80A is included as part of the NOAA Corps Direct-to-Aviation application process.</w:t>
      </w:r>
    </w:p>
    <w:p w:rsidR="009A5E1E">
      <w:pPr>
        <w:pStyle w:val="Heading1"/>
        <w:spacing w:before="124"/>
        <w:ind w:left="0"/>
      </w:pPr>
      <w:r>
        <w:t>Justification</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5E1E">
      <w:pPr>
        <w:pBdr>
          <w:top w:val="nil"/>
          <w:left w:val="nil"/>
          <w:bottom w:val="nil"/>
          <w:right w:val="nil"/>
          <w:between w:val="nil"/>
        </w:pBdr>
        <w:spacing w:before="120"/>
        <w:rPr>
          <w:color w:val="000000"/>
        </w:rPr>
      </w:pPr>
      <w:r>
        <w:rPr>
          <w:color w:val="000000"/>
        </w:rPr>
        <w:t xml:space="preserve">The National Oceanic and Atmospheric Administration (NOAA) Commissioned Officer Corps (NOAA Corps) is the uniformed service of NOAA, a bureau of the Department of Commerce. The NOAA Corps provides a cadre of professionals trained in engineering, earth sciences, oceanography, meteorology, fisheries science, and other related disciplines who serve their country by supporting NOAA's mission of surveying the Earth's oceans, coasts, and atmosphere to ensure the economic and physical well-being of the Nation. </w:t>
      </w:r>
    </w:p>
    <w:p w:rsidR="009A5E1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000000"/>
        </w:rPr>
      </w:pPr>
      <w:r>
        <w:rPr>
          <w:color w:val="000000"/>
        </w:rPr>
        <w:t xml:space="preserve">The statutory authorities for this information collection are </w:t>
      </w:r>
      <w:hyperlink r:id="rId5">
        <w:r>
          <w:rPr>
            <w:color w:val="1155CC"/>
            <w:u w:val="single"/>
          </w:rPr>
          <w:t>33 USC Chapter 43</w:t>
        </w:r>
      </w:hyperlink>
      <w:r>
        <w:rPr>
          <w:color w:val="000000"/>
        </w:rPr>
        <w:t xml:space="preserve">, National Oceanic and Atmospheric Administration Commissioned Officer Corps and </w:t>
      </w:r>
      <w:hyperlink r:id="rId6">
        <w:r>
          <w:rPr>
            <w:color w:val="0000FF"/>
            <w:highlight w:val="white"/>
            <w:u w:val="single"/>
          </w:rPr>
          <w:t>PL 112-166 Section 2. (gg</w:t>
        </w:r>
        <w:r>
          <w:rPr>
            <w:color w:val="0000FF"/>
            <w:highlight w:val="white"/>
            <w:u w:val="single"/>
          </w:rPr>
          <w:t>)(</w:t>
        </w:r>
        <w:r>
          <w:rPr>
            <w:color w:val="0000FF"/>
            <w:highlight w:val="white"/>
            <w:u w:val="single"/>
          </w:rPr>
          <w:t>1)</w:t>
        </w:r>
      </w:hyperlink>
      <w:r>
        <w:rPr>
          <w:color w:val="000000"/>
        </w:rPr>
        <w:t xml:space="preserve">, Presidential Appointment Efficiency and Streamlining Act of 2011. NOAA Corps officers serve under Presidentially-confirmed appointments. The current authorized end-strength of the NOAA Corps is 500 commissioned officers on the active duty list. Officers may resign their commissions, or may request voluntary retirement when eligible. Each resignation or retirement creates a vacancy on the list of active duty officers. </w:t>
      </w:r>
    </w:p>
    <w:p w:rsidR="009A5E1E">
      <w:pPr>
        <w:widowControl/>
        <w:pBdr>
          <w:top w:val="nil"/>
          <w:left w:val="nil"/>
          <w:bottom w:val="nil"/>
          <w:right w:val="nil"/>
          <w:between w:val="nil"/>
        </w:pBdr>
        <w:spacing w:before="120"/>
        <w:rPr>
          <w:color w:val="000000"/>
        </w:rPr>
      </w:pPr>
      <w:r>
        <w:rPr>
          <w:color w:val="000000"/>
        </w:rPr>
        <w:t>The collection of appropriate personal, educational, and professional qualifications information is critical in order to identify those applicants with the educational background, intelligence, high moral standards, and strong leadership potential required to serve the Nation as a member of this uniformed service. Persons wishing to be considered for a NOAA Corps Commission must submit a complete application package, including NOAA Form 56–42, three to five letters of recommendation, resume, and official transcripts. For those app</w:t>
      </w:r>
      <w:r>
        <w:t xml:space="preserve">licants requesting a Direct-to-Aviation career path, Forms 56-80 and 56-80A are included to also collect personal, educational, professional qualifications centered on Aviation.  </w:t>
      </w:r>
      <w:r>
        <w:rPr>
          <w:color w:val="000000"/>
        </w:rPr>
        <w:t>A personal interview must also be conducted. Eligibility requirements include a bachelor’s degree with at least 48 credit hours of science, engineering, or other disciplines related to NOAA’s missions, excellent health and normal color vision with uncorrected visual acuity no worse than 20/400 in each eye (correctable to 20/20).</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Indicate how, by whom, and for what purpose the information is to be used. Except for a new collection, indicate the actual use the agency has made of the information received from the current collection.</w:t>
      </w:r>
    </w:p>
    <w:p w:rsidR="009A5E1E">
      <w:pPr>
        <w:pBdr>
          <w:top w:val="nil"/>
          <w:left w:val="nil"/>
          <w:bottom w:val="nil"/>
          <w:right w:val="nil"/>
          <w:between w:val="nil"/>
        </w:pBdr>
        <w:spacing w:before="120"/>
        <w:rPr>
          <w:color w:val="000000"/>
        </w:rPr>
      </w:pPr>
      <w:r>
        <w:rPr>
          <w:color w:val="000000"/>
        </w:rPr>
        <w:t>Application information may be submitted on a year-round basis, but the primary periods of collection are immediately preceding summer and winter college graduations. This information is used by the NOAA Commissioned Personnel Center to assess whether an applicant meets or exceeds the statutory minimum appointment qualifications and other legal obligations of citizenship. Completed applications are examined by the NOAA Officer Personnel Board in order to rate and/or assess the level of qualification, suitability, and availability of candidates for appointment.</w:t>
      </w:r>
    </w:p>
    <w:p w:rsidR="009A5E1E">
      <w:pPr>
        <w:pBdr>
          <w:top w:val="nil"/>
          <w:left w:val="nil"/>
          <w:bottom w:val="nil"/>
          <w:right w:val="nil"/>
          <w:between w:val="nil"/>
        </w:pBdr>
        <w:spacing w:before="120"/>
        <w:rPr>
          <w:color w:val="000000"/>
        </w:rPr>
      </w:pPr>
      <w:r>
        <w:rPr>
          <w:color w:val="000000"/>
        </w:rPr>
        <w:t xml:space="preserve">The two forms (application 56-42 and reference 56-42A) are now fully electronic, the result of efforts to reduce paperwork, clarify the collection process, and improve the quality of applicant responses. </w:t>
      </w:r>
      <w:r>
        <w:t xml:space="preserve">Forms 56-80 and 56-80A are specific to those applicants who wish to follow the Direct-to-Aviation career path. Form 56-80 is for current active duty officers from other branches of service and Form 56-80A is for public applicants. </w:t>
      </w:r>
    </w:p>
    <w:p w:rsidR="009A5E1E">
      <w:pPr>
        <w:pBdr>
          <w:top w:val="nil"/>
          <w:left w:val="nil"/>
          <w:bottom w:val="nil"/>
          <w:right w:val="nil"/>
          <w:between w:val="nil"/>
        </w:pBdr>
        <w:spacing w:before="120"/>
        <w:rPr>
          <w:color w:val="000000"/>
        </w:rPr>
      </w:pPr>
      <w:r>
        <w:rPr>
          <w:color w:val="000000"/>
        </w:rPr>
        <w:t xml:space="preserve">The NOAA Corps Commissioned Personnel Center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the Director, NOAA Corps, decide to disseminate the information, it will be subject to the quality control measures and pre-dissemination review pursuant to </w:t>
      </w:r>
      <w:hyperlink r:id="rId7">
        <w:r>
          <w:rPr>
            <w:color w:val="0000FF"/>
            <w:u w:val="single"/>
          </w:rPr>
          <w:t>Section 515 of Public Law 106-554</w:t>
        </w:r>
      </w:hyperlink>
      <w:r>
        <w:rPr>
          <w:color w:val="000000"/>
        </w:rPr>
        <w:t>.</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5E1E">
      <w:pPr>
        <w:pBdr>
          <w:top w:val="nil"/>
          <w:left w:val="nil"/>
          <w:bottom w:val="nil"/>
          <w:right w:val="nil"/>
          <w:between w:val="nil"/>
        </w:pBdr>
        <w:spacing w:before="161"/>
        <w:rPr>
          <w:color w:val="000000"/>
        </w:rPr>
      </w:pPr>
      <w:r>
        <w:rPr>
          <w:color w:val="000000"/>
        </w:rPr>
        <w:t>The primary means of information gathering is through an electronic application process, with the applicant entering data online (</w:t>
      </w:r>
      <w:hyperlink r:id="rId8">
        <w:r>
          <w:rPr>
            <w:color w:val="0000FF"/>
            <w:u w:val="single"/>
          </w:rPr>
          <w:t>https://www.omao.noaa.gov/noaa-corps/apply-now</w:t>
        </w:r>
      </w:hyperlink>
      <w:r>
        <w:rPr>
          <w:color w:val="000000"/>
        </w:rPr>
        <w:t xml:space="preserve">). Paper forms are available upon request. </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9A5E1E">
      <w:pPr>
        <w:pBdr>
          <w:top w:val="nil"/>
          <w:left w:val="nil"/>
          <w:bottom w:val="nil"/>
          <w:right w:val="nil"/>
          <w:between w:val="nil"/>
        </w:pBdr>
        <w:spacing w:before="161"/>
        <w:rPr>
          <w:color w:val="000000"/>
        </w:rPr>
      </w:pPr>
      <w:r>
        <w:rPr>
          <w:color w:val="000000"/>
        </w:rPr>
        <w:t>This is an application that is unique to NOAA and there is no duplication with other efforts.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If the collection of information impacts small businesses or other small entities, describe any methods used to minimize burden.</w:t>
      </w:r>
    </w:p>
    <w:p w:rsidR="009A5E1E">
      <w:pPr>
        <w:pBdr>
          <w:top w:val="nil"/>
          <w:left w:val="nil"/>
          <w:bottom w:val="nil"/>
          <w:right w:val="nil"/>
          <w:between w:val="nil"/>
        </w:pBdr>
        <w:spacing w:before="161"/>
        <w:rPr>
          <w:color w:val="000000"/>
        </w:rPr>
      </w:pPr>
      <w:r>
        <w:rPr>
          <w:color w:val="000000"/>
        </w:rPr>
        <w:t>This collection of information does not involve any small business or other small entities.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9A5E1E">
      <w:pPr>
        <w:pBdr>
          <w:top w:val="nil"/>
          <w:left w:val="nil"/>
          <w:bottom w:val="nil"/>
          <w:right w:val="nil"/>
          <w:between w:val="nil"/>
        </w:pBdr>
        <w:spacing w:before="161"/>
        <w:rPr>
          <w:color w:val="000000"/>
        </w:rPr>
      </w:pPr>
      <w:r>
        <w:rPr>
          <w:color w:val="000000"/>
        </w:rPr>
        <w:t xml:space="preserve">The information collected is used for identifying both minimum eligibility and level of qualification of applicants for the NOAA Corps. Reducing the frequency of collection or eliminating the collection would severely hinder the ability of the NOAA Corps to recruit officer candidates with the educational background, intelligence, high moral standards, and strong leadership potential required to serve the </w:t>
      </w:r>
      <w:r>
        <w:rPr>
          <w:color w:val="000000"/>
        </w:rPr>
        <w:t>Nation as a member of this uniformed service.</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Explain any special circumstances that would cause an information collection to be conducted in a manner inconsistent with OMB guidelines.</w:t>
      </w:r>
    </w:p>
    <w:p w:rsidR="009A5E1E">
      <w:pPr>
        <w:pBdr>
          <w:top w:val="nil"/>
          <w:left w:val="nil"/>
          <w:bottom w:val="nil"/>
          <w:right w:val="nil"/>
          <w:between w:val="nil"/>
        </w:pBdr>
        <w:spacing w:before="80"/>
      </w:pPr>
      <w:r>
        <w:t>This collection will be collected in a manner consistent with OMB guidelines.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A5E1E">
      <w:pPr>
        <w:pBdr>
          <w:top w:val="nil"/>
          <w:left w:val="nil"/>
          <w:bottom w:val="nil"/>
          <w:right w:val="nil"/>
          <w:between w:val="nil"/>
        </w:pBdr>
        <w:spacing w:before="161"/>
      </w:pPr>
      <w:r>
        <w:t xml:space="preserve">A </w:t>
      </w:r>
      <w:r>
        <w:rPr>
          <w:i/>
        </w:rPr>
        <w:t>Federal Register</w:t>
      </w:r>
      <w:r>
        <w:t xml:space="preserve"> notice was published on May 9, 2024, (89 FR 39590)</w:t>
      </w:r>
      <w:bookmarkStart w:id="0" w:name="_GoBack"/>
      <w:bookmarkEnd w:id="0"/>
      <w:r>
        <w:t xml:space="preserve"> solicited public comment on this collection. No comments were received. </w:t>
      </w:r>
    </w:p>
    <w:p w:rsidR="009A5E1E">
      <w:pPr>
        <w:pBdr>
          <w:top w:val="nil"/>
          <w:left w:val="nil"/>
          <w:bottom w:val="nil"/>
          <w:right w:val="nil"/>
          <w:between w:val="nil"/>
        </w:pBdr>
        <w:spacing w:before="161"/>
      </w:pPr>
      <w:r>
        <w:t>NOAA Corps reached out to six new candidates to obtain their views on the availability of data, frequency of collection, the clarity of instructions and recordkeeping, disclosure, or reporting format (if any), and on the data elements to be recorded, disclosed, or reported. No comments were received.</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Explain any decision to provide any payment or gift to respondents, other than remuneration of contractors or grantees.</w:t>
      </w:r>
    </w:p>
    <w:p w:rsidR="009A5E1E">
      <w:pPr>
        <w:pBdr>
          <w:top w:val="nil"/>
          <w:left w:val="nil"/>
          <w:bottom w:val="nil"/>
          <w:right w:val="nil"/>
          <w:between w:val="nil"/>
        </w:pBdr>
        <w:spacing w:before="161"/>
      </w:pPr>
      <w:r>
        <w:t>No payments or gifts will be provided to respondents.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A5E1E">
      <w:r>
        <w:t xml:space="preserve">This information collection is a Privacy Act Systems of Records, </w:t>
      </w:r>
      <w:hyperlink r:id="rId9">
        <w:r>
          <w:rPr>
            <w:color w:val="0000FF"/>
            <w:u w:val="single"/>
          </w:rPr>
          <w:t>COMMERCE/NOAA-1, Applicants for the NOAA Corps</w:t>
        </w:r>
      </w:hyperlink>
      <w:r>
        <w:t xml:space="preserve">. </w:t>
      </w:r>
      <w:hyperlink r:id="rId10">
        <w:r>
          <w:rPr>
            <w:color w:val="0000FF"/>
            <w:u w:val="single"/>
          </w:rPr>
          <w:t>The Privacy Act of 1974</w:t>
        </w:r>
      </w:hyperlink>
      <w:r>
        <w:t>, 5 U.S.C. § 552a</w:t>
      </w:r>
      <w:r>
        <w:rPr>
          <w:rFonts w:ascii="Arial" w:eastAsia="Arial" w:hAnsi="Arial" w:cs="Arial"/>
        </w:rPr>
        <w:t>,</w:t>
      </w:r>
      <w:r>
        <w:t xml:space="preserve"> is the statutory authority for confidentiality of this information collection, and assurance of confidentiality citing this authority is provided on the information collection forms.  A current Privacy Impact Assessment for NOAA2200 is on file.</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5E1E">
      <w:pPr>
        <w:pBdr>
          <w:top w:val="nil"/>
          <w:left w:val="nil"/>
          <w:bottom w:val="nil"/>
          <w:right w:val="nil"/>
          <w:between w:val="nil"/>
        </w:pBdr>
        <w:spacing w:before="161"/>
        <w:rPr>
          <w:color w:val="000000"/>
        </w:rPr>
      </w:pPr>
      <w:r>
        <w:rPr>
          <w:color w:val="000000"/>
        </w:rPr>
        <w:t>No questions of a sensitive nature are asked.</w:t>
      </w:r>
    </w:p>
    <w:p w:rsidR="009A5E1E">
      <w:pPr>
        <w:pBdr>
          <w:top w:val="nil"/>
          <w:left w:val="nil"/>
          <w:bottom w:val="nil"/>
          <w:right w:val="nil"/>
          <w:between w:val="nil"/>
        </w:pBdr>
        <w:tabs>
          <w:tab w:val="left" w:pos="360"/>
        </w:tabs>
        <w:spacing w:before="80"/>
        <w:rPr>
          <w:b/>
          <w:color w:val="000000"/>
        </w:rPr>
      </w:pPr>
    </w:p>
    <w:p w:rsidR="009A5E1E">
      <w:pPr>
        <w:pBdr>
          <w:top w:val="nil"/>
          <w:left w:val="nil"/>
          <w:bottom w:val="nil"/>
          <w:right w:val="nil"/>
          <w:between w:val="nil"/>
        </w:pBdr>
        <w:tabs>
          <w:tab w:val="left" w:pos="360"/>
        </w:tabs>
        <w:spacing w:before="80"/>
        <w:rPr>
          <w:b/>
          <w:color w:val="000000"/>
        </w:rPr>
        <w:sectPr>
          <w:footerReference w:type="default" r:id="rId11"/>
          <w:pgSz w:w="12240" w:h="15840"/>
          <w:pgMar w:top="640" w:right="1080" w:bottom="1200" w:left="1080" w:header="0" w:footer="1014" w:gutter="0"/>
          <w:pgNumType w:start="1"/>
          <w:cols w:space="720"/>
        </w:sectPr>
      </w:pPr>
    </w:p>
    <w:p w:rsidR="009A5E1E">
      <w:pPr>
        <w:spacing w:line="259" w:lineRule="auto"/>
      </w:pP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Provide estimates of the hour burden of the collection of information.</w:t>
      </w:r>
    </w:p>
    <w:p w:rsidR="009A5E1E">
      <w:pPr>
        <w:spacing w:line="259" w:lineRule="auto"/>
        <w:ind w:hanging="43"/>
        <w:jc w:val="center"/>
        <w:rPr>
          <w:b/>
          <w:color w:val="FF0000"/>
        </w:rPr>
      </w:pPr>
    </w:p>
    <w:tbl>
      <w:tblPr>
        <w:tblStyle w:val="a6"/>
        <w:tblW w:w="13155" w:type="dxa"/>
        <w:tblInd w:w="-25" w:type="dxa"/>
        <w:tblLayout w:type="fixed"/>
        <w:tblLook w:val="0400"/>
      </w:tblPr>
      <w:tblGrid>
        <w:gridCol w:w="2355"/>
        <w:gridCol w:w="1530"/>
        <w:gridCol w:w="1170"/>
        <w:gridCol w:w="1350"/>
        <w:gridCol w:w="1260"/>
        <w:gridCol w:w="990"/>
        <w:gridCol w:w="1260"/>
        <w:gridCol w:w="1620"/>
        <w:gridCol w:w="1620"/>
      </w:tblGrid>
      <w:tr>
        <w:tblPrEx>
          <w:tblW w:w="13155" w:type="dxa"/>
          <w:tblInd w:w="-25" w:type="dxa"/>
          <w:tblLayout w:type="fixed"/>
          <w:tblLook w:val="0400"/>
        </w:tblPrEx>
        <w:trPr>
          <w:trHeight w:val="1365"/>
        </w:trPr>
        <w:tc>
          <w:tcPr>
            <w:tcW w:w="23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9A5E1E">
            <w:pPr>
              <w:widowControl/>
              <w:ind w:right="15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315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xml:space="preserve">Application for </w:t>
            </w:r>
            <w:r>
              <w:rPr>
                <w:rFonts w:ascii="Calibri" w:eastAsia="Calibri" w:hAnsi="Calibri" w:cs="Calibri"/>
                <w:color w:val="000000"/>
                <w:sz w:val="16"/>
                <w:szCs w:val="16"/>
              </w:rPr>
              <w:t>Commission  &amp;</w:t>
            </w:r>
            <w:r>
              <w:rPr>
                <w:rFonts w:ascii="Calibri" w:eastAsia="Calibri" w:hAnsi="Calibri" w:cs="Calibri"/>
                <w:color w:val="000000"/>
                <w:sz w:val="16"/>
                <w:szCs w:val="16"/>
              </w:rPr>
              <w:t xml:space="preserve"> Interview</w:t>
            </w:r>
          </w:p>
        </w:tc>
        <w:tc>
          <w:tcPr>
            <w:tcW w:w="1530" w:type="dxa"/>
            <w:tcBorders>
              <w:top w:val="nil"/>
              <w:left w:val="nil"/>
              <w:bottom w:val="single" w:sz="4" w:space="0" w:color="000000"/>
              <w:right w:val="single" w:sz="4" w:space="0" w:color="000000"/>
            </w:tcBorders>
            <w:shd w:val="clear" w:color="auto" w:fill="auto"/>
            <w:vAlign w:val="bottom"/>
          </w:tcPr>
          <w:p w:rsidR="009A5E1E">
            <w:pPr>
              <w:widowControl/>
              <w:jc w:val="center"/>
              <w:rPr>
                <w:rFonts w:ascii="Calibri" w:eastAsia="Calibri" w:hAnsi="Calibri" w:cs="Calibri"/>
                <w:color w:val="000000"/>
                <w:sz w:val="16"/>
                <w:szCs w:val="16"/>
              </w:rPr>
            </w:pPr>
            <w:r>
              <w:rPr>
                <w:rFonts w:ascii="Calibri" w:eastAsia="Calibri" w:hAnsi="Calibri" w:cs="Calibri"/>
                <w:color w:val="000000"/>
                <w:sz w:val="16"/>
                <w:szCs w:val="16"/>
              </w:rPr>
              <w:t>Individual </w:t>
            </w:r>
          </w:p>
        </w:tc>
        <w:tc>
          <w:tcPr>
            <w:tcW w:w="117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300 </w:t>
            </w:r>
          </w:p>
        </w:tc>
        <w:tc>
          <w:tcPr>
            <w:tcW w:w="135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300 </w:t>
            </w:r>
          </w:p>
        </w:tc>
        <w:tc>
          <w:tcPr>
            <w:tcW w:w="99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7 </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2100</w:t>
            </w:r>
          </w:p>
        </w:tc>
        <w:tc>
          <w:tcPr>
            <w:tcW w:w="162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31.48</w:t>
            </w:r>
            <w:r>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66,108</w:t>
            </w:r>
            <w:r>
              <w:rPr>
                <w:rFonts w:ascii="Calibri" w:eastAsia="Calibri" w:hAnsi="Calibri" w:cs="Calibri"/>
                <w:color w:val="000000"/>
                <w:sz w:val="16"/>
                <w:szCs w:val="16"/>
              </w:rPr>
              <w:t> </w:t>
            </w:r>
          </w:p>
        </w:tc>
      </w:tr>
      <w:tr>
        <w:tblPrEx>
          <w:tblW w:w="1315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References</w:t>
            </w:r>
          </w:p>
        </w:tc>
        <w:tc>
          <w:tcPr>
            <w:tcW w:w="1530" w:type="dxa"/>
            <w:tcBorders>
              <w:top w:val="nil"/>
              <w:left w:val="nil"/>
              <w:bottom w:val="single" w:sz="4" w:space="0" w:color="000000"/>
              <w:right w:val="single" w:sz="4" w:space="0" w:color="000000"/>
            </w:tcBorders>
            <w:shd w:val="clear" w:color="auto" w:fill="auto"/>
            <w:vAlign w:val="bottom"/>
          </w:tcPr>
          <w:p w:rsidR="009A5E1E">
            <w:pPr>
              <w:widowControl/>
              <w:jc w:val="center"/>
              <w:rPr>
                <w:rFonts w:ascii="Calibri" w:eastAsia="Calibri" w:hAnsi="Calibri" w:cs="Calibri"/>
                <w:color w:val="000000"/>
                <w:sz w:val="16"/>
                <w:szCs w:val="16"/>
              </w:rPr>
            </w:pPr>
            <w:r>
              <w:rPr>
                <w:rFonts w:ascii="Calibri" w:eastAsia="Calibri" w:hAnsi="Calibri" w:cs="Calibri"/>
                <w:color w:val="000000"/>
                <w:sz w:val="16"/>
                <w:szCs w:val="16"/>
              </w:rPr>
              <w:t>Individual</w:t>
            </w:r>
          </w:p>
        </w:tc>
        <w:tc>
          <w:tcPr>
            <w:tcW w:w="117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1500 </w:t>
            </w:r>
          </w:p>
        </w:tc>
        <w:tc>
          <w:tcPr>
            <w:tcW w:w="135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1500 </w:t>
            </w:r>
          </w:p>
        </w:tc>
        <w:tc>
          <w:tcPr>
            <w:tcW w:w="99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.25 </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375</w:t>
            </w:r>
          </w:p>
        </w:tc>
        <w:tc>
          <w:tcPr>
            <w:tcW w:w="162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31.48</w:t>
            </w:r>
            <w:r>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11,805</w:t>
            </w:r>
            <w:r>
              <w:rPr>
                <w:rFonts w:ascii="Calibri" w:eastAsia="Calibri" w:hAnsi="Calibri" w:cs="Calibri"/>
                <w:color w:val="000000"/>
                <w:sz w:val="16"/>
                <w:szCs w:val="16"/>
              </w:rPr>
              <w:t> </w:t>
            </w:r>
          </w:p>
        </w:tc>
      </w:tr>
      <w:tr>
        <w:tblPrEx>
          <w:tblW w:w="1315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bottom"/>
          </w:tcPr>
          <w:p w:rsidR="009A5E1E">
            <w:pPr>
              <w:widowControl/>
              <w:rPr>
                <w:rFonts w:ascii="Calibri" w:eastAsia="Calibri" w:hAnsi="Calibri" w:cs="Calibri"/>
                <w:color w:val="000000"/>
                <w:sz w:val="16"/>
                <w:szCs w:val="16"/>
              </w:rPr>
            </w:pPr>
            <w:r>
              <w:rPr>
                <w:rFonts w:ascii="Calibri" w:eastAsia="Calibri" w:hAnsi="Calibri" w:cs="Calibri"/>
                <w:sz w:val="16"/>
                <w:szCs w:val="16"/>
              </w:rPr>
              <w:t>NF 56-80A</w:t>
            </w:r>
          </w:p>
        </w:tc>
        <w:tc>
          <w:tcPr>
            <w:tcW w:w="1530" w:type="dxa"/>
            <w:tcBorders>
              <w:top w:val="nil"/>
              <w:left w:val="nil"/>
              <w:bottom w:val="single" w:sz="4" w:space="0" w:color="000000"/>
              <w:right w:val="single" w:sz="4" w:space="0" w:color="000000"/>
            </w:tcBorders>
            <w:shd w:val="clear" w:color="auto" w:fill="auto"/>
            <w:vAlign w:val="bottom"/>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Individual</w:t>
            </w:r>
          </w:p>
        </w:tc>
        <w:tc>
          <w:tcPr>
            <w:tcW w:w="117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300</w:t>
            </w:r>
          </w:p>
        </w:tc>
        <w:tc>
          <w:tcPr>
            <w:tcW w:w="135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1</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300</w:t>
            </w:r>
          </w:p>
        </w:tc>
        <w:tc>
          <w:tcPr>
            <w:tcW w:w="99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.25</w:t>
            </w:r>
          </w:p>
        </w:tc>
        <w:tc>
          <w:tcPr>
            <w:tcW w:w="126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7</w:t>
            </w:r>
            <w:r w:rsidR="0081649D">
              <w:rPr>
                <w:rFonts w:ascii="Calibri" w:eastAsia="Calibri" w:hAnsi="Calibri" w:cs="Calibri"/>
                <w:sz w:val="16"/>
                <w:szCs w:val="16"/>
              </w:rPr>
              <w:t xml:space="preserve">5 </w:t>
            </w:r>
          </w:p>
        </w:tc>
        <w:tc>
          <w:tcPr>
            <w:tcW w:w="1620" w:type="dxa"/>
            <w:tcBorders>
              <w:top w:val="nil"/>
              <w:left w:val="nil"/>
              <w:bottom w:val="single" w:sz="4" w:space="0" w:color="000000"/>
              <w:right w:val="single" w:sz="4"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$31.48</w:t>
            </w:r>
          </w:p>
        </w:tc>
        <w:tc>
          <w:tcPr>
            <w:tcW w:w="1620" w:type="dxa"/>
            <w:tcBorders>
              <w:top w:val="nil"/>
              <w:left w:val="nil"/>
              <w:bottom w:val="single" w:sz="4" w:space="0" w:color="000000"/>
              <w:right w:val="single" w:sz="8" w:space="0" w:color="000000"/>
            </w:tcBorders>
            <w:shd w:val="clear" w:color="auto" w:fill="auto"/>
            <w:vAlign w:val="bottom"/>
          </w:tcPr>
          <w:p w:rsidR="009A5E1E">
            <w:pPr>
              <w:widowControl/>
              <w:jc w:val="right"/>
              <w:rPr>
                <w:rFonts w:ascii="Calibri" w:eastAsia="Calibri" w:hAnsi="Calibri" w:cs="Calibri"/>
                <w:color w:val="000000"/>
                <w:sz w:val="16"/>
                <w:szCs w:val="16"/>
              </w:rPr>
            </w:pPr>
            <w:r>
              <w:rPr>
                <w:rFonts w:ascii="Calibri" w:eastAsia="Calibri" w:hAnsi="Calibri" w:cs="Calibri"/>
                <w:sz w:val="16"/>
                <w:szCs w:val="16"/>
              </w:rPr>
              <w:t>$2,361</w:t>
            </w:r>
          </w:p>
        </w:tc>
      </w:tr>
      <w:tr>
        <w:tblPrEx>
          <w:tblW w:w="13155" w:type="dxa"/>
          <w:tblInd w:w="-25" w:type="dxa"/>
          <w:tblLayout w:type="fixed"/>
          <w:tblLook w:val="0400"/>
        </w:tblPrEx>
        <w:trPr>
          <w:trHeight w:val="484"/>
        </w:trPr>
        <w:tc>
          <w:tcPr>
            <w:tcW w:w="2355" w:type="dxa"/>
            <w:tcBorders>
              <w:top w:val="nil"/>
              <w:left w:val="single" w:sz="8" w:space="0" w:color="000000"/>
              <w:bottom w:val="single" w:sz="8" w:space="0" w:color="000000"/>
              <w:right w:val="single" w:sz="8" w:space="0" w:color="000000"/>
            </w:tcBorders>
            <w:shd w:val="clear" w:color="auto" w:fill="DDEBF7"/>
            <w:vAlign w:val="bottom"/>
          </w:tcPr>
          <w:p w:rsidR="009A5E1E">
            <w:pPr>
              <w:widowControl/>
              <w:rPr>
                <w:rFonts w:ascii="Calibri" w:eastAsia="Calibri" w:hAnsi="Calibri" w:cs="Calibri"/>
                <w:b/>
                <w:color w:val="000000"/>
              </w:rPr>
            </w:pPr>
            <w:r>
              <w:rPr>
                <w:rFonts w:ascii="Calibri" w:eastAsia="Calibri" w:hAnsi="Calibri" w:cs="Calibri"/>
                <w:b/>
                <w:color w:val="000000"/>
              </w:rPr>
              <w:t>Totals</w:t>
            </w:r>
          </w:p>
        </w:tc>
        <w:tc>
          <w:tcPr>
            <w:tcW w:w="1530" w:type="dxa"/>
            <w:tcBorders>
              <w:top w:val="nil"/>
              <w:left w:val="nil"/>
              <w:bottom w:val="single" w:sz="8" w:space="0" w:color="000000"/>
              <w:right w:val="single" w:sz="8" w:space="0" w:color="000000"/>
            </w:tcBorders>
            <w:shd w:val="clear" w:color="auto" w:fill="666666"/>
            <w:vAlign w:val="bottom"/>
          </w:tcPr>
          <w:p w:rsidR="009A5E1E">
            <w:pPr>
              <w:widowControl/>
              <w:rPr>
                <w:rFonts w:ascii="Calibri" w:eastAsia="Calibri" w:hAnsi="Calibri" w:cs="Calibri"/>
                <w:b/>
                <w:color w:val="666666"/>
              </w:rPr>
            </w:pPr>
            <w:r>
              <w:rPr>
                <w:rFonts w:ascii="Calibri" w:eastAsia="Calibri" w:hAnsi="Calibri" w:cs="Calibri"/>
                <w:b/>
                <w:color w:val="666666"/>
              </w:rPr>
              <w:t> </w:t>
            </w:r>
          </w:p>
        </w:tc>
        <w:tc>
          <w:tcPr>
            <w:tcW w:w="1170" w:type="dxa"/>
            <w:tcBorders>
              <w:top w:val="nil"/>
              <w:left w:val="nil"/>
              <w:bottom w:val="single" w:sz="8" w:space="0" w:color="000000"/>
              <w:right w:val="single" w:sz="8" w:space="0" w:color="000000"/>
            </w:tcBorders>
            <w:shd w:val="clear" w:color="auto" w:fill="666666"/>
            <w:vAlign w:val="bottom"/>
          </w:tcPr>
          <w:p w:rsidR="009A5E1E">
            <w:pPr>
              <w:widowControl/>
              <w:rPr>
                <w:rFonts w:ascii="Calibri" w:eastAsia="Calibri" w:hAnsi="Calibri" w:cs="Calibri"/>
                <w:b/>
                <w:color w:val="666666"/>
              </w:rPr>
            </w:pPr>
            <w:r>
              <w:rPr>
                <w:rFonts w:ascii="Calibri" w:eastAsia="Calibri" w:hAnsi="Calibri" w:cs="Calibri"/>
                <w:b/>
                <w:color w:val="666666"/>
              </w:rPr>
              <w:t> </w:t>
            </w:r>
          </w:p>
        </w:tc>
        <w:tc>
          <w:tcPr>
            <w:tcW w:w="1350" w:type="dxa"/>
            <w:tcBorders>
              <w:top w:val="nil"/>
              <w:left w:val="nil"/>
              <w:bottom w:val="single" w:sz="8" w:space="0" w:color="000000"/>
              <w:right w:val="single" w:sz="8" w:space="0" w:color="000000"/>
            </w:tcBorders>
            <w:shd w:val="clear" w:color="auto" w:fill="666666"/>
            <w:vAlign w:val="bottom"/>
          </w:tcPr>
          <w:p w:rsidR="009A5E1E">
            <w:pPr>
              <w:widowControl/>
              <w:rPr>
                <w:rFonts w:ascii="Calibri" w:eastAsia="Calibri" w:hAnsi="Calibri" w:cs="Calibri"/>
                <w:b/>
                <w:color w:val="666666"/>
              </w:rPr>
            </w:pPr>
            <w:r>
              <w:rPr>
                <w:rFonts w:ascii="Calibri" w:eastAsia="Calibri" w:hAnsi="Calibri" w:cs="Calibri"/>
                <w:b/>
                <w:color w:val="666666"/>
              </w:rPr>
              <w:t> </w:t>
            </w:r>
          </w:p>
        </w:tc>
        <w:tc>
          <w:tcPr>
            <w:tcW w:w="1260" w:type="dxa"/>
            <w:tcBorders>
              <w:top w:val="nil"/>
              <w:left w:val="nil"/>
              <w:bottom w:val="single" w:sz="8" w:space="0" w:color="000000"/>
              <w:right w:val="single" w:sz="8" w:space="0" w:color="000000"/>
            </w:tcBorders>
            <w:shd w:val="clear" w:color="auto" w:fill="DDEBF7"/>
            <w:vAlign w:val="bottom"/>
          </w:tcPr>
          <w:p w:rsidR="009A5E1E">
            <w:pPr>
              <w:widowControl/>
              <w:rPr>
                <w:rFonts w:ascii="Calibri" w:eastAsia="Calibri" w:hAnsi="Calibri" w:cs="Calibri"/>
                <w:b/>
                <w:color w:val="000000"/>
              </w:rPr>
            </w:pPr>
            <w:r>
              <w:rPr>
                <w:rFonts w:ascii="Calibri" w:eastAsia="Calibri" w:hAnsi="Calibri" w:cs="Calibri"/>
                <w:b/>
                <w:color w:val="000000"/>
              </w:rPr>
              <w:t> </w:t>
            </w:r>
            <w:r>
              <w:rPr>
                <w:rFonts w:ascii="Calibri" w:eastAsia="Calibri" w:hAnsi="Calibri" w:cs="Calibri"/>
                <w:b/>
              </w:rPr>
              <w:t>2100</w:t>
            </w:r>
          </w:p>
        </w:tc>
        <w:tc>
          <w:tcPr>
            <w:tcW w:w="990" w:type="dxa"/>
            <w:tcBorders>
              <w:top w:val="nil"/>
              <w:left w:val="nil"/>
              <w:bottom w:val="single" w:sz="8" w:space="0" w:color="000000"/>
              <w:right w:val="single" w:sz="8" w:space="0" w:color="000000"/>
            </w:tcBorders>
            <w:shd w:val="clear" w:color="auto" w:fill="666666"/>
            <w:vAlign w:val="bottom"/>
          </w:tcPr>
          <w:p w:rsidR="009A5E1E">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9A5E1E">
            <w:pPr>
              <w:widowControl/>
              <w:rPr>
                <w:rFonts w:ascii="Calibri" w:eastAsia="Calibri" w:hAnsi="Calibri" w:cs="Calibri"/>
                <w:b/>
                <w:color w:val="000000"/>
              </w:rPr>
            </w:pPr>
            <w:r>
              <w:rPr>
                <w:rFonts w:ascii="Calibri" w:eastAsia="Calibri" w:hAnsi="Calibri" w:cs="Calibri"/>
                <w:b/>
              </w:rPr>
              <w:t>2,550</w:t>
            </w:r>
          </w:p>
        </w:tc>
        <w:tc>
          <w:tcPr>
            <w:tcW w:w="1620" w:type="dxa"/>
            <w:tcBorders>
              <w:top w:val="nil"/>
              <w:left w:val="nil"/>
              <w:bottom w:val="single" w:sz="8" w:space="0" w:color="000000"/>
              <w:right w:val="single" w:sz="8" w:space="0" w:color="000000"/>
            </w:tcBorders>
            <w:shd w:val="clear" w:color="auto" w:fill="666666"/>
            <w:vAlign w:val="bottom"/>
          </w:tcPr>
          <w:p w:rsidR="009A5E1E">
            <w:pPr>
              <w:widowControl/>
              <w:rPr>
                <w:rFonts w:ascii="Calibri" w:eastAsia="Calibri" w:hAnsi="Calibri" w:cs="Calibri"/>
                <w:b/>
                <w:color w:val="000000"/>
              </w:rPr>
            </w:pPr>
            <w:r>
              <w:rPr>
                <w:rFonts w:ascii="Calibri" w:eastAsia="Calibri" w:hAnsi="Calibri" w:cs="Calibri"/>
                <w:b/>
                <w:color w:val="000000"/>
              </w:rPr>
              <w:t> </w:t>
            </w:r>
          </w:p>
        </w:tc>
        <w:tc>
          <w:tcPr>
            <w:tcW w:w="1620" w:type="dxa"/>
            <w:tcBorders>
              <w:top w:val="nil"/>
              <w:left w:val="nil"/>
              <w:bottom w:val="single" w:sz="8" w:space="0" w:color="000000"/>
              <w:right w:val="single" w:sz="8" w:space="0" w:color="000000"/>
            </w:tcBorders>
            <w:shd w:val="clear" w:color="auto" w:fill="DDEBF7"/>
            <w:vAlign w:val="bottom"/>
          </w:tcPr>
          <w:p w:rsidR="009A5E1E">
            <w:pPr>
              <w:widowControl/>
              <w:jc w:val="right"/>
              <w:rPr>
                <w:rFonts w:ascii="Calibri" w:eastAsia="Calibri" w:hAnsi="Calibri" w:cs="Calibri"/>
                <w:b/>
                <w:color w:val="000000"/>
              </w:rPr>
            </w:pPr>
            <w:r>
              <w:rPr>
                <w:rFonts w:ascii="Calibri" w:eastAsia="Calibri" w:hAnsi="Calibri" w:cs="Calibri"/>
                <w:b/>
                <w:color w:val="000000"/>
              </w:rPr>
              <w:t> $</w:t>
            </w:r>
            <w:r>
              <w:rPr>
                <w:rFonts w:ascii="Calibri" w:eastAsia="Calibri" w:hAnsi="Calibri" w:cs="Calibri"/>
                <w:b/>
              </w:rPr>
              <w:t>80,274</w:t>
            </w:r>
          </w:p>
        </w:tc>
      </w:tr>
    </w:tbl>
    <w:p w:rsidR="009A5E1E">
      <w:pPr>
        <w:spacing w:line="259" w:lineRule="auto"/>
        <w:rPr>
          <w:b/>
          <w:color w:val="FF0000"/>
        </w:rPr>
      </w:pPr>
    </w:p>
    <w:p w:rsidR="009A5E1E">
      <w:pPr>
        <w:spacing w:line="259" w:lineRule="auto"/>
        <w:ind w:hanging="43"/>
        <w:sectPr>
          <w:pgSz w:w="15840" w:h="12240" w:orient="landscape"/>
          <w:pgMar w:top="640" w:right="1080" w:bottom="1200" w:left="1080" w:header="0" w:footer="1014" w:gutter="0"/>
          <w:cols w:space="720"/>
        </w:sectPr>
      </w:pPr>
      <w:r>
        <w:t xml:space="preserve">*The mean hourly wage rate for All Occupations (00-0000) was used since applicants could either be students (unemployed) or a lower to mid-level employee.  The same wage rate was used for the individuals providing references since the respondents could be from any occupation. </w:t>
      </w:r>
      <w:hyperlink r:id="rId12">
        <w:r>
          <w:rPr>
            <w:u w:val="single"/>
          </w:rPr>
          <w:t>https://www.bls.gov/bls/blswage.htm</w:t>
        </w:r>
      </w:hyperlink>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9A5E1E">
      <w:pPr>
        <w:pBdr>
          <w:top w:val="nil"/>
          <w:left w:val="nil"/>
          <w:bottom w:val="nil"/>
          <w:right w:val="nil"/>
          <w:between w:val="nil"/>
        </w:pBdr>
        <w:spacing w:before="1"/>
        <w:rPr>
          <w:b/>
          <w:color w:val="000000"/>
        </w:rPr>
      </w:pPr>
      <w:r>
        <w:t>There are no costs to the respondent as all forms may be submitted electronically.</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 xml:space="preserve">Provide estimates of annualized cost to the </w:t>
      </w:r>
      <w:r>
        <w:rPr>
          <w:b/>
        </w:rPr>
        <w:t>f</w:t>
      </w:r>
      <w:r>
        <w:rPr>
          <w:b/>
          <w:color w:val="000000"/>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A5E1E">
      <w:pPr>
        <w:pBdr>
          <w:top w:val="nil"/>
          <w:left w:val="nil"/>
          <w:bottom w:val="nil"/>
          <w:right w:val="nil"/>
          <w:between w:val="nil"/>
        </w:pBdr>
        <w:spacing w:before="9" w:after="1"/>
        <w:rPr>
          <w:b/>
          <w:color w:val="000000"/>
        </w:rPr>
      </w:pPr>
    </w:p>
    <w:tbl>
      <w:tblPr>
        <w:tblStyle w:val="a7"/>
        <w:tblW w:w="8250" w:type="dxa"/>
        <w:tblInd w:w="-25" w:type="dxa"/>
        <w:tblLayout w:type="fixed"/>
        <w:tblLook w:val="0400"/>
      </w:tblPr>
      <w:tblGrid>
        <w:gridCol w:w="2280"/>
        <w:gridCol w:w="1125"/>
        <w:gridCol w:w="1380"/>
        <w:gridCol w:w="990"/>
        <w:gridCol w:w="1200"/>
        <w:gridCol w:w="1275"/>
      </w:tblGrid>
      <w:tr>
        <w:tblPrEx>
          <w:tblW w:w="825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5" w:type="dxa"/>
            <w:tcBorders>
              <w:top w:val="single" w:sz="8" w:space="0" w:color="000000"/>
              <w:left w:val="nil"/>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380" w:type="dxa"/>
            <w:tcBorders>
              <w:top w:val="single" w:sz="8" w:space="0" w:color="000000"/>
              <w:left w:val="nil"/>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Salary/Cost</w:t>
            </w:r>
          </w:p>
        </w:tc>
        <w:tc>
          <w:tcPr>
            <w:tcW w:w="990" w:type="dxa"/>
            <w:tcBorders>
              <w:top w:val="single" w:sz="8" w:space="0" w:color="000000"/>
              <w:left w:val="nil"/>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00" w:type="dxa"/>
            <w:tcBorders>
              <w:top w:val="single" w:sz="8" w:space="0" w:color="000000"/>
              <w:left w:val="nil"/>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275" w:type="dxa"/>
            <w:tcBorders>
              <w:top w:val="single" w:sz="8" w:space="0" w:color="000000"/>
              <w:left w:val="nil"/>
              <w:bottom w:val="nil"/>
              <w:right w:val="single" w:sz="8" w:space="0" w:color="000000"/>
            </w:tcBorders>
            <w:shd w:val="clear" w:color="auto" w:fill="BDD7EE"/>
            <w:vAlign w:val="center"/>
          </w:tcPr>
          <w:p w:rsidR="009A5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5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b/>
                <w:color w:val="000000"/>
                <w:sz w:val="16"/>
                <w:szCs w:val="16"/>
              </w:rPr>
            </w:pPr>
            <w:r>
              <w:rPr>
                <w:rFonts w:ascii="Calibri" w:eastAsia="Calibri" w:hAnsi="Calibri" w:cs="Calibri"/>
                <w:b/>
                <w:color w:val="000000"/>
                <w:sz w:val="16"/>
                <w:szCs w:val="16"/>
              </w:rPr>
              <w:t>Federal Personnel</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w:t>
            </w:r>
          </w:p>
        </w:tc>
        <w:tc>
          <w:tcPr>
            <w:tcW w:w="1380" w:type="dxa"/>
            <w:tcBorders>
              <w:top w:val="single" w:sz="4" w:space="0" w:color="000000"/>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w:t>
            </w:r>
          </w:p>
        </w:tc>
        <w:tc>
          <w:tcPr>
            <w:tcW w:w="1200" w:type="dxa"/>
            <w:tcBorders>
              <w:top w:val="single" w:sz="4" w:space="0" w:color="000000"/>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p>
        </w:tc>
        <w:tc>
          <w:tcPr>
            <w:tcW w:w="1275" w:type="dxa"/>
            <w:tcBorders>
              <w:top w:val="single" w:sz="4" w:space="0" w:color="000000"/>
              <w:left w:val="nil"/>
              <w:bottom w:val="single" w:sz="4" w:space="0" w:color="000000"/>
              <w:right w:val="single" w:sz="8"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w:t>
            </w:r>
          </w:p>
        </w:tc>
      </w:tr>
      <w:tr>
        <w:tblPrEx>
          <w:tblW w:w="825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Other Federal Positions</w:t>
            </w:r>
          </w:p>
        </w:tc>
        <w:tc>
          <w:tcPr>
            <w:tcW w:w="1125"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O-03 (1)/4</w:t>
            </w:r>
          </w:p>
        </w:tc>
        <w:tc>
          <w:tcPr>
            <w:tcW w:w="1380" w:type="dxa"/>
            <w:tcBorders>
              <w:top w:val="nil"/>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$122,510</w:t>
            </w:r>
          </w:p>
        </w:tc>
        <w:tc>
          <w:tcPr>
            <w:tcW w:w="990"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 xml:space="preserve">  2.5   </w:t>
            </w:r>
            <w:r>
              <w:rPr>
                <w:rFonts w:ascii="Calibri" w:eastAsia="Calibri" w:hAnsi="Calibri" w:cs="Calibri"/>
                <w:sz w:val="16"/>
                <w:szCs w:val="16"/>
              </w:rPr>
              <w:t xml:space="preserve">   (</w:t>
            </w:r>
            <w:r>
              <w:rPr>
                <w:rFonts w:ascii="Calibri" w:eastAsia="Calibri" w:hAnsi="Calibri" w:cs="Calibri"/>
                <w:sz w:val="16"/>
                <w:szCs w:val="16"/>
              </w:rPr>
              <w:t>x1)</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r>
              <w:rPr>
                <w:rFonts w:ascii="Calibri" w:eastAsia="Calibri" w:hAnsi="Calibri" w:cs="Calibri"/>
                <w:sz w:val="16"/>
                <w:szCs w:val="16"/>
              </w:rPr>
              <w:t>$3,063</w:t>
            </w:r>
          </w:p>
        </w:tc>
      </w:tr>
      <w:tr>
        <w:tblPrEx>
          <w:tblW w:w="825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O-04 (2)/8</w:t>
            </w:r>
          </w:p>
        </w:tc>
        <w:tc>
          <w:tcPr>
            <w:tcW w:w="1380" w:type="dxa"/>
            <w:tcBorders>
              <w:top w:val="nil"/>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$146,302</w:t>
            </w:r>
          </w:p>
        </w:tc>
        <w:tc>
          <w:tcPr>
            <w:tcW w:w="990"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 xml:space="preserve">  2.5   </w:t>
            </w:r>
            <w:r>
              <w:rPr>
                <w:rFonts w:ascii="Calibri" w:eastAsia="Calibri" w:hAnsi="Calibri" w:cs="Calibri"/>
                <w:sz w:val="16"/>
                <w:szCs w:val="16"/>
              </w:rPr>
              <w:t xml:space="preserve">   (</w:t>
            </w:r>
            <w:r>
              <w:rPr>
                <w:rFonts w:ascii="Calibri" w:eastAsia="Calibri" w:hAnsi="Calibri" w:cs="Calibri"/>
                <w:sz w:val="16"/>
                <w:szCs w:val="16"/>
              </w:rPr>
              <w:t>x2)</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r>
              <w:rPr>
                <w:rFonts w:ascii="Calibri" w:eastAsia="Calibri" w:hAnsi="Calibri" w:cs="Calibri"/>
                <w:sz w:val="16"/>
                <w:szCs w:val="16"/>
              </w:rPr>
              <w:t>$7,315</w:t>
            </w:r>
          </w:p>
        </w:tc>
      </w:tr>
      <w:tr>
        <w:tblPrEx>
          <w:tblW w:w="825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sz w:val="16"/>
                <w:szCs w:val="16"/>
              </w:rPr>
            </w:pPr>
            <w:r>
              <w:rPr>
                <w:rFonts w:ascii="Calibri" w:eastAsia="Calibri" w:hAnsi="Calibri" w:cs="Calibri"/>
                <w:sz w:val="16"/>
                <w:szCs w:val="16"/>
              </w:rPr>
              <w:t>O-05 (1)/12</w:t>
            </w:r>
          </w:p>
        </w:tc>
        <w:tc>
          <w:tcPr>
            <w:tcW w:w="1380" w:type="dxa"/>
            <w:tcBorders>
              <w:top w:val="nil"/>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$170,456</w:t>
            </w:r>
          </w:p>
        </w:tc>
        <w:tc>
          <w:tcPr>
            <w:tcW w:w="990"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 xml:space="preserve">  2.5   </w:t>
            </w:r>
            <w:r>
              <w:rPr>
                <w:rFonts w:ascii="Calibri" w:eastAsia="Calibri" w:hAnsi="Calibri" w:cs="Calibri"/>
                <w:sz w:val="16"/>
                <w:szCs w:val="16"/>
              </w:rPr>
              <w:t xml:space="preserve">   (</w:t>
            </w:r>
            <w:r>
              <w:rPr>
                <w:rFonts w:ascii="Calibri" w:eastAsia="Calibri" w:hAnsi="Calibri" w:cs="Calibri"/>
                <w:sz w:val="16"/>
                <w:szCs w:val="16"/>
              </w:rPr>
              <w:t>x1)</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r>
              <w:rPr>
                <w:rFonts w:ascii="Calibri" w:eastAsia="Calibri" w:hAnsi="Calibri" w:cs="Calibri"/>
                <w:sz w:val="16"/>
                <w:szCs w:val="16"/>
              </w:rPr>
              <w:t>$4,261</w:t>
            </w:r>
          </w:p>
        </w:tc>
      </w:tr>
      <w:tr>
        <w:tblPrEx>
          <w:tblW w:w="825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sz w:val="16"/>
                <w:szCs w:val="16"/>
              </w:rPr>
            </w:pPr>
            <w:r>
              <w:rPr>
                <w:rFonts w:ascii="Calibri" w:eastAsia="Calibri" w:hAnsi="Calibri" w:cs="Calibri"/>
                <w:sz w:val="16"/>
                <w:szCs w:val="16"/>
              </w:rPr>
              <w:t>O-06 (1)/16</w:t>
            </w:r>
          </w:p>
        </w:tc>
        <w:tc>
          <w:tcPr>
            <w:tcW w:w="1380" w:type="dxa"/>
            <w:tcBorders>
              <w:top w:val="nil"/>
              <w:left w:val="nil"/>
              <w:bottom w:val="single" w:sz="4" w:space="0" w:color="000000"/>
              <w:right w:val="single" w:sz="4" w:space="0" w:color="000000"/>
            </w:tcBorders>
            <w:shd w:val="clear" w:color="auto" w:fill="auto"/>
            <w:vAlign w:val="center"/>
          </w:tcPr>
          <w:p w:rsidR="009A5E1E">
            <w:pPr>
              <w:widowControl/>
              <w:jc w:val="center"/>
              <w:rPr>
                <w:rFonts w:ascii="Calibri" w:eastAsia="Calibri" w:hAnsi="Calibri" w:cs="Calibri"/>
                <w:color w:val="000000"/>
                <w:sz w:val="16"/>
                <w:szCs w:val="16"/>
              </w:rPr>
            </w:pPr>
            <w:r>
              <w:rPr>
                <w:rFonts w:ascii="Calibri" w:eastAsia="Calibri" w:hAnsi="Calibri" w:cs="Calibri"/>
                <w:sz w:val="16"/>
                <w:szCs w:val="16"/>
              </w:rPr>
              <w:t>$207,090</w:t>
            </w:r>
          </w:p>
        </w:tc>
        <w:tc>
          <w:tcPr>
            <w:tcW w:w="990" w:type="dxa"/>
            <w:tcBorders>
              <w:top w:val="nil"/>
              <w:left w:val="nil"/>
              <w:bottom w:val="single" w:sz="4" w:space="0" w:color="000000"/>
              <w:right w:val="single" w:sz="4" w:space="0" w:color="000000"/>
            </w:tcBorders>
            <w:shd w:val="clear" w:color="auto" w:fill="auto"/>
            <w:vAlign w:val="center"/>
          </w:tcPr>
          <w:p w:rsidR="009A5E1E">
            <w:pPr>
              <w:widowControl/>
              <w:rPr>
                <w:rFonts w:ascii="Calibri" w:eastAsia="Calibri" w:hAnsi="Calibri" w:cs="Calibri"/>
                <w:color w:val="000000"/>
                <w:sz w:val="16"/>
                <w:szCs w:val="16"/>
              </w:rPr>
            </w:pPr>
            <w:r>
              <w:rPr>
                <w:rFonts w:ascii="Calibri" w:eastAsia="Calibri" w:hAnsi="Calibri" w:cs="Calibri"/>
                <w:sz w:val="16"/>
                <w:szCs w:val="16"/>
              </w:rPr>
              <w:t xml:space="preserve">  2.5   </w:t>
            </w:r>
            <w:r>
              <w:rPr>
                <w:rFonts w:ascii="Calibri" w:eastAsia="Calibri" w:hAnsi="Calibri" w:cs="Calibri"/>
                <w:sz w:val="16"/>
                <w:szCs w:val="16"/>
              </w:rPr>
              <w:t xml:space="preserve">   (</w:t>
            </w:r>
            <w:r>
              <w:rPr>
                <w:rFonts w:ascii="Calibri" w:eastAsia="Calibri" w:hAnsi="Calibri" w:cs="Calibri"/>
                <w:sz w:val="16"/>
                <w:szCs w:val="16"/>
              </w:rPr>
              <w:t>x1)</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r>
              <w:rPr>
                <w:rFonts w:ascii="Calibri" w:eastAsia="Calibri" w:hAnsi="Calibri" w:cs="Calibri"/>
                <w:sz w:val="16"/>
                <w:szCs w:val="16"/>
              </w:rPr>
              <w:t>$5,177</w:t>
            </w:r>
          </w:p>
        </w:tc>
      </w:tr>
      <w:tr>
        <w:tblPrEx>
          <w:tblW w:w="8250" w:type="dxa"/>
          <w:tblInd w:w="-25" w:type="dxa"/>
          <w:tblLayout w:type="fixed"/>
          <w:tblLook w:val="0400"/>
        </w:tblPrEx>
        <w:trPr>
          <w:trHeight w:val="358"/>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5"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0" w:type="dxa"/>
            <w:tcBorders>
              <w:top w:val="nil"/>
              <w:left w:val="nil"/>
              <w:bottom w:val="single" w:sz="4" w:space="0" w:color="000000"/>
              <w:right w:val="single" w:sz="4" w:space="0" w:color="000000"/>
            </w:tcBorders>
            <w:shd w:val="clear" w:color="auto" w:fill="808080"/>
            <w:vAlign w:val="center"/>
          </w:tcPr>
          <w:p w:rsidR="009A5E1E">
            <w:pPr>
              <w:widowControl/>
              <w:pBdr>
                <w:top w:val="nil"/>
                <w:left w:val="nil"/>
                <w:bottom w:val="nil"/>
                <w:right w:val="nil"/>
                <w:between w:val="nil"/>
              </w:pBdr>
              <w:rPr>
                <w:rFonts w:ascii="Calibri" w:eastAsia="Calibri" w:hAnsi="Calibri" w:cs="Calibri"/>
                <w:sz w:val="16"/>
                <w:szCs w:val="16"/>
              </w:rPr>
            </w:pPr>
          </w:p>
        </w:tc>
        <w:tc>
          <w:tcPr>
            <w:tcW w:w="990" w:type="dxa"/>
            <w:tcBorders>
              <w:top w:val="nil"/>
              <w:left w:val="nil"/>
              <w:bottom w:val="single" w:sz="4" w:space="0" w:color="000000"/>
              <w:right w:val="single" w:sz="4" w:space="0" w:color="000000"/>
            </w:tcBorders>
            <w:shd w:val="clear" w:color="auto" w:fill="808080"/>
            <w:vAlign w:val="center"/>
          </w:tcPr>
          <w:p w:rsidR="009A5E1E">
            <w:pPr>
              <w:widowControl/>
              <w:jc w:val="center"/>
              <w:rPr>
                <w:rFonts w:ascii="Calibri" w:eastAsia="Calibri" w:hAnsi="Calibri" w:cs="Calibri"/>
                <w:color w:val="000000"/>
                <w:sz w:val="16"/>
                <w:szCs w:val="16"/>
              </w:rPr>
            </w:pP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p>
        </w:tc>
      </w:tr>
      <w:tr>
        <w:tblPrEx>
          <w:tblW w:w="825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9A5E1E">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5"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p>
        </w:tc>
      </w:tr>
      <w:tr>
        <w:tblPrEx>
          <w:tblW w:w="8250" w:type="dxa"/>
          <w:tblInd w:w="-25" w:type="dxa"/>
          <w:tblLayout w:type="fixed"/>
          <w:tblLook w:val="0400"/>
        </w:tblPrEx>
        <w:trPr>
          <w:trHeight w:val="313"/>
        </w:trPr>
        <w:tc>
          <w:tcPr>
            <w:tcW w:w="2280" w:type="dxa"/>
            <w:tcBorders>
              <w:top w:val="nil"/>
              <w:left w:val="single" w:sz="8" w:space="0" w:color="000000"/>
              <w:bottom w:val="nil"/>
              <w:right w:val="single" w:sz="8" w:space="0" w:color="000000"/>
            </w:tcBorders>
            <w:shd w:val="clear" w:color="auto" w:fill="auto"/>
            <w:vAlign w:val="center"/>
          </w:tcPr>
          <w:p w:rsidR="009A5E1E">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p>
        </w:tc>
        <w:tc>
          <w:tcPr>
            <w:tcW w:w="1125"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00" w:type="dxa"/>
            <w:tcBorders>
              <w:top w:val="nil"/>
              <w:left w:val="nil"/>
              <w:bottom w:val="single" w:sz="4" w:space="0" w:color="000000"/>
              <w:right w:val="single" w:sz="4" w:space="0" w:color="000000"/>
            </w:tcBorders>
            <w:shd w:val="clear" w:color="auto" w:fill="808080"/>
            <w:vAlign w:val="center"/>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8" w:space="0" w:color="000000"/>
            </w:tcBorders>
            <w:shd w:val="clear" w:color="auto" w:fill="auto"/>
            <w:vAlign w:val="center"/>
          </w:tcPr>
          <w:p w:rsidR="009A5E1E">
            <w:pPr>
              <w:widowControl/>
              <w:ind w:right="105"/>
              <w:jc w:val="right"/>
              <w:rPr>
                <w:rFonts w:ascii="Calibri" w:eastAsia="Calibri" w:hAnsi="Calibri" w:cs="Calibri"/>
                <w:color w:val="000000"/>
                <w:sz w:val="16"/>
                <w:szCs w:val="16"/>
              </w:rPr>
            </w:pPr>
          </w:p>
        </w:tc>
      </w:tr>
      <w:tr>
        <w:tblPrEx>
          <w:tblW w:w="825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9A5E1E">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5" w:type="dxa"/>
            <w:tcBorders>
              <w:top w:val="single" w:sz="8" w:space="0" w:color="000000"/>
              <w:left w:val="nil"/>
              <w:bottom w:val="single" w:sz="8" w:space="0" w:color="000000"/>
              <w:right w:val="single" w:sz="8" w:space="0" w:color="000000"/>
            </w:tcBorders>
            <w:shd w:val="clear" w:color="auto" w:fill="808080"/>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80" w:type="dxa"/>
            <w:tcBorders>
              <w:top w:val="single" w:sz="8" w:space="0" w:color="000000"/>
              <w:left w:val="nil"/>
              <w:bottom w:val="single" w:sz="8" w:space="0" w:color="000000"/>
              <w:right w:val="single" w:sz="8" w:space="0" w:color="000000"/>
            </w:tcBorders>
            <w:shd w:val="clear" w:color="auto" w:fill="808080"/>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90" w:type="dxa"/>
            <w:tcBorders>
              <w:top w:val="single" w:sz="8" w:space="0" w:color="000000"/>
              <w:left w:val="nil"/>
              <w:bottom w:val="single" w:sz="8" w:space="0" w:color="000000"/>
              <w:right w:val="single" w:sz="8" w:space="0" w:color="000000"/>
            </w:tcBorders>
            <w:shd w:val="clear" w:color="auto" w:fill="808080"/>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00" w:type="dxa"/>
            <w:tcBorders>
              <w:top w:val="single" w:sz="8" w:space="0" w:color="000000"/>
              <w:left w:val="nil"/>
              <w:bottom w:val="single" w:sz="8" w:space="0" w:color="000000"/>
              <w:right w:val="single" w:sz="8" w:space="0" w:color="000000"/>
            </w:tcBorders>
            <w:shd w:val="clear" w:color="auto" w:fill="808080"/>
            <w:vAlign w:val="bottom"/>
          </w:tcPr>
          <w:p w:rsidR="009A5E1E">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single" w:sz="8" w:space="0" w:color="000000"/>
              <w:left w:val="nil"/>
              <w:bottom w:val="single" w:sz="8" w:space="0" w:color="000000"/>
              <w:right w:val="single" w:sz="8" w:space="0" w:color="000000"/>
            </w:tcBorders>
            <w:shd w:val="clear" w:color="auto" w:fill="DDEBF7"/>
            <w:vAlign w:val="bottom"/>
          </w:tcPr>
          <w:p w:rsidR="009A5E1E">
            <w:pPr>
              <w:widowControl/>
              <w:ind w:right="105"/>
              <w:jc w:val="right"/>
              <w:rPr>
                <w:rFonts w:ascii="Calibri" w:eastAsia="Calibri" w:hAnsi="Calibri" w:cs="Calibri"/>
                <w:b/>
                <w:color w:val="000000"/>
                <w:sz w:val="18"/>
                <w:szCs w:val="18"/>
              </w:rPr>
            </w:pPr>
            <w:r>
              <w:rPr>
                <w:rFonts w:ascii="Calibri" w:eastAsia="Calibri" w:hAnsi="Calibri" w:cs="Calibri"/>
                <w:b/>
                <w:sz w:val="18"/>
                <w:szCs w:val="18"/>
              </w:rPr>
              <w:t>$19,816</w:t>
            </w:r>
          </w:p>
        </w:tc>
      </w:tr>
    </w:tbl>
    <w:p w:rsidR="009A5E1E">
      <w:pPr>
        <w:pBdr>
          <w:top w:val="nil"/>
          <w:left w:val="nil"/>
          <w:bottom w:val="nil"/>
          <w:right w:val="nil"/>
          <w:between w:val="nil"/>
        </w:pBdr>
        <w:spacing w:before="9" w:after="1"/>
        <w:rPr>
          <w:b/>
        </w:rPr>
      </w:pPr>
    </w:p>
    <w:p w:rsidR="009A5E1E">
      <w:pPr>
        <w:pBdr>
          <w:top w:val="nil"/>
          <w:left w:val="nil"/>
          <w:bottom w:val="nil"/>
          <w:right w:val="nil"/>
          <w:between w:val="nil"/>
        </w:pBdr>
        <w:spacing w:before="9" w:after="1"/>
      </w:pPr>
      <w:r>
        <w:t xml:space="preserve">Salaries were obtained from the </w:t>
      </w:r>
      <w:hyperlink r:id="rId13">
        <w:r>
          <w:rPr>
            <w:color w:val="1155CC"/>
            <w:u w:val="single"/>
          </w:rPr>
          <w:t>Defense Finance &amp; Accounting Service</w:t>
        </w:r>
      </w:hyperlink>
      <w:r>
        <w:t xml:space="preserve"> pay tables and benefits were applied using a multiplier of 1.5.</w:t>
      </w:r>
    </w:p>
    <w:p w:rsidR="00A659F9">
      <w:pPr>
        <w:pBdr>
          <w:top w:val="nil"/>
          <w:left w:val="nil"/>
          <w:bottom w:val="nil"/>
          <w:right w:val="nil"/>
          <w:between w:val="nil"/>
        </w:pBdr>
        <w:spacing w:before="9" w:after="1"/>
      </w:pPr>
    </w:p>
    <w:p w:rsidR="00A659F9">
      <w:pPr>
        <w:pBdr>
          <w:top w:val="nil"/>
          <w:left w:val="nil"/>
          <w:bottom w:val="nil"/>
          <w:right w:val="nil"/>
          <w:between w:val="nil"/>
        </w:pBdr>
        <w:spacing w:before="9" w:after="1"/>
      </w:pPr>
      <w:r>
        <w:t xml:space="preserve">The costs to the federal government were updated to reflect </w:t>
      </w:r>
      <w:r w:rsidR="00714E56">
        <w:t>Defense pay tables and more accurate time for the review of applications and interviews with potential candidates.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 xml:space="preserve">Explain the reasons for any program changes or adjustments reported in ROCIS. </w:t>
      </w:r>
    </w:p>
    <w:p w:rsidR="009A5E1E">
      <w:pPr>
        <w:pBdr>
          <w:top w:val="nil"/>
          <w:left w:val="nil"/>
          <w:bottom w:val="nil"/>
          <w:right w:val="nil"/>
          <w:between w:val="nil"/>
        </w:pBdr>
        <w:tabs>
          <w:tab w:val="left" w:pos="360"/>
        </w:tabs>
        <w:spacing w:before="240" w:after="120"/>
        <w:rPr>
          <w:b/>
          <w:color w:val="000000"/>
        </w:rPr>
      </w:pPr>
      <w:bookmarkStart w:id="1" w:name="_heading=h.30j0zll" w:colFirst="0" w:colLast="0"/>
      <w:bookmarkEnd w:id="1"/>
      <w:r>
        <w:t>A new form (NOAA Form 56-80A) was added to this collection. As a result, the number of responses increased by 300 with an increase of 125 burden hours. Miscellaneous costs have been removed since almost all responses are submitted electronically.</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5E1E">
      <w:pPr>
        <w:pBdr>
          <w:top w:val="nil"/>
          <w:left w:val="nil"/>
          <w:bottom w:val="nil"/>
          <w:right w:val="nil"/>
          <w:between w:val="nil"/>
        </w:pBdr>
        <w:spacing w:before="160"/>
      </w:pPr>
      <w:r>
        <w:t>This collection will not be published.</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If seeking approval to not display the expiration date for OMB approval of the information collection, explain the reasons that display would be inappropriate.</w:t>
      </w:r>
    </w:p>
    <w:p w:rsidR="009A5E1E">
      <w:pPr>
        <w:spacing w:before="161"/>
      </w:pPr>
      <w:r>
        <w:t>The agency plans to display the expiration date for OMB approval of the information collection on all instruments.</w:t>
      </w:r>
    </w:p>
    <w:p w:rsidR="009A5E1E">
      <w:pPr>
        <w:numPr>
          <w:ilvl w:val="0"/>
          <w:numId w:val="1"/>
        </w:numPr>
        <w:pBdr>
          <w:top w:val="nil"/>
          <w:left w:val="nil"/>
          <w:bottom w:val="nil"/>
          <w:right w:val="nil"/>
          <w:between w:val="nil"/>
        </w:pBdr>
        <w:tabs>
          <w:tab w:val="left" w:pos="360"/>
        </w:tabs>
        <w:spacing w:before="240" w:after="120"/>
        <w:ind w:left="0" w:firstLine="0"/>
        <w:rPr>
          <w:color w:val="000000"/>
        </w:rPr>
      </w:pPr>
      <w:r>
        <w:rPr>
          <w:b/>
          <w:color w:val="000000"/>
        </w:rPr>
        <w:t>Explain each exception to the certification statement identified in “Certification for Paperwork Reduction Act Submissions."</w:t>
      </w:r>
    </w:p>
    <w:p w:rsidR="009A5E1E">
      <w:pPr>
        <w:spacing w:before="221" w:line="259" w:lineRule="auto"/>
        <w:jc w:val="both"/>
      </w:pPr>
      <w:r>
        <w:t xml:space="preserve">The agency certifies compliance with </w:t>
      </w:r>
      <w:hyperlink r:id="rId14">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5">
        <w:r>
          <w:rPr>
            <w:color w:val="0563C1"/>
            <w:u w:val="single"/>
          </w:rPr>
          <w:t>1320.8(b)(3)</w:t>
        </w:r>
      </w:hyperlink>
      <w:r>
        <w:t>.</w:t>
      </w:r>
    </w:p>
    <w:sectPr>
      <w:pgSz w:w="12240" w:h="15840"/>
      <w:pgMar w:top="900" w:right="1080" w:bottom="1200"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E1E">
    <w:pPr>
      <w:pBdr>
        <w:top w:val="nil"/>
        <w:left w:val="nil"/>
        <w:bottom w:val="nil"/>
        <w:right w:val="nil"/>
        <w:between w:val="nil"/>
      </w:pBdr>
      <w:tabs>
        <w:tab w:val="center" w:pos="4680"/>
        <w:tab w:val="right" w:pos="9360"/>
      </w:tabs>
      <w:rPr>
        <w:color w:val="000000"/>
      </w:rPr>
    </w:pPr>
  </w:p>
  <w:p w:rsidR="009A5E1E">
    <w:pPr>
      <w:pBdr>
        <w:top w:val="nil"/>
        <w:left w:val="nil"/>
        <w:bottom w:val="nil"/>
        <w:right w:val="nil"/>
        <w:between w:val="nil"/>
      </w:pBdr>
      <w:tabs>
        <w:tab w:val="center" w:pos="4680"/>
        <w:tab w:val="right" w:pos="9360"/>
      </w:tabs>
      <w:rPr>
        <w:color w:val="000000"/>
      </w:rPr>
    </w:pPr>
  </w:p>
  <w:p w:rsidR="009A5E1E">
    <w:pPr>
      <w:pBdr>
        <w:top w:val="nil"/>
        <w:left w:val="nil"/>
        <w:bottom w:val="nil"/>
        <w:right w:val="nil"/>
        <w:between w:val="nil"/>
      </w:pBdr>
      <w:tabs>
        <w:tab w:val="center" w:pos="4680"/>
        <w:tab w:val="right" w:pos="9360"/>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EE5872">
      <w:rPr>
        <w:noProof/>
        <w:color w:val="000000"/>
      </w:rPr>
      <w:t>1</w:t>
    </w:r>
    <w:r>
      <w:rPr>
        <w:color w:val="000000"/>
      </w:rPr>
      <w:fldChar w:fldCharType="end"/>
    </w:r>
  </w:p>
  <w:p w:rsidR="009A5E1E">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406D62"/>
    <w:multiLevelType w:val="multilevel"/>
    <w:tmpl w:val="2A36BADA"/>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1E"/>
    <w:rsid w:val="00714E56"/>
    <w:rsid w:val="0081649D"/>
    <w:rsid w:val="008D40AB"/>
    <w:rsid w:val="009A5E1E"/>
    <w:rsid w:val="00A659F9"/>
    <w:rsid w:val="00BB2B3C"/>
    <w:rsid w:val="00EE5872"/>
    <w:rsid w:val="00FF1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879B7"/>
  <w15:docId w15:val="{EFF19E29-B31B-4A14-B1E2-8239A0D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053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336C"/>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A6B0A"/>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A6B0A"/>
    <w:rPr>
      <w:rFonts w:ascii="Arial" w:eastAsia="Arial" w:hAnsi="Arial" w:cs="Arial"/>
      <w:b/>
      <w:bCs/>
      <w:color w:val="2E5395"/>
      <w:sz w:val="20"/>
      <w:szCs w:val="20"/>
    </w:r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uscode05/usc_sec_05_00000552---a000-.html" TargetMode="External" /><Relationship Id="rId11" Type="http://schemas.openxmlformats.org/officeDocument/2006/relationships/footer" Target="footer1.xml" /><Relationship Id="rId12" Type="http://schemas.openxmlformats.org/officeDocument/2006/relationships/hyperlink" Target="https://www.bls.gov/bls/blswage.htm" TargetMode="External" /><Relationship Id="rId13" Type="http://schemas.openxmlformats.org/officeDocument/2006/relationships/hyperlink" Target="https://www.dfas.mil/militarymembers/payentitlements/Pay-Tables/Basic-Pay/CO/"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scode.house.gov/view.xhtml?path=/prelim@title33/chapter43&amp;edition=prelim" TargetMode="External" /><Relationship Id="rId6" Type="http://schemas.openxmlformats.org/officeDocument/2006/relationships/hyperlink" Target="http://www.gpo.gov/fdsys/pkg/PLAW-112publ166/html/PLAW-112publ166.htm"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www.omao.noaa.gov/noaa-corps/apply-now" TargetMode="External" /><Relationship Id="rId9" Type="http://schemas.openxmlformats.org/officeDocument/2006/relationships/hyperlink" Target="http://www.rdc.noaa.gov/~foia/asdhome/sysofrec/noaa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YLHoXsUsuNV1O+/+pbo0gRxtg==">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2024-07-08T19:03:00Z</dcterms:created>
  <dcterms:modified xsi:type="dcterms:W3CDTF">2024-07-16T18:24:00Z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