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7F1F" w14:paraId="52C6A4EC" w14:textId="77777777">
      <w:pPr>
        <w:pStyle w:val="Heading1"/>
        <w:ind w:left="0"/>
        <w:jc w:val="center"/>
      </w:pPr>
      <w:r>
        <w:t>SUPPORTING STATEMENT</w:t>
      </w:r>
    </w:p>
    <w:p w:rsidR="00CD7F1F" w14:paraId="29B1D145" w14:textId="77777777">
      <w:pPr>
        <w:spacing w:before="22" w:line="259" w:lineRule="auto"/>
        <w:ind w:firstLine="14"/>
        <w:jc w:val="center"/>
        <w:rPr>
          <w:b/>
        </w:rPr>
      </w:pPr>
      <w:r>
        <w:rPr>
          <w:b/>
        </w:rPr>
        <w:t>U.S. Department of Commerce</w:t>
      </w:r>
    </w:p>
    <w:p w:rsidR="00CD7F1F" w14:paraId="25B60E3F" w14:textId="77777777">
      <w:pPr>
        <w:spacing w:before="22" w:line="259" w:lineRule="auto"/>
        <w:ind w:firstLine="14"/>
        <w:jc w:val="center"/>
        <w:rPr>
          <w:b/>
        </w:rPr>
      </w:pPr>
      <w:r>
        <w:rPr>
          <w:b/>
        </w:rPr>
        <w:t>National Oceanic &amp; Atmospheric Administration</w:t>
      </w:r>
    </w:p>
    <w:p w:rsidR="00CD7F1F" w14:paraId="544D59FB" w14:textId="77777777">
      <w:pPr>
        <w:spacing w:line="259" w:lineRule="auto"/>
        <w:ind w:hanging="6"/>
        <w:jc w:val="center"/>
        <w:rPr>
          <w:b/>
        </w:rPr>
      </w:pPr>
      <w:r>
        <w:rPr>
          <w:b/>
        </w:rPr>
        <w:t>Atlantic Highly Migratory Species Vessel and Gear Marking</w:t>
      </w:r>
    </w:p>
    <w:p w:rsidR="00CD7F1F" w14:paraId="3681DCE2" w14:textId="77777777">
      <w:pPr>
        <w:spacing w:line="259" w:lineRule="auto"/>
        <w:ind w:hanging="6"/>
        <w:jc w:val="center"/>
        <w:rPr>
          <w:b/>
        </w:rPr>
      </w:pPr>
      <w:r>
        <w:rPr>
          <w:b/>
        </w:rPr>
        <w:t>OMB Control No. 0648-0373</w:t>
      </w:r>
    </w:p>
    <w:p w:rsidR="00CD7F1F" w14:paraId="2F0396C1" w14:textId="77777777">
      <w:pPr>
        <w:pBdr>
          <w:top w:val="nil"/>
          <w:left w:val="nil"/>
          <w:bottom w:val="nil"/>
          <w:right w:val="nil"/>
          <w:between w:val="nil"/>
        </w:pBdr>
        <w:spacing w:before="1"/>
        <w:jc w:val="center"/>
        <w:rPr>
          <w:b/>
          <w:color w:val="000000"/>
        </w:rPr>
      </w:pPr>
    </w:p>
    <w:p w:rsidR="00CD7F1F" w:rsidP="002816CD" w14:paraId="37BB3CFC" w14:textId="77777777">
      <w:pPr>
        <w:spacing w:before="1" w:line="398" w:lineRule="auto"/>
        <w:rPr>
          <w:b/>
        </w:rPr>
      </w:pPr>
      <w:r>
        <w:rPr>
          <w:b/>
          <w:color w:val="000000"/>
        </w:rPr>
        <w:t>SUPPORTING STATEMENT PART A</w:t>
      </w:r>
      <w:r>
        <w:rPr>
          <w:b/>
          <w:color w:val="1F497D"/>
        </w:rPr>
        <w:t xml:space="preserve"> </w:t>
      </w:r>
    </w:p>
    <w:p w:rsidR="00CD7F1F" w14:paraId="251F6557" w14:textId="77777777">
      <w:pPr>
        <w:pStyle w:val="Heading1"/>
        <w:spacing w:before="199"/>
        <w:ind w:left="0"/>
      </w:pPr>
      <w:r>
        <w:t>Abstract</w:t>
      </w:r>
    </w:p>
    <w:p w:rsidR="004E7D0C" w14:paraId="407F939F" w14:textId="10937CE9">
      <w:pPr>
        <w:pStyle w:val="Heading1"/>
        <w:spacing w:before="124"/>
        <w:ind w:left="0"/>
        <w:rPr>
          <w:b w:val="0"/>
        </w:rPr>
      </w:pPr>
      <w:r w:rsidRPr="004E7D0C">
        <w:rPr>
          <w:b w:val="0"/>
        </w:rPr>
        <w:t xml:space="preserve">The National Oceanic and Atmospheric </w:t>
      </w:r>
      <w:r w:rsidRPr="004E7D0C">
        <w:rPr>
          <w:b w:val="0"/>
        </w:rPr>
        <w:t>Administration’s (NOAA’s) National Marine Fisheries Service (NMFS) requests the approval of the Office of Management and Budget (OMB) for an extension of the existing collection of information under OMB Control Number 0648-03</w:t>
      </w:r>
      <w:r>
        <w:rPr>
          <w:b w:val="0"/>
        </w:rPr>
        <w:t>73</w:t>
      </w:r>
      <w:r w:rsidRPr="004E7D0C">
        <w:rPr>
          <w:b w:val="0"/>
        </w:rPr>
        <w:t xml:space="preserve"> for </w:t>
      </w:r>
      <w:r>
        <w:rPr>
          <w:b w:val="0"/>
        </w:rPr>
        <w:t xml:space="preserve">Atlantic </w:t>
      </w:r>
      <w:r w:rsidRPr="004E7D0C">
        <w:rPr>
          <w:b w:val="0"/>
        </w:rPr>
        <w:t>Highly Migrator</w:t>
      </w:r>
      <w:r w:rsidRPr="004E7D0C">
        <w:rPr>
          <w:b w:val="0"/>
        </w:rPr>
        <w:t xml:space="preserve">y Species (HMS) Vessel </w:t>
      </w:r>
      <w:r>
        <w:rPr>
          <w:b w:val="0"/>
        </w:rPr>
        <w:t>and Gear Marking</w:t>
      </w:r>
      <w:r w:rsidRPr="004E7D0C">
        <w:rPr>
          <w:b w:val="0"/>
        </w:rPr>
        <w:t xml:space="preserve">. Regulations at 50 CFR part </w:t>
      </w:r>
      <w:r>
        <w:rPr>
          <w:b w:val="0"/>
        </w:rPr>
        <w:t>635.6</w:t>
      </w:r>
      <w:r w:rsidRPr="004E7D0C">
        <w:rPr>
          <w:b w:val="0"/>
        </w:rPr>
        <w:t xml:space="preserve"> require that vessels </w:t>
      </w:r>
      <w:r>
        <w:rPr>
          <w:b w:val="0"/>
        </w:rPr>
        <w:t>for which a permit has been issued under section 635.4, other than an HMS Angling permit, must display the vessel’s official U.S. Coast Guard or state registrati</w:t>
      </w:r>
      <w:r>
        <w:rPr>
          <w:b w:val="0"/>
        </w:rPr>
        <w:t>on number. Vessels using handline, buoy gear, harpoon, longline, or gillnet gear, must also display the vessel</w:t>
      </w:r>
      <w:r w:rsidR="005521D2">
        <w:rPr>
          <w:b w:val="0"/>
        </w:rPr>
        <w:t>’</w:t>
      </w:r>
      <w:r>
        <w:rPr>
          <w:b w:val="0"/>
        </w:rPr>
        <w:t>s name, registration number, or HMS permit number on each float or highflier attached to the gear.</w:t>
      </w:r>
    </w:p>
    <w:p w:rsidR="004E7D0C" w14:paraId="794F0C81" w14:textId="77777777">
      <w:pPr>
        <w:pStyle w:val="Heading1"/>
        <w:spacing w:before="124"/>
        <w:ind w:left="0"/>
        <w:rPr>
          <w:b w:val="0"/>
        </w:rPr>
      </w:pPr>
    </w:p>
    <w:p w:rsidR="00CD7F1F" w:rsidRPr="004E7D0C" w14:paraId="689FB795" w14:textId="77777777">
      <w:pPr>
        <w:pStyle w:val="Heading1"/>
        <w:spacing w:before="124"/>
        <w:ind w:left="0"/>
      </w:pPr>
      <w:r w:rsidRPr="004E7D0C">
        <w:t>Justification</w:t>
      </w:r>
    </w:p>
    <w:p w:rsidR="00CD7F1F" w14:paraId="5252BFBF"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w:t>
      </w:r>
      <w:r>
        <w:rPr>
          <w:b/>
          <w:color w:val="000000"/>
        </w:rPr>
        <w:t>make the collection of information necessary. Identify any legal or administrative requirements that necessitate the collection. Attach a copy of the appropriate section of each statute and regulation mandating or authorizing the collection of information.</w:t>
      </w:r>
    </w:p>
    <w:p w:rsidR="002816CD" w:rsidP="002816CD" w14:paraId="4B92DC73" w14:textId="77777777">
      <w:pPr>
        <w:widowControl/>
        <w:ind w:left="131"/>
      </w:pPr>
    </w:p>
    <w:p w:rsidR="002816CD" w:rsidP="002816CD" w14:paraId="5C200E5A" w14:textId="11F0D63F">
      <w:pPr>
        <w:widowControl/>
      </w:pPr>
      <w:r>
        <w:t>This Supporting Statement is submitted as part of a Paperwork Reduction Act (PRA) information collection to meet regulatory vessel marking and gear marking requirements in fisheries for Atlantic HMS.</w:t>
      </w:r>
      <w:r w:rsidR="00A73BAD">
        <w:t xml:space="preserve"> </w:t>
      </w:r>
      <w:r>
        <w:t>This request is for an extension of a currently approv</w:t>
      </w:r>
      <w:r>
        <w:t xml:space="preserve">ed collection and is a comprehensive collection for vessel and gear marking for all HMS vessels. The information collection regarding vessel marking would not apply to recreational fishing vessels unless recreational vessels use buoys with handlines, </w:t>
      </w:r>
      <w:r w:rsidR="00E913BF">
        <w:t xml:space="preserve">in which case </w:t>
      </w:r>
      <w:r>
        <w:t>those buoys would need to be marked.</w:t>
      </w:r>
      <w:r w:rsidR="00A73BAD">
        <w:t xml:space="preserve"> </w:t>
      </w:r>
      <w:r w:rsidR="00E913BF">
        <w:t>However, because i</w:t>
      </w:r>
      <w:r>
        <w:t>t is extremely uncommon for recreational vessels to fish a handline with buoys attached, for the purpose of this collection, the number of recreational vessels impacted by this collection is c</w:t>
      </w:r>
      <w:r>
        <w:t>onsidered to be zero.</w:t>
      </w:r>
    </w:p>
    <w:p w:rsidR="002816CD" w:rsidP="002816CD" w14:paraId="54D38615" w14:textId="77777777">
      <w:pPr>
        <w:widowControl/>
      </w:pPr>
    </w:p>
    <w:p w:rsidR="002816CD" w:rsidP="002816CD" w14:paraId="51CBC957" w14:textId="77777777">
      <w:pPr>
        <w:widowControl/>
      </w:pPr>
      <w:r>
        <w:t xml:space="preserve">Enforcement: </w:t>
      </w:r>
    </w:p>
    <w:p w:rsidR="002816CD" w:rsidP="002816CD" w14:paraId="11F7F629" w14:textId="77777777">
      <w:pPr>
        <w:widowControl/>
      </w:pPr>
    </w:p>
    <w:p w:rsidR="002816CD" w:rsidP="002816CD" w14:paraId="70AB376B" w14:textId="6B1018F2">
      <w:pPr>
        <w:widowControl/>
      </w:pPr>
      <w:r>
        <w:t>Regulatory compliance is critical to the success o</w:t>
      </w:r>
      <w:r w:rsidR="00A73BAD">
        <w:t>f fisheries management programs</w:t>
      </w:r>
      <w:r>
        <w:t>.</w:t>
      </w:r>
      <w:r w:rsidR="00A73BAD">
        <w:t xml:space="preserve"> </w:t>
      </w:r>
      <w:r>
        <w:t>The ability to link fishing or other activity to a vessel owner or operator is crucial to enforcement of the regulations issued under t</w:t>
      </w:r>
      <w:r>
        <w:t xml:space="preserve">he authority of the </w:t>
      </w:r>
      <w:hyperlink r:id="rId5" w:history="1">
        <w:r w:rsidRPr="002816CD">
          <w:rPr>
            <w:rStyle w:val="Hyperlink"/>
            <w:rFonts w:eastAsia="Arial"/>
          </w:rPr>
          <w:t>Magnuson-Stevens Fishery Conservation and Management Act</w:t>
        </w:r>
      </w:hyperlink>
      <w:r>
        <w:t xml:space="preserve"> to govern domestic and foreign fishing and under the auth</w:t>
      </w:r>
      <w:r>
        <w:t>ority of laws implementing international treaties.</w:t>
      </w:r>
      <w:r w:rsidR="00A73BAD">
        <w:t xml:space="preserve"> </w:t>
      </w:r>
      <w:r>
        <w:t xml:space="preserve">The purpose of the collection of this information is also to comply with the U.S. obligations under the </w:t>
      </w:r>
      <w:hyperlink r:id="rId6" w:history="1">
        <w:r w:rsidRPr="002816CD">
          <w:rPr>
            <w:rStyle w:val="Hyperlink"/>
            <w:rFonts w:eastAsia="Arial"/>
          </w:rPr>
          <w:t xml:space="preserve">Atlantic Tunas Convention Act </w:t>
        </w:r>
      </w:hyperlink>
      <w:r>
        <w:t>(ATCA; 16 U.S.C. 971).</w:t>
      </w:r>
      <w:r w:rsidR="00A73BAD">
        <w:t xml:space="preserve"> </w:t>
      </w:r>
      <w:r>
        <w:t>ATCA requires the Secretary of Commerce (Secretary) to promulgate regulations as may be necessary and appropriate to implement recommendations adopted by the International Commission for the Conservation of Atlantic Tunas (ICCAT).</w:t>
      </w:r>
      <w:r w:rsidR="00A73BAD">
        <w:t xml:space="preserve"> </w:t>
      </w:r>
      <w:r>
        <w:t>Th</w:t>
      </w:r>
      <w:r>
        <w:t>e authority to issue these regulations has been delegated from the Secretary to the Assistant Administrator for Fisheries, NOAA.</w:t>
      </w:r>
      <w:r w:rsidR="00A73BAD">
        <w:t xml:space="preserve"> </w:t>
      </w:r>
      <w:r>
        <w:t xml:space="preserve">Section 971 d(c)(3) of ATCA provides the statutory authority to require the collection of information necessary to implement </w:t>
      </w:r>
      <w:r w:rsidR="00573B77">
        <w:t xml:space="preserve">ICCAT </w:t>
      </w:r>
      <w:r>
        <w:t>recommendations.</w:t>
      </w:r>
    </w:p>
    <w:p w:rsidR="002816CD" w:rsidP="002816CD" w14:paraId="7379EA5F" w14:textId="77777777">
      <w:pPr>
        <w:widowControl/>
      </w:pPr>
    </w:p>
    <w:p w:rsidR="002816CD" w:rsidP="002816CD" w14:paraId="27212AEF" w14:textId="3DB5154C">
      <w:pPr>
        <w:widowControl/>
      </w:pPr>
      <w:r>
        <w:t>Vessel marking allows enforcement agents to monitor fishing activity and document fishery violations from the air, thus eliminating the need to board a vessel.</w:t>
      </w:r>
      <w:r w:rsidR="00A73BAD">
        <w:t xml:space="preserve"> Appropriate gear marking</w:t>
      </w:r>
      <w:r>
        <w:t xml:space="preserve"> may protect finfish (both target and non-target</w:t>
      </w:r>
      <w:r>
        <w:t xml:space="preserve"> species) as well as marine mammals and seabirds</w:t>
      </w:r>
      <w:r w:rsidR="00A73BAD">
        <w:t xml:space="preserve"> by</w:t>
      </w:r>
      <w:r>
        <w:t xml:space="preserve"> reduc</w:t>
      </w:r>
      <w:r w:rsidR="00A73BAD">
        <w:t>ing</w:t>
      </w:r>
      <w:r>
        <w:t xml:space="preserve"> the need for enforcement agents to board vessels at sea and document the violation first hand by watching the gear being hauled.</w:t>
      </w:r>
      <w:r w:rsidR="00A73BAD">
        <w:t xml:space="preserve"> </w:t>
      </w:r>
      <w:r>
        <w:t xml:space="preserve">For example, if marked pelagic longline gear is in a closed area, </w:t>
      </w:r>
      <w:r>
        <w:t>an enforcement agent does not need to wait for a vessel to retrieve the gear in order to initiate enforcement action.</w:t>
      </w:r>
      <w:r w:rsidR="00A73BAD">
        <w:t xml:space="preserve"> </w:t>
      </w:r>
      <w:r w:rsidR="00CC129A">
        <w:t xml:space="preserve">The ability to initiate enforcement action without boarding the vessel </w:t>
      </w:r>
      <w:r>
        <w:t>reduces costs for both the U.S. Coast Guard (USCG) and the National</w:t>
      </w:r>
      <w:r>
        <w:t xml:space="preserve"> Marine Fisheries Service (NMFS) Office of Law Enforcement.</w:t>
      </w:r>
      <w:r w:rsidR="00A73BAD">
        <w:t xml:space="preserve"> </w:t>
      </w:r>
      <w:r>
        <w:t>There are also safety benefits of gear and vessel identification; for example, it could help locate missing vessels.</w:t>
      </w:r>
    </w:p>
    <w:p w:rsidR="002816CD" w:rsidP="002816CD" w14:paraId="3E78E65F" w14:textId="77777777">
      <w:pPr>
        <w:widowControl/>
      </w:pPr>
    </w:p>
    <w:p w:rsidR="002816CD" w:rsidP="002816CD" w14:paraId="3F2A924B" w14:textId="79046F39">
      <w:pPr>
        <w:widowControl/>
      </w:pPr>
      <w:r>
        <w:t>Fishermen would likely mark their gear regardless of Federal requirements.</w:t>
      </w:r>
      <w:r w:rsidR="00A73BAD">
        <w:t xml:space="preserve"> </w:t>
      </w:r>
      <w:r>
        <w:t>Fis</w:t>
      </w:r>
      <w:r>
        <w:t>hing gear is expensive, and if lost, could result in additional expense or the inability to complete fishing activities on a fishing trip.</w:t>
      </w:r>
      <w:r w:rsidR="00A73BAD">
        <w:t xml:space="preserve"> </w:t>
      </w:r>
      <w:r>
        <w:t>Marking one’s gear is a means of differentiating one’s fishing gear from another fishermen’s gear and would improve t</w:t>
      </w:r>
      <w:r>
        <w:t>he likelihood of retrieving gear that may become lost or difficult to retrieve during fishing activities.</w:t>
      </w:r>
      <w:r w:rsidR="00A73BAD">
        <w:t xml:space="preserve"> </w:t>
      </w:r>
    </w:p>
    <w:p w:rsidR="002816CD" w:rsidP="002816CD" w14:paraId="5F3B2188" w14:textId="77777777">
      <w:pPr>
        <w:widowControl/>
      </w:pPr>
      <w:r>
        <w:t xml:space="preserve"> </w:t>
      </w:r>
    </w:p>
    <w:p w:rsidR="002816CD" w:rsidP="002816CD" w14:paraId="7A8259E3" w14:textId="77777777">
      <w:pPr>
        <w:widowControl/>
      </w:pPr>
      <w:r>
        <w:t>Protected Species:</w:t>
      </w:r>
    </w:p>
    <w:p w:rsidR="002816CD" w:rsidP="002816CD" w14:paraId="75BF407D" w14:textId="77777777">
      <w:pPr>
        <w:widowControl/>
      </w:pPr>
    </w:p>
    <w:p w:rsidR="00CD7F1F" w:rsidRPr="002816CD" w:rsidP="002816CD" w14:paraId="4519F252" w14:textId="16206E5D">
      <w:pPr>
        <w:pBdr>
          <w:top w:val="nil"/>
          <w:left w:val="nil"/>
          <w:bottom w:val="nil"/>
          <w:right w:val="nil"/>
          <w:between w:val="nil"/>
        </w:pBdr>
        <w:spacing w:before="159" w:line="259" w:lineRule="auto"/>
        <w:rPr>
          <w:b/>
          <w:color w:val="000000"/>
        </w:rPr>
      </w:pPr>
      <w:r>
        <w:t xml:space="preserve">In order to monitor compliance with the Marine Mammal Protection Act and the Endangered Species Act, it is necessary to </w:t>
      </w:r>
      <w:r>
        <w:t>identify entanglements of protected species with fishing gear.</w:t>
      </w:r>
      <w:r w:rsidR="00A73BAD">
        <w:t xml:space="preserve"> </w:t>
      </w:r>
      <w:r>
        <w:t>If an entanglement is reported while the gear is unattended, NMFS can investigate the details of the entanglement using the gear marking to identify the owner of the gear.</w:t>
      </w:r>
      <w:r w:rsidR="00A73BAD">
        <w:t xml:space="preserve"> </w:t>
      </w:r>
      <w:r>
        <w:t>The marking of fishin</w:t>
      </w:r>
      <w:r>
        <w:t>g gear is also valuable in actions concerning damage, loss, and civil proceedings.</w:t>
      </w:r>
      <w:r w:rsidR="00A73BAD">
        <w:t xml:space="preserve"> </w:t>
      </w:r>
      <w:r>
        <w:t>Gillnets and longlines also interact with marine mammals and are subject to gear and vessel marking requirements.</w:t>
      </w:r>
    </w:p>
    <w:p w:rsidR="00CD7F1F" w14:paraId="0F7217D2" w14:textId="77777777">
      <w:pPr>
        <w:pStyle w:val="Heading1"/>
        <w:numPr>
          <w:ilvl w:val="0"/>
          <w:numId w:val="3"/>
        </w:numPr>
        <w:tabs>
          <w:tab w:val="left" w:pos="360"/>
        </w:tabs>
        <w:spacing w:before="197"/>
        <w:ind w:left="0" w:firstLine="0"/>
      </w:pPr>
      <w:r>
        <w:t>Indicate how, by whom, and for what purpose the information</w:t>
      </w:r>
      <w:r>
        <w:t xml:space="preserve"> is to be used. Except for a new collection, indicate the actual use the agency has made of the information received from the current collection.</w:t>
      </w:r>
    </w:p>
    <w:p w:rsidR="002816CD" w:rsidP="002816CD" w14:paraId="27089993" w14:textId="77777777">
      <w:pPr>
        <w:widowControl/>
      </w:pPr>
    </w:p>
    <w:p w:rsidR="002816CD" w:rsidP="002816CD" w14:paraId="0FF85E6B" w14:textId="4AC20F97">
      <w:pPr>
        <w:widowControl/>
      </w:pPr>
      <w:r>
        <w:t>The vessel identification number provides law enforcement personnel with a means to monitor fishing and other</w:t>
      </w:r>
      <w:r>
        <w:t xml:space="preserve"> related activities to ascertain whether the vessel’s observed activities are in accordance with those authorized for that vessel.</w:t>
      </w:r>
      <w:r w:rsidR="00A73BAD">
        <w:t xml:space="preserve"> </w:t>
      </w:r>
      <w:r>
        <w:t>Vessels that hold permits in specific fisheries are readily identified through a permit database, and this allows for more co</w:t>
      </w:r>
      <w:r>
        <w:t xml:space="preserve">st-effective enforcement (fly-overs vs. vessel boardings). </w:t>
      </w:r>
    </w:p>
    <w:p w:rsidR="002816CD" w:rsidP="002816CD" w14:paraId="464AE352" w14:textId="77777777">
      <w:pPr>
        <w:widowControl/>
      </w:pPr>
    </w:p>
    <w:p w:rsidR="002816CD" w:rsidP="002816CD" w14:paraId="41FFA053" w14:textId="2F491DF7">
      <w:pPr>
        <w:widowControl/>
      </w:pPr>
      <w:r>
        <w:t>In handline, harpoon, and buoy gear fisheries for Atlantic HMS, it is sometimes necessary to tie a fish off to a float for a short time before the fish can be retrieved by the vessel.</w:t>
      </w:r>
      <w:r w:rsidR="00A73BAD">
        <w:t xml:space="preserve"> </w:t>
      </w:r>
      <w:r>
        <w:t>In such cas</w:t>
      </w:r>
      <w:r>
        <w:t>es, it is necessary to identify the vessel engaged in fishing, hence the requirement for float marking.</w:t>
      </w:r>
      <w:r w:rsidR="00A73BAD">
        <w:t xml:space="preserve"> </w:t>
      </w:r>
      <w:r>
        <w:t>In the pelagic longline fishery for Atlantic HMS, radio beacons and/or high-fliers are used to locate the line upon retrieval.</w:t>
      </w:r>
      <w:r w:rsidR="00A73BAD">
        <w:t xml:space="preserve"> </w:t>
      </w:r>
      <w:r>
        <w:t>Gillnets and bottom longl</w:t>
      </w:r>
      <w:r>
        <w:t>ines also use floats to control and locate the fishing gear.</w:t>
      </w:r>
    </w:p>
    <w:p w:rsidR="002816CD" w:rsidP="002816CD" w14:paraId="06B65A56" w14:textId="77777777">
      <w:pPr>
        <w:widowControl/>
      </w:pPr>
    </w:p>
    <w:p w:rsidR="002816CD" w:rsidP="002816CD" w14:paraId="1CB441FA" w14:textId="5CA57C8F">
      <w:pPr>
        <w:widowControl/>
      </w:pPr>
      <w:r>
        <w:t xml:space="preserve">The regulations at </w:t>
      </w:r>
      <w:hyperlink r:id="rId7" w:history="1">
        <w:r w:rsidRPr="002816CD">
          <w:rPr>
            <w:rStyle w:val="Hyperlink"/>
            <w:rFonts w:eastAsia="Arial"/>
          </w:rPr>
          <w:t>50 CFR 63</w:t>
        </w:r>
        <w:r w:rsidR="00105353">
          <w:rPr>
            <w:rStyle w:val="Hyperlink"/>
            <w:rFonts w:eastAsia="Arial"/>
          </w:rPr>
          <w:t>5</w:t>
        </w:r>
        <w:r w:rsidRPr="002816CD">
          <w:rPr>
            <w:rStyle w:val="Hyperlink"/>
            <w:rFonts w:eastAsia="Arial"/>
          </w:rPr>
          <w:t>.6</w:t>
        </w:r>
      </w:hyperlink>
      <w:r>
        <w:t xml:space="preserve"> specify that fishing gear must be </w:t>
      </w:r>
      <w:r>
        <w:t>marked with the vessel's official number.</w:t>
      </w:r>
      <w:r w:rsidR="00A73BAD">
        <w:t xml:space="preserve"> </w:t>
      </w:r>
      <w:r>
        <w:t>The regulations further specify how the gear is to be marked, (i.e., location of markings on gear).</w:t>
      </w:r>
      <w:r w:rsidR="00A73BAD">
        <w:t xml:space="preserve"> </w:t>
      </w:r>
      <w:r>
        <w:t>Law enforcement personnel rely on this information to assure compliance with fisheries management regulations.</w:t>
      </w:r>
      <w:r w:rsidR="00A73BAD">
        <w:t xml:space="preserve"> </w:t>
      </w:r>
      <w:r>
        <w:t>Gea</w:t>
      </w:r>
      <w:r>
        <w:t>r that is not properly identified may be confiscated.</w:t>
      </w:r>
      <w:r w:rsidR="00A73BAD">
        <w:t xml:space="preserve"> </w:t>
      </w:r>
      <w:r>
        <w:t>The identifying number on fishing gear is used by NMFS, the USCG, and other marine agencies in issuing violations, prosecutions, and other enforcement actions.</w:t>
      </w:r>
      <w:r w:rsidR="00A73BAD">
        <w:t xml:space="preserve"> </w:t>
      </w:r>
      <w:r>
        <w:t>Gear marking helps ensure that a vessel ha</w:t>
      </w:r>
      <w:r>
        <w:t>rvests fish only with its own gear and does not transfer gear to other vessels.</w:t>
      </w:r>
      <w:r w:rsidR="00A73BAD">
        <w:t xml:space="preserve"> </w:t>
      </w:r>
      <w:r>
        <w:t>It also helps to enforce closed areas.</w:t>
      </w:r>
      <w:r w:rsidR="00A73BAD">
        <w:t xml:space="preserve"> </w:t>
      </w:r>
      <w:r>
        <w:t>Gear marking allows for more cost-</w:t>
      </w:r>
      <w:r>
        <w:t>effective enforcement.</w:t>
      </w:r>
      <w:r w:rsidR="00A73BAD">
        <w:t xml:space="preserve"> </w:t>
      </w:r>
      <w:r>
        <w:t>Cooperating fishermen also use the number to report placement of gear in unautho</w:t>
      </w:r>
      <w:r>
        <w:t>rized areas, gear conflicts, lost gear, and protected species entanglements.</w:t>
      </w:r>
    </w:p>
    <w:p w:rsidR="002816CD" w:rsidP="002816CD" w14:paraId="4A53D828" w14:textId="77777777">
      <w:pPr>
        <w:widowControl/>
      </w:pPr>
    </w:p>
    <w:p w:rsidR="002816CD" w:rsidP="002816CD" w14:paraId="0D984330" w14:textId="035296E2">
      <w:pPr>
        <w:widowControl/>
      </w:pPr>
      <w:r>
        <w:t>Fishermen who comply with the regulations ultimately benefit, as unauthorized and illegal fishing is deterred and more burdensome regulations are avoided.</w:t>
      </w:r>
      <w:r w:rsidR="00A73BAD">
        <w:t xml:space="preserve"> </w:t>
      </w:r>
      <w:r>
        <w:t xml:space="preserve">This information </w:t>
      </w:r>
      <w:r>
        <w:t>collection would not apply to recreational fishing gear (handlines) or vessels</w:t>
      </w:r>
      <w:r w:rsidR="00A73BAD">
        <w:t xml:space="preserve"> unless they use buoys with their handline gear, which is extremely rare</w:t>
      </w:r>
      <w:r>
        <w:t xml:space="preserve">. </w:t>
      </w:r>
    </w:p>
    <w:p w:rsidR="00CD7F1F" w:rsidRPr="002816CD" w:rsidP="002816CD" w14:paraId="7739FDB4" w14:textId="77777777">
      <w:pPr>
        <w:pBdr>
          <w:top w:val="nil"/>
          <w:left w:val="nil"/>
          <w:bottom w:val="nil"/>
          <w:right w:val="nil"/>
          <w:between w:val="nil"/>
        </w:pBdr>
        <w:spacing w:before="159"/>
        <w:rPr>
          <w:color w:val="000000"/>
        </w:rPr>
      </w:pPr>
      <w:r w:rsidRPr="00D57D39">
        <w:t xml:space="preserve">The information collected will not be disseminated to the public; as it consists solely of </w:t>
      </w:r>
      <w:r>
        <w:t>vessel and g</w:t>
      </w:r>
      <w:r>
        <w:t>ear identification</w:t>
      </w:r>
      <w:r w:rsidRPr="00D57D39">
        <w:t>, it is not submitted to NMFS</w:t>
      </w:r>
      <w:r>
        <w:t>.</w:t>
      </w:r>
    </w:p>
    <w:p w:rsidR="00CD7F1F" w14:paraId="06C6E1C6"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w:t>
      </w:r>
      <w:r>
        <w:rPr>
          <w:b/>
          <w:color w:val="000000"/>
        </w:rPr>
        <w:t>technology, e.g. permitting electronic submission of responses, and the basis for the decision for adopting this means of collection. Also, describe any consideration of using information technology to reduce burden.</w:t>
      </w:r>
    </w:p>
    <w:p w:rsidR="00CD7F1F" w14:paraId="16D01451" w14:textId="20A7C3B9">
      <w:pPr>
        <w:pBdr>
          <w:top w:val="nil"/>
          <w:left w:val="nil"/>
          <w:bottom w:val="nil"/>
          <w:right w:val="nil"/>
          <w:between w:val="nil"/>
        </w:pBdr>
        <w:spacing w:before="159"/>
        <w:rPr>
          <w:color w:val="000000"/>
        </w:rPr>
      </w:pPr>
      <w:r>
        <w:t>This collection of information does not</w:t>
      </w:r>
      <w:r>
        <w:t xml:space="preserve"> involve the use of automated, electronic, mechanical, or other technological techniques.</w:t>
      </w:r>
      <w:r w:rsidR="00A73BAD">
        <w:t xml:space="preserve"> </w:t>
      </w:r>
      <w:r>
        <w:t xml:space="preserve">The requirement that fishing vessels and fishing gear be marked with an identifying number </w:t>
      </w:r>
      <w:r w:rsidR="00105353">
        <w:t xml:space="preserve">is a simple, </w:t>
      </w:r>
      <w:r w:rsidR="003D73ED">
        <w:t xml:space="preserve">relatively </w:t>
      </w:r>
      <w:r w:rsidR="00105353">
        <w:t>low cost, non-technological</w:t>
      </w:r>
      <w:r w:rsidR="00F91EE8">
        <w:t xml:space="preserve"> requirement</w:t>
      </w:r>
      <w:r w:rsidR="003D73ED">
        <w:t xml:space="preserve">. </w:t>
      </w:r>
      <w:r w:rsidR="00692236">
        <w:t>G</w:t>
      </w:r>
      <w:r w:rsidR="00F91EE8">
        <w:t>ear marking with a technological system, such as chips</w:t>
      </w:r>
      <w:r w:rsidR="003D73ED">
        <w:t xml:space="preserve"> or radio beacon</w:t>
      </w:r>
      <w:r w:rsidR="00F91EE8">
        <w:t xml:space="preserve">, </w:t>
      </w:r>
      <w:r w:rsidR="00A73BAD">
        <w:t xml:space="preserve">are </w:t>
      </w:r>
      <w:r w:rsidR="00692236">
        <w:t>commonly</w:t>
      </w:r>
      <w:r w:rsidR="00A73BAD">
        <w:t xml:space="preserve"> used voluntarily by many vessels to aide in tracking their gear</w:t>
      </w:r>
      <w:r w:rsidR="00692236">
        <w:t>, but are not currently required under NMFS regulations.</w:t>
      </w:r>
      <w:r w:rsidR="00F91EE8">
        <w:t xml:space="preserve"> </w:t>
      </w:r>
      <w:r w:rsidR="00692236">
        <w:t>T</w:t>
      </w:r>
      <w:r w:rsidR="00F91EE8">
        <w:t xml:space="preserve">he non-technological method </w:t>
      </w:r>
      <w:r w:rsidR="00692236">
        <w:t xml:space="preserve">of gear marking currently used would still be required as it makes it easier for a wide variety of enforcement entities to identify vessels, and </w:t>
      </w:r>
      <w:r w:rsidR="00F91EE8">
        <w:t>may be more appropriate in the long-term given salt water</w:t>
      </w:r>
      <w:r w:rsidR="003D73ED">
        <w:t xml:space="preserve"> and harsh weather conditions</w:t>
      </w:r>
      <w:r w:rsidR="00F91EE8">
        <w:t xml:space="preserve"> </w:t>
      </w:r>
      <w:r w:rsidR="00692236">
        <w:t>may cause electronic gear marking options to malfunction, especially if gear is lost or left in the elements for extended periods of time as often occurs with marine mammal entanglements</w:t>
      </w:r>
      <w:r w:rsidR="00F91EE8">
        <w:t>.</w:t>
      </w:r>
      <w:r w:rsidR="00A73BAD">
        <w:t xml:space="preserve"> </w:t>
      </w:r>
      <w:r w:rsidR="00F91EE8">
        <w:t>R</w:t>
      </w:r>
      <w:r w:rsidRPr="002C7FFD">
        <w:t>egulations pertaining to this information collection, and other HMS regulations will be available</w:t>
      </w:r>
      <w:r>
        <w:t xml:space="preserve"> on the eCFR website </w:t>
      </w:r>
      <w:hyperlink r:id="rId8" w:history="1">
        <w:r w:rsidRPr="00CA69CE">
          <w:rPr>
            <w:rStyle w:val="Hyperlink"/>
            <w:rFonts w:eastAsia="Arial"/>
          </w:rPr>
          <w:t>available here</w:t>
        </w:r>
      </w:hyperlink>
      <w:r>
        <w:t>.</w:t>
      </w:r>
    </w:p>
    <w:p w:rsidR="00CD7F1F" w14:paraId="47A8216C" w14:textId="77777777">
      <w:pPr>
        <w:spacing w:before="161"/>
        <w:rPr>
          <w:b/>
        </w:rPr>
      </w:pPr>
    </w:p>
    <w:p w:rsidR="00CD7F1F" w:rsidP="00692236" w14:paraId="1816F65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w:t>
      </w:r>
      <w:r>
        <w:rPr>
          <w:b/>
          <w:color w:val="000000"/>
        </w:rPr>
        <w:t>lable cannot be used or modified for use for the purposes described in Question 2</w:t>
      </w:r>
    </w:p>
    <w:p w:rsidR="00CD7F1F" w14:paraId="43F533BC" w14:textId="77777777">
      <w:pPr>
        <w:pBdr>
          <w:top w:val="nil"/>
          <w:left w:val="nil"/>
          <w:bottom w:val="nil"/>
          <w:right w:val="nil"/>
          <w:between w:val="nil"/>
        </w:pBdr>
        <w:spacing w:before="161"/>
        <w:rPr>
          <w:color w:val="1F497D"/>
        </w:rPr>
      </w:pPr>
      <w:r>
        <w:t>There is no duplication with other collections</w:t>
      </w:r>
      <w:r>
        <w:rPr>
          <w:color w:val="1F497D"/>
        </w:rPr>
        <w:t>.</w:t>
      </w:r>
    </w:p>
    <w:p w:rsidR="002816CD" w14:paraId="30CE7BC1" w14:textId="77777777">
      <w:pPr>
        <w:pBdr>
          <w:top w:val="nil"/>
          <w:left w:val="nil"/>
          <w:bottom w:val="nil"/>
          <w:right w:val="nil"/>
          <w:between w:val="nil"/>
        </w:pBdr>
        <w:spacing w:before="161"/>
        <w:rPr>
          <w:color w:val="1F497D"/>
        </w:rPr>
      </w:pPr>
    </w:p>
    <w:p w:rsidR="00CD7F1F" w14:paraId="7C6E676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w:t>
      </w:r>
      <w:r>
        <w:rPr>
          <w:b/>
          <w:color w:val="000000"/>
        </w:rPr>
        <w:t xml:space="preserve"> small businesses or other small entities, describe any methods used to minimize burden.</w:t>
      </w:r>
    </w:p>
    <w:p w:rsidR="00CD7F1F" w14:paraId="32813DB9" w14:textId="7048CD01">
      <w:pPr>
        <w:pBdr>
          <w:top w:val="nil"/>
          <w:left w:val="nil"/>
          <w:bottom w:val="nil"/>
          <w:right w:val="nil"/>
          <w:between w:val="nil"/>
        </w:pBdr>
        <w:spacing w:before="160"/>
        <w:rPr>
          <w:color w:val="2F5496"/>
        </w:rPr>
      </w:pPr>
      <w:r>
        <w:t>Nearly all vessels in the HMS commercial fisheries are categorized as small businesses.</w:t>
      </w:r>
      <w:r w:rsidR="00A73BAD">
        <w:t xml:space="preserve"> </w:t>
      </w:r>
      <w:r>
        <w:t>The collection will not have a significant impact on small businesses, and no special modifications of the requirements were considered necessary to accommodate the needs of small businesses</w:t>
      </w:r>
      <w:r>
        <w:rPr>
          <w:color w:val="2F5496"/>
        </w:rPr>
        <w:t>.</w:t>
      </w:r>
    </w:p>
    <w:p w:rsidR="002816CD" w14:paraId="2329A652" w14:textId="77777777">
      <w:pPr>
        <w:pBdr>
          <w:top w:val="nil"/>
          <w:left w:val="nil"/>
          <w:bottom w:val="nil"/>
          <w:right w:val="nil"/>
          <w:between w:val="nil"/>
        </w:pBdr>
        <w:spacing w:before="160"/>
        <w:rPr>
          <w:color w:val="000000"/>
        </w:rPr>
      </w:pPr>
    </w:p>
    <w:p w:rsidR="00CD7F1F" w14:paraId="0FDE4F8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w:t>
      </w:r>
      <w:r>
        <w:rPr>
          <w:b/>
          <w:color w:val="000000"/>
        </w:rPr>
        <w:t>s if the collection is not conducted or is conducted less frequently, as well as any technical or legal obstacles to reducing burden.</w:t>
      </w:r>
    </w:p>
    <w:p w:rsidR="00CD7F1F" w14:paraId="5E9E1A00" w14:textId="5CC95808">
      <w:pPr>
        <w:pBdr>
          <w:top w:val="nil"/>
          <w:left w:val="nil"/>
          <w:bottom w:val="nil"/>
          <w:right w:val="nil"/>
          <w:between w:val="nil"/>
        </w:pBdr>
        <w:spacing w:before="115"/>
      </w:pPr>
      <w:r>
        <w:t xml:space="preserve">NMFS would have to expend more resources on at-sea </w:t>
      </w:r>
      <w:r w:rsidR="004A38C9">
        <w:t>boarding</w:t>
      </w:r>
      <w:r>
        <w:t>, aerial reconnaissance, or other enforcement tools if the collection were not conducted or were conducted less frequently.</w:t>
      </w:r>
      <w:r w:rsidR="00A73BAD">
        <w:t xml:space="preserve"> </w:t>
      </w:r>
      <w:r>
        <w:t>In some cases if the collection were not conducted, the United States could be subject to international and domestic criticism for a</w:t>
      </w:r>
      <w:r>
        <w:t>llowing fishing to take place in a way that might facilitate illegal, unreported, and unregulated fish</w:t>
      </w:r>
      <w:r w:rsidR="00863103">
        <w:t>ing activiti</w:t>
      </w:r>
      <w:r>
        <w:t>es.</w:t>
      </w:r>
    </w:p>
    <w:p w:rsidR="002816CD" w14:paraId="72586D08" w14:textId="77777777">
      <w:pPr>
        <w:pBdr>
          <w:top w:val="nil"/>
          <w:left w:val="nil"/>
          <w:bottom w:val="nil"/>
          <w:right w:val="nil"/>
          <w:between w:val="nil"/>
        </w:pBdr>
        <w:spacing w:before="115"/>
        <w:rPr>
          <w:color w:val="000000"/>
        </w:rPr>
      </w:pPr>
    </w:p>
    <w:p w:rsidR="00CD7F1F" w14:paraId="455BAF7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r>
        <w:rPr>
          <w:b/>
          <w:color w:val="000000"/>
        </w:rPr>
        <w:t>.</w:t>
      </w:r>
    </w:p>
    <w:p w:rsidR="00CD7F1F" w:rsidRPr="002816CD" w14:paraId="69681152" w14:textId="77777777">
      <w:pPr>
        <w:pBdr>
          <w:top w:val="nil"/>
          <w:left w:val="nil"/>
          <w:bottom w:val="nil"/>
          <w:right w:val="nil"/>
          <w:between w:val="nil"/>
        </w:pBdr>
        <w:tabs>
          <w:tab w:val="left" w:pos="360"/>
        </w:tabs>
        <w:spacing w:before="80"/>
        <w:rPr>
          <w:b/>
        </w:rPr>
      </w:pPr>
      <w:r w:rsidRPr="002816CD">
        <w:rPr>
          <w:b/>
        </w:rPr>
        <w:t>OMB guidelines</w:t>
      </w:r>
    </w:p>
    <w:p w:rsidR="00CD7F1F" w:rsidRPr="002816CD" w14:paraId="586D587F" w14:textId="77777777">
      <w:pPr>
        <w:numPr>
          <w:ilvl w:val="0"/>
          <w:numId w:val="7"/>
        </w:numPr>
        <w:pBdr>
          <w:top w:val="nil"/>
          <w:left w:val="nil"/>
          <w:bottom w:val="nil"/>
          <w:right w:val="nil"/>
          <w:between w:val="nil"/>
        </w:pBdr>
        <w:spacing w:before="120"/>
        <w:ind w:left="720"/>
      </w:pPr>
      <w:r w:rsidRPr="002816CD">
        <w:t>requiring respondents to report information to the agency more often than quarterly;</w:t>
      </w:r>
    </w:p>
    <w:p w:rsidR="00CD7F1F" w:rsidRPr="002816CD" w14:paraId="75E8D494" w14:textId="77777777">
      <w:pPr>
        <w:numPr>
          <w:ilvl w:val="0"/>
          <w:numId w:val="7"/>
        </w:numPr>
        <w:pBdr>
          <w:top w:val="nil"/>
          <w:left w:val="nil"/>
          <w:bottom w:val="nil"/>
          <w:right w:val="nil"/>
          <w:between w:val="nil"/>
        </w:pBdr>
        <w:spacing w:before="120"/>
        <w:ind w:left="720"/>
      </w:pPr>
      <w:r w:rsidRPr="002816CD">
        <w:t>requiring respondents to prepare a written response to a collection of information in fewer than 30 days after receipt of it;</w:t>
      </w:r>
    </w:p>
    <w:p w:rsidR="00CD7F1F" w:rsidRPr="002816CD" w14:paraId="003026CF" w14:textId="77777777">
      <w:pPr>
        <w:numPr>
          <w:ilvl w:val="0"/>
          <w:numId w:val="7"/>
        </w:numPr>
        <w:pBdr>
          <w:top w:val="nil"/>
          <w:left w:val="nil"/>
          <w:bottom w:val="nil"/>
          <w:right w:val="nil"/>
          <w:between w:val="nil"/>
        </w:pBdr>
        <w:spacing w:before="120"/>
        <w:ind w:left="720"/>
      </w:pPr>
      <w:r w:rsidRPr="002816CD">
        <w:t xml:space="preserve">requiring respondents to </w:t>
      </w:r>
      <w:r w:rsidRPr="002816CD">
        <w:t>submit more than an original and two copies of any document;</w:t>
      </w:r>
    </w:p>
    <w:p w:rsidR="00CD7F1F" w:rsidRPr="002816CD" w14:paraId="524D7C2F" w14:textId="77777777">
      <w:pPr>
        <w:numPr>
          <w:ilvl w:val="0"/>
          <w:numId w:val="7"/>
        </w:numPr>
        <w:pBdr>
          <w:top w:val="nil"/>
          <w:left w:val="nil"/>
          <w:bottom w:val="nil"/>
          <w:right w:val="nil"/>
          <w:between w:val="nil"/>
        </w:pBdr>
        <w:spacing w:before="120"/>
        <w:ind w:left="720"/>
      </w:pPr>
      <w:r w:rsidRPr="002816CD">
        <w:t>requiring respondents to retain records, other than health, medical, government contract, grant-in- aid, or tax records for more than three years;</w:t>
      </w:r>
    </w:p>
    <w:p w:rsidR="00CD7F1F" w:rsidRPr="002816CD" w14:paraId="01A1FEA1" w14:textId="77777777">
      <w:pPr>
        <w:numPr>
          <w:ilvl w:val="0"/>
          <w:numId w:val="7"/>
        </w:numPr>
        <w:pBdr>
          <w:top w:val="nil"/>
          <w:left w:val="nil"/>
          <w:bottom w:val="nil"/>
          <w:right w:val="nil"/>
          <w:between w:val="nil"/>
        </w:pBdr>
        <w:spacing w:before="120"/>
        <w:ind w:left="720"/>
      </w:pPr>
      <w:r w:rsidRPr="002816CD">
        <w:t>in connection with a statistical survey, that is</w:t>
      </w:r>
      <w:r w:rsidRPr="002816CD">
        <w:t xml:space="preserve"> not designed to produce valid and reliable results that can be generalized to the universe of study;</w:t>
      </w:r>
    </w:p>
    <w:p w:rsidR="00CD7F1F" w:rsidRPr="002816CD" w14:paraId="3EB22966" w14:textId="77777777">
      <w:pPr>
        <w:numPr>
          <w:ilvl w:val="0"/>
          <w:numId w:val="7"/>
        </w:numPr>
        <w:pBdr>
          <w:top w:val="nil"/>
          <w:left w:val="nil"/>
          <w:bottom w:val="nil"/>
          <w:right w:val="nil"/>
          <w:between w:val="nil"/>
        </w:pBdr>
        <w:spacing w:before="120"/>
        <w:ind w:left="720"/>
      </w:pPr>
      <w:r w:rsidRPr="002816CD">
        <w:t>requiring the use of a statistical data classification that has not been reviewed and approved by OMB;</w:t>
      </w:r>
    </w:p>
    <w:p w:rsidR="00CD7F1F" w:rsidRPr="002816CD" w14:paraId="53EB0FC3" w14:textId="77777777">
      <w:pPr>
        <w:numPr>
          <w:ilvl w:val="0"/>
          <w:numId w:val="7"/>
        </w:numPr>
        <w:pBdr>
          <w:top w:val="nil"/>
          <w:left w:val="nil"/>
          <w:bottom w:val="nil"/>
          <w:right w:val="nil"/>
          <w:between w:val="nil"/>
        </w:pBdr>
        <w:spacing w:before="120"/>
        <w:ind w:left="720"/>
      </w:pPr>
      <w:r w:rsidRPr="002816CD">
        <w:t>that includes a pledge of confidentiality that is n</w:t>
      </w:r>
      <w:r w:rsidRPr="002816CD">
        <w:t>ot supported by authority established in statute or regulation, that is not supported by disclosure and data security policies that are consistent with the pledge, or which unnecessarily impedes sharing of data with other agencies for compatible confidenti</w:t>
      </w:r>
      <w:r w:rsidRPr="002816CD">
        <w:t>al use; or</w:t>
      </w:r>
    </w:p>
    <w:p w:rsidR="00CD7F1F" w:rsidRPr="002816CD" w14:paraId="7BC88BBF" w14:textId="77777777">
      <w:pPr>
        <w:numPr>
          <w:ilvl w:val="0"/>
          <w:numId w:val="7"/>
        </w:numPr>
        <w:pBdr>
          <w:top w:val="nil"/>
          <w:left w:val="nil"/>
          <w:bottom w:val="nil"/>
          <w:right w:val="nil"/>
          <w:between w:val="nil"/>
        </w:pBdr>
        <w:spacing w:before="120"/>
        <w:ind w:left="720"/>
      </w:pPr>
      <w:r w:rsidRPr="002816CD">
        <w:t>requiring respondents to submit proprietary trade secret, or other confidential information unless the agency can demonstrate that it has instituted procedures to protect the information's confidentiality to the extent permitted by law.</w:t>
      </w:r>
    </w:p>
    <w:p w:rsidR="00CD7F1F" w14:paraId="57A60B68" w14:textId="77777777">
      <w:pPr>
        <w:pBdr>
          <w:top w:val="nil"/>
          <w:left w:val="nil"/>
          <w:bottom w:val="nil"/>
          <w:right w:val="nil"/>
          <w:between w:val="nil"/>
        </w:pBdr>
        <w:spacing w:before="80"/>
        <w:rPr>
          <w:color w:val="000000"/>
        </w:rPr>
      </w:pPr>
      <w:r>
        <w:rPr>
          <w:color w:val="000000"/>
        </w:rPr>
        <w:t>There ar</w:t>
      </w:r>
      <w:r>
        <w:rPr>
          <w:color w:val="000000"/>
        </w:rPr>
        <w:t xml:space="preserve">e no special circumstances associated with this collection of information that would cause it to be </w:t>
      </w:r>
      <w:r w:rsidR="007A23A6">
        <w:rPr>
          <w:color w:val="000000"/>
        </w:rPr>
        <w:t xml:space="preserve">conducted </w:t>
      </w:r>
      <w:r>
        <w:rPr>
          <w:color w:val="000000"/>
        </w:rPr>
        <w:t xml:space="preserve">in a manner inconsistent with </w:t>
      </w:r>
      <w:r w:rsidR="007A23A6">
        <w:rPr>
          <w:color w:val="000000"/>
        </w:rPr>
        <w:t xml:space="preserve">any of the </w:t>
      </w:r>
      <w:r>
        <w:rPr>
          <w:color w:val="000000"/>
        </w:rPr>
        <w:t>OMB guidelines</w:t>
      </w:r>
      <w:r w:rsidR="007A23A6">
        <w:rPr>
          <w:color w:val="000000"/>
        </w:rPr>
        <w:t xml:space="preserve"> listed above</w:t>
      </w:r>
      <w:r>
        <w:rPr>
          <w:color w:val="000000"/>
        </w:rPr>
        <w:t>.</w:t>
      </w:r>
    </w:p>
    <w:p w:rsidR="002816CD" w14:paraId="181079B6" w14:textId="77777777">
      <w:pPr>
        <w:pBdr>
          <w:top w:val="nil"/>
          <w:left w:val="nil"/>
          <w:bottom w:val="nil"/>
          <w:right w:val="nil"/>
          <w:between w:val="nil"/>
        </w:pBdr>
        <w:spacing w:before="80"/>
        <w:rPr>
          <w:color w:val="000000"/>
        </w:rPr>
      </w:pPr>
    </w:p>
    <w:p w:rsidR="00CD7F1F" w14:paraId="4B1A084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identify the date and page number of </w:t>
      </w:r>
      <w:r>
        <w:rPr>
          <w:b/>
          <w:color w:val="000000"/>
        </w:rPr>
        <w:t>publications in the Federal Register of the agency's notice, required by 5 CFR 1320.8 (d), soliciting comments on the information collection prior to submission to OMB. Summarize public comments received in response to that notice and describe actions take</w:t>
      </w:r>
      <w:r>
        <w:rPr>
          <w:b/>
          <w:color w:val="000000"/>
        </w:rPr>
        <w:t>n by the agency in response to these comments. Specifically address comments received on cost and hour burden.</w:t>
      </w:r>
    </w:p>
    <w:p w:rsidR="007A23A6" w:rsidP="007A23A6" w14:paraId="40BD0288" w14:textId="77777777">
      <w:pPr>
        <w:widowControl/>
      </w:pPr>
    </w:p>
    <w:p w:rsidR="00461DCE" w:rsidP="004A38C9" w14:paraId="2E16FAB7" w14:textId="3944625A">
      <w:pPr>
        <w:pStyle w:val="NormalWeb"/>
        <w:spacing w:before="161" w:beforeAutospacing="0" w:after="0" w:afterAutospacing="0"/>
      </w:pPr>
      <w:r>
        <w:t xml:space="preserve">A </w:t>
      </w:r>
      <w:r w:rsidRPr="0080695E">
        <w:rPr>
          <w:u w:val="single"/>
        </w:rPr>
        <w:t>Federal Register</w:t>
      </w:r>
      <w:r>
        <w:t xml:space="preserve"> Notice published on March 11, 2024 (89 FR 17422) solicited public comment on this collection. </w:t>
      </w:r>
      <w:r w:rsidR="004A38C9">
        <w:t>No public comments were received. NOAA con</w:t>
      </w:r>
      <w:r w:rsidR="00C7125F">
        <w:t>ducted</w:t>
      </w:r>
      <w:r w:rsidR="004A38C9">
        <w:t xml:space="preserve"> additional outreach</w:t>
      </w:r>
      <w:r w:rsidRPr="004A38C9" w:rsidR="004A38C9">
        <w:t xml:space="preserve"> to obtain their views on the availability of data, frequency of collection, the clarity of instructions</w:t>
      </w:r>
      <w:r w:rsidR="004A38C9">
        <w:t xml:space="preserve">, burden, and all other related topics involving gear markings. During that additional timeframe, no comments were received. </w:t>
      </w:r>
      <w:r w:rsidRPr="004A38C9" w:rsidR="004A38C9">
        <w:t xml:space="preserve"> </w:t>
      </w:r>
    </w:p>
    <w:p w:rsidR="00ED7097" w:rsidP="007A23A6" w14:paraId="1FFFD05C" w14:textId="46BDDB2C">
      <w:pPr>
        <w:widowControl/>
      </w:pPr>
    </w:p>
    <w:p w:rsidR="007A23A6" w:rsidRPr="00ED7097" w:rsidP="00ED7097" w14:paraId="33E91CA2" w14:textId="77777777">
      <w:pPr>
        <w:widowControl/>
      </w:pPr>
    </w:p>
    <w:p w:rsidR="00CD7F1F" w14:paraId="10FC4A1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7A23A6" w14:paraId="39B25880" w14:textId="77777777">
      <w:pPr>
        <w:jc w:val="both"/>
      </w:pPr>
    </w:p>
    <w:p w:rsidR="008D051C" w:rsidP="008D051C" w14:paraId="09F9F6AD" w14:textId="531631F5">
      <w:pPr>
        <w:jc w:val="both"/>
      </w:pPr>
      <w:r w:rsidRPr="00091AA5">
        <w:t>No payments or gifts are to be offered as part of this information collection</w:t>
      </w:r>
      <w:r>
        <w:t>.</w:t>
      </w:r>
    </w:p>
    <w:p w:rsidR="00571C06" w:rsidP="008D051C" w14:paraId="158767D0" w14:textId="06A647F2">
      <w:pPr>
        <w:jc w:val="both"/>
      </w:pPr>
    </w:p>
    <w:p w:rsidR="00571C06" w:rsidP="008D051C" w14:paraId="3422B6ED" w14:textId="77777777">
      <w:pPr>
        <w:jc w:val="both"/>
      </w:pPr>
    </w:p>
    <w:p w:rsidR="008D051C" w:rsidP="008D051C" w14:paraId="55790BF6" w14:textId="77777777">
      <w:pPr>
        <w:jc w:val="both"/>
      </w:pPr>
    </w:p>
    <w:p w:rsidR="00CD7F1F" w:rsidRPr="008D051C" w:rsidP="008D051C" w14:paraId="1FCCB04A" w14:textId="77777777">
      <w:pPr>
        <w:pStyle w:val="ListParagraph"/>
        <w:numPr>
          <w:ilvl w:val="0"/>
          <w:numId w:val="3"/>
        </w:numPr>
        <w:ind w:left="0" w:firstLine="1"/>
        <w:jc w:val="both"/>
        <w:rPr>
          <w:b/>
          <w:color w:val="000000"/>
        </w:rPr>
      </w:pPr>
      <w:r w:rsidRPr="008D051C">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w:t>
      </w:r>
      <w:r w:rsidRPr="008D051C">
        <w:rPr>
          <w:b/>
          <w:color w:val="000000"/>
        </w:rPr>
        <w:t>ted and described here.</w:t>
      </w:r>
    </w:p>
    <w:p w:rsidR="00CD7F1F" w14:paraId="0A93CB25" w14:textId="2A19EFEC">
      <w:pPr>
        <w:pBdr>
          <w:top w:val="nil"/>
          <w:left w:val="nil"/>
          <w:bottom w:val="nil"/>
          <w:right w:val="nil"/>
          <w:between w:val="nil"/>
        </w:pBdr>
        <w:spacing w:before="158"/>
        <w:rPr>
          <w:color w:val="2F5496"/>
        </w:rPr>
      </w:pPr>
      <w:r>
        <w:t xml:space="preserve">There is no </w:t>
      </w:r>
      <w:r w:rsidR="00E466BB">
        <w:t xml:space="preserve">assurance of </w:t>
      </w:r>
      <w:r>
        <w:t>confidentiality</w:t>
      </w:r>
      <w:r w:rsidR="00E466BB">
        <w:t xml:space="preserve"> associated with this information collection</w:t>
      </w:r>
      <w:r>
        <w:t>, since this is a display requirement</w:t>
      </w:r>
      <w:r w:rsidR="002816CD">
        <w:rPr>
          <w:color w:val="2F5496"/>
        </w:rPr>
        <w:t>.</w:t>
      </w:r>
    </w:p>
    <w:p w:rsidR="008D051C" w14:paraId="62E5101F" w14:textId="77777777">
      <w:pPr>
        <w:pBdr>
          <w:top w:val="nil"/>
          <w:left w:val="nil"/>
          <w:bottom w:val="nil"/>
          <w:right w:val="nil"/>
          <w:between w:val="nil"/>
        </w:pBdr>
        <w:spacing w:before="158"/>
        <w:rPr>
          <w:color w:val="000000"/>
        </w:rPr>
      </w:pPr>
    </w:p>
    <w:p w:rsidR="00CD7F1F" w14:paraId="08A8729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w:t>
      </w:r>
      <w:r>
        <w:rPr>
          <w:b/>
          <w:color w:val="000000"/>
        </w:rPr>
        <w:t>s the questions necessary, the specific uses to be made of the information, the explanation to be given to persons from whom the information is requested, and any steps to be taken to obtain their consent.</w:t>
      </w:r>
    </w:p>
    <w:p w:rsidR="008D051C" w14:paraId="4141ECD1" w14:textId="77777777">
      <w:pPr>
        <w:pBdr>
          <w:top w:val="nil"/>
          <w:left w:val="nil"/>
          <w:bottom w:val="nil"/>
          <w:right w:val="nil"/>
          <w:between w:val="nil"/>
        </w:pBdr>
        <w:tabs>
          <w:tab w:val="left" w:pos="360"/>
        </w:tabs>
        <w:spacing w:before="80"/>
        <w:rPr>
          <w:b/>
          <w:color w:val="000000"/>
        </w:rPr>
      </w:pPr>
    </w:p>
    <w:p w:rsidR="00CD7F1F" w:rsidP="008D051C" w14:paraId="1926EA77" w14:textId="77777777">
      <w:pPr>
        <w:pBdr>
          <w:top w:val="nil"/>
          <w:left w:val="nil"/>
          <w:bottom w:val="nil"/>
          <w:right w:val="nil"/>
          <w:between w:val="nil"/>
        </w:pBdr>
        <w:tabs>
          <w:tab w:val="left" w:pos="360"/>
        </w:tabs>
        <w:spacing w:before="80"/>
      </w:pPr>
      <w:r w:rsidRPr="00091AA5">
        <w:t>No information of a sensitive nature is requested</w:t>
      </w:r>
      <w:r>
        <w:t>.</w:t>
      </w:r>
    </w:p>
    <w:p w:rsidR="008D051C" w:rsidP="008D051C" w14:paraId="04FD9739" w14:textId="77777777">
      <w:pPr>
        <w:pBdr>
          <w:top w:val="nil"/>
          <w:left w:val="nil"/>
          <w:bottom w:val="nil"/>
          <w:right w:val="nil"/>
          <w:between w:val="nil"/>
        </w:pBdr>
        <w:tabs>
          <w:tab w:val="left" w:pos="360"/>
        </w:tabs>
        <w:spacing w:before="80"/>
      </w:pPr>
    </w:p>
    <w:p w:rsidR="00CD7F1F" w14:paraId="0F9F1DD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CD7F1F" w:rsidP="00F3718D" w14:paraId="664829BA" w14:textId="77777777">
      <w:pPr>
        <w:spacing w:line="259" w:lineRule="auto"/>
        <w:ind w:hanging="43"/>
        <w:rPr>
          <w:b/>
          <w:color w:val="FF0000"/>
        </w:rPr>
      </w:pPr>
    </w:p>
    <w:p w:rsidR="008219ED" w:rsidRPr="006F1C0F" w:rsidP="008219ED" w14:paraId="7975AAFE" w14:textId="3435EAD4">
      <w:pPr>
        <w:widowControl/>
        <w:rPr>
          <w:bCs/>
          <w:u w:val="single"/>
        </w:rPr>
      </w:pPr>
      <w:r w:rsidRPr="006F1C0F">
        <w:rPr>
          <w:color w:val="222222"/>
          <w:shd w:val="clear" w:color="auto" w:fill="FFFFFF"/>
        </w:rPr>
        <w:t>In order to determine burden estimates for both vessel and gear marking the following databases were used, Automated Fisheries Management Support System database,</w:t>
      </w:r>
      <w:r>
        <w:rPr>
          <w:color w:val="222222"/>
          <w:shd w:val="clear" w:color="auto" w:fill="FFFFFF"/>
        </w:rPr>
        <w:t xml:space="preserve"> </w:t>
      </w:r>
      <w:hyperlink r:id="rId9" w:tgtFrame="_blank" w:history="1">
        <w:r w:rsidRPr="006F1C0F">
          <w:rPr>
            <w:color w:val="1155CC"/>
            <w:u w:val="single"/>
            <w:shd w:val="clear" w:color="auto" w:fill="FFFFFF"/>
          </w:rPr>
          <w:t>Greater Atlantic Regional Office permit data</w:t>
        </w:r>
      </w:hyperlink>
      <w:r w:rsidRPr="006F1C0F">
        <w:rPr>
          <w:color w:val="222222"/>
          <w:shd w:val="clear" w:color="auto" w:fill="FFFFFF"/>
        </w:rPr>
        <w:t>, and the</w:t>
      </w:r>
      <w:r>
        <w:rPr>
          <w:color w:val="222222"/>
          <w:shd w:val="clear" w:color="auto" w:fill="FFFFFF"/>
        </w:rPr>
        <w:t xml:space="preserve"> </w:t>
      </w:r>
      <w:hyperlink r:id="rId10" w:tgtFrame="_blank" w:history="1">
        <w:r w:rsidRPr="006F1C0F">
          <w:rPr>
            <w:color w:val="1155CC"/>
            <w:u w:val="single"/>
            <w:shd w:val="clear" w:color="auto" w:fill="FFFFFF"/>
          </w:rPr>
          <w:t>Southeast Regional Office FOIA page</w:t>
        </w:r>
      </w:hyperlink>
      <w:r w:rsidRPr="006F1C0F">
        <w:rPr>
          <w:color w:val="222222"/>
          <w:shd w:val="clear" w:color="auto" w:fill="FFFFFF"/>
        </w:rPr>
        <w:t>.</w:t>
      </w:r>
      <w:r w:rsidR="00A73BAD">
        <w:rPr>
          <w:color w:val="222222"/>
          <w:shd w:val="clear" w:color="auto" w:fill="FFFFFF"/>
        </w:rPr>
        <w:t xml:space="preserve"> </w:t>
      </w:r>
      <w:r w:rsidRPr="006F1C0F">
        <w:rPr>
          <w:color w:val="222222"/>
          <w:shd w:val="clear" w:color="auto" w:fill="FFFFFF"/>
        </w:rPr>
        <w:t>These numbers are subject to change as permit</w:t>
      </w:r>
      <w:r w:rsidRPr="006F1C0F">
        <w:rPr>
          <w:color w:val="222222"/>
          <w:shd w:val="clear" w:color="auto" w:fill="FFFFFF"/>
        </w:rPr>
        <w:t>s expire and are renewed.</w:t>
      </w:r>
      <w:r w:rsidR="00A73BAD">
        <w:rPr>
          <w:color w:val="222222"/>
          <w:shd w:val="clear" w:color="auto" w:fill="FFFFFF"/>
        </w:rPr>
        <w:t xml:space="preserve"> </w:t>
      </w:r>
    </w:p>
    <w:p w:rsidR="008219ED" w:rsidP="00F3718D" w14:paraId="322DDE17" w14:textId="77777777">
      <w:pPr>
        <w:spacing w:line="259" w:lineRule="auto"/>
        <w:ind w:hanging="43"/>
        <w:rPr>
          <w:b/>
          <w:color w:val="FF0000"/>
        </w:rPr>
      </w:pPr>
    </w:p>
    <w:p w:rsidR="008219ED" w:rsidP="00F3718D" w14:paraId="24ADF019" w14:textId="77777777">
      <w:pPr>
        <w:spacing w:line="259" w:lineRule="auto"/>
        <w:ind w:hanging="43"/>
        <w:rPr>
          <w:b/>
          <w:color w:val="FF0000"/>
        </w:rPr>
      </w:pPr>
      <w:r>
        <w:rPr>
          <w:b/>
          <w:bCs/>
          <w:u w:val="single"/>
        </w:rPr>
        <w:t>Vessel marking</w:t>
      </w:r>
    </w:p>
    <w:p w:rsidR="008219ED" w:rsidP="00F3718D" w14:paraId="3FE0BD75" w14:textId="77777777">
      <w:pPr>
        <w:spacing w:line="259" w:lineRule="auto"/>
        <w:ind w:hanging="43"/>
        <w:rPr>
          <w:b/>
          <w:color w:val="FF0000"/>
        </w:rPr>
      </w:pPr>
    </w:p>
    <w:p w:rsidR="008219ED" w:rsidP="008219ED" w14:paraId="2BD10B32" w14:textId="47BB02C7">
      <w:pPr>
        <w:widowControl/>
      </w:pPr>
      <w:r>
        <w:t xml:space="preserve">Of the </w:t>
      </w:r>
      <w:r w:rsidR="00BB3BC1">
        <w:t>7,043</w:t>
      </w:r>
      <w:r>
        <w:t xml:space="preserve"> commercial permit holders in the Atlantic tuna fishery and general commercial swordfish fishery, </w:t>
      </w:r>
      <w:r w:rsidR="00BB3BC1">
        <w:t>1,074</w:t>
      </w:r>
      <w:r>
        <w:t xml:space="preserve"> also have NMFS Northeast Regional Office permits and thus are covered under that vessel marking </w:t>
      </w:r>
      <w:r>
        <w:t>collection (OMB Control No. 0648-0350).</w:t>
      </w:r>
      <w:r w:rsidR="00A73BAD">
        <w:t xml:space="preserve"> </w:t>
      </w:r>
      <w:r>
        <w:t xml:space="preserve">This leaves </w:t>
      </w:r>
      <w:r w:rsidR="00BB3BC1">
        <w:t>5,969</w:t>
      </w:r>
      <w:r>
        <w:t xml:space="preserve"> Atlantic tuna or general commercial swordfish permit holders that would need to be covered by the HMS vessel marking collection. </w:t>
      </w:r>
    </w:p>
    <w:p w:rsidR="008219ED" w:rsidP="008219ED" w14:paraId="0DA740E7" w14:textId="77777777">
      <w:pPr>
        <w:widowControl/>
      </w:pPr>
    </w:p>
    <w:p w:rsidR="008219ED" w:rsidP="008219ED" w14:paraId="6471992F" w14:textId="35C77513">
      <w:pPr>
        <w:spacing w:line="259" w:lineRule="auto"/>
        <w:ind w:hanging="43"/>
        <w:rPr>
          <w:b/>
          <w:color w:val="FF0000"/>
        </w:rPr>
      </w:pPr>
      <w:r>
        <w:t xml:space="preserve">The total number of vessels fishing for swordfish and sharks using </w:t>
      </w:r>
      <w:r>
        <w:t>longline</w:t>
      </w:r>
      <w:r w:rsidR="00BB3BC1">
        <w:t>, harpoon, buoy gear,</w:t>
      </w:r>
      <w:r>
        <w:t xml:space="preserve"> or gillnet gear in the U.S. exclusive economic zone (EEZ) is estimated at approximately </w:t>
      </w:r>
      <w:r w:rsidR="00BB3BC1">
        <w:t>266</w:t>
      </w:r>
      <w:r>
        <w:t>.</w:t>
      </w:r>
      <w:r w:rsidR="00A73BAD">
        <w:t xml:space="preserve"> </w:t>
      </w:r>
      <w:r>
        <w:t xml:space="preserve"> It is further estimated that approximately </w:t>
      </w:r>
      <w:r w:rsidR="00BB3BC1">
        <w:t>64</w:t>
      </w:r>
      <w:r>
        <w:t xml:space="preserve"> percent of these longline vessels (2</w:t>
      </w:r>
      <w:r w:rsidR="00A135B0">
        <w:t>62</w:t>
      </w:r>
      <w:r>
        <w:t>) have NMFS Southeast Regional Office permits fo</w:t>
      </w:r>
      <w:r>
        <w:t>r additional fisheries and would thus be covered under the vessel marking collection for those fisheries (OMB Control No. 0648-0358).</w:t>
      </w:r>
      <w:r w:rsidR="00A73BAD">
        <w:t xml:space="preserve"> </w:t>
      </w:r>
      <w:r>
        <w:t xml:space="preserve">This leaves about </w:t>
      </w:r>
      <w:r w:rsidR="00BB3BC1">
        <w:t>101</w:t>
      </w:r>
      <w:r>
        <w:t xml:space="preserve"> longline</w:t>
      </w:r>
      <w:r w:rsidR="00BB3BC1">
        <w:t>, harpoon, buoy gear, or gillnet vessels</w:t>
      </w:r>
      <w:r>
        <w:t xml:space="preserve"> to be covered by the HMS vessel marking collection.</w:t>
      </w:r>
      <w:r w:rsidR="00A73BAD">
        <w:t xml:space="preserve"> </w:t>
      </w:r>
      <w:r w:rsidR="005B34A6">
        <w:t xml:space="preserve">Finally, there were 76 vessels holding Caribbean Smallboat Permits also covered by the HMS vessel marking collection, for a combined 6,146 vessels covered by this ICR. </w:t>
      </w:r>
      <w:r>
        <w:t>Estimated time to mark each vessel is 45 minutes.</w:t>
      </w:r>
      <w:r w:rsidR="005B34A6">
        <w:t xml:space="preserve"> </w:t>
      </w:r>
    </w:p>
    <w:p w:rsidR="008219ED" w:rsidP="00F3718D" w14:paraId="750E93E9" w14:textId="77777777">
      <w:pPr>
        <w:spacing w:line="259" w:lineRule="auto"/>
        <w:ind w:hanging="43"/>
        <w:rPr>
          <w:b/>
          <w:color w:val="FF0000"/>
        </w:rPr>
      </w:pPr>
    </w:p>
    <w:p w:rsidR="008219ED" w:rsidP="008219ED" w14:paraId="4B4D4ACE" w14:textId="77777777">
      <w:pPr>
        <w:widowControl/>
      </w:pPr>
      <w:r>
        <w:rPr>
          <w:b/>
          <w:bCs/>
          <w:u w:val="single"/>
        </w:rPr>
        <w:t>Gear marking</w:t>
      </w:r>
    </w:p>
    <w:p w:rsidR="008219ED" w:rsidP="008219ED" w14:paraId="6F3B8FBC" w14:textId="77777777">
      <w:pPr>
        <w:widowControl/>
      </w:pPr>
    </w:p>
    <w:p w:rsidR="008219ED" w:rsidP="008219ED" w14:paraId="5B060366" w14:textId="34A5EC26">
      <w:pPr>
        <w:widowControl/>
      </w:pPr>
      <w:r>
        <w:rPr>
          <w:u w:val="single"/>
        </w:rPr>
        <w:t>Handline and Harpoon</w:t>
      </w:r>
      <w:r>
        <w:t xml:space="preserve">: The total number of vessels with commercial tuna or general commercial swordfish permits and vessels with recreational permits fishing for HMS using handline and harpoon in the EEZ is estimated at approximately </w:t>
      </w:r>
      <w:r w:rsidR="00610296">
        <w:t>1</w:t>
      </w:r>
      <w:r w:rsidR="00BB3BC1">
        <w:t>09</w:t>
      </w:r>
      <w:r w:rsidR="00610296">
        <w:t xml:space="preserve"> </w:t>
      </w:r>
      <w:r>
        <w:t xml:space="preserve">as of October 1, </w:t>
      </w:r>
      <w:r w:rsidR="00610296">
        <w:t>202</w:t>
      </w:r>
      <w:r w:rsidR="00BB3BC1">
        <w:t>2</w:t>
      </w:r>
      <w:r>
        <w:t>.</w:t>
      </w:r>
      <w:r w:rsidR="00A73BAD">
        <w:t xml:space="preserve"> </w:t>
      </w:r>
      <w:r>
        <w:t xml:space="preserve">Estimated time </w:t>
      </w:r>
      <w:r>
        <w:t>to mark each float is 15 minutes.</w:t>
      </w:r>
      <w:r w:rsidR="00A73BAD">
        <w:t xml:space="preserve"> </w:t>
      </w:r>
      <w:r>
        <w:t xml:space="preserve">In most cases, regulations, availability of fish, or weather/sea conditions would limit catch to a few fish per day; thus, it is assumed that each vessel would have a maximum of five floats. </w:t>
      </w:r>
    </w:p>
    <w:p w:rsidR="008219ED" w:rsidP="008219ED" w14:paraId="10BD53AC" w14:textId="77777777">
      <w:pPr>
        <w:widowControl/>
      </w:pPr>
    </w:p>
    <w:p w:rsidR="008219ED" w:rsidP="008219ED" w14:paraId="4A3FAB60" w14:textId="50ACA427">
      <w:pPr>
        <w:widowControl/>
      </w:pPr>
      <w:r>
        <w:rPr>
          <w:u w:val="single"/>
        </w:rPr>
        <w:t>Longline gear</w:t>
      </w:r>
      <w:r>
        <w:t xml:space="preserve">: As of October </w:t>
      </w:r>
      <w:r>
        <w:t xml:space="preserve">1, </w:t>
      </w:r>
      <w:r w:rsidR="00610296">
        <w:t>202</w:t>
      </w:r>
      <w:r w:rsidR="00BB3BC1">
        <w:t>2</w:t>
      </w:r>
      <w:r>
        <w:t xml:space="preserve">, the total number of vessels permitted to fish for swordfish in the EEZ was </w:t>
      </w:r>
      <w:r w:rsidR="00BB3BC1">
        <w:t>102</w:t>
      </w:r>
      <w:r>
        <w:t>.</w:t>
      </w:r>
      <w:r w:rsidR="00A73BAD">
        <w:t xml:space="preserve"> </w:t>
      </w:r>
      <w:r>
        <w:t>Most of these vessels primarily use pelagic longline gear.</w:t>
      </w:r>
      <w:r w:rsidR="00A73BAD">
        <w:t xml:space="preserve"> </w:t>
      </w:r>
      <w:r>
        <w:t xml:space="preserve">Also, as of October 1, </w:t>
      </w:r>
      <w:r w:rsidR="00610296">
        <w:t>202</w:t>
      </w:r>
      <w:r w:rsidR="00BB3BC1">
        <w:t>2</w:t>
      </w:r>
      <w:r>
        <w:t xml:space="preserve">, </w:t>
      </w:r>
      <w:r w:rsidR="00BB3BC1">
        <w:t>1</w:t>
      </w:r>
      <w:r w:rsidR="00610296">
        <w:t>5</w:t>
      </w:r>
      <w:r>
        <w:t xml:space="preserve"> vessels </w:t>
      </w:r>
      <w:r w:rsidR="00610296">
        <w:t xml:space="preserve">actively </w:t>
      </w:r>
      <w:r>
        <w:t>use bottom longline gear</w:t>
      </w:r>
      <w:r w:rsidR="00610296">
        <w:t xml:space="preserve"> to fish for sharks</w:t>
      </w:r>
      <w:r>
        <w:t>.</w:t>
      </w:r>
    </w:p>
    <w:p w:rsidR="008219ED" w:rsidP="008219ED" w14:paraId="079E5D11" w14:textId="77777777">
      <w:pPr>
        <w:widowControl/>
      </w:pPr>
    </w:p>
    <w:p w:rsidR="008219ED" w:rsidP="008219ED" w14:paraId="61650AD3" w14:textId="04B8D75E">
      <w:pPr>
        <w:widowControl/>
      </w:pPr>
      <w:r>
        <w:t>Vessels using</w:t>
      </w:r>
      <w:r>
        <w:t xml:space="preserve"> pelagic longline gear use approximately eight radio beacons called high-fliers to monitor each longline set.</w:t>
      </w:r>
      <w:r w:rsidR="00A73BAD">
        <w:t xml:space="preserve"> </w:t>
      </w:r>
      <w:r>
        <w:t>These high-flyers are generally not used on bottom longline gear.</w:t>
      </w:r>
      <w:r w:rsidR="00A73BAD">
        <w:t xml:space="preserve"> </w:t>
      </w:r>
      <w:r>
        <w:t>In addition, both the pelagic and bottom longline fisheries for HMS mark both en</w:t>
      </w:r>
      <w:r>
        <w:t>ds of the longline with terminal floats. Estimated time to mark each high-flier or float is 15 minutes.</w:t>
      </w:r>
    </w:p>
    <w:p w:rsidR="008219ED" w:rsidP="008219ED" w14:paraId="7C5D1C96" w14:textId="77777777">
      <w:pPr>
        <w:widowControl/>
      </w:pPr>
    </w:p>
    <w:p w:rsidR="008219ED" w:rsidP="008219ED" w14:paraId="1B1EA1D4" w14:textId="757D0EED">
      <w:pPr>
        <w:widowControl/>
      </w:pPr>
      <w:r>
        <w:rPr>
          <w:u w:val="single"/>
        </w:rPr>
        <w:t>Swordfish Buoy Gear</w:t>
      </w:r>
      <w:r>
        <w:t xml:space="preserve">: As of October 1, </w:t>
      </w:r>
      <w:r w:rsidR="00610296">
        <w:t>202</w:t>
      </w:r>
      <w:r w:rsidR="00BB3BC1">
        <w:t>2</w:t>
      </w:r>
      <w:r>
        <w:t xml:space="preserve">, there are </w:t>
      </w:r>
      <w:r w:rsidR="00610296">
        <w:t>8</w:t>
      </w:r>
      <w:r w:rsidR="00BB3BC1">
        <w:t>6</w:t>
      </w:r>
      <w:r w:rsidR="00610296">
        <w:t xml:space="preserve"> </w:t>
      </w:r>
      <w:r>
        <w:t>vessels participating in the swordfish handgear fishery, which may include the use of buoy gea</w:t>
      </w:r>
      <w:r>
        <w:t>r.</w:t>
      </w:r>
      <w:r w:rsidR="00A73BAD">
        <w:t xml:space="preserve"> </w:t>
      </w:r>
      <w:r>
        <w:t>Participants in this fishery may have up to 35 flotation devices onboard, all of which would be marked with either the vessel or permit identification number.</w:t>
      </w:r>
      <w:r w:rsidR="00A73BAD">
        <w:t xml:space="preserve"> </w:t>
      </w:r>
    </w:p>
    <w:p w:rsidR="008219ED" w:rsidP="008219ED" w14:paraId="0132F4E5" w14:textId="77777777">
      <w:pPr>
        <w:widowControl/>
      </w:pPr>
    </w:p>
    <w:p w:rsidR="008219ED" w:rsidP="008219ED" w14:paraId="1AE9B57C" w14:textId="4B76BC87">
      <w:pPr>
        <w:widowControl/>
      </w:pPr>
      <w:r>
        <w:rPr>
          <w:u w:val="single"/>
        </w:rPr>
        <w:t>Gillnet gear</w:t>
      </w:r>
      <w:r>
        <w:t>: In HMS fisheries, gillnet gear can only be used in the shark fishery. As of Oc</w:t>
      </w:r>
      <w:r>
        <w:t xml:space="preserve">tober 1, </w:t>
      </w:r>
      <w:r w:rsidR="00610296">
        <w:t>202</w:t>
      </w:r>
      <w:r w:rsidR="00BB3BC1">
        <w:t>2</w:t>
      </w:r>
      <w:r>
        <w:t xml:space="preserve">, </w:t>
      </w:r>
      <w:r w:rsidR="00BB3BC1">
        <w:t>22</w:t>
      </w:r>
      <w:r w:rsidR="00610296">
        <w:t xml:space="preserve"> </w:t>
      </w:r>
      <w:r>
        <w:t>vessels participate in the gillnet fishery for sharks.</w:t>
      </w:r>
      <w:r w:rsidR="00A73BAD">
        <w:t xml:space="preserve"> </w:t>
      </w:r>
      <w:r>
        <w:t>Gillnet gear is usually marked with terminal floats at each end. Estimated time to mark each float is 15 minutes.</w:t>
      </w:r>
      <w:r w:rsidR="00A73BAD">
        <w:t xml:space="preserve"> </w:t>
      </w:r>
    </w:p>
    <w:p w:rsidR="008219ED" w:rsidP="008219ED" w14:paraId="12E403AF" w14:textId="77777777">
      <w:pPr>
        <w:widowControl/>
      </w:pPr>
    </w:p>
    <w:p w:rsidR="008219ED" w:rsidP="008219ED" w14:paraId="506E00F1" w14:textId="606EB21A">
      <w:pPr>
        <w:widowControl/>
      </w:pPr>
      <w:r w:rsidRPr="00752447">
        <w:rPr>
          <w:u w:val="single"/>
        </w:rPr>
        <w:t>Caribbean Small Boat Permit</w:t>
      </w:r>
      <w:r w:rsidRPr="00752447">
        <w:t xml:space="preserve">: </w:t>
      </w:r>
      <w:r>
        <w:t>The Caribbean Small Boat Permit is a c</w:t>
      </w:r>
      <w:r>
        <w:t>ommercial fishing permit for fishermen in the Caribbean region.</w:t>
      </w:r>
      <w:r w:rsidR="00A73BAD">
        <w:t xml:space="preserve"> </w:t>
      </w:r>
      <w:r>
        <w:t>Buoy gear is an authorized gear type for this commercial permit and similar to the swordfish handgear fishery, participants are limited to 35 flotation devices.</w:t>
      </w:r>
      <w:r w:rsidR="00A73BAD">
        <w:t xml:space="preserve"> </w:t>
      </w:r>
      <w:r>
        <w:t xml:space="preserve">As of October 1, </w:t>
      </w:r>
      <w:r w:rsidR="00610296">
        <w:t>202</w:t>
      </w:r>
      <w:r w:rsidR="00BB3BC1">
        <w:t>2</w:t>
      </w:r>
      <w:r>
        <w:t xml:space="preserve">, there </w:t>
      </w:r>
      <w:r w:rsidR="00610296">
        <w:t xml:space="preserve">were </w:t>
      </w:r>
      <w:r w:rsidR="00BB3BC1">
        <w:t>76</w:t>
      </w:r>
      <w:r w:rsidR="00610296">
        <w:t xml:space="preserve"> </w:t>
      </w:r>
      <w:r>
        <w:t>vessels that hold the Caribbean Small Boat Permit.</w:t>
      </w:r>
    </w:p>
    <w:p w:rsidR="00633715" w:rsidP="008219ED" w14:paraId="11B37114" w14:textId="2C05D9BE">
      <w:pPr>
        <w:widowControl/>
      </w:pPr>
    </w:p>
    <w:p w:rsidR="006A330C" w:rsidP="008219ED" w14:paraId="6E6F37BE" w14:textId="77777777">
      <w:pPr>
        <w:widowControl/>
        <w:sectPr>
          <w:footerReference w:type="default" r:id="rId11"/>
          <w:pgSz w:w="12240" w:h="15840"/>
          <w:pgMar w:top="1080" w:right="640" w:bottom="1080" w:left="1200" w:header="0" w:footer="1014" w:gutter="0"/>
          <w:cols w:space="720"/>
        </w:sectPr>
      </w:pPr>
    </w:p>
    <w:p w:rsidR="00A135B0" w:rsidP="008219ED" w14:paraId="2726EDC3" w14:textId="77777777">
      <w:pPr>
        <w:widowControl/>
      </w:pPr>
    </w:p>
    <w:p w:rsidR="00A135B0" w:rsidRPr="00752447" w:rsidP="008219ED" w14:paraId="1B7C29A9" w14:textId="28616A58">
      <w:pPr>
        <w:widowControl/>
        <w:rPr>
          <w:u w:val="single"/>
        </w:rPr>
      </w:pPr>
      <w:r>
        <w:t>Hourly wage rates were obtained from the Bureau of Labor Statistic’s Occupational Outlook Handbook, and used the 202</w:t>
      </w:r>
      <w:r w:rsidR="00BB3BC1">
        <w:t>4</w:t>
      </w:r>
      <w:r>
        <w:t xml:space="preserve"> wage rate for 45-0000 Farming, Fishing, and Forestry Occupations.</w:t>
      </w:r>
    </w:p>
    <w:p w:rsidR="008219ED" w:rsidP="00F3718D" w14:paraId="0556E761" w14:textId="77777777">
      <w:pPr>
        <w:spacing w:line="259" w:lineRule="auto"/>
        <w:ind w:hanging="43"/>
        <w:rPr>
          <w:b/>
        </w:rPr>
      </w:pPr>
    </w:p>
    <w:p w:rsidR="00F3718D" w:rsidRPr="00F3718D" w:rsidP="00F3718D" w14:paraId="71F72371" w14:textId="2796EAFA">
      <w:pPr>
        <w:spacing w:line="259" w:lineRule="auto"/>
        <w:ind w:hanging="43"/>
        <w:rPr>
          <w:b/>
        </w:rPr>
      </w:pPr>
      <w:r>
        <w:rPr>
          <w:b/>
        </w:rPr>
        <w:t>Table 1.</w:t>
      </w:r>
      <w:r w:rsidR="00A73BAD">
        <w:rPr>
          <w:b/>
        </w:rPr>
        <w:t xml:space="preserve"> </w:t>
      </w:r>
      <w:r>
        <w:rPr>
          <w:b/>
        </w:rPr>
        <w:t>Estimates of the hourly burden and wage costs associated with the annual application of vessel and gear marks in the Atlantic HMS commercial fishery.</w:t>
      </w:r>
    </w:p>
    <w:p w:rsidR="00F3718D" w:rsidP="00F3718D" w14:paraId="31179086" w14:textId="77777777">
      <w:pPr>
        <w:spacing w:line="259" w:lineRule="auto"/>
        <w:ind w:hanging="43"/>
        <w:rPr>
          <w:b/>
          <w:color w:val="FF0000"/>
        </w:rPr>
      </w:pPr>
    </w:p>
    <w:tbl>
      <w:tblPr>
        <w:tblW w:w="10700" w:type="dxa"/>
        <w:jc w:val="center"/>
        <w:tblLook w:val="04A0"/>
      </w:tblPr>
      <w:tblGrid>
        <w:gridCol w:w="1958"/>
        <w:gridCol w:w="1094"/>
        <w:gridCol w:w="1441"/>
        <w:gridCol w:w="1159"/>
        <w:gridCol w:w="1092"/>
        <w:gridCol w:w="900"/>
        <w:gridCol w:w="860"/>
        <w:gridCol w:w="1066"/>
        <w:gridCol w:w="1130"/>
      </w:tblGrid>
      <w:tr w14:paraId="5B6F2731" w14:textId="77777777" w:rsidTr="000E6365">
        <w:tblPrEx>
          <w:tblW w:w="10700" w:type="dxa"/>
          <w:jc w:val="center"/>
          <w:tblLook w:val="04A0"/>
        </w:tblPrEx>
        <w:trPr>
          <w:trHeight w:val="1125"/>
          <w:jc w:val="center"/>
        </w:trPr>
        <w:tc>
          <w:tcPr>
            <w:tcW w:w="1958" w:type="dxa"/>
            <w:vMerge w:val="restart"/>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A135B0" w:rsidRPr="00A135B0" w:rsidP="00A135B0" w14:paraId="701042DD"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Information Collection</w:t>
            </w:r>
          </w:p>
        </w:tc>
        <w:tc>
          <w:tcPr>
            <w:tcW w:w="1094" w:type="dxa"/>
            <w:vMerge w:val="restart"/>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A135B0" w:rsidRPr="00A135B0" w:rsidP="00A135B0" w14:paraId="3AE1FE7D"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xml:space="preserve">Type </w:t>
            </w:r>
            <w:r w:rsidRPr="00A135B0">
              <w:rPr>
                <w:rFonts w:ascii="Calibri" w:hAnsi="Calibri" w:cs="Calibri"/>
                <w:b/>
                <w:bCs/>
                <w:color w:val="000000"/>
                <w:sz w:val="16"/>
                <w:szCs w:val="16"/>
              </w:rPr>
              <w:t>of Respondent (e.g., Occupational Title)</w:t>
            </w:r>
          </w:p>
        </w:tc>
        <w:tc>
          <w:tcPr>
            <w:tcW w:w="1441"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0AECD1F6"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of Respondents/year</w:t>
            </w:r>
          </w:p>
        </w:tc>
        <w:tc>
          <w:tcPr>
            <w:tcW w:w="1159"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3A3F87F5"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Annual # of Responses / Respondent</w:t>
            </w:r>
          </w:p>
        </w:tc>
        <w:tc>
          <w:tcPr>
            <w:tcW w:w="1092"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324FA7AF"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xml:space="preserve"> Total # of Annual Responses</w:t>
            </w:r>
          </w:p>
        </w:tc>
        <w:tc>
          <w:tcPr>
            <w:tcW w:w="900"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34E0AAB5"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Burden Hrs / Response</w:t>
            </w:r>
          </w:p>
        </w:tc>
        <w:tc>
          <w:tcPr>
            <w:tcW w:w="860"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2A01BC32"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Total Annual Burden Hrs</w:t>
            </w:r>
          </w:p>
        </w:tc>
        <w:tc>
          <w:tcPr>
            <w:tcW w:w="1066"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1F9D86DC" w14:textId="090040EB">
            <w:pPr>
              <w:widowControl/>
              <w:jc w:val="center"/>
              <w:rPr>
                <w:rFonts w:ascii="Calibri" w:hAnsi="Calibri" w:cs="Calibri"/>
                <w:b/>
                <w:bCs/>
                <w:color w:val="000000"/>
                <w:sz w:val="16"/>
                <w:szCs w:val="16"/>
              </w:rPr>
            </w:pPr>
            <w:r w:rsidRPr="00A135B0">
              <w:rPr>
                <w:rFonts w:ascii="Calibri" w:hAnsi="Calibri" w:cs="Calibri"/>
                <w:b/>
                <w:bCs/>
                <w:color w:val="000000"/>
                <w:sz w:val="16"/>
                <w:szCs w:val="16"/>
              </w:rPr>
              <w:t>Hourly Wage Rate</w:t>
            </w:r>
            <w:r w:rsidR="00A73BAD">
              <w:rPr>
                <w:rFonts w:ascii="Calibri" w:hAnsi="Calibri" w:cs="Calibri"/>
                <w:b/>
                <w:bCs/>
                <w:color w:val="000000"/>
                <w:sz w:val="16"/>
                <w:szCs w:val="16"/>
              </w:rPr>
              <w:t xml:space="preserve"> </w:t>
            </w:r>
            <w:r w:rsidRPr="00A135B0">
              <w:rPr>
                <w:rFonts w:ascii="Calibri" w:hAnsi="Calibri" w:cs="Calibri"/>
                <w:b/>
                <w:bCs/>
                <w:color w:val="000000"/>
                <w:sz w:val="16"/>
                <w:szCs w:val="16"/>
              </w:rPr>
              <w:t>(for Type of Respondent)</w:t>
            </w:r>
          </w:p>
        </w:tc>
        <w:tc>
          <w:tcPr>
            <w:tcW w:w="1130"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794B5E57"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Total Annual Wage Burden Costs</w:t>
            </w:r>
          </w:p>
        </w:tc>
      </w:tr>
      <w:tr w14:paraId="15BCE050" w14:textId="77777777" w:rsidTr="000E6365">
        <w:tblPrEx>
          <w:tblW w:w="10700" w:type="dxa"/>
          <w:jc w:val="center"/>
          <w:tblLook w:val="04A0"/>
        </w:tblPrEx>
        <w:trPr>
          <w:trHeight w:val="315"/>
          <w:jc w:val="center"/>
        </w:trPr>
        <w:tc>
          <w:tcPr>
            <w:tcW w:w="1958" w:type="dxa"/>
            <w:vMerge/>
            <w:tcBorders>
              <w:top w:val="single" w:sz="8" w:space="0" w:color="000000"/>
              <w:left w:val="single" w:sz="8" w:space="0" w:color="000000"/>
              <w:bottom w:val="single" w:sz="8" w:space="0" w:color="000000"/>
              <w:right w:val="single" w:sz="8" w:space="0" w:color="000000"/>
            </w:tcBorders>
            <w:vAlign w:val="center"/>
            <w:hideMark/>
          </w:tcPr>
          <w:p w:rsidR="00A135B0" w:rsidRPr="00A135B0" w:rsidP="00A135B0" w14:paraId="523F58BE" w14:textId="77777777">
            <w:pPr>
              <w:widowControl/>
              <w:rPr>
                <w:rFonts w:ascii="Calibri" w:hAnsi="Calibri" w:cs="Calibri"/>
                <w:b/>
                <w:bCs/>
                <w:color w:val="000000"/>
                <w:sz w:val="16"/>
                <w:szCs w:val="16"/>
              </w:rPr>
            </w:pPr>
          </w:p>
        </w:tc>
        <w:tc>
          <w:tcPr>
            <w:tcW w:w="1094" w:type="dxa"/>
            <w:vMerge/>
            <w:tcBorders>
              <w:top w:val="single" w:sz="8" w:space="0" w:color="000000"/>
              <w:left w:val="single" w:sz="8" w:space="0" w:color="000000"/>
              <w:bottom w:val="single" w:sz="8" w:space="0" w:color="000000"/>
              <w:right w:val="single" w:sz="8" w:space="0" w:color="000000"/>
            </w:tcBorders>
            <w:vAlign w:val="center"/>
            <w:hideMark/>
          </w:tcPr>
          <w:p w:rsidR="00A135B0" w:rsidRPr="00A135B0" w:rsidP="00A135B0" w14:paraId="633C57F9" w14:textId="77777777">
            <w:pPr>
              <w:widowControl/>
              <w:rPr>
                <w:rFonts w:ascii="Calibri" w:hAnsi="Calibri" w:cs="Calibri"/>
                <w:b/>
                <w:bCs/>
                <w:color w:val="000000"/>
                <w:sz w:val="16"/>
                <w:szCs w:val="16"/>
              </w:rPr>
            </w:pPr>
          </w:p>
        </w:tc>
        <w:tc>
          <w:tcPr>
            <w:tcW w:w="1441"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1D07DB54"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(a)</w:t>
            </w:r>
          </w:p>
        </w:tc>
        <w:tc>
          <w:tcPr>
            <w:tcW w:w="1159"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5175E042"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(b)</w:t>
            </w:r>
          </w:p>
        </w:tc>
        <w:tc>
          <w:tcPr>
            <w:tcW w:w="1092"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32292D67"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(c) = (a) x (b)</w:t>
            </w:r>
          </w:p>
        </w:tc>
        <w:tc>
          <w:tcPr>
            <w:tcW w:w="900"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70BF91B2"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(d)</w:t>
            </w:r>
          </w:p>
        </w:tc>
        <w:tc>
          <w:tcPr>
            <w:tcW w:w="860"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00454C3C" w14:textId="17AFA4EC">
            <w:pPr>
              <w:widowControl/>
              <w:jc w:val="center"/>
              <w:rPr>
                <w:rFonts w:ascii="Calibri" w:hAnsi="Calibri" w:cs="Calibri"/>
                <w:b/>
                <w:bCs/>
                <w:color w:val="000000"/>
                <w:sz w:val="16"/>
                <w:szCs w:val="16"/>
              </w:rPr>
            </w:pPr>
            <w:r w:rsidRPr="00A135B0">
              <w:rPr>
                <w:rFonts w:ascii="Calibri" w:hAnsi="Calibri" w:cs="Calibri"/>
                <w:b/>
                <w:bCs/>
                <w:color w:val="000000"/>
                <w:sz w:val="16"/>
                <w:szCs w:val="16"/>
              </w:rPr>
              <w:t>(e)</w:t>
            </w:r>
            <w:r w:rsidR="00A73BAD">
              <w:rPr>
                <w:rFonts w:ascii="Calibri" w:hAnsi="Calibri" w:cs="Calibri"/>
                <w:b/>
                <w:bCs/>
                <w:color w:val="000000"/>
                <w:sz w:val="16"/>
                <w:szCs w:val="16"/>
              </w:rPr>
              <w:t xml:space="preserve"> </w:t>
            </w:r>
            <w:r w:rsidRPr="00A135B0">
              <w:rPr>
                <w:rFonts w:ascii="Calibri" w:hAnsi="Calibri" w:cs="Calibri"/>
                <w:b/>
                <w:bCs/>
                <w:color w:val="000000"/>
                <w:sz w:val="16"/>
                <w:szCs w:val="16"/>
              </w:rPr>
              <w:t>= (c) x (d)</w:t>
            </w:r>
          </w:p>
        </w:tc>
        <w:tc>
          <w:tcPr>
            <w:tcW w:w="1066"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7D8A42EE"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(f)</w:t>
            </w:r>
          </w:p>
        </w:tc>
        <w:tc>
          <w:tcPr>
            <w:tcW w:w="1130"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3C3699F3"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(g) = (e) x (f)</w:t>
            </w:r>
          </w:p>
        </w:tc>
      </w:tr>
      <w:tr w14:paraId="48720AF5" w14:textId="77777777" w:rsidTr="00810EB4">
        <w:tblPrEx>
          <w:tblW w:w="10700" w:type="dxa"/>
          <w:jc w:val="center"/>
          <w:tblLook w:val="04A0"/>
        </w:tblPrEx>
        <w:trPr>
          <w:trHeight w:val="315"/>
          <w:jc w:val="center"/>
        </w:trPr>
        <w:tc>
          <w:tcPr>
            <w:tcW w:w="10700" w:type="dxa"/>
            <w:gridSpan w:val="9"/>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0E6365" w:rsidRPr="000E6365" w:rsidP="000E6365" w14:paraId="28D9D94C" w14:textId="2DFD1677">
            <w:pPr>
              <w:widowControl/>
              <w:rPr>
                <w:rFonts w:ascii="Calibri" w:hAnsi="Calibri" w:cs="Calibri"/>
                <w:b/>
                <w:color w:val="000000"/>
                <w:sz w:val="16"/>
                <w:szCs w:val="16"/>
              </w:rPr>
            </w:pPr>
            <w:r w:rsidRPr="000E6365">
              <w:rPr>
                <w:rFonts w:ascii="Calibri" w:hAnsi="Calibri" w:cs="Calibri"/>
                <w:b/>
                <w:color w:val="000000"/>
                <w:sz w:val="16"/>
                <w:szCs w:val="16"/>
              </w:rPr>
              <w:t>Vessel Markings</w:t>
            </w:r>
          </w:p>
        </w:tc>
      </w:tr>
      <w:tr w14:paraId="1844129B" w14:textId="77777777" w:rsidTr="000E6365">
        <w:tblPrEx>
          <w:tblW w:w="10700" w:type="dxa"/>
          <w:jc w:val="center"/>
          <w:tblLook w:val="04A0"/>
        </w:tblPrEx>
        <w:trPr>
          <w:trHeight w:val="315"/>
          <w:jc w:val="center"/>
        </w:trPr>
        <w:tc>
          <w:tcPr>
            <w:tcW w:w="1958" w:type="dxa"/>
            <w:tcBorders>
              <w:top w:val="nil"/>
              <w:left w:val="single" w:sz="8" w:space="0" w:color="000000"/>
              <w:bottom w:val="single" w:sz="8" w:space="0" w:color="000000"/>
              <w:right w:val="single" w:sz="8" w:space="0" w:color="000000"/>
            </w:tcBorders>
            <w:shd w:val="clear" w:color="auto" w:fill="auto"/>
            <w:vAlign w:val="center"/>
            <w:hideMark/>
          </w:tcPr>
          <w:p w:rsidR="00BB3BC1" w:rsidRPr="00A135B0" w:rsidP="00BB3BC1" w14:paraId="09F61929" w14:textId="77777777">
            <w:pPr>
              <w:widowControl/>
              <w:rPr>
                <w:rFonts w:ascii="Calibri" w:hAnsi="Calibri" w:cs="Calibri"/>
                <w:color w:val="000000"/>
                <w:sz w:val="16"/>
                <w:szCs w:val="16"/>
              </w:rPr>
            </w:pPr>
            <w:r w:rsidRPr="00A135B0">
              <w:rPr>
                <w:rFonts w:ascii="Calibri" w:hAnsi="Calibri" w:cs="Calibri"/>
                <w:color w:val="000000"/>
                <w:sz w:val="16"/>
                <w:szCs w:val="16"/>
              </w:rPr>
              <w:t>Vessel registration numbers</w:t>
            </w:r>
          </w:p>
        </w:tc>
        <w:tc>
          <w:tcPr>
            <w:tcW w:w="1094" w:type="dxa"/>
            <w:tcBorders>
              <w:top w:val="nil"/>
              <w:left w:val="nil"/>
              <w:bottom w:val="single" w:sz="8" w:space="0" w:color="000000"/>
              <w:right w:val="single" w:sz="8" w:space="0" w:color="000000"/>
            </w:tcBorders>
            <w:shd w:val="clear" w:color="auto" w:fill="auto"/>
            <w:vAlign w:val="center"/>
            <w:hideMark/>
          </w:tcPr>
          <w:p w:rsidR="00BB3BC1" w:rsidRPr="00A135B0" w:rsidP="00BB3BC1" w14:paraId="412FE0EF"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sz="8" w:space="0" w:color="000000"/>
              <w:right w:val="single" w:sz="8" w:space="0" w:color="000000"/>
            </w:tcBorders>
            <w:shd w:val="clear" w:color="auto" w:fill="auto"/>
            <w:vAlign w:val="center"/>
            <w:hideMark/>
          </w:tcPr>
          <w:p w:rsidR="00BB3BC1" w:rsidRPr="00A135B0" w:rsidP="00BB3BC1" w14:paraId="64D4FCA6" w14:textId="3C5CA0F0">
            <w:pPr>
              <w:widowControl/>
              <w:jc w:val="right"/>
              <w:rPr>
                <w:rFonts w:ascii="Calibri" w:hAnsi="Calibri" w:cs="Calibri"/>
                <w:color w:val="000000"/>
                <w:sz w:val="16"/>
                <w:szCs w:val="16"/>
              </w:rPr>
            </w:pPr>
            <w:r>
              <w:rPr>
                <w:rFonts w:ascii="Calibri" w:hAnsi="Calibri" w:cs="Calibri"/>
                <w:color w:val="000000"/>
                <w:sz w:val="16"/>
                <w:szCs w:val="16"/>
              </w:rPr>
              <w:t>6,146</w:t>
            </w:r>
          </w:p>
        </w:tc>
        <w:tc>
          <w:tcPr>
            <w:tcW w:w="1159" w:type="dxa"/>
            <w:tcBorders>
              <w:top w:val="nil"/>
              <w:left w:val="nil"/>
              <w:bottom w:val="single" w:sz="8" w:space="0" w:color="000000"/>
              <w:right w:val="single" w:sz="8" w:space="0" w:color="000000"/>
            </w:tcBorders>
            <w:shd w:val="clear" w:color="auto" w:fill="auto"/>
            <w:vAlign w:val="center"/>
            <w:hideMark/>
          </w:tcPr>
          <w:p w:rsidR="00BB3BC1" w:rsidRPr="00A135B0" w:rsidP="00BB3BC1" w14:paraId="59ED659D" w14:textId="60507ABB">
            <w:pPr>
              <w:widowControl/>
              <w:jc w:val="right"/>
              <w:rPr>
                <w:rFonts w:ascii="Calibri" w:hAnsi="Calibri" w:cs="Calibri"/>
                <w:color w:val="000000"/>
                <w:sz w:val="16"/>
                <w:szCs w:val="16"/>
              </w:rPr>
            </w:pPr>
            <w:r>
              <w:rPr>
                <w:rFonts w:ascii="Calibri" w:hAnsi="Calibri" w:cs="Calibri"/>
                <w:color w:val="000000"/>
                <w:sz w:val="16"/>
                <w:szCs w:val="16"/>
              </w:rPr>
              <w:t>1</w:t>
            </w:r>
          </w:p>
        </w:tc>
        <w:tc>
          <w:tcPr>
            <w:tcW w:w="1092" w:type="dxa"/>
            <w:tcBorders>
              <w:top w:val="nil"/>
              <w:left w:val="nil"/>
              <w:bottom w:val="single" w:sz="8" w:space="0" w:color="000000"/>
              <w:right w:val="single" w:sz="8" w:space="0" w:color="000000"/>
            </w:tcBorders>
            <w:shd w:val="clear" w:color="auto" w:fill="auto"/>
            <w:vAlign w:val="center"/>
            <w:hideMark/>
          </w:tcPr>
          <w:p w:rsidR="00BB3BC1" w:rsidRPr="00A135B0" w:rsidP="00BB3BC1" w14:paraId="036014CD" w14:textId="1E6CD068">
            <w:pPr>
              <w:widowControl/>
              <w:jc w:val="right"/>
              <w:rPr>
                <w:rFonts w:ascii="Calibri" w:hAnsi="Calibri" w:cs="Calibri"/>
                <w:color w:val="000000"/>
                <w:sz w:val="16"/>
                <w:szCs w:val="16"/>
              </w:rPr>
            </w:pPr>
            <w:r>
              <w:rPr>
                <w:rFonts w:ascii="Calibri" w:hAnsi="Calibri" w:cs="Calibri"/>
                <w:color w:val="000000"/>
                <w:sz w:val="16"/>
                <w:szCs w:val="16"/>
              </w:rPr>
              <w:t>6,146</w:t>
            </w:r>
          </w:p>
        </w:tc>
        <w:tc>
          <w:tcPr>
            <w:tcW w:w="900" w:type="dxa"/>
            <w:tcBorders>
              <w:top w:val="nil"/>
              <w:left w:val="nil"/>
              <w:bottom w:val="single" w:sz="8" w:space="0" w:color="000000"/>
              <w:right w:val="single" w:sz="8" w:space="0" w:color="000000"/>
            </w:tcBorders>
            <w:shd w:val="clear" w:color="auto" w:fill="auto"/>
            <w:vAlign w:val="center"/>
            <w:hideMark/>
          </w:tcPr>
          <w:p w:rsidR="00BB3BC1" w:rsidRPr="00A135B0" w:rsidP="00BB3BC1" w14:paraId="180AAB02" w14:textId="13ECDFB7">
            <w:pPr>
              <w:widowControl/>
              <w:jc w:val="right"/>
              <w:rPr>
                <w:rFonts w:ascii="Calibri" w:hAnsi="Calibri" w:cs="Calibri"/>
                <w:color w:val="000000"/>
                <w:sz w:val="16"/>
                <w:szCs w:val="16"/>
              </w:rPr>
            </w:pPr>
            <w:r>
              <w:rPr>
                <w:rFonts w:ascii="Calibri" w:hAnsi="Calibri" w:cs="Calibri"/>
                <w:color w:val="000000"/>
                <w:sz w:val="16"/>
                <w:szCs w:val="16"/>
              </w:rPr>
              <w:t>0.75</w:t>
            </w:r>
          </w:p>
        </w:tc>
        <w:tc>
          <w:tcPr>
            <w:tcW w:w="860" w:type="dxa"/>
            <w:tcBorders>
              <w:top w:val="nil"/>
              <w:left w:val="nil"/>
              <w:bottom w:val="single" w:sz="8" w:space="0" w:color="000000"/>
              <w:right w:val="single" w:sz="8" w:space="0" w:color="000000"/>
            </w:tcBorders>
            <w:shd w:val="clear" w:color="auto" w:fill="auto"/>
            <w:vAlign w:val="center"/>
            <w:hideMark/>
          </w:tcPr>
          <w:p w:rsidR="00BB3BC1" w:rsidRPr="00A135B0" w:rsidP="00BB3BC1" w14:paraId="6C4F177B" w14:textId="55DA0D35">
            <w:pPr>
              <w:widowControl/>
              <w:jc w:val="right"/>
              <w:rPr>
                <w:rFonts w:ascii="Calibri" w:hAnsi="Calibri" w:cs="Calibri"/>
                <w:color w:val="000000"/>
                <w:sz w:val="16"/>
                <w:szCs w:val="16"/>
              </w:rPr>
            </w:pPr>
            <w:r>
              <w:rPr>
                <w:rFonts w:ascii="Calibri" w:hAnsi="Calibri" w:cs="Calibri"/>
                <w:color w:val="000000"/>
                <w:sz w:val="16"/>
                <w:szCs w:val="16"/>
              </w:rPr>
              <w:t>4,610</w:t>
            </w:r>
          </w:p>
        </w:tc>
        <w:tc>
          <w:tcPr>
            <w:tcW w:w="1066" w:type="dxa"/>
            <w:tcBorders>
              <w:top w:val="nil"/>
              <w:left w:val="nil"/>
              <w:bottom w:val="single" w:sz="8" w:space="0" w:color="000000"/>
              <w:right w:val="single" w:sz="8" w:space="0" w:color="000000"/>
            </w:tcBorders>
            <w:shd w:val="clear" w:color="auto" w:fill="auto"/>
            <w:vAlign w:val="center"/>
            <w:hideMark/>
          </w:tcPr>
          <w:p w:rsidR="00BB3BC1" w:rsidRPr="00A135B0" w:rsidP="00BB3BC1" w14:paraId="3144CCE2" w14:textId="1F735F83">
            <w:pPr>
              <w:widowControl/>
              <w:jc w:val="right"/>
              <w:rPr>
                <w:rFonts w:ascii="Calibri" w:hAnsi="Calibri" w:cs="Calibri"/>
                <w:color w:val="000000"/>
                <w:sz w:val="16"/>
                <w:szCs w:val="16"/>
              </w:rPr>
            </w:pPr>
            <w:r>
              <w:rPr>
                <w:rFonts w:ascii="Calibri" w:hAnsi="Calibri" w:cs="Calibri"/>
                <w:color w:val="000000"/>
                <w:sz w:val="16"/>
                <w:szCs w:val="16"/>
              </w:rPr>
              <w:t>$19.22</w:t>
            </w:r>
          </w:p>
        </w:tc>
        <w:tc>
          <w:tcPr>
            <w:tcW w:w="1130" w:type="dxa"/>
            <w:tcBorders>
              <w:top w:val="nil"/>
              <w:left w:val="nil"/>
              <w:bottom w:val="single" w:sz="8" w:space="0" w:color="000000"/>
              <w:right w:val="single" w:sz="8" w:space="0" w:color="000000"/>
            </w:tcBorders>
            <w:shd w:val="clear" w:color="auto" w:fill="auto"/>
            <w:vAlign w:val="center"/>
            <w:hideMark/>
          </w:tcPr>
          <w:p w:rsidR="00BB3BC1" w:rsidRPr="00A135B0" w:rsidP="00BB3BC1" w14:paraId="3774D60A" w14:textId="0335E991">
            <w:pPr>
              <w:widowControl/>
              <w:jc w:val="right"/>
              <w:rPr>
                <w:rFonts w:ascii="Calibri" w:hAnsi="Calibri" w:cs="Calibri"/>
                <w:color w:val="000000"/>
                <w:sz w:val="16"/>
                <w:szCs w:val="16"/>
              </w:rPr>
            </w:pPr>
            <w:r>
              <w:rPr>
                <w:rFonts w:ascii="Calibri" w:hAnsi="Calibri" w:cs="Calibri"/>
                <w:color w:val="000000"/>
                <w:sz w:val="16"/>
                <w:szCs w:val="16"/>
              </w:rPr>
              <w:t>$88,595</w:t>
            </w:r>
          </w:p>
        </w:tc>
      </w:tr>
      <w:tr w14:paraId="2F19C428" w14:textId="77777777" w:rsidTr="00AC2225">
        <w:tblPrEx>
          <w:tblW w:w="10700" w:type="dxa"/>
          <w:jc w:val="center"/>
          <w:tblLook w:val="04A0"/>
        </w:tblPrEx>
        <w:trPr>
          <w:trHeight w:val="315"/>
          <w:jc w:val="center"/>
        </w:trPr>
        <w:tc>
          <w:tcPr>
            <w:tcW w:w="1958" w:type="dxa"/>
            <w:tcBorders>
              <w:top w:val="nil"/>
              <w:left w:val="single" w:sz="8" w:space="0" w:color="000000"/>
              <w:bottom w:val="single" w:sz="8" w:space="0" w:color="000000"/>
              <w:right w:val="single" w:sz="8" w:space="0" w:color="000000"/>
            </w:tcBorders>
            <w:shd w:val="clear" w:color="auto" w:fill="B8CCE4" w:themeFill="accent1" w:themeFillTint="66"/>
            <w:vAlign w:val="center"/>
          </w:tcPr>
          <w:p w:rsidR="00633715" w:rsidRPr="000E6365" w:rsidP="00BB3BC1" w14:paraId="160C9784" w14:textId="21A0FBF8">
            <w:pPr>
              <w:widowControl/>
              <w:rPr>
                <w:rFonts w:ascii="Calibri" w:hAnsi="Calibri" w:cs="Calibri"/>
                <w:b/>
                <w:color w:val="000000"/>
                <w:sz w:val="16"/>
                <w:szCs w:val="16"/>
              </w:rPr>
            </w:pPr>
            <w:r w:rsidRPr="000E6365">
              <w:rPr>
                <w:rFonts w:ascii="Calibri" w:hAnsi="Calibri" w:cs="Calibri"/>
                <w:b/>
                <w:color w:val="000000"/>
                <w:sz w:val="16"/>
                <w:szCs w:val="16"/>
              </w:rPr>
              <w:t>Totals</w:t>
            </w:r>
          </w:p>
        </w:tc>
        <w:tc>
          <w:tcPr>
            <w:tcW w:w="1094" w:type="dxa"/>
            <w:tcBorders>
              <w:top w:val="nil"/>
              <w:left w:val="nil"/>
              <w:bottom w:val="single" w:sz="8" w:space="0" w:color="000000"/>
              <w:right w:val="single" w:sz="8" w:space="0" w:color="000000"/>
            </w:tcBorders>
            <w:shd w:val="clear" w:color="auto" w:fill="000000" w:themeFill="text1"/>
            <w:vAlign w:val="center"/>
          </w:tcPr>
          <w:p w:rsidR="00633715" w:rsidRPr="000E6365" w:rsidP="00BB3BC1" w14:paraId="7FFF138A" w14:textId="77777777">
            <w:pPr>
              <w:widowControl/>
              <w:jc w:val="right"/>
              <w:rPr>
                <w:rFonts w:ascii="Calibri" w:hAnsi="Calibri" w:cs="Calibri"/>
                <w:b/>
                <w:color w:val="000000"/>
                <w:sz w:val="16"/>
                <w:szCs w:val="16"/>
              </w:rPr>
            </w:pPr>
          </w:p>
        </w:tc>
        <w:tc>
          <w:tcPr>
            <w:tcW w:w="1441" w:type="dxa"/>
            <w:tcBorders>
              <w:top w:val="nil"/>
              <w:left w:val="nil"/>
              <w:bottom w:val="single" w:sz="8" w:space="0" w:color="000000"/>
              <w:right w:val="single" w:sz="8" w:space="0" w:color="000000"/>
            </w:tcBorders>
            <w:shd w:val="clear" w:color="auto" w:fill="B8CCE4" w:themeFill="accent1" w:themeFillTint="66"/>
            <w:vAlign w:val="center"/>
          </w:tcPr>
          <w:p w:rsidR="00633715" w:rsidRPr="000E6365" w:rsidP="00BB3BC1" w14:paraId="779D9389" w14:textId="5A7918DA">
            <w:pPr>
              <w:widowControl/>
              <w:jc w:val="right"/>
              <w:rPr>
                <w:rFonts w:ascii="Calibri" w:hAnsi="Calibri" w:cs="Calibri"/>
                <w:b/>
                <w:color w:val="000000"/>
                <w:sz w:val="16"/>
                <w:szCs w:val="16"/>
              </w:rPr>
            </w:pPr>
            <w:r>
              <w:rPr>
                <w:rFonts w:ascii="Calibri" w:hAnsi="Calibri" w:cs="Calibri"/>
                <w:b/>
                <w:color w:val="000000"/>
                <w:sz w:val="16"/>
                <w:szCs w:val="16"/>
              </w:rPr>
              <w:t>6</w:t>
            </w:r>
            <w:r w:rsidR="000D3408">
              <w:rPr>
                <w:rFonts w:ascii="Calibri" w:hAnsi="Calibri" w:cs="Calibri"/>
                <w:b/>
                <w:color w:val="000000"/>
                <w:sz w:val="16"/>
                <w:szCs w:val="16"/>
              </w:rPr>
              <w:t>,146</w:t>
            </w:r>
          </w:p>
        </w:tc>
        <w:tc>
          <w:tcPr>
            <w:tcW w:w="1159" w:type="dxa"/>
            <w:tcBorders>
              <w:top w:val="nil"/>
              <w:left w:val="nil"/>
              <w:bottom w:val="single" w:sz="8" w:space="0" w:color="000000"/>
              <w:right w:val="single" w:sz="8" w:space="0" w:color="000000"/>
            </w:tcBorders>
            <w:shd w:val="clear" w:color="auto" w:fill="000000" w:themeFill="text1"/>
            <w:vAlign w:val="center"/>
          </w:tcPr>
          <w:p w:rsidR="00633715" w:rsidRPr="000E6365" w:rsidP="00BB3BC1" w14:paraId="1B1BF549" w14:textId="4606D4E0">
            <w:pPr>
              <w:widowControl/>
              <w:jc w:val="right"/>
              <w:rPr>
                <w:rFonts w:ascii="Calibri" w:hAnsi="Calibri" w:cs="Calibri"/>
                <w:b/>
                <w:color w:val="000000"/>
                <w:sz w:val="16"/>
                <w:szCs w:val="16"/>
              </w:rPr>
            </w:pPr>
          </w:p>
        </w:tc>
        <w:tc>
          <w:tcPr>
            <w:tcW w:w="1092" w:type="dxa"/>
            <w:tcBorders>
              <w:top w:val="nil"/>
              <w:left w:val="nil"/>
              <w:bottom w:val="single" w:sz="8" w:space="0" w:color="000000"/>
              <w:right w:val="single" w:sz="8" w:space="0" w:color="000000"/>
            </w:tcBorders>
            <w:shd w:val="clear" w:color="auto" w:fill="B8CCE4" w:themeFill="accent1" w:themeFillTint="66"/>
            <w:vAlign w:val="center"/>
          </w:tcPr>
          <w:p w:rsidR="00633715" w:rsidRPr="000E6365" w:rsidP="00BB3BC1" w14:paraId="1A9DB34F" w14:textId="7058D8C6">
            <w:pPr>
              <w:widowControl/>
              <w:jc w:val="right"/>
              <w:rPr>
                <w:rFonts w:ascii="Calibri" w:hAnsi="Calibri" w:cs="Calibri"/>
                <w:b/>
                <w:color w:val="000000"/>
                <w:sz w:val="16"/>
                <w:szCs w:val="16"/>
              </w:rPr>
            </w:pPr>
            <w:r w:rsidRPr="000E6365">
              <w:rPr>
                <w:rFonts w:ascii="Calibri" w:hAnsi="Calibri" w:cs="Calibri"/>
                <w:b/>
                <w:color w:val="000000"/>
                <w:sz w:val="16"/>
                <w:szCs w:val="16"/>
              </w:rPr>
              <w:t>6,146</w:t>
            </w:r>
          </w:p>
        </w:tc>
        <w:tc>
          <w:tcPr>
            <w:tcW w:w="900" w:type="dxa"/>
            <w:tcBorders>
              <w:top w:val="nil"/>
              <w:left w:val="nil"/>
              <w:bottom w:val="single" w:sz="8" w:space="0" w:color="000000"/>
              <w:right w:val="single" w:sz="8" w:space="0" w:color="000000"/>
            </w:tcBorders>
            <w:shd w:val="clear" w:color="auto" w:fill="000000" w:themeFill="text1"/>
            <w:vAlign w:val="center"/>
          </w:tcPr>
          <w:p w:rsidR="00633715" w:rsidRPr="000E6365" w:rsidP="00BB3BC1" w14:paraId="2EF4A39C" w14:textId="77777777">
            <w:pPr>
              <w:widowControl/>
              <w:jc w:val="right"/>
              <w:rPr>
                <w:rFonts w:ascii="Calibri" w:hAnsi="Calibri" w:cs="Calibri"/>
                <w:b/>
                <w:color w:val="000000"/>
                <w:sz w:val="16"/>
                <w:szCs w:val="16"/>
              </w:rPr>
            </w:pPr>
          </w:p>
        </w:tc>
        <w:tc>
          <w:tcPr>
            <w:tcW w:w="860" w:type="dxa"/>
            <w:tcBorders>
              <w:top w:val="nil"/>
              <w:left w:val="nil"/>
              <w:bottom w:val="single" w:sz="8" w:space="0" w:color="000000"/>
              <w:right w:val="single" w:sz="8" w:space="0" w:color="000000"/>
            </w:tcBorders>
            <w:shd w:val="clear" w:color="auto" w:fill="B8CCE4" w:themeFill="accent1" w:themeFillTint="66"/>
            <w:vAlign w:val="center"/>
          </w:tcPr>
          <w:p w:rsidR="00633715" w:rsidRPr="000E6365" w:rsidP="00BB3BC1" w14:paraId="7A355D34" w14:textId="7A2D0D8B">
            <w:pPr>
              <w:widowControl/>
              <w:jc w:val="right"/>
              <w:rPr>
                <w:rFonts w:ascii="Calibri" w:hAnsi="Calibri" w:cs="Calibri"/>
                <w:b/>
                <w:color w:val="000000"/>
                <w:sz w:val="16"/>
                <w:szCs w:val="16"/>
              </w:rPr>
            </w:pPr>
            <w:r w:rsidRPr="000E6365">
              <w:rPr>
                <w:rFonts w:ascii="Calibri" w:hAnsi="Calibri" w:cs="Calibri"/>
                <w:b/>
                <w:color w:val="000000"/>
                <w:sz w:val="16"/>
                <w:szCs w:val="16"/>
              </w:rPr>
              <w:t>4,610</w:t>
            </w:r>
          </w:p>
        </w:tc>
        <w:tc>
          <w:tcPr>
            <w:tcW w:w="1066" w:type="dxa"/>
            <w:tcBorders>
              <w:top w:val="nil"/>
              <w:left w:val="nil"/>
              <w:bottom w:val="single" w:sz="8" w:space="0" w:color="000000"/>
              <w:right w:val="single" w:sz="8" w:space="0" w:color="000000"/>
            </w:tcBorders>
            <w:shd w:val="clear" w:color="auto" w:fill="000000" w:themeFill="text1"/>
            <w:vAlign w:val="center"/>
          </w:tcPr>
          <w:p w:rsidR="00633715" w:rsidRPr="000E6365" w:rsidP="00BB3BC1" w14:paraId="6C45834E" w14:textId="77777777">
            <w:pPr>
              <w:widowControl/>
              <w:jc w:val="right"/>
              <w:rPr>
                <w:rFonts w:ascii="Calibri" w:hAnsi="Calibri" w:cs="Calibri"/>
                <w:b/>
                <w:color w:val="000000"/>
                <w:sz w:val="16"/>
                <w:szCs w:val="16"/>
              </w:rPr>
            </w:pPr>
          </w:p>
        </w:tc>
        <w:tc>
          <w:tcPr>
            <w:tcW w:w="1130" w:type="dxa"/>
            <w:tcBorders>
              <w:top w:val="nil"/>
              <w:left w:val="nil"/>
              <w:bottom w:val="single" w:sz="8" w:space="0" w:color="000000"/>
              <w:right w:val="single" w:sz="8" w:space="0" w:color="000000"/>
            </w:tcBorders>
            <w:shd w:val="clear" w:color="auto" w:fill="B8CCE4" w:themeFill="accent1" w:themeFillTint="66"/>
            <w:vAlign w:val="center"/>
          </w:tcPr>
          <w:p w:rsidR="00633715" w:rsidRPr="00633715" w:rsidP="00BB3BC1" w14:paraId="41CB4B6F" w14:textId="074E2EDF">
            <w:pPr>
              <w:widowControl/>
              <w:jc w:val="right"/>
              <w:rPr>
                <w:rFonts w:ascii="Calibri" w:hAnsi="Calibri" w:cs="Calibri"/>
                <w:b/>
                <w:color w:val="000000"/>
                <w:sz w:val="16"/>
                <w:szCs w:val="16"/>
              </w:rPr>
            </w:pPr>
            <w:r w:rsidRPr="00633715">
              <w:rPr>
                <w:rFonts w:ascii="Calibri" w:hAnsi="Calibri" w:cs="Calibri"/>
                <w:b/>
                <w:color w:val="000000"/>
                <w:sz w:val="16"/>
                <w:szCs w:val="16"/>
              </w:rPr>
              <w:t>$88,595</w:t>
            </w:r>
          </w:p>
        </w:tc>
      </w:tr>
      <w:tr w14:paraId="3616E977" w14:textId="77777777" w:rsidTr="00810EB4">
        <w:tblPrEx>
          <w:tblW w:w="10700" w:type="dxa"/>
          <w:jc w:val="center"/>
          <w:tblLook w:val="04A0"/>
        </w:tblPrEx>
        <w:trPr>
          <w:trHeight w:val="315"/>
          <w:jc w:val="center"/>
        </w:trPr>
        <w:tc>
          <w:tcPr>
            <w:tcW w:w="10700" w:type="dxa"/>
            <w:gridSpan w:val="9"/>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0E6365" w:rsidRPr="000E6365" w:rsidP="000E6365" w14:paraId="3F4430F4" w14:textId="4FA10009">
            <w:pPr>
              <w:widowControl/>
              <w:rPr>
                <w:rFonts w:ascii="Calibri" w:hAnsi="Calibri" w:cs="Calibri"/>
                <w:b/>
                <w:color w:val="000000"/>
                <w:sz w:val="16"/>
                <w:szCs w:val="16"/>
              </w:rPr>
            </w:pPr>
            <w:r w:rsidRPr="000E6365">
              <w:rPr>
                <w:rFonts w:ascii="Calibri" w:hAnsi="Calibri" w:cs="Calibri"/>
                <w:b/>
                <w:color w:val="000000"/>
                <w:sz w:val="16"/>
                <w:szCs w:val="16"/>
              </w:rPr>
              <w:t>Gear Markings</w:t>
            </w:r>
          </w:p>
        </w:tc>
      </w:tr>
      <w:tr w14:paraId="6DA72D10" w14:textId="77777777" w:rsidTr="000E6365">
        <w:tblPrEx>
          <w:tblW w:w="10700" w:type="dxa"/>
          <w:jc w:val="center"/>
          <w:tblLook w:val="04A0"/>
        </w:tblPrEx>
        <w:trPr>
          <w:trHeight w:val="315"/>
          <w:jc w:val="center"/>
        </w:trPr>
        <w:tc>
          <w:tcPr>
            <w:tcW w:w="1958" w:type="dxa"/>
            <w:tcBorders>
              <w:top w:val="nil"/>
              <w:left w:val="single" w:sz="8" w:space="0" w:color="000000"/>
              <w:bottom w:val="single" w:sz="8" w:space="0" w:color="000000"/>
              <w:right w:val="single" w:sz="8" w:space="0" w:color="000000"/>
            </w:tcBorders>
            <w:shd w:val="clear" w:color="auto" w:fill="auto"/>
            <w:vAlign w:val="center"/>
            <w:hideMark/>
          </w:tcPr>
          <w:p w:rsidR="00BB3BC1" w:rsidRPr="00A135B0" w:rsidP="00BB3BC1" w14:paraId="068A770A" w14:textId="03F9DAC2">
            <w:pPr>
              <w:widowControl/>
              <w:rPr>
                <w:rFonts w:ascii="Calibri" w:hAnsi="Calibri" w:cs="Calibri"/>
                <w:color w:val="000000"/>
                <w:sz w:val="16"/>
                <w:szCs w:val="16"/>
              </w:rPr>
            </w:pPr>
            <w:r w:rsidRPr="00A135B0">
              <w:rPr>
                <w:rFonts w:ascii="Calibri" w:hAnsi="Calibri" w:cs="Calibri"/>
                <w:color w:val="000000"/>
                <w:sz w:val="16"/>
                <w:szCs w:val="16"/>
              </w:rPr>
              <w:t>Handlin</w:t>
            </w:r>
            <w:r>
              <w:rPr>
                <w:rFonts w:ascii="Calibri" w:hAnsi="Calibri" w:cs="Calibri"/>
                <w:color w:val="000000"/>
                <w:sz w:val="16"/>
                <w:szCs w:val="16"/>
              </w:rPr>
              <w:t>e</w:t>
            </w:r>
            <w:r w:rsidRPr="00A135B0">
              <w:rPr>
                <w:rFonts w:ascii="Calibri" w:hAnsi="Calibri" w:cs="Calibri"/>
                <w:color w:val="000000"/>
                <w:sz w:val="16"/>
                <w:szCs w:val="16"/>
              </w:rPr>
              <w:t xml:space="preserve"> and harpoon buoys</w:t>
            </w:r>
          </w:p>
        </w:tc>
        <w:tc>
          <w:tcPr>
            <w:tcW w:w="1094" w:type="dxa"/>
            <w:tcBorders>
              <w:top w:val="nil"/>
              <w:left w:val="nil"/>
              <w:bottom w:val="single" w:sz="8" w:space="0" w:color="000000"/>
              <w:right w:val="single" w:sz="8" w:space="0" w:color="000000"/>
            </w:tcBorders>
            <w:shd w:val="clear" w:color="auto" w:fill="auto"/>
            <w:vAlign w:val="center"/>
            <w:hideMark/>
          </w:tcPr>
          <w:p w:rsidR="00BB3BC1" w:rsidRPr="00A135B0" w:rsidP="00BB3BC1" w14:paraId="09056CFD"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sz="8" w:space="0" w:color="000000"/>
              <w:right w:val="single" w:sz="8" w:space="0" w:color="000000"/>
            </w:tcBorders>
            <w:shd w:val="clear" w:color="auto" w:fill="auto"/>
            <w:vAlign w:val="center"/>
            <w:hideMark/>
          </w:tcPr>
          <w:p w:rsidR="00BB3BC1" w:rsidRPr="00A135B0" w:rsidP="00BB3BC1" w14:paraId="3032DBC9" w14:textId="3B027F33">
            <w:pPr>
              <w:widowControl/>
              <w:jc w:val="right"/>
              <w:rPr>
                <w:rFonts w:ascii="Calibri" w:hAnsi="Calibri" w:cs="Calibri"/>
                <w:color w:val="000000"/>
                <w:sz w:val="16"/>
                <w:szCs w:val="16"/>
              </w:rPr>
            </w:pPr>
            <w:r>
              <w:rPr>
                <w:rFonts w:ascii="Calibri" w:hAnsi="Calibri" w:cs="Calibri"/>
                <w:color w:val="000000"/>
                <w:sz w:val="16"/>
                <w:szCs w:val="16"/>
              </w:rPr>
              <w:t>109</w:t>
            </w:r>
          </w:p>
        </w:tc>
        <w:tc>
          <w:tcPr>
            <w:tcW w:w="1159" w:type="dxa"/>
            <w:tcBorders>
              <w:top w:val="nil"/>
              <w:left w:val="nil"/>
              <w:bottom w:val="single" w:sz="8" w:space="0" w:color="000000"/>
              <w:right w:val="single" w:sz="8" w:space="0" w:color="000000"/>
            </w:tcBorders>
            <w:shd w:val="clear" w:color="auto" w:fill="auto"/>
            <w:vAlign w:val="center"/>
            <w:hideMark/>
          </w:tcPr>
          <w:p w:rsidR="00BB3BC1" w:rsidRPr="00A135B0" w:rsidP="00BB3BC1" w14:paraId="2A267880" w14:textId="672AC526">
            <w:pPr>
              <w:widowControl/>
              <w:jc w:val="right"/>
              <w:rPr>
                <w:rFonts w:ascii="Calibri" w:hAnsi="Calibri" w:cs="Calibri"/>
                <w:color w:val="000000"/>
                <w:sz w:val="16"/>
                <w:szCs w:val="16"/>
              </w:rPr>
            </w:pPr>
            <w:r>
              <w:rPr>
                <w:rFonts w:ascii="Calibri" w:hAnsi="Calibri" w:cs="Calibri"/>
                <w:color w:val="000000"/>
                <w:sz w:val="16"/>
                <w:szCs w:val="16"/>
              </w:rPr>
              <w:t>5</w:t>
            </w:r>
          </w:p>
        </w:tc>
        <w:tc>
          <w:tcPr>
            <w:tcW w:w="1092" w:type="dxa"/>
            <w:tcBorders>
              <w:top w:val="nil"/>
              <w:left w:val="nil"/>
              <w:bottom w:val="single" w:sz="8" w:space="0" w:color="000000"/>
              <w:right w:val="single" w:sz="8" w:space="0" w:color="000000"/>
            </w:tcBorders>
            <w:shd w:val="clear" w:color="auto" w:fill="auto"/>
            <w:vAlign w:val="center"/>
            <w:hideMark/>
          </w:tcPr>
          <w:p w:rsidR="00BB3BC1" w:rsidRPr="00A135B0" w:rsidP="00BB3BC1" w14:paraId="20E98F1C" w14:textId="45637FBF">
            <w:pPr>
              <w:widowControl/>
              <w:jc w:val="right"/>
              <w:rPr>
                <w:rFonts w:ascii="Calibri" w:hAnsi="Calibri" w:cs="Calibri"/>
                <w:color w:val="000000"/>
                <w:sz w:val="16"/>
                <w:szCs w:val="16"/>
              </w:rPr>
            </w:pPr>
            <w:r>
              <w:rPr>
                <w:rFonts w:ascii="Calibri" w:hAnsi="Calibri" w:cs="Calibri"/>
                <w:color w:val="000000"/>
                <w:sz w:val="16"/>
                <w:szCs w:val="16"/>
              </w:rPr>
              <w:t>545</w:t>
            </w:r>
          </w:p>
        </w:tc>
        <w:tc>
          <w:tcPr>
            <w:tcW w:w="900" w:type="dxa"/>
            <w:tcBorders>
              <w:top w:val="nil"/>
              <w:left w:val="nil"/>
              <w:bottom w:val="single" w:sz="8" w:space="0" w:color="000000"/>
              <w:right w:val="single" w:sz="8" w:space="0" w:color="000000"/>
            </w:tcBorders>
            <w:shd w:val="clear" w:color="auto" w:fill="auto"/>
            <w:vAlign w:val="center"/>
            <w:hideMark/>
          </w:tcPr>
          <w:p w:rsidR="00BB3BC1" w:rsidRPr="00A135B0" w:rsidP="00BB3BC1" w14:paraId="3B23D906" w14:textId="4F9CCA29">
            <w:pPr>
              <w:widowControl/>
              <w:jc w:val="right"/>
              <w:rPr>
                <w:rFonts w:ascii="Calibri" w:hAnsi="Calibri" w:cs="Calibri"/>
                <w:color w:val="000000"/>
                <w:sz w:val="16"/>
                <w:szCs w:val="16"/>
              </w:rPr>
            </w:pPr>
            <w:r>
              <w:rPr>
                <w:rFonts w:ascii="Calibri" w:hAnsi="Calibri" w:cs="Calibri"/>
                <w:color w:val="000000"/>
                <w:sz w:val="16"/>
                <w:szCs w:val="16"/>
              </w:rPr>
              <w:t>0.25</w:t>
            </w:r>
          </w:p>
        </w:tc>
        <w:tc>
          <w:tcPr>
            <w:tcW w:w="860" w:type="dxa"/>
            <w:tcBorders>
              <w:top w:val="nil"/>
              <w:left w:val="nil"/>
              <w:bottom w:val="single" w:sz="8" w:space="0" w:color="000000"/>
              <w:right w:val="single" w:sz="8" w:space="0" w:color="000000"/>
            </w:tcBorders>
            <w:shd w:val="clear" w:color="auto" w:fill="auto"/>
            <w:vAlign w:val="center"/>
            <w:hideMark/>
          </w:tcPr>
          <w:p w:rsidR="00BB3BC1" w:rsidRPr="00A135B0" w:rsidP="00BB3BC1" w14:paraId="69498954" w14:textId="3AA12DBF">
            <w:pPr>
              <w:widowControl/>
              <w:jc w:val="right"/>
              <w:rPr>
                <w:rFonts w:ascii="Calibri" w:hAnsi="Calibri" w:cs="Calibri"/>
                <w:color w:val="000000"/>
                <w:sz w:val="16"/>
                <w:szCs w:val="16"/>
              </w:rPr>
            </w:pPr>
            <w:r>
              <w:rPr>
                <w:rFonts w:ascii="Calibri" w:hAnsi="Calibri" w:cs="Calibri"/>
                <w:color w:val="000000"/>
                <w:sz w:val="16"/>
                <w:szCs w:val="16"/>
              </w:rPr>
              <w:t>136</w:t>
            </w:r>
          </w:p>
        </w:tc>
        <w:tc>
          <w:tcPr>
            <w:tcW w:w="1066" w:type="dxa"/>
            <w:tcBorders>
              <w:top w:val="nil"/>
              <w:left w:val="nil"/>
              <w:bottom w:val="single" w:sz="8" w:space="0" w:color="000000"/>
              <w:right w:val="single" w:sz="8" w:space="0" w:color="000000"/>
            </w:tcBorders>
            <w:shd w:val="clear" w:color="auto" w:fill="auto"/>
            <w:vAlign w:val="center"/>
            <w:hideMark/>
          </w:tcPr>
          <w:p w:rsidR="00BB3BC1" w:rsidRPr="00A135B0" w:rsidP="00BB3BC1" w14:paraId="452646AA" w14:textId="3B6BC689">
            <w:pPr>
              <w:widowControl/>
              <w:jc w:val="right"/>
              <w:rPr>
                <w:rFonts w:ascii="Calibri" w:hAnsi="Calibri" w:cs="Calibri"/>
                <w:color w:val="000000"/>
                <w:sz w:val="16"/>
                <w:szCs w:val="16"/>
              </w:rPr>
            </w:pPr>
            <w:r>
              <w:rPr>
                <w:rFonts w:ascii="Calibri" w:hAnsi="Calibri" w:cs="Calibri"/>
                <w:color w:val="000000"/>
                <w:sz w:val="16"/>
                <w:szCs w:val="16"/>
              </w:rPr>
              <w:t>$19.22</w:t>
            </w:r>
          </w:p>
        </w:tc>
        <w:tc>
          <w:tcPr>
            <w:tcW w:w="1130" w:type="dxa"/>
            <w:tcBorders>
              <w:top w:val="nil"/>
              <w:left w:val="nil"/>
              <w:bottom w:val="single" w:sz="8" w:space="0" w:color="000000"/>
              <w:right w:val="single" w:sz="8" w:space="0" w:color="000000"/>
            </w:tcBorders>
            <w:shd w:val="clear" w:color="auto" w:fill="auto"/>
            <w:vAlign w:val="center"/>
            <w:hideMark/>
          </w:tcPr>
          <w:p w:rsidR="00BB3BC1" w:rsidRPr="00A135B0" w:rsidP="00BB3BC1" w14:paraId="6871B7DB" w14:textId="5C7FB077">
            <w:pPr>
              <w:widowControl/>
              <w:jc w:val="right"/>
              <w:rPr>
                <w:rFonts w:ascii="Calibri" w:hAnsi="Calibri" w:cs="Calibri"/>
                <w:color w:val="000000"/>
                <w:sz w:val="16"/>
                <w:szCs w:val="16"/>
              </w:rPr>
            </w:pPr>
            <w:r>
              <w:rPr>
                <w:rFonts w:ascii="Calibri" w:hAnsi="Calibri" w:cs="Calibri"/>
                <w:color w:val="000000"/>
                <w:sz w:val="16"/>
                <w:szCs w:val="16"/>
              </w:rPr>
              <w:t>$2,619</w:t>
            </w:r>
          </w:p>
        </w:tc>
      </w:tr>
      <w:tr w14:paraId="6F6BB404" w14:textId="77777777" w:rsidTr="000E6365">
        <w:tblPrEx>
          <w:tblW w:w="10700" w:type="dxa"/>
          <w:jc w:val="center"/>
          <w:tblLook w:val="04A0"/>
        </w:tblPrEx>
        <w:trPr>
          <w:trHeight w:val="465"/>
          <w:jc w:val="center"/>
        </w:trPr>
        <w:tc>
          <w:tcPr>
            <w:tcW w:w="1958" w:type="dxa"/>
            <w:tcBorders>
              <w:top w:val="nil"/>
              <w:left w:val="single" w:sz="8" w:space="0" w:color="000000"/>
              <w:bottom w:val="single" w:sz="8" w:space="0" w:color="000000"/>
              <w:right w:val="single" w:sz="8" w:space="0" w:color="000000"/>
            </w:tcBorders>
            <w:shd w:val="clear" w:color="auto" w:fill="auto"/>
            <w:vAlign w:val="center"/>
            <w:hideMark/>
          </w:tcPr>
          <w:p w:rsidR="00BB3BC1" w:rsidRPr="00A135B0" w:rsidP="00BB3BC1" w14:paraId="4178BD37" w14:textId="77777777">
            <w:pPr>
              <w:widowControl/>
              <w:rPr>
                <w:rFonts w:ascii="Calibri" w:hAnsi="Calibri" w:cs="Calibri"/>
                <w:color w:val="000000"/>
                <w:sz w:val="16"/>
                <w:szCs w:val="16"/>
              </w:rPr>
            </w:pPr>
            <w:r w:rsidRPr="00A135B0">
              <w:rPr>
                <w:rFonts w:ascii="Calibri" w:hAnsi="Calibri" w:cs="Calibri"/>
                <w:color w:val="000000"/>
                <w:sz w:val="16"/>
                <w:szCs w:val="16"/>
              </w:rPr>
              <w:t>Pelagic longline high-fliers and floats</w:t>
            </w:r>
          </w:p>
        </w:tc>
        <w:tc>
          <w:tcPr>
            <w:tcW w:w="1094" w:type="dxa"/>
            <w:tcBorders>
              <w:top w:val="nil"/>
              <w:left w:val="nil"/>
              <w:bottom w:val="single" w:sz="8" w:space="0" w:color="000000"/>
              <w:right w:val="single" w:sz="8" w:space="0" w:color="000000"/>
            </w:tcBorders>
            <w:shd w:val="clear" w:color="auto" w:fill="auto"/>
            <w:vAlign w:val="center"/>
            <w:hideMark/>
          </w:tcPr>
          <w:p w:rsidR="00BB3BC1" w:rsidRPr="00A135B0" w:rsidP="00BB3BC1" w14:paraId="4FFFD14E"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sz="8" w:space="0" w:color="000000"/>
              <w:right w:val="single" w:sz="8" w:space="0" w:color="000000"/>
            </w:tcBorders>
            <w:shd w:val="clear" w:color="auto" w:fill="auto"/>
            <w:vAlign w:val="center"/>
            <w:hideMark/>
          </w:tcPr>
          <w:p w:rsidR="00BB3BC1" w:rsidRPr="00A135B0" w:rsidP="00BB3BC1" w14:paraId="240D6D83" w14:textId="39ADB836">
            <w:pPr>
              <w:widowControl/>
              <w:jc w:val="right"/>
              <w:rPr>
                <w:rFonts w:ascii="Calibri" w:hAnsi="Calibri" w:cs="Calibri"/>
                <w:color w:val="000000"/>
                <w:sz w:val="16"/>
                <w:szCs w:val="16"/>
              </w:rPr>
            </w:pPr>
            <w:r>
              <w:rPr>
                <w:rFonts w:ascii="Calibri" w:hAnsi="Calibri" w:cs="Calibri"/>
                <w:color w:val="000000"/>
                <w:sz w:val="16"/>
                <w:szCs w:val="16"/>
              </w:rPr>
              <w:t>102</w:t>
            </w:r>
          </w:p>
        </w:tc>
        <w:tc>
          <w:tcPr>
            <w:tcW w:w="1159" w:type="dxa"/>
            <w:tcBorders>
              <w:top w:val="nil"/>
              <w:left w:val="nil"/>
              <w:bottom w:val="single" w:sz="8" w:space="0" w:color="000000"/>
              <w:right w:val="single" w:sz="8" w:space="0" w:color="000000"/>
            </w:tcBorders>
            <w:shd w:val="clear" w:color="auto" w:fill="auto"/>
            <w:vAlign w:val="center"/>
            <w:hideMark/>
          </w:tcPr>
          <w:p w:rsidR="00BB3BC1" w:rsidRPr="00A135B0" w:rsidP="00BB3BC1" w14:paraId="322EFBB4" w14:textId="5D05BE79">
            <w:pPr>
              <w:widowControl/>
              <w:jc w:val="right"/>
              <w:rPr>
                <w:rFonts w:ascii="Calibri" w:hAnsi="Calibri" w:cs="Calibri"/>
                <w:color w:val="000000"/>
                <w:sz w:val="16"/>
                <w:szCs w:val="16"/>
              </w:rPr>
            </w:pPr>
            <w:r>
              <w:rPr>
                <w:rFonts w:ascii="Calibri" w:hAnsi="Calibri" w:cs="Calibri"/>
                <w:color w:val="000000"/>
                <w:sz w:val="16"/>
                <w:szCs w:val="16"/>
              </w:rPr>
              <w:t>10</w:t>
            </w:r>
          </w:p>
        </w:tc>
        <w:tc>
          <w:tcPr>
            <w:tcW w:w="1092" w:type="dxa"/>
            <w:tcBorders>
              <w:top w:val="nil"/>
              <w:left w:val="nil"/>
              <w:bottom w:val="single" w:sz="8" w:space="0" w:color="000000"/>
              <w:right w:val="single" w:sz="8" w:space="0" w:color="000000"/>
            </w:tcBorders>
            <w:shd w:val="clear" w:color="auto" w:fill="auto"/>
            <w:vAlign w:val="center"/>
            <w:hideMark/>
          </w:tcPr>
          <w:p w:rsidR="00BB3BC1" w:rsidRPr="00A135B0" w:rsidP="00BB3BC1" w14:paraId="4F7AFC4F" w14:textId="175FC1D2">
            <w:pPr>
              <w:widowControl/>
              <w:jc w:val="right"/>
              <w:rPr>
                <w:rFonts w:ascii="Calibri" w:hAnsi="Calibri" w:cs="Calibri"/>
                <w:color w:val="000000"/>
                <w:sz w:val="16"/>
                <w:szCs w:val="16"/>
              </w:rPr>
            </w:pPr>
            <w:r>
              <w:rPr>
                <w:rFonts w:ascii="Calibri" w:hAnsi="Calibri" w:cs="Calibri"/>
                <w:color w:val="000000"/>
                <w:sz w:val="16"/>
                <w:szCs w:val="16"/>
              </w:rPr>
              <w:t>1,020</w:t>
            </w:r>
          </w:p>
        </w:tc>
        <w:tc>
          <w:tcPr>
            <w:tcW w:w="900" w:type="dxa"/>
            <w:tcBorders>
              <w:top w:val="nil"/>
              <w:left w:val="nil"/>
              <w:bottom w:val="single" w:sz="8" w:space="0" w:color="000000"/>
              <w:right w:val="single" w:sz="8" w:space="0" w:color="000000"/>
            </w:tcBorders>
            <w:shd w:val="clear" w:color="auto" w:fill="auto"/>
            <w:vAlign w:val="center"/>
            <w:hideMark/>
          </w:tcPr>
          <w:p w:rsidR="00BB3BC1" w:rsidRPr="00A135B0" w:rsidP="00BB3BC1" w14:paraId="3C2E4D53" w14:textId="126322F7">
            <w:pPr>
              <w:widowControl/>
              <w:jc w:val="right"/>
              <w:rPr>
                <w:rFonts w:ascii="Calibri" w:hAnsi="Calibri" w:cs="Calibri"/>
                <w:color w:val="000000"/>
                <w:sz w:val="16"/>
                <w:szCs w:val="16"/>
              </w:rPr>
            </w:pPr>
            <w:r>
              <w:rPr>
                <w:rFonts w:ascii="Calibri" w:hAnsi="Calibri" w:cs="Calibri"/>
                <w:color w:val="000000"/>
                <w:sz w:val="16"/>
                <w:szCs w:val="16"/>
              </w:rPr>
              <w:t>0.25</w:t>
            </w:r>
          </w:p>
        </w:tc>
        <w:tc>
          <w:tcPr>
            <w:tcW w:w="860" w:type="dxa"/>
            <w:tcBorders>
              <w:top w:val="nil"/>
              <w:left w:val="nil"/>
              <w:bottom w:val="single" w:sz="8" w:space="0" w:color="000000"/>
              <w:right w:val="single" w:sz="8" w:space="0" w:color="000000"/>
            </w:tcBorders>
            <w:shd w:val="clear" w:color="auto" w:fill="auto"/>
            <w:vAlign w:val="center"/>
            <w:hideMark/>
          </w:tcPr>
          <w:p w:rsidR="00BB3BC1" w:rsidRPr="00A135B0" w:rsidP="00BB3BC1" w14:paraId="57592ED6" w14:textId="5D5A579C">
            <w:pPr>
              <w:widowControl/>
              <w:jc w:val="right"/>
              <w:rPr>
                <w:rFonts w:ascii="Calibri" w:hAnsi="Calibri" w:cs="Calibri"/>
                <w:color w:val="000000"/>
                <w:sz w:val="16"/>
                <w:szCs w:val="16"/>
              </w:rPr>
            </w:pPr>
            <w:r>
              <w:rPr>
                <w:rFonts w:ascii="Calibri" w:hAnsi="Calibri" w:cs="Calibri"/>
                <w:color w:val="000000"/>
                <w:sz w:val="16"/>
                <w:szCs w:val="16"/>
              </w:rPr>
              <w:t>255</w:t>
            </w:r>
          </w:p>
        </w:tc>
        <w:tc>
          <w:tcPr>
            <w:tcW w:w="1066" w:type="dxa"/>
            <w:tcBorders>
              <w:top w:val="nil"/>
              <w:left w:val="nil"/>
              <w:bottom w:val="single" w:sz="8" w:space="0" w:color="000000"/>
              <w:right w:val="single" w:sz="8" w:space="0" w:color="000000"/>
            </w:tcBorders>
            <w:shd w:val="clear" w:color="auto" w:fill="auto"/>
            <w:vAlign w:val="center"/>
            <w:hideMark/>
          </w:tcPr>
          <w:p w:rsidR="00BB3BC1" w:rsidRPr="00A135B0" w:rsidP="00BB3BC1" w14:paraId="13669EBD" w14:textId="439DEE24">
            <w:pPr>
              <w:widowControl/>
              <w:jc w:val="right"/>
              <w:rPr>
                <w:rFonts w:ascii="Calibri" w:hAnsi="Calibri" w:cs="Calibri"/>
                <w:color w:val="000000"/>
                <w:sz w:val="16"/>
                <w:szCs w:val="16"/>
              </w:rPr>
            </w:pPr>
            <w:r>
              <w:rPr>
                <w:rFonts w:ascii="Calibri" w:hAnsi="Calibri" w:cs="Calibri"/>
                <w:color w:val="000000"/>
                <w:sz w:val="16"/>
                <w:szCs w:val="16"/>
              </w:rPr>
              <w:t>$19.22</w:t>
            </w:r>
          </w:p>
        </w:tc>
        <w:tc>
          <w:tcPr>
            <w:tcW w:w="1130" w:type="dxa"/>
            <w:tcBorders>
              <w:top w:val="nil"/>
              <w:left w:val="nil"/>
              <w:bottom w:val="single" w:sz="8" w:space="0" w:color="000000"/>
              <w:right w:val="single" w:sz="8" w:space="0" w:color="000000"/>
            </w:tcBorders>
            <w:shd w:val="clear" w:color="auto" w:fill="auto"/>
            <w:vAlign w:val="center"/>
            <w:hideMark/>
          </w:tcPr>
          <w:p w:rsidR="00BB3BC1" w:rsidRPr="00A135B0" w:rsidP="00BB3BC1" w14:paraId="62E467B7" w14:textId="692A5C7D">
            <w:pPr>
              <w:widowControl/>
              <w:jc w:val="right"/>
              <w:rPr>
                <w:rFonts w:ascii="Calibri" w:hAnsi="Calibri" w:cs="Calibri"/>
                <w:color w:val="000000"/>
                <w:sz w:val="16"/>
                <w:szCs w:val="16"/>
              </w:rPr>
            </w:pPr>
            <w:r>
              <w:rPr>
                <w:rFonts w:ascii="Calibri" w:hAnsi="Calibri" w:cs="Calibri"/>
                <w:color w:val="000000"/>
                <w:sz w:val="16"/>
                <w:szCs w:val="16"/>
              </w:rPr>
              <w:t>$4,901</w:t>
            </w:r>
          </w:p>
        </w:tc>
      </w:tr>
      <w:tr w14:paraId="63C22B49" w14:textId="77777777" w:rsidTr="000E6365">
        <w:tblPrEx>
          <w:tblW w:w="10700" w:type="dxa"/>
          <w:jc w:val="center"/>
          <w:tblLook w:val="04A0"/>
        </w:tblPrEx>
        <w:trPr>
          <w:trHeight w:val="315"/>
          <w:jc w:val="center"/>
        </w:trPr>
        <w:tc>
          <w:tcPr>
            <w:tcW w:w="1958" w:type="dxa"/>
            <w:tcBorders>
              <w:top w:val="nil"/>
              <w:left w:val="single" w:sz="8" w:space="0" w:color="000000"/>
              <w:bottom w:val="single" w:sz="8" w:space="0" w:color="000000"/>
              <w:right w:val="single" w:sz="8" w:space="0" w:color="000000"/>
            </w:tcBorders>
            <w:shd w:val="clear" w:color="auto" w:fill="auto"/>
            <w:vAlign w:val="center"/>
            <w:hideMark/>
          </w:tcPr>
          <w:p w:rsidR="00BB3BC1" w:rsidRPr="00A135B0" w:rsidP="00BB3BC1" w14:paraId="11E5E3CF" w14:textId="77777777">
            <w:pPr>
              <w:widowControl/>
              <w:rPr>
                <w:rFonts w:ascii="Calibri" w:hAnsi="Calibri" w:cs="Calibri"/>
                <w:color w:val="000000"/>
                <w:sz w:val="16"/>
                <w:szCs w:val="16"/>
              </w:rPr>
            </w:pPr>
            <w:r w:rsidRPr="00A135B0">
              <w:rPr>
                <w:rFonts w:ascii="Calibri" w:hAnsi="Calibri" w:cs="Calibri"/>
                <w:color w:val="000000"/>
                <w:sz w:val="16"/>
                <w:szCs w:val="16"/>
              </w:rPr>
              <w:t>Bottom longline floats</w:t>
            </w:r>
          </w:p>
        </w:tc>
        <w:tc>
          <w:tcPr>
            <w:tcW w:w="1094" w:type="dxa"/>
            <w:tcBorders>
              <w:top w:val="nil"/>
              <w:left w:val="nil"/>
              <w:bottom w:val="single" w:sz="8" w:space="0" w:color="000000"/>
              <w:right w:val="single" w:sz="8" w:space="0" w:color="000000"/>
            </w:tcBorders>
            <w:shd w:val="clear" w:color="auto" w:fill="auto"/>
            <w:vAlign w:val="center"/>
            <w:hideMark/>
          </w:tcPr>
          <w:p w:rsidR="00BB3BC1" w:rsidRPr="00A135B0" w:rsidP="00BB3BC1" w14:paraId="3B613479"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sz="8" w:space="0" w:color="000000"/>
              <w:right w:val="single" w:sz="8" w:space="0" w:color="000000"/>
            </w:tcBorders>
            <w:shd w:val="clear" w:color="auto" w:fill="auto"/>
            <w:vAlign w:val="center"/>
            <w:hideMark/>
          </w:tcPr>
          <w:p w:rsidR="00BB3BC1" w:rsidRPr="00A135B0" w:rsidP="00BB3BC1" w14:paraId="1B26C93F" w14:textId="233A7625">
            <w:pPr>
              <w:widowControl/>
              <w:jc w:val="right"/>
              <w:rPr>
                <w:rFonts w:ascii="Calibri" w:hAnsi="Calibri" w:cs="Calibri"/>
                <w:color w:val="000000"/>
                <w:sz w:val="16"/>
                <w:szCs w:val="16"/>
              </w:rPr>
            </w:pPr>
            <w:r>
              <w:rPr>
                <w:rFonts w:ascii="Calibri" w:hAnsi="Calibri" w:cs="Calibri"/>
                <w:color w:val="000000"/>
                <w:sz w:val="16"/>
                <w:szCs w:val="16"/>
              </w:rPr>
              <w:t>15</w:t>
            </w:r>
          </w:p>
        </w:tc>
        <w:tc>
          <w:tcPr>
            <w:tcW w:w="1159" w:type="dxa"/>
            <w:tcBorders>
              <w:top w:val="nil"/>
              <w:left w:val="nil"/>
              <w:bottom w:val="single" w:sz="8" w:space="0" w:color="000000"/>
              <w:right w:val="single" w:sz="8" w:space="0" w:color="000000"/>
            </w:tcBorders>
            <w:shd w:val="clear" w:color="auto" w:fill="auto"/>
            <w:vAlign w:val="center"/>
            <w:hideMark/>
          </w:tcPr>
          <w:p w:rsidR="00BB3BC1" w:rsidRPr="00A135B0" w:rsidP="00BB3BC1" w14:paraId="3A032DB6" w14:textId="071C7A97">
            <w:pPr>
              <w:widowControl/>
              <w:jc w:val="right"/>
              <w:rPr>
                <w:rFonts w:ascii="Calibri" w:hAnsi="Calibri" w:cs="Calibri"/>
                <w:color w:val="000000"/>
                <w:sz w:val="16"/>
                <w:szCs w:val="16"/>
              </w:rPr>
            </w:pPr>
            <w:r>
              <w:rPr>
                <w:rFonts w:ascii="Calibri" w:hAnsi="Calibri" w:cs="Calibri"/>
                <w:color w:val="000000"/>
                <w:sz w:val="16"/>
                <w:szCs w:val="16"/>
              </w:rPr>
              <w:t>2</w:t>
            </w:r>
          </w:p>
        </w:tc>
        <w:tc>
          <w:tcPr>
            <w:tcW w:w="1092" w:type="dxa"/>
            <w:tcBorders>
              <w:top w:val="nil"/>
              <w:left w:val="nil"/>
              <w:bottom w:val="single" w:sz="8" w:space="0" w:color="000000"/>
              <w:right w:val="single" w:sz="8" w:space="0" w:color="000000"/>
            </w:tcBorders>
            <w:shd w:val="clear" w:color="auto" w:fill="auto"/>
            <w:vAlign w:val="center"/>
            <w:hideMark/>
          </w:tcPr>
          <w:p w:rsidR="00BB3BC1" w:rsidRPr="00A135B0" w:rsidP="00BB3BC1" w14:paraId="26FD5EF5" w14:textId="5952FFD7">
            <w:pPr>
              <w:widowControl/>
              <w:jc w:val="right"/>
              <w:rPr>
                <w:rFonts w:ascii="Calibri" w:hAnsi="Calibri" w:cs="Calibri"/>
                <w:color w:val="000000"/>
                <w:sz w:val="16"/>
                <w:szCs w:val="16"/>
              </w:rPr>
            </w:pPr>
            <w:r>
              <w:rPr>
                <w:rFonts w:ascii="Calibri" w:hAnsi="Calibri" w:cs="Calibri"/>
                <w:color w:val="000000"/>
                <w:sz w:val="16"/>
                <w:szCs w:val="16"/>
              </w:rPr>
              <w:t>30</w:t>
            </w:r>
          </w:p>
        </w:tc>
        <w:tc>
          <w:tcPr>
            <w:tcW w:w="900" w:type="dxa"/>
            <w:tcBorders>
              <w:top w:val="nil"/>
              <w:left w:val="nil"/>
              <w:bottom w:val="single" w:sz="8" w:space="0" w:color="000000"/>
              <w:right w:val="single" w:sz="8" w:space="0" w:color="000000"/>
            </w:tcBorders>
            <w:shd w:val="clear" w:color="auto" w:fill="auto"/>
            <w:vAlign w:val="center"/>
            <w:hideMark/>
          </w:tcPr>
          <w:p w:rsidR="00BB3BC1" w:rsidRPr="00A135B0" w:rsidP="00BB3BC1" w14:paraId="6130AD8D" w14:textId="55527046">
            <w:pPr>
              <w:widowControl/>
              <w:jc w:val="right"/>
              <w:rPr>
                <w:rFonts w:ascii="Calibri" w:hAnsi="Calibri" w:cs="Calibri"/>
                <w:color w:val="000000"/>
                <w:sz w:val="16"/>
                <w:szCs w:val="16"/>
              </w:rPr>
            </w:pPr>
            <w:r>
              <w:rPr>
                <w:rFonts w:ascii="Calibri" w:hAnsi="Calibri" w:cs="Calibri"/>
                <w:color w:val="000000"/>
                <w:sz w:val="16"/>
                <w:szCs w:val="16"/>
              </w:rPr>
              <w:t>0.25</w:t>
            </w:r>
          </w:p>
        </w:tc>
        <w:tc>
          <w:tcPr>
            <w:tcW w:w="860" w:type="dxa"/>
            <w:tcBorders>
              <w:top w:val="nil"/>
              <w:left w:val="nil"/>
              <w:bottom w:val="single" w:sz="8" w:space="0" w:color="000000"/>
              <w:right w:val="single" w:sz="8" w:space="0" w:color="000000"/>
            </w:tcBorders>
            <w:shd w:val="clear" w:color="auto" w:fill="auto"/>
            <w:vAlign w:val="center"/>
            <w:hideMark/>
          </w:tcPr>
          <w:p w:rsidR="00BB3BC1" w:rsidRPr="00A135B0" w:rsidP="00BB3BC1" w14:paraId="237EDE2E" w14:textId="555B62ED">
            <w:pPr>
              <w:widowControl/>
              <w:jc w:val="right"/>
              <w:rPr>
                <w:rFonts w:ascii="Calibri" w:hAnsi="Calibri" w:cs="Calibri"/>
                <w:color w:val="000000"/>
                <w:sz w:val="16"/>
                <w:szCs w:val="16"/>
              </w:rPr>
            </w:pPr>
            <w:r>
              <w:rPr>
                <w:rFonts w:ascii="Calibri" w:hAnsi="Calibri" w:cs="Calibri"/>
                <w:color w:val="000000"/>
                <w:sz w:val="16"/>
                <w:szCs w:val="16"/>
              </w:rPr>
              <w:t>8</w:t>
            </w:r>
          </w:p>
        </w:tc>
        <w:tc>
          <w:tcPr>
            <w:tcW w:w="1066" w:type="dxa"/>
            <w:tcBorders>
              <w:top w:val="nil"/>
              <w:left w:val="nil"/>
              <w:bottom w:val="single" w:sz="8" w:space="0" w:color="000000"/>
              <w:right w:val="single" w:sz="8" w:space="0" w:color="000000"/>
            </w:tcBorders>
            <w:shd w:val="clear" w:color="auto" w:fill="auto"/>
            <w:vAlign w:val="center"/>
            <w:hideMark/>
          </w:tcPr>
          <w:p w:rsidR="00BB3BC1" w:rsidRPr="00A135B0" w:rsidP="00BB3BC1" w14:paraId="551E4A06" w14:textId="43CD024F">
            <w:pPr>
              <w:widowControl/>
              <w:jc w:val="right"/>
              <w:rPr>
                <w:rFonts w:ascii="Calibri" w:hAnsi="Calibri" w:cs="Calibri"/>
                <w:color w:val="000000"/>
                <w:sz w:val="16"/>
                <w:szCs w:val="16"/>
              </w:rPr>
            </w:pPr>
            <w:r>
              <w:rPr>
                <w:rFonts w:ascii="Calibri" w:hAnsi="Calibri" w:cs="Calibri"/>
                <w:color w:val="000000"/>
                <w:sz w:val="16"/>
                <w:szCs w:val="16"/>
              </w:rPr>
              <w:t>$19.22</w:t>
            </w:r>
          </w:p>
        </w:tc>
        <w:tc>
          <w:tcPr>
            <w:tcW w:w="1130" w:type="dxa"/>
            <w:tcBorders>
              <w:top w:val="nil"/>
              <w:left w:val="nil"/>
              <w:bottom w:val="single" w:sz="8" w:space="0" w:color="000000"/>
              <w:right w:val="single" w:sz="8" w:space="0" w:color="000000"/>
            </w:tcBorders>
            <w:shd w:val="clear" w:color="auto" w:fill="auto"/>
            <w:vAlign w:val="center"/>
            <w:hideMark/>
          </w:tcPr>
          <w:p w:rsidR="00BB3BC1" w:rsidRPr="00A135B0" w:rsidP="00BB3BC1" w14:paraId="060AB4AE" w14:textId="2FEF55B9">
            <w:pPr>
              <w:widowControl/>
              <w:jc w:val="right"/>
              <w:rPr>
                <w:rFonts w:ascii="Calibri" w:hAnsi="Calibri" w:cs="Calibri"/>
                <w:color w:val="000000"/>
                <w:sz w:val="16"/>
                <w:szCs w:val="16"/>
              </w:rPr>
            </w:pPr>
            <w:r>
              <w:rPr>
                <w:rFonts w:ascii="Calibri" w:hAnsi="Calibri" w:cs="Calibri"/>
                <w:color w:val="000000"/>
                <w:sz w:val="16"/>
                <w:szCs w:val="16"/>
              </w:rPr>
              <w:t>$144</w:t>
            </w:r>
          </w:p>
        </w:tc>
      </w:tr>
      <w:tr w14:paraId="77E6A512" w14:textId="77777777" w:rsidTr="000E6365">
        <w:tblPrEx>
          <w:tblW w:w="10700" w:type="dxa"/>
          <w:jc w:val="center"/>
          <w:tblLook w:val="04A0"/>
        </w:tblPrEx>
        <w:trPr>
          <w:trHeight w:val="315"/>
          <w:jc w:val="center"/>
        </w:trPr>
        <w:tc>
          <w:tcPr>
            <w:tcW w:w="1958" w:type="dxa"/>
            <w:tcBorders>
              <w:top w:val="nil"/>
              <w:left w:val="single" w:sz="8" w:space="0" w:color="000000"/>
              <w:bottom w:val="single" w:sz="8" w:space="0" w:color="000000"/>
              <w:right w:val="single" w:sz="8" w:space="0" w:color="000000"/>
            </w:tcBorders>
            <w:shd w:val="clear" w:color="auto" w:fill="auto"/>
            <w:vAlign w:val="center"/>
            <w:hideMark/>
          </w:tcPr>
          <w:p w:rsidR="00BB3BC1" w:rsidRPr="00A135B0" w:rsidP="00BB3BC1" w14:paraId="2B037294" w14:textId="1660C536">
            <w:pPr>
              <w:widowControl/>
              <w:rPr>
                <w:rFonts w:ascii="Calibri" w:hAnsi="Calibri" w:cs="Calibri"/>
                <w:color w:val="000000"/>
                <w:sz w:val="16"/>
                <w:szCs w:val="16"/>
              </w:rPr>
            </w:pPr>
            <w:r w:rsidRPr="00A135B0">
              <w:rPr>
                <w:rFonts w:ascii="Calibri" w:hAnsi="Calibri" w:cs="Calibri"/>
                <w:color w:val="000000"/>
                <w:sz w:val="16"/>
                <w:szCs w:val="16"/>
              </w:rPr>
              <w:t>Swordfish</w:t>
            </w:r>
            <w:r w:rsidR="006642F1">
              <w:rPr>
                <w:rFonts w:ascii="Calibri" w:hAnsi="Calibri" w:cs="Calibri"/>
                <w:color w:val="000000"/>
                <w:sz w:val="16"/>
                <w:szCs w:val="16"/>
              </w:rPr>
              <w:t xml:space="preserve"> buoy gear</w:t>
            </w:r>
          </w:p>
        </w:tc>
        <w:tc>
          <w:tcPr>
            <w:tcW w:w="1094" w:type="dxa"/>
            <w:tcBorders>
              <w:top w:val="nil"/>
              <w:left w:val="nil"/>
              <w:bottom w:val="single" w:sz="8" w:space="0" w:color="000000"/>
              <w:right w:val="single" w:sz="8" w:space="0" w:color="000000"/>
            </w:tcBorders>
            <w:shd w:val="clear" w:color="auto" w:fill="auto"/>
            <w:vAlign w:val="center"/>
            <w:hideMark/>
          </w:tcPr>
          <w:p w:rsidR="00BB3BC1" w:rsidRPr="00A135B0" w:rsidP="00BB3BC1" w14:paraId="3E4F5030"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sz="8" w:space="0" w:color="000000"/>
              <w:right w:val="single" w:sz="8" w:space="0" w:color="000000"/>
            </w:tcBorders>
            <w:shd w:val="clear" w:color="auto" w:fill="auto"/>
            <w:vAlign w:val="center"/>
            <w:hideMark/>
          </w:tcPr>
          <w:p w:rsidR="00BB3BC1" w:rsidRPr="00A135B0" w:rsidP="00BB3BC1" w14:paraId="03C412AA" w14:textId="3B96E112">
            <w:pPr>
              <w:widowControl/>
              <w:jc w:val="right"/>
              <w:rPr>
                <w:rFonts w:ascii="Calibri" w:hAnsi="Calibri" w:cs="Calibri"/>
                <w:color w:val="000000"/>
                <w:sz w:val="16"/>
                <w:szCs w:val="16"/>
              </w:rPr>
            </w:pPr>
            <w:r>
              <w:rPr>
                <w:rFonts w:ascii="Calibri" w:hAnsi="Calibri" w:cs="Calibri"/>
                <w:color w:val="000000"/>
                <w:sz w:val="16"/>
                <w:szCs w:val="16"/>
              </w:rPr>
              <w:t>86</w:t>
            </w:r>
          </w:p>
        </w:tc>
        <w:tc>
          <w:tcPr>
            <w:tcW w:w="1159" w:type="dxa"/>
            <w:tcBorders>
              <w:top w:val="nil"/>
              <w:left w:val="nil"/>
              <w:bottom w:val="single" w:sz="8" w:space="0" w:color="000000"/>
              <w:right w:val="single" w:sz="8" w:space="0" w:color="000000"/>
            </w:tcBorders>
            <w:shd w:val="clear" w:color="auto" w:fill="auto"/>
            <w:vAlign w:val="center"/>
            <w:hideMark/>
          </w:tcPr>
          <w:p w:rsidR="00BB3BC1" w:rsidRPr="00A135B0" w:rsidP="00BB3BC1" w14:paraId="140CB357" w14:textId="49C9AF2C">
            <w:pPr>
              <w:widowControl/>
              <w:jc w:val="right"/>
              <w:rPr>
                <w:rFonts w:ascii="Calibri" w:hAnsi="Calibri" w:cs="Calibri"/>
                <w:color w:val="000000"/>
                <w:sz w:val="16"/>
                <w:szCs w:val="16"/>
              </w:rPr>
            </w:pPr>
            <w:r>
              <w:rPr>
                <w:rFonts w:ascii="Calibri" w:hAnsi="Calibri" w:cs="Calibri"/>
                <w:color w:val="000000"/>
                <w:sz w:val="16"/>
                <w:szCs w:val="16"/>
              </w:rPr>
              <w:t>35</w:t>
            </w:r>
          </w:p>
        </w:tc>
        <w:tc>
          <w:tcPr>
            <w:tcW w:w="1092" w:type="dxa"/>
            <w:tcBorders>
              <w:top w:val="nil"/>
              <w:left w:val="nil"/>
              <w:bottom w:val="single" w:sz="8" w:space="0" w:color="000000"/>
              <w:right w:val="single" w:sz="8" w:space="0" w:color="000000"/>
            </w:tcBorders>
            <w:shd w:val="clear" w:color="auto" w:fill="auto"/>
            <w:vAlign w:val="center"/>
            <w:hideMark/>
          </w:tcPr>
          <w:p w:rsidR="00BB3BC1" w:rsidRPr="00A135B0" w:rsidP="00BB3BC1" w14:paraId="4648D132" w14:textId="38A17A92">
            <w:pPr>
              <w:widowControl/>
              <w:jc w:val="right"/>
              <w:rPr>
                <w:rFonts w:ascii="Calibri" w:hAnsi="Calibri" w:cs="Calibri"/>
                <w:color w:val="000000"/>
                <w:sz w:val="16"/>
                <w:szCs w:val="16"/>
              </w:rPr>
            </w:pPr>
            <w:r>
              <w:rPr>
                <w:rFonts w:ascii="Calibri" w:hAnsi="Calibri" w:cs="Calibri"/>
                <w:color w:val="000000"/>
                <w:sz w:val="16"/>
                <w:szCs w:val="16"/>
              </w:rPr>
              <w:t>3,010</w:t>
            </w:r>
          </w:p>
        </w:tc>
        <w:tc>
          <w:tcPr>
            <w:tcW w:w="900" w:type="dxa"/>
            <w:tcBorders>
              <w:top w:val="nil"/>
              <w:left w:val="nil"/>
              <w:bottom w:val="single" w:sz="8" w:space="0" w:color="000000"/>
              <w:right w:val="single" w:sz="8" w:space="0" w:color="000000"/>
            </w:tcBorders>
            <w:shd w:val="clear" w:color="auto" w:fill="auto"/>
            <w:vAlign w:val="center"/>
            <w:hideMark/>
          </w:tcPr>
          <w:p w:rsidR="00BB3BC1" w:rsidRPr="00A135B0" w:rsidP="00BB3BC1" w14:paraId="728E34AA" w14:textId="4F2F48D8">
            <w:pPr>
              <w:widowControl/>
              <w:jc w:val="right"/>
              <w:rPr>
                <w:rFonts w:ascii="Calibri" w:hAnsi="Calibri" w:cs="Calibri"/>
                <w:color w:val="000000"/>
                <w:sz w:val="16"/>
                <w:szCs w:val="16"/>
              </w:rPr>
            </w:pPr>
            <w:r>
              <w:rPr>
                <w:rFonts w:ascii="Calibri" w:hAnsi="Calibri" w:cs="Calibri"/>
                <w:color w:val="000000"/>
                <w:sz w:val="16"/>
                <w:szCs w:val="16"/>
              </w:rPr>
              <w:t>0.25</w:t>
            </w:r>
          </w:p>
        </w:tc>
        <w:tc>
          <w:tcPr>
            <w:tcW w:w="860" w:type="dxa"/>
            <w:tcBorders>
              <w:top w:val="nil"/>
              <w:left w:val="nil"/>
              <w:bottom w:val="single" w:sz="8" w:space="0" w:color="000000"/>
              <w:right w:val="single" w:sz="8" w:space="0" w:color="000000"/>
            </w:tcBorders>
            <w:shd w:val="clear" w:color="auto" w:fill="auto"/>
            <w:vAlign w:val="center"/>
            <w:hideMark/>
          </w:tcPr>
          <w:p w:rsidR="00BB3BC1" w:rsidRPr="00A135B0" w:rsidP="00BB3BC1" w14:paraId="5487653A" w14:textId="7F8A6C6F">
            <w:pPr>
              <w:widowControl/>
              <w:jc w:val="right"/>
              <w:rPr>
                <w:rFonts w:ascii="Calibri" w:hAnsi="Calibri" w:cs="Calibri"/>
                <w:color w:val="000000"/>
                <w:sz w:val="16"/>
                <w:szCs w:val="16"/>
              </w:rPr>
            </w:pPr>
            <w:r>
              <w:rPr>
                <w:rFonts w:ascii="Calibri" w:hAnsi="Calibri" w:cs="Calibri"/>
                <w:color w:val="000000"/>
                <w:sz w:val="16"/>
                <w:szCs w:val="16"/>
              </w:rPr>
              <w:t>753</w:t>
            </w:r>
          </w:p>
        </w:tc>
        <w:tc>
          <w:tcPr>
            <w:tcW w:w="1066" w:type="dxa"/>
            <w:tcBorders>
              <w:top w:val="nil"/>
              <w:left w:val="nil"/>
              <w:bottom w:val="single" w:sz="8" w:space="0" w:color="000000"/>
              <w:right w:val="single" w:sz="8" w:space="0" w:color="000000"/>
            </w:tcBorders>
            <w:shd w:val="clear" w:color="auto" w:fill="auto"/>
            <w:vAlign w:val="center"/>
            <w:hideMark/>
          </w:tcPr>
          <w:p w:rsidR="00BB3BC1" w:rsidRPr="00A135B0" w:rsidP="00BB3BC1" w14:paraId="69434B7E" w14:textId="431F8104">
            <w:pPr>
              <w:widowControl/>
              <w:jc w:val="right"/>
              <w:rPr>
                <w:rFonts w:ascii="Calibri" w:hAnsi="Calibri" w:cs="Calibri"/>
                <w:color w:val="000000"/>
                <w:sz w:val="16"/>
                <w:szCs w:val="16"/>
              </w:rPr>
            </w:pPr>
            <w:r>
              <w:rPr>
                <w:rFonts w:ascii="Calibri" w:hAnsi="Calibri" w:cs="Calibri"/>
                <w:color w:val="000000"/>
                <w:sz w:val="16"/>
                <w:szCs w:val="16"/>
              </w:rPr>
              <w:t>$19.22</w:t>
            </w:r>
          </w:p>
        </w:tc>
        <w:tc>
          <w:tcPr>
            <w:tcW w:w="1130" w:type="dxa"/>
            <w:tcBorders>
              <w:top w:val="nil"/>
              <w:left w:val="nil"/>
              <w:bottom w:val="single" w:sz="8" w:space="0" w:color="000000"/>
              <w:right w:val="single" w:sz="8" w:space="0" w:color="000000"/>
            </w:tcBorders>
            <w:shd w:val="clear" w:color="auto" w:fill="auto"/>
            <w:vAlign w:val="center"/>
            <w:hideMark/>
          </w:tcPr>
          <w:p w:rsidR="00BB3BC1" w:rsidRPr="00A135B0" w:rsidP="00BB3BC1" w14:paraId="55B4106A" w14:textId="22F4DFB2">
            <w:pPr>
              <w:widowControl/>
              <w:jc w:val="right"/>
              <w:rPr>
                <w:rFonts w:ascii="Calibri" w:hAnsi="Calibri" w:cs="Calibri"/>
                <w:color w:val="000000"/>
                <w:sz w:val="16"/>
                <w:szCs w:val="16"/>
              </w:rPr>
            </w:pPr>
            <w:r>
              <w:rPr>
                <w:rFonts w:ascii="Calibri" w:hAnsi="Calibri" w:cs="Calibri"/>
                <w:color w:val="000000"/>
                <w:sz w:val="16"/>
                <w:szCs w:val="16"/>
              </w:rPr>
              <w:t>$14,463</w:t>
            </w:r>
          </w:p>
        </w:tc>
      </w:tr>
      <w:tr w14:paraId="60C06291" w14:textId="77777777" w:rsidTr="000E6365">
        <w:tblPrEx>
          <w:tblW w:w="10700" w:type="dxa"/>
          <w:jc w:val="center"/>
          <w:tblLook w:val="04A0"/>
        </w:tblPrEx>
        <w:trPr>
          <w:trHeight w:val="315"/>
          <w:jc w:val="center"/>
        </w:trPr>
        <w:tc>
          <w:tcPr>
            <w:tcW w:w="1958" w:type="dxa"/>
            <w:tcBorders>
              <w:top w:val="nil"/>
              <w:left w:val="single" w:sz="8" w:space="0" w:color="000000"/>
              <w:bottom w:val="single" w:sz="8" w:space="0" w:color="000000"/>
              <w:right w:val="single" w:sz="8" w:space="0" w:color="000000"/>
            </w:tcBorders>
            <w:shd w:val="clear" w:color="auto" w:fill="auto"/>
            <w:vAlign w:val="center"/>
            <w:hideMark/>
          </w:tcPr>
          <w:p w:rsidR="00BB3BC1" w:rsidRPr="00A135B0" w:rsidP="00BB3BC1" w14:paraId="66579953" w14:textId="77777777">
            <w:pPr>
              <w:widowControl/>
              <w:rPr>
                <w:rFonts w:ascii="Calibri" w:hAnsi="Calibri" w:cs="Calibri"/>
                <w:color w:val="000000"/>
                <w:sz w:val="16"/>
                <w:szCs w:val="16"/>
              </w:rPr>
            </w:pPr>
            <w:r w:rsidRPr="00A135B0">
              <w:rPr>
                <w:rFonts w:ascii="Calibri" w:hAnsi="Calibri" w:cs="Calibri"/>
                <w:color w:val="000000"/>
                <w:sz w:val="16"/>
                <w:szCs w:val="16"/>
              </w:rPr>
              <w:t>Gillnet floats</w:t>
            </w:r>
          </w:p>
        </w:tc>
        <w:tc>
          <w:tcPr>
            <w:tcW w:w="1094" w:type="dxa"/>
            <w:tcBorders>
              <w:top w:val="nil"/>
              <w:left w:val="nil"/>
              <w:bottom w:val="single" w:sz="8" w:space="0" w:color="000000"/>
              <w:right w:val="single" w:sz="8" w:space="0" w:color="000000"/>
            </w:tcBorders>
            <w:shd w:val="clear" w:color="auto" w:fill="auto"/>
            <w:vAlign w:val="center"/>
            <w:hideMark/>
          </w:tcPr>
          <w:p w:rsidR="00BB3BC1" w:rsidRPr="00A135B0" w:rsidP="00BB3BC1" w14:paraId="49A1F3AC"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sz="8" w:space="0" w:color="000000"/>
              <w:right w:val="single" w:sz="8" w:space="0" w:color="000000"/>
            </w:tcBorders>
            <w:shd w:val="clear" w:color="auto" w:fill="auto"/>
            <w:vAlign w:val="center"/>
            <w:hideMark/>
          </w:tcPr>
          <w:p w:rsidR="00BB3BC1" w:rsidRPr="00A135B0" w:rsidP="00BB3BC1" w14:paraId="650DE440" w14:textId="702983D9">
            <w:pPr>
              <w:widowControl/>
              <w:jc w:val="right"/>
              <w:rPr>
                <w:rFonts w:ascii="Calibri" w:hAnsi="Calibri" w:cs="Calibri"/>
                <w:color w:val="000000"/>
                <w:sz w:val="16"/>
                <w:szCs w:val="16"/>
              </w:rPr>
            </w:pPr>
            <w:r>
              <w:rPr>
                <w:rFonts w:ascii="Calibri" w:hAnsi="Calibri" w:cs="Calibri"/>
                <w:color w:val="000000"/>
                <w:sz w:val="16"/>
                <w:szCs w:val="16"/>
              </w:rPr>
              <w:t>22</w:t>
            </w:r>
          </w:p>
        </w:tc>
        <w:tc>
          <w:tcPr>
            <w:tcW w:w="1159" w:type="dxa"/>
            <w:tcBorders>
              <w:top w:val="nil"/>
              <w:left w:val="nil"/>
              <w:bottom w:val="single" w:sz="8" w:space="0" w:color="000000"/>
              <w:right w:val="single" w:sz="8" w:space="0" w:color="000000"/>
            </w:tcBorders>
            <w:shd w:val="clear" w:color="auto" w:fill="auto"/>
            <w:vAlign w:val="center"/>
            <w:hideMark/>
          </w:tcPr>
          <w:p w:rsidR="00BB3BC1" w:rsidRPr="00A135B0" w:rsidP="00BB3BC1" w14:paraId="60FA5220" w14:textId="2AF2CD13">
            <w:pPr>
              <w:widowControl/>
              <w:jc w:val="right"/>
              <w:rPr>
                <w:rFonts w:ascii="Calibri" w:hAnsi="Calibri" w:cs="Calibri"/>
                <w:color w:val="000000"/>
                <w:sz w:val="16"/>
                <w:szCs w:val="16"/>
              </w:rPr>
            </w:pPr>
            <w:r>
              <w:rPr>
                <w:rFonts w:ascii="Calibri" w:hAnsi="Calibri" w:cs="Calibri"/>
                <w:color w:val="000000"/>
                <w:sz w:val="16"/>
                <w:szCs w:val="16"/>
              </w:rPr>
              <w:t>2</w:t>
            </w:r>
          </w:p>
        </w:tc>
        <w:tc>
          <w:tcPr>
            <w:tcW w:w="1092" w:type="dxa"/>
            <w:tcBorders>
              <w:top w:val="nil"/>
              <w:left w:val="nil"/>
              <w:bottom w:val="single" w:sz="8" w:space="0" w:color="000000"/>
              <w:right w:val="single" w:sz="8" w:space="0" w:color="000000"/>
            </w:tcBorders>
            <w:shd w:val="clear" w:color="auto" w:fill="auto"/>
            <w:vAlign w:val="center"/>
            <w:hideMark/>
          </w:tcPr>
          <w:p w:rsidR="00BB3BC1" w:rsidRPr="00A135B0" w:rsidP="00BB3BC1" w14:paraId="7E2D7E85" w14:textId="31AF44E9">
            <w:pPr>
              <w:widowControl/>
              <w:jc w:val="right"/>
              <w:rPr>
                <w:rFonts w:ascii="Calibri" w:hAnsi="Calibri" w:cs="Calibri"/>
                <w:color w:val="000000"/>
                <w:sz w:val="16"/>
                <w:szCs w:val="16"/>
              </w:rPr>
            </w:pPr>
            <w:r>
              <w:rPr>
                <w:rFonts w:ascii="Calibri" w:hAnsi="Calibri" w:cs="Calibri"/>
                <w:color w:val="000000"/>
                <w:sz w:val="16"/>
                <w:szCs w:val="16"/>
              </w:rPr>
              <w:t>44</w:t>
            </w:r>
          </w:p>
        </w:tc>
        <w:tc>
          <w:tcPr>
            <w:tcW w:w="900" w:type="dxa"/>
            <w:tcBorders>
              <w:top w:val="nil"/>
              <w:left w:val="nil"/>
              <w:bottom w:val="single" w:sz="8" w:space="0" w:color="000000"/>
              <w:right w:val="single" w:sz="8" w:space="0" w:color="000000"/>
            </w:tcBorders>
            <w:shd w:val="clear" w:color="auto" w:fill="auto"/>
            <w:vAlign w:val="center"/>
            <w:hideMark/>
          </w:tcPr>
          <w:p w:rsidR="00BB3BC1" w:rsidRPr="00A135B0" w:rsidP="00BB3BC1" w14:paraId="325BBFE9" w14:textId="36761DD0">
            <w:pPr>
              <w:widowControl/>
              <w:jc w:val="right"/>
              <w:rPr>
                <w:rFonts w:ascii="Calibri" w:hAnsi="Calibri" w:cs="Calibri"/>
                <w:color w:val="000000"/>
                <w:sz w:val="16"/>
                <w:szCs w:val="16"/>
              </w:rPr>
            </w:pPr>
            <w:r>
              <w:rPr>
                <w:rFonts w:ascii="Calibri" w:hAnsi="Calibri" w:cs="Calibri"/>
                <w:color w:val="000000"/>
                <w:sz w:val="16"/>
                <w:szCs w:val="16"/>
              </w:rPr>
              <w:t>0.25</w:t>
            </w:r>
          </w:p>
        </w:tc>
        <w:tc>
          <w:tcPr>
            <w:tcW w:w="860" w:type="dxa"/>
            <w:tcBorders>
              <w:top w:val="nil"/>
              <w:left w:val="nil"/>
              <w:bottom w:val="single" w:sz="8" w:space="0" w:color="000000"/>
              <w:right w:val="single" w:sz="8" w:space="0" w:color="000000"/>
            </w:tcBorders>
            <w:shd w:val="clear" w:color="auto" w:fill="auto"/>
            <w:vAlign w:val="center"/>
            <w:hideMark/>
          </w:tcPr>
          <w:p w:rsidR="00BB3BC1" w:rsidRPr="00A135B0" w:rsidP="00BB3BC1" w14:paraId="04DE1069" w14:textId="1D59A772">
            <w:pPr>
              <w:widowControl/>
              <w:jc w:val="right"/>
              <w:rPr>
                <w:rFonts w:ascii="Calibri" w:hAnsi="Calibri" w:cs="Calibri"/>
                <w:color w:val="000000"/>
                <w:sz w:val="16"/>
                <w:szCs w:val="16"/>
              </w:rPr>
            </w:pPr>
            <w:r>
              <w:rPr>
                <w:rFonts w:ascii="Calibri" w:hAnsi="Calibri" w:cs="Calibri"/>
                <w:color w:val="000000"/>
                <w:sz w:val="16"/>
                <w:szCs w:val="16"/>
              </w:rPr>
              <w:t>11</w:t>
            </w:r>
          </w:p>
        </w:tc>
        <w:tc>
          <w:tcPr>
            <w:tcW w:w="1066" w:type="dxa"/>
            <w:tcBorders>
              <w:top w:val="nil"/>
              <w:left w:val="nil"/>
              <w:bottom w:val="single" w:sz="8" w:space="0" w:color="000000"/>
              <w:right w:val="single" w:sz="8" w:space="0" w:color="000000"/>
            </w:tcBorders>
            <w:shd w:val="clear" w:color="auto" w:fill="auto"/>
            <w:vAlign w:val="center"/>
            <w:hideMark/>
          </w:tcPr>
          <w:p w:rsidR="00BB3BC1" w:rsidRPr="00A135B0" w:rsidP="00BB3BC1" w14:paraId="5628398D" w14:textId="35544405">
            <w:pPr>
              <w:widowControl/>
              <w:jc w:val="right"/>
              <w:rPr>
                <w:rFonts w:ascii="Calibri" w:hAnsi="Calibri" w:cs="Calibri"/>
                <w:color w:val="000000"/>
                <w:sz w:val="16"/>
                <w:szCs w:val="16"/>
              </w:rPr>
            </w:pPr>
            <w:r>
              <w:rPr>
                <w:rFonts w:ascii="Calibri" w:hAnsi="Calibri" w:cs="Calibri"/>
                <w:color w:val="000000"/>
                <w:sz w:val="16"/>
                <w:szCs w:val="16"/>
              </w:rPr>
              <w:t>$19.22</w:t>
            </w:r>
          </w:p>
        </w:tc>
        <w:tc>
          <w:tcPr>
            <w:tcW w:w="1130" w:type="dxa"/>
            <w:tcBorders>
              <w:top w:val="nil"/>
              <w:left w:val="nil"/>
              <w:bottom w:val="single" w:sz="8" w:space="0" w:color="000000"/>
              <w:right w:val="single" w:sz="8" w:space="0" w:color="000000"/>
            </w:tcBorders>
            <w:shd w:val="clear" w:color="auto" w:fill="auto"/>
            <w:vAlign w:val="center"/>
            <w:hideMark/>
          </w:tcPr>
          <w:p w:rsidR="00BB3BC1" w:rsidRPr="00A135B0" w:rsidP="00BB3BC1" w14:paraId="6034B2E8" w14:textId="41D15E3E">
            <w:pPr>
              <w:widowControl/>
              <w:jc w:val="right"/>
              <w:rPr>
                <w:rFonts w:ascii="Calibri" w:hAnsi="Calibri" w:cs="Calibri"/>
                <w:color w:val="000000"/>
                <w:sz w:val="16"/>
                <w:szCs w:val="16"/>
              </w:rPr>
            </w:pPr>
            <w:r>
              <w:rPr>
                <w:rFonts w:ascii="Calibri" w:hAnsi="Calibri" w:cs="Calibri"/>
                <w:color w:val="000000"/>
                <w:sz w:val="16"/>
                <w:szCs w:val="16"/>
              </w:rPr>
              <w:t>$211</w:t>
            </w:r>
          </w:p>
        </w:tc>
      </w:tr>
      <w:tr w14:paraId="192C07CC" w14:textId="77777777" w:rsidTr="000E6365">
        <w:tblPrEx>
          <w:tblW w:w="10700" w:type="dxa"/>
          <w:jc w:val="center"/>
          <w:tblLook w:val="04A0"/>
        </w:tblPrEx>
        <w:trPr>
          <w:trHeight w:val="315"/>
          <w:jc w:val="center"/>
        </w:trPr>
        <w:tc>
          <w:tcPr>
            <w:tcW w:w="1958" w:type="dxa"/>
            <w:tcBorders>
              <w:top w:val="nil"/>
              <w:left w:val="single" w:sz="8" w:space="0" w:color="000000"/>
              <w:bottom w:val="single" w:sz="8" w:space="0" w:color="000000"/>
              <w:right w:val="single" w:sz="8" w:space="0" w:color="000000"/>
            </w:tcBorders>
            <w:shd w:val="clear" w:color="auto" w:fill="auto"/>
            <w:vAlign w:val="center"/>
            <w:hideMark/>
          </w:tcPr>
          <w:p w:rsidR="00BB3BC1" w:rsidRPr="00A135B0" w:rsidP="00BB3BC1" w14:paraId="4F925148" w14:textId="77777777">
            <w:pPr>
              <w:widowControl/>
              <w:rPr>
                <w:rFonts w:ascii="Calibri" w:hAnsi="Calibri" w:cs="Calibri"/>
                <w:color w:val="000000"/>
                <w:sz w:val="16"/>
                <w:szCs w:val="16"/>
              </w:rPr>
            </w:pPr>
            <w:r w:rsidRPr="00A135B0">
              <w:rPr>
                <w:rFonts w:ascii="Calibri" w:hAnsi="Calibri" w:cs="Calibri"/>
                <w:color w:val="000000"/>
                <w:sz w:val="16"/>
                <w:szCs w:val="16"/>
              </w:rPr>
              <w:t>Caribbean Small Boat</w:t>
            </w:r>
          </w:p>
        </w:tc>
        <w:tc>
          <w:tcPr>
            <w:tcW w:w="1094" w:type="dxa"/>
            <w:tcBorders>
              <w:top w:val="nil"/>
              <w:left w:val="nil"/>
              <w:bottom w:val="single" w:sz="8" w:space="0" w:color="000000"/>
              <w:right w:val="single" w:sz="8" w:space="0" w:color="000000"/>
            </w:tcBorders>
            <w:shd w:val="clear" w:color="auto" w:fill="auto"/>
            <w:vAlign w:val="center"/>
            <w:hideMark/>
          </w:tcPr>
          <w:p w:rsidR="00BB3BC1" w:rsidRPr="00A135B0" w:rsidP="00BB3BC1" w14:paraId="3B45139E" w14:textId="77777777">
            <w:pPr>
              <w:widowControl/>
              <w:jc w:val="center"/>
              <w:rPr>
                <w:rFonts w:ascii="Calibri" w:hAnsi="Calibri" w:cs="Calibri"/>
                <w:color w:val="000000"/>
                <w:sz w:val="16"/>
                <w:szCs w:val="16"/>
              </w:rPr>
            </w:pPr>
            <w:r w:rsidRPr="00A135B0">
              <w:rPr>
                <w:rFonts w:ascii="Calibri" w:hAnsi="Calibri" w:cs="Calibri"/>
                <w:color w:val="000000"/>
                <w:sz w:val="16"/>
                <w:szCs w:val="16"/>
              </w:rPr>
              <w:t>Fisherman</w:t>
            </w:r>
          </w:p>
        </w:tc>
        <w:tc>
          <w:tcPr>
            <w:tcW w:w="1441" w:type="dxa"/>
            <w:tcBorders>
              <w:top w:val="nil"/>
              <w:left w:val="nil"/>
              <w:bottom w:val="single" w:sz="8" w:space="0" w:color="000000"/>
              <w:right w:val="single" w:sz="8" w:space="0" w:color="000000"/>
            </w:tcBorders>
            <w:shd w:val="clear" w:color="auto" w:fill="auto"/>
            <w:vAlign w:val="center"/>
            <w:hideMark/>
          </w:tcPr>
          <w:p w:rsidR="00BB3BC1" w:rsidRPr="00A135B0" w:rsidP="00BB3BC1" w14:paraId="640E73C8" w14:textId="1D46A376">
            <w:pPr>
              <w:widowControl/>
              <w:jc w:val="right"/>
              <w:rPr>
                <w:rFonts w:ascii="Calibri" w:hAnsi="Calibri" w:cs="Calibri"/>
                <w:color w:val="000000"/>
                <w:sz w:val="16"/>
                <w:szCs w:val="16"/>
              </w:rPr>
            </w:pPr>
            <w:r>
              <w:rPr>
                <w:rFonts w:ascii="Calibri" w:hAnsi="Calibri" w:cs="Calibri"/>
                <w:color w:val="000000"/>
                <w:sz w:val="16"/>
                <w:szCs w:val="16"/>
              </w:rPr>
              <w:t>76</w:t>
            </w:r>
          </w:p>
        </w:tc>
        <w:tc>
          <w:tcPr>
            <w:tcW w:w="1159" w:type="dxa"/>
            <w:tcBorders>
              <w:top w:val="nil"/>
              <w:left w:val="nil"/>
              <w:bottom w:val="single" w:sz="8" w:space="0" w:color="000000"/>
              <w:right w:val="single" w:sz="8" w:space="0" w:color="000000"/>
            </w:tcBorders>
            <w:shd w:val="clear" w:color="auto" w:fill="auto"/>
            <w:vAlign w:val="center"/>
            <w:hideMark/>
          </w:tcPr>
          <w:p w:rsidR="00BB3BC1" w:rsidRPr="00A135B0" w:rsidP="00BB3BC1" w14:paraId="197CA244" w14:textId="376B576B">
            <w:pPr>
              <w:widowControl/>
              <w:jc w:val="right"/>
              <w:rPr>
                <w:rFonts w:ascii="Calibri" w:hAnsi="Calibri" w:cs="Calibri"/>
                <w:color w:val="000000"/>
                <w:sz w:val="16"/>
                <w:szCs w:val="16"/>
              </w:rPr>
            </w:pPr>
            <w:r>
              <w:rPr>
                <w:rFonts w:ascii="Calibri" w:hAnsi="Calibri" w:cs="Calibri"/>
                <w:color w:val="000000"/>
                <w:sz w:val="16"/>
                <w:szCs w:val="16"/>
              </w:rPr>
              <w:t>35</w:t>
            </w:r>
          </w:p>
        </w:tc>
        <w:tc>
          <w:tcPr>
            <w:tcW w:w="1092" w:type="dxa"/>
            <w:tcBorders>
              <w:top w:val="nil"/>
              <w:left w:val="nil"/>
              <w:bottom w:val="single" w:sz="8" w:space="0" w:color="000000"/>
              <w:right w:val="single" w:sz="8" w:space="0" w:color="000000"/>
            </w:tcBorders>
            <w:shd w:val="clear" w:color="auto" w:fill="auto"/>
            <w:vAlign w:val="center"/>
            <w:hideMark/>
          </w:tcPr>
          <w:p w:rsidR="00BB3BC1" w:rsidRPr="00A135B0" w:rsidP="00BB3BC1" w14:paraId="5D69BFAD" w14:textId="6798191A">
            <w:pPr>
              <w:widowControl/>
              <w:jc w:val="right"/>
              <w:rPr>
                <w:rFonts w:ascii="Calibri" w:hAnsi="Calibri" w:cs="Calibri"/>
                <w:color w:val="000000"/>
                <w:sz w:val="16"/>
                <w:szCs w:val="16"/>
              </w:rPr>
            </w:pPr>
            <w:r>
              <w:rPr>
                <w:rFonts w:ascii="Calibri" w:hAnsi="Calibri" w:cs="Calibri"/>
                <w:color w:val="000000"/>
                <w:sz w:val="16"/>
                <w:szCs w:val="16"/>
              </w:rPr>
              <w:t>2,660</w:t>
            </w:r>
          </w:p>
        </w:tc>
        <w:tc>
          <w:tcPr>
            <w:tcW w:w="900" w:type="dxa"/>
            <w:tcBorders>
              <w:top w:val="nil"/>
              <w:left w:val="nil"/>
              <w:bottom w:val="single" w:sz="8" w:space="0" w:color="000000"/>
              <w:right w:val="single" w:sz="8" w:space="0" w:color="000000"/>
            </w:tcBorders>
            <w:shd w:val="clear" w:color="auto" w:fill="auto"/>
            <w:vAlign w:val="center"/>
            <w:hideMark/>
          </w:tcPr>
          <w:p w:rsidR="00BB3BC1" w:rsidRPr="00A135B0" w:rsidP="00BB3BC1" w14:paraId="3CEB39CC" w14:textId="3575FA09">
            <w:pPr>
              <w:widowControl/>
              <w:jc w:val="right"/>
              <w:rPr>
                <w:rFonts w:ascii="Calibri" w:hAnsi="Calibri" w:cs="Calibri"/>
                <w:color w:val="000000"/>
                <w:sz w:val="16"/>
                <w:szCs w:val="16"/>
              </w:rPr>
            </w:pPr>
            <w:r>
              <w:rPr>
                <w:rFonts w:ascii="Calibri" w:hAnsi="Calibri" w:cs="Calibri"/>
                <w:color w:val="000000"/>
                <w:sz w:val="16"/>
                <w:szCs w:val="16"/>
              </w:rPr>
              <w:t>0.25</w:t>
            </w:r>
          </w:p>
        </w:tc>
        <w:tc>
          <w:tcPr>
            <w:tcW w:w="860" w:type="dxa"/>
            <w:tcBorders>
              <w:top w:val="nil"/>
              <w:left w:val="nil"/>
              <w:bottom w:val="single" w:sz="8" w:space="0" w:color="000000"/>
              <w:right w:val="single" w:sz="8" w:space="0" w:color="000000"/>
            </w:tcBorders>
            <w:shd w:val="clear" w:color="auto" w:fill="auto"/>
            <w:vAlign w:val="center"/>
            <w:hideMark/>
          </w:tcPr>
          <w:p w:rsidR="00BB3BC1" w:rsidRPr="00A135B0" w:rsidP="00BB3BC1" w14:paraId="27151ACE" w14:textId="235DDC17">
            <w:pPr>
              <w:widowControl/>
              <w:jc w:val="right"/>
              <w:rPr>
                <w:rFonts w:ascii="Calibri" w:hAnsi="Calibri" w:cs="Calibri"/>
                <w:color w:val="000000"/>
                <w:sz w:val="16"/>
                <w:szCs w:val="16"/>
              </w:rPr>
            </w:pPr>
            <w:r>
              <w:rPr>
                <w:rFonts w:ascii="Calibri" w:hAnsi="Calibri" w:cs="Calibri"/>
                <w:color w:val="000000"/>
                <w:sz w:val="16"/>
                <w:szCs w:val="16"/>
              </w:rPr>
              <w:t>665</w:t>
            </w:r>
          </w:p>
        </w:tc>
        <w:tc>
          <w:tcPr>
            <w:tcW w:w="1066" w:type="dxa"/>
            <w:tcBorders>
              <w:top w:val="nil"/>
              <w:left w:val="nil"/>
              <w:bottom w:val="single" w:sz="8" w:space="0" w:color="000000"/>
              <w:right w:val="single" w:sz="8" w:space="0" w:color="000000"/>
            </w:tcBorders>
            <w:shd w:val="clear" w:color="auto" w:fill="auto"/>
            <w:vAlign w:val="center"/>
            <w:hideMark/>
          </w:tcPr>
          <w:p w:rsidR="00BB3BC1" w:rsidRPr="00A135B0" w:rsidP="00BB3BC1" w14:paraId="6FB2268D" w14:textId="09ABA9CC">
            <w:pPr>
              <w:widowControl/>
              <w:jc w:val="right"/>
              <w:rPr>
                <w:rFonts w:ascii="Calibri" w:hAnsi="Calibri" w:cs="Calibri"/>
                <w:color w:val="000000"/>
                <w:sz w:val="16"/>
                <w:szCs w:val="16"/>
              </w:rPr>
            </w:pPr>
            <w:r>
              <w:rPr>
                <w:rFonts w:ascii="Calibri" w:hAnsi="Calibri" w:cs="Calibri"/>
                <w:color w:val="000000"/>
                <w:sz w:val="16"/>
                <w:szCs w:val="16"/>
              </w:rPr>
              <w:t>$19.22</w:t>
            </w:r>
          </w:p>
        </w:tc>
        <w:tc>
          <w:tcPr>
            <w:tcW w:w="1130" w:type="dxa"/>
            <w:tcBorders>
              <w:top w:val="nil"/>
              <w:left w:val="nil"/>
              <w:bottom w:val="single" w:sz="8" w:space="0" w:color="000000"/>
              <w:right w:val="single" w:sz="8" w:space="0" w:color="000000"/>
            </w:tcBorders>
            <w:shd w:val="clear" w:color="auto" w:fill="auto"/>
            <w:vAlign w:val="center"/>
            <w:hideMark/>
          </w:tcPr>
          <w:p w:rsidR="00BB3BC1" w:rsidRPr="00A135B0" w:rsidP="00BB3BC1" w14:paraId="207DE7A2" w14:textId="4F589D2A">
            <w:pPr>
              <w:widowControl/>
              <w:jc w:val="right"/>
              <w:rPr>
                <w:rFonts w:ascii="Calibri" w:hAnsi="Calibri" w:cs="Calibri"/>
                <w:color w:val="000000"/>
                <w:sz w:val="16"/>
                <w:szCs w:val="16"/>
              </w:rPr>
            </w:pPr>
            <w:r>
              <w:rPr>
                <w:rFonts w:ascii="Calibri" w:hAnsi="Calibri" w:cs="Calibri"/>
                <w:color w:val="000000"/>
                <w:sz w:val="16"/>
                <w:szCs w:val="16"/>
              </w:rPr>
              <w:t>$12,781</w:t>
            </w:r>
          </w:p>
        </w:tc>
      </w:tr>
      <w:tr w14:paraId="3AD010A0" w14:textId="77777777" w:rsidTr="00AC2225">
        <w:tblPrEx>
          <w:tblW w:w="10700" w:type="dxa"/>
          <w:jc w:val="center"/>
          <w:tblLook w:val="04A0"/>
        </w:tblPrEx>
        <w:trPr>
          <w:trHeight w:val="315"/>
          <w:jc w:val="center"/>
        </w:trPr>
        <w:tc>
          <w:tcPr>
            <w:tcW w:w="1958" w:type="dxa"/>
            <w:tcBorders>
              <w:top w:val="nil"/>
              <w:left w:val="single" w:sz="8" w:space="0" w:color="000000"/>
              <w:bottom w:val="single" w:sz="8" w:space="0" w:color="000000"/>
              <w:right w:val="single" w:sz="8" w:space="0" w:color="000000"/>
            </w:tcBorders>
            <w:shd w:val="clear" w:color="auto" w:fill="B8CCE4" w:themeFill="accent1" w:themeFillTint="66"/>
            <w:vAlign w:val="center"/>
          </w:tcPr>
          <w:p w:rsidR="000E6365" w:rsidRPr="000E6365" w:rsidP="00BB3BC1" w14:paraId="0A07B09E" w14:textId="48F53CAF">
            <w:pPr>
              <w:widowControl/>
              <w:rPr>
                <w:rFonts w:ascii="Calibri" w:hAnsi="Calibri" w:cs="Calibri"/>
                <w:b/>
                <w:color w:val="000000"/>
                <w:sz w:val="16"/>
                <w:szCs w:val="16"/>
              </w:rPr>
            </w:pPr>
            <w:r w:rsidRPr="000E6365">
              <w:rPr>
                <w:rFonts w:ascii="Calibri" w:hAnsi="Calibri" w:cs="Calibri"/>
                <w:b/>
                <w:color w:val="000000"/>
                <w:sz w:val="16"/>
                <w:szCs w:val="16"/>
              </w:rPr>
              <w:t>Totals</w:t>
            </w:r>
          </w:p>
        </w:tc>
        <w:tc>
          <w:tcPr>
            <w:tcW w:w="1094" w:type="dxa"/>
            <w:tcBorders>
              <w:top w:val="nil"/>
              <w:left w:val="nil"/>
              <w:bottom w:val="single" w:sz="8" w:space="0" w:color="000000"/>
              <w:right w:val="single" w:sz="8" w:space="0" w:color="000000"/>
            </w:tcBorders>
            <w:shd w:val="clear" w:color="auto" w:fill="000000" w:themeFill="text1"/>
            <w:vAlign w:val="center"/>
          </w:tcPr>
          <w:p w:rsidR="000E6365" w:rsidRPr="000E6365" w:rsidP="00BB3BC1" w14:paraId="640F5884" w14:textId="77777777">
            <w:pPr>
              <w:widowControl/>
              <w:jc w:val="center"/>
              <w:rPr>
                <w:rFonts w:ascii="Calibri" w:hAnsi="Calibri" w:cs="Calibri"/>
                <w:b/>
                <w:color w:val="000000"/>
                <w:sz w:val="16"/>
                <w:szCs w:val="16"/>
              </w:rPr>
            </w:pPr>
          </w:p>
        </w:tc>
        <w:tc>
          <w:tcPr>
            <w:tcW w:w="1441" w:type="dxa"/>
            <w:tcBorders>
              <w:top w:val="nil"/>
              <w:left w:val="nil"/>
              <w:bottom w:val="single" w:sz="8" w:space="0" w:color="000000"/>
              <w:right w:val="single" w:sz="8" w:space="0" w:color="000000"/>
            </w:tcBorders>
            <w:shd w:val="clear" w:color="auto" w:fill="B8CCE4" w:themeFill="accent1" w:themeFillTint="66"/>
            <w:vAlign w:val="center"/>
          </w:tcPr>
          <w:p w:rsidR="000E6365" w:rsidRPr="000E6365" w:rsidP="00BB3BC1" w14:paraId="3BC3A5DB" w14:textId="187F8C8A">
            <w:pPr>
              <w:widowControl/>
              <w:jc w:val="right"/>
              <w:rPr>
                <w:rFonts w:ascii="Calibri" w:hAnsi="Calibri" w:cs="Calibri"/>
                <w:b/>
                <w:color w:val="000000"/>
                <w:sz w:val="16"/>
                <w:szCs w:val="16"/>
              </w:rPr>
            </w:pPr>
            <w:r>
              <w:rPr>
                <w:rFonts w:ascii="Calibri" w:hAnsi="Calibri" w:cs="Calibri"/>
                <w:b/>
                <w:color w:val="000000"/>
                <w:sz w:val="16"/>
                <w:szCs w:val="16"/>
              </w:rPr>
              <w:t>410</w:t>
            </w:r>
          </w:p>
        </w:tc>
        <w:tc>
          <w:tcPr>
            <w:tcW w:w="1159" w:type="dxa"/>
            <w:tcBorders>
              <w:top w:val="nil"/>
              <w:left w:val="nil"/>
              <w:bottom w:val="single" w:sz="8" w:space="0" w:color="000000"/>
              <w:right w:val="single" w:sz="8" w:space="0" w:color="000000"/>
            </w:tcBorders>
            <w:shd w:val="clear" w:color="auto" w:fill="000000" w:themeFill="text1"/>
            <w:vAlign w:val="center"/>
          </w:tcPr>
          <w:p w:rsidR="000E6365" w:rsidRPr="000E6365" w:rsidP="00BB3BC1" w14:paraId="5BBE9D98" w14:textId="621B227C">
            <w:pPr>
              <w:widowControl/>
              <w:jc w:val="right"/>
              <w:rPr>
                <w:rFonts w:ascii="Calibri" w:hAnsi="Calibri" w:cs="Calibri"/>
                <w:b/>
                <w:color w:val="000000"/>
                <w:sz w:val="16"/>
                <w:szCs w:val="16"/>
              </w:rPr>
            </w:pPr>
          </w:p>
        </w:tc>
        <w:tc>
          <w:tcPr>
            <w:tcW w:w="1092" w:type="dxa"/>
            <w:tcBorders>
              <w:top w:val="nil"/>
              <w:left w:val="nil"/>
              <w:bottom w:val="single" w:sz="8" w:space="0" w:color="000000"/>
              <w:right w:val="single" w:sz="8" w:space="0" w:color="000000"/>
            </w:tcBorders>
            <w:shd w:val="clear" w:color="auto" w:fill="B8CCE4" w:themeFill="accent1" w:themeFillTint="66"/>
            <w:vAlign w:val="center"/>
          </w:tcPr>
          <w:p w:rsidR="000E6365" w:rsidRPr="000E6365" w:rsidP="00BB3BC1" w14:paraId="3AB0C4A8" w14:textId="6A7CB5AA">
            <w:pPr>
              <w:widowControl/>
              <w:jc w:val="right"/>
              <w:rPr>
                <w:rFonts w:ascii="Calibri" w:hAnsi="Calibri" w:cs="Calibri"/>
                <w:b/>
                <w:color w:val="000000"/>
                <w:sz w:val="16"/>
                <w:szCs w:val="16"/>
              </w:rPr>
            </w:pPr>
            <w:r>
              <w:rPr>
                <w:rFonts w:ascii="Calibri" w:hAnsi="Calibri" w:cs="Calibri"/>
                <w:b/>
                <w:color w:val="000000"/>
                <w:sz w:val="16"/>
                <w:szCs w:val="16"/>
              </w:rPr>
              <w:t>7,309</w:t>
            </w:r>
          </w:p>
        </w:tc>
        <w:tc>
          <w:tcPr>
            <w:tcW w:w="900" w:type="dxa"/>
            <w:tcBorders>
              <w:top w:val="nil"/>
              <w:left w:val="nil"/>
              <w:bottom w:val="single" w:sz="8" w:space="0" w:color="000000"/>
              <w:right w:val="single" w:sz="8" w:space="0" w:color="000000"/>
            </w:tcBorders>
            <w:shd w:val="clear" w:color="auto" w:fill="000000" w:themeFill="text1"/>
            <w:vAlign w:val="center"/>
          </w:tcPr>
          <w:p w:rsidR="000E6365" w:rsidRPr="000E6365" w:rsidP="00BB3BC1" w14:paraId="2A754536" w14:textId="77777777">
            <w:pPr>
              <w:widowControl/>
              <w:jc w:val="right"/>
              <w:rPr>
                <w:rFonts w:ascii="Calibri" w:hAnsi="Calibri" w:cs="Calibri"/>
                <w:b/>
                <w:color w:val="000000"/>
                <w:sz w:val="16"/>
                <w:szCs w:val="16"/>
              </w:rPr>
            </w:pPr>
          </w:p>
        </w:tc>
        <w:tc>
          <w:tcPr>
            <w:tcW w:w="860" w:type="dxa"/>
            <w:tcBorders>
              <w:top w:val="nil"/>
              <w:left w:val="nil"/>
              <w:bottom w:val="single" w:sz="8" w:space="0" w:color="000000"/>
              <w:right w:val="single" w:sz="8" w:space="0" w:color="000000"/>
            </w:tcBorders>
            <w:shd w:val="clear" w:color="auto" w:fill="B8CCE4" w:themeFill="accent1" w:themeFillTint="66"/>
            <w:vAlign w:val="center"/>
          </w:tcPr>
          <w:p w:rsidR="000E6365" w:rsidRPr="000E6365" w:rsidP="00BB3BC1" w14:paraId="6FECFCD6" w14:textId="0EE4C38B">
            <w:pPr>
              <w:widowControl/>
              <w:jc w:val="right"/>
              <w:rPr>
                <w:rFonts w:ascii="Calibri" w:hAnsi="Calibri" w:cs="Calibri"/>
                <w:b/>
                <w:color w:val="000000"/>
                <w:sz w:val="16"/>
                <w:szCs w:val="16"/>
              </w:rPr>
            </w:pPr>
            <w:r>
              <w:rPr>
                <w:rFonts w:ascii="Calibri" w:hAnsi="Calibri" w:cs="Calibri"/>
                <w:b/>
                <w:color w:val="000000"/>
                <w:sz w:val="16"/>
                <w:szCs w:val="16"/>
              </w:rPr>
              <w:t>1,828</w:t>
            </w:r>
          </w:p>
        </w:tc>
        <w:tc>
          <w:tcPr>
            <w:tcW w:w="1066" w:type="dxa"/>
            <w:tcBorders>
              <w:top w:val="nil"/>
              <w:left w:val="nil"/>
              <w:bottom w:val="single" w:sz="8" w:space="0" w:color="000000"/>
              <w:right w:val="single" w:sz="8" w:space="0" w:color="000000"/>
            </w:tcBorders>
            <w:shd w:val="clear" w:color="auto" w:fill="000000" w:themeFill="text1"/>
            <w:vAlign w:val="center"/>
          </w:tcPr>
          <w:p w:rsidR="000E6365" w:rsidRPr="000E6365" w:rsidP="00BB3BC1" w14:paraId="71AC7DDF" w14:textId="77777777">
            <w:pPr>
              <w:widowControl/>
              <w:jc w:val="right"/>
              <w:rPr>
                <w:rFonts w:ascii="Calibri" w:hAnsi="Calibri" w:cs="Calibri"/>
                <w:b/>
                <w:color w:val="000000"/>
                <w:sz w:val="16"/>
                <w:szCs w:val="16"/>
              </w:rPr>
            </w:pPr>
          </w:p>
        </w:tc>
        <w:tc>
          <w:tcPr>
            <w:tcW w:w="1130" w:type="dxa"/>
            <w:tcBorders>
              <w:top w:val="nil"/>
              <w:left w:val="nil"/>
              <w:bottom w:val="single" w:sz="8" w:space="0" w:color="000000"/>
              <w:right w:val="single" w:sz="8" w:space="0" w:color="000000"/>
            </w:tcBorders>
            <w:shd w:val="clear" w:color="auto" w:fill="B8CCE4" w:themeFill="accent1" w:themeFillTint="66"/>
            <w:vAlign w:val="center"/>
          </w:tcPr>
          <w:p w:rsidR="000E6365" w:rsidRPr="000E6365" w:rsidP="00BB3BC1" w14:paraId="0165D604" w14:textId="6C1E45F5">
            <w:pPr>
              <w:widowControl/>
              <w:jc w:val="right"/>
              <w:rPr>
                <w:rFonts w:ascii="Calibri" w:hAnsi="Calibri" w:cs="Calibri"/>
                <w:b/>
                <w:color w:val="000000"/>
                <w:sz w:val="16"/>
                <w:szCs w:val="16"/>
              </w:rPr>
            </w:pPr>
            <w:r>
              <w:rPr>
                <w:rFonts w:ascii="Calibri" w:hAnsi="Calibri" w:cs="Calibri"/>
                <w:b/>
                <w:color w:val="000000"/>
                <w:sz w:val="16"/>
                <w:szCs w:val="16"/>
              </w:rPr>
              <w:t>$35,119</w:t>
            </w:r>
          </w:p>
        </w:tc>
      </w:tr>
      <w:tr w14:paraId="7D3B73CF" w14:textId="77777777" w:rsidTr="00AC2225">
        <w:tblPrEx>
          <w:tblW w:w="10700" w:type="dxa"/>
          <w:jc w:val="center"/>
          <w:tblLook w:val="04A0"/>
        </w:tblPrEx>
        <w:trPr>
          <w:trHeight w:val="330"/>
          <w:jc w:val="center"/>
        </w:trPr>
        <w:tc>
          <w:tcPr>
            <w:tcW w:w="1958" w:type="dxa"/>
            <w:tcBorders>
              <w:top w:val="nil"/>
              <w:left w:val="single" w:sz="8" w:space="0" w:color="000000"/>
              <w:bottom w:val="single" w:sz="8" w:space="0" w:color="000000"/>
              <w:right w:val="single" w:sz="8" w:space="0" w:color="000000"/>
            </w:tcBorders>
            <w:shd w:val="clear" w:color="000000" w:fill="DDEBF7"/>
            <w:vAlign w:val="center"/>
            <w:hideMark/>
          </w:tcPr>
          <w:p w:rsidR="00BB3BC1" w:rsidRPr="00A135B0" w:rsidP="00BB3BC1" w14:paraId="4933DDB3" w14:textId="47A0525C">
            <w:pPr>
              <w:widowControl/>
              <w:rPr>
                <w:rFonts w:ascii="Calibri" w:hAnsi="Calibri" w:cs="Calibri"/>
                <w:b/>
                <w:bCs/>
                <w:color w:val="000000"/>
              </w:rPr>
            </w:pPr>
            <w:r>
              <w:rPr>
                <w:rFonts w:ascii="Calibri" w:hAnsi="Calibri" w:cs="Calibri"/>
                <w:b/>
                <w:bCs/>
                <w:color w:val="000000"/>
              </w:rPr>
              <w:t xml:space="preserve">Final </w:t>
            </w:r>
            <w:r w:rsidRPr="00A135B0">
              <w:rPr>
                <w:rFonts w:ascii="Calibri" w:hAnsi="Calibri" w:cs="Calibri"/>
                <w:b/>
                <w:bCs/>
                <w:color w:val="000000"/>
              </w:rPr>
              <w:t>Totals</w:t>
            </w:r>
          </w:p>
        </w:tc>
        <w:tc>
          <w:tcPr>
            <w:tcW w:w="1094" w:type="dxa"/>
            <w:tcBorders>
              <w:top w:val="nil"/>
              <w:left w:val="nil"/>
              <w:bottom w:val="single" w:sz="8" w:space="0" w:color="000000"/>
              <w:right w:val="single" w:sz="8" w:space="0" w:color="000000"/>
            </w:tcBorders>
            <w:shd w:val="clear" w:color="auto" w:fill="000000" w:themeFill="text1"/>
            <w:vAlign w:val="center"/>
            <w:hideMark/>
          </w:tcPr>
          <w:p w:rsidR="00BB3BC1" w:rsidRPr="00A135B0" w:rsidP="00BB3BC1" w14:paraId="65CCE588" w14:textId="77777777">
            <w:pPr>
              <w:widowControl/>
              <w:rPr>
                <w:rFonts w:ascii="Calibri" w:hAnsi="Calibri" w:cs="Calibri"/>
                <w:b/>
                <w:bCs/>
                <w:color w:val="000000"/>
              </w:rPr>
            </w:pPr>
            <w:r w:rsidRPr="00A135B0">
              <w:rPr>
                <w:rFonts w:ascii="Calibri" w:hAnsi="Calibri" w:cs="Calibri"/>
                <w:b/>
                <w:bCs/>
                <w:color w:val="000000"/>
              </w:rPr>
              <w:t> </w:t>
            </w:r>
          </w:p>
        </w:tc>
        <w:tc>
          <w:tcPr>
            <w:tcW w:w="1441" w:type="dxa"/>
            <w:tcBorders>
              <w:top w:val="nil"/>
              <w:left w:val="nil"/>
              <w:bottom w:val="single" w:sz="8" w:space="0" w:color="000000"/>
              <w:right w:val="single" w:sz="8" w:space="0" w:color="000000"/>
            </w:tcBorders>
            <w:shd w:val="clear" w:color="auto" w:fill="DBE5F1" w:themeFill="accent1" w:themeFillTint="33"/>
            <w:vAlign w:val="center"/>
            <w:hideMark/>
          </w:tcPr>
          <w:p w:rsidR="00BB3BC1" w:rsidRPr="00A135B0" w:rsidP="000D3408" w14:paraId="008E7384" w14:textId="00BC8FDF">
            <w:pPr>
              <w:widowControl/>
              <w:jc w:val="right"/>
              <w:rPr>
                <w:rFonts w:ascii="Calibri" w:hAnsi="Calibri" w:cs="Calibri"/>
                <w:b/>
                <w:bCs/>
                <w:color w:val="000000"/>
              </w:rPr>
            </w:pPr>
            <w:r>
              <w:rPr>
                <w:rFonts w:ascii="Calibri" w:hAnsi="Calibri" w:cs="Calibri"/>
                <w:b/>
                <w:bCs/>
                <w:color w:val="000000"/>
              </w:rPr>
              <w:t> </w:t>
            </w:r>
            <w:r w:rsidR="000D3408">
              <w:rPr>
                <w:rFonts w:ascii="Calibri" w:hAnsi="Calibri" w:cs="Calibri"/>
                <w:b/>
                <w:bCs/>
                <w:color w:val="000000"/>
              </w:rPr>
              <w:t>6,556</w:t>
            </w:r>
          </w:p>
        </w:tc>
        <w:tc>
          <w:tcPr>
            <w:tcW w:w="1159" w:type="dxa"/>
            <w:tcBorders>
              <w:top w:val="nil"/>
              <w:left w:val="nil"/>
              <w:bottom w:val="single" w:sz="8" w:space="0" w:color="000000"/>
              <w:right w:val="single" w:sz="8" w:space="0" w:color="000000"/>
            </w:tcBorders>
            <w:shd w:val="clear" w:color="auto" w:fill="000000" w:themeFill="text1"/>
            <w:vAlign w:val="center"/>
            <w:hideMark/>
          </w:tcPr>
          <w:p w:rsidR="00BB3BC1" w:rsidRPr="00A135B0" w:rsidP="00BB3BC1" w14:paraId="73F25203" w14:textId="0F216973">
            <w:pPr>
              <w:widowControl/>
              <w:rPr>
                <w:rFonts w:ascii="Calibri" w:hAnsi="Calibri" w:cs="Calibri"/>
                <w:b/>
                <w:bCs/>
                <w:color w:val="000000"/>
              </w:rPr>
            </w:pPr>
          </w:p>
        </w:tc>
        <w:tc>
          <w:tcPr>
            <w:tcW w:w="1092" w:type="dxa"/>
            <w:tcBorders>
              <w:top w:val="nil"/>
              <w:left w:val="nil"/>
              <w:bottom w:val="single" w:sz="8" w:space="0" w:color="000000"/>
              <w:right w:val="single" w:sz="8" w:space="0" w:color="000000"/>
            </w:tcBorders>
            <w:shd w:val="clear" w:color="000000" w:fill="DDEBF7"/>
            <w:vAlign w:val="center"/>
            <w:hideMark/>
          </w:tcPr>
          <w:p w:rsidR="00BB3BC1" w:rsidRPr="00A135B0" w:rsidP="00BB3BC1" w14:paraId="32412CBC" w14:textId="69691AA1">
            <w:pPr>
              <w:widowControl/>
              <w:jc w:val="right"/>
              <w:rPr>
                <w:rFonts w:ascii="Calibri" w:hAnsi="Calibri" w:cs="Calibri"/>
                <w:b/>
                <w:bCs/>
                <w:color w:val="000000"/>
              </w:rPr>
            </w:pPr>
            <w:r>
              <w:rPr>
                <w:rFonts w:ascii="Calibri" w:hAnsi="Calibri" w:cs="Calibri"/>
                <w:b/>
                <w:bCs/>
                <w:color w:val="000000"/>
              </w:rPr>
              <w:t>13,455</w:t>
            </w:r>
          </w:p>
        </w:tc>
        <w:tc>
          <w:tcPr>
            <w:tcW w:w="900" w:type="dxa"/>
            <w:tcBorders>
              <w:top w:val="nil"/>
              <w:left w:val="nil"/>
              <w:bottom w:val="single" w:sz="8" w:space="0" w:color="000000"/>
              <w:right w:val="single" w:sz="8" w:space="0" w:color="000000"/>
            </w:tcBorders>
            <w:shd w:val="clear" w:color="000000" w:fill="000000"/>
            <w:vAlign w:val="center"/>
            <w:hideMark/>
          </w:tcPr>
          <w:p w:rsidR="00BB3BC1" w:rsidRPr="00A135B0" w:rsidP="00BB3BC1" w14:paraId="095E000B" w14:textId="38BD08C5">
            <w:pPr>
              <w:widowControl/>
              <w:rPr>
                <w:rFonts w:ascii="Calibri" w:hAnsi="Calibri" w:cs="Calibri"/>
                <w:b/>
                <w:bCs/>
                <w:color w:val="000000"/>
              </w:rPr>
            </w:pPr>
            <w:r>
              <w:rPr>
                <w:rFonts w:ascii="Calibri" w:hAnsi="Calibri" w:cs="Calibri"/>
                <w:b/>
                <w:bCs/>
                <w:color w:val="000000"/>
              </w:rPr>
              <w:t> </w:t>
            </w:r>
          </w:p>
        </w:tc>
        <w:tc>
          <w:tcPr>
            <w:tcW w:w="860" w:type="dxa"/>
            <w:tcBorders>
              <w:top w:val="nil"/>
              <w:left w:val="nil"/>
              <w:bottom w:val="single" w:sz="8" w:space="0" w:color="000000"/>
              <w:right w:val="single" w:sz="8" w:space="0" w:color="000000"/>
            </w:tcBorders>
            <w:shd w:val="clear" w:color="000000" w:fill="DDEBF7"/>
            <w:vAlign w:val="center"/>
            <w:hideMark/>
          </w:tcPr>
          <w:p w:rsidR="00BB3BC1" w:rsidRPr="00A135B0" w:rsidP="00BB3BC1" w14:paraId="76344E01" w14:textId="582A729D">
            <w:pPr>
              <w:widowControl/>
              <w:jc w:val="right"/>
              <w:rPr>
                <w:rFonts w:ascii="Calibri" w:hAnsi="Calibri" w:cs="Calibri"/>
                <w:b/>
                <w:bCs/>
                <w:color w:val="000000"/>
              </w:rPr>
            </w:pPr>
            <w:r>
              <w:rPr>
                <w:rFonts w:ascii="Calibri" w:hAnsi="Calibri" w:cs="Calibri"/>
                <w:b/>
                <w:bCs/>
                <w:color w:val="000000"/>
              </w:rPr>
              <w:t>6,437</w:t>
            </w:r>
          </w:p>
        </w:tc>
        <w:tc>
          <w:tcPr>
            <w:tcW w:w="1066" w:type="dxa"/>
            <w:tcBorders>
              <w:top w:val="nil"/>
              <w:left w:val="nil"/>
              <w:bottom w:val="single" w:sz="8" w:space="0" w:color="000000"/>
              <w:right w:val="single" w:sz="8" w:space="0" w:color="000000"/>
            </w:tcBorders>
            <w:shd w:val="clear" w:color="000000" w:fill="000000"/>
            <w:vAlign w:val="center"/>
            <w:hideMark/>
          </w:tcPr>
          <w:p w:rsidR="00BB3BC1" w:rsidRPr="00A135B0" w:rsidP="00BB3BC1" w14:paraId="4FA17C6A" w14:textId="7B67C1F1">
            <w:pPr>
              <w:widowControl/>
              <w:rPr>
                <w:rFonts w:ascii="Calibri" w:hAnsi="Calibri" w:cs="Calibri"/>
                <w:b/>
                <w:bCs/>
                <w:color w:val="000000"/>
              </w:rPr>
            </w:pPr>
            <w:r>
              <w:rPr>
                <w:rFonts w:ascii="Calibri" w:hAnsi="Calibri" w:cs="Calibri"/>
                <w:b/>
                <w:bCs/>
                <w:color w:val="000000"/>
              </w:rPr>
              <w:t> </w:t>
            </w:r>
          </w:p>
        </w:tc>
        <w:tc>
          <w:tcPr>
            <w:tcW w:w="1130" w:type="dxa"/>
            <w:tcBorders>
              <w:top w:val="nil"/>
              <w:left w:val="nil"/>
              <w:bottom w:val="single" w:sz="8" w:space="0" w:color="000000"/>
              <w:right w:val="single" w:sz="8" w:space="0" w:color="000000"/>
            </w:tcBorders>
            <w:shd w:val="clear" w:color="000000" w:fill="DDEBF7"/>
            <w:vAlign w:val="center"/>
            <w:hideMark/>
          </w:tcPr>
          <w:p w:rsidR="00BB3BC1" w:rsidRPr="00A135B0" w:rsidP="00BB3BC1" w14:paraId="012ED8AF" w14:textId="3FE476A8">
            <w:pPr>
              <w:widowControl/>
              <w:jc w:val="right"/>
              <w:rPr>
                <w:rFonts w:ascii="Calibri" w:hAnsi="Calibri" w:cs="Calibri"/>
                <w:b/>
                <w:bCs/>
                <w:color w:val="000000"/>
              </w:rPr>
            </w:pPr>
            <w:r>
              <w:rPr>
                <w:rFonts w:ascii="Calibri" w:hAnsi="Calibri" w:cs="Calibri"/>
                <w:b/>
                <w:bCs/>
                <w:color w:val="000000"/>
              </w:rPr>
              <w:t>$123,714</w:t>
            </w:r>
          </w:p>
        </w:tc>
      </w:tr>
    </w:tbl>
    <w:p w:rsidR="00A135B0" w:rsidRPr="00FC31A0" w:rsidP="00FC31A0" w14:paraId="6CD6BBEB" w14:textId="772C3E61">
      <w:pPr>
        <w:spacing w:line="259" w:lineRule="auto"/>
        <w:ind w:hanging="43"/>
        <w:rPr>
          <w:sz w:val="20"/>
        </w:rPr>
      </w:pPr>
      <w:r w:rsidRPr="00FC31A0">
        <w:rPr>
          <w:sz w:val="20"/>
        </w:rPr>
        <w:t xml:space="preserve">*Gear Markings total shown as rounded down to 1827 in ROCIS. Numbers rounded up in above chart. </w:t>
      </w:r>
    </w:p>
    <w:p w:rsidR="00571C06" w14:paraId="0329B81F" w14:textId="72893887">
      <w:pPr>
        <w:spacing w:line="259" w:lineRule="auto"/>
        <w:ind w:hanging="43"/>
        <w:jc w:val="center"/>
        <w:rPr>
          <w:b/>
          <w:color w:val="FF0000"/>
        </w:rPr>
      </w:pPr>
    </w:p>
    <w:p w:rsidR="00571C06" w:rsidP="00FC31A0" w14:paraId="154A86E3" w14:textId="672575F9">
      <w:pPr>
        <w:spacing w:line="259" w:lineRule="auto"/>
        <w:ind w:hanging="43"/>
        <w:rPr>
          <w:b/>
          <w:color w:val="FF0000"/>
        </w:rPr>
      </w:pPr>
    </w:p>
    <w:p w:rsidR="007E5F89" w14:paraId="663B7BCC" w14:textId="77777777">
      <w:pPr>
        <w:spacing w:line="259" w:lineRule="auto"/>
        <w:ind w:hanging="43"/>
        <w:jc w:val="center"/>
        <w:rPr>
          <w:b/>
          <w:color w:val="FF0000"/>
        </w:rPr>
        <w:sectPr w:rsidSect="007E5F89">
          <w:pgSz w:w="15840" w:h="12240" w:orient="landscape"/>
          <w:pgMar w:top="1200" w:right="1080" w:bottom="640" w:left="1080" w:header="0" w:footer="1014" w:gutter="0"/>
          <w:cols w:space="720"/>
          <w:docGrid w:linePitch="326"/>
        </w:sectPr>
      </w:pPr>
    </w:p>
    <w:p w:rsidR="00571C06" w14:paraId="232BC48D" w14:textId="52496F31">
      <w:pPr>
        <w:spacing w:line="259" w:lineRule="auto"/>
        <w:ind w:hanging="43"/>
        <w:jc w:val="center"/>
        <w:rPr>
          <w:b/>
          <w:color w:val="FF0000"/>
        </w:rPr>
      </w:pPr>
    </w:p>
    <w:p w:rsidR="00CD7F1F" w14:paraId="04F4052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w:t>
      </w:r>
      <w:r>
        <w:rPr>
          <w:b/>
          <w:color w:val="000000"/>
        </w:rPr>
        <w:t xml:space="preserve"> of any hour burden already reflected on the burden worksheet).</w:t>
      </w:r>
    </w:p>
    <w:p w:rsidR="00A135B0" w:rsidP="00A135B0" w14:paraId="2076A0D5" w14:textId="77777777">
      <w:pPr>
        <w:pBdr>
          <w:top w:val="nil"/>
          <w:left w:val="nil"/>
          <w:bottom w:val="nil"/>
          <w:right w:val="nil"/>
          <w:between w:val="nil"/>
        </w:pBdr>
        <w:tabs>
          <w:tab w:val="left" w:pos="360"/>
        </w:tabs>
        <w:spacing w:before="80"/>
        <w:rPr>
          <w:b/>
          <w:color w:val="000000"/>
        </w:rPr>
      </w:pPr>
    </w:p>
    <w:p w:rsidR="00A135B0" w:rsidP="00A135B0" w14:paraId="0204C1EE" w14:textId="2580B449">
      <w:pPr>
        <w:spacing w:line="259" w:lineRule="auto"/>
        <w:ind w:hanging="43"/>
        <w:rPr>
          <w:b/>
          <w:color w:val="FF0000"/>
        </w:rPr>
      </w:pPr>
      <w:r>
        <w:t>The cost to fishermen for vessel marking and gear marking is minimal.</w:t>
      </w:r>
      <w:r w:rsidR="00A73BAD">
        <w:t xml:space="preserve"> </w:t>
      </w:r>
      <w:r>
        <w:t>Materials needed for vessel marking are marine paint ($</w:t>
      </w:r>
      <w:r w:rsidR="005B34A6">
        <w:t>95</w:t>
      </w:r>
      <w:r>
        <w:t>) and paint brush ($</w:t>
      </w:r>
      <w:r w:rsidR="005B34A6">
        <w:t>5</w:t>
      </w:r>
      <w:r>
        <w:t xml:space="preserve">) or applicator, and possibly a stencil </w:t>
      </w:r>
      <w:r>
        <w:t>($30).</w:t>
      </w:r>
      <w:r w:rsidR="00A73BAD">
        <w:t xml:space="preserve"> </w:t>
      </w:r>
      <w:r>
        <w:t>For gear marking, we estimate an additional $</w:t>
      </w:r>
      <w:r w:rsidR="005B34A6">
        <w:t xml:space="preserve">15 </w:t>
      </w:r>
      <w:r>
        <w:t>in marine paint per gear mark is expended.</w:t>
      </w:r>
    </w:p>
    <w:p w:rsidR="00CD7F1F" w14:paraId="0B9083EE" w14:textId="1F6C7D63">
      <w:pPr>
        <w:pBdr>
          <w:top w:val="nil"/>
          <w:left w:val="nil"/>
          <w:bottom w:val="nil"/>
          <w:right w:val="nil"/>
          <w:between w:val="nil"/>
        </w:pBdr>
        <w:spacing w:before="1"/>
        <w:rPr>
          <w:b/>
          <w:color w:val="000000"/>
        </w:rPr>
      </w:pPr>
    </w:p>
    <w:p w:rsidR="00633715" w14:paraId="24606620" w14:textId="77777777">
      <w:pPr>
        <w:pBdr>
          <w:top w:val="nil"/>
          <w:left w:val="nil"/>
          <w:bottom w:val="nil"/>
          <w:right w:val="nil"/>
          <w:between w:val="nil"/>
        </w:pBdr>
        <w:spacing w:before="1"/>
        <w:rPr>
          <w:b/>
          <w:color w:val="000000"/>
        </w:rPr>
      </w:pPr>
    </w:p>
    <w:p w:rsidR="00F3718D" w14:paraId="42220B58" w14:textId="051ECF98">
      <w:pPr>
        <w:pBdr>
          <w:top w:val="nil"/>
          <w:left w:val="nil"/>
          <w:bottom w:val="nil"/>
          <w:right w:val="nil"/>
          <w:between w:val="nil"/>
        </w:pBdr>
        <w:spacing w:before="1"/>
        <w:rPr>
          <w:b/>
          <w:color w:val="000000"/>
        </w:rPr>
      </w:pPr>
      <w:r>
        <w:rPr>
          <w:b/>
          <w:color w:val="000000"/>
        </w:rPr>
        <w:t>Table 2.</w:t>
      </w:r>
      <w:r w:rsidR="00A73BAD">
        <w:rPr>
          <w:b/>
          <w:color w:val="000000"/>
        </w:rPr>
        <w:t xml:space="preserve"> </w:t>
      </w:r>
      <w:r>
        <w:rPr>
          <w:b/>
          <w:color w:val="000000"/>
        </w:rPr>
        <w:t xml:space="preserve">Estimates of the material cost burden associated with the </w:t>
      </w:r>
      <w:r>
        <w:rPr>
          <w:b/>
        </w:rPr>
        <w:t xml:space="preserve">annual application of vessel and gear marks in the Atlantic HMS commercial </w:t>
      </w:r>
      <w:r>
        <w:rPr>
          <w:b/>
        </w:rPr>
        <w:t>fishery.</w:t>
      </w:r>
      <w:r>
        <w:rPr>
          <w:b/>
          <w:color w:val="000000"/>
        </w:rPr>
        <w:t xml:space="preserve"> </w:t>
      </w:r>
    </w:p>
    <w:p w:rsidR="00F3718D" w14:paraId="2F19FD30" w14:textId="77777777">
      <w:pPr>
        <w:pBdr>
          <w:top w:val="nil"/>
          <w:left w:val="nil"/>
          <w:bottom w:val="nil"/>
          <w:right w:val="nil"/>
          <w:between w:val="nil"/>
        </w:pBdr>
        <w:spacing w:before="1"/>
        <w:rPr>
          <w:b/>
          <w:color w:val="000000"/>
        </w:rPr>
      </w:pPr>
    </w:p>
    <w:tbl>
      <w:tblPr>
        <w:tblW w:w="7820" w:type="dxa"/>
        <w:tblLook w:val="04A0"/>
      </w:tblPr>
      <w:tblGrid>
        <w:gridCol w:w="2124"/>
        <w:gridCol w:w="1441"/>
        <w:gridCol w:w="1016"/>
        <w:gridCol w:w="1168"/>
        <w:gridCol w:w="1169"/>
        <w:gridCol w:w="902"/>
      </w:tblGrid>
      <w:tr w14:paraId="744356A1" w14:textId="77777777" w:rsidTr="00BB3BC1">
        <w:tblPrEx>
          <w:tblW w:w="7820" w:type="dxa"/>
          <w:tblLook w:val="04A0"/>
        </w:tblPrEx>
        <w:trPr>
          <w:trHeight w:val="675"/>
        </w:trPr>
        <w:tc>
          <w:tcPr>
            <w:tcW w:w="2124" w:type="dxa"/>
            <w:vMerge w:val="restart"/>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A135B0" w:rsidRPr="00A135B0" w:rsidP="00A135B0" w14:paraId="1312D6E8"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Information Collection</w:t>
            </w:r>
          </w:p>
        </w:tc>
        <w:tc>
          <w:tcPr>
            <w:tcW w:w="1441"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54CB4C29"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of Respondents/year</w:t>
            </w:r>
          </w:p>
        </w:tc>
        <w:tc>
          <w:tcPr>
            <w:tcW w:w="1016"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16359E7C"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Annual # of Responses / Respondent</w:t>
            </w:r>
          </w:p>
        </w:tc>
        <w:tc>
          <w:tcPr>
            <w:tcW w:w="1168"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220DA981"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 xml:space="preserve"> Total # of Annual Responses</w:t>
            </w:r>
          </w:p>
        </w:tc>
        <w:tc>
          <w:tcPr>
            <w:tcW w:w="1169"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012C8505"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Cost Burden / Respondent</w:t>
            </w:r>
          </w:p>
        </w:tc>
        <w:tc>
          <w:tcPr>
            <w:tcW w:w="902" w:type="dxa"/>
            <w:tcBorders>
              <w:top w:val="single" w:sz="8" w:space="0" w:color="000000"/>
              <w:left w:val="nil"/>
              <w:bottom w:val="nil"/>
              <w:right w:val="single" w:sz="8" w:space="0" w:color="000000"/>
            </w:tcBorders>
            <w:shd w:val="clear" w:color="000000" w:fill="BDD7EE"/>
            <w:vAlign w:val="center"/>
            <w:hideMark/>
          </w:tcPr>
          <w:p w:rsidR="00A135B0" w:rsidRPr="00A135B0" w:rsidP="00A135B0" w14:paraId="23F7CB6A"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Total Annual Cost Burden</w:t>
            </w:r>
          </w:p>
        </w:tc>
      </w:tr>
      <w:tr w14:paraId="57738970" w14:textId="77777777" w:rsidTr="00BB3BC1">
        <w:tblPrEx>
          <w:tblW w:w="7820" w:type="dxa"/>
          <w:tblLook w:val="04A0"/>
        </w:tblPrEx>
        <w:trPr>
          <w:trHeight w:val="315"/>
        </w:trPr>
        <w:tc>
          <w:tcPr>
            <w:tcW w:w="2124" w:type="dxa"/>
            <w:vMerge/>
            <w:tcBorders>
              <w:top w:val="single" w:sz="8" w:space="0" w:color="000000"/>
              <w:left w:val="single" w:sz="8" w:space="0" w:color="000000"/>
              <w:bottom w:val="single" w:sz="8" w:space="0" w:color="000000"/>
              <w:right w:val="single" w:sz="8" w:space="0" w:color="000000"/>
            </w:tcBorders>
            <w:vAlign w:val="center"/>
            <w:hideMark/>
          </w:tcPr>
          <w:p w:rsidR="00A135B0" w:rsidRPr="00A135B0" w:rsidP="00A135B0" w14:paraId="565F61E0" w14:textId="77777777">
            <w:pPr>
              <w:widowControl/>
              <w:rPr>
                <w:rFonts w:ascii="Calibri" w:hAnsi="Calibri" w:cs="Calibri"/>
                <w:b/>
                <w:bCs/>
                <w:color w:val="000000"/>
                <w:sz w:val="16"/>
                <w:szCs w:val="16"/>
              </w:rPr>
            </w:pPr>
          </w:p>
        </w:tc>
        <w:tc>
          <w:tcPr>
            <w:tcW w:w="1441"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243AA884"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(a)</w:t>
            </w:r>
          </w:p>
        </w:tc>
        <w:tc>
          <w:tcPr>
            <w:tcW w:w="1016"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795F9722"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(b)</w:t>
            </w:r>
          </w:p>
        </w:tc>
        <w:tc>
          <w:tcPr>
            <w:tcW w:w="1168"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6335E29E"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(c) = (a) x (b)</w:t>
            </w:r>
          </w:p>
        </w:tc>
        <w:tc>
          <w:tcPr>
            <w:tcW w:w="1169"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2543BD90"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(h)</w:t>
            </w:r>
          </w:p>
        </w:tc>
        <w:tc>
          <w:tcPr>
            <w:tcW w:w="902" w:type="dxa"/>
            <w:tcBorders>
              <w:top w:val="nil"/>
              <w:left w:val="nil"/>
              <w:bottom w:val="single" w:sz="8" w:space="0" w:color="000000"/>
              <w:right w:val="single" w:sz="8" w:space="0" w:color="000000"/>
            </w:tcBorders>
            <w:shd w:val="clear" w:color="000000" w:fill="BDD7EE"/>
            <w:vAlign w:val="center"/>
            <w:hideMark/>
          </w:tcPr>
          <w:p w:rsidR="00A135B0" w:rsidRPr="00A135B0" w:rsidP="00A135B0" w14:paraId="32CC01F3" w14:textId="77777777">
            <w:pPr>
              <w:widowControl/>
              <w:jc w:val="center"/>
              <w:rPr>
                <w:rFonts w:ascii="Calibri" w:hAnsi="Calibri" w:cs="Calibri"/>
                <w:b/>
                <w:bCs/>
                <w:color w:val="000000"/>
                <w:sz w:val="16"/>
                <w:szCs w:val="16"/>
              </w:rPr>
            </w:pPr>
            <w:r w:rsidRPr="00A135B0">
              <w:rPr>
                <w:rFonts w:ascii="Calibri" w:hAnsi="Calibri" w:cs="Calibri"/>
                <w:b/>
                <w:bCs/>
                <w:color w:val="000000"/>
                <w:sz w:val="16"/>
                <w:szCs w:val="16"/>
              </w:rPr>
              <w:t>(i) = (c) x (h)</w:t>
            </w:r>
          </w:p>
        </w:tc>
      </w:tr>
      <w:tr w14:paraId="51697B8C" w14:textId="77777777" w:rsidTr="00810EB4">
        <w:tblPrEx>
          <w:tblW w:w="7820" w:type="dxa"/>
          <w:tblLook w:val="04A0"/>
        </w:tblPrEx>
        <w:trPr>
          <w:trHeight w:val="315"/>
        </w:trPr>
        <w:tc>
          <w:tcPr>
            <w:tcW w:w="7820" w:type="dxa"/>
            <w:gridSpan w:val="6"/>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810EB4" w:rsidP="00810EB4" w14:paraId="6BE1D306" w14:textId="4E9541FE">
            <w:pPr>
              <w:widowControl/>
              <w:rPr>
                <w:rFonts w:ascii="Calibri" w:hAnsi="Calibri" w:cs="Calibri"/>
                <w:color w:val="000000"/>
                <w:sz w:val="16"/>
                <w:szCs w:val="16"/>
              </w:rPr>
            </w:pPr>
            <w:r w:rsidRPr="000E6365">
              <w:rPr>
                <w:rFonts w:ascii="Calibri" w:hAnsi="Calibri" w:cs="Calibri"/>
                <w:b/>
                <w:color w:val="000000"/>
                <w:sz w:val="16"/>
                <w:szCs w:val="16"/>
              </w:rPr>
              <w:t>Vessel Markings</w:t>
            </w:r>
          </w:p>
        </w:tc>
      </w:tr>
      <w:tr w14:paraId="6E3DAB76" w14:textId="77777777" w:rsidTr="00BB3BC1">
        <w:tblPrEx>
          <w:tblW w:w="7820" w:type="dxa"/>
          <w:tblLook w:val="04A0"/>
        </w:tblPrEx>
        <w:trPr>
          <w:trHeight w:val="315"/>
        </w:trPr>
        <w:tc>
          <w:tcPr>
            <w:tcW w:w="2124" w:type="dxa"/>
            <w:tcBorders>
              <w:top w:val="nil"/>
              <w:left w:val="single" w:sz="8" w:space="0" w:color="000000"/>
              <w:bottom w:val="single" w:sz="8" w:space="0" w:color="000000"/>
              <w:right w:val="single" w:sz="8" w:space="0" w:color="000000"/>
            </w:tcBorders>
            <w:shd w:val="clear" w:color="auto" w:fill="auto"/>
            <w:vAlign w:val="center"/>
            <w:hideMark/>
          </w:tcPr>
          <w:p w:rsidR="00810EB4" w:rsidRPr="00A135B0" w:rsidP="00810EB4" w14:paraId="066C7671" w14:textId="77777777">
            <w:pPr>
              <w:widowControl/>
              <w:rPr>
                <w:rFonts w:ascii="Calibri" w:hAnsi="Calibri" w:cs="Calibri"/>
                <w:color w:val="000000"/>
                <w:sz w:val="16"/>
                <w:szCs w:val="16"/>
              </w:rPr>
            </w:pPr>
            <w:r w:rsidRPr="00A135B0">
              <w:rPr>
                <w:rFonts w:ascii="Calibri" w:hAnsi="Calibri" w:cs="Calibri"/>
                <w:color w:val="000000"/>
                <w:sz w:val="16"/>
                <w:szCs w:val="16"/>
              </w:rPr>
              <w:t xml:space="preserve">Vessel registration </w:t>
            </w:r>
            <w:r w:rsidRPr="00A135B0">
              <w:rPr>
                <w:rFonts w:ascii="Calibri" w:hAnsi="Calibri" w:cs="Calibri"/>
                <w:color w:val="000000"/>
                <w:sz w:val="16"/>
                <w:szCs w:val="16"/>
              </w:rPr>
              <w:t>numbers</w:t>
            </w:r>
          </w:p>
        </w:tc>
        <w:tc>
          <w:tcPr>
            <w:tcW w:w="1441" w:type="dxa"/>
            <w:tcBorders>
              <w:top w:val="nil"/>
              <w:left w:val="nil"/>
              <w:bottom w:val="single" w:sz="8" w:space="0" w:color="000000"/>
              <w:right w:val="single" w:sz="8" w:space="0" w:color="000000"/>
            </w:tcBorders>
            <w:shd w:val="clear" w:color="auto" w:fill="auto"/>
            <w:vAlign w:val="center"/>
            <w:hideMark/>
          </w:tcPr>
          <w:p w:rsidR="00810EB4" w:rsidRPr="00A135B0" w:rsidP="00810EB4" w14:paraId="0A087DFC" w14:textId="15781825">
            <w:pPr>
              <w:widowControl/>
              <w:jc w:val="right"/>
              <w:rPr>
                <w:rFonts w:ascii="Calibri" w:hAnsi="Calibri" w:cs="Calibri"/>
                <w:color w:val="000000"/>
                <w:sz w:val="16"/>
                <w:szCs w:val="16"/>
              </w:rPr>
            </w:pPr>
            <w:r>
              <w:rPr>
                <w:rFonts w:ascii="Calibri" w:hAnsi="Calibri" w:cs="Calibri"/>
                <w:color w:val="000000"/>
                <w:sz w:val="16"/>
                <w:szCs w:val="16"/>
              </w:rPr>
              <w:t>6,146</w:t>
            </w:r>
          </w:p>
        </w:tc>
        <w:tc>
          <w:tcPr>
            <w:tcW w:w="1016" w:type="dxa"/>
            <w:tcBorders>
              <w:top w:val="nil"/>
              <w:left w:val="nil"/>
              <w:bottom w:val="single" w:sz="8" w:space="0" w:color="000000"/>
              <w:right w:val="single" w:sz="8" w:space="0" w:color="000000"/>
            </w:tcBorders>
            <w:shd w:val="clear" w:color="auto" w:fill="auto"/>
            <w:vAlign w:val="center"/>
            <w:hideMark/>
          </w:tcPr>
          <w:p w:rsidR="00810EB4" w:rsidRPr="00A135B0" w:rsidP="00810EB4" w14:paraId="02D5D11E" w14:textId="13A2A010">
            <w:pPr>
              <w:widowControl/>
              <w:jc w:val="right"/>
              <w:rPr>
                <w:rFonts w:ascii="Calibri" w:hAnsi="Calibri" w:cs="Calibri"/>
                <w:color w:val="000000"/>
                <w:sz w:val="16"/>
                <w:szCs w:val="16"/>
              </w:rPr>
            </w:pPr>
            <w:r>
              <w:rPr>
                <w:rFonts w:ascii="Calibri" w:hAnsi="Calibri" w:cs="Calibri"/>
                <w:color w:val="000000"/>
                <w:sz w:val="16"/>
                <w:szCs w:val="16"/>
              </w:rPr>
              <w:t>1</w:t>
            </w:r>
          </w:p>
        </w:tc>
        <w:tc>
          <w:tcPr>
            <w:tcW w:w="1168" w:type="dxa"/>
            <w:tcBorders>
              <w:top w:val="nil"/>
              <w:left w:val="nil"/>
              <w:bottom w:val="single" w:sz="8" w:space="0" w:color="000000"/>
              <w:right w:val="single" w:sz="8" w:space="0" w:color="000000"/>
            </w:tcBorders>
            <w:shd w:val="clear" w:color="auto" w:fill="auto"/>
            <w:vAlign w:val="center"/>
            <w:hideMark/>
          </w:tcPr>
          <w:p w:rsidR="00810EB4" w:rsidRPr="00A135B0" w:rsidP="00810EB4" w14:paraId="5FC41196" w14:textId="092D9125">
            <w:pPr>
              <w:widowControl/>
              <w:jc w:val="right"/>
              <w:rPr>
                <w:rFonts w:ascii="Calibri" w:hAnsi="Calibri" w:cs="Calibri"/>
                <w:color w:val="000000"/>
                <w:sz w:val="16"/>
                <w:szCs w:val="16"/>
              </w:rPr>
            </w:pPr>
            <w:r>
              <w:rPr>
                <w:rFonts w:ascii="Calibri" w:hAnsi="Calibri" w:cs="Calibri"/>
                <w:color w:val="000000"/>
                <w:sz w:val="16"/>
                <w:szCs w:val="16"/>
              </w:rPr>
              <w:t>6,146</w:t>
            </w:r>
          </w:p>
        </w:tc>
        <w:tc>
          <w:tcPr>
            <w:tcW w:w="1169"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7FE38F57" w14:textId="2BFB3D83">
            <w:pPr>
              <w:widowControl/>
              <w:jc w:val="right"/>
              <w:rPr>
                <w:rFonts w:ascii="Calibri" w:hAnsi="Calibri" w:cs="Calibri"/>
                <w:color w:val="000000"/>
                <w:sz w:val="16"/>
                <w:szCs w:val="16"/>
              </w:rPr>
            </w:pPr>
            <w:r>
              <w:rPr>
                <w:rFonts w:ascii="Calibri" w:hAnsi="Calibri" w:cs="Calibri"/>
                <w:color w:val="000000"/>
                <w:sz w:val="16"/>
                <w:szCs w:val="16"/>
              </w:rPr>
              <w:t xml:space="preserve">$130 </w:t>
            </w:r>
          </w:p>
        </w:tc>
        <w:tc>
          <w:tcPr>
            <w:tcW w:w="902"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57FF0A5E" w14:textId="4E6F6D88">
            <w:pPr>
              <w:widowControl/>
              <w:jc w:val="right"/>
              <w:rPr>
                <w:rFonts w:ascii="Calibri" w:hAnsi="Calibri" w:cs="Calibri"/>
                <w:color w:val="000000"/>
                <w:sz w:val="16"/>
                <w:szCs w:val="16"/>
              </w:rPr>
            </w:pPr>
            <w:r>
              <w:rPr>
                <w:rFonts w:ascii="Calibri" w:hAnsi="Calibri" w:cs="Calibri"/>
                <w:color w:val="000000"/>
                <w:sz w:val="16"/>
                <w:szCs w:val="16"/>
              </w:rPr>
              <w:t xml:space="preserve">$798,980 </w:t>
            </w:r>
          </w:p>
        </w:tc>
      </w:tr>
      <w:tr w14:paraId="2020193D" w14:textId="77777777" w:rsidTr="00810EB4">
        <w:tblPrEx>
          <w:tblW w:w="7820" w:type="dxa"/>
          <w:tblLook w:val="04A0"/>
        </w:tblPrEx>
        <w:trPr>
          <w:trHeight w:val="315"/>
        </w:trPr>
        <w:tc>
          <w:tcPr>
            <w:tcW w:w="7820" w:type="dxa"/>
            <w:gridSpan w:val="6"/>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810EB4" w:rsidP="00810EB4" w14:paraId="0FBB5106" w14:textId="5A356472">
            <w:pPr>
              <w:widowControl/>
              <w:rPr>
                <w:rFonts w:ascii="Calibri" w:hAnsi="Calibri" w:cs="Calibri"/>
                <w:color w:val="000000"/>
                <w:sz w:val="16"/>
                <w:szCs w:val="16"/>
              </w:rPr>
            </w:pPr>
            <w:r w:rsidRPr="000E6365">
              <w:rPr>
                <w:rFonts w:ascii="Calibri" w:hAnsi="Calibri" w:cs="Calibri"/>
                <w:b/>
                <w:color w:val="000000"/>
                <w:sz w:val="16"/>
                <w:szCs w:val="16"/>
              </w:rPr>
              <w:t>Gear Markings</w:t>
            </w:r>
          </w:p>
        </w:tc>
      </w:tr>
      <w:tr w14:paraId="2A2869D4" w14:textId="77777777" w:rsidTr="00BB3BC1">
        <w:tblPrEx>
          <w:tblW w:w="7820" w:type="dxa"/>
          <w:tblLook w:val="04A0"/>
        </w:tblPrEx>
        <w:trPr>
          <w:trHeight w:val="315"/>
        </w:trPr>
        <w:tc>
          <w:tcPr>
            <w:tcW w:w="2124" w:type="dxa"/>
            <w:tcBorders>
              <w:top w:val="nil"/>
              <w:left w:val="single" w:sz="8" w:space="0" w:color="000000"/>
              <w:bottom w:val="single" w:sz="8" w:space="0" w:color="000000"/>
              <w:right w:val="single" w:sz="8" w:space="0" w:color="000000"/>
            </w:tcBorders>
            <w:shd w:val="clear" w:color="auto" w:fill="auto"/>
            <w:vAlign w:val="center"/>
            <w:hideMark/>
          </w:tcPr>
          <w:p w:rsidR="00810EB4" w:rsidRPr="00A135B0" w:rsidP="00810EB4" w14:paraId="4EE7BC9C" w14:textId="77777777">
            <w:pPr>
              <w:widowControl/>
              <w:rPr>
                <w:rFonts w:ascii="Calibri" w:hAnsi="Calibri" w:cs="Calibri"/>
                <w:color w:val="000000"/>
                <w:sz w:val="16"/>
                <w:szCs w:val="16"/>
              </w:rPr>
            </w:pPr>
            <w:r w:rsidRPr="00A135B0">
              <w:rPr>
                <w:rFonts w:ascii="Calibri" w:hAnsi="Calibri" w:cs="Calibri"/>
                <w:color w:val="000000"/>
                <w:sz w:val="16"/>
                <w:szCs w:val="16"/>
              </w:rPr>
              <w:t>Handling and harpoon buoys</w:t>
            </w:r>
          </w:p>
        </w:tc>
        <w:tc>
          <w:tcPr>
            <w:tcW w:w="1441" w:type="dxa"/>
            <w:tcBorders>
              <w:top w:val="nil"/>
              <w:left w:val="nil"/>
              <w:bottom w:val="single" w:sz="8" w:space="0" w:color="000000"/>
              <w:right w:val="single" w:sz="8" w:space="0" w:color="000000"/>
            </w:tcBorders>
            <w:shd w:val="clear" w:color="auto" w:fill="auto"/>
            <w:vAlign w:val="center"/>
            <w:hideMark/>
          </w:tcPr>
          <w:p w:rsidR="00810EB4" w:rsidRPr="00A135B0" w:rsidP="00810EB4" w14:paraId="2B3B987F" w14:textId="10228F19">
            <w:pPr>
              <w:widowControl/>
              <w:jc w:val="right"/>
              <w:rPr>
                <w:rFonts w:ascii="Calibri" w:hAnsi="Calibri" w:cs="Calibri"/>
                <w:color w:val="000000"/>
                <w:sz w:val="16"/>
                <w:szCs w:val="16"/>
              </w:rPr>
            </w:pPr>
            <w:r>
              <w:rPr>
                <w:rFonts w:ascii="Calibri" w:hAnsi="Calibri" w:cs="Calibri"/>
                <w:color w:val="000000"/>
                <w:sz w:val="16"/>
                <w:szCs w:val="16"/>
              </w:rPr>
              <w:t>109</w:t>
            </w:r>
          </w:p>
        </w:tc>
        <w:tc>
          <w:tcPr>
            <w:tcW w:w="1016" w:type="dxa"/>
            <w:tcBorders>
              <w:top w:val="nil"/>
              <w:left w:val="nil"/>
              <w:bottom w:val="single" w:sz="8" w:space="0" w:color="000000"/>
              <w:right w:val="single" w:sz="8" w:space="0" w:color="000000"/>
            </w:tcBorders>
            <w:shd w:val="clear" w:color="auto" w:fill="auto"/>
            <w:vAlign w:val="center"/>
            <w:hideMark/>
          </w:tcPr>
          <w:p w:rsidR="00810EB4" w:rsidRPr="00A135B0" w:rsidP="00810EB4" w14:paraId="2856023A" w14:textId="412FEB73">
            <w:pPr>
              <w:widowControl/>
              <w:jc w:val="right"/>
              <w:rPr>
                <w:rFonts w:ascii="Calibri" w:hAnsi="Calibri" w:cs="Calibri"/>
                <w:color w:val="000000"/>
                <w:sz w:val="16"/>
                <w:szCs w:val="16"/>
              </w:rPr>
            </w:pPr>
            <w:r>
              <w:rPr>
                <w:rFonts w:ascii="Calibri" w:hAnsi="Calibri" w:cs="Calibri"/>
                <w:color w:val="000000"/>
                <w:sz w:val="16"/>
                <w:szCs w:val="16"/>
              </w:rPr>
              <w:t>5</w:t>
            </w:r>
          </w:p>
        </w:tc>
        <w:tc>
          <w:tcPr>
            <w:tcW w:w="1168" w:type="dxa"/>
            <w:tcBorders>
              <w:top w:val="nil"/>
              <w:left w:val="nil"/>
              <w:bottom w:val="single" w:sz="8" w:space="0" w:color="000000"/>
              <w:right w:val="single" w:sz="8" w:space="0" w:color="000000"/>
            </w:tcBorders>
            <w:shd w:val="clear" w:color="auto" w:fill="auto"/>
            <w:vAlign w:val="center"/>
            <w:hideMark/>
          </w:tcPr>
          <w:p w:rsidR="00810EB4" w:rsidRPr="00A135B0" w:rsidP="00810EB4" w14:paraId="06A0267E" w14:textId="4E887781">
            <w:pPr>
              <w:widowControl/>
              <w:jc w:val="right"/>
              <w:rPr>
                <w:rFonts w:ascii="Calibri" w:hAnsi="Calibri" w:cs="Calibri"/>
                <w:color w:val="000000"/>
                <w:sz w:val="16"/>
                <w:szCs w:val="16"/>
              </w:rPr>
            </w:pPr>
            <w:r>
              <w:rPr>
                <w:rFonts w:ascii="Calibri" w:hAnsi="Calibri" w:cs="Calibri"/>
                <w:color w:val="000000"/>
                <w:sz w:val="16"/>
                <w:szCs w:val="16"/>
              </w:rPr>
              <w:t>545</w:t>
            </w:r>
          </w:p>
        </w:tc>
        <w:tc>
          <w:tcPr>
            <w:tcW w:w="1169"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48F164D3" w14:textId="6E7372A5">
            <w:pPr>
              <w:widowControl/>
              <w:jc w:val="right"/>
              <w:rPr>
                <w:rFonts w:ascii="Calibri" w:hAnsi="Calibri" w:cs="Calibri"/>
                <w:color w:val="000000"/>
                <w:sz w:val="16"/>
                <w:szCs w:val="16"/>
              </w:rPr>
            </w:pPr>
            <w:r>
              <w:rPr>
                <w:rFonts w:ascii="Calibri" w:hAnsi="Calibri" w:cs="Calibri"/>
                <w:color w:val="000000"/>
                <w:sz w:val="16"/>
                <w:szCs w:val="16"/>
              </w:rPr>
              <w:t xml:space="preserve">$15 </w:t>
            </w:r>
          </w:p>
        </w:tc>
        <w:tc>
          <w:tcPr>
            <w:tcW w:w="902"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6FB5BD34" w14:textId="13FAA823">
            <w:pPr>
              <w:widowControl/>
              <w:jc w:val="right"/>
              <w:rPr>
                <w:rFonts w:ascii="Calibri" w:hAnsi="Calibri" w:cs="Calibri"/>
                <w:color w:val="000000"/>
                <w:sz w:val="16"/>
                <w:szCs w:val="16"/>
              </w:rPr>
            </w:pPr>
            <w:r>
              <w:rPr>
                <w:rFonts w:ascii="Calibri" w:hAnsi="Calibri" w:cs="Calibri"/>
                <w:color w:val="000000"/>
                <w:sz w:val="16"/>
                <w:szCs w:val="16"/>
              </w:rPr>
              <w:t xml:space="preserve">$8,175 </w:t>
            </w:r>
          </w:p>
        </w:tc>
      </w:tr>
      <w:tr w14:paraId="071CBFF6" w14:textId="77777777" w:rsidTr="00BB3BC1">
        <w:tblPrEx>
          <w:tblW w:w="7820" w:type="dxa"/>
          <w:tblLook w:val="04A0"/>
        </w:tblPrEx>
        <w:trPr>
          <w:trHeight w:val="465"/>
        </w:trPr>
        <w:tc>
          <w:tcPr>
            <w:tcW w:w="2124" w:type="dxa"/>
            <w:tcBorders>
              <w:top w:val="nil"/>
              <w:left w:val="single" w:sz="8" w:space="0" w:color="000000"/>
              <w:bottom w:val="single" w:sz="8" w:space="0" w:color="000000"/>
              <w:right w:val="single" w:sz="8" w:space="0" w:color="000000"/>
            </w:tcBorders>
            <w:shd w:val="clear" w:color="auto" w:fill="auto"/>
            <w:vAlign w:val="center"/>
            <w:hideMark/>
          </w:tcPr>
          <w:p w:rsidR="00810EB4" w:rsidRPr="00A135B0" w:rsidP="00810EB4" w14:paraId="6B70C041" w14:textId="77777777">
            <w:pPr>
              <w:widowControl/>
              <w:rPr>
                <w:rFonts w:ascii="Calibri" w:hAnsi="Calibri" w:cs="Calibri"/>
                <w:color w:val="000000"/>
                <w:sz w:val="16"/>
                <w:szCs w:val="16"/>
              </w:rPr>
            </w:pPr>
            <w:r w:rsidRPr="00A135B0">
              <w:rPr>
                <w:rFonts w:ascii="Calibri" w:hAnsi="Calibri" w:cs="Calibri"/>
                <w:color w:val="000000"/>
                <w:sz w:val="16"/>
                <w:szCs w:val="16"/>
              </w:rPr>
              <w:t>Pelagic longline high-fliers and floats</w:t>
            </w:r>
          </w:p>
        </w:tc>
        <w:tc>
          <w:tcPr>
            <w:tcW w:w="1441" w:type="dxa"/>
            <w:tcBorders>
              <w:top w:val="nil"/>
              <w:left w:val="nil"/>
              <w:bottom w:val="single" w:sz="8" w:space="0" w:color="000000"/>
              <w:right w:val="single" w:sz="8" w:space="0" w:color="000000"/>
            </w:tcBorders>
            <w:shd w:val="clear" w:color="auto" w:fill="auto"/>
            <w:vAlign w:val="center"/>
            <w:hideMark/>
          </w:tcPr>
          <w:p w:rsidR="00810EB4" w:rsidRPr="00A135B0" w:rsidP="00810EB4" w14:paraId="5F8C8070" w14:textId="34183068">
            <w:pPr>
              <w:widowControl/>
              <w:jc w:val="right"/>
              <w:rPr>
                <w:rFonts w:ascii="Calibri" w:hAnsi="Calibri" w:cs="Calibri"/>
                <w:color w:val="000000"/>
                <w:sz w:val="16"/>
                <w:szCs w:val="16"/>
              </w:rPr>
            </w:pPr>
            <w:r>
              <w:rPr>
                <w:rFonts w:ascii="Calibri" w:hAnsi="Calibri" w:cs="Calibri"/>
                <w:color w:val="000000"/>
                <w:sz w:val="16"/>
                <w:szCs w:val="16"/>
              </w:rPr>
              <w:t>102</w:t>
            </w:r>
          </w:p>
        </w:tc>
        <w:tc>
          <w:tcPr>
            <w:tcW w:w="1016" w:type="dxa"/>
            <w:tcBorders>
              <w:top w:val="nil"/>
              <w:left w:val="nil"/>
              <w:bottom w:val="single" w:sz="8" w:space="0" w:color="000000"/>
              <w:right w:val="single" w:sz="8" w:space="0" w:color="000000"/>
            </w:tcBorders>
            <w:shd w:val="clear" w:color="auto" w:fill="auto"/>
            <w:vAlign w:val="center"/>
            <w:hideMark/>
          </w:tcPr>
          <w:p w:rsidR="00810EB4" w:rsidRPr="00A135B0" w:rsidP="00810EB4" w14:paraId="2C282839" w14:textId="409FBA14">
            <w:pPr>
              <w:widowControl/>
              <w:jc w:val="right"/>
              <w:rPr>
                <w:rFonts w:ascii="Calibri" w:hAnsi="Calibri" w:cs="Calibri"/>
                <w:color w:val="000000"/>
                <w:sz w:val="16"/>
                <w:szCs w:val="16"/>
              </w:rPr>
            </w:pPr>
            <w:r>
              <w:rPr>
                <w:rFonts w:ascii="Calibri" w:hAnsi="Calibri" w:cs="Calibri"/>
                <w:color w:val="000000"/>
                <w:sz w:val="16"/>
                <w:szCs w:val="16"/>
              </w:rPr>
              <w:t>10</w:t>
            </w:r>
          </w:p>
        </w:tc>
        <w:tc>
          <w:tcPr>
            <w:tcW w:w="1168" w:type="dxa"/>
            <w:tcBorders>
              <w:top w:val="nil"/>
              <w:left w:val="nil"/>
              <w:bottom w:val="single" w:sz="8" w:space="0" w:color="000000"/>
              <w:right w:val="single" w:sz="8" w:space="0" w:color="000000"/>
            </w:tcBorders>
            <w:shd w:val="clear" w:color="auto" w:fill="auto"/>
            <w:vAlign w:val="center"/>
            <w:hideMark/>
          </w:tcPr>
          <w:p w:rsidR="00810EB4" w:rsidRPr="00A135B0" w:rsidP="00810EB4" w14:paraId="1B9BDCE3" w14:textId="3A229837">
            <w:pPr>
              <w:widowControl/>
              <w:jc w:val="right"/>
              <w:rPr>
                <w:rFonts w:ascii="Calibri" w:hAnsi="Calibri" w:cs="Calibri"/>
                <w:color w:val="000000"/>
                <w:sz w:val="16"/>
                <w:szCs w:val="16"/>
              </w:rPr>
            </w:pPr>
            <w:r>
              <w:rPr>
                <w:rFonts w:ascii="Calibri" w:hAnsi="Calibri" w:cs="Calibri"/>
                <w:color w:val="000000"/>
                <w:sz w:val="16"/>
                <w:szCs w:val="16"/>
              </w:rPr>
              <w:t>1,020</w:t>
            </w:r>
          </w:p>
        </w:tc>
        <w:tc>
          <w:tcPr>
            <w:tcW w:w="1169"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4575C38F" w14:textId="276DC1D2">
            <w:pPr>
              <w:widowControl/>
              <w:jc w:val="right"/>
              <w:rPr>
                <w:rFonts w:ascii="Calibri" w:hAnsi="Calibri" w:cs="Calibri"/>
                <w:color w:val="000000"/>
                <w:sz w:val="16"/>
                <w:szCs w:val="16"/>
              </w:rPr>
            </w:pPr>
            <w:r>
              <w:rPr>
                <w:rFonts w:ascii="Calibri" w:hAnsi="Calibri" w:cs="Calibri"/>
                <w:color w:val="000000"/>
                <w:sz w:val="16"/>
                <w:szCs w:val="16"/>
              </w:rPr>
              <w:t xml:space="preserve">$15 </w:t>
            </w:r>
          </w:p>
        </w:tc>
        <w:tc>
          <w:tcPr>
            <w:tcW w:w="902"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51DC2FA5" w14:textId="07B990EB">
            <w:pPr>
              <w:widowControl/>
              <w:jc w:val="right"/>
              <w:rPr>
                <w:rFonts w:ascii="Calibri" w:hAnsi="Calibri" w:cs="Calibri"/>
                <w:color w:val="000000"/>
                <w:sz w:val="16"/>
                <w:szCs w:val="16"/>
              </w:rPr>
            </w:pPr>
            <w:r>
              <w:rPr>
                <w:rFonts w:ascii="Calibri" w:hAnsi="Calibri" w:cs="Calibri"/>
                <w:color w:val="000000"/>
                <w:sz w:val="16"/>
                <w:szCs w:val="16"/>
              </w:rPr>
              <w:t xml:space="preserve">$15,300 </w:t>
            </w:r>
          </w:p>
        </w:tc>
      </w:tr>
      <w:tr w14:paraId="3DF56158" w14:textId="77777777" w:rsidTr="00BB3BC1">
        <w:tblPrEx>
          <w:tblW w:w="7820" w:type="dxa"/>
          <w:tblLook w:val="04A0"/>
        </w:tblPrEx>
        <w:trPr>
          <w:trHeight w:val="315"/>
        </w:trPr>
        <w:tc>
          <w:tcPr>
            <w:tcW w:w="2124" w:type="dxa"/>
            <w:tcBorders>
              <w:top w:val="nil"/>
              <w:left w:val="single" w:sz="8" w:space="0" w:color="000000"/>
              <w:bottom w:val="single" w:sz="8" w:space="0" w:color="000000"/>
              <w:right w:val="single" w:sz="8" w:space="0" w:color="000000"/>
            </w:tcBorders>
            <w:shd w:val="clear" w:color="auto" w:fill="auto"/>
            <w:vAlign w:val="center"/>
            <w:hideMark/>
          </w:tcPr>
          <w:p w:rsidR="00810EB4" w:rsidRPr="00A135B0" w:rsidP="00810EB4" w14:paraId="74FCECDF" w14:textId="77777777">
            <w:pPr>
              <w:widowControl/>
              <w:rPr>
                <w:rFonts w:ascii="Calibri" w:hAnsi="Calibri" w:cs="Calibri"/>
                <w:color w:val="000000"/>
                <w:sz w:val="16"/>
                <w:szCs w:val="16"/>
              </w:rPr>
            </w:pPr>
            <w:r w:rsidRPr="00A135B0">
              <w:rPr>
                <w:rFonts w:ascii="Calibri" w:hAnsi="Calibri" w:cs="Calibri"/>
                <w:color w:val="000000"/>
                <w:sz w:val="16"/>
                <w:szCs w:val="16"/>
              </w:rPr>
              <w:t>Bottom longline floats</w:t>
            </w:r>
          </w:p>
        </w:tc>
        <w:tc>
          <w:tcPr>
            <w:tcW w:w="1441" w:type="dxa"/>
            <w:tcBorders>
              <w:top w:val="nil"/>
              <w:left w:val="nil"/>
              <w:bottom w:val="single" w:sz="8" w:space="0" w:color="000000"/>
              <w:right w:val="single" w:sz="8" w:space="0" w:color="000000"/>
            </w:tcBorders>
            <w:shd w:val="clear" w:color="auto" w:fill="auto"/>
            <w:vAlign w:val="center"/>
            <w:hideMark/>
          </w:tcPr>
          <w:p w:rsidR="00810EB4" w:rsidRPr="00A135B0" w:rsidP="00810EB4" w14:paraId="2618232B" w14:textId="17259616">
            <w:pPr>
              <w:widowControl/>
              <w:jc w:val="right"/>
              <w:rPr>
                <w:rFonts w:ascii="Calibri" w:hAnsi="Calibri" w:cs="Calibri"/>
                <w:color w:val="000000"/>
                <w:sz w:val="16"/>
                <w:szCs w:val="16"/>
              </w:rPr>
            </w:pPr>
            <w:r>
              <w:rPr>
                <w:rFonts w:ascii="Calibri" w:hAnsi="Calibri" w:cs="Calibri"/>
                <w:color w:val="000000"/>
                <w:sz w:val="16"/>
                <w:szCs w:val="16"/>
              </w:rPr>
              <w:t>15</w:t>
            </w:r>
          </w:p>
        </w:tc>
        <w:tc>
          <w:tcPr>
            <w:tcW w:w="1016" w:type="dxa"/>
            <w:tcBorders>
              <w:top w:val="nil"/>
              <w:left w:val="nil"/>
              <w:bottom w:val="single" w:sz="8" w:space="0" w:color="000000"/>
              <w:right w:val="single" w:sz="8" w:space="0" w:color="000000"/>
            </w:tcBorders>
            <w:shd w:val="clear" w:color="auto" w:fill="auto"/>
            <w:vAlign w:val="center"/>
            <w:hideMark/>
          </w:tcPr>
          <w:p w:rsidR="00810EB4" w:rsidRPr="00A135B0" w:rsidP="00810EB4" w14:paraId="070A01B7" w14:textId="2795E46C">
            <w:pPr>
              <w:widowControl/>
              <w:jc w:val="right"/>
              <w:rPr>
                <w:rFonts w:ascii="Calibri" w:hAnsi="Calibri" w:cs="Calibri"/>
                <w:color w:val="000000"/>
                <w:sz w:val="16"/>
                <w:szCs w:val="16"/>
              </w:rPr>
            </w:pPr>
            <w:r>
              <w:rPr>
                <w:rFonts w:ascii="Calibri" w:hAnsi="Calibri" w:cs="Calibri"/>
                <w:color w:val="000000"/>
                <w:sz w:val="16"/>
                <w:szCs w:val="16"/>
              </w:rPr>
              <w:t>2</w:t>
            </w:r>
          </w:p>
        </w:tc>
        <w:tc>
          <w:tcPr>
            <w:tcW w:w="1168" w:type="dxa"/>
            <w:tcBorders>
              <w:top w:val="nil"/>
              <w:left w:val="nil"/>
              <w:bottom w:val="single" w:sz="8" w:space="0" w:color="000000"/>
              <w:right w:val="single" w:sz="8" w:space="0" w:color="000000"/>
            </w:tcBorders>
            <w:shd w:val="clear" w:color="auto" w:fill="auto"/>
            <w:vAlign w:val="center"/>
            <w:hideMark/>
          </w:tcPr>
          <w:p w:rsidR="00810EB4" w:rsidRPr="00A135B0" w:rsidP="00810EB4" w14:paraId="25F07BD6" w14:textId="1927AAEE">
            <w:pPr>
              <w:widowControl/>
              <w:jc w:val="right"/>
              <w:rPr>
                <w:rFonts w:ascii="Calibri" w:hAnsi="Calibri" w:cs="Calibri"/>
                <w:color w:val="000000"/>
                <w:sz w:val="16"/>
                <w:szCs w:val="16"/>
              </w:rPr>
            </w:pPr>
            <w:r>
              <w:rPr>
                <w:rFonts w:ascii="Calibri" w:hAnsi="Calibri" w:cs="Calibri"/>
                <w:color w:val="000000"/>
                <w:sz w:val="16"/>
                <w:szCs w:val="16"/>
              </w:rPr>
              <w:t>30</w:t>
            </w:r>
          </w:p>
        </w:tc>
        <w:tc>
          <w:tcPr>
            <w:tcW w:w="1169"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15CB769E" w14:textId="08034E31">
            <w:pPr>
              <w:widowControl/>
              <w:jc w:val="right"/>
              <w:rPr>
                <w:rFonts w:ascii="Calibri" w:hAnsi="Calibri" w:cs="Calibri"/>
                <w:color w:val="000000"/>
                <w:sz w:val="16"/>
                <w:szCs w:val="16"/>
              </w:rPr>
            </w:pPr>
            <w:r>
              <w:rPr>
                <w:rFonts w:ascii="Calibri" w:hAnsi="Calibri" w:cs="Calibri"/>
                <w:color w:val="000000"/>
                <w:sz w:val="16"/>
                <w:szCs w:val="16"/>
              </w:rPr>
              <w:t xml:space="preserve">$15 </w:t>
            </w:r>
          </w:p>
        </w:tc>
        <w:tc>
          <w:tcPr>
            <w:tcW w:w="902"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399255E1" w14:textId="57BCB7A3">
            <w:pPr>
              <w:widowControl/>
              <w:jc w:val="right"/>
              <w:rPr>
                <w:rFonts w:ascii="Calibri" w:hAnsi="Calibri" w:cs="Calibri"/>
                <w:color w:val="000000"/>
                <w:sz w:val="16"/>
                <w:szCs w:val="16"/>
              </w:rPr>
            </w:pPr>
            <w:r>
              <w:rPr>
                <w:rFonts w:ascii="Calibri" w:hAnsi="Calibri" w:cs="Calibri"/>
                <w:color w:val="000000"/>
                <w:sz w:val="16"/>
                <w:szCs w:val="16"/>
              </w:rPr>
              <w:t xml:space="preserve">$450 </w:t>
            </w:r>
          </w:p>
        </w:tc>
      </w:tr>
      <w:tr w14:paraId="41F74361" w14:textId="77777777" w:rsidTr="00BB3BC1">
        <w:tblPrEx>
          <w:tblW w:w="7820" w:type="dxa"/>
          <w:tblLook w:val="04A0"/>
        </w:tblPrEx>
        <w:trPr>
          <w:trHeight w:val="315"/>
        </w:trPr>
        <w:tc>
          <w:tcPr>
            <w:tcW w:w="2124" w:type="dxa"/>
            <w:tcBorders>
              <w:top w:val="nil"/>
              <w:left w:val="single" w:sz="8" w:space="0" w:color="000000"/>
              <w:bottom w:val="single" w:sz="8" w:space="0" w:color="000000"/>
              <w:right w:val="single" w:sz="8" w:space="0" w:color="000000"/>
            </w:tcBorders>
            <w:shd w:val="clear" w:color="auto" w:fill="auto"/>
            <w:vAlign w:val="center"/>
            <w:hideMark/>
          </w:tcPr>
          <w:p w:rsidR="00810EB4" w:rsidRPr="00A135B0" w:rsidP="00810EB4" w14:paraId="09A44730" w14:textId="77777777">
            <w:pPr>
              <w:widowControl/>
              <w:rPr>
                <w:rFonts w:ascii="Calibri" w:hAnsi="Calibri" w:cs="Calibri"/>
                <w:color w:val="000000"/>
                <w:sz w:val="16"/>
                <w:szCs w:val="16"/>
              </w:rPr>
            </w:pPr>
            <w:r w:rsidRPr="00A135B0">
              <w:rPr>
                <w:rFonts w:ascii="Calibri" w:hAnsi="Calibri" w:cs="Calibri"/>
                <w:color w:val="000000"/>
                <w:sz w:val="16"/>
                <w:szCs w:val="16"/>
              </w:rPr>
              <w:t>Swordfish/Caribbean buoy gear</w:t>
            </w:r>
          </w:p>
        </w:tc>
        <w:tc>
          <w:tcPr>
            <w:tcW w:w="1441" w:type="dxa"/>
            <w:tcBorders>
              <w:top w:val="nil"/>
              <w:left w:val="nil"/>
              <w:bottom w:val="single" w:sz="8" w:space="0" w:color="000000"/>
              <w:right w:val="single" w:sz="8" w:space="0" w:color="000000"/>
            </w:tcBorders>
            <w:shd w:val="clear" w:color="auto" w:fill="auto"/>
            <w:vAlign w:val="center"/>
            <w:hideMark/>
          </w:tcPr>
          <w:p w:rsidR="00810EB4" w:rsidRPr="00A135B0" w:rsidP="00810EB4" w14:paraId="7E4BA439" w14:textId="410E28E1">
            <w:pPr>
              <w:widowControl/>
              <w:jc w:val="right"/>
              <w:rPr>
                <w:rFonts w:ascii="Calibri" w:hAnsi="Calibri" w:cs="Calibri"/>
                <w:color w:val="000000"/>
                <w:sz w:val="16"/>
                <w:szCs w:val="16"/>
              </w:rPr>
            </w:pPr>
            <w:r>
              <w:rPr>
                <w:rFonts w:ascii="Calibri" w:hAnsi="Calibri" w:cs="Calibri"/>
                <w:color w:val="000000"/>
                <w:sz w:val="16"/>
                <w:szCs w:val="16"/>
              </w:rPr>
              <w:t>86</w:t>
            </w:r>
          </w:p>
        </w:tc>
        <w:tc>
          <w:tcPr>
            <w:tcW w:w="1016" w:type="dxa"/>
            <w:tcBorders>
              <w:top w:val="nil"/>
              <w:left w:val="nil"/>
              <w:bottom w:val="single" w:sz="8" w:space="0" w:color="000000"/>
              <w:right w:val="single" w:sz="8" w:space="0" w:color="000000"/>
            </w:tcBorders>
            <w:shd w:val="clear" w:color="auto" w:fill="auto"/>
            <w:vAlign w:val="center"/>
            <w:hideMark/>
          </w:tcPr>
          <w:p w:rsidR="00810EB4" w:rsidRPr="00A135B0" w:rsidP="00810EB4" w14:paraId="36E809DB" w14:textId="44A08FC8">
            <w:pPr>
              <w:widowControl/>
              <w:jc w:val="right"/>
              <w:rPr>
                <w:rFonts w:ascii="Calibri" w:hAnsi="Calibri" w:cs="Calibri"/>
                <w:color w:val="000000"/>
                <w:sz w:val="16"/>
                <w:szCs w:val="16"/>
              </w:rPr>
            </w:pPr>
            <w:r>
              <w:rPr>
                <w:rFonts w:ascii="Calibri" w:hAnsi="Calibri" w:cs="Calibri"/>
                <w:color w:val="000000"/>
                <w:sz w:val="16"/>
                <w:szCs w:val="16"/>
              </w:rPr>
              <w:t>35</w:t>
            </w:r>
          </w:p>
        </w:tc>
        <w:tc>
          <w:tcPr>
            <w:tcW w:w="1168" w:type="dxa"/>
            <w:tcBorders>
              <w:top w:val="nil"/>
              <w:left w:val="nil"/>
              <w:bottom w:val="single" w:sz="8" w:space="0" w:color="000000"/>
              <w:right w:val="single" w:sz="8" w:space="0" w:color="000000"/>
            </w:tcBorders>
            <w:shd w:val="clear" w:color="auto" w:fill="auto"/>
            <w:vAlign w:val="center"/>
            <w:hideMark/>
          </w:tcPr>
          <w:p w:rsidR="00810EB4" w:rsidRPr="00A135B0" w:rsidP="00810EB4" w14:paraId="7ECEE6CE" w14:textId="722FA2CA">
            <w:pPr>
              <w:widowControl/>
              <w:jc w:val="right"/>
              <w:rPr>
                <w:rFonts w:ascii="Calibri" w:hAnsi="Calibri" w:cs="Calibri"/>
                <w:color w:val="000000"/>
                <w:sz w:val="16"/>
                <w:szCs w:val="16"/>
              </w:rPr>
            </w:pPr>
            <w:r>
              <w:rPr>
                <w:rFonts w:ascii="Calibri" w:hAnsi="Calibri" w:cs="Calibri"/>
                <w:color w:val="000000"/>
                <w:sz w:val="16"/>
                <w:szCs w:val="16"/>
              </w:rPr>
              <w:t>3,010</w:t>
            </w:r>
          </w:p>
        </w:tc>
        <w:tc>
          <w:tcPr>
            <w:tcW w:w="1169"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62795B47" w14:textId="123CBBBB">
            <w:pPr>
              <w:widowControl/>
              <w:jc w:val="right"/>
              <w:rPr>
                <w:rFonts w:ascii="Calibri" w:hAnsi="Calibri" w:cs="Calibri"/>
                <w:color w:val="000000"/>
                <w:sz w:val="16"/>
                <w:szCs w:val="16"/>
              </w:rPr>
            </w:pPr>
            <w:r>
              <w:rPr>
                <w:rFonts w:ascii="Calibri" w:hAnsi="Calibri" w:cs="Calibri"/>
                <w:color w:val="000000"/>
                <w:sz w:val="16"/>
                <w:szCs w:val="16"/>
              </w:rPr>
              <w:t xml:space="preserve">$15 </w:t>
            </w:r>
          </w:p>
        </w:tc>
        <w:tc>
          <w:tcPr>
            <w:tcW w:w="902"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64AFA91A" w14:textId="31D0ADAC">
            <w:pPr>
              <w:widowControl/>
              <w:jc w:val="right"/>
              <w:rPr>
                <w:rFonts w:ascii="Calibri" w:hAnsi="Calibri" w:cs="Calibri"/>
                <w:color w:val="000000"/>
                <w:sz w:val="16"/>
                <w:szCs w:val="16"/>
              </w:rPr>
            </w:pPr>
            <w:r>
              <w:rPr>
                <w:rFonts w:ascii="Calibri" w:hAnsi="Calibri" w:cs="Calibri"/>
                <w:color w:val="000000"/>
                <w:sz w:val="16"/>
                <w:szCs w:val="16"/>
              </w:rPr>
              <w:t xml:space="preserve">$45,150 </w:t>
            </w:r>
          </w:p>
        </w:tc>
      </w:tr>
      <w:tr w14:paraId="0B52017C" w14:textId="77777777" w:rsidTr="00BB3BC1">
        <w:tblPrEx>
          <w:tblW w:w="7820" w:type="dxa"/>
          <w:tblLook w:val="04A0"/>
        </w:tblPrEx>
        <w:trPr>
          <w:trHeight w:val="315"/>
        </w:trPr>
        <w:tc>
          <w:tcPr>
            <w:tcW w:w="2124" w:type="dxa"/>
            <w:tcBorders>
              <w:top w:val="nil"/>
              <w:left w:val="single" w:sz="8" w:space="0" w:color="000000"/>
              <w:bottom w:val="single" w:sz="8" w:space="0" w:color="000000"/>
              <w:right w:val="single" w:sz="8" w:space="0" w:color="000000"/>
            </w:tcBorders>
            <w:shd w:val="clear" w:color="auto" w:fill="auto"/>
            <w:vAlign w:val="center"/>
            <w:hideMark/>
          </w:tcPr>
          <w:p w:rsidR="00810EB4" w:rsidRPr="00A135B0" w:rsidP="00810EB4" w14:paraId="45E0C085" w14:textId="77777777">
            <w:pPr>
              <w:widowControl/>
              <w:rPr>
                <w:rFonts w:ascii="Calibri" w:hAnsi="Calibri" w:cs="Calibri"/>
                <w:color w:val="000000"/>
                <w:sz w:val="16"/>
                <w:szCs w:val="16"/>
              </w:rPr>
            </w:pPr>
            <w:r w:rsidRPr="00A135B0">
              <w:rPr>
                <w:rFonts w:ascii="Calibri" w:hAnsi="Calibri" w:cs="Calibri"/>
                <w:color w:val="000000"/>
                <w:sz w:val="16"/>
                <w:szCs w:val="16"/>
              </w:rPr>
              <w:t>Gillnet floats</w:t>
            </w:r>
          </w:p>
        </w:tc>
        <w:tc>
          <w:tcPr>
            <w:tcW w:w="1441" w:type="dxa"/>
            <w:tcBorders>
              <w:top w:val="nil"/>
              <w:left w:val="nil"/>
              <w:bottom w:val="single" w:sz="8" w:space="0" w:color="000000"/>
              <w:right w:val="single" w:sz="8" w:space="0" w:color="000000"/>
            </w:tcBorders>
            <w:shd w:val="clear" w:color="auto" w:fill="auto"/>
            <w:vAlign w:val="center"/>
            <w:hideMark/>
          </w:tcPr>
          <w:p w:rsidR="00810EB4" w:rsidRPr="00A135B0" w:rsidP="00810EB4" w14:paraId="5A4697D0" w14:textId="6EF74A6C">
            <w:pPr>
              <w:widowControl/>
              <w:jc w:val="right"/>
              <w:rPr>
                <w:rFonts w:ascii="Calibri" w:hAnsi="Calibri" w:cs="Calibri"/>
                <w:color w:val="000000"/>
                <w:sz w:val="16"/>
                <w:szCs w:val="16"/>
              </w:rPr>
            </w:pPr>
            <w:r>
              <w:rPr>
                <w:rFonts w:ascii="Calibri" w:hAnsi="Calibri" w:cs="Calibri"/>
                <w:color w:val="000000"/>
                <w:sz w:val="16"/>
                <w:szCs w:val="16"/>
              </w:rPr>
              <w:t>22</w:t>
            </w:r>
          </w:p>
        </w:tc>
        <w:tc>
          <w:tcPr>
            <w:tcW w:w="1016" w:type="dxa"/>
            <w:tcBorders>
              <w:top w:val="nil"/>
              <w:left w:val="nil"/>
              <w:bottom w:val="single" w:sz="8" w:space="0" w:color="000000"/>
              <w:right w:val="single" w:sz="8" w:space="0" w:color="000000"/>
            </w:tcBorders>
            <w:shd w:val="clear" w:color="auto" w:fill="auto"/>
            <w:vAlign w:val="center"/>
            <w:hideMark/>
          </w:tcPr>
          <w:p w:rsidR="00810EB4" w:rsidRPr="00A135B0" w:rsidP="00810EB4" w14:paraId="613AFD2C" w14:textId="309F7178">
            <w:pPr>
              <w:widowControl/>
              <w:jc w:val="right"/>
              <w:rPr>
                <w:rFonts w:ascii="Calibri" w:hAnsi="Calibri" w:cs="Calibri"/>
                <w:color w:val="000000"/>
                <w:sz w:val="16"/>
                <w:szCs w:val="16"/>
              </w:rPr>
            </w:pPr>
            <w:r>
              <w:rPr>
                <w:rFonts w:ascii="Calibri" w:hAnsi="Calibri" w:cs="Calibri"/>
                <w:color w:val="000000"/>
                <w:sz w:val="16"/>
                <w:szCs w:val="16"/>
              </w:rPr>
              <w:t>2</w:t>
            </w:r>
          </w:p>
        </w:tc>
        <w:tc>
          <w:tcPr>
            <w:tcW w:w="1168" w:type="dxa"/>
            <w:tcBorders>
              <w:top w:val="nil"/>
              <w:left w:val="nil"/>
              <w:bottom w:val="single" w:sz="8" w:space="0" w:color="000000"/>
              <w:right w:val="single" w:sz="8" w:space="0" w:color="000000"/>
            </w:tcBorders>
            <w:shd w:val="clear" w:color="auto" w:fill="auto"/>
            <w:vAlign w:val="center"/>
            <w:hideMark/>
          </w:tcPr>
          <w:p w:rsidR="00810EB4" w:rsidRPr="00A135B0" w:rsidP="00810EB4" w14:paraId="2F0F6F6E" w14:textId="3960C6F5">
            <w:pPr>
              <w:widowControl/>
              <w:jc w:val="right"/>
              <w:rPr>
                <w:rFonts w:ascii="Calibri" w:hAnsi="Calibri" w:cs="Calibri"/>
                <w:color w:val="000000"/>
                <w:sz w:val="16"/>
                <w:szCs w:val="16"/>
              </w:rPr>
            </w:pPr>
            <w:r>
              <w:rPr>
                <w:rFonts w:ascii="Calibri" w:hAnsi="Calibri" w:cs="Calibri"/>
                <w:color w:val="000000"/>
                <w:sz w:val="16"/>
                <w:szCs w:val="16"/>
              </w:rPr>
              <w:t>44</w:t>
            </w:r>
          </w:p>
        </w:tc>
        <w:tc>
          <w:tcPr>
            <w:tcW w:w="1169"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7E329EC2" w14:textId="0F1FC882">
            <w:pPr>
              <w:widowControl/>
              <w:jc w:val="right"/>
              <w:rPr>
                <w:rFonts w:ascii="Calibri" w:hAnsi="Calibri" w:cs="Calibri"/>
                <w:color w:val="000000"/>
                <w:sz w:val="16"/>
                <w:szCs w:val="16"/>
              </w:rPr>
            </w:pPr>
            <w:r>
              <w:rPr>
                <w:rFonts w:ascii="Calibri" w:hAnsi="Calibri" w:cs="Calibri"/>
                <w:color w:val="000000"/>
                <w:sz w:val="16"/>
                <w:szCs w:val="16"/>
              </w:rPr>
              <w:t xml:space="preserve">$15 </w:t>
            </w:r>
          </w:p>
        </w:tc>
        <w:tc>
          <w:tcPr>
            <w:tcW w:w="902"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77016379" w14:textId="4CACF907">
            <w:pPr>
              <w:widowControl/>
              <w:jc w:val="right"/>
              <w:rPr>
                <w:rFonts w:ascii="Calibri" w:hAnsi="Calibri" w:cs="Calibri"/>
                <w:color w:val="000000"/>
                <w:sz w:val="16"/>
                <w:szCs w:val="16"/>
              </w:rPr>
            </w:pPr>
            <w:r>
              <w:rPr>
                <w:rFonts w:ascii="Calibri" w:hAnsi="Calibri" w:cs="Calibri"/>
                <w:color w:val="000000"/>
                <w:sz w:val="16"/>
                <w:szCs w:val="16"/>
              </w:rPr>
              <w:t xml:space="preserve">$660 </w:t>
            </w:r>
          </w:p>
        </w:tc>
      </w:tr>
      <w:tr w14:paraId="16AB313A" w14:textId="77777777" w:rsidTr="00BB3BC1">
        <w:tblPrEx>
          <w:tblW w:w="7820" w:type="dxa"/>
          <w:tblLook w:val="04A0"/>
        </w:tblPrEx>
        <w:trPr>
          <w:trHeight w:val="315"/>
        </w:trPr>
        <w:tc>
          <w:tcPr>
            <w:tcW w:w="2124" w:type="dxa"/>
            <w:tcBorders>
              <w:top w:val="nil"/>
              <w:left w:val="single" w:sz="8" w:space="0" w:color="000000"/>
              <w:bottom w:val="single" w:sz="8" w:space="0" w:color="000000"/>
              <w:right w:val="single" w:sz="8" w:space="0" w:color="000000"/>
            </w:tcBorders>
            <w:shd w:val="clear" w:color="auto" w:fill="auto"/>
            <w:vAlign w:val="center"/>
            <w:hideMark/>
          </w:tcPr>
          <w:p w:rsidR="00810EB4" w:rsidRPr="00A135B0" w:rsidP="00810EB4" w14:paraId="640FB482" w14:textId="77777777">
            <w:pPr>
              <w:widowControl/>
              <w:rPr>
                <w:rFonts w:ascii="Calibri" w:hAnsi="Calibri" w:cs="Calibri"/>
                <w:color w:val="000000"/>
                <w:sz w:val="16"/>
                <w:szCs w:val="16"/>
              </w:rPr>
            </w:pPr>
            <w:r w:rsidRPr="00A135B0">
              <w:rPr>
                <w:rFonts w:ascii="Calibri" w:hAnsi="Calibri" w:cs="Calibri"/>
                <w:color w:val="000000"/>
                <w:sz w:val="16"/>
                <w:szCs w:val="16"/>
              </w:rPr>
              <w:t>Caribbean Small Boat</w:t>
            </w:r>
          </w:p>
        </w:tc>
        <w:tc>
          <w:tcPr>
            <w:tcW w:w="1441" w:type="dxa"/>
            <w:tcBorders>
              <w:top w:val="nil"/>
              <w:left w:val="nil"/>
              <w:bottom w:val="single" w:sz="8" w:space="0" w:color="000000"/>
              <w:right w:val="single" w:sz="8" w:space="0" w:color="000000"/>
            </w:tcBorders>
            <w:shd w:val="clear" w:color="auto" w:fill="auto"/>
            <w:vAlign w:val="center"/>
            <w:hideMark/>
          </w:tcPr>
          <w:p w:rsidR="00810EB4" w:rsidRPr="00A135B0" w:rsidP="00810EB4" w14:paraId="498CBD7C" w14:textId="2C07E643">
            <w:pPr>
              <w:widowControl/>
              <w:jc w:val="right"/>
              <w:rPr>
                <w:rFonts w:ascii="Calibri" w:hAnsi="Calibri" w:cs="Calibri"/>
                <w:color w:val="000000"/>
                <w:sz w:val="16"/>
                <w:szCs w:val="16"/>
              </w:rPr>
            </w:pPr>
            <w:r>
              <w:rPr>
                <w:rFonts w:ascii="Calibri" w:hAnsi="Calibri" w:cs="Calibri"/>
                <w:color w:val="000000"/>
                <w:sz w:val="16"/>
                <w:szCs w:val="16"/>
              </w:rPr>
              <w:t>76</w:t>
            </w:r>
          </w:p>
        </w:tc>
        <w:tc>
          <w:tcPr>
            <w:tcW w:w="1016" w:type="dxa"/>
            <w:tcBorders>
              <w:top w:val="nil"/>
              <w:left w:val="nil"/>
              <w:bottom w:val="single" w:sz="8" w:space="0" w:color="000000"/>
              <w:right w:val="single" w:sz="8" w:space="0" w:color="000000"/>
            </w:tcBorders>
            <w:shd w:val="clear" w:color="auto" w:fill="auto"/>
            <w:vAlign w:val="center"/>
            <w:hideMark/>
          </w:tcPr>
          <w:p w:rsidR="00810EB4" w:rsidRPr="00A135B0" w:rsidP="00810EB4" w14:paraId="374E2B38" w14:textId="54EE520B">
            <w:pPr>
              <w:widowControl/>
              <w:jc w:val="right"/>
              <w:rPr>
                <w:rFonts w:ascii="Calibri" w:hAnsi="Calibri" w:cs="Calibri"/>
                <w:color w:val="000000"/>
                <w:sz w:val="16"/>
                <w:szCs w:val="16"/>
              </w:rPr>
            </w:pPr>
            <w:r>
              <w:rPr>
                <w:rFonts w:ascii="Calibri" w:hAnsi="Calibri" w:cs="Calibri"/>
                <w:color w:val="000000"/>
                <w:sz w:val="16"/>
                <w:szCs w:val="16"/>
              </w:rPr>
              <w:t>35</w:t>
            </w:r>
          </w:p>
        </w:tc>
        <w:tc>
          <w:tcPr>
            <w:tcW w:w="1168" w:type="dxa"/>
            <w:tcBorders>
              <w:top w:val="nil"/>
              <w:left w:val="nil"/>
              <w:bottom w:val="single" w:sz="8" w:space="0" w:color="000000"/>
              <w:right w:val="single" w:sz="8" w:space="0" w:color="000000"/>
            </w:tcBorders>
            <w:shd w:val="clear" w:color="auto" w:fill="auto"/>
            <w:vAlign w:val="center"/>
            <w:hideMark/>
          </w:tcPr>
          <w:p w:rsidR="00810EB4" w:rsidRPr="00A135B0" w:rsidP="00810EB4" w14:paraId="4CDCCFC5" w14:textId="675218A2">
            <w:pPr>
              <w:widowControl/>
              <w:jc w:val="right"/>
              <w:rPr>
                <w:rFonts w:ascii="Calibri" w:hAnsi="Calibri" w:cs="Calibri"/>
                <w:color w:val="000000"/>
                <w:sz w:val="16"/>
                <w:szCs w:val="16"/>
              </w:rPr>
            </w:pPr>
            <w:r>
              <w:rPr>
                <w:rFonts w:ascii="Calibri" w:hAnsi="Calibri" w:cs="Calibri"/>
                <w:color w:val="000000"/>
                <w:sz w:val="16"/>
                <w:szCs w:val="16"/>
              </w:rPr>
              <w:t>2,660</w:t>
            </w:r>
          </w:p>
        </w:tc>
        <w:tc>
          <w:tcPr>
            <w:tcW w:w="1169"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4E1B9CE5" w14:textId="22A41585">
            <w:pPr>
              <w:widowControl/>
              <w:jc w:val="right"/>
              <w:rPr>
                <w:rFonts w:ascii="Calibri" w:hAnsi="Calibri" w:cs="Calibri"/>
                <w:color w:val="000000"/>
                <w:sz w:val="16"/>
                <w:szCs w:val="16"/>
              </w:rPr>
            </w:pPr>
            <w:r>
              <w:rPr>
                <w:rFonts w:ascii="Calibri" w:hAnsi="Calibri" w:cs="Calibri"/>
                <w:color w:val="000000"/>
                <w:sz w:val="16"/>
                <w:szCs w:val="16"/>
              </w:rPr>
              <w:t xml:space="preserve">$15 </w:t>
            </w:r>
          </w:p>
        </w:tc>
        <w:tc>
          <w:tcPr>
            <w:tcW w:w="902" w:type="dxa"/>
            <w:tcBorders>
              <w:top w:val="nil"/>
              <w:left w:val="nil"/>
              <w:bottom w:val="single" w:sz="8" w:space="0" w:color="000000"/>
              <w:right w:val="single" w:sz="8" w:space="0" w:color="000000"/>
            </w:tcBorders>
            <w:shd w:val="clear" w:color="000000" w:fill="FFFFFF"/>
            <w:vAlign w:val="center"/>
            <w:hideMark/>
          </w:tcPr>
          <w:p w:rsidR="00810EB4" w:rsidRPr="00A135B0" w:rsidP="00810EB4" w14:paraId="145EDF5A" w14:textId="51BF5AB5">
            <w:pPr>
              <w:widowControl/>
              <w:jc w:val="right"/>
              <w:rPr>
                <w:rFonts w:ascii="Calibri" w:hAnsi="Calibri" w:cs="Calibri"/>
                <w:color w:val="000000"/>
                <w:sz w:val="16"/>
                <w:szCs w:val="16"/>
              </w:rPr>
            </w:pPr>
            <w:r>
              <w:rPr>
                <w:rFonts w:ascii="Calibri" w:hAnsi="Calibri" w:cs="Calibri"/>
                <w:color w:val="000000"/>
                <w:sz w:val="16"/>
                <w:szCs w:val="16"/>
              </w:rPr>
              <w:t xml:space="preserve">$39,900 </w:t>
            </w:r>
          </w:p>
        </w:tc>
      </w:tr>
      <w:tr w14:paraId="7B77ADC6" w14:textId="77777777" w:rsidTr="00BB3BC1">
        <w:tblPrEx>
          <w:tblW w:w="7820" w:type="dxa"/>
          <w:tblLook w:val="04A0"/>
        </w:tblPrEx>
        <w:trPr>
          <w:trHeight w:val="315"/>
        </w:trPr>
        <w:tc>
          <w:tcPr>
            <w:tcW w:w="2124" w:type="dxa"/>
            <w:tcBorders>
              <w:top w:val="nil"/>
              <w:left w:val="single" w:sz="8" w:space="0" w:color="000000"/>
              <w:bottom w:val="single" w:sz="8" w:space="0" w:color="000000"/>
              <w:right w:val="single" w:sz="8" w:space="0" w:color="000000"/>
            </w:tcBorders>
            <w:shd w:val="clear" w:color="000000" w:fill="DDEBF7"/>
            <w:vAlign w:val="center"/>
            <w:hideMark/>
          </w:tcPr>
          <w:p w:rsidR="00810EB4" w:rsidRPr="00A135B0" w:rsidP="00810EB4" w14:paraId="408C3405" w14:textId="77777777">
            <w:pPr>
              <w:widowControl/>
              <w:jc w:val="right"/>
              <w:rPr>
                <w:rFonts w:ascii="Calibri" w:hAnsi="Calibri" w:cs="Calibri"/>
                <w:b/>
                <w:bCs/>
                <w:color w:val="000000"/>
                <w:sz w:val="16"/>
                <w:szCs w:val="16"/>
              </w:rPr>
            </w:pPr>
            <w:r w:rsidRPr="00A135B0">
              <w:rPr>
                <w:rFonts w:ascii="Calibri" w:hAnsi="Calibri" w:cs="Calibri"/>
                <w:b/>
                <w:bCs/>
                <w:color w:val="000000"/>
                <w:sz w:val="16"/>
                <w:szCs w:val="16"/>
              </w:rPr>
              <w:t>TOTALS</w:t>
            </w:r>
          </w:p>
        </w:tc>
        <w:tc>
          <w:tcPr>
            <w:tcW w:w="1441" w:type="dxa"/>
            <w:tcBorders>
              <w:top w:val="nil"/>
              <w:left w:val="nil"/>
              <w:bottom w:val="single" w:sz="8" w:space="0" w:color="000000"/>
              <w:right w:val="single" w:sz="8" w:space="0" w:color="000000"/>
            </w:tcBorders>
            <w:shd w:val="clear" w:color="000000" w:fill="DDEBF7"/>
            <w:vAlign w:val="center"/>
            <w:hideMark/>
          </w:tcPr>
          <w:p w:rsidR="00810EB4" w:rsidRPr="00A135B0" w:rsidP="00810EB4" w14:paraId="5DB47543" w14:textId="031DAE95">
            <w:pPr>
              <w:widowControl/>
              <w:jc w:val="right"/>
              <w:rPr>
                <w:rFonts w:ascii="Calibri" w:hAnsi="Calibri" w:cs="Calibri"/>
                <w:b/>
                <w:bCs/>
                <w:color w:val="000000"/>
                <w:sz w:val="16"/>
                <w:szCs w:val="16"/>
              </w:rPr>
            </w:pPr>
            <w:r>
              <w:rPr>
                <w:rFonts w:ascii="Calibri" w:hAnsi="Calibri" w:cs="Calibri"/>
                <w:b/>
                <w:bCs/>
                <w:color w:val="000000"/>
                <w:sz w:val="16"/>
                <w:szCs w:val="16"/>
              </w:rPr>
              <w:t>6,556</w:t>
            </w:r>
          </w:p>
        </w:tc>
        <w:tc>
          <w:tcPr>
            <w:tcW w:w="1016" w:type="dxa"/>
            <w:tcBorders>
              <w:top w:val="nil"/>
              <w:left w:val="nil"/>
              <w:bottom w:val="single" w:sz="8" w:space="0" w:color="000000"/>
              <w:right w:val="single" w:sz="8" w:space="0" w:color="000000"/>
            </w:tcBorders>
            <w:shd w:val="clear" w:color="000000" w:fill="DDEBF7"/>
            <w:vAlign w:val="center"/>
            <w:hideMark/>
          </w:tcPr>
          <w:p w:rsidR="00810EB4" w:rsidRPr="00A135B0" w:rsidP="00810EB4" w14:paraId="6F03762F" w14:textId="5920E42B">
            <w:pPr>
              <w:widowControl/>
              <w:jc w:val="right"/>
              <w:rPr>
                <w:rFonts w:ascii="Calibri" w:hAnsi="Calibri" w:cs="Calibri"/>
                <w:b/>
                <w:bCs/>
                <w:color w:val="000000"/>
                <w:sz w:val="16"/>
                <w:szCs w:val="16"/>
              </w:rPr>
            </w:pPr>
            <w:r>
              <w:rPr>
                <w:rFonts w:ascii="Calibri" w:hAnsi="Calibri" w:cs="Calibri"/>
                <w:b/>
                <w:bCs/>
                <w:color w:val="000000"/>
                <w:sz w:val="16"/>
                <w:szCs w:val="16"/>
              </w:rPr>
              <w:t> </w:t>
            </w:r>
          </w:p>
        </w:tc>
        <w:tc>
          <w:tcPr>
            <w:tcW w:w="1168" w:type="dxa"/>
            <w:tcBorders>
              <w:top w:val="nil"/>
              <w:left w:val="nil"/>
              <w:bottom w:val="single" w:sz="8" w:space="0" w:color="000000"/>
              <w:right w:val="single" w:sz="8" w:space="0" w:color="000000"/>
            </w:tcBorders>
            <w:shd w:val="clear" w:color="000000" w:fill="DDEBF7"/>
            <w:vAlign w:val="center"/>
            <w:hideMark/>
          </w:tcPr>
          <w:p w:rsidR="00810EB4" w:rsidRPr="00A135B0" w:rsidP="00810EB4" w14:paraId="72D9EA06" w14:textId="30FEBA49">
            <w:pPr>
              <w:widowControl/>
              <w:jc w:val="right"/>
              <w:rPr>
                <w:rFonts w:ascii="Calibri" w:hAnsi="Calibri" w:cs="Calibri"/>
                <w:b/>
                <w:bCs/>
                <w:color w:val="000000"/>
                <w:sz w:val="16"/>
                <w:szCs w:val="16"/>
              </w:rPr>
            </w:pPr>
            <w:r>
              <w:rPr>
                <w:rFonts w:ascii="Calibri" w:hAnsi="Calibri" w:cs="Calibri"/>
                <w:b/>
                <w:bCs/>
                <w:color w:val="000000"/>
                <w:sz w:val="16"/>
                <w:szCs w:val="16"/>
              </w:rPr>
              <w:t>13,455</w:t>
            </w:r>
          </w:p>
        </w:tc>
        <w:tc>
          <w:tcPr>
            <w:tcW w:w="1169" w:type="dxa"/>
            <w:tcBorders>
              <w:top w:val="nil"/>
              <w:left w:val="nil"/>
              <w:bottom w:val="single" w:sz="8" w:space="0" w:color="000000"/>
              <w:right w:val="single" w:sz="8" w:space="0" w:color="000000"/>
            </w:tcBorders>
            <w:shd w:val="clear" w:color="000000" w:fill="DDEBF7"/>
            <w:vAlign w:val="center"/>
            <w:hideMark/>
          </w:tcPr>
          <w:p w:rsidR="00810EB4" w:rsidRPr="00A135B0" w:rsidP="00810EB4" w14:paraId="2CF3D93F" w14:textId="4671F996">
            <w:pPr>
              <w:widowControl/>
              <w:jc w:val="right"/>
              <w:rPr>
                <w:rFonts w:ascii="Calibri" w:hAnsi="Calibri" w:cs="Calibri"/>
                <w:b/>
                <w:bCs/>
                <w:color w:val="000000"/>
                <w:sz w:val="16"/>
                <w:szCs w:val="16"/>
              </w:rPr>
            </w:pPr>
            <w:r>
              <w:rPr>
                <w:rFonts w:ascii="Calibri" w:hAnsi="Calibri" w:cs="Calibri"/>
                <w:b/>
                <w:bCs/>
                <w:color w:val="000000"/>
                <w:sz w:val="16"/>
                <w:szCs w:val="16"/>
              </w:rPr>
              <w:t> </w:t>
            </w:r>
          </w:p>
        </w:tc>
        <w:tc>
          <w:tcPr>
            <w:tcW w:w="902" w:type="dxa"/>
            <w:tcBorders>
              <w:top w:val="nil"/>
              <w:left w:val="nil"/>
              <w:bottom w:val="single" w:sz="8" w:space="0" w:color="000000"/>
              <w:right w:val="single" w:sz="8" w:space="0" w:color="000000"/>
            </w:tcBorders>
            <w:shd w:val="clear" w:color="000000" w:fill="DDEBF7"/>
            <w:vAlign w:val="center"/>
            <w:hideMark/>
          </w:tcPr>
          <w:p w:rsidR="00810EB4" w:rsidRPr="00A135B0" w:rsidP="00810EB4" w14:paraId="21E22379" w14:textId="72BB1C66">
            <w:pPr>
              <w:widowControl/>
              <w:jc w:val="right"/>
              <w:rPr>
                <w:rFonts w:ascii="Calibri" w:hAnsi="Calibri" w:cs="Calibri"/>
                <w:b/>
                <w:bCs/>
                <w:color w:val="000000"/>
                <w:sz w:val="16"/>
                <w:szCs w:val="16"/>
              </w:rPr>
            </w:pPr>
            <w:r>
              <w:rPr>
                <w:rFonts w:ascii="Calibri" w:hAnsi="Calibri" w:cs="Calibri"/>
                <w:b/>
                <w:bCs/>
                <w:color w:val="000000"/>
                <w:sz w:val="16"/>
                <w:szCs w:val="16"/>
              </w:rPr>
              <w:t xml:space="preserve">$908,615 </w:t>
            </w:r>
          </w:p>
        </w:tc>
      </w:tr>
    </w:tbl>
    <w:p w:rsidR="00F3718D" w14:paraId="39527672" w14:textId="77777777">
      <w:pPr>
        <w:pBdr>
          <w:top w:val="nil"/>
          <w:left w:val="nil"/>
          <w:bottom w:val="nil"/>
          <w:right w:val="nil"/>
          <w:between w:val="nil"/>
        </w:pBdr>
        <w:spacing w:before="1"/>
        <w:rPr>
          <w:b/>
          <w:color w:val="000000"/>
        </w:rPr>
      </w:pPr>
    </w:p>
    <w:p w:rsidR="00CD7F1F" w14:paraId="2B96D473" w14:textId="3758505E">
      <w:pPr>
        <w:rPr>
          <w:b/>
        </w:rPr>
      </w:pPr>
      <w:r>
        <w:rPr>
          <w:b/>
          <w:color w:val="FF0000"/>
        </w:rPr>
        <w:t>*There are no capital costs associated with this information collection.</w:t>
      </w:r>
    </w:p>
    <w:p w:rsidR="00CD7F1F" w14:paraId="5460FBDE" w14:textId="77777777">
      <w:pPr>
        <w:pBdr>
          <w:top w:val="nil"/>
          <w:left w:val="nil"/>
          <w:bottom w:val="nil"/>
          <w:right w:val="nil"/>
          <w:between w:val="nil"/>
        </w:pBdr>
        <w:spacing w:before="7"/>
        <w:rPr>
          <w:b/>
          <w:color w:val="000000"/>
        </w:rPr>
      </w:pPr>
    </w:p>
    <w:p w:rsidR="00CD7F1F" w14:paraId="27AB676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w:t>
      </w:r>
      <w:r>
        <w:rPr>
          <w:b/>
          <w:color w:val="000000"/>
        </w:rPr>
        <w:t>the Federal government. Also, provide a description of the method used to estimate cost, which should include quantification of hours, operational expenses (such as equipment, overhead, printing, and support staff), and any other expense that would not hav</w:t>
      </w:r>
      <w:r>
        <w:rPr>
          <w:b/>
          <w:color w:val="000000"/>
        </w:rPr>
        <w:t>e been incurred without this collection of information.</w:t>
      </w:r>
    </w:p>
    <w:p w:rsidR="00CD7F1F" w14:paraId="75AB1955" w14:textId="77777777">
      <w:pPr>
        <w:pBdr>
          <w:top w:val="nil"/>
          <w:left w:val="nil"/>
          <w:bottom w:val="nil"/>
          <w:right w:val="nil"/>
          <w:between w:val="nil"/>
        </w:pBdr>
        <w:spacing w:before="9" w:after="1"/>
        <w:rPr>
          <w:b/>
          <w:color w:val="000000"/>
        </w:rPr>
      </w:pPr>
    </w:p>
    <w:p w:rsidR="000C201B" w14:paraId="3FF7CB30" w14:textId="2349F76E">
      <w:pPr>
        <w:pBdr>
          <w:top w:val="nil"/>
          <w:left w:val="nil"/>
          <w:bottom w:val="nil"/>
          <w:right w:val="nil"/>
          <w:between w:val="nil"/>
        </w:pBdr>
        <w:spacing w:before="9" w:after="1"/>
        <w:rPr>
          <w:color w:val="000000"/>
        </w:rPr>
      </w:pPr>
      <w:r>
        <w:rPr>
          <w:color w:val="000000"/>
        </w:rPr>
        <w:t xml:space="preserve">There are no costs to the Federal </w:t>
      </w:r>
      <w:r w:rsidR="0062413D">
        <w:rPr>
          <w:color w:val="000000"/>
        </w:rPr>
        <w:t>g</w:t>
      </w:r>
      <w:r>
        <w:rPr>
          <w:color w:val="000000"/>
        </w:rPr>
        <w:t>overnment associated with th</w:t>
      </w:r>
      <w:r w:rsidR="00F3718D">
        <w:rPr>
          <w:color w:val="000000"/>
        </w:rPr>
        <w:t>e administration of thi</w:t>
      </w:r>
      <w:r>
        <w:rPr>
          <w:color w:val="000000"/>
        </w:rPr>
        <w:t>s information collection.</w:t>
      </w:r>
    </w:p>
    <w:p w:rsidR="007E5F89" w14:paraId="52F5FAE0" w14:textId="77777777">
      <w:pPr>
        <w:pBdr>
          <w:top w:val="nil"/>
          <w:left w:val="nil"/>
          <w:bottom w:val="nil"/>
          <w:right w:val="nil"/>
          <w:between w:val="nil"/>
        </w:pBdr>
        <w:spacing w:before="9" w:after="1"/>
        <w:rPr>
          <w:color w:val="000000"/>
        </w:rPr>
        <w:sectPr w:rsidSect="007E5F89">
          <w:pgSz w:w="12240" w:h="15840"/>
          <w:pgMar w:top="1080" w:right="1200" w:bottom="1080" w:left="640" w:header="0" w:footer="1014" w:gutter="0"/>
          <w:cols w:space="720"/>
          <w:docGrid w:linePitch="326"/>
        </w:sectPr>
      </w:pPr>
    </w:p>
    <w:p w:rsidR="000C201B" w:rsidRPr="000C201B" w14:paraId="203ACD47" w14:textId="6163F68A">
      <w:pPr>
        <w:pBdr>
          <w:top w:val="nil"/>
          <w:left w:val="nil"/>
          <w:bottom w:val="nil"/>
          <w:right w:val="nil"/>
          <w:between w:val="nil"/>
        </w:pBdr>
        <w:spacing w:before="9" w:after="1"/>
        <w:rPr>
          <w:color w:val="000000"/>
        </w:rPr>
      </w:pPr>
    </w:p>
    <w:p w:rsidR="00CD7F1F" w14:paraId="0AE1D24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CD7F1F" w14:paraId="144D5540" w14:textId="77777777">
      <w:pPr>
        <w:pBdr>
          <w:top w:val="nil"/>
          <w:left w:val="nil"/>
          <w:bottom w:val="nil"/>
          <w:right w:val="nil"/>
          <w:between w:val="nil"/>
        </w:pBdr>
        <w:spacing w:before="7"/>
        <w:rPr>
          <w:b/>
          <w:color w:val="000000"/>
        </w:rPr>
      </w:pPr>
    </w:p>
    <w:p w:rsidR="00A135B0" w:rsidP="002260B2" w14:paraId="75CC2F18" w14:textId="77777777">
      <w:pPr>
        <w:widowControl/>
        <w:rPr>
          <w:b/>
          <w:color w:val="000000"/>
        </w:rPr>
      </w:pPr>
      <w:r>
        <w:t xml:space="preserve">Burden </w:t>
      </w:r>
      <w:r>
        <w:t>hours and cost estimates have been adjusted to reflect current numbers vessels in Atlantic HMS fisheries. Labor costs were not included in previous authorizations, but have been added for this renewal. Material costs were also adjusted as previous authoriz</w:t>
      </w:r>
      <w:r>
        <w:t>ations only estimated material costs on a per vessel basis, while this authorization re-estimated material costs on a per mark, or response, basis.</w:t>
      </w:r>
    </w:p>
    <w:p w:rsidR="00461DCE" w14:paraId="518F6FEF" w14:textId="13092883">
      <w:pPr>
        <w:rPr>
          <w:b/>
          <w:color w:val="000000"/>
        </w:rPr>
      </w:pPr>
    </w:p>
    <w:p w:rsidR="00F3718D" w:rsidP="00F3718D" w14:paraId="7C0E5F3A" w14:textId="4222F14A">
      <w:pPr>
        <w:pBdr>
          <w:top w:val="nil"/>
          <w:left w:val="nil"/>
          <w:bottom w:val="nil"/>
          <w:right w:val="nil"/>
          <w:between w:val="nil"/>
        </w:pBdr>
        <w:spacing w:before="1"/>
        <w:rPr>
          <w:b/>
          <w:color w:val="000000"/>
        </w:rPr>
      </w:pPr>
      <w:r>
        <w:rPr>
          <w:b/>
          <w:color w:val="000000"/>
        </w:rPr>
        <w:t>Table 3.</w:t>
      </w:r>
      <w:r w:rsidR="00A73BAD">
        <w:rPr>
          <w:b/>
          <w:color w:val="000000"/>
        </w:rPr>
        <w:t xml:space="preserve">  </w:t>
      </w:r>
      <w:r>
        <w:rPr>
          <w:b/>
          <w:color w:val="000000"/>
        </w:rPr>
        <w:t xml:space="preserve">Adjustments to the annual burden estimates associated with the </w:t>
      </w:r>
      <w:r>
        <w:rPr>
          <w:b/>
        </w:rPr>
        <w:t xml:space="preserve">annual application of vessel </w:t>
      </w:r>
      <w:r>
        <w:rPr>
          <w:b/>
        </w:rPr>
        <w:t>and gear marks in the Atlantic HMS commercial fishery.</w:t>
      </w:r>
      <w:r>
        <w:rPr>
          <w:b/>
          <w:color w:val="000000"/>
        </w:rPr>
        <w:t xml:space="preserve"> </w:t>
      </w:r>
    </w:p>
    <w:p w:rsidR="00F3718D" w14:paraId="4E681D0B" w14:textId="77777777">
      <w:pPr>
        <w:pBdr>
          <w:top w:val="nil"/>
          <w:left w:val="nil"/>
          <w:bottom w:val="nil"/>
          <w:right w:val="nil"/>
          <w:between w:val="nil"/>
        </w:pBdr>
        <w:spacing w:before="7"/>
        <w:rPr>
          <w:b/>
          <w:color w:val="000000"/>
        </w:rPr>
      </w:pPr>
    </w:p>
    <w:tbl>
      <w:tblPr>
        <w:tblW w:w="13490" w:type="dxa"/>
        <w:tblLook w:val="04A0"/>
      </w:tblPr>
      <w:tblGrid>
        <w:gridCol w:w="2114"/>
        <w:gridCol w:w="896"/>
        <w:gridCol w:w="1071"/>
        <w:gridCol w:w="943"/>
        <w:gridCol w:w="901"/>
        <w:gridCol w:w="990"/>
        <w:gridCol w:w="995"/>
        <w:gridCol w:w="5580"/>
      </w:tblGrid>
      <w:tr w14:paraId="2C1C961C" w14:textId="77777777" w:rsidTr="007E5F89">
        <w:tblPrEx>
          <w:tblW w:w="13490" w:type="dxa"/>
          <w:tblLook w:val="04A0"/>
        </w:tblPrEx>
        <w:trPr>
          <w:trHeight w:val="315"/>
        </w:trPr>
        <w:tc>
          <w:tcPr>
            <w:tcW w:w="2114" w:type="dxa"/>
            <w:vMerge w:val="restart"/>
            <w:tcBorders>
              <w:top w:val="single" w:sz="8" w:space="0" w:color="000000"/>
              <w:left w:val="single" w:sz="8" w:space="0" w:color="000000"/>
              <w:bottom w:val="single" w:sz="8" w:space="0" w:color="000000"/>
              <w:right w:val="single" w:sz="8" w:space="0" w:color="000000"/>
            </w:tcBorders>
            <w:shd w:val="clear" w:color="000000" w:fill="5B9BD5"/>
            <w:vAlign w:val="center"/>
            <w:hideMark/>
          </w:tcPr>
          <w:p w:rsidR="00F3718D" w:rsidRPr="00F3718D" w:rsidP="00F3718D" w14:paraId="0B2F1B45"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Information Collection</w:t>
            </w:r>
          </w:p>
        </w:tc>
        <w:tc>
          <w:tcPr>
            <w:tcW w:w="1967" w:type="dxa"/>
            <w:gridSpan w:val="2"/>
            <w:tcBorders>
              <w:top w:val="single" w:sz="8" w:space="0" w:color="000000"/>
              <w:left w:val="nil"/>
              <w:bottom w:val="single" w:sz="8" w:space="0" w:color="000000"/>
              <w:right w:val="single" w:sz="8" w:space="0" w:color="000000"/>
            </w:tcBorders>
            <w:shd w:val="clear" w:color="000000" w:fill="5B9BD5"/>
            <w:vAlign w:val="center"/>
            <w:hideMark/>
          </w:tcPr>
          <w:p w:rsidR="00F3718D" w:rsidRPr="00F3718D" w:rsidP="00F3718D" w14:paraId="2935EB9A"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Respondents</w:t>
            </w:r>
          </w:p>
        </w:tc>
        <w:tc>
          <w:tcPr>
            <w:tcW w:w="1844" w:type="dxa"/>
            <w:gridSpan w:val="2"/>
            <w:tcBorders>
              <w:top w:val="single" w:sz="8" w:space="0" w:color="000000"/>
              <w:left w:val="nil"/>
              <w:bottom w:val="single" w:sz="8" w:space="0" w:color="000000"/>
              <w:right w:val="single" w:sz="8" w:space="0" w:color="000000"/>
            </w:tcBorders>
            <w:shd w:val="clear" w:color="000000" w:fill="5B9BD5"/>
            <w:vAlign w:val="center"/>
            <w:hideMark/>
          </w:tcPr>
          <w:p w:rsidR="00F3718D" w:rsidRPr="00F3718D" w:rsidP="00F3718D" w14:paraId="149C3C01"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Responses</w:t>
            </w:r>
          </w:p>
        </w:tc>
        <w:tc>
          <w:tcPr>
            <w:tcW w:w="1985" w:type="dxa"/>
            <w:gridSpan w:val="2"/>
            <w:tcBorders>
              <w:top w:val="single" w:sz="8" w:space="0" w:color="000000"/>
              <w:left w:val="nil"/>
              <w:bottom w:val="single" w:sz="8" w:space="0" w:color="000000"/>
              <w:right w:val="single" w:sz="8" w:space="0" w:color="000000"/>
            </w:tcBorders>
            <w:shd w:val="clear" w:color="000000" w:fill="5B9BD5"/>
            <w:vAlign w:val="center"/>
            <w:hideMark/>
          </w:tcPr>
          <w:p w:rsidR="00F3718D" w:rsidRPr="00F3718D" w:rsidP="00F3718D" w14:paraId="48B6A9A9"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Burden Hours</w:t>
            </w:r>
          </w:p>
        </w:tc>
        <w:tc>
          <w:tcPr>
            <w:tcW w:w="5580" w:type="dxa"/>
            <w:vMerge w:val="restart"/>
            <w:tcBorders>
              <w:top w:val="single" w:sz="8" w:space="0" w:color="000000"/>
              <w:left w:val="single" w:sz="8" w:space="0" w:color="000000"/>
              <w:bottom w:val="single" w:sz="8" w:space="0" w:color="000000"/>
              <w:right w:val="single" w:sz="8" w:space="0" w:color="000000"/>
            </w:tcBorders>
            <w:shd w:val="clear" w:color="000000" w:fill="5B9BD5"/>
            <w:vAlign w:val="center"/>
            <w:hideMark/>
          </w:tcPr>
          <w:p w:rsidR="00F3718D" w:rsidRPr="00F3718D" w:rsidP="00F3718D" w14:paraId="2297942F"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Reason for change or adjustment</w:t>
            </w:r>
          </w:p>
        </w:tc>
      </w:tr>
      <w:tr w14:paraId="7C011762" w14:textId="77777777" w:rsidTr="007E5F89">
        <w:tblPrEx>
          <w:tblW w:w="13490" w:type="dxa"/>
          <w:tblLook w:val="04A0"/>
        </w:tblPrEx>
        <w:trPr>
          <w:trHeight w:val="690"/>
        </w:trPr>
        <w:tc>
          <w:tcPr>
            <w:tcW w:w="2114" w:type="dxa"/>
            <w:vMerge/>
            <w:tcBorders>
              <w:top w:val="single" w:sz="8" w:space="0" w:color="000000"/>
              <w:left w:val="single" w:sz="8" w:space="0" w:color="000000"/>
              <w:bottom w:val="single" w:sz="8" w:space="0" w:color="000000"/>
              <w:right w:val="single" w:sz="8" w:space="0" w:color="000000"/>
            </w:tcBorders>
            <w:vAlign w:val="center"/>
            <w:hideMark/>
          </w:tcPr>
          <w:p w:rsidR="00F3718D" w:rsidRPr="00F3718D" w:rsidP="00F3718D" w14:paraId="5FB76B24" w14:textId="77777777">
            <w:pPr>
              <w:widowControl/>
              <w:rPr>
                <w:rFonts w:ascii="Calibri" w:hAnsi="Calibri" w:cs="Calibri"/>
                <w:b/>
                <w:bCs/>
                <w:color w:val="000000"/>
                <w:sz w:val="16"/>
                <w:szCs w:val="16"/>
              </w:rPr>
            </w:pPr>
          </w:p>
        </w:tc>
        <w:tc>
          <w:tcPr>
            <w:tcW w:w="896" w:type="dxa"/>
            <w:tcBorders>
              <w:top w:val="nil"/>
              <w:left w:val="nil"/>
              <w:bottom w:val="single" w:sz="8" w:space="0" w:color="000000"/>
              <w:right w:val="dashed" w:sz="8" w:space="0" w:color="000000"/>
            </w:tcBorders>
            <w:shd w:val="clear" w:color="000000" w:fill="FBE4D5"/>
            <w:vAlign w:val="center"/>
            <w:hideMark/>
          </w:tcPr>
          <w:p w:rsidR="00F3718D" w:rsidRPr="00F3718D" w:rsidP="00F3718D" w14:paraId="1A961C0C"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 Renewal / Revision</w:t>
            </w:r>
          </w:p>
        </w:tc>
        <w:tc>
          <w:tcPr>
            <w:tcW w:w="1071" w:type="dxa"/>
            <w:tcBorders>
              <w:top w:val="nil"/>
              <w:left w:val="nil"/>
              <w:bottom w:val="single" w:sz="8" w:space="0" w:color="000000"/>
              <w:right w:val="single" w:sz="8" w:space="0" w:color="000000"/>
            </w:tcBorders>
            <w:shd w:val="clear" w:color="000000" w:fill="FBE4D5"/>
            <w:vAlign w:val="center"/>
            <w:hideMark/>
          </w:tcPr>
          <w:p w:rsidR="00F3718D" w:rsidRPr="00F3718D" w:rsidP="00F3718D" w14:paraId="0BBEB548" w14:textId="77777777">
            <w:pPr>
              <w:widowControl/>
              <w:jc w:val="center"/>
              <w:rPr>
                <w:rFonts w:ascii="Calibri" w:hAnsi="Calibri" w:cs="Calibri"/>
                <w:color w:val="000000"/>
                <w:sz w:val="16"/>
                <w:szCs w:val="16"/>
              </w:rPr>
            </w:pPr>
            <w:r w:rsidRPr="00F3718D">
              <w:rPr>
                <w:rFonts w:ascii="Calibri" w:hAnsi="Calibri" w:cs="Calibri"/>
                <w:color w:val="000000"/>
                <w:sz w:val="16"/>
                <w:szCs w:val="16"/>
              </w:rPr>
              <w:t>Previous Renewal / Revision</w:t>
            </w:r>
          </w:p>
        </w:tc>
        <w:tc>
          <w:tcPr>
            <w:tcW w:w="943" w:type="dxa"/>
            <w:tcBorders>
              <w:top w:val="nil"/>
              <w:left w:val="nil"/>
              <w:bottom w:val="single" w:sz="8" w:space="0" w:color="000000"/>
              <w:right w:val="dashed" w:sz="8" w:space="0" w:color="000000"/>
            </w:tcBorders>
            <w:shd w:val="clear" w:color="000000" w:fill="FBE4D5"/>
            <w:vAlign w:val="center"/>
            <w:hideMark/>
          </w:tcPr>
          <w:p w:rsidR="00F3718D" w:rsidRPr="00F3718D" w:rsidP="00F3718D" w14:paraId="2E3D321F"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 Renewal / Revision</w:t>
            </w:r>
          </w:p>
        </w:tc>
        <w:tc>
          <w:tcPr>
            <w:tcW w:w="901" w:type="dxa"/>
            <w:tcBorders>
              <w:top w:val="nil"/>
              <w:left w:val="nil"/>
              <w:bottom w:val="single" w:sz="8" w:space="0" w:color="000000"/>
              <w:right w:val="single" w:sz="8" w:space="0" w:color="000000"/>
            </w:tcBorders>
            <w:shd w:val="clear" w:color="000000" w:fill="FBE4D5"/>
            <w:vAlign w:val="center"/>
            <w:hideMark/>
          </w:tcPr>
          <w:p w:rsidR="00F3718D" w:rsidRPr="00F3718D" w:rsidP="00F3718D" w14:paraId="7CB8941E" w14:textId="77777777">
            <w:pPr>
              <w:widowControl/>
              <w:jc w:val="center"/>
              <w:rPr>
                <w:rFonts w:ascii="Calibri" w:hAnsi="Calibri" w:cs="Calibri"/>
                <w:color w:val="000000"/>
                <w:sz w:val="16"/>
                <w:szCs w:val="16"/>
              </w:rPr>
            </w:pPr>
            <w:r w:rsidRPr="00F3718D">
              <w:rPr>
                <w:rFonts w:ascii="Calibri" w:hAnsi="Calibri" w:cs="Calibri"/>
                <w:color w:val="000000"/>
                <w:sz w:val="16"/>
                <w:szCs w:val="16"/>
              </w:rPr>
              <w:t xml:space="preserve">Previous Renewal / </w:t>
            </w:r>
            <w:r w:rsidRPr="00F3718D">
              <w:rPr>
                <w:rFonts w:ascii="Calibri" w:hAnsi="Calibri" w:cs="Calibri"/>
                <w:color w:val="000000"/>
                <w:sz w:val="16"/>
                <w:szCs w:val="16"/>
              </w:rPr>
              <w:t>Revision</w:t>
            </w:r>
          </w:p>
        </w:tc>
        <w:tc>
          <w:tcPr>
            <w:tcW w:w="990" w:type="dxa"/>
            <w:tcBorders>
              <w:top w:val="nil"/>
              <w:left w:val="nil"/>
              <w:bottom w:val="single" w:sz="8" w:space="0" w:color="000000"/>
              <w:right w:val="dashed" w:sz="8" w:space="0" w:color="000000"/>
            </w:tcBorders>
            <w:shd w:val="clear" w:color="000000" w:fill="FBE4D5"/>
            <w:vAlign w:val="center"/>
            <w:hideMark/>
          </w:tcPr>
          <w:p w:rsidR="00F3718D" w:rsidRPr="00F3718D" w:rsidP="00F3718D" w14:paraId="50174054"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 Renewal / Revision</w:t>
            </w:r>
          </w:p>
        </w:tc>
        <w:tc>
          <w:tcPr>
            <w:tcW w:w="995" w:type="dxa"/>
            <w:tcBorders>
              <w:top w:val="nil"/>
              <w:left w:val="nil"/>
              <w:bottom w:val="single" w:sz="8" w:space="0" w:color="000000"/>
              <w:right w:val="single" w:sz="8" w:space="0" w:color="000000"/>
            </w:tcBorders>
            <w:shd w:val="clear" w:color="000000" w:fill="FBE4D5"/>
            <w:vAlign w:val="center"/>
            <w:hideMark/>
          </w:tcPr>
          <w:p w:rsidR="00F3718D" w:rsidRPr="00F3718D" w:rsidP="00F3718D" w14:paraId="270BB30E" w14:textId="77777777">
            <w:pPr>
              <w:widowControl/>
              <w:jc w:val="center"/>
              <w:rPr>
                <w:rFonts w:ascii="Calibri" w:hAnsi="Calibri" w:cs="Calibri"/>
                <w:color w:val="000000"/>
                <w:sz w:val="16"/>
                <w:szCs w:val="16"/>
              </w:rPr>
            </w:pPr>
            <w:r w:rsidRPr="00F3718D">
              <w:rPr>
                <w:rFonts w:ascii="Calibri" w:hAnsi="Calibri" w:cs="Calibri"/>
                <w:color w:val="000000"/>
                <w:sz w:val="16"/>
                <w:szCs w:val="16"/>
              </w:rPr>
              <w:t>Previous Renewal / Revision</w:t>
            </w:r>
          </w:p>
        </w:tc>
        <w:tc>
          <w:tcPr>
            <w:tcW w:w="5580" w:type="dxa"/>
            <w:vMerge/>
            <w:tcBorders>
              <w:top w:val="single" w:sz="8" w:space="0" w:color="000000"/>
              <w:left w:val="single" w:sz="8" w:space="0" w:color="000000"/>
              <w:bottom w:val="single" w:sz="8" w:space="0" w:color="000000"/>
              <w:right w:val="single" w:sz="8" w:space="0" w:color="000000"/>
            </w:tcBorders>
            <w:vAlign w:val="center"/>
            <w:hideMark/>
          </w:tcPr>
          <w:p w:rsidR="00F3718D" w:rsidRPr="00F3718D" w:rsidP="00F3718D" w14:paraId="06E0E014" w14:textId="77777777">
            <w:pPr>
              <w:widowControl/>
              <w:rPr>
                <w:rFonts w:ascii="Calibri" w:hAnsi="Calibri" w:cs="Calibri"/>
                <w:b/>
                <w:bCs/>
                <w:color w:val="000000"/>
                <w:sz w:val="16"/>
                <w:szCs w:val="16"/>
              </w:rPr>
            </w:pPr>
          </w:p>
        </w:tc>
      </w:tr>
      <w:tr w14:paraId="25F13AD1" w14:textId="77777777" w:rsidTr="007E5F89">
        <w:tblPrEx>
          <w:tblW w:w="13490" w:type="dxa"/>
          <w:tblLook w:val="04A0"/>
        </w:tblPrEx>
        <w:trPr>
          <w:trHeight w:val="382"/>
        </w:trPr>
        <w:tc>
          <w:tcPr>
            <w:tcW w:w="2114"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50EB0CAD" w14:textId="77777777">
            <w:pPr>
              <w:widowControl/>
              <w:rPr>
                <w:rFonts w:ascii="Calibri" w:hAnsi="Calibri" w:cs="Calibri"/>
                <w:color w:val="000000"/>
                <w:sz w:val="16"/>
                <w:szCs w:val="16"/>
              </w:rPr>
            </w:pPr>
            <w:r w:rsidRPr="00F3718D">
              <w:rPr>
                <w:rFonts w:ascii="Calibri" w:hAnsi="Calibri" w:cs="Calibri"/>
                <w:color w:val="000000"/>
                <w:sz w:val="16"/>
                <w:szCs w:val="16"/>
              </w:rPr>
              <w:t>Vessel registration numbers</w:t>
            </w:r>
          </w:p>
        </w:tc>
        <w:tc>
          <w:tcPr>
            <w:tcW w:w="896" w:type="dxa"/>
            <w:tcBorders>
              <w:top w:val="nil"/>
              <w:left w:val="nil"/>
              <w:bottom w:val="dotted" w:sz="4" w:space="0" w:color="000000"/>
              <w:right w:val="dashed" w:sz="8" w:space="0" w:color="000000"/>
            </w:tcBorders>
            <w:shd w:val="clear" w:color="auto" w:fill="auto"/>
            <w:vAlign w:val="center"/>
            <w:hideMark/>
          </w:tcPr>
          <w:p w:rsidR="00BB3BC1" w:rsidP="00BB3BC1" w14:paraId="64522F46" w14:textId="1DC79D3C">
            <w:pPr>
              <w:jc w:val="center"/>
              <w:rPr>
                <w:rFonts w:ascii="Calibri" w:hAnsi="Calibri" w:cs="Calibri"/>
                <w:color w:val="000000"/>
                <w:sz w:val="16"/>
                <w:szCs w:val="16"/>
              </w:rPr>
            </w:pPr>
            <w:r>
              <w:rPr>
                <w:rFonts w:ascii="Calibri" w:hAnsi="Calibri" w:cs="Calibri"/>
                <w:color w:val="000000"/>
                <w:sz w:val="16"/>
                <w:szCs w:val="16"/>
              </w:rPr>
              <w:t>6,146</w:t>
            </w:r>
          </w:p>
        </w:tc>
        <w:tc>
          <w:tcPr>
            <w:tcW w:w="1071" w:type="dxa"/>
            <w:tcBorders>
              <w:top w:val="nil"/>
              <w:left w:val="nil"/>
              <w:bottom w:val="dotted" w:sz="4" w:space="0" w:color="000000"/>
              <w:right w:val="single" w:sz="8" w:space="0" w:color="000000"/>
            </w:tcBorders>
            <w:shd w:val="clear" w:color="auto" w:fill="auto"/>
            <w:vAlign w:val="center"/>
            <w:hideMark/>
          </w:tcPr>
          <w:p w:rsidR="00BB3BC1" w:rsidP="00BB3BC1" w14:paraId="3FEC75E2" w14:textId="0FD04ADC">
            <w:pPr>
              <w:jc w:val="center"/>
              <w:rPr>
                <w:rFonts w:ascii="Calibri" w:hAnsi="Calibri" w:cs="Calibri"/>
                <w:color w:val="000000"/>
                <w:sz w:val="16"/>
                <w:szCs w:val="16"/>
              </w:rPr>
            </w:pPr>
            <w:r>
              <w:rPr>
                <w:rFonts w:ascii="Calibri" w:hAnsi="Calibri" w:cs="Calibri"/>
                <w:color w:val="000000"/>
                <w:sz w:val="16"/>
                <w:szCs w:val="16"/>
              </w:rPr>
              <w:t>4,212</w:t>
            </w:r>
          </w:p>
        </w:tc>
        <w:tc>
          <w:tcPr>
            <w:tcW w:w="943" w:type="dxa"/>
            <w:tcBorders>
              <w:top w:val="nil"/>
              <w:left w:val="nil"/>
              <w:bottom w:val="dotted" w:sz="4" w:space="0" w:color="000000"/>
              <w:right w:val="dashed" w:sz="8" w:space="0" w:color="000000"/>
            </w:tcBorders>
            <w:shd w:val="clear" w:color="auto" w:fill="auto"/>
            <w:vAlign w:val="center"/>
            <w:hideMark/>
          </w:tcPr>
          <w:p w:rsidR="00BB3BC1" w:rsidP="00BB3BC1" w14:paraId="6D7336B1" w14:textId="2C3271D8">
            <w:pPr>
              <w:jc w:val="center"/>
              <w:rPr>
                <w:rFonts w:ascii="Calibri" w:hAnsi="Calibri" w:cs="Calibri"/>
                <w:color w:val="000000"/>
                <w:sz w:val="16"/>
                <w:szCs w:val="16"/>
              </w:rPr>
            </w:pPr>
            <w:r>
              <w:rPr>
                <w:rFonts w:ascii="Calibri" w:hAnsi="Calibri" w:cs="Calibri"/>
                <w:color w:val="000000"/>
                <w:sz w:val="16"/>
                <w:szCs w:val="16"/>
              </w:rPr>
              <w:t>6,146</w:t>
            </w:r>
          </w:p>
        </w:tc>
        <w:tc>
          <w:tcPr>
            <w:tcW w:w="901" w:type="dxa"/>
            <w:tcBorders>
              <w:top w:val="nil"/>
              <w:left w:val="nil"/>
              <w:bottom w:val="dotted" w:sz="4" w:space="0" w:color="000000"/>
              <w:right w:val="single" w:sz="8" w:space="0" w:color="000000"/>
            </w:tcBorders>
            <w:shd w:val="clear" w:color="auto" w:fill="auto"/>
            <w:vAlign w:val="center"/>
            <w:hideMark/>
          </w:tcPr>
          <w:p w:rsidR="00BB3BC1" w:rsidP="00BB3BC1" w14:paraId="78060B19" w14:textId="6FF7C3B7">
            <w:pPr>
              <w:jc w:val="center"/>
              <w:rPr>
                <w:rFonts w:ascii="Calibri" w:hAnsi="Calibri" w:cs="Calibri"/>
                <w:color w:val="000000"/>
                <w:sz w:val="16"/>
                <w:szCs w:val="16"/>
              </w:rPr>
            </w:pPr>
            <w:r>
              <w:rPr>
                <w:rFonts w:ascii="Calibri" w:hAnsi="Calibri" w:cs="Calibri"/>
                <w:color w:val="000000"/>
                <w:sz w:val="16"/>
                <w:szCs w:val="16"/>
              </w:rPr>
              <w:t>4,212</w:t>
            </w:r>
          </w:p>
        </w:tc>
        <w:tc>
          <w:tcPr>
            <w:tcW w:w="990" w:type="dxa"/>
            <w:tcBorders>
              <w:top w:val="nil"/>
              <w:left w:val="nil"/>
              <w:bottom w:val="dotted" w:sz="4" w:space="0" w:color="000000"/>
              <w:right w:val="dashed" w:sz="8" w:space="0" w:color="000000"/>
            </w:tcBorders>
            <w:shd w:val="clear" w:color="auto" w:fill="auto"/>
            <w:vAlign w:val="center"/>
            <w:hideMark/>
          </w:tcPr>
          <w:p w:rsidR="00BB3BC1" w:rsidP="00BB3BC1" w14:paraId="1AE4C661" w14:textId="47F63DFF">
            <w:pPr>
              <w:jc w:val="center"/>
              <w:rPr>
                <w:rFonts w:ascii="Calibri" w:hAnsi="Calibri" w:cs="Calibri"/>
                <w:color w:val="000000"/>
                <w:sz w:val="16"/>
                <w:szCs w:val="16"/>
              </w:rPr>
            </w:pPr>
            <w:r>
              <w:rPr>
                <w:rFonts w:ascii="Calibri" w:hAnsi="Calibri" w:cs="Calibri"/>
                <w:color w:val="000000"/>
                <w:sz w:val="16"/>
                <w:szCs w:val="16"/>
              </w:rPr>
              <w:t>4,610</w:t>
            </w:r>
          </w:p>
        </w:tc>
        <w:tc>
          <w:tcPr>
            <w:tcW w:w="995" w:type="dxa"/>
            <w:tcBorders>
              <w:top w:val="nil"/>
              <w:left w:val="nil"/>
              <w:bottom w:val="dotted" w:sz="4" w:space="0" w:color="000000"/>
              <w:right w:val="single" w:sz="8" w:space="0" w:color="000000"/>
            </w:tcBorders>
            <w:shd w:val="clear" w:color="auto" w:fill="auto"/>
            <w:vAlign w:val="center"/>
            <w:hideMark/>
          </w:tcPr>
          <w:p w:rsidR="00BB3BC1" w:rsidP="00BB3BC1" w14:paraId="559B3A4C" w14:textId="6053A484">
            <w:pPr>
              <w:jc w:val="center"/>
              <w:rPr>
                <w:rFonts w:ascii="Calibri" w:hAnsi="Calibri" w:cs="Calibri"/>
                <w:color w:val="000000"/>
                <w:sz w:val="16"/>
                <w:szCs w:val="16"/>
              </w:rPr>
            </w:pPr>
            <w:r>
              <w:rPr>
                <w:rFonts w:ascii="Calibri" w:hAnsi="Calibri" w:cs="Calibri"/>
                <w:color w:val="000000"/>
                <w:sz w:val="16"/>
                <w:szCs w:val="16"/>
              </w:rPr>
              <w:t>3,159</w:t>
            </w:r>
          </w:p>
        </w:tc>
        <w:tc>
          <w:tcPr>
            <w:tcW w:w="5580" w:type="dxa"/>
            <w:tcBorders>
              <w:top w:val="nil"/>
              <w:left w:val="nil"/>
              <w:bottom w:val="dotted" w:sz="4" w:space="0" w:color="000000"/>
              <w:right w:val="single" w:sz="8" w:space="0" w:color="000000"/>
            </w:tcBorders>
            <w:shd w:val="clear" w:color="auto" w:fill="auto"/>
            <w:vAlign w:val="center"/>
            <w:hideMark/>
          </w:tcPr>
          <w:p w:rsidR="00BB3BC1" w:rsidRPr="00F3718D" w:rsidP="00BB3BC1" w14:paraId="3F186541" w14:textId="0D520B69">
            <w:pPr>
              <w:widowControl/>
              <w:rPr>
                <w:rFonts w:ascii="Calibri" w:hAnsi="Calibri" w:cs="Calibri"/>
                <w:color w:val="000000"/>
                <w:sz w:val="16"/>
                <w:szCs w:val="16"/>
              </w:rPr>
            </w:pPr>
            <w:r>
              <w:rPr>
                <w:rFonts w:ascii="Calibri" w:hAnsi="Calibri" w:cs="Calibri"/>
                <w:color w:val="000000"/>
                <w:sz w:val="16"/>
                <w:szCs w:val="16"/>
              </w:rPr>
              <w:t>Adjustment in number of permit holders</w:t>
            </w:r>
          </w:p>
        </w:tc>
      </w:tr>
      <w:tr w14:paraId="41B1F689" w14:textId="77777777" w:rsidTr="007E5F89">
        <w:tblPrEx>
          <w:tblW w:w="13490" w:type="dxa"/>
          <w:tblLook w:val="04A0"/>
        </w:tblPrEx>
        <w:trPr>
          <w:trHeight w:val="355"/>
        </w:trPr>
        <w:tc>
          <w:tcPr>
            <w:tcW w:w="2114"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326A335A" w14:textId="77777777">
            <w:pPr>
              <w:widowControl/>
              <w:rPr>
                <w:rFonts w:ascii="Calibri" w:hAnsi="Calibri" w:cs="Calibri"/>
                <w:color w:val="000000"/>
                <w:sz w:val="16"/>
                <w:szCs w:val="16"/>
              </w:rPr>
            </w:pPr>
            <w:r w:rsidRPr="00F3718D">
              <w:rPr>
                <w:rFonts w:ascii="Calibri" w:hAnsi="Calibri" w:cs="Calibri"/>
                <w:color w:val="000000"/>
                <w:sz w:val="16"/>
                <w:szCs w:val="16"/>
              </w:rPr>
              <w:t>Handling and harpoon buoys</w:t>
            </w:r>
          </w:p>
        </w:tc>
        <w:tc>
          <w:tcPr>
            <w:tcW w:w="896" w:type="dxa"/>
            <w:tcBorders>
              <w:top w:val="nil"/>
              <w:left w:val="nil"/>
              <w:bottom w:val="dotted" w:sz="4" w:space="0" w:color="000000"/>
              <w:right w:val="dashed" w:sz="8" w:space="0" w:color="000000"/>
            </w:tcBorders>
            <w:shd w:val="clear" w:color="auto" w:fill="auto"/>
            <w:vAlign w:val="center"/>
            <w:hideMark/>
          </w:tcPr>
          <w:p w:rsidR="00BB3BC1" w:rsidP="00BB3BC1" w14:paraId="2F40CBDA" w14:textId="6A9EEE5F">
            <w:pPr>
              <w:jc w:val="center"/>
              <w:rPr>
                <w:rFonts w:ascii="Calibri" w:hAnsi="Calibri" w:cs="Calibri"/>
                <w:color w:val="000000"/>
                <w:sz w:val="16"/>
                <w:szCs w:val="16"/>
              </w:rPr>
            </w:pPr>
            <w:r>
              <w:rPr>
                <w:rFonts w:ascii="Calibri" w:hAnsi="Calibri" w:cs="Calibri"/>
                <w:color w:val="000000"/>
                <w:sz w:val="16"/>
                <w:szCs w:val="16"/>
              </w:rPr>
              <w:t>109</w:t>
            </w:r>
          </w:p>
        </w:tc>
        <w:tc>
          <w:tcPr>
            <w:tcW w:w="1071" w:type="dxa"/>
            <w:tcBorders>
              <w:top w:val="nil"/>
              <w:left w:val="nil"/>
              <w:bottom w:val="dotted" w:sz="4" w:space="0" w:color="000000"/>
              <w:right w:val="single" w:sz="8" w:space="0" w:color="000000"/>
            </w:tcBorders>
            <w:shd w:val="clear" w:color="auto" w:fill="auto"/>
            <w:vAlign w:val="center"/>
            <w:hideMark/>
          </w:tcPr>
          <w:p w:rsidR="00BB3BC1" w:rsidP="00BB3BC1" w14:paraId="63D940F6" w14:textId="18804130">
            <w:pPr>
              <w:jc w:val="center"/>
              <w:rPr>
                <w:rFonts w:ascii="Calibri" w:hAnsi="Calibri" w:cs="Calibri"/>
                <w:color w:val="000000"/>
                <w:sz w:val="16"/>
                <w:szCs w:val="16"/>
              </w:rPr>
            </w:pPr>
            <w:r>
              <w:rPr>
                <w:rFonts w:ascii="Calibri" w:hAnsi="Calibri" w:cs="Calibri"/>
                <w:color w:val="000000"/>
                <w:sz w:val="16"/>
                <w:szCs w:val="16"/>
              </w:rPr>
              <w:t>134</w:t>
            </w:r>
          </w:p>
        </w:tc>
        <w:tc>
          <w:tcPr>
            <w:tcW w:w="943" w:type="dxa"/>
            <w:tcBorders>
              <w:top w:val="nil"/>
              <w:left w:val="nil"/>
              <w:bottom w:val="dotted" w:sz="4" w:space="0" w:color="000000"/>
              <w:right w:val="dashed" w:sz="8" w:space="0" w:color="000000"/>
            </w:tcBorders>
            <w:shd w:val="clear" w:color="auto" w:fill="auto"/>
            <w:vAlign w:val="center"/>
            <w:hideMark/>
          </w:tcPr>
          <w:p w:rsidR="00BB3BC1" w:rsidP="00BB3BC1" w14:paraId="209E043F" w14:textId="530867A0">
            <w:pPr>
              <w:jc w:val="center"/>
              <w:rPr>
                <w:rFonts w:ascii="Calibri" w:hAnsi="Calibri" w:cs="Calibri"/>
                <w:color w:val="000000"/>
                <w:sz w:val="16"/>
                <w:szCs w:val="16"/>
              </w:rPr>
            </w:pPr>
            <w:r>
              <w:rPr>
                <w:rFonts w:ascii="Calibri" w:hAnsi="Calibri" w:cs="Calibri"/>
                <w:color w:val="000000"/>
                <w:sz w:val="16"/>
                <w:szCs w:val="16"/>
              </w:rPr>
              <w:t>545</w:t>
            </w:r>
          </w:p>
        </w:tc>
        <w:tc>
          <w:tcPr>
            <w:tcW w:w="901" w:type="dxa"/>
            <w:tcBorders>
              <w:top w:val="nil"/>
              <w:left w:val="nil"/>
              <w:bottom w:val="dotted" w:sz="4" w:space="0" w:color="000000"/>
              <w:right w:val="single" w:sz="8" w:space="0" w:color="000000"/>
            </w:tcBorders>
            <w:shd w:val="clear" w:color="auto" w:fill="auto"/>
            <w:vAlign w:val="center"/>
            <w:hideMark/>
          </w:tcPr>
          <w:p w:rsidR="00BB3BC1" w:rsidP="00BB3BC1" w14:paraId="6915A76C" w14:textId="2D93DAE3">
            <w:pPr>
              <w:jc w:val="center"/>
              <w:rPr>
                <w:rFonts w:ascii="Calibri" w:hAnsi="Calibri" w:cs="Calibri"/>
                <w:color w:val="000000"/>
                <w:sz w:val="16"/>
                <w:szCs w:val="16"/>
              </w:rPr>
            </w:pPr>
            <w:r>
              <w:rPr>
                <w:rFonts w:ascii="Calibri" w:hAnsi="Calibri" w:cs="Calibri"/>
                <w:color w:val="000000"/>
                <w:sz w:val="16"/>
                <w:szCs w:val="16"/>
              </w:rPr>
              <w:t>670</w:t>
            </w:r>
          </w:p>
        </w:tc>
        <w:tc>
          <w:tcPr>
            <w:tcW w:w="990" w:type="dxa"/>
            <w:tcBorders>
              <w:top w:val="nil"/>
              <w:left w:val="nil"/>
              <w:bottom w:val="dotted" w:sz="4" w:space="0" w:color="000000"/>
              <w:right w:val="dashed" w:sz="8" w:space="0" w:color="000000"/>
            </w:tcBorders>
            <w:shd w:val="clear" w:color="auto" w:fill="auto"/>
            <w:vAlign w:val="center"/>
            <w:hideMark/>
          </w:tcPr>
          <w:p w:rsidR="00BB3BC1" w:rsidP="00BB3BC1" w14:paraId="7EC4BF76" w14:textId="0491AF3D">
            <w:pPr>
              <w:jc w:val="center"/>
              <w:rPr>
                <w:rFonts w:ascii="Calibri" w:hAnsi="Calibri" w:cs="Calibri"/>
                <w:color w:val="000000"/>
                <w:sz w:val="16"/>
                <w:szCs w:val="16"/>
              </w:rPr>
            </w:pPr>
            <w:r>
              <w:rPr>
                <w:rFonts w:ascii="Calibri" w:hAnsi="Calibri" w:cs="Calibri"/>
                <w:color w:val="000000"/>
                <w:sz w:val="16"/>
                <w:szCs w:val="16"/>
              </w:rPr>
              <w:t>136</w:t>
            </w:r>
          </w:p>
        </w:tc>
        <w:tc>
          <w:tcPr>
            <w:tcW w:w="995" w:type="dxa"/>
            <w:tcBorders>
              <w:top w:val="nil"/>
              <w:left w:val="nil"/>
              <w:bottom w:val="dotted" w:sz="4" w:space="0" w:color="000000"/>
              <w:right w:val="single" w:sz="8" w:space="0" w:color="000000"/>
            </w:tcBorders>
            <w:shd w:val="clear" w:color="auto" w:fill="auto"/>
            <w:vAlign w:val="center"/>
            <w:hideMark/>
          </w:tcPr>
          <w:p w:rsidR="00BB3BC1" w:rsidP="00BB3BC1" w14:paraId="5CF1FAEA" w14:textId="671AAF4C">
            <w:pPr>
              <w:jc w:val="center"/>
              <w:rPr>
                <w:rFonts w:ascii="Calibri" w:hAnsi="Calibri" w:cs="Calibri"/>
                <w:color w:val="000000"/>
                <w:sz w:val="16"/>
                <w:szCs w:val="16"/>
              </w:rPr>
            </w:pPr>
            <w:r>
              <w:rPr>
                <w:rFonts w:ascii="Calibri" w:hAnsi="Calibri" w:cs="Calibri"/>
                <w:color w:val="000000"/>
                <w:sz w:val="16"/>
                <w:szCs w:val="16"/>
              </w:rPr>
              <w:t>168</w:t>
            </w:r>
          </w:p>
        </w:tc>
        <w:tc>
          <w:tcPr>
            <w:tcW w:w="5580" w:type="dxa"/>
            <w:tcBorders>
              <w:top w:val="nil"/>
              <w:left w:val="nil"/>
              <w:bottom w:val="dotted" w:sz="4" w:space="0" w:color="000000"/>
              <w:right w:val="single" w:sz="8" w:space="0" w:color="000000"/>
            </w:tcBorders>
            <w:shd w:val="clear" w:color="auto" w:fill="auto"/>
            <w:vAlign w:val="center"/>
            <w:hideMark/>
          </w:tcPr>
          <w:p w:rsidR="00BB3BC1" w:rsidRPr="00F3718D" w:rsidP="00BB3BC1" w14:paraId="4A33D652" w14:textId="464E445C">
            <w:pPr>
              <w:widowControl/>
              <w:rPr>
                <w:rFonts w:ascii="Calibri" w:hAnsi="Calibri" w:cs="Calibri"/>
                <w:color w:val="000000"/>
                <w:sz w:val="16"/>
                <w:szCs w:val="16"/>
              </w:rPr>
            </w:pPr>
            <w:r>
              <w:rPr>
                <w:rFonts w:ascii="Calibri" w:hAnsi="Calibri" w:cs="Calibri"/>
                <w:color w:val="000000"/>
                <w:sz w:val="16"/>
                <w:szCs w:val="16"/>
              </w:rPr>
              <w:t xml:space="preserve">Adjustment in number of permit </w:t>
            </w:r>
            <w:r>
              <w:rPr>
                <w:rFonts w:ascii="Calibri" w:hAnsi="Calibri" w:cs="Calibri"/>
                <w:color w:val="000000"/>
                <w:sz w:val="16"/>
                <w:szCs w:val="16"/>
              </w:rPr>
              <w:t>holders</w:t>
            </w:r>
          </w:p>
        </w:tc>
      </w:tr>
      <w:tr w14:paraId="3827F0EE" w14:textId="77777777" w:rsidTr="007E5F89">
        <w:tblPrEx>
          <w:tblW w:w="13490" w:type="dxa"/>
          <w:tblLook w:val="04A0"/>
        </w:tblPrEx>
        <w:trPr>
          <w:trHeight w:val="517"/>
        </w:trPr>
        <w:tc>
          <w:tcPr>
            <w:tcW w:w="2114"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634BAB14" w14:textId="77777777">
            <w:pPr>
              <w:widowControl/>
              <w:rPr>
                <w:rFonts w:ascii="Calibri" w:hAnsi="Calibri" w:cs="Calibri"/>
                <w:color w:val="000000"/>
                <w:sz w:val="16"/>
                <w:szCs w:val="16"/>
              </w:rPr>
            </w:pPr>
            <w:r w:rsidRPr="00F3718D">
              <w:rPr>
                <w:rFonts w:ascii="Calibri" w:hAnsi="Calibri" w:cs="Calibri"/>
                <w:color w:val="000000"/>
                <w:sz w:val="16"/>
                <w:szCs w:val="16"/>
              </w:rPr>
              <w:t>Pelagic longline high-fliers and floats</w:t>
            </w:r>
          </w:p>
        </w:tc>
        <w:tc>
          <w:tcPr>
            <w:tcW w:w="896" w:type="dxa"/>
            <w:tcBorders>
              <w:top w:val="nil"/>
              <w:left w:val="nil"/>
              <w:bottom w:val="dotted" w:sz="4" w:space="0" w:color="000000"/>
              <w:right w:val="dashed" w:sz="8" w:space="0" w:color="000000"/>
            </w:tcBorders>
            <w:shd w:val="clear" w:color="auto" w:fill="auto"/>
            <w:vAlign w:val="center"/>
            <w:hideMark/>
          </w:tcPr>
          <w:p w:rsidR="00BB3BC1" w:rsidP="00BB3BC1" w14:paraId="68EEF8C7" w14:textId="2077ED2F">
            <w:pPr>
              <w:jc w:val="center"/>
              <w:rPr>
                <w:rFonts w:ascii="Calibri" w:hAnsi="Calibri" w:cs="Calibri"/>
                <w:color w:val="000000"/>
                <w:sz w:val="16"/>
                <w:szCs w:val="16"/>
              </w:rPr>
            </w:pPr>
            <w:r>
              <w:rPr>
                <w:rFonts w:ascii="Calibri" w:hAnsi="Calibri" w:cs="Calibri"/>
                <w:color w:val="000000"/>
                <w:sz w:val="16"/>
                <w:szCs w:val="16"/>
              </w:rPr>
              <w:t>102</w:t>
            </w:r>
          </w:p>
        </w:tc>
        <w:tc>
          <w:tcPr>
            <w:tcW w:w="1071" w:type="dxa"/>
            <w:tcBorders>
              <w:top w:val="nil"/>
              <w:left w:val="nil"/>
              <w:bottom w:val="dotted" w:sz="4" w:space="0" w:color="000000"/>
              <w:right w:val="single" w:sz="8" w:space="0" w:color="000000"/>
            </w:tcBorders>
            <w:shd w:val="clear" w:color="auto" w:fill="auto"/>
            <w:vAlign w:val="center"/>
            <w:hideMark/>
          </w:tcPr>
          <w:p w:rsidR="00BB3BC1" w:rsidP="00BB3BC1" w14:paraId="32CAD451" w14:textId="3F611752">
            <w:pPr>
              <w:jc w:val="center"/>
              <w:rPr>
                <w:rFonts w:ascii="Calibri" w:hAnsi="Calibri" w:cs="Calibri"/>
                <w:color w:val="000000"/>
                <w:sz w:val="16"/>
                <w:szCs w:val="16"/>
              </w:rPr>
            </w:pPr>
            <w:r>
              <w:rPr>
                <w:rFonts w:ascii="Calibri" w:hAnsi="Calibri" w:cs="Calibri"/>
                <w:color w:val="000000"/>
                <w:sz w:val="16"/>
                <w:szCs w:val="16"/>
              </w:rPr>
              <w:t>248</w:t>
            </w:r>
          </w:p>
        </w:tc>
        <w:tc>
          <w:tcPr>
            <w:tcW w:w="943" w:type="dxa"/>
            <w:tcBorders>
              <w:top w:val="nil"/>
              <w:left w:val="nil"/>
              <w:bottom w:val="dotted" w:sz="4" w:space="0" w:color="000000"/>
              <w:right w:val="dashed" w:sz="8" w:space="0" w:color="000000"/>
            </w:tcBorders>
            <w:shd w:val="clear" w:color="auto" w:fill="auto"/>
            <w:vAlign w:val="center"/>
            <w:hideMark/>
          </w:tcPr>
          <w:p w:rsidR="00BB3BC1" w:rsidP="00BB3BC1" w14:paraId="2A400217" w14:textId="46B4CEEC">
            <w:pPr>
              <w:jc w:val="center"/>
              <w:rPr>
                <w:rFonts w:ascii="Calibri" w:hAnsi="Calibri" w:cs="Calibri"/>
                <w:color w:val="000000"/>
                <w:sz w:val="16"/>
                <w:szCs w:val="16"/>
              </w:rPr>
            </w:pPr>
            <w:r>
              <w:rPr>
                <w:rFonts w:ascii="Calibri" w:hAnsi="Calibri" w:cs="Calibri"/>
                <w:color w:val="000000"/>
                <w:sz w:val="16"/>
                <w:szCs w:val="16"/>
              </w:rPr>
              <w:t>1,020</w:t>
            </w:r>
          </w:p>
        </w:tc>
        <w:tc>
          <w:tcPr>
            <w:tcW w:w="901" w:type="dxa"/>
            <w:tcBorders>
              <w:top w:val="nil"/>
              <w:left w:val="nil"/>
              <w:bottom w:val="dotted" w:sz="4" w:space="0" w:color="000000"/>
              <w:right w:val="single" w:sz="8" w:space="0" w:color="000000"/>
            </w:tcBorders>
            <w:shd w:val="clear" w:color="auto" w:fill="auto"/>
            <w:vAlign w:val="center"/>
            <w:hideMark/>
          </w:tcPr>
          <w:p w:rsidR="00BB3BC1" w:rsidP="00BB3BC1" w14:paraId="749CFDF3" w14:textId="5541590F">
            <w:pPr>
              <w:jc w:val="center"/>
              <w:rPr>
                <w:rFonts w:ascii="Calibri" w:hAnsi="Calibri" w:cs="Calibri"/>
                <w:color w:val="000000"/>
                <w:sz w:val="16"/>
                <w:szCs w:val="16"/>
              </w:rPr>
            </w:pPr>
            <w:r>
              <w:rPr>
                <w:rFonts w:ascii="Calibri" w:hAnsi="Calibri" w:cs="Calibri"/>
                <w:color w:val="000000"/>
                <w:sz w:val="16"/>
                <w:szCs w:val="16"/>
              </w:rPr>
              <w:t>2,480</w:t>
            </w:r>
          </w:p>
        </w:tc>
        <w:tc>
          <w:tcPr>
            <w:tcW w:w="990" w:type="dxa"/>
            <w:tcBorders>
              <w:top w:val="nil"/>
              <w:left w:val="nil"/>
              <w:bottom w:val="dotted" w:sz="4" w:space="0" w:color="000000"/>
              <w:right w:val="dashed" w:sz="8" w:space="0" w:color="000000"/>
            </w:tcBorders>
            <w:shd w:val="clear" w:color="auto" w:fill="auto"/>
            <w:vAlign w:val="center"/>
            <w:hideMark/>
          </w:tcPr>
          <w:p w:rsidR="00BB3BC1" w:rsidP="00BB3BC1" w14:paraId="45C74C10" w14:textId="42176C86">
            <w:pPr>
              <w:jc w:val="center"/>
              <w:rPr>
                <w:rFonts w:ascii="Calibri" w:hAnsi="Calibri" w:cs="Calibri"/>
                <w:color w:val="000000"/>
                <w:sz w:val="16"/>
                <w:szCs w:val="16"/>
              </w:rPr>
            </w:pPr>
            <w:r>
              <w:rPr>
                <w:rFonts w:ascii="Calibri" w:hAnsi="Calibri" w:cs="Calibri"/>
                <w:color w:val="000000"/>
                <w:sz w:val="16"/>
                <w:szCs w:val="16"/>
              </w:rPr>
              <w:t>255</w:t>
            </w:r>
          </w:p>
        </w:tc>
        <w:tc>
          <w:tcPr>
            <w:tcW w:w="995" w:type="dxa"/>
            <w:tcBorders>
              <w:top w:val="nil"/>
              <w:left w:val="nil"/>
              <w:bottom w:val="dotted" w:sz="4" w:space="0" w:color="000000"/>
              <w:right w:val="single" w:sz="8" w:space="0" w:color="000000"/>
            </w:tcBorders>
            <w:shd w:val="clear" w:color="auto" w:fill="auto"/>
            <w:vAlign w:val="center"/>
            <w:hideMark/>
          </w:tcPr>
          <w:p w:rsidR="00BB3BC1" w:rsidP="00BB3BC1" w14:paraId="09BDD42A" w14:textId="1A2F5D26">
            <w:pPr>
              <w:jc w:val="center"/>
              <w:rPr>
                <w:rFonts w:ascii="Calibri" w:hAnsi="Calibri" w:cs="Calibri"/>
                <w:color w:val="000000"/>
                <w:sz w:val="16"/>
                <w:szCs w:val="16"/>
              </w:rPr>
            </w:pPr>
            <w:r>
              <w:rPr>
                <w:rFonts w:ascii="Calibri" w:hAnsi="Calibri" w:cs="Calibri"/>
                <w:color w:val="000000"/>
                <w:sz w:val="16"/>
                <w:szCs w:val="16"/>
              </w:rPr>
              <w:t>620</w:t>
            </w:r>
          </w:p>
        </w:tc>
        <w:tc>
          <w:tcPr>
            <w:tcW w:w="5580" w:type="dxa"/>
            <w:tcBorders>
              <w:top w:val="nil"/>
              <w:left w:val="nil"/>
              <w:bottom w:val="dotted" w:sz="4" w:space="0" w:color="000000"/>
              <w:right w:val="single" w:sz="8" w:space="0" w:color="000000"/>
            </w:tcBorders>
            <w:shd w:val="clear" w:color="auto" w:fill="auto"/>
            <w:vAlign w:val="center"/>
            <w:hideMark/>
          </w:tcPr>
          <w:p w:rsidR="00BB3BC1" w:rsidRPr="00F3718D" w:rsidP="00BB3BC1" w14:paraId="5280F446" w14:textId="18C22D9F">
            <w:pPr>
              <w:widowControl/>
              <w:rPr>
                <w:rFonts w:ascii="Calibri" w:hAnsi="Calibri" w:cs="Calibri"/>
                <w:color w:val="000000"/>
                <w:sz w:val="16"/>
                <w:szCs w:val="16"/>
              </w:rPr>
            </w:pPr>
            <w:r>
              <w:rPr>
                <w:rFonts w:ascii="Calibri" w:hAnsi="Calibri" w:cs="Calibri"/>
                <w:color w:val="000000"/>
                <w:sz w:val="16"/>
                <w:szCs w:val="16"/>
              </w:rPr>
              <w:t>Adjustment in number of permit holders</w:t>
            </w:r>
          </w:p>
        </w:tc>
      </w:tr>
      <w:tr w14:paraId="0BB73E03" w14:textId="77777777" w:rsidTr="007E5F89">
        <w:tblPrEx>
          <w:tblW w:w="13490" w:type="dxa"/>
          <w:tblLook w:val="04A0"/>
        </w:tblPrEx>
        <w:trPr>
          <w:trHeight w:val="337"/>
        </w:trPr>
        <w:tc>
          <w:tcPr>
            <w:tcW w:w="2114"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6F52A995" w14:textId="77777777">
            <w:pPr>
              <w:widowControl/>
              <w:rPr>
                <w:rFonts w:ascii="Calibri" w:hAnsi="Calibri" w:cs="Calibri"/>
                <w:color w:val="000000"/>
                <w:sz w:val="16"/>
                <w:szCs w:val="16"/>
              </w:rPr>
            </w:pPr>
            <w:r w:rsidRPr="00F3718D">
              <w:rPr>
                <w:rFonts w:ascii="Calibri" w:hAnsi="Calibri" w:cs="Calibri"/>
                <w:color w:val="000000"/>
                <w:sz w:val="16"/>
                <w:szCs w:val="16"/>
              </w:rPr>
              <w:t>Bottom longline floats</w:t>
            </w:r>
          </w:p>
        </w:tc>
        <w:tc>
          <w:tcPr>
            <w:tcW w:w="896" w:type="dxa"/>
            <w:tcBorders>
              <w:top w:val="nil"/>
              <w:left w:val="nil"/>
              <w:bottom w:val="dotted" w:sz="4" w:space="0" w:color="000000"/>
              <w:right w:val="dashed" w:sz="8" w:space="0" w:color="000000"/>
            </w:tcBorders>
            <w:shd w:val="clear" w:color="auto" w:fill="auto"/>
            <w:vAlign w:val="center"/>
            <w:hideMark/>
          </w:tcPr>
          <w:p w:rsidR="00BB3BC1" w:rsidP="00BB3BC1" w14:paraId="5140B223" w14:textId="418F1BC8">
            <w:pPr>
              <w:jc w:val="center"/>
              <w:rPr>
                <w:rFonts w:ascii="Calibri" w:hAnsi="Calibri" w:cs="Calibri"/>
                <w:color w:val="000000"/>
                <w:sz w:val="16"/>
                <w:szCs w:val="16"/>
              </w:rPr>
            </w:pPr>
            <w:r>
              <w:rPr>
                <w:rFonts w:ascii="Calibri" w:hAnsi="Calibri" w:cs="Calibri"/>
                <w:color w:val="000000"/>
                <w:sz w:val="16"/>
                <w:szCs w:val="16"/>
              </w:rPr>
              <w:t>15</w:t>
            </w:r>
          </w:p>
        </w:tc>
        <w:tc>
          <w:tcPr>
            <w:tcW w:w="1071" w:type="dxa"/>
            <w:tcBorders>
              <w:top w:val="nil"/>
              <w:left w:val="nil"/>
              <w:bottom w:val="dotted" w:sz="4" w:space="0" w:color="000000"/>
              <w:right w:val="single" w:sz="8" w:space="0" w:color="000000"/>
            </w:tcBorders>
            <w:shd w:val="clear" w:color="auto" w:fill="auto"/>
            <w:vAlign w:val="center"/>
            <w:hideMark/>
          </w:tcPr>
          <w:p w:rsidR="00BB3BC1" w:rsidP="00BB3BC1" w14:paraId="39FED00B" w14:textId="19BDDB78">
            <w:pPr>
              <w:jc w:val="center"/>
              <w:rPr>
                <w:rFonts w:ascii="Calibri" w:hAnsi="Calibri" w:cs="Calibri"/>
                <w:color w:val="000000"/>
                <w:sz w:val="16"/>
                <w:szCs w:val="16"/>
              </w:rPr>
            </w:pPr>
            <w:r>
              <w:rPr>
                <w:rFonts w:ascii="Calibri" w:hAnsi="Calibri" w:cs="Calibri"/>
                <w:color w:val="000000"/>
                <w:sz w:val="16"/>
                <w:szCs w:val="16"/>
              </w:rPr>
              <w:t>25</w:t>
            </w:r>
          </w:p>
        </w:tc>
        <w:tc>
          <w:tcPr>
            <w:tcW w:w="943" w:type="dxa"/>
            <w:tcBorders>
              <w:top w:val="nil"/>
              <w:left w:val="nil"/>
              <w:bottom w:val="dotted" w:sz="4" w:space="0" w:color="000000"/>
              <w:right w:val="dashed" w:sz="8" w:space="0" w:color="000000"/>
            </w:tcBorders>
            <w:shd w:val="clear" w:color="auto" w:fill="auto"/>
            <w:vAlign w:val="center"/>
            <w:hideMark/>
          </w:tcPr>
          <w:p w:rsidR="00BB3BC1" w:rsidP="00BB3BC1" w14:paraId="7F7FFBFA" w14:textId="481A53C8">
            <w:pPr>
              <w:jc w:val="center"/>
              <w:rPr>
                <w:rFonts w:ascii="Calibri" w:hAnsi="Calibri" w:cs="Calibri"/>
                <w:color w:val="000000"/>
                <w:sz w:val="16"/>
                <w:szCs w:val="16"/>
              </w:rPr>
            </w:pPr>
            <w:r>
              <w:rPr>
                <w:rFonts w:ascii="Calibri" w:hAnsi="Calibri" w:cs="Calibri"/>
                <w:color w:val="000000"/>
                <w:sz w:val="16"/>
                <w:szCs w:val="16"/>
              </w:rPr>
              <w:t>30</w:t>
            </w:r>
          </w:p>
        </w:tc>
        <w:tc>
          <w:tcPr>
            <w:tcW w:w="901" w:type="dxa"/>
            <w:tcBorders>
              <w:top w:val="nil"/>
              <w:left w:val="nil"/>
              <w:bottom w:val="dotted" w:sz="4" w:space="0" w:color="000000"/>
              <w:right w:val="single" w:sz="8" w:space="0" w:color="000000"/>
            </w:tcBorders>
            <w:shd w:val="clear" w:color="auto" w:fill="auto"/>
            <w:vAlign w:val="center"/>
            <w:hideMark/>
          </w:tcPr>
          <w:p w:rsidR="00BB3BC1" w:rsidP="00BB3BC1" w14:paraId="6BF298AF" w14:textId="4D7052F2">
            <w:pPr>
              <w:jc w:val="center"/>
              <w:rPr>
                <w:rFonts w:ascii="Calibri" w:hAnsi="Calibri" w:cs="Calibri"/>
                <w:color w:val="000000"/>
                <w:sz w:val="16"/>
                <w:szCs w:val="16"/>
              </w:rPr>
            </w:pPr>
            <w:r>
              <w:rPr>
                <w:rFonts w:ascii="Calibri" w:hAnsi="Calibri" w:cs="Calibri"/>
                <w:color w:val="000000"/>
                <w:sz w:val="16"/>
                <w:szCs w:val="16"/>
              </w:rPr>
              <w:t>50</w:t>
            </w:r>
          </w:p>
        </w:tc>
        <w:tc>
          <w:tcPr>
            <w:tcW w:w="990" w:type="dxa"/>
            <w:tcBorders>
              <w:top w:val="nil"/>
              <w:left w:val="nil"/>
              <w:bottom w:val="dotted" w:sz="4" w:space="0" w:color="000000"/>
              <w:right w:val="dashed" w:sz="8" w:space="0" w:color="000000"/>
            </w:tcBorders>
            <w:shd w:val="clear" w:color="auto" w:fill="auto"/>
            <w:vAlign w:val="center"/>
            <w:hideMark/>
          </w:tcPr>
          <w:p w:rsidR="00BB3BC1" w:rsidP="00BB3BC1" w14:paraId="54D85CF2" w14:textId="307C4C98">
            <w:pPr>
              <w:jc w:val="center"/>
              <w:rPr>
                <w:rFonts w:ascii="Calibri" w:hAnsi="Calibri" w:cs="Calibri"/>
                <w:color w:val="000000"/>
                <w:sz w:val="16"/>
                <w:szCs w:val="16"/>
              </w:rPr>
            </w:pPr>
            <w:r>
              <w:rPr>
                <w:rFonts w:ascii="Calibri" w:hAnsi="Calibri" w:cs="Calibri"/>
                <w:color w:val="000000"/>
                <w:sz w:val="16"/>
                <w:szCs w:val="16"/>
              </w:rPr>
              <w:t>8</w:t>
            </w:r>
          </w:p>
        </w:tc>
        <w:tc>
          <w:tcPr>
            <w:tcW w:w="995" w:type="dxa"/>
            <w:tcBorders>
              <w:top w:val="nil"/>
              <w:left w:val="nil"/>
              <w:bottom w:val="dotted" w:sz="4" w:space="0" w:color="000000"/>
              <w:right w:val="single" w:sz="8" w:space="0" w:color="000000"/>
            </w:tcBorders>
            <w:shd w:val="clear" w:color="auto" w:fill="auto"/>
            <w:vAlign w:val="center"/>
            <w:hideMark/>
          </w:tcPr>
          <w:p w:rsidR="00BB3BC1" w:rsidP="00BB3BC1" w14:paraId="0B7294FF" w14:textId="4821D693">
            <w:pPr>
              <w:jc w:val="center"/>
              <w:rPr>
                <w:rFonts w:ascii="Calibri" w:hAnsi="Calibri" w:cs="Calibri"/>
                <w:color w:val="000000"/>
                <w:sz w:val="16"/>
                <w:szCs w:val="16"/>
              </w:rPr>
            </w:pPr>
            <w:r>
              <w:rPr>
                <w:rFonts w:ascii="Calibri" w:hAnsi="Calibri" w:cs="Calibri"/>
                <w:color w:val="000000"/>
                <w:sz w:val="16"/>
                <w:szCs w:val="16"/>
              </w:rPr>
              <w:t>13</w:t>
            </w:r>
          </w:p>
        </w:tc>
        <w:tc>
          <w:tcPr>
            <w:tcW w:w="5580" w:type="dxa"/>
            <w:tcBorders>
              <w:top w:val="nil"/>
              <w:left w:val="nil"/>
              <w:bottom w:val="dotted" w:sz="4" w:space="0" w:color="000000"/>
              <w:right w:val="single" w:sz="8" w:space="0" w:color="000000"/>
            </w:tcBorders>
            <w:shd w:val="clear" w:color="auto" w:fill="auto"/>
            <w:vAlign w:val="center"/>
            <w:hideMark/>
          </w:tcPr>
          <w:p w:rsidR="00BB3BC1" w:rsidRPr="00F3718D" w:rsidP="00BB3BC1" w14:paraId="45CAAF63" w14:textId="69893848">
            <w:pPr>
              <w:widowControl/>
              <w:rPr>
                <w:rFonts w:ascii="Calibri" w:hAnsi="Calibri" w:cs="Calibri"/>
                <w:color w:val="000000"/>
                <w:sz w:val="16"/>
                <w:szCs w:val="16"/>
              </w:rPr>
            </w:pPr>
            <w:r>
              <w:rPr>
                <w:rFonts w:ascii="Calibri" w:hAnsi="Calibri" w:cs="Calibri"/>
                <w:color w:val="000000"/>
                <w:sz w:val="16"/>
                <w:szCs w:val="16"/>
              </w:rPr>
              <w:t>Adjustment in number of permit holders</w:t>
            </w:r>
          </w:p>
        </w:tc>
      </w:tr>
      <w:tr w14:paraId="16AB24EA" w14:textId="77777777" w:rsidTr="007E5F89">
        <w:tblPrEx>
          <w:tblW w:w="13490" w:type="dxa"/>
          <w:tblLook w:val="04A0"/>
        </w:tblPrEx>
        <w:trPr>
          <w:trHeight w:val="427"/>
        </w:trPr>
        <w:tc>
          <w:tcPr>
            <w:tcW w:w="2114"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0FD2B2CA" w14:textId="559115DB">
            <w:pPr>
              <w:widowControl/>
              <w:rPr>
                <w:rFonts w:ascii="Calibri" w:hAnsi="Calibri" w:cs="Calibri"/>
                <w:color w:val="000000"/>
                <w:sz w:val="16"/>
                <w:szCs w:val="16"/>
              </w:rPr>
            </w:pPr>
            <w:r w:rsidRPr="00F3718D">
              <w:rPr>
                <w:rFonts w:ascii="Calibri" w:hAnsi="Calibri" w:cs="Calibri"/>
                <w:color w:val="000000"/>
                <w:sz w:val="16"/>
                <w:szCs w:val="16"/>
              </w:rPr>
              <w:t>Swordfish buoy gear</w:t>
            </w:r>
          </w:p>
        </w:tc>
        <w:tc>
          <w:tcPr>
            <w:tcW w:w="896" w:type="dxa"/>
            <w:tcBorders>
              <w:top w:val="nil"/>
              <w:left w:val="nil"/>
              <w:bottom w:val="dotted" w:sz="4" w:space="0" w:color="000000"/>
              <w:right w:val="dashed" w:sz="8" w:space="0" w:color="000000"/>
            </w:tcBorders>
            <w:shd w:val="clear" w:color="auto" w:fill="auto"/>
            <w:vAlign w:val="center"/>
            <w:hideMark/>
          </w:tcPr>
          <w:p w:rsidR="00BB3BC1" w:rsidP="00BB3BC1" w14:paraId="21219D9E" w14:textId="6CD30079">
            <w:pPr>
              <w:jc w:val="center"/>
              <w:rPr>
                <w:rFonts w:ascii="Calibri" w:hAnsi="Calibri" w:cs="Calibri"/>
                <w:color w:val="000000"/>
                <w:sz w:val="16"/>
                <w:szCs w:val="16"/>
              </w:rPr>
            </w:pPr>
            <w:r>
              <w:rPr>
                <w:rFonts w:ascii="Calibri" w:hAnsi="Calibri" w:cs="Calibri"/>
                <w:color w:val="000000"/>
                <w:sz w:val="16"/>
                <w:szCs w:val="16"/>
              </w:rPr>
              <w:t>86</w:t>
            </w:r>
          </w:p>
        </w:tc>
        <w:tc>
          <w:tcPr>
            <w:tcW w:w="1071" w:type="dxa"/>
            <w:tcBorders>
              <w:top w:val="nil"/>
              <w:left w:val="nil"/>
              <w:bottom w:val="dotted" w:sz="4" w:space="0" w:color="000000"/>
              <w:right w:val="single" w:sz="8" w:space="0" w:color="000000"/>
            </w:tcBorders>
            <w:shd w:val="clear" w:color="auto" w:fill="auto"/>
            <w:vAlign w:val="center"/>
            <w:hideMark/>
          </w:tcPr>
          <w:p w:rsidR="00BB3BC1" w:rsidP="00BB3BC1" w14:paraId="21A86CA6" w14:textId="49E335A1">
            <w:pPr>
              <w:jc w:val="center"/>
              <w:rPr>
                <w:rFonts w:ascii="Calibri" w:hAnsi="Calibri" w:cs="Calibri"/>
                <w:color w:val="000000"/>
                <w:sz w:val="16"/>
                <w:szCs w:val="16"/>
              </w:rPr>
            </w:pPr>
            <w:r>
              <w:rPr>
                <w:rFonts w:ascii="Calibri" w:hAnsi="Calibri" w:cs="Calibri"/>
                <w:color w:val="000000"/>
                <w:sz w:val="16"/>
                <w:szCs w:val="16"/>
              </w:rPr>
              <w:t>81</w:t>
            </w:r>
          </w:p>
        </w:tc>
        <w:tc>
          <w:tcPr>
            <w:tcW w:w="943" w:type="dxa"/>
            <w:tcBorders>
              <w:top w:val="nil"/>
              <w:left w:val="nil"/>
              <w:bottom w:val="dotted" w:sz="4" w:space="0" w:color="000000"/>
              <w:right w:val="dashed" w:sz="8" w:space="0" w:color="000000"/>
            </w:tcBorders>
            <w:shd w:val="clear" w:color="auto" w:fill="auto"/>
            <w:vAlign w:val="center"/>
            <w:hideMark/>
          </w:tcPr>
          <w:p w:rsidR="00BB3BC1" w:rsidP="00BB3BC1" w14:paraId="555CE343" w14:textId="408E9E2C">
            <w:pPr>
              <w:jc w:val="center"/>
              <w:rPr>
                <w:rFonts w:ascii="Calibri" w:hAnsi="Calibri" w:cs="Calibri"/>
                <w:color w:val="000000"/>
                <w:sz w:val="16"/>
                <w:szCs w:val="16"/>
              </w:rPr>
            </w:pPr>
            <w:r>
              <w:rPr>
                <w:rFonts w:ascii="Calibri" w:hAnsi="Calibri" w:cs="Calibri"/>
                <w:color w:val="000000"/>
                <w:sz w:val="16"/>
                <w:szCs w:val="16"/>
              </w:rPr>
              <w:t>3,010</w:t>
            </w:r>
          </w:p>
        </w:tc>
        <w:tc>
          <w:tcPr>
            <w:tcW w:w="901" w:type="dxa"/>
            <w:tcBorders>
              <w:top w:val="nil"/>
              <w:left w:val="nil"/>
              <w:bottom w:val="dotted" w:sz="4" w:space="0" w:color="000000"/>
              <w:right w:val="single" w:sz="8" w:space="0" w:color="000000"/>
            </w:tcBorders>
            <w:shd w:val="clear" w:color="auto" w:fill="auto"/>
            <w:vAlign w:val="center"/>
            <w:hideMark/>
          </w:tcPr>
          <w:p w:rsidR="00BB3BC1" w:rsidP="00BB3BC1" w14:paraId="67875BB4" w14:textId="2F6C194B">
            <w:pPr>
              <w:jc w:val="center"/>
              <w:rPr>
                <w:rFonts w:ascii="Calibri" w:hAnsi="Calibri" w:cs="Calibri"/>
                <w:color w:val="000000"/>
                <w:sz w:val="16"/>
                <w:szCs w:val="16"/>
              </w:rPr>
            </w:pPr>
            <w:r>
              <w:rPr>
                <w:rFonts w:ascii="Calibri" w:hAnsi="Calibri" w:cs="Calibri"/>
                <w:color w:val="000000"/>
                <w:sz w:val="16"/>
                <w:szCs w:val="16"/>
              </w:rPr>
              <w:t>2,835</w:t>
            </w:r>
          </w:p>
        </w:tc>
        <w:tc>
          <w:tcPr>
            <w:tcW w:w="990" w:type="dxa"/>
            <w:tcBorders>
              <w:top w:val="nil"/>
              <w:left w:val="nil"/>
              <w:bottom w:val="dotted" w:sz="4" w:space="0" w:color="000000"/>
              <w:right w:val="dashed" w:sz="8" w:space="0" w:color="000000"/>
            </w:tcBorders>
            <w:shd w:val="clear" w:color="auto" w:fill="auto"/>
            <w:vAlign w:val="center"/>
            <w:hideMark/>
          </w:tcPr>
          <w:p w:rsidR="00BB3BC1" w:rsidP="00BB3BC1" w14:paraId="4ED5E47A" w14:textId="353374D3">
            <w:pPr>
              <w:jc w:val="center"/>
              <w:rPr>
                <w:rFonts w:ascii="Calibri" w:hAnsi="Calibri" w:cs="Calibri"/>
                <w:color w:val="000000"/>
                <w:sz w:val="16"/>
                <w:szCs w:val="16"/>
              </w:rPr>
            </w:pPr>
            <w:r>
              <w:rPr>
                <w:rFonts w:ascii="Calibri" w:hAnsi="Calibri" w:cs="Calibri"/>
                <w:color w:val="000000"/>
                <w:sz w:val="16"/>
                <w:szCs w:val="16"/>
              </w:rPr>
              <w:t>753</w:t>
            </w:r>
          </w:p>
        </w:tc>
        <w:tc>
          <w:tcPr>
            <w:tcW w:w="995" w:type="dxa"/>
            <w:tcBorders>
              <w:top w:val="nil"/>
              <w:left w:val="nil"/>
              <w:bottom w:val="dotted" w:sz="4" w:space="0" w:color="000000"/>
              <w:right w:val="single" w:sz="8" w:space="0" w:color="000000"/>
            </w:tcBorders>
            <w:shd w:val="clear" w:color="auto" w:fill="auto"/>
            <w:vAlign w:val="center"/>
            <w:hideMark/>
          </w:tcPr>
          <w:p w:rsidR="00BB3BC1" w:rsidP="00BB3BC1" w14:paraId="7EAAFF39" w14:textId="5F867D73">
            <w:pPr>
              <w:jc w:val="center"/>
              <w:rPr>
                <w:rFonts w:ascii="Calibri" w:hAnsi="Calibri" w:cs="Calibri"/>
                <w:color w:val="000000"/>
                <w:sz w:val="16"/>
                <w:szCs w:val="16"/>
              </w:rPr>
            </w:pPr>
            <w:r>
              <w:rPr>
                <w:rFonts w:ascii="Calibri" w:hAnsi="Calibri" w:cs="Calibri"/>
                <w:color w:val="000000"/>
                <w:sz w:val="16"/>
                <w:szCs w:val="16"/>
              </w:rPr>
              <w:t>709</w:t>
            </w:r>
          </w:p>
        </w:tc>
        <w:tc>
          <w:tcPr>
            <w:tcW w:w="5580" w:type="dxa"/>
            <w:tcBorders>
              <w:top w:val="nil"/>
              <w:left w:val="nil"/>
              <w:bottom w:val="dotted" w:sz="4" w:space="0" w:color="000000"/>
              <w:right w:val="single" w:sz="8" w:space="0" w:color="000000"/>
            </w:tcBorders>
            <w:shd w:val="clear" w:color="auto" w:fill="auto"/>
            <w:vAlign w:val="center"/>
            <w:hideMark/>
          </w:tcPr>
          <w:p w:rsidR="00BB3BC1" w:rsidRPr="00F3718D" w:rsidP="00BB3BC1" w14:paraId="010E24EC" w14:textId="798D0B04">
            <w:pPr>
              <w:widowControl/>
              <w:rPr>
                <w:rFonts w:ascii="Calibri" w:hAnsi="Calibri" w:cs="Calibri"/>
                <w:color w:val="000000"/>
                <w:sz w:val="16"/>
                <w:szCs w:val="16"/>
              </w:rPr>
            </w:pPr>
            <w:r>
              <w:rPr>
                <w:rFonts w:ascii="Calibri" w:hAnsi="Calibri" w:cs="Calibri"/>
                <w:color w:val="000000"/>
                <w:sz w:val="16"/>
                <w:szCs w:val="16"/>
              </w:rPr>
              <w:t>Adjustment in</w:t>
            </w:r>
            <w:r>
              <w:rPr>
                <w:rFonts w:ascii="Calibri" w:hAnsi="Calibri" w:cs="Calibri"/>
                <w:color w:val="000000"/>
                <w:sz w:val="16"/>
                <w:szCs w:val="16"/>
              </w:rPr>
              <w:t xml:space="preserve"> number of permit holders</w:t>
            </w:r>
          </w:p>
        </w:tc>
      </w:tr>
      <w:tr w14:paraId="559AEDEA" w14:textId="77777777" w:rsidTr="007E5F89">
        <w:tblPrEx>
          <w:tblW w:w="13490" w:type="dxa"/>
          <w:tblLook w:val="04A0"/>
        </w:tblPrEx>
        <w:trPr>
          <w:trHeight w:val="337"/>
        </w:trPr>
        <w:tc>
          <w:tcPr>
            <w:tcW w:w="2114"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3EB3DACF" w14:textId="77777777">
            <w:pPr>
              <w:widowControl/>
              <w:rPr>
                <w:rFonts w:ascii="Calibri" w:hAnsi="Calibri" w:cs="Calibri"/>
                <w:color w:val="000000"/>
                <w:sz w:val="16"/>
                <w:szCs w:val="16"/>
              </w:rPr>
            </w:pPr>
            <w:r w:rsidRPr="00F3718D">
              <w:rPr>
                <w:rFonts w:ascii="Calibri" w:hAnsi="Calibri" w:cs="Calibri"/>
                <w:color w:val="000000"/>
                <w:sz w:val="16"/>
                <w:szCs w:val="16"/>
              </w:rPr>
              <w:t>Gillnet floats</w:t>
            </w:r>
          </w:p>
        </w:tc>
        <w:tc>
          <w:tcPr>
            <w:tcW w:w="896" w:type="dxa"/>
            <w:tcBorders>
              <w:top w:val="nil"/>
              <w:left w:val="nil"/>
              <w:bottom w:val="dotted" w:sz="4" w:space="0" w:color="000000"/>
              <w:right w:val="dashed" w:sz="8" w:space="0" w:color="000000"/>
            </w:tcBorders>
            <w:shd w:val="clear" w:color="auto" w:fill="auto"/>
            <w:vAlign w:val="center"/>
            <w:hideMark/>
          </w:tcPr>
          <w:p w:rsidR="00BB3BC1" w:rsidP="00BB3BC1" w14:paraId="14DE0637" w14:textId="3941BB6F">
            <w:pPr>
              <w:jc w:val="center"/>
              <w:rPr>
                <w:rFonts w:ascii="Calibri" w:hAnsi="Calibri" w:cs="Calibri"/>
                <w:color w:val="000000"/>
                <w:sz w:val="16"/>
                <w:szCs w:val="16"/>
              </w:rPr>
            </w:pPr>
            <w:r>
              <w:rPr>
                <w:rFonts w:ascii="Calibri" w:hAnsi="Calibri" w:cs="Calibri"/>
                <w:color w:val="000000"/>
                <w:sz w:val="16"/>
                <w:szCs w:val="16"/>
              </w:rPr>
              <w:t>22</w:t>
            </w:r>
          </w:p>
        </w:tc>
        <w:tc>
          <w:tcPr>
            <w:tcW w:w="1071" w:type="dxa"/>
            <w:tcBorders>
              <w:top w:val="nil"/>
              <w:left w:val="nil"/>
              <w:bottom w:val="dotted" w:sz="4" w:space="0" w:color="000000"/>
              <w:right w:val="single" w:sz="8" w:space="0" w:color="000000"/>
            </w:tcBorders>
            <w:shd w:val="clear" w:color="auto" w:fill="auto"/>
            <w:vAlign w:val="center"/>
            <w:hideMark/>
          </w:tcPr>
          <w:p w:rsidR="00BB3BC1" w:rsidP="00BB3BC1" w14:paraId="24A12108" w14:textId="56129979">
            <w:pPr>
              <w:jc w:val="center"/>
              <w:rPr>
                <w:rFonts w:ascii="Calibri" w:hAnsi="Calibri" w:cs="Calibri"/>
                <w:color w:val="000000"/>
                <w:sz w:val="16"/>
                <w:szCs w:val="16"/>
              </w:rPr>
            </w:pPr>
            <w:r>
              <w:rPr>
                <w:rFonts w:ascii="Calibri" w:hAnsi="Calibri" w:cs="Calibri"/>
                <w:color w:val="000000"/>
                <w:sz w:val="16"/>
                <w:szCs w:val="16"/>
              </w:rPr>
              <w:t>35</w:t>
            </w:r>
          </w:p>
        </w:tc>
        <w:tc>
          <w:tcPr>
            <w:tcW w:w="943" w:type="dxa"/>
            <w:tcBorders>
              <w:top w:val="nil"/>
              <w:left w:val="nil"/>
              <w:bottom w:val="dotted" w:sz="4" w:space="0" w:color="000000"/>
              <w:right w:val="dashed" w:sz="8" w:space="0" w:color="000000"/>
            </w:tcBorders>
            <w:shd w:val="clear" w:color="auto" w:fill="auto"/>
            <w:vAlign w:val="center"/>
            <w:hideMark/>
          </w:tcPr>
          <w:p w:rsidR="00BB3BC1" w:rsidP="00BB3BC1" w14:paraId="547CFA75" w14:textId="04F01747">
            <w:pPr>
              <w:jc w:val="center"/>
              <w:rPr>
                <w:rFonts w:ascii="Calibri" w:hAnsi="Calibri" w:cs="Calibri"/>
                <w:color w:val="000000"/>
                <w:sz w:val="16"/>
                <w:szCs w:val="16"/>
              </w:rPr>
            </w:pPr>
            <w:r>
              <w:rPr>
                <w:rFonts w:ascii="Calibri" w:hAnsi="Calibri" w:cs="Calibri"/>
                <w:color w:val="000000"/>
                <w:sz w:val="16"/>
                <w:szCs w:val="16"/>
              </w:rPr>
              <w:t>44</w:t>
            </w:r>
          </w:p>
        </w:tc>
        <w:tc>
          <w:tcPr>
            <w:tcW w:w="901" w:type="dxa"/>
            <w:tcBorders>
              <w:top w:val="nil"/>
              <w:left w:val="nil"/>
              <w:bottom w:val="dotted" w:sz="4" w:space="0" w:color="000000"/>
              <w:right w:val="single" w:sz="8" w:space="0" w:color="000000"/>
            </w:tcBorders>
            <w:shd w:val="clear" w:color="auto" w:fill="auto"/>
            <w:vAlign w:val="center"/>
            <w:hideMark/>
          </w:tcPr>
          <w:p w:rsidR="00BB3BC1" w:rsidP="00BB3BC1" w14:paraId="59A15071" w14:textId="3354FA1C">
            <w:pPr>
              <w:jc w:val="center"/>
              <w:rPr>
                <w:rFonts w:ascii="Calibri" w:hAnsi="Calibri" w:cs="Calibri"/>
                <w:color w:val="000000"/>
                <w:sz w:val="16"/>
                <w:szCs w:val="16"/>
              </w:rPr>
            </w:pPr>
            <w:r>
              <w:rPr>
                <w:rFonts w:ascii="Calibri" w:hAnsi="Calibri" w:cs="Calibri"/>
                <w:color w:val="000000"/>
                <w:sz w:val="16"/>
                <w:szCs w:val="16"/>
              </w:rPr>
              <w:t>70</w:t>
            </w:r>
          </w:p>
        </w:tc>
        <w:tc>
          <w:tcPr>
            <w:tcW w:w="990" w:type="dxa"/>
            <w:tcBorders>
              <w:top w:val="nil"/>
              <w:left w:val="nil"/>
              <w:bottom w:val="dotted" w:sz="4" w:space="0" w:color="000000"/>
              <w:right w:val="dashed" w:sz="8" w:space="0" w:color="000000"/>
            </w:tcBorders>
            <w:shd w:val="clear" w:color="auto" w:fill="auto"/>
            <w:vAlign w:val="center"/>
            <w:hideMark/>
          </w:tcPr>
          <w:p w:rsidR="00BB3BC1" w:rsidP="00BB3BC1" w14:paraId="1C97D525" w14:textId="08F4C365">
            <w:pPr>
              <w:jc w:val="center"/>
              <w:rPr>
                <w:rFonts w:ascii="Calibri" w:hAnsi="Calibri" w:cs="Calibri"/>
                <w:color w:val="000000"/>
                <w:sz w:val="16"/>
                <w:szCs w:val="16"/>
              </w:rPr>
            </w:pPr>
            <w:r>
              <w:rPr>
                <w:rFonts w:ascii="Calibri" w:hAnsi="Calibri" w:cs="Calibri"/>
                <w:color w:val="000000"/>
                <w:sz w:val="16"/>
                <w:szCs w:val="16"/>
              </w:rPr>
              <w:t>11</w:t>
            </w:r>
          </w:p>
        </w:tc>
        <w:tc>
          <w:tcPr>
            <w:tcW w:w="995" w:type="dxa"/>
            <w:tcBorders>
              <w:top w:val="nil"/>
              <w:left w:val="nil"/>
              <w:bottom w:val="dotted" w:sz="4" w:space="0" w:color="000000"/>
              <w:right w:val="single" w:sz="8" w:space="0" w:color="000000"/>
            </w:tcBorders>
            <w:shd w:val="clear" w:color="auto" w:fill="auto"/>
            <w:vAlign w:val="center"/>
            <w:hideMark/>
          </w:tcPr>
          <w:p w:rsidR="00BB3BC1" w:rsidP="00BB3BC1" w14:paraId="07D8BAF8" w14:textId="4E51C537">
            <w:pPr>
              <w:jc w:val="center"/>
              <w:rPr>
                <w:rFonts w:ascii="Calibri" w:hAnsi="Calibri" w:cs="Calibri"/>
                <w:color w:val="000000"/>
                <w:sz w:val="16"/>
                <w:szCs w:val="16"/>
              </w:rPr>
            </w:pPr>
            <w:r>
              <w:rPr>
                <w:rFonts w:ascii="Calibri" w:hAnsi="Calibri" w:cs="Calibri"/>
                <w:color w:val="000000"/>
                <w:sz w:val="16"/>
                <w:szCs w:val="16"/>
              </w:rPr>
              <w:t>18</w:t>
            </w:r>
          </w:p>
        </w:tc>
        <w:tc>
          <w:tcPr>
            <w:tcW w:w="5580" w:type="dxa"/>
            <w:tcBorders>
              <w:top w:val="nil"/>
              <w:left w:val="nil"/>
              <w:bottom w:val="dotted" w:sz="4" w:space="0" w:color="000000"/>
              <w:right w:val="single" w:sz="8" w:space="0" w:color="000000"/>
            </w:tcBorders>
            <w:shd w:val="clear" w:color="auto" w:fill="auto"/>
            <w:vAlign w:val="center"/>
            <w:hideMark/>
          </w:tcPr>
          <w:p w:rsidR="00BB3BC1" w:rsidRPr="00F3718D" w:rsidP="00BB3BC1" w14:paraId="20897D5C" w14:textId="6D319772">
            <w:pPr>
              <w:widowControl/>
              <w:rPr>
                <w:rFonts w:ascii="Calibri" w:hAnsi="Calibri" w:cs="Calibri"/>
                <w:color w:val="000000"/>
                <w:sz w:val="16"/>
                <w:szCs w:val="16"/>
              </w:rPr>
            </w:pPr>
            <w:r>
              <w:rPr>
                <w:rFonts w:ascii="Calibri" w:hAnsi="Calibri" w:cs="Calibri"/>
                <w:color w:val="000000"/>
                <w:sz w:val="16"/>
                <w:szCs w:val="16"/>
              </w:rPr>
              <w:t>Adjustment in number of permit holders</w:t>
            </w:r>
          </w:p>
        </w:tc>
      </w:tr>
      <w:tr w14:paraId="73819CD9" w14:textId="77777777" w:rsidTr="007E5F89">
        <w:tblPrEx>
          <w:tblW w:w="13490" w:type="dxa"/>
          <w:tblLook w:val="04A0"/>
        </w:tblPrEx>
        <w:trPr>
          <w:trHeight w:val="427"/>
        </w:trPr>
        <w:tc>
          <w:tcPr>
            <w:tcW w:w="2114"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33A60C64" w14:textId="77777777">
            <w:pPr>
              <w:widowControl/>
              <w:rPr>
                <w:rFonts w:ascii="Calibri" w:hAnsi="Calibri" w:cs="Calibri"/>
                <w:color w:val="000000"/>
                <w:sz w:val="16"/>
                <w:szCs w:val="16"/>
              </w:rPr>
            </w:pPr>
            <w:r w:rsidRPr="00F3718D">
              <w:rPr>
                <w:rFonts w:ascii="Calibri" w:hAnsi="Calibri" w:cs="Calibri"/>
                <w:color w:val="000000"/>
                <w:sz w:val="16"/>
                <w:szCs w:val="16"/>
              </w:rPr>
              <w:t>Caribbean Small Boat</w:t>
            </w:r>
          </w:p>
        </w:tc>
        <w:tc>
          <w:tcPr>
            <w:tcW w:w="896" w:type="dxa"/>
            <w:tcBorders>
              <w:top w:val="nil"/>
              <w:left w:val="nil"/>
              <w:bottom w:val="dotted" w:sz="4" w:space="0" w:color="000000"/>
              <w:right w:val="dashed" w:sz="8" w:space="0" w:color="000000"/>
            </w:tcBorders>
            <w:shd w:val="clear" w:color="auto" w:fill="auto"/>
            <w:vAlign w:val="center"/>
            <w:hideMark/>
          </w:tcPr>
          <w:p w:rsidR="00BB3BC1" w:rsidP="00BB3BC1" w14:paraId="04361EC4" w14:textId="6D69D16B">
            <w:pPr>
              <w:jc w:val="center"/>
              <w:rPr>
                <w:rFonts w:ascii="Calibri" w:hAnsi="Calibri" w:cs="Calibri"/>
                <w:color w:val="000000"/>
                <w:sz w:val="16"/>
                <w:szCs w:val="16"/>
              </w:rPr>
            </w:pPr>
            <w:r>
              <w:rPr>
                <w:rFonts w:ascii="Calibri" w:hAnsi="Calibri" w:cs="Calibri"/>
                <w:color w:val="000000"/>
                <w:sz w:val="16"/>
                <w:szCs w:val="16"/>
              </w:rPr>
              <w:t>76</w:t>
            </w:r>
          </w:p>
        </w:tc>
        <w:tc>
          <w:tcPr>
            <w:tcW w:w="1071" w:type="dxa"/>
            <w:tcBorders>
              <w:top w:val="nil"/>
              <w:left w:val="nil"/>
              <w:bottom w:val="dotted" w:sz="4" w:space="0" w:color="000000"/>
              <w:right w:val="single" w:sz="8" w:space="0" w:color="000000"/>
            </w:tcBorders>
            <w:shd w:val="clear" w:color="auto" w:fill="auto"/>
            <w:vAlign w:val="center"/>
            <w:hideMark/>
          </w:tcPr>
          <w:p w:rsidR="00BB3BC1" w:rsidP="00BB3BC1" w14:paraId="2B46EECA" w14:textId="3599DF2C">
            <w:pPr>
              <w:jc w:val="center"/>
              <w:rPr>
                <w:rFonts w:ascii="Calibri" w:hAnsi="Calibri" w:cs="Calibri"/>
                <w:color w:val="000000"/>
                <w:sz w:val="16"/>
                <w:szCs w:val="16"/>
              </w:rPr>
            </w:pPr>
            <w:r>
              <w:rPr>
                <w:rFonts w:ascii="Calibri" w:hAnsi="Calibri" w:cs="Calibri"/>
                <w:color w:val="000000"/>
                <w:sz w:val="16"/>
                <w:szCs w:val="16"/>
              </w:rPr>
              <w:t>30</w:t>
            </w:r>
          </w:p>
        </w:tc>
        <w:tc>
          <w:tcPr>
            <w:tcW w:w="943" w:type="dxa"/>
            <w:tcBorders>
              <w:top w:val="nil"/>
              <w:left w:val="nil"/>
              <w:bottom w:val="dotted" w:sz="4" w:space="0" w:color="000000"/>
              <w:right w:val="dashed" w:sz="8" w:space="0" w:color="000000"/>
            </w:tcBorders>
            <w:shd w:val="clear" w:color="auto" w:fill="auto"/>
            <w:vAlign w:val="center"/>
            <w:hideMark/>
          </w:tcPr>
          <w:p w:rsidR="00BB3BC1" w:rsidP="00BB3BC1" w14:paraId="5B438DF4" w14:textId="6205D063">
            <w:pPr>
              <w:jc w:val="center"/>
              <w:rPr>
                <w:rFonts w:ascii="Calibri" w:hAnsi="Calibri" w:cs="Calibri"/>
                <w:color w:val="000000"/>
                <w:sz w:val="16"/>
                <w:szCs w:val="16"/>
              </w:rPr>
            </w:pPr>
            <w:r>
              <w:rPr>
                <w:rFonts w:ascii="Calibri" w:hAnsi="Calibri" w:cs="Calibri"/>
                <w:color w:val="000000"/>
                <w:sz w:val="16"/>
                <w:szCs w:val="16"/>
              </w:rPr>
              <w:t>2,660</w:t>
            </w:r>
          </w:p>
        </w:tc>
        <w:tc>
          <w:tcPr>
            <w:tcW w:w="901" w:type="dxa"/>
            <w:tcBorders>
              <w:top w:val="nil"/>
              <w:left w:val="nil"/>
              <w:bottom w:val="dotted" w:sz="4" w:space="0" w:color="000000"/>
              <w:right w:val="single" w:sz="8" w:space="0" w:color="000000"/>
            </w:tcBorders>
            <w:shd w:val="clear" w:color="auto" w:fill="auto"/>
            <w:vAlign w:val="center"/>
            <w:hideMark/>
          </w:tcPr>
          <w:p w:rsidR="00BB3BC1" w:rsidP="00BB3BC1" w14:paraId="49A9A9EC" w14:textId="030F3F98">
            <w:pPr>
              <w:jc w:val="center"/>
              <w:rPr>
                <w:rFonts w:ascii="Calibri" w:hAnsi="Calibri" w:cs="Calibri"/>
                <w:color w:val="000000"/>
                <w:sz w:val="16"/>
                <w:szCs w:val="16"/>
              </w:rPr>
            </w:pPr>
            <w:r>
              <w:rPr>
                <w:rFonts w:ascii="Calibri" w:hAnsi="Calibri" w:cs="Calibri"/>
                <w:color w:val="000000"/>
                <w:sz w:val="16"/>
                <w:szCs w:val="16"/>
              </w:rPr>
              <w:t>1,050</w:t>
            </w:r>
          </w:p>
        </w:tc>
        <w:tc>
          <w:tcPr>
            <w:tcW w:w="990" w:type="dxa"/>
            <w:tcBorders>
              <w:top w:val="nil"/>
              <w:left w:val="nil"/>
              <w:bottom w:val="dotted" w:sz="4" w:space="0" w:color="000000"/>
              <w:right w:val="dashed" w:sz="8" w:space="0" w:color="000000"/>
            </w:tcBorders>
            <w:shd w:val="clear" w:color="auto" w:fill="auto"/>
            <w:vAlign w:val="center"/>
            <w:hideMark/>
          </w:tcPr>
          <w:p w:rsidR="00BB3BC1" w:rsidP="00BB3BC1" w14:paraId="0CE8AC3D" w14:textId="6731A9DA">
            <w:pPr>
              <w:jc w:val="center"/>
              <w:rPr>
                <w:rFonts w:ascii="Calibri" w:hAnsi="Calibri" w:cs="Calibri"/>
                <w:color w:val="000000"/>
                <w:sz w:val="16"/>
                <w:szCs w:val="16"/>
              </w:rPr>
            </w:pPr>
            <w:r>
              <w:rPr>
                <w:rFonts w:ascii="Calibri" w:hAnsi="Calibri" w:cs="Calibri"/>
                <w:color w:val="000000"/>
                <w:sz w:val="16"/>
                <w:szCs w:val="16"/>
              </w:rPr>
              <w:t>665</w:t>
            </w:r>
          </w:p>
        </w:tc>
        <w:tc>
          <w:tcPr>
            <w:tcW w:w="995" w:type="dxa"/>
            <w:tcBorders>
              <w:top w:val="nil"/>
              <w:left w:val="nil"/>
              <w:bottom w:val="dotted" w:sz="4" w:space="0" w:color="000000"/>
              <w:right w:val="single" w:sz="8" w:space="0" w:color="000000"/>
            </w:tcBorders>
            <w:shd w:val="clear" w:color="auto" w:fill="auto"/>
            <w:vAlign w:val="center"/>
            <w:hideMark/>
          </w:tcPr>
          <w:p w:rsidR="00BB3BC1" w:rsidP="00BB3BC1" w14:paraId="55244A0B" w14:textId="03A7E67B">
            <w:pPr>
              <w:jc w:val="center"/>
              <w:rPr>
                <w:rFonts w:ascii="Calibri" w:hAnsi="Calibri" w:cs="Calibri"/>
                <w:color w:val="000000"/>
                <w:sz w:val="16"/>
                <w:szCs w:val="16"/>
              </w:rPr>
            </w:pPr>
            <w:r>
              <w:rPr>
                <w:rFonts w:ascii="Calibri" w:hAnsi="Calibri" w:cs="Calibri"/>
                <w:color w:val="000000"/>
                <w:sz w:val="16"/>
                <w:szCs w:val="16"/>
              </w:rPr>
              <w:t>263</w:t>
            </w:r>
          </w:p>
        </w:tc>
        <w:tc>
          <w:tcPr>
            <w:tcW w:w="5580" w:type="dxa"/>
            <w:tcBorders>
              <w:top w:val="nil"/>
              <w:left w:val="nil"/>
              <w:bottom w:val="dotted" w:sz="4" w:space="0" w:color="000000"/>
              <w:right w:val="single" w:sz="8" w:space="0" w:color="000000"/>
            </w:tcBorders>
            <w:shd w:val="clear" w:color="auto" w:fill="auto"/>
            <w:vAlign w:val="center"/>
            <w:hideMark/>
          </w:tcPr>
          <w:p w:rsidR="00BB3BC1" w:rsidRPr="00F3718D" w:rsidP="00BB3BC1" w14:paraId="6C397670" w14:textId="7FDC7FE9">
            <w:pPr>
              <w:widowControl/>
              <w:rPr>
                <w:rFonts w:ascii="Calibri" w:hAnsi="Calibri" w:cs="Calibri"/>
                <w:color w:val="000000"/>
                <w:sz w:val="16"/>
                <w:szCs w:val="16"/>
              </w:rPr>
            </w:pPr>
            <w:r>
              <w:rPr>
                <w:rFonts w:ascii="Calibri" w:hAnsi="Calibri" w:cs="Calibri"/>
                <w:color w:val="000000"/>
                <w:sz w:val="16"/>
                <w:szCs w:val="16"/>
              </w:rPr>
              <w:t>Adjustment in number of permit holders</w:t>
            </w:r>
          </w:p>
        </w:tc>
      </w:tr>
      <w:tr w14:paraId="36F626E9" w14:textId="77777777" w:rsidTr="007E5F89">
        <w:tblPrEx>
          <w:tblW w:w="13490" w:type="dxa"/>
          <w:tblLook w:val="04A0"/>
        </w:tblPrEx>
        <w:trPr>
          <w:trHeight w:val="355"/>
        </w:trPr>
        <w:tc>
          <w:tcPr>
            <w:tcW w:w="2114" w:type="dxa"/>
            <w:tcBorders>
              <w:top w:val="nil"/>
              <w:left w:val="single" w:sz="8" w:space="0" w:color="000000"/>
              <w:bottom w:val="nil"/>
              <w:right w:val="single" w:sz="8" w:space="0" w:color="000000"/>
            </w:tcBorders>
            <w:shd w:val="clear" w:color="000000" w:fill="BDD6EE"/>
            <w:vAlign w:val="center"/>
            <w:hideMark/>
          </w:tcPr>
          <w:p w:rsidR="00BB3BC1" w:rsidRPr="00F3718D" w:rsidP="00BB3BC1" w14:paraId="4E6B1BE7"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Total for Collection</w:t>
            </w:r>
          </w:p>
        </w:tc>
        <w:tc>
          <w:tcPr>
            <w:tcW w:w="896" w:type="dxa"/>
            <w:tcBorders>
              <w:top w:val="nil"/>
              <w:left w:val="nil"/>
              <w:bottom w:val="nil"/>
              <w:right w:val="dashed" w:sz="8" w:space="0" w:color="000000"/>
            </w:tcBorders>
            <w:shd w:val="clear" w:color="000000" w:fill="BDD6EE"/>
            <w:vAlign w:val="center"/>
            <w:hideMark/>
          </w:tcPr>
          <w:p w:rsidR="00BB3BC1" w:rsidP="00BB3BC1" w14:paraId="7E1A5C7C" w14:textId="07734CBD">
            <w:pPr>
              <w:jc w:val="center"/>
              <w:rPr>
                <w:rFonts w:ascii="Calibri" w:hAnsi="Calibri" w:cs="Calibri"/>
                <w:b/>
                <w:bCs/>
                <w:color w:val="000000"/>
                <w:sz w:val="16"/>
                <w:szCs w:val="16"/>
              </w:rPr>
            </w:pPr>
            <w:r>
              <w:rPr>
                <w:rFonts w:ascii="Calibri" w:hAnsi="Calibri" w:cs="Calibri"/>
                <w:b/>
                <w:bCs/>
                <w:color w:val="000000"/>
                <w:sz w:val="16"/>
                <w:szCs w:val="16"/>
              </w:rPr>
              <w:t>6,556</w:t>
            </w:r>
          </w:p>
        </w:tc>
        <w:tc>
          <w:tcPr>
            <w:tcW w:w="1071" w:type="dxa"/>
            <w:tcBorders>
              <w:top w:val="nil"/>
              <w:left w:val="nil"/>
              <w:bottom w:val="nil"/>
              <w:right w:val="single" w:sz="8" w:space="0" w:color="000000"/>
            </w:tcBorders>
            <w:shd w:val="clear" w:color="000000" w:fill="BDD6EE"/>
            <w:vAlign w:val="center"/>
            <w:hideMark/>
          </w:tcPr>
          <w:p w:rsidR="00BB3BC1" w:rsidP="00BB3BC1" w14:paraId="545AECA5" w14:textId="3B635731">
            <w:pPr>
              <w:jc w:val="center"/>
              <w:rPr>
                <w:rFonts w:ascii="Calibri" w:hAnsi="Calibri" w:cs="Calibri"/>
                <w:b/>
                <w:bCs/>
                <w:color w:val="000000"/>
                <w:sz w:val="16"/>
                <w:szCs w:val="16"/>
              </w:rPr>
            </w:pPr>
            <w:r>
              <w:rPr>
                <w:rFonts w:ascii="Calibri" w:hAnsi="Calibri" w:cs="Calibri"/>
                <w:b/>
                <w:bCs/>
                <w:color w:val="000000"/>
                <w:sz w:val="16"/>
                <w:szCs w:val="16"/>
              </w:rPr>
              <w:t>4,765</w:t>
            </w:r>
          </w:p>
        </w:tc>
        <w:tc>
          <w:tcPr>
            <w:tcW w:w="943" w:type="dxa"/>
            <w:tcBorders>
              <w:top w:val="nil"/>
              <w:left w:val="nil"/>
              <w:bottom w:val="nil"/>
              <w:right w:val="dashed" w:sz="8" w:space="0" w:color="000000"/>
            </w:tcBorders>
            <w:shd w:val="clear" w:color="000000" w:fill="BDD6EE"/>
            <w:vAlign w:val="center"/>
            <w:hideMark/>
          </w:tcPr>
          <w:p w:rsidR="00BB3BC1" w:rsidP="00BB3BC1" w14:paraId="3F35497D" w14:textId="4FD39A14">
            <w:pPr>
              <w:jc w:val="center"/>
              <w:rPr>
                <w:rFonts w:ascii="Calibri" w:hAnsi="Calibri" w:cs="Calibri"/>
                <w:b/>
                <w:bCs/>
                <w:color w:val="000000"/>
                <w:sz w:val="16"/>
                <w:szCs w:val="16"/>
              </w:rPr>
            </w:pPr>
            <w:r>
              <w:rPr>
                <w:rFonts w:ascii="Calibri" w:hAnsi="Calibri" w:cs="Calibri"/>
                <w:b/>
                <w:bCs/>
                <w:color w:val="000000"/>
                <w:sz w:val="16"/>
                <w:szCs w:val="16"/>
              </w:rPr>
              <w:t>13,455</w:t>
            </w:r>
          </w:p>
        </w:tc>
        <w:tc>
          <w:tcPr>
            <w:tcW w:w="901" w:type="dxa"/>
            <w:tcBorders>
              <w:top w:val="nil"/>
              <w:left w:val="nil"/>
              <w:bottom w:val="nil"/>
              <w:right w:val="single" w:sz="8" w:space="0" w:color="000000"/>
            </w:tcBorders>
            <w:shd w:val="clear" w:color="000000" w:fill="BDD6EE"/>
            <w:vAlign w:val="center"/>
            <w:hideMark/>
          </w:tcPr>
          <w:p w:rsidR="00BB3BC1" w:rsidP="00BB3BC1" w14:paraId="7A510830" w14:textId="196AF39E">
            <w:pPr>
              <w:jc w:val="center"/>
              <w:rPr>
                <w:rFonts w:ascii="Calibri" w:hAnsi="Calibri" w:cs="Calibri"/>
                <w:b/>
                <w:bCs/>
                <w:color w:val="000000"/>
                <w:sz w:val="16"/>
                <w:szCs w:val="16"/>
              </w:rPr>
            </w:pPr>
            <w:r>
              <w:rPr>
                <w:rFonts w:ascii="Calibri" w:hAnsi="Calibri" w:cs="Calibri"/>
                <w:b/>
                <w:bCs/>
                <w:color w:val="000000"/>
                <w:sz w:val="16"/>
                <w:szCs w:val="16"/>
              </w:rPr>
              <w:t>11,367</w:t>
            </w:r>
          </w:p>
        </w:tc>
        <w:tc>
          <w:tcPr>
            <w:tcW w:w="990" w:type="dxa"/>
            <w:tcBorders>
              <w:top w:val="nil"/>
              <w:left w:val="nil"/>
              <w:bottom w:val="nil"/>
              <w:right w:val="dashed" w:sz="8" w:space="0" w:color="000000"/>
            </w:tcBorders>
            <w:shd w:val="clear" w:color="000000" w:fill="BDD6EE"/>
            <w:vAlign w:val="center"/>
            <w:hideMark/>
          </w:tcPr>
          <w:p w:rsidR="00BB3BC1" w:rsidP="00BB3BC1" w14:paraId="11B41A18" w14:textId="15444B34">
            <w:pPr>
              <w:jc w:val="center"/>
              <w:rPr>
                <w:rFonts w:ascii="Calibri" w:hAnsi="Calibri" w:cs="Calibri"/>
                <w:b/>
                <w:bCs/>
                <w:color w:val="000000"/>
                <w:sz w:val="16"/>
                <w:szCs w:val="16"/>
              </w:rPr>
            </w:pPr>
            <w:r>
              <w:rPr>
                <w:rFonts w:ascii="Calibri" w:hAnsi="Calibri" w:cs="Calibri"/>
                <w:b/>
                <w:bCs/>
                <w:color w:val="000000"/>
                <w:sz w:val="16"/>
                <w:szCs w:val="16"/>
              </w:rPr>
              <w:t>6,438</w:t>
            </w:r>
          </w:p>
        </w:tc>
        <w:tc>
          <w:tcPr>
            <w:tcW w:w="995" w:type="dxa"/>
            <w:tcBorders>
              <w:top w:val="nil"/>
              <w:left w:val="nil"/>
              <w:bottom w:val="nil"/>
              <w:right w:val="single" w:sz="8" w:space="0" w:color="000000"/>
            </w:tcBorders>
            <w:shd w:val="clear" w:color="000000" w:fill="BDD6EE"/>
            <w:vAlign w:val="center"/>
            <w:hideMark/>
          </w:tcPr>
          <w:p w:rsidR="00BB3BC1" w:rsidP="00BB3BC1" w14:paraId="4559B98D" w14:textId="12D66770">
            <w:pPr>
              <w:jc w:val="center"/>
              <w:rPr>
                <w:rFonts w:ascii="Calibri" w:hAnsi="Calibri" w:cs="Calibri"/>
                <w:b/>
                <w:bCs/>
                <w:color w:val="000000"/>
                <w:sz w:val="16"/>
                <w:szCs w:val="16"/>
              </w:rPr>
            </w:pPr>
            <w:r>
              <w:rPr>
                <w:rFonts w:ascii="Calibri" w:hAnsi="Calibri" w:cs="Calibri"/>
                <w:b/>
                <w:bCs/>
                <w:color w:val="000000"/>
                <w:sz w:val="16"/>
                <w:szCs w:val="16"/>
              </w:rPr>
              <w:t>4,950</w:t>
            </w:r>
          </w:p>
        </w:tc>
        <w:tc>
          <w:tcPr>
            <w:tcW w:w="5580" w:type="dxa"/>
            <w:tcBorders>
              <w:top w:val="nil"/>
              <w:left w:val="nil"/>
              <w:bottom w:val="nil"/>
              <w:right w:val="single" w:sz="8" w:space="0" w:color="000000"/>
            </w:tcBorders>
            <w:shd w:val="clear" w:color="000000" w:fill="000000"/>
            <w:vAlign w:val="center"/>
            <w:hideMark/>
          </w:tcPr>
          <w:p w:rsidR="00BB3BC1" w:rsidRPr="00F3718D" w:rsidP="00BB3BC1" w14:paraId="1E301DDB" w14:textId="461F5F10">
            <w:pPr>
              <w:widowControl/>
              <w:jc w:val="center"/>
              <w:rPr>
                <w:rFonts w:ascii="Calibri" w:hAnsi="Calibri" w:cs="Calibri"/>
                <w:b/>
                <w:bCs/>
                <w:color w:val="000000"/>
                <w:sz w:val="16"/>
                <w:szCs w:val="16"/>
              </w:rPr>
            </w:pPr>
            <w:r>
              <w:rPr>
                <w:rFonts w:ascii="Calibri" w:hAnsi="Calibri" w:cs="Calibri"/>
                <w:b/>
                <w:bCs/>
                <w:color w:val="000000"/>
                <w:sz w:val="16"/>
                <w:szCs w:val="16"/>
              </w:rPr>
              <w:t> </w:t>
            </w:r>
          </w:p>
        </w:tc>
      </w:tr>
      <w:tr w14:paraId="0AD7EA68" w14:textId="77777777" w:rsidTr="007E5F89">
        <w:tblPrEx>
          <w:tblW w:w="13490" w:type="dxa"/>
          <w:tblLook w:val="04A0"/>
        </w:tblPrEx>
        <w:trPr>
          <w:trHeight w:val="337"/>
        </w:trPr>
        <w:tc>
          <w:tcPr>
            <w:tcW w:w="2114" w:type="dxa"/>
            <w:tcBorders>
              <w:top w:val="single" w:sz="8" w:space="0" w:color="000000"/>
              <w:left w:val="single" w:sz="8" w:space="0" w:color="000000"/>
              <w:bottom w:val="single" w:sz="8" w:space="0" w:color="000000"/>
              <w:right w:val="nil"/>
            </w:tcBorders>
            <w:shd w:val="clear" w:color="000000" w:fill="FCE4D6"/>
            <w:vAlign w:val="center"/>
            <w:hideMark/>
          </w:tcPr>
          <w:p w:rsidR="00BB3BC1" w:rsidRPr="00F3718D" w:rsidP="00BB3BC1" w14:paraId="1C3F9602"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Difference</w:t>
            </w:r>
          </w:p>
        </w:tc>
        <w:tc>
          <w:tcPr>
            <w:tcW w:w="1967" w:type="dxa"/>
            <w:gridSpan w:val="2"/>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BB3BC1" w:rsidP="00BB3BC1" w14:paraId="4E6A8AA4" w14:textId="7141AF3D">
            <w:pPr>
              <w:jc w:val="center"/>
              <w:rPr>
                <w:rFonts w:ascii="Calibri" w:hAnsi="Calibri" w:cs="Calibri"/>
                <w:color w:val="000000"/>
              </w:rPr>
            </w:pPr>
            <w:r>
              <w:rPr>
                <w:rFonts w:ascii="Calibri" w:hAnsi="Calibri" w:cs="Calibri"/>
                <w:color w:val="000000"/>
              </w:rPr>
              <w:t>1,791</w:t>
            </w:r>
          </w:p>
        </w:tc>
        <w:tc>
          <w:tcPr>
            <w:tcW w:w="1844" w:type="dxa"/>
            <w:gridSpan w:val="2"/>
            <w:tcBorders>
              <w:top w:val="single" w:sz="8" w:space="0" w:color="000000"/>
              <w:left w:val="nil"/>
              <w:bottom w:val="single" w:sz="8" w:space="0" w:color="000000"/>
              <w:right w:val="single" w:sz="8" w:space="0" w:color="000000"/>
            </w:tcBorders>
            <w:shd w:val="clear" w:color="000000" w:fill="FCE4D6"/>
            <w:vAlign w:val="center"/>
            <w:hideMark/>
          </w:tcPr>
          <w:p w:rsidR="00BB3BC1" w:rsidP="00BB3BC1" w14:paraId="68558D18" w14:textId="37B0779E">
            <w:pPr>
              <w:jc w:val="center"/>
              <w:rPr>
                <w:rFonts w:ascii="Calibri" w:hAnsi="Calibri" w:cs="Calibri"/>
                <w:color w:val="000000"/>
              </w:rPr>
            </w:pPr>
            <w:r>
              <w:rPr>
                <w:rFonts w:ascii="Calibri" w:hAnsi="Calibri" w:cs="Calibri"/>
                <w:color w:val="000000"/>
              </w:rPr>
              <w:t>2,088</w:t>
            </w:r>
          </w:p>
        </w:tc>
        <w:tc>
          <w:tcPr>
            <w:tcW w:w="1985" w:type="dxa"/>
            <w:gridSpan w:val="2"/>
            <w:tcBorders>
              <w:top w:val="single" w:sz="8" w:space="0" w:color="000000"/>
              <w:left w:val="nil"/>
              <w:bottom w:val="single" w:sz="8" w:space="0" w:color="000000"/>
              <w:right w:val="single" w:sz="8" w:space="0" w:color="000000"/>
            </w:tcBorders>
            <w:shd w:val="clear" w:color="000000" w:fill="FCE4D6"/>
            <w:vAlign w:val="center"/>
            <w:hideMark/>
          </w:tcPr>
          <w:p w:rsidR="00BB3BC1" w:rsidP="00BB3BC1" w14:paraId="3512B18E" w14:textId="2E51A9E2">
            <w:pPr>
              <w:jc w:val="center"/>
              <w:rPr>
                <w:rFonts w:ascii="Calibri" w:hAnsi="Calibri" w:cs="Calibri"/>
                <w:color w:val="000000"/>
              </w:rPr>
            </w:pPr>
            <w:r>
              <w:rPr>
                <w:rFonts w:ascii="Calibri" w:hAnsi="Calibri" w:cs="Calibri"/>
                <w:color w:val="000000"/>
              </w:rPr>
              <w:t>1,488</w:t>
            </w:r>
          </w:p>
        </w:tc>
        <w:tc>
          <w:tcPr>
            <w:tcW w:w="5580" w:type="dxa"/>
            <w:tcBorders>
              <w:top w:val="single" w:sz="8" w:space="0" w:color="000000"/>
              <w:left w:val="nil"/>
              <w:bottom w:val="single" w:sz="8" w:space="0" w:color="000000"/>
              <w:right w:val="single" w:sz="8" w:space="0" w:color="000000"/>
            </w:tcBorders>
            <w:shd w:val="clear" w:color="000000" w:fill="000000"/>
            <w:vAlign w:val="center"/>
            <w:hideMark/>
          </w:tcPr>
          <w:p w:rsidR="00BB3BC1" w:rsidRPr="00F3718D" w:rsidP="00BB3BC1" w14:paraId="29325447" w14:textId="77777777">
            <w:pPr>
              <w:widowControl/>
              <w:rPr>
                <w:rFonts w:ascii="Calibri" w:hAnsi="Calibri" w:cs="Calibri"/>
                <w:color w:val="000000"/>
              </w:rPr>
            </w:pPr>
            <w:r w:rsidRPr="00F3718D">
              <w:rPr>
                <w:rFonts w:ascii="Calibri" w:hAnsi="Calibri" w:cs="Calibri"/>
                <w:color w:val="000000"/>
              </w:rPr>
              <w:t> </w:t>
            </w:r>
          </w:p>
        </w:tc>
      </w:tr>
    </w:tbl>
    <w:p w:rsidR="00040A2A" w:rsidRPr="00FC31A0" w:rsidP="00040A2A" w14:paraId="44585CF2" w14:textId="0CF279F2">
      <w:pPr>
        <w:spacing w:line="259" w:lineRule="auto"/>
        <w:ind w:hanging="43"/>
        <w:rPr>
          <w:sz w:val="20"/>
        </w:rPr>
      </w:pPr>
      <w:r w:rsidRPr="00FC31A0">
        <w:rPr>
          <w:sz w:val="20"/>
        </w:rPr>
        <w:t xml:space="preserve">*Gear Markings total shown as rounded down in ROCIS. Numbers rounded up in above chart. </w:t>
      </w:r>
    </w:p>
    <w:p w:rsidR="00F3718D" w14:paraId="18485D9E" w14:textId="77777777">
      <w:pPr>
        <w:pBdr>
          <w:top w:val="nil"/>
          <w:left w:val="nil"/>
          <w:bottom w:val="nil"/>
          <w:right w:val="nil"/>
          <w:between w:val="nil"/>
        </w:pBdr>
        <w:spacing w:before="7"/>
        <w:rPr>
          <w:b/>
          <w:color w:val="000000"/>
        </w:rPr>
      </w:pPr>
    </w:p>
    <w:p w:rsidR="003849D5" w:rsidP="00F3718D" w14:paraId="5C950551" w14:textId="77777777">
      <w:pPr>
        <w:pBdr>
          <w:top w:val="nil"/>
          <w:left w:val="nil"/>
          <w:bottom w:val="nil"/>
          <w:right w:val="nil"/>
          <w:between w:val="nil"/>
        </w:pBdr>
        <w:spacing w:before="1"/>
        <w:rPr>
          <w:b/>
          <w:color w:val="000000"/>
        </w:rPr>
      </w:pPr>
      <w:bookmarkStart w:id="0" w:name="_GoBack"/>
      <w:bookmarkEnd w:id="0"/>
    </w:p>
    <w:p w:rsidR="00F3718D" w:rsidP="00F3718D" w14:paraId="09149B6E" w14:textId="075B81F3">
      <w:pPr>
        <w:pBdr>
          <w:top w:val="nil"/>
          <w:left w:val="nil"/>
          <w:bottom w:val="nil"/>
          <w:right w:val="nil"/>
          <w:between w:val="nil"/>
        </w:pBdr>
        <w:spacing w:before="1"/>
        <w:rPr>
          <w:b/>
          <w:color w:val="000000"/>
        </w:rPr>
      </w:pPr>
      <w:r>
        <w:rPr>
          <w:b/>
          <w:color w:val="000000"/>
        </w:rPr>
        <w:t>Table 4.</w:t>
      </w:r>
      <w:r w:rsidR="00A73BAD">
        <w:rPr>
          <w:b/>
          <w:color w:val="000000"/>
        </w:rPr>
        <w:t xml:space="preserve"> </w:t>
      </w:r>
      <w:r>
        <w:rPr>
          <w:b/>
          <w:color w:val="000000"/>
        </w:rPr>
        <w:t xml:space="preserve">Adjustments to the annual labor and material cost estimates associated with the </w:t>
      </w:r>
      <w:r>
        <w:rPr>
          <w:b/>
        </w:rPr>
        <w:t xml:space="preserve">annual application of vessel </w:t>
      </w:r>
      <w:r>
        <w:rPr>
          <w:b/>
        </w:rPr>
        <w:t>and gear marks in the Atlantic HMS commercial fishery.</w:t>
      </w:r>
      <w:r>
        <w:rPr>
          <w:b/>
          <w:color w:val="000000"/>
        </w:rPr>
        <w:t xml:space="preserve"> </w:t>
      </w:r>
    </w:p>
    <w:p w:rsidR="00F3718D" w14:paraId="769B8716" w14:textId="77777777">
      <w:pPr>
        <w:pBdr>
          <w:top w:val="nil"/>
          <w:left w:val="nil"/>
          <w:bottom w:val="nil"/>
          <w:right w:val="nil"/>
          <w:between w:val="nil"/>
        </w:pBdr>
        <w:spacing w:before="7"/>
        <w:rPr>
          <w:b/>
          <w:color w:val="000000"/>
        </w:rPr>
      </w:pPr>
    </w:p>
    <w:p w:rsidR="00F3718D" w14:paraId="479A616C" w14:textId="77777777">
      <w:pPr>
        <w:pBdr>
          <w:top w:val="nil"/>
          <w:left w:val="nil"/>
          <w:bottom w:val="nil"/>
          <w:right w:val="nil"/>
          <w:between w:val="nil"/>
        </w:pBdr>
        <w:spacing w:before="7"/>
        <w:rPr>
          <w:b/>
          <w:color w:val="000000"/>
        </w:rPr>
      </w:pPr>
    </w:p>
    <w:tbl>
      <w:tblPr>
        <w:tblW w:w="12860" w:type="dxa"/>
        <w:tblLook w:val="04A0"/>
      </w:tblPr>
      <w:tblGrid>
        <w:gridCol w:w="2322"/>
        <w:gridCol w:w="980"/>
        <w:gridCol w:w="918"/>
        <w:gridCol w:w="859"/>
        <w:gridCol w:w="940"/>
        <w:gridCol w:w="6841"/>
      </w:tblGrid>
      <w:tr w14:paraId="131A7EB6" w14:textId="77777777" w:rsidTr="007E5F89">
        <w:tblPrEx>
          <w:tblW w:w="12860" w:type="dxa"/>
          <w:tblLook w:val="04A0"/>
        </w:tblPrEx>
        <w:trPr>
          <w:trHeight w:val="690"/>
        </w:trPr>
        <w:tc>
          <w:tcPr>
            <w:tcW w:w="2322" w:type="dxa"/>
            <w:vMerge w:val="restart"/>
            <w:tcBorders>
              <w:top w:val="single" w:sz="8" w:space="0" w:color="000000"/>
              <w:left w:val="single" w:sz="8" w:space="0" w:color="000000"/>
              <w:bottom w:val="single" w:sz="8" w:space="0" w:color="000000"/>
              <w:right w:val="single" w:sz="8" w:space="0" w:color="000000"/>
            </w:tcBorders>
            <w:shd w:val="clear" w:color="000000" w:fill="5B9BD5"/>
            <w:vAlign w:val="center"/>
            <w:hideMark/>
          </w:tcPr>
          <w:p w:rsidR="00F3718D" w:rsidRPr="00F3718D" w:rsidP="00F3718D" w14:paraId="08984939"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Information Collection</w:t>
            </w:r>
          </w:p>
        </w:tc>
        <w:tc>
          <w:tcPr>
            <w:tcW w:w="1898" w:type="dxa"/>
            <w:gridSpan w:val="2"/>
            <w:tcBorders>
              <w:top w:val="single" w:sz="8" w:space="0" w:color="000000"/>
              <w:left w:val="nil"/>
              <w:bottom w:val="single" w:sz="8" w:space="0" w:color="000000"/>
              <w:right w:val="single" w:sz="8" w:space="0" w:color="000000"/>
            </w:tcBorders>
            <w:shd w:val="clear" w:color="000000" w:fill="5B9BD5"/>
            <w:vAlign w:val="center"/>
            <w:hideMark/>
          </w:tcPr>
          <w:p w:rsidR="00F3718D" w:rsidRPr="00F3718D" w:rsidP="00F3718D" w14:paraId="553DD324"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Labor Costs</w:t>
            </w:r>
          </w:p>
        </w:tc>
        <w:tc>
          <w:tcPr>
            <w:tcW w:w="1799" w:type="dxa"/>
            <w:gridSpan w:val="2"/>
            <w:tcBorders>
              <w:top w:val="single" w:sz="8" w:space="0" w:color="000000"/>
              <w:left w:val="nil"/>
              <w:bottom w:val="single" w:sz="8" w:space="0" w:color="000000"/>
              <w:right w:val="single" w:sz="8" w:space="0" w:color="000000"/>
            </w:tcBorders>
            <w:shd w:val="clear" w:color="000000" w:fill="5B9BD5"/>
            <w:vAlign w:val="center"/>
            <w:hideMark/>
          </w:tcPr>
          <w:p w:rsidR="00F3718D" w:rsidRPr="00F3718D" w:rsidP="00F3718D" w14:paraId="3FD9F833"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Miscellaneous Costs</w:t>
            </w:r>
          </w:p>
        </w:tc>
        <w:tc>
          <w:tcPr>
            <w:tcW w:w="6841" w:type="dxa"/>
            <w:tcBorders>
              <w:top w:val="single" w:sz="8" w:space="0" w:color="000000"/>
              <w:left w:val="single" w:sz="8" w:space="0" w:color="000000"/>
              <w:bottom w:val="single" w:sz="8" w:space="0" w:color="000000"/>
              <w:right w:val="single" w:sz="8" w:space="0" w:color="000000"/>
            </w:tcBorders>
            <w:shd w:val="clear" w:color="000000" w:fill="5B9BD5"/>
            <w:vAlign w:val="center"/>
            <w:hideMark/>
          </w:tcPr>
          <w:p w:rsidR="00F3718D" w:rsidRPr="00F3718D" w:rsidP="00F3718D" w14:paraId="28139A7D"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Reason for change or adjustment</w:t>
            </w:r>
          </w:p>
        </w:tc>
      </w:tr>
      <w:tr w14:paraId="061575C2" w14:textId="77777777" w:rsidTr="007E5F89">
        <w:tblPrEx>
          <w:tblW w:w="12860" w:type="dxa"/>
          <w:tblLook w:val="04A0"/>
        </w:tblPrEx>
        <w:trPr>
          <w:trHeight w:val="690"/>
        </w:trPr>
        <w:tc>
          <w:tcPr>
            <w:tcW w:w="2322" w:type="dxa"/>
            <w:vMerge/>
            <w:tcBorders>
              <w:top w:val="single" w:sz="8" w:space="0" w:color="000000"/>
              <w:left w:val="single" w:sz="8" w:space="0" w:color="000000"/>
              <w:bottom w:val="single" w:sz="8" w:space="0" w:color="000000"/>
              <w:right w:val="single" w:sz="8" w:space="0" w:color="000000"/>
            </w:tcBorders>
            <w:vAlign w:val="center"/>
            <w:hideMark/>
          </w:tcPr>
          <w:p w:rsidR="00F3718D" w:rsidRPr="00F3718D" w:rsidP="00F3718D" w14:paraId="7A7BC2A9" w14:textId="77777777">
            <w:pPr>
              <w:widowControl/>
              <w:rPr>
                <w:rFonts w:ascii="Calibri" w:hAnsi="Calibri" w:cs="Calibri"/>
                <w:b/>
                <w:bCs/>
                <w:color w:val="000000"/>
                <w:sz w:val="16"/>
                <w:szCs w:val="16"/>
              </w:rPr>
            </w:pPr>
          </w:p>
        </w:tc>
        <w:tc>
          <w:tcPr>
            <w:tcW w:w="980" w:type="dxa"/>
            <w:tcBorders>
              <w:top w:val="nil"/>
              <w:left w:val="nil"/>
              <w:bottom w:val="single" w:sz="8" w:space="0" w:color="000000"/>
              <w:right w:val="dashed" w:sz="8" w:space="0" w:color="000000"/>
            </w:tcBorders>
            <w:shd w:val="clear" w:color="000000" w:fill="FBE4D5"/>
            <w:vAlign w:val="center"/>
            <w:hideMark/>
          </w:tcPr>
          <w:p w:rsidR="00F3718D" w:rsidRPr="00F3718D" w:rsidP="00F3718D" w14:paraId="78E7D696"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w:t>
            </w:r>
          </w:p>
        </w:tc>
        <w:tc>
          <w:tcPr>
            <w:tcW w:w="918" w:type="dxa"/>
            <w:tcBorders>
              <w:top w:val="nil"/>
              <w:left w:val="nil"/>
              <w:bottom w:val="single" w:sz="8" w:space="0" w:color="000000"/>
              <w:right w:val="single" w:sz="8" w:space="0" w:color="000000"/>
            </w:tcBorders>
            <w:shd w:val="clear" w:color="000000" w:fill="FBE4D5"/>
            <w:vAlign w:val="center"/>
            <w:hideMark/>
          </w:tcPr>
          <w:p w:rsidR="00F3718D" w:rsidRPr="00F3718D" w:rsidP="00F3718D" w14:paraId="712028CF" w14:textId="77777777">
            <w:pPr>
              <w:widowControl/>
              <w:jc w:val="center"/>
              <w:rPr>
                <w:rFonts w:ascii="Calibri" w:hAnsi="Calibri" w:cs="Calibri"/>
                <w:color w:val="000000"/>
                <w:sz w:val="16"/>
                <w:szCs w:val="16"/>
              </w:rPr>
            </w:pPr>
            <w:r w:rsidRPr="00F3718D">
              <w:rPr>
                <w:rFonts w:ascii="Calibri" w:hAnsi="Calibri" w:cs="Calibri"/>
                <w:color w:val="000000"/>
                <w:sz w:val="16"/>
                <w:szCs w:val="16"/>
              </w:rPr>
              <w:t>Previous</w:t>
            </w:r>
          </w:p>
        </w:tc>
        <w:tc>
          <w:tcPr>
            <w:tcW w:w="859" w:type="dxa"/>
            <w:tcBorders>
              <w:top w:val="nil"/>
              <w:left w:val="nil"/>
              <w:bottom w:val="single" w:sz="8" w:space="0" w:color="000000"/>
              <w:right w:val="dashed" w:sz="8" w:space="0" w:color="000000"/>
            </w:tcBorders>
            <w:shd w:val="clear" w:color="000000" w:fill="FBE4D5"/>
            <w:vAlign w:val="center"/>
            <w:hideMark/>
          </w:tcPr>
          <w:p w:rsidR="00F3718D" w:rsidRPr="00F3718D" w:rsidP="00F3718D" w14:paraId="79CA71D3" w14:textId="77777777">
            <w:pPr>
              <w:widowControl/>
              <w:jc w:val="center"/>
              <w:rPr>
                <w:rFonts w:ascii="Calibri" w:hAnsi="Calibri" w:cs="Calibri"/>
                <w:color w:val="000000"/>
                <w:sz w:val="16"/>
                <w:szCs w:val="16"/>
              </w:rPr>
            </w:pPr>
            <w:r w:rsidRPr="00F3718D">
              <w:rPr>
                <w:rFonts w:ascii="Calibri" w:hAnsi="Calibri" w:cs="Calibri"/>
                <w:color w:val="000000"/>
                <w:sz w:val="16"/>
                <w:szCs w:val="16"/>
              </w:rPr>
              <w:t>Current</w:t>
            </w:r>
          </w:p>
        </w:tc>
        <w:tc>
          <w:tcPr>
            <w:tcW w:w="940" w:type="dxa"/>
            <w:tcBorders>
              <w:top w:val="nil"/>
              <w:left w:val="nil"/>
              <w:bottom w:val="single" w:sz="8" w:space="0" w:color="000000"/>
              <w:right w:val="single" w:sz="8" w:space="0" w:color="000000"/>
            </w:tcBorders>
            <w:shd w:val="clear" w:color="000000" w:fill="FBE4D5"/>
            <w:vAlign w:val="center"/>
            <w:hideMark/>
          </w:tcPr>
          <w:p w:rsidR="00F3718D" w:rsidRPr="00F3718D" w:rsidP="00F3718D" w14:paraId="667DA9C1" w14:textId="667B98A9">
            <w:pPr>
              <w:widowControl/>
              <w:jc w:val="center"/>
              <w:rPr>
                <w:rFonts w:ascii="Calibri" w:hAnsi="Calibri" w:cs="Calibri"/>
                <w:color w:val="000000"/>
                <w:sz w:val="16"/>
                <w:szCs w:val="16"/>
              </w:rPr>
            </w:pPr>
            <w:r w:rsidRPr="00F3718D">
              <w:rPr>
                <w:rFonts w:ascii="Calibri" w:hAnsi="Calibri" w:cs="Calibri"/>
                <w:color w:val="000000"/>
                <w:sz w:val="16"/>
                <w:szCs w:val="16"/>
              </w:rPr>
              <w:t>Previous</w:t>
            </w:r>
            <w:r w:rsidR="00B46D96">
              <w:rPr>
                <w:rFonts w:ascii="Calibri" w:hAnsi="Calibri" w:cs="Calibri"/>
                <w:color w:val="000000"/>
                <w:sz w:val="16"/>
                <w:szCs w:val="16"/>
              </w:rPr>
              <w:t>*</w:t>
            </w:r>
          </w:p>
        </w:tc>
        <w:tc>
          <w:tcPr>
            <w:tcW w:w="6841" w:type="dxa"/>
            <w:tcBorders>
              <w:top w:val="single" w:sz="8" w:space="0" w:color="000000"/>
              <w:left w:val="single" w:sz="8" w:space="0" w:color="000000"/>
              <w:bottom w:val="single" w:sz="8" w:space="0" w:color="000000"/>
              <w:right w:val="single" w:sz="8" w:space="0" w:color="000000"/>
            </w:tcBorders>
            <w:vAlign w:val="center"/>
            <w:hideMark/>
          </w:tcPr>
          <w:p w:rsidR="00F3718D" w:rsidRPr="00F3718D" w:rsidP="00F3718D" w14:paraId="7DE645EC" w14:textId="77777777">
            <w:pPr>
              <w:widowControl/>
              <w:rPr>
                <w:rFonts w:ascii="Calibri" w:hAnsi="Calibri" w:cs="Calibri"/>
                <w:b/>
                <w:bCs/>
                <w:color w:val="000000"/>
                <w:sz w:val="16"/>
                <w:szCs w:val="16"/>
              </w:rPr>
            </w:pPr>
          </w:p>
        </w:tc>
      </w:tr>
      <w:tr w14:paraId="65EE4684" w14:textId="77777777" w:rsidTr="007E5F89">
        <w:tblPrEx>
          <w:tblW w:w="12860" w:type="dxa"/>
          <w:tblLook w:val="04A0"/>
        </w:tblPrEx>
        <w:trPr>
          <w:trHeight w:val="445"/>
        </w:trPr>
        <w:tc>
          <w:tcPr>
            <w:tcW w:w="2322"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0053533F" w14:textId="77777777">
            <w:pPr>
              <w:widowControl/>
              <w:rPr>
                <w:rFonts w:ascii="Calibri" w:hAnsi="Calibri" w:cs="Calibri"/>
                <w:color w:val="000000"/>
                <w:sz w:val="16"/>
                <w:szCs w:val="16"/>
              </w:rPr>
            </w:pPr>
            <w:r w:rsidRPr="00F3718D">
              <w:rPr>
                <w:rFonts w:ascii="Calibri" w:hAnsi="Calibri" w:cs="Calibri"/>
                <w:color w:val="000000"/>
                <w:sz w:val="16"/>
                <w:szCs w:val="16"/>
              </w:rPr>
              <w:t>Vessel registration numbers</w:t>
            </w:r>
          </w:p>
        </w:tc>
        <w:tc>
          <w:tcPr>
            <w:tcW w:w="980" w:type="dxa"/>
            <w:tcBorders>
              <w:top w:val="nil"/>
              <w:left w:val="nil"/>
              <w:bottom w:val="dotted" w:sz="4" w:space="0" w:color="000000"/>
              <w:right w:val="dashed" w:sz="8" w:space="0" w:color="000000"/>
            </w:tcBorders>
            <w:shd w:val="clear" w:color="auto" w:fill="auto"/>
            <w:vAlign w:val="center"/>
            <w:hideMark/>
          </w:tcPr>
          <w:p w:rsidR="00BB3BC1" w:rsidP="00BB3BC1" w14:paraId="17AD3B1B" w14:textId="0D056DD7">
            <w:pPr>
              <w:jc w:val="center"/>
              <w:rPr>
                <w:rFonts w:ascii="Calibri" w:hAnsi="Calibri" w:cs="Calibri"/>
                <w:color w:val="000000"/>
                <w:sz w:val="16"/>
                <w:szCs w:val="16"/>
              </w:rPr>
            </w:pPr>
            <w:r>
              <w:rPr>
                <w:rFonts w:ascii="Calibri" w:hAnsi="Calibri" w:cs="Calibri"/>
                <w:color w:val="000000"/>
                <w:sz w:val="16"/>
                <w:szCs w:val="16"/>
              </w:rPr>
              <w:t>$88,595</w:t>
            </w:r>
          </w:p>
        </w:tc>
        <w:tc>
          <w:tcPr>
            <w:tcW w:w="918" w:type="dxa"/>
            <w:tcBorders>
              <w:top w:val="nil"/>
              <w:left w:val="nil"/>
              <w:bottom w:val="dotted" w:sz="4" w:space="0" w:color="000000"/>
              <w:right w:val="single" w:sz="8" w:space="0" w:color="000000"/>
            </w:tcBorders>
            <w:shd w:val="clear" w:color="auto" w:fill="auto"/>
            <w:vAlign w:val="center"/>
            <w:hideMark/>
          </w:tcPr>
          <w:p w:rsidR="00BB3BC1" w:rsidP="00BB3BC1" w14:paraId="6BC13C85" w14:textId="31041178">
            <w:pPr>
              <w:jc w:val="center"/>
              <w:rPr>
                <w:rFonts w:ascii="Calibri" w:hAnsi="Calibri" w:cs="Calibri"/>
                <w:color w:val="000000"/>
                <w:sz w:val="16"/>
                <w:szCs w:val="16"/>
              </w:rPr>
            </w:pPr>
            <w:r>
              <w:rPr>
                <w:rFonts w:ascii="Calibri" w:hAnsi="Calibri" w:cs="Calibri"/>
                <w:color w:val="000000"/>
                <w:sz w:val="16"/>
                <w:szCs w:val="16"/>
              </w:rPr>
              <w:t>$47,606</w:t>
            </w:r>
          </w:p>
        </w:tc>
        <w:tc>
          <w:tcPr>
            <w:tcW w:w="859" w:type="dxa"/>
            <w:tcBorders>
              <w:top w:val="nil"/>
              <w:left w:val="nil"/>
              <w:bottom w:val="dotted" w:sz="4" w:space="0" w:color="000000"/>
              <w:right w:val="dashed" w:sz="8" w:space="0" w:color="000000"/>
            </w:tcBorders>
            <w:shd w:val="clear" w:color="auto" w:fill="auto"/>
            <w:vAlign w:val="center"/>
            <w:hideMark/>
          </w:tcPr>
          <w:p w:rsidR="00BB3BC1" w:rsidP="00BB3BC1" w14:paraId="6F3BADFC" w14:textId="32A4E568">
            <w:pPr>
              <w:jc w:val="center"/>
              <w:rPr>
                <w:rFonts w:ascii="Calibri" w:hAnsi="Calibri" w:cs="Calibri"/>
                <w:color w:val="000000"/>
                <w:sz w:val="16"/>
                <w:szCs w:val="16"/>
              </w:rPr>
            </w:pPr>
            <w:r>
              <w:rPr>
                <w:rFonts w:ascii="Calibri" w:hAnsi="Calibri" w:cs="Calibri"/>
                <w:color w:val="000000"/>
                <w:sz w:val="16"/>
                <w:szCs w:val="16"/>
              </w:rPr>
              <w:t>$798,980</w:t>
            </w:r>
          </w:p>
        </w:tc>
        <w:tc>
          <w:tcPr>
            <w:tcW w:w="940" w:type="dxa"/>
            <w:tcBorders>
              <w:top w:val="nil"/>
              <w:left w:val="nil"/>
              <w:bottom w:val="dotted" w:sz="4" w:space="0" w:color="000000"/>
              <w:right w:val="single" w:sz="8" w:space="0" w:color="000000"/>
            </w:tcBorders>
            <w:shd w:val="clear" w:color="auto" w:fill="auto"/>
            <w:vAlign w:val="center"/>
            <w:hideMark/>
          </w:tcPr>
          <w:p w:rsidR="00BB3BC1" w:rsidP="00BB3BC1" w14:paraId="5F8E8FB6" w14:textId="05374B12">
            <w:pPr>
              <w:jc w:val="center"/>
              <w:rPr>
                <w:rFonts w:ascii="Calibri" w:hAnsi="Calibri" w:cs="Calibri"/>
                <w:color w:val="000000"/>
                <w:sz w:val="16"/>
                <w:szCs w:val="16"/>
              </w:rPr>
            </w:pPr>
            <w:r>
              <w:rPr>
                <w:rFonts w:ascii="Calibri" w:hAnsi="Calibri" w:cs="Calibri"/>
                <w:color w:val="000000"/>
                <w:sz w:val="16"/>
                <w:szCs w:val="16"/>
              </w:rPr>
              <w:t>$442,260</w:t>
            </w:r>
          </w:p>
        </w:tc>
        <w:tc>
          <w:tcPr>
            <w:tcW w:w="6841" w:type="dxa"/>
            <w:tcBorders>
              <w:top w:val="nil"/>
              <w:left w:val="nil"/>
              <w:bottom w:val="dotted" w:sz="4" w:space="0" w:color="000000"/>
              <w:right w:val="single" w:sz="8" w:space="0" w:color="000000"/>
            </w:tcBorders>
            <w:shd w:val="clear" w:color="auto" w:fill="auto"/>
            <w:vAlign w:val="center"/>
            <w:hideMark/>
          </w:tcPr>
          <w:p w:rsidR="00BB3BC1" w:rsidRPr="00F3718D" w:rsidP="00BB3BC1" w14:paraId="7B2C19FF" w14:textId="1A024B93">
            <w:pPr>
              <w:widowControl/>
              <w:rPr>
                <w:rFonts w:ascii="Calibri" w:hAnsi="Calibri" w:cs="Calibri"/>
                <w:color w:val="000000"/>
                <w:sz w:val="16"/>
                <w:szCs w:val="16"/>
              </w:rPr>
            </w:pPr>
            <w:r>
              <w:rPr>
                <w:rFonts w:ascii="Calibri" w:hAnsi="Calibri" w:cs="Calibri"/>
                <w:color w:val="000000"/>
                <w:sz w:val="16"/>
                <w:szCs w:val="16"/>
              </w:rPr>
              <w:t>Adjustment</w:t>
            </w:r>
            <w:r>
              <w:rPr>
                <w:rFonts w:ascii="Calibri" w:hAnsi="Calibri" w:cs="Calibri"/>
                <w:color w:val="000000"/>
                <w:sz w:val="16"/>
                <w:szCs w:val="16"/>
              </w:rPr>
              <w:t xml:space="preserve"> in number of permit holders; inflation adjustment to labor and material costs</w:t>
            </w:r>
          </w:p>
        </w:tc>
      </w:tr>
      <w:tr w14:paraId="484518AC" w14:textId="77777777" w:rsidTr="007E5F89">
        <w:tblPrEx>
          <w:tblW w:w="12860" w:type="dxa"/>
          <w:tblLook w:val="04A0"/>
        </w:tblPrEx>
        <w:trPr>
          <w:trHeight w:val="427"/>
        </w:trPr>
        <w:tc>
          <w:tcPr>
            <w:tcW w:w="2322"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011431F7" w14:textId="77777777">
            <w:pPr>
              <w:widowControl/>
              <w:rPr>
                <w:rFonts w:ascii="Calibri" w:hAnsi="Calibri" w:cs="Calibri"/>
                <w:color w:val="000000"/>
                <w:sz w:val="16"/>
                <w:szCs w:val="16"/>
              </w:rPr>
            </w:pPr>
            <w:r w:rsidRPr="00F3718D">
              <w:rPr>
                <w:rFonts w:ascii="Calibri" w:hAnsi="Calibri" w:cs="Calibri"/>
                <w:color w:val="000000"/>
                <w:sz w:val="16"/>
                <w:szCs w:val="16"/>
              </w:rPr>
              <w:t>Handling and harpoon buoys</w:t>
            </w:r>
          </w:p>
        </w:tc>
        <w:tc>
          <w:tcPr>
            <w:tcW w:w="980" w:type="dxa"/>
            <w:tcBorders>
              <w:top w:val="nil"/>
              <w:left w:val="nil"/>
              <w:bottom w:val="dotted" w:sz="4" w:space="0" w:color="000000"/>
              <w:right w:val="dashed" w:sz="8" w:space="0" w:color="000000"/>
            </w:tcBorders>
            <w:shd w:val="clear" w:color="auto" w:fill="auto"/>
            <w:vAlign w:val="center"/>
            <w:hideMark/>
          </w:tcPr>
          <w:p w:rsidR="00BB3BC1" w:rsidP="00BB3BC1" w14:paraId="7ECD7571" w14:textId="31F2AEA2">
            <w:pPr>
              <w:jc w:val="center"/>
              <w:rPr>
                <w:rFonts w:ascii="Calibri" w:hAnsi="Calibri" w:cs="Calibri"/>
                <w:color w:val="000000"/>
                <w:sz w:val="16"/>
                <w:szCs w:val="16"/>
              </w:rPr>
            </w:pPr>
            <w:r>
              <w:rPr>
                <w:rFonts w:ascii="Calibri" w:hAnsi="Calibri" w:cs="Calibri"/>
                <w:color w:val="000000"/>
                <w:sz w:val="16"/>
                <w:szCs w:val="16"/>
              </w:rPr>
              <w:t>$2,619</w:t>
            </w:r>
          </w:p>
        </w:tc>
        <w:tc>
          <w:tcPr>
            <w:tcW w:w="918" w:type="dxa"/>
            <w:tcBorders>
              <w:top w:val="nil"/>
              <w:left w:val="nil"/>
              <w:bottom w:val="dotted" w:sz="4" w:space="0" w:color="000000"/>
              <w:right w:val="single" w:sz="8" w:space="0" w:color="000000"/>
            </w:tcBorders>
            <w:shd w:val="clear" w:color="auto" w:fill="auto"/>
            <w:vAlign w:val="center"/>
            <w:hideMark/>
          </w:tcPr>
          <w:p w:rsidR="00BB3BC1" w:rsidP="00BB3BC1" w14:paraId="2B1F7068" w14:textId="2DB81DBC">
            <w:pPr>
              <w:jc w:val="center"/>
              <w:rPr>
                <w:rFonts w:ascii="Calibri" w:hAnsi="Calibri" w:cs="Calibri"/>
                <w:color w:val="000000"/>
                <w:sz w:val="16"/>
                <w:szCs w:val="16"/>
              </w:rPr>
            </w:pPr>
            <w:r>
              <w:rPr>
                <w:rFonts w:ascii="Calibri" w:hAnsi="Calibri" w:cs="Calibri"/>
                <w:color w:val="000000"/>
                <w:sz w:val="16"/>
                <w:szCs w:val="16"/>
              </w:rPr>
              <w:t>$2,532</w:t>
            </w:r>
          </w:p>
        </w:tc>
        <w:tc>
          <w:tcPr>
            <w:tcW w:w="859" w:type="dxa"/>
            <w:tcBorders>
              <w:top w:val="nil"/>
              <w:left w:val="nil"/>
              <w:bottom w:val="dotted" w:sz="4" w:space="0" w:color="000000"/>
              <w:right w:val="dashed" w:sz="8" w:space="0" w:color="000000"/>
            </w:tcBorders>
            <w:shd w:val="clear" w:color="auto" w:fill="auto"/>
            <w:vAlign w:val="center"/>
            <w:hideMark/>
          </w:tcPr>
          <w:p w:rsidR="00BB3BC1" w:rsidP="00BB3BC1" w14:paraId="70280AA3" w14:textId="029368E5">
            <w:pPr>
              <w:jc w:val="center"/>
              <w:rPr>
                <w:rFonts w:ascii="Calibri" w:hAnsi="Calibri" w:cs="Calibri"/>
                <w:color w:val="000000"/>
                <w:sz w:val="16"/>
                <w:szCs w:val="16"/>
              </w:rPr>
            </w:pPr>
            <w:r>
              <w:rPr>
                <w:rFonts w:ascii="Calibri" w:hAnsi="Calibri" w:cs="Calibri"/>
                <w:color w:val="000000"/>
                <w:sz w:val="16"/>
                <w:szCs w:val="16"/>
              </w:rPr>
              <w:t>$8,175</w:t>
            </w:r>
          </w:p>
        </w:tc>
        <w:tc>
          <w:tcPr>
            <w:tcW w:w="940" w:type="dxa"/>
            <w:tcBorders>
              <w:top w:val="nil"/>
              <w:left w:val="nil"/>
              <w:bottom w:val="dotted" w:sz="4" w:space="0" w:color="000000"/>
              <w:right w:val="single" w:sz="8" w:space="0" w:color="000000"/>
            </w:tcBorders>
            <w:shd w:val="clear" w:color="auto" w:fill="auto"/>
            <w:vAlign w:val="center"/>
            <w:hideMark/>
          </w:tcPr>
          <w:p w:rsidR="00BB3BC1" w:rsidP="00BB3BC1" w14:paraId="4B2D0CA5" w14:textId="6826847B">
            <w:pPr>
              <w:jc w:val="center"/>
              <w:rPr>
                <w:rFonts w:ascii="Calibri" w:hAnsi="Calibri" w:cs="Calibri"/>
                <w:color w:val="000000"/>
                <w:sz w:val="16"/>
                <w:szCs w:val="16"/>
              </w:rPr>
            </w:pPr>
            <w:r>
              <w:rPr>
                <w:rFonts w:ascii="Calibri" w:hAnsi="Calibri" w:cs="Calibri"/>
                <w:color w:val="000000"/>
                <w:sz w:val="16"/>
                <w:szCs w:val="16"/>
              </w:rPr>
              <w:t>$6,700</w:t>
            </w:r>
          </w:p>
        </w:tc>
        <w:tc>
          <w:tcPr>
            <w:tcW w:w="6841" w:type="dxa"/>
            <w:tcBorders>
              <w:top w:val="nil"/>
              <w:left w:val="nil"/>
              <w:bottom w:val="dotted" w:sz="4" w:space="0" w:color="000000"/>
              <w:right w:val="single" w:sz="8" w:space="0" w:color="000000"/>
            </w:tcBorders>
            <w:shd w:val="clear" w:color="auto" w:fill="auto"/>
            <w:vAlign w:val="center"/>
            <w:hideMark/>
          </w:tcPr>
          <w:p w:rsidR="00BB3BC1" w:rsidRPr="00F3718D" w:rsidP="00BB3BC1" w14:paraId="1A4AF27B" w14:textId="50CAB9B5">
            <w:pPr>
              <w:widowControl/>
              <w:rPr>
                <w:rFonts w:ascii="Calibri" w:hAnsi="Calibri" w:cs="Calibri"/>
                <w:color w:val="000000"/>
                <w:sz w:val="16"/>
                <w:szCs w:val="16"/>
              </w:rPr>
            </w:pPr>
            <w:r>
              <w:rPr>
                <w:rFonts w:ascii="Calibri" w:hAnsi="Calibri" w:cs="Calibri"/>
                <w:color w:val="000000"/>
                <w:sz w:val="16"/>
                <w:szCs w:val="16"/>
              </w:rPr>
              <w:t>Adjustment in number of permit holders; inflation adjustment to labor and material costs</w:t>
            </w:r>
          </w:p>
        </w:tc>
      </w:tr>
      <w:tr w14:paraId="3314A1EE" w14:textId="77777777" w:rsidTr="007E5F89">
        <w:tblPrEx>
          <w:tblW w:w="12860" w:type="dxa"/>
          <w:tblLook w:val="04A0"/>
        </w:tblPrEx>
        <w:trPr>
          <w:trHeight w:val="445"/>
        </w:trPr>
        <w:tc>
          <w:tcPr>
            <w:tcW w:w="2322"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1DD05CF9" w14:textId="77777777">
            <w:pPr>
              <w:widowControl/>
              <w:rPr>
                <w:rFonts w:ascii="Calibri" w:hAnsi="Calibri" w:cs="Calibri"/>
                <w:color w:val="000000"/>
                <w:sz w:val="16"/>
                <w:szCs w:val="16"/>
              </w:rPr>
            </w:pPr>
            <w:r w:rsidRPr="00F3718D">
              <w:rPr>
                <w:rFonts w:ascii="Calibri" w:hAnsi="Calibri" w:cs="Calibri"/>
                <w:color w:val="000000"/>
                <w:sz w:val="16"/>
                <w:szCs w:val="16"/>
              </w:rPr>
              <w:t xml:space="preserve">Pelagic longline high-fliers </w:t>
            </w:r>
            <w:r w:rsidRPr="00F3718D">
              <w:rPr>
                <w:rFonts w:ascii="Calibri" w:hAnsi="Calibri" w:cs="Calibri"/>
                <w:color w:val="000000"/>
                <w:sz w:val="16"/>
                <w:szCs w:val="16"/>
              </w:rPr>
              <w:t>and floats</w:t>
            </w:r>
          </w:p>
        </w:tc>
        <w:tc>
          <w:tcPr>
            <w:tcW w:w="980" w:type="dxa"/>
            <w:tcBorders>
              <w:top w:val="nil"/>
              <w:left w:val="nil"/>
              <w:bottom w:val="dotted" w:sz="4" w:space="0" w:color="000000"/>
              <w:right w:val="dashed" w:sz="8" w:space="0" w:color="000000"/>
            </w:tcBorders>
            <w:shd w:val="clear" w:color="auto" w:fill="auto"/>
            <w:vAlign w:val="center"/>
            <w:hideMark/>
          </w:tcPr>
          <w:p w:rsidR="00BB3BC1" w:rsidP="00BB3BC1" w14:paraId="5D8B71CE" w14:textId="08035308">
            <w:pPr>
              <w:jc w:val="center"/>
              <w:rPr>
                <w:rFonts w:ascii="Calibri" w:hAnsi="Calibri" w:cs="Calibri"/>
                <w:color w:val="000000"/>
                <w:sz w:val="16"/>
                <w:szCs w:val="16"/>
              </w:rPr>
            </w:pPr>
            <w:r>
              <w:rPr>
                <w:rFonts w:ascii="Calibri" w:hAnsi="Calibri" w:cs="Calibri"/>
                <w:color w:val="000000"/>
                <w:sz w:val="16"/>
                <w:szCs w:val="16"/>
              </w:rPr>
              <w:t>$4,901</w:t>
            </w:r>
          </w:p>
        </w:tc>
        <w:tc>
          <w:tcPr>
            <w:tcW w:w="918" w:type="dxa"/>
            <w:tcBorders>
              <w:top w:val="nil"/>
              <w:left w:val="nil"/>
              <w:bottom w:val="dotted" w:sz="4" w:space="0" w:color="000000"/>
              <w:right w:val="single" w:sz="8" w:space="0" w:color="000000"/>
            </w:tcBorders>
            <w:shd w:val="clear" w:color="auto" w:fill="auto"/>
            <w:vAlign w:val="center"/>
            <w:hideMark/>
          </w:tcPr>
          <w:p w:rsidR="00BB3BC1" w:rsidP="00BB3BC1" w14:paraId="4999D243" w14:textId="2DA1DE15">
            <w:pPr>
              <w:jc w:val="center"/>
              <w:rPr>
                <w:rFonts w:ascii="Calibri" w:hAnsi="Calibri" w:cs="Calibri"/>
                <w:color w:val="000000"/>
                <w:sz w:val="16"/>
                <w:szCs w:val="16"/>
              </w:rPr>
            </w:pPr>
            <w:r>
              <w:rPr>
                <w:rFonts w:ascii="Calibri" w:hAnsi="Calibri" w:cs="Calibri"/>
                <w:color w:val="000000"/>
                <w:sz w:val="16"/>
                <w:szCs w:val="16"/>
              </w:rPr>
              <w:t>$9,343</w:t>
            </w:r>
          </w:p>
        </w:tc>
        <w:tc>
          <w:tcPr>
            <w:tcW w:w="859" w:type="dxa"/>
            <w:tcBorders>
              <w:top w:val="nil"/>
              <w:left w:val="nil"/>
              <w:bottom w:val="dotted" w:sz="4" w:space="0" w:color="000000"/>
              <w:right w:val="dashed" w:sz="8" w:space="0" w:color="000000"/>
            </w:tcBorders>
            <w:shd w:val="clear" w:color="auto" w:fill="auto"/>
            <w:vAlign w:val="center"/>
            <w:hideMark/>
          </w:tcPr>
          <w:p w:rsidR="00BB3BC1" w:rsidP="00BB3BC1" w14:paraId="2D2439CB" w14:textId="444D71B8">
            <w:pPr>
              <w:jc w:val="center"/>
              <w:rPr>
                <w:rFonts w:ascii="Calibri" w:hAnsi="Calibri" w:cs="Calibri"/>
                <w:color w:val="000000"/>
                <w:sz w:val="16"/>
                <w:szCs w:val="16"/>
              </w:rPr>
            </w:pPr>
            <w:r>
              <w:rPr>
                <w:rFonts w:ascii="Calibri" w:hAnsi="Calibri" w:cs="Calibri"/>
                <w:color w:val="000000"/>
                <w:sz w:val="16"/>
                <w:szCs w:val="16"/>
              </w:rPr>
              <w:t>$15,300</w:t>
            </w:r>
          </w:p>
        </w:tc>
        <w:tc>
          <w:tcPr>
            <w:tcW w:w="940" w:type="dxa"/>
            <w:tcBorders>
              <w:top w:val="nil"/>
              <w:left w:val="nil"/>
              <w:bottom w:val="dotted" w:sz="4" w:space="0" w:color="000000"/>
              <w:right w:val="single" w:sz="8" w:space="0" w:color="000000"/>
            </w:tcBorders>
            <w:shd w:val="clear" w:color="auto" w:fill="auto"/>
            <w:vAlign w:val="center"/>
            <w:hideMark/>
          </w:tcPr>
          <w:p w:rsidR="00BB3BC1" w:rsidP="00BB3BC1" w14:paraId="61C9F856" w14:textId="174F46C6">
            <w:pPr>
              <w:jc w:val="center"/>
              <w:rPr>
                <w:rFonts w:ascii="Calibri" w:hAnsi="Calibri" w:cs="Calibri"/>
                <w:color w:val="000000"/>
                <w:sz w:val="16"/>
                <w:szCs w:val="16"/>
              </w:rPr>
            </w:pPr>
            <w:r>
              <w:rPr>
                <w:rFonts w:ascii="Calibri" w:hAnsi="Calibri" w:cs="Calibri"/>
                <w:color w:val="000000"/>
                <w:sz w:val="16"/>
                <w:szCs w:val="16"/>
              </w:rPr>
              <w:t>$25,700</w:t>
            </w:r>
          </w:p>
        </w:tc>
        <w:tc>
          <w:tcPr>
            <w:tcW w:w="6841" w:type="dxa"/>
            <w:tcBorders>
              <w:top w:val="nil"/>
              <w:left w:val="nil"/>
              <w:bottom w:val="dotted" w:sz="4" w:space="0" w:color="000000"/>
              <w:right w:val="single" w:sz="8" w:space="0" w:color="000000"/>
            </w:tcBorders>
            <w:shd w:val="clear" w:color="auto" w:fill="auto"/>
            <w:vAlign w:val="center"/>
            <w:hideMark/>
          </w:tcPr>
          <w:p w:rsidR="00BB3BC1" w:rsidRPr="00F3718D" w:rsidP="00BB3BC1" w14:paraId="1C48E20C" w14:textId="50870BF6">
            <w:pPr>
              <w:widowControl/>
              <w:rPr>
                <w:rFonts w:ascii="Calibri" w:hAnsi="Calibri" w:cs="Calibri"/>
                <w:color w:val="000000"/>
                <w:sz w:val="16"/>
                <w:szCs w:val="16"/>
              </w:rPr>
            </w:pPr>
            <w:r>
              <w:rPr>
                <w:rFonts w:ascii="Calibri" w:hAnsi="Calibri" w:cs="Calibri"/>
                <w:color w:val="000000"/>
                <w:sz w:val="16"/>
                <w:szCs w:val="16"/>
              </w:rPr>
              <w:t>Adjustment in number of permit holders; inflation adjustment to labor and material costs</w:t>
            </w:r>
          </w:p>
        </w:tc>
      </w:tr>
      <w:tr w14:paraId="41B6C9A8" w14:textId="77777777" w:rsidTr="007E5F89">
        <w:tblPrEx>
          <w:tblW w:w="12860" w:type="dxa"/>
          <w:tblLook w:val="04A0"/>
        </w:tblPrEx>
        <w:trPr>
          <w:trHeight w:val="337"/>
        </w:trPr>
        <w:tc>
          <w:tcPr>
            <w:tcW w:w="2322"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3994EA73" w14:textId="77777777">
            <w:pPr>
              <w:widowControl/>
              <w:rPr>
                <w:rFonts w:ascii="Calibri" w:hAnsi="Calibri" w:cs="Calibri"/>
                <w:color w:val="000000"/>
                <w:sz w:val="16"/>
                <w:szCs w:val="16"/>
              </w:rPr>
            </w:pPr>
            <w:r w:rsidRPr="00F3718D">
              <w:rPr>
                <w:rFonts w:ascii="Calibri" w:hAnsi="Calibri" w:cs="Calibri"/>
                <w:color w:val="000000"/>
                <w:sz w:val="16"/>
                <w:szCs w:val="16"/>
              </w:rPr>
              <w:t>Bottom longline floats</w:t>
            </w:r>
          </w:p>
        </w:tc>
        <w:tc>
          <w:tcPr>
            <w:tcW w:w="980" w:type="dxa"/>
            <w:tcBorders>
              <w:top w:val="nil"/>
              <w:left w:val="nil"/>
              <w:bottom w:val="dotted" w:sz="4" w:space="0" w:color="000000"/>
              <w:right w:val="dashed" w:sz="8" w:space="0" w:color="000000"/>
            </w:tcBorders>
            <w:shd w:val="clear" w:color="auto" w:fill="auto"/>
            <w:vAlign w:val="center"/>
            <w:hideMark/>
          </w:tcPr>
          <w:p w:rsidR="00BB3BC1" w:rsidP="00BB3BC1" w14:paraId="20F30017" w14:textId="029C9C97">
            <w:pPr>
              <w:jc w:val="center"/>
              <w:rPr>
                <w:rFonts w:ascii="Calibri" w:hAnsi="Calibri" w:cs="Calibri"/>
                <w:color w:val="000000"/>
                <w:sz w:val="16"/>
                <w:szCs w:val="16"/>
              </w:rPr>
            </w:pPr>
            <w:r>
              <w:rPr>
                <w:rFonts w:ascii="Calibri" w:hAnsi="Calibri" w:cs="Calibri"/>
                <w:color w:val="000000"/>
                <w:sz w:val="16"/>
                <w:szCs w:val="16"/>
              </w:rPr>
              <w:t>$144</w:t>
            </w:r>
          </w:p>
        </w:tc>
        <w:tc>
          <w:tcPr>
            <w:tcW w:w="918" w:type="dxa"/>
            <w:tcBorders>
              <w:top w:val="nil"/>
              <w:left w:val="nil"/>
              <w:bottom w:val="dotted" w:sz="4" w:space="0" w:color="000000"/>
              <w:right w:val="single" w:sz="8" w:space="0" w:color="000000"/>
            </w:tcBorders>
            <w:shd w:val="clear" w:color="auto" w:fill="auto"/>
            <w:vAlign w:val="center"/>
            <w:hideMark/>
          </w:tcPr>
          <w:p w:rsidR="00BB3BC1" w:rsidP="00BB3BC1" w14:paraId="255742AE" w14:textId="44673B9D">
            <w:pPr>
              <w:jc w:val="center"/>
              <w:rPr>
                <w:rFonts w:ascii="Calibri" w:hAnsi="Calibri" w:cs="Calibri"/>
                <w:color w:val="000000"/>
                <w:sz w:val="16"/>
                <w:szCs w:val="16"/>
              </w:rPr>
            </w:pPr>
            <w:r>
              <w:rPr>
                <w:rFonts w:ascii="Calibri" w:hAnsi="Calibri" w:cs="Calibri"/>
                <w:color w:val="000000"/>
                <w:sz w:val="16"/>
                <w:szCs w:val="16"/>
              </w:rPr>
              <w:t>$196</w:t>
            </w:r>
          </w:p>
        </w:tc>
        <w:tc>
          <w:tcPr>
            <w:tcW w:w="859" w:type="dxa"/>
            <w:tcBorders>
              <w:top w:val="nil"/>
              <w:left w:val="nil"/>
              <w:bottom w:val="dotted" w:sz="4" w:space="0" w:color="000000"/>
              <w:right w:val="dashed" w:sz="8" w:space="0" w:color="000000"/>
            </w:tcBorders>
            <w:shd w:val="clear" w:color="auto" w:fill="auto"/>
            <w:vAlign w:val="center"/>
            <w:hideMark/>
          </w:tcPr>
          <w:p w:rsidR="00BB3BC1" w:rsidP="00BB3BC1" w14:paraId="1FA5DC43" w14:textId="50C57914">
            <w:pPr>
              <w:jc w:val="center"/>
              <w:rPr>
                <w:rFonts w:ascii="Calibri" w:hAnsi="Calibri" w:cs="Calibri"/>
                <w:color w:val="000000"/>
                <w:sz w:val="16"/>
                <w:szCs w:val="16"/>
              </w:rPr>
            </w:pPr>
            <w:r>
              <w:rPr>
                <w:rFonts w:ascii="Calibri" w:hAnsi="Calibri" w:cs="Calibri"/>
                <w:color w:val="000000"/>
                <w:sz w:val="16"/>
                <w:szCs w:val="16"/>
              </w:rPr>
              <w:t>$450</w:t>
            </w:r>
          </w:p>
        </w:tc>
        <w:tc>
          <w:tcPr>
            <w:tcW w:w="940" w:type="dxa"/>
            <w:tcBorders>
              <w:top w:val="nil"/>
              <w:left w:val="nil"/>
              <w:bottom w:val="dotted" w:sz="4" w:space="0" w:color="000000"/>
              <w:right w:val="single" w:sz="8" w:space="0" w:color="000000"/>
            </w:tcBorders>
            <w:shd w:val="clear" w:color="auto" w:fill="auto"/>
            <w:vAlign w:val="center"/>
            <w:hideMark/>
          </w:tcPr>
          <w:p w:rsidR="00BB3BC1" w:rsidP="00BB3BC1" w14:paraId="38FFC205" w14:textId="45FC7865">
            <w:pPr>
              <w:jc w:val="center"/>
              <w:rPr>
                <w:rFonts w:ascii="Calibri" w:hAnsi="Calibri" w:cs="Calibri"/>
                <w:color w:val="000000"/>
                <w:sz w:val="16"/>
                <w:szCs w:val="16"/>
              </w:rPr>
            </w:pPr>
            <w:r>
              <w:rPr>
                <w:rFonts w:ascii="Calibri" w:hAnsi="Calibri" w:cs="Calibri"/>
                <w:color w:val="000000"/>
                <w:sz w:val="16"/>
                <w:szCs w:val="16"/>
              </w:rPr>
              <w:t>$500</w:t>
            </w:r>
          </w:p>
        </w:tc>
        <w:tc>
          <w:tcPr>
            <w:tcW w:w="6841" w:type="dxa"/>
            <w:tcBorders>
              <w:top w:val="nil"/>
              <w:left w:val="nil"/>
              <w:bottom w:val="dotted" w:sz="4" w:space="0" w:color="000000"/>
              <w:right w:val="single" w:sz="8" w:space="0" w:color="000000"/>
            </w:tcBorders>
            <w:shd w:val="clear" w:color="auto" w:fill="auto"/>
            <w:vAlign w:val="center"/>
            <w:hideMark/>
          </w:tcPr>
          <w:p w:rsidR="00BB3BC1" w:rsidRPr="00F3718D" w:rsidP="00BB3BC1" w14:paraId="46C2FED3" w14:textId="7BED726B">
            <w:pPr>
              <w:widowControl/>
              <w:rPr>
                <w:rFonts w:ascii="Calibri" w:hAnsi="Calibri" w:cs="Calibri"/>
                <w:color w:val="000000"/>
                <w:sz w:val="16"/>
                <w:szCs w:val="16"/>
              </w:rPr>
            </w:pPr>
            <w:r>
              <w:rPr>
                <w:rFonts w:ascii="Calibri" w:hAnsi="Calibri" w:cs="Calibri"/>
                <w:color w:val="000000"/>
                <w:sz w:val="16"/>
                <w:szCs w:val="16"/>
              </w:rPr>
              <w:t>Adjustment in number of permit holders; inflation adjustment to labor and material</w:t>
            </w:r>
            <w:r>
              <w:rPr>
                <w:rFonts w:ascii="Calibri" w:hAnsi="Calibri" w:cs="Calibri"/>
                <w:color w:val="000000"/>
                <w:sz w:val="16"/>
                <w:szCs w:val="16"/>
              </w:rPr>
              <w:t xml:space="preserve"> costs</w:t>
            </w:r>
          </w:p>
        </w:tc>
      </w:tr>
      <w:tr w14:paraId="3FD65549" w14:textId="77777777" w:rsidTr="007E5F89">
        <w:tblPrEx>
          <w:tblW w:w="12860" w:type="dxa"/>
          <w:tblLook w:val="04A0"/>
        </w:tblPrEx>
        <w:trPr>
          <w:trHeight w:val="427"/>
        </w:trPr>
        <w:tc>
          <w:tcPr>
            <w:tcW w:w="2322"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1C63062E" w14:textId="77777777">
            <w:pPr>
              <w:widowControl/>
              <w:rPr>
                <w:rFonts w:ascii="Calibri" w:hAnsi="Calibri" w:cs="Calibri"/>
                <w:color w:val="000000"/>
                <w:sz w:val="16"/>
                <w:szCs w:val="16"/>
              </w:rPr>
            </w:pPr>
            <w:r w:rsidRPr="00F3718D">
              <w:rPr>
                <w:rFonts w:ascii="Calibri" w:hAnsi="Calibri" w:cs="Calibri"/>
                <w:color w:val="000000"/>
                <w:sz w:val="16"/>
                <w:szCs w:val="16"/>
              </w:rPr>
              <w:t>Swordfish/Caribbean buoy gear</w:t>
            </w:r>
          </w:p>
        </w:tc>
        <w:tc>
          <w:tcPr>
            <w:tcW w:w="980" w:type="dxa"/>
            <w:tcBorders>
              <w:top w:val="nil"/>
              <w:left w:val="nil"/>
              <w:bottom w:val="dotted" w:sz="4" w:space="0" w:color="000000"/>
              <w:right w:val="dashed" w:sz="8" w:space="0" w:color="000000"/>
            </w:tcBorders>
            <w:shd w:val="clear" w:color="auto" w:fill="auto"/>
            <w:vAlign w:val="center"/>
            <w:hideMark/>
          </w:tcPr>
          <w:p w:rsidR="00BB3BC1" w:rsidP="00BB3BC1" w14:paraId="1DF0C584" w14:textId="6D3CB52B">
            <w:pPr>
              <w:jc w:val="center"/>
              <w:rPr>
                <w:rFonts w:ascii="Calibri" w:hAnsi="Calibri" w:cs="Calibri"/>
                <w:color w:val="000000"/>
                <w:sz w:val="16"/>
                <w:szCs w:val="16"/>
              </w:rPr>
            </w:pPr>
            <w:r>
              <w:rPr>
                <w:rFonts w:ascii="Calibri" w:hAnsi="Calibri" w:cs="Calibri"/>
                <w:color w:val="000000"/>
                <w:sz w:val="16"/>
                <w:szCs w:val="16"/>
              </w:rPr>
              <w:t>$14,463</w:t>
            </w:r>
          </w:p>
        </w:tc>
        <w:tc>
          <w:tcPr>
            <w:tcW w:w="918" w:type="dxa"/>
            <w:tcBorders>
              <w:top w:val="nil"/>
              <w:left w:val="nil"/>
              <w:bottom w:val="dotted" w:sz="4" w:space="0" w:color="000000"/>
              <w:right w:val="single" w:sz="8" w:space="0" w:color="000000"/>
            </w:tcBorders>
            <w:shd w:val="clear" w:color="auto" w:fill="auto"/>
            <w:vAlign w:val="center"/>
            <w:hideMark/>
          </w:tcPr>
          <w:p w:rsidR="00BB3BC1" w:rsidP="00BB3BC1" w14:paraId="38D61246" w14:textId="7253DCBE">
            <w:pPr>
              <w:jc w:val="center"/>
              <w:rPr>
                <w:rFonts w:ascii="Calibri" w:hAnsi="Calibri" w:cs="Calibri"/>
                <w:color w:val="000000"/>
                <w:sz w:val="16"/>
                <w:szCs w:val="16"/>
              </w:rPr>
            </w:pPr>
            <w:r>
              <w:rPr>
                <w:rFonts w:ascii="Calibri" w:hAnsi="Calibri" w:cs="Calibri"/>
                <w:color w:val="000000"/>
                <w:sz w:val="16"/>
                <w:szCs w:val="16"/>
              </w:rPr>
              <w:t>$10,681</w:t>
            </w:r>
          </w:p>
        </w:tc>
        <w:tc>
          <w:tcPr>
            <w:tcW w:w="859" w:type="dxa"/>
            <w:tcBorders>
              <w:top w:val="nil"/>
              <w:left w:val="nil"/>
              <w:bottom w:val="dotted" w:sz="4" w:space="0" w:color="000000"/>
              <w:right w:val="dashed" w:sz="8" w:space="0" w:color="000000"/>
            </w:tcBorders>
            <w:shd w:val="clear" w:color="auto" w:fill="auto"/>
            <w:vAlign w:val="center"/>
            <w:hideMark/>
          </w:tcPr>
          <w:p w:rsidR="00BB3BC1" w:rsidP="00BB3BC1" w14:paraId="0787DF8D" w14:textId="7154DFEB">
            <w:pPr>
              <w:jc w:val="center"/>
              <w:rPr>
                <w:rFonts w:ascii="Calibri" w:hAnsi="Calibri" w:cs="Calibri"/>
                <w:color w:val="000000"/>
                <w:sz w:val="16"/>
                <w:szCs w:val="16"/>
              </w:rPr>
            </w:pPr>
            <w:r>
              <w:rPr>
                <w:rFonts w:ascii="Calibri" w:hAnsi="Calibri" w:cs="Calibri"/>
                <w:color w:val="000000"/>
                <w:sz w:val="16"/>
                <w:szCs w:val="16"/>
              </w:rPr>
              <w:t>$45,150</w:t>
            </w:r>
          </w:p>
        </w:tc>
        <w:tc>
          <w:tcPr>
            <w:tcW w:w="940" w:type="dxa"/>
            <w:tcBorders>
              <w:top w:val="nil"/>
              <w:left w:val="nil"/>
              <w:bottom w:val="dotted" w:sz="4" w:space="0" w:color="000000"/>
              <w:right w:val="single" w:sz="8" w:space="0" w:color="000000"/>
            </w:tcBorders>
            <w:shd w:val="clear" w:color="auto" w:fill="auto"/>
            <w:vAlign w:val="center"/>
            <w:hideMark/>
          </w:tcPr>
          <w:p w:rsidR="00BB3BC1" w:rsidP="00040A2A" w14:paraId="0297C8B8" w14:textId="55D2852F">
            <w:pPr>
              <w:jc w:val="center"/>
              <w:rPr>
                <w:rFonts w:ascii="Calibri" w:hAnsi="Calibri" w:cs="Calibri"/>
                <w:color w:val="000000"/>
                <w:sz w:val="16"/>
                <w:szCs w:val="16"/>
              </w:rPr>
            </w:pPr>
            <w:r>
              <w:rPr>
                <w:rFonts w:ascii="Calibri" w:hAnsi="Calibri" w:cs="Calibri"/>
                <w:color w:val="000000"/>
                <w:sz w:val="16"/>
                <w:szCs w:val="16"/>
              </w:rPr>
              <w:t>$</w:t>
            </w:r>
            <w:r w:rsidR="00040A2A">
              <w:rPr>
                <w:rFonts w:ascii="Calibri" w:hAnsi="Calibri" w:cs="Calibri"/>
                <w:color w:val="000000"/>
                <w:sz w:val="16"/>
                <w:szCs w:val="16"/>
              </w:rPr>
              <w:t>28,350</w:t>
            </w:r>
          </w:p>
        </w:tc>
        <w:tc>
          <w:tcPr>
            <w:tcW w:w="6841" w:type="dxa"/>
            <w:tcBorders>
              <w:top w:val="nil"/>
              <w:left w:val="nil"/>
              <w:bottom w:val="dotted" w:sz="4" w:space="0" w:color="000000"/>
              <w:right w:val="single" w:sz="8" w:space="0" w:color="000000"/>
            </w:tcBorders>
            <w:shd w:val="clear" w:color="auto" w:fill="auto"/>
            <w:vAlign w:val="center"/>
            <w:hideMark/>
          </w:tcPr>
          <w:p w:rsidR="00BB3BC1" w:rsidRPr="00F3718D" w:rsidP="00BB3BC1" w14:paraId="13FBD991" w14:textId="4CCC77EB">
            <w:pPr>
              <w:widowControl/>
              <w:rPr>
                <w:rFonts w:ascii="Calibri" w:hAnsi="Calibri" w:cs="Calibri"/>
                <w:color w:val="000000"/>
                <w:sz w:val="16"/>
                <w:szCs w:val="16"/>
              </w:rPr>
            </w:pPr>
            <w:r>
              <w:rPr>
                <w:rFonts w:ascii="Calibri" w:hAnsi="Calibri" w:cs="Calibri"/>
                <w:color w:val="000000"/>
                <w:sz w:val="16"/>
                <w:szCs w:val="16"/>
              </w:rPr>
              <w:t>Adjustment in number of permit holders; inflation adjustment to labor and material costs</w:t>
            </w:r>
          </w:p>
        </w:tc>
      </w:tr>
      <w:tr w14:paraId="16709F6B" w14:textId="77777777" w:rsidTr="007E5F89">
        <w:tblPrEx>
          <w:tblW w:w="12860" w:type="dxa"/>
          <w:tblLook w:val="04A0"/>
        </w:tblPrEx>
        <w:trPr>
          <w:trHeight w:val="427"/>
        </w:trPr>
        <w:tc>
          <w:tcPr>
            <w:tcW w:w="2322"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1C92B88C" w14:textId="77777777">
            <w:pPr>
              <w:widowControl/>
              <w:rPr>
                <w:rFonts w:ascii="Calibri" w:hAnsi="Calibri" w:cs="Calibri"/>
                <w:color w:val="000000"/>
                <w:sz w:val="16"/>
                <w:szCs w:val="16"/>
              </w:rPr>
            </w:pPr>
            <w:r w:rsidRPr="00F3718D">
              <w:rPr>
                <w:rFonts w:ascii="Calibri" w:hAnsi="Calibri" w:cs="Calibri"/>
                <w:color w:val="000000"/>
                <w:sz w:val="16"/>
                <w:szCs w:val="16"/>
              </w:rPr>
              <w:t>Gillnet floats</w:t>
            </w:r>
          </w:p>
        </w:tc>
        <w:tc>
          <w:tcPr>
            <w:tcW w:w="980" w:type="dxa"/>
            <w:tcBorders>
              <w:top w:val="nil"/>
              <w:left w:val="nil"/>
              <w:bottom w:val="dotted" w:sz="4" w:space="0" w:color="000000"/>
              <w:right w:val="dashed" w:sz="8" w:space="0" w:color="000000"/>
            </w:tcBorders>
            <w:shd w:val="clear" w:color="auto" w:fill="auto"/>
            <w:vAlign w:val="center"/>
            <w:hideMark/>
          </w:tcPr>
          <w:p w:rsidR="00BB3BC1" w:rsidP="00BB3BC1" w14:paraId="43BEA355" w14:textId="2AD6BE5D">
            <w:pPr>
              <w:jc w:val="center"/>
              <w:rPr>
                <w:rFonts w:ascii="Calibri" w:hAnsi="Calibri" w:cs="Calibri"/>
                <w:color w:val="000000"/>
                <w:sz w:val="16"/>
                <w:szCs w:val="16"/>
              </w:rPr>
            </w:pPr>
            <w:r>
              <w:rPr>
                <w:rFonts w:ascii="Calibri" w:hAnsi="Calibri" w:cs="Calibri"/>
                <w:color w:val="000000"/>
                <w:sz w:val="16"/>
                <w:szCs w:val="16"/>
              </w:rPr>
              <w:t>$211</w:t>
            </w:r>
          </w:p>
        </w:tc>
        <w:tc>
          <w:tcPr>
            <w:tcW w:w="918" w:type="dxa"/>
            <w:tcBorders>
              <w:top w:val="nil"/>
              <w:left w:val="nil"/>
              <w:bottom w:val="dotted" w:sz="4" w:space="0" w:color="000000"/>
              <w:right w:val="single" w:sz="8" w:space="0" w:color="000000"/>
            </w:tcBorders>
            <w:shd w:val="clear" w:color="auto" w:fill="auto"/>
            <w:vAlign w:val="center"/>
            <w:hideMark/>
          </w:tcPr>
          <w:p w:rsidR="00BB3BC1" w:rsidP="00BB3BC1" w14:paraId="038CD0DE" w14:textId="5A9A35B0">
            <w:pPr>
              <w:jc w:val="center"/>
              <w:rPr>
                <w:rFonts w:ascii="Calibri" w:hAnsi="Calibri" w:cs="Calibri"/>
                <w:color w:val="000000"/>
                <w:sz w:val="16"/>
                <w:szCs w:val="16"/>
              </w:rPr>
            </w:pPr>
            <w:r>
              <w:rPr>
                <w:rFonts w:ascii="Calibri" w:hAnsi="Calibri" w:cs="Calibri"/>
                <w:color w:val="000000"/>
                <w:sz w:val="16"/>
                <w:szCs w:val="16"/>
              </w:rPr>
              <w:t>$271</w:t>
            </w:r>
          </w:p>
        </w:tc>
        <w:tc>
          <w:tcPr>
            <w:tcW w:w="859" w:type="dxa"/>
            <w:tcBorders>
              <w:top w:val="nil"/>
              <w:left w:val="nil"/>
              <w:bottom w:val="dotted" w:sz="4" w:space="0" w:color="000000"/>
              <w:right w:val="dashed" w:sz="8" w:space="0" w:color="000000"/>
            </w:tcBorders>
            <w:shd w:val="clear" w:color="auto" w:fill="auto"/>
            <w:vAlign w:val="center"/>
            <w:hideMark/>
          </w:tcPr>
          <w:p w:rsidR="00BB3BC1" w:rsidP="00BB3BC1" w14:paraId="4C359815" w14:textId="5217D5D6">
            <w:pPr>
              <w:jc w:val="center"/>
              <w:rPr>
                <w:rFonts w:ascii="Calibri" w:hAnsi="Calibri" w:cs="Calibri"/>
                <w:color w:val="000000"/>
                <w:sz w:val="16"/>
                <w:szCs w:val="16"/>
              </w:rPr>
            </w:pPr>
            <w:r>
              <w:rPr>
                <w:rFonts w:ascii="Calibri" w:hAnsi="Calibri" w:cs="Calibri"/>
                <w:color w:val="000000"/>
                <w:sz w:val="16"/>
                <w:szCs w:val="16"/>
              </w:rPr>
              <w:t>$660</w:t>
            </w:r>
          </w:p>
        </w:tc>
        <w:tc>
          <w:tcPr>
            <w:tcW w:w="940" w:type="dxa"/>
            <w:tcBorders>
              <w:top w:val="nil"/>
              <w:left w:val="nil"/>
              <w:bottom w:val="dotted" w:sz="4" w:space="0" w:color="000000"/>
              <w:right w:val="single" w:sz="8" w:space="0" w:color="000000"/>
            </w:tcBorders>
            <w:shd w:val="clear" w:color="auto" w:fill="auto"/>
            <w:vAlign w:val="center"/>
            <w:hideMark/>
          </w:tcPr>
          <w:p w:rsidR="00BB3BC1" w:rsidP="00BB3BC1" w14:paraId="3F1849C0" w14:textId="1C9E69B1">
            <w:pPr>
              <w:jc w:val="center"/>
              <w:rPr>
                <w:rFonts w:ascii="Calibri" w:hAnsi="Calibri" w:cs="Calibri"/>
                <w:color w:val="000000"/>
                <w:sz w:val="16"/>
                <w:szCs w:val="16"/>
              </w:rPr>
            </w:pPr>
            <w:r>
              <w:rPr>
                <w:rFonts w:ascii="Calibri" w:hAnsi="Calibri" w:cs="Calibri"/>
                <w:color w:val="000000"/>
                <w:sz w:val="16"/>
                <w:szCs w:val="16"/>
              </w:rPr>
              <w:t>$700</w:t>
            </w:r>
          </w:p>
        </w:tc>
        <w:tc>
          <w:tcPr>
            <w:tcW w:w="6841" w:type="dxa"/>
            <w:tcBorders>
              <w:top w:val="nil"/>
              <w:left w:val="nil"/>
              <w:bottom w:val="dotted" w:sz="4" w:space="0" w:color="000000"/>
              <w:right w:val="single" w:sz="8" w:space="0" w:color="000000"/>
            </w:tcBorders>
            <w:shd w:val="clear" w:color="auto" w:fill="auto"/>
            <w:vAlign w:val="center"/>
            <w:hideMark/>
          </w:tcPr>
          <w:p w:rsidR="00BB3BC1" w:rsidRPr="00F3718D" w:rsidP="00BB3BC1" w14:paraId="21D228B6" w14:textId="10E4E604">
            <w:pPr>
              <w:widowControl/>
              <w:rPr>
                <w:rFonts w:ascii="Calibri" w:hAnsi="Calibri" w:cs="Calibri"/>
                <w:color w:val="000000"/>
                <w:sz w:val="16"/>
                <w:szCs w:val="16"/>
              </w:rPr>
            </w:pPr>
            <w:r>
              <w:rPr>
                <w:rFonts w:ascii="Calibri" w:hAnsi="Calibri" w:cs="Calibri"/>
                <w:color w:val="000000"/>
                <w:sz w:val="16"/>
                <w:szCs w:val="16"/>
              </w:rPr>
              <w:t xml:space="preserve">Adjustment in number of permit holders; inflation adjustment </w:t>
            </w:r>
            <w:r>
              <w:rPr>
                <w:rFonts w:ascii="Calibri" w:hAnsi="Calibri" w:cs="Calibri"/>
                <w:color w:val="000000"/>
                <w:sz w:val="16"/>
                <w:szCs w:val="16"/>
              </w:rPr>
              <w:t>to labor and material costs</w:t>
            </w:r>
          </w:p>
        </w:tc>
      </w:tr>
      <w:tr w14:paraId="462865A3" w14:textId="77777777" w:rsidTr="007E5F89">
        <w:tblPrEx>
          <w:tblW w:w="12860" w:type="dxa"/>
          <w:tblLook w:val="04A0"/>
        </w:tblPrEx>
        <w:trPr>
          <w:trHeight w:val="427"/>
        </w:trPr>
        <w:tc>
          <w:tcPr>
            <w:tcW w:w="2322" w:type="dxa"/>
            <w:tcBorders>
              <w:top w:val="nil"/>
              <w:left w:val="single" w:sz="8" w:space="0" w:color="000000"/>
              <w:bottom w:val="single" w:sz="8" w:space="0" w:color="000000"/>
              <w:right w:val="single" w:sz="8" w:space="0" w:color="000000"/>
            </w:tcBorders>
            <w:shd w:val="clear" w:color="auto" w:fill="auto"/>
            <w:vAlign w:val="center"/>
            <w:hideMark/>
          </w:tcPr>
          <w:p w:rsidR="00BB3BC1" w:rsidRPr="00F3718D" w:rsidP="00BB3BC1" w14:paraId="79A0826A" w14:textId="77777777">
            <w:pPr>
              <w:widowControl/>
              <w:rPr>
                <w:rFonts w:ascii="Calibri" w:hAnsi="Calibri" w:cs="Calibri"/>
                <w:color w:val="000000"/>
                <w:sz w:val="16"/>
                <w:szCs w:val="16"/>
              </w:rPr>
            </w:pPr>
            <w:r w:rsidRPr="00F3718D">
              <w:rPr>
                <w:rFonts w:ascii="Calibri" w:hAnsi="Calibri" w:cs="Calibri"/>
                <w:color w:val="000000"/>
                <w:sz w:val="16"/>
                <w:szCs w:val="16"/>
              </w:rPr>
              <w:t>Caribbean Small Boat</w:t>
            </w:r>
          </w:p>
        </w:tc>
        <w:tc>
          <w:tcPr>
            <w:tcW w:w="980" w:type="dxa"/>
            <w:tcBorders>
              <w:top w:val="nil"/>
              <w:left w:val="nil"/>
              <w:bottom w:val="dotted" w:sz="4" w:space="0" w:color="000000"/>
              <w:right w:val="dashed" w:sz="8" w:space="0" w:color="000000"/>
            </w:tcBorders>
            <w:shd w:val="clear" w:color="auto" w:fill="auto"/>
            <w:vAlign w:val="center"/>
            <w:hideMark/>
          </w:tcPr>
          <w:p w:rsidR="00BB3BC1" w:rsidP="00BB3BC1" w14:paraId="1DB825B4" w14:textId="448BA5DB">
            <w:pPr>
              <w:jc w:val="center"/>
              <w:rPr>
                <w:rFonts w:ascii="Calibri" w:hAnsi="Calibri" w:cs="Calibri"/>
                <w:color w:val="000000"/>
                <w:sz w:val="16"/>
                <w:szCs w:val="16"/>
              </w:rPr>
            </w:pPr>
            <w:r>
              <w:rPr>
                <w:rFonts w:ascii="Calibri" w:hAnsi="Calibri" w:cs="Calibri"/>
                <w:color w:val="000000"/>
                <w:sz w:val="16"/>
                <w:szCs w:val="16"/>
              </w:rPr>
              <w:t>$12,781</w:t>
            </w:r>
          </w:p>
        </w:tc>
        <w:tc>
          <w:tcPr>
            <w:tcW w:w="918" w:type="dxa"/>
            <w:tcBorders>
              <w:top w:val="nil"/>
              <w:left w:val="nil"/>
              <w:bottom w:val="dotted" w:sz="4" w:space="0" w:color="000000"/>
              <w:right w:val="single" w:sz="8" w:space="0" w:color="000000"/>
            </w:tcBorders>
            <w:shd w:val="clear" w:color="auto" w:fill="auto"/>
            <w:vAlign w:val="center"/>
            <w:hideMark/>
          </w:tcPr>
          <w:p w:rsidR="00BB3BC1" w:rsidP="00BB3BC1" w14:paraId="3C8B3458" w14:textId="48317F3A">
            <w:pPr>
              <w:jc w:val="center"/>
              <w:rPr>
                <w:rFonts w:ascii="Calibri" w:hAnsi="Calibri" w:cs="Calibri"/>
                <w:color w:val="000000"/>
                <w:sz w:val="16"/>
                <w:szCs w:val="16"/>
              </w:rPr>
            </w:pPr>
            <w:r>
              <w:rPr>
                <w:rFonts w:ascii="Calibri" w:hAnsi="Calibri" w:cs="Calibri"/>
                <w:color w:val="000000"/>
                <w:sz w:val="16"/>
                <w:szCs w:val="16"/>
              </w:rPr>
              <w:t>$3,963</w:t>
            </w:r>
          </w:p>
        </w:tc>
        <w:tc>
          <w:tcPr>
            <w:tcW w:w="859" w:type="dxa"/>
            <w:tcBorders>
              <w:top w:val="nil"/>
              <w:left w:val="nil"/>
              <w:bottom w:val="dotted" w:sz="4" w:space="0" w:color="000000"/>
              <w:right w:val="dashed" w:sz="8" w:space="0" w:color="000000"/>
            </w:tcBorders>
            <w:shd w:val="clear" w:color="auto" w:fill="auto"/>
            <w:vAlign w:val="center"/>
            <w:hideMark/>
          </w:tcPr>
          <w:p w:rsidR="00BB3BC1" w:rsidP="00BB3BC1" w14:paraId="4363F886" w14:textId="1DBA255B">
            <w:pPr>
              <w:jc w:val="center"/>
              <w:rPr>
                <w:rFonts w:ascii="Calibri" w:hAnsi="Calibri" w:cs="Calibri"/>
                <w:color w:val="000000"/>
                <w:sz w:val="16"/>
                <w:szCs w:val="16"/>
              </w:rPr>
            </w:pPr>
            <w:r>
              <w:rPr>
                <w:rFonts w:ascii="Calibri" w:hAnsi="Calibri" w:cs="Calibri"/>
                <w:color w:val="000000"/>
                <w:sz w:val="16"/>
                <w:szCs w:val="16"/>
              </w:rPr>
              <w:t>$39,900</w:t>
            </w:r>
          </w:p>
        </w:tc>
        <w:tc>
          <w:tcPr>
            <w:tcW w:w="940" w:type="dxa"/>
            <w:tcBorders>
              <w:top w:val="nil"/>
              <w:left w:val="nil"/>
              <w:bottom w:val="dotted" w:sz="4" w:space="0" w:color="000000"/>
              <w:right w:val="single" w:sz="8" w:space="0" w:color="000000"/>
            </w:tcBorders>
            <w:shd w:val="clear" w:color="auto" w:fill="auto"/>
            <w:vAlign w:val="center"/>
            <w:hideMark/>
          </w:tcPr>
          <w:p w:rsidR="00BB3BC1" w:rsidP="00BB3BC1" w14:paraId="6D41FD60" w14:textId="3DB4D002">
            <w:pPr>
              <w:jc w:val="center"/>
              <w:rPr>
                <w:rFonts w:ascii="Calibri" w:hAnsi="Calibri" w:cs="Calibri"/>
                <w:color w:val="000000"/>
                <w:sz w:val="16"/>
                <w:szCs w:val="16"/>
              </w:rPr>
            </w:pPr>
            <w:r>
              <w:rPr>
                <w:rFonts w:ascii="Calibri" w:hAnsi="Calibri" w:cs="Calibri"/>
                <w:color w:val="000000"/>
                <w:sz w:val="16"/>
                <w:szCs w:val="16"/>
              </w:rPr>
              <w:t>$10,500</w:t>
            </w:r>
          </w:p>
        </w:tc>
        <w:tc>
          <w:tcPr>
            <w:tcW w:w="6841" w:type="dxa"/>
            <w:tcBorders>
              <w:top w:val="nil"/>
              <w:left w:val="nil"/>
              <w:bottom w:val="dotted" w:sz="4" w:space="0" w:color="000000"/>
              <w:right w:val="single" w:sz="8" w:space="0" w:color="000000"/>
            </w:tcBorders>
            <w:shd w:val="clear" w:color="auto" w:fill="auto"/>
            <w:vAlign w:val="center"/>
            <w:hideMark/>
          </w:tcPr>
          <w:p w:rsidR="00BB3BC1" w:rsidRPr="00F3718D" w:rsidP="00BB3BC1" w14:paraId="17A23DC5" w14:textId="032BA951">
            <w:pPr>
              <w:widowControl/>
              <w:rPr>
                <w:rFonts w:ascii="Calibri" w:hAnsi="Calibri" w:cs="Calibri"/>
                <w:color w:val="000000"/>
                <w:sz w:val="16"/>
                <w:szCs w:val="16"/>
              </w:rPr>
            </w:pPr>
            <w:r>
              <w:rPr>
                <w:rFonts w:ascii="Calibri" w:hAnsi="Calibri" w:cs="Calibri"/>
                <w:color w:val="000000"/>
                <w:sz w:val="16"/>
                <w:szCs w:val="16"/>
              </w:rPr>
              <w:t>Adjustment in number of permit holders; inflation adjustment to labor and material costs</w:t>
            </w:r>
          </w:p>
        </w:tc>
      </w:tr>
      <w:tr w14:paraId="6CF209B1" w14:textId="77777777" w:rsidTr="007E5F89">
        <w:tblPrEx>
          <w:tblW w:w="12860" w:type="dxa"/>
          <w:tblLook w:val="04A0"/>
        </w:tblPrEx>
        <w:trPr>
          <w:trHeight w:val="465"/>
        </w:trPr>
        <w:tc>
          <w:tcPr>
            <w:tcW w:w="2322" w:type="dxa"/>
            <w:tcBorders>
              <w:top w:val="nil"/>
              <w:left w:val="single" w:sz="8" w:space="0" w:color="000000"/>
              <w:bottom w:val="nil"/>
              <w:right w:val="single" w:sz="8" w:space="0" w:color="000000"/>
            </w:tcBorders>
            <w:shd w:val="clear" w:color="000000" w:fill="BDD6EE"/>
            <w:vAlign w:val="center"/>
            <w:hideMark/>
          </w:tcPr>
          <w:p w:rsidR="00BB3BC1" w:rsidRPr="00F3718D" w:rsidP="00BB3BC1" w14:paraId="16D00B77"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Total for Collection</w:t>
            </w:r>
          </w:p>
        </w:tc>
        <w:tc>
          <w:tcPr>
            <w:tcW w:w="980" w:type="dxa"/>
            <w:tcBorders>
              <w:top w:val="nil"/>
              <w:left w:val="nil"/>
              <w:bottom w:val="nil"/>
              <w:right w:val="dashed" w:sz="8" w:space="0" w:color="000000"/>
            </w:tcBorders>
            <w:shd w:val="clear" w:color="000000" w:fill="BDD6EE"/>
            <w:vAlign w:val="center"/>
            <w:hideMark/>
          </w:tcPr>
          <w:p w:rsidR="00BB3BC1" w:rsidP="00BB3BC1" w14:paraId="46548143" w14:textId="73C3960E">
            <w:pPr>
              <w:jc w:val="center"/>
              <w:rPr>
                <w:rFonts w:ascii="Calibri" w:hAnsi="Calibri" w:cs="Calibri"/>
                <w:b/>
                <w:bCs/>
                <w:color w:val="000000"/>
                <w:sz w:val="16"/>
                <w:szCs w:val="16"/>
              </w:rPr>
            </w:pPr>
            <w:r>
              <w:rPr>
                <w:rFonts w:ascii="Calibri" w:hAnsi="Calibri" w:cs="Calibri"/>
                <w:b/>
                <w:bCs/>
                <w:color w:val="000000"/>
                <w:sz w:val="16"/>
                <w:szCs w:val="16"/>
              </w:rPr>
              <w:t>$123,714</w:t>
            </w:r>
          </w:p>
        </w:tc>
        <w:tc>
          <w:tcPr>
            <w:tcW w:w="918" w:type="dxa"/>
            <w:tcBorders>
              <w:top w:val="nil"/>
              <w:left w:val="nil"/>
              <w:bottom w:val="nil"/>
              <w:right w:val="single" w:sz="8" w:space="0" w:color="000000"/>
            </w:tcBorders>
            <w:shd w:val="clear" w:color="000000" w:fill="BDD6EE"/>
            <w:vAlign w:val="center"/>
            <w:hideMark/>
          </w:tcPr>
          <w:p w:rsidR="00BB3BC1" w:rsidP="00BB3BC1" w14:paraId="32EFC78D" w14:textId="5EB604F1">
            <w:pPr>
              <w:jc w:val="center"/>
              <w:rPr>
                <w:rFonts w:ascii="Calibri" w:hAnsi="Calibri" w:cs="Calibri"/>
                <w:b/>
                <w:bCs/>
                <w:color w:val="000000"/>
                <w:sz w:val="16"/>
                <w:szCs w:val="16"/>
              </w:rPr>
            </w:pPr>
            <w:r>
              <w:rPr>
                <w:rFonts w:ascii="Calibri" w:hAnsi="Calibri" w:cs="Calibri"/>
                <w:b/>
                <w:bCs/>
                <w:color w:val="000000"/>
                <w:sz w:val="16"/>
                <w:szCs w:val="16"/>
              </w:rPr>
              <w:t>$74,592</w:t>
            </w:r>
          </w:p>
        </w:tc>
        <w:tc>
          <w:tcPr>
            <w:tcW w:w="859" w:type="dxa"/>
            <w:tcBorders>
              <w:top w:val="nil"/>
              <w:left w:val="nil"/>
              <w:bottom w:val="nil"/>
              <w:right w:val="dashed" w:sz="8" w:space="0" w:color="000000"/>
            </w:tcBorders>
            <w:shd w:val="clear" w:color="000000" w:fill="BDD6EE"/>
            <w:vAlign w:val="center"/>
            <w:hideMark/>
          </w:tcPr>
          <w:p w:rsidR="00BB3BC1" w:rsidP="00BB3BC1" w14:paraId="33C72864" w14:textId="7A304FB6">
            <w:pPr>
              <w:jc w:val="center"/>
              <w:rPr>
                <w:rFonts w:ascii="Calibri" w:hAnsi="Calibri" w:cs="Calibri"/>
                <w:b/>
                <w:bCs/>
                <w:color w:val="000000"/>
                <w:sz w:val="16"/>
                <w:szCs w:val="16"/>
              </w:rPr>
            </w:pPr>
            <w:r>
              <w:rPr>
                <w:rFonts w:ascii="Calibri" w:hAnsi="Calibri" w:cs="Calibri"/>
                <w:b/>
                <w:bCs/>
                <w:color w:val="000000"/>
                <w:sz w:val="16"/>
                <w:szCs w:val="16"/>
              </w:rPr>
              <w:t>$908,615</w:t>
            </w:r>
          </w:p>
        </w:tc>
        <w:tc>
          <w:tcPr>
            <w:tcW w:w="940" w:type="dxa"/>
            <w:tcBorders>
              <w:top w:val="nil"/>
              <w:left w:val="nil"/>
              <w:bottom w:val="nil"/>
              <w:right w:val="single" w:sz="8" w:space="0" w:color="000000"/>
            </w:tcBorders>
            <w:shd w:val="clear" w:color="000000" w:fill="BDD6EE"/>
            <w:vAlign w:val="center"/>
            <w:hideMark/>
          </w:tcPr>
          <w:p w:rsidR="00BB3BC1" w:rsidP="00B46D96" w14:paraId="7A6558B2" w14:textId="56CC724A">
            <w:pPr>
              <w:jc w:val="center"/>
              <w:rPr>
                <w:rFonts w:ascii="Calibri" w:hAnsi="Calibri" w:cs="Calibri"/>
                <w:b/>
                <w:bCs/>
                <w:color w:val="000000"/>
                <w:sz w:val="16"/>
                <w:szCs w:val="16"/>
              </w:rPr>
            </w:pPr>
            <w:r>
              <w:rPr>
                <w:rFonts w:ascii="Calibri" w:hAnsi="Calibri" w:cs="Calibri"/>
                <w:b/>
                <w:bCs/>
                <w:color w:val="000000"/>
                <w:sz w:val="16"/>
                <w:szCs w:val="16"/>
              </w:rPr>
              <w:t>$</w:t>
            </w:r>
            <w:r w:rsidR="00B46D96">
              <w:rPr>
                <w:rFonts w:ascii="Calibri" w:hAnsi="Calibri" w:cs="Calibri"/>
                <w:b/>
                <w:bCs/>
                <w:color w:val="000000"/>
                <w:sz w:val="16"/>
                <w:szCs w:val="16"/>
              </w:rPr>
              <w:t>514,710</w:t>
            </w:r>
          </w:p>
        </w:tc>
        <w:tc>
          <w:tcPr>
            <w:tcW w:w="6841" w:type="dxa"/>
            <w:tcBorders>
              <w:top w:val="nil"/>
              <w:left w:val="nil"/>
              <w:bottom w:val="nil"/>
              <w:right w:val="single" w:sz="8" w:space="0" w:color="000000"/>
            </w:tcBorders>
            <w:shd w:val="clear" w:color="000000" w:fill="000000"/>
            <w:vAlign w:val="center"/>
            <w:hideMark/>
          </w:tcPr>
          <w:p w:rsidR="00BB3BC1" w:rsidRPr="00F3718D" w:rsidP="00BB3BC1" w14:paraId="1D0892BC" w14:textId="4FF953B2">
            <w:pPr>
              <w:widowControl/>
              <w:jc w:val="center"/>
              <w:rPr>
                <w:rFonts w:ascii="Calibri" w:hAnsi="Calibri" w:cs="Calibri"/>
                <w:b/>
                <w:bCs/>
                <w:color w:val="000000"/>
                <w:sz w:val="16"/>
                <w:szCs w:val="16"/>
              </w:rPr>
            </w:pPr>
            <w:r>
              <w:rPr>
                <w:rFonts w:ascii="Calibri" w:hAnsi="Calibri" w:cs="Calibri"/>
                <w:b/>
                <w:bCs/>
                <w:color w:val="000000"/>
                <w:sz w:val="16"/>
                <w:szCs w:val="16"/>
              </w:rPr>
              <w:t> </w:t>
            </w:r>
          </w:p>
        </w:tc>
      </w:tr>
      <w:tr w14:paraId="05BE1F75" w14:textId="77777777" w:rsidTr="007E5F89">
        <w:tblPrEx>
          <w:tblW w:w="12860" w:type="dxa"/>
          <w:tblLook w:val="04A0"/>
        </w:tblPrEx>
        <w:trPr>
          <w:trHeight w:val="330"/>
        </w:trPr>
        <w:tc>
          <w:tcPr>
            <w:tcW w:w="2322" w:type="dxa"/>
            <w:tcBorders>
              <w:top w:val="single" w:sz="8" w:space="0" w:color="000000"/>
              <w:left w:val="single" w:sz="8" w:space="0" w:color="000000"/>
              <w:bottom w:val="single" w:sz="8" w:space="0" w:color="000000"/>
              <w:right w:val="nil"/>
            </w:tcBorders>
            <w:shd w:val="clear" w:color="000000" w:fill="FCE4D6"/>
            <w:vAlign w:val="center"/>
            <w:hideMark/>
          </w:tcPr>
          <w:p w:rsidR="00BB3BC1" w:rsidRPr="00F3718D" w:rsidP="00BB3BC1" w14:paraId="1C6AAB83" w14:textId="77777777">
            <w:pPr>
              <w:widowControl/>
              <w:jc w:val="center"/>
              <w:rPr>
                <w:rFonts w:ascii="Calibri" w:hAnsi="Calibri" w:cs="Calibri"/>
                <w:b/>
                <w:bCs/>
                <w:color w:val="000000"/>
                <w:sz w:val="16"/>
                <w:szCs w:val="16"/>
              </w:rPr>
            </w:pPr>
            <w:r w:rsidRPr="00F3718D">
              <w:rPr>
                <w:rFonts w:ascii="Calibri" w:hAnsi="Calibri" w:cs="Calibri"/>
                <w:b/>
                <w:bCs/>
                <w:color w:val="000000"/>
                <w:sz w:val="16"/>
                <w:szCs w:val="16"/>
              </w:rPr>
              <w:t>Difference</w:t>
            </w:r>
          </w:p>
        </w:tc>
        <w:tc>
          <w:tcPr>
            <w:tcW w:w="1898" w:type="dxa"/>
            <w:gridSpan w:val="2"/>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BB3BC1" w:rsidP="00BB3BC1" w14:paraId="43427CC2" w14:textId="5B11F03C">
            <w:pPr>
              <w:jc w:val="center"/>
              <w:rPr>
                <w:rFonts w:ascii="Calibri" w:hAnsi="Calibri" w:cs="Calibri"/>
                <w:color w:val="000000"/>
              </w:rPr>
            </w:pPr>
            <w:r>
              <w:rPr>
                <w:rFonts w:ascii="Calibri" w:hAnsi="Calibri" w:cs="Calibri"/>
                <w:color w:val="000000"/>
              </w:rPr>
              <w:t>$49,122</w:t>
            </w:r>
          </w:p>
        </w:tc>
        <w:tc>
          <w:tcPr>
            <w:tcW w:w="1799" w:type="dxa"/>
            <w:gridSpan w:val="2"/>
            <w:tcBorders>
              <w:top w:val="single" w:sz="8" w:space="0" w:color="000000"/>
              <w:left w:val="nil"/>
              <w:bottom w:val="single" w:sz="8" w:space="0" w:color="000000"/>
              <w:right w:val="single" w:sz="8" w:space="0" w:color="000000"/>
            </w:tcBorders>
            <w:shd w:val="clear" w:color="000000" w:fill="FCE4D6"/>
            <w:vAlign w:val="center"/>
            <w:hideMark/>
          </w:tcPr>
          <w:p w:rsidR="00BB3BC1" w:rsidP="00BB3BC1" w14:paraId="68B8F2D8" w14:textId="7107C6F8">
            <w:pPr>
              <w:jc w:val="center"/>
              <w:rPr>
                <w:rFonts w:ascii="Calibri" w:hAnsi="Calibri" w:cs="Calibri"/>
                <w:color w:val="000000"/>
              </w:rPr>
            </w:pPr>
            <w:r>
              <w:rPr>
                <w:rFonts w:ascii="Calibri" w:hAnsi="Calibri" w:cs="Calibri"/>
                <w:color w:val="000000"/>
              </w:rPr>
              <w:t>$393,9</w:t>
            </w:r>
            <w:r>
              <w:rPr>
                <w:rFonts w:ascii="Calibri" w:hAnsi="Calibri" w:cs="Calibri"/>
                <w:color w:val="000000"/>
              </w:rPr>
              <w:t>05</w:t>
            </w:r>
          </w:p>
        </w:tc>
        <w:tc>
          <w:tcPr>
            <w:tcW w:w="6841" w:type="dxa"/>
            <w:tcBorders>
              <w:top w:val="single" w:sz="8" w:space="0" w:color="000000"/>
              <w:left w:val="nil"/>
              <w:bottom w:val="single" w:sz="8" w:space="0" w:color="000000"/>
              <w:right w:val="single" w:sz="8" w:space="0" w:color="000000"/>
            </w:tcBorders>
            <w:shd w:val="clear" w:color="000000" w:fill="000000"/>
            <w:vAlign w:val="center"/>
            <w:hideMark/>
          </w:tcPr>
          <w:p w:rsidR="00BB3BC1" w:rsidRPr="00F3718D" w:rsidP="00BB3BC1" w14:paraId="1A49368B" w14:textId="77777777">
            <w:pPr>
              <w:widowControl/>
              <w:rPr>
                <w:rFonts w:ascii="Calibri" w:hAnsi="Calibri" w:cs="Calibri"/>
                <w:color w:val="000000"/>
              </w:rPr>
            </w:pPr>
            <w:r w:rsidRPr="00F3718D">
              <w:rPr>
                <w:rFonts w:ascii="Calibri" w:hAnsi="Calibri" w:cs="Calibri"/>
                <w:color w:val="000000"/>
              </w:rPr>
              <w:t> </w:t>
            </w:r>
          </w:p>
        </w:tc>
      </w:tr>
    </w:tbl>
    <w:p w:rsidR="00F3718D" w:rsidRPr="00B46D96" w14:paraId="69C97E61" w14:textId="6486A050">
      <w:pPr>
        <w:pBdr>
          <w:top w:val="nil"/>
          <w:left w:val="nil"/>
          <w:bottom w:val="nil"/>
          <w:right w:val="nil"/>
          <w:between w:val="nil"/>
        </w:pBdr>
        <w:spacing w:before="7"/>
        <w:rPr>
          <w:color w:val="000000"/>
          <w:sz w:val="20"/>
        </w:rPr>
        <w:sectPr w:rsidSect="007E5F89">
          <w:pgSz w:w="15840" w:h="12240" w:orient="landscape"/>
          <w:pgMar w:top="1200" w:right="1080" w:bottom="640" w:left="1080" w:header="0" w:footer="1014" w:gutter="0"/>
          <w:cols w:space="720"/>
          <w:docGrid w:linePitch="326"/>
        </w:sectPr>
      </w:pPr>
      <w:r>
        <w:rPr>
          <w:color w:val="000000"/>
          <w:sz w:val="20"/>
        </w:rPr>
        <w:t>*</w:t>
      </w:r>
      <w:r w:rsidRPr="00B46D96" w:rsidR="00040A2A">
        <w:rPr>
          <w:color w:val="000000"/>
          <w:sz w:val="20"/>
        </w:rPr>
        <w:t>Miscalculation was detected in the misc. costs from the previous ROCIS submission.</w:t>
      </w:r>
      <w:r w:rsidRPr="00B46D96">
        <w:rPr>
          <w:color w:val="000000"/>
          <w:sz w:val="20"/>
        </w:rPr>
        <w:t xml:space="preserve"> Current chart shows the correct numbers/difference that was not shown</w:t>
      </w:r>
      <w:r>
        <w:rPr>
          <w:color w:val="000000"/>
          <w:sz w:val="20"/>
        </w:rPr>
        <w:t>/displayed in</w:t>
      </w:r>
      <w:r>
        <w:rPr>
          <w:color w:val="000000"/>
          <w:sz w:val="20"/>
        </w:rPr>
        <w:t xml:space="preserve"> ROCIS</w:t>
      </w:r>
      <w:r w:rsidRPr="00B46D96">
        <w:rPr>
          <w:color w:val="000000"/>
          <w:sz w:val="20"/>
        </w:rPr>
        <w:t xml:space="preserve">. </w:t>
      </w:r>
    </w:p>
    <w:p w:rsidR="00CD7F1F" w14:paraId="720235E3" w14:textId="77777777">
      <w:pPr>
        <w:pBdr>
          <w:top w:val="nil"/>
          <w:left w:val="nil"/>
          <w:bottom w:val="nil"/>
          <w:right w:val="nil"/>
          <w:between w:val="nil"/>
        </w:pBdr>
        <w:spacing w:before="7"/>
        <w:rPr>
          <w:b/>
          <w:color w:val="000000"/>
        </w:rPr>
      </w:pPr>
    </w:p>
    <w:p w:rsidR="00CD7F1F" w14:paraId="59DA3FD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w:t>
      </w:r>
      <w:r>
        <w:rPr>
          <w:b/>
          <w:color w:val="000000"/>
        </w:rPr>
        <w:t>nding dates of the collection of information, completion of report, publication dates, and other actions.</w:t>
      </w:r>
    </w:p>
    <w:p w:rsidR="00CD7F1F" w14:paraId="24CF4CF5" w14:textId="77777777">
      <w:pPr>
        <w:pBdr>
          <w:top w:val="nil"/>
          <w:left w:val="nil"/>
          <w:bottom w:val="nil"/>
          <w:right w:val="nil"/>
          <w:between w:val="nil"/>
        </w:pBdr>
        <w:spacing w:before="160"/>
        <w:rPr>
          <w:color w:val="000000"/>
        </w:rPr>
      </w:pPr>
      <w:r>
        <w:rPr>
          <w:color w:val="000000"/>
        </w:rPr>
        <w:t>No results are published in conjunction with this information collection.</w:t>
      </w:r>
    </w:p>
    <w:p w:rsidR="000C201B" w14:paraId="3FC81B89" w14:textId="77777777">
      <w:pPr>
        <w:pBdr>
          <w:top w:val="nil"/>
          <w:left w:val="nil"/>
          <w:bottom w:val="nil"/>
          <w:right w:val="nil"/>
          <w:between w:val="nil"/>
        </w:pBdr>
        <w:spacing w:before="160"/>
        <w:rPr>
          <w:color w:val="000000"/>
        </w:rPr>
      </w:pPr>
    </w:p>
    <w:p w:rsidR="00CD7F1F" w14:paraId="7AD52A0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w:t>
      </w:r>
      <w:r>
        <w:rPr>
          <w:b/>
          <w:color w:val="000000"/>
        </w:rPr>
        <w:t xml:space="preserve"> the expiration date for OMB approval of the information collection, explain the reasons that display would be inappropriate.</w:t>
      </w:r>
    </w:p>
    <w:p w:rsidR="00CD7F1F" w:rsidRPr="000C201B" w14:paraId="5EB9ADB9" w14:textId="77777777">
      <w:pPr>
        <w:spacing w:before="161"/>
      </w:pPr>
      <w:r>
        <w:t>This is not applicable as there are no forms associated with this information collection on which to display an expiration date.</w:t>
      </w:r>
    </w:p>
    <w:p w:rsidR="000C201B" w14:paraId="144A7D22" w14:textId="77777777">
      <w:pPr>
        <w:spacing w:before="161"/>
        <w:rPr>
          <w:i/>
        </w:rPr>
      </w:pPr>
    </w:p>
    <w:p w:rsidR="00CD7F1F" w14:paraId="08AF3C8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CD7F1F" w14:paraId="45B28D5E" w14:textId="77777777">
      <w:pPr>
        <w:spacing w:before="221" w:line="259" w:lineRule="auto"/>
        <w:jc w:val="both"/>
      </w:pPr>
      <w:r>
        <w:t xml:space="preserve">The agency certifies compliance with </w:t>
      </w:r>
      <w:hyperlink r:id="rId12">
        <w:r>
          <w:rPr>
            <w:color w:val="0563C1"/>
            <w:u w:val="single"/>
          </w:rPr>
          <w:t>5 CFR 1320.9</w:t>
        </w:r>
      </w:hyperlink>
      <w:hyperlink r:id="rId12">
        <w:r>
          <w:rPr>
            <w:color w:val="0563C1"/>
          </w:rPr>
          <w:t xml:space="preserve"> </w:t>
        </w:r>
      </w:hyperlink>
      <w:r>
        <w:t xml:space="preserve">and the related provisions of </w:t>
      </w:r>
      <w:hyperlink r:id="rId13">
        <w:r>
          <w:rPr>
            <w:color w:val="0563C1"/>
            <w:u w:val="single"/>
          </w:rPr>
          <w:t>5 CFR</w:t>
        </w:r>
      </w:hyperlink>
      <w:r>
        <w:rPr>
          <w:color w:val="0563C1"/>
        </w:rPr>
        <w:t xml:space="preserve"> </w:t>
      </w:r>
      <w:hyperlink r:id="rId13">
        <w:r>
          <w:rPr>
            <w:color w:val="0563C1"/>
            <w:u w:val="single"/>
          </w:rPr>
          <w:t>1320.8(b)(3)</w:t>
        </w:r>
      </w:hyperlink>
      <w:r>
        <w:t>.</w:t>
      </w:r>
    </w:p>
    <w:p w:rsidR="00CD7F1F" w14:paraId="6DE62610" w14:textId="77777777">
      <w:pPr>
        <w:spacing w:before="221" w:line="259" w:lineRule="auto"/>
        <w:jc w:val="both"/>
      </w:pP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A2A" w14:paraId="1F0621A3" w14:textId="024E3E1C">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A67690"/>
    <w:multiLevelType w:val="multilevel"/>
    <w:tmpl w:val="8DB4ADE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C752958"/>
    <w:multiLevelType w:val="multilevel"/>
    <w:tmpl w:val="B456DEA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nsid w:val="26815782"/>
    <w:multiLevelType w:val="multilevel"/>
    <w:tmpl w:val="98B2619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2CE17FA0"/>
    <w:multiLevelType w:val="multilevel"/>
    <w:tmpl w:val="CE04E7B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338E7F69"/>
    <w:multiLevelType w:val="multilevel"/>
    <w:tmpl w:val="432C566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nsid w:val="4863509F"/>
    <w:multiLevelType w:val="multilevel"/>
    <w:tmpl w:val="30D6FE3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49F636AF"/>
    <w:multiLevelType w:val="multilevel"/>
    <w:tmpl w:val="4D367B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nsid w:val="4E206DC5"/>
    <w:multiLevelType w:val="multilevel"/>
    <w:tmpl w:val="D5DE389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8">
    <w:nsid w:val="52C750B5"/>
    <w:multiLevelType w:val="multilevel"/>
    <w:tmpl w:val="FB86D48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nsid w:val="54D70FD1"/>
    <w:multiLevelType w:val="multilevel"/>
    <w:tmpl w:val="CF686E5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67A03B7D"/>
    <w:multiLevelType w:val="multilevel"/>
    <w:tmpl w:val="DEAC2FD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9"/>
  </w:num>
  <w:num w:numId="2">
    <w:abstractNumId w:val="1"/>
  </w:num>
  <w:num w:numId="3">
    <w:abstractNumId w:val="6"/>
  </w:num>
  <w:num w:numId="4">
    <w:abstractNumId w:val="0"/>
  </w:num>
  <w:num w:numId="5">
    <w:abstractNumId w:val="2"/>
  </w:num>
  <w:num w:numId="6">
    <w:abstractNumId w:val="3"/>
  </w:num>
  <w:num w:numId="7">
    <w:abstractNumId w:val="5"/>
  </w:num>
  <w:num w:numId="8">
    <w:abstractNumId w:val="4"/>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1F"/>
    <w:rsid w:val="00040A2A"/>
    <w:rsid w:val="00091AA5"/>
    <w:rsid w:val="000C201B"/>
    <w:rsid w:val="000D3408"/>
    <w:rsid w:val="000E6365"/>
    <w:rsid w:val="00105353"/>
    <w:rsid w:val="001910C9"/>
    <w:rsid w:val="001B149D"/>
    <w:rsid w:val="00212516"/>
    <w:rsid w:val="002260B2"/>
    <w:rsid w:val="00281409"/>
    <w:rsid w:val="002816CD"/>
    <w:rsid w:val="00291D4F"/>
    <w:rsid w:val="002C7FFD"/>
    <w:rsid w:val="0036174E"/>
    <w:rsid w:val="003621D6"/>
    <w:rsid w:val="003849D5"/>
    <w:rsid w:val="003870F6"/>
    <w:rsid w:val="00387604"/>
    <w:rsid w:val="003D73ED"/>
    <w:rsid w:val="004511C6"/>
    <w:rsid w:val="00461DCE"/>
    <w:rsid w:val="004A38C9"/>
    <w:rsid w:val="004C7D17"/>
    <w:rsid w:val="004E7D0C"/>
    <w:rsid w:val="00506E3B"/>
    <w:rsid w:val="00535BEA"/>
    <w:rsid w:val="005521D2"/>
    <w:rsid w:val="00571C06"/>
    <w:rsid w:val="00573B77"/>
    <w:rsid w:val="005B34A6"/>
    <w:rsid w:val="00610296"/>
    <w:rsid w:val="0062413D"/>
    <w:rsid w:val="00633715"/>
    <w:rsid w:val="006642F1"/>
    <w:rsid w:val="00692236"/>
    <w:rsid w:val="006A330C"/>
    <w:rsid w:val="006F1C0F"/>
    <w:rsid w:val="00752447"/>
    <w:rsid w:val="007A23A6"/>
    <w:rsid w:val="007D0559"/>
    <w:rsid w:val="007E5F89"/>
    <w:rsid w:val="0080695E"/>
    <w:rsid w:val="00810EB4"/>
    <w:rsid w:val="008219ED"/>
    <w:rsid w:val="00863103"/>
    <w:rsid w:val="008D051C"/>
    <w:rsid w:val="00A135B0"/>
    <w:rsid w:val="00A43771"/>
    <w:rsid w:val="00A51DDB"/>
    <w:rsid w:val="00A73BAD"/>
    <w:rsid w:val="00AC2225"/>
    <w:rsid w:val="00AE50B2"/>
    <w:rsid w:val="00AF5938"/>
    <w:rsid w:val="00B40F08"/>
    <w:rsid w:val="00B46D96"/>
    <w:rsid w:val="00BB3BC1"/>
    <w:rsid w:val="00C7125F"/>
    <w:rsid w:val="00CA69CE"/>
    <w:rsid w:val="00CC129A"/>
    <w:rsid w:val="00CD03D5"/>
    <w:rsid w:val="00CD7F1F"/>
    <w:rsid w:val="00D165A4"/>
    <w:rsid w:val="00D57D39"/>
    <w:rsid w:val="00D61221"/>
    <w:rsid w:val="00E466BB"/>
    <w:rsid w:val="00E913BF"/>
    <w:rsid w:val="00ED7097"/>
    <w:rsid w:val="00F1079C"/>
    <w:rsid w:val="00F3718D"/>
    <w:rsid w:val="00F91EE8"/>
    <w:rsid w:val="00FC31A0"/>
    <w:rsid w:val="00FD6C48"/>
    <w:rsid w:val="00FE1A24"/>
    <w:rsid w:val="00FF3A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58F2D6"/>
  <w15:docId w15:val="{E7B373CB-C58C-4948-92B7-8D75B916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E913B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913BF"/>
    <w:rPr>
      <w:rFonts w:ascii="Arial" w:eastAsia="Arial" w:hAnsi="Arial" w:cs="Arial"/>
      <w:b/>
      <w:bCs/>
      <w:color w:val="2E5395"/>
      <w:sz w:val="20"/>
      <w:szCs w:val="20"/>
    </w:rPr>
  </w:style>
  <w:style w:type="paragraph" w:styleId="NormalWeb">
    <w:name w:val="Normal (Web)"/>
    <w:basedOn w:val="Normal"/>
    <w:uiPriority w:val="99"/>
    <w:unhideWhenUsed/>
    <w:rsid w:val="004A38C9"/>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ro.nmfs.noaa.gov/operations_management_information_services/constituency_services_branch/freedom_of_information_act/common_foia/index.html" TargetMode="External" /><Relationship Id="rId11" Type="http://schemas.openxmlformats.org/officeDocument/2006/relationships/footer" Target="footer1.xm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s://www.law.cornell.edu/uscode/text/16/chapter-16A" TargetMode="External" /><Relationship Id="rId7" Type="http://schemas.openxmlformats.org/officeDocument/2006/relationships/hyperlink" Target="https://www.ecfr.gov/cgi-bin/text-idx?SID=ddf07a1313a448696ee322c97899bc45&amp;mc=true&amp;node=se50.12.635_16&amp;rgn=div8" TargetMode="External" /><Relationship Id="rId8" Type="http://schemas.openxmlformats.org/officeDocument/2006/relationships/hyperlink" Target="https://www.ecfr.gov/cgi-bin/text-idx?c=ecfr&amp;sid=7b409a70ec639e25c6421186acfc413d&amp;tpl=/ecfrbrowse/Title50/50cfr635_main_02.tpl" TargetMode="External" /><Relationship Id="rId9" Type="http://schemas.openxmlformats.org/officeDocument/2006/relationships/hyperlink" Target="https://www.greateratlantic.fisheries.noaa.gov/aps/permits/data/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2024-07-18T13:04:00Z</dcterms:created>
  <dcterms:modified xsi:type="dcterms:W3CDTF">2024-07-18T13:20:00Z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