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E6A30" w:rsidP="00790FAB" w14:paraId="09EC3549" w14:textId="77777777">
      <w:pPr>
        <w:pStyle w:val="Heading1"/>
        <w:ind w:left="0"/>
        <w:jc w:val="center"/>
      </w:pPr>
      <w:r>
        <w:t>SUPPORTING STATEMENT</w:t>
      </w:r>
    </w:p>
    <w:p w:rsidR="000E6A30" w14:paraId="45C4F315" w14:textId="77777777">
      <w:pPr>
        <w:spacing w:before="22" w:line="259" w:lineRule="auto"/>
        <w:ind w:firstLine="14"/>
        <w:jc w:val="center"/>
        <w:rPr>
          <w:b/>
        </w:rPr>
      </w:pPr>
      <w:r>
        <w:rPr>
          <w:b/>
        </w:rPr>
        <w:t>U.S. Department of Commerce</w:t>
      </w:r>
    </w:p>
    <w:p w:rsidR="000E6A30" w14:paraId="2FAE43FF" w14:textId="77777777">
      <w:pPr>
        <w:spacing w:before="22" w:line="259" w:lineRule="auto"/>
        <w:ind w:firstLine="14"/>
        <w:jc w:val="center"/>
        <w:rPr>
          <w:b/>
        </w:rPr>
      </w:pPr>
      <w:r>
        <w:rPr>
          <w:b/>
        </w:rPr>
        <w:t>National Oceanic &amp; Atmospheric Administration</w:t>
      </w:r>
    </w:p>
    <w:p w:rsidR="000E6A30" w14:paraId="4B735F88" w14:textId="77777777">
      <w:pPr>
        <w:spacing w:line="259" w:lineRule="auto"/>
        <w:ind w:hanging="6"/>
        <w:jc w:val="center"/>
        <w:rPr>
          <w:b/>
        </w:rPr>
      </w:pPr>
      <w:r>
        <w:rPr>
          <w:b/>
        </w:rPr>
        <w:t>Coral Reef Conservation Program</w:t>
      </w:r>
    </w:p>
    <w:p w:rsidR="000E6A30" w14:paraId="2424D2B4" w14:textId="77777777">
      <w:pPr>
        <w:spacing w:line="259" w:lineRule="auto"/>
        <w:ind w:hanging="6"/>
        <w:jc w:val="center"/>
        <w:rPr>
          <w:b/>
        </w:rPr>
      </w:pPr>
      <w:r>
        <w:rPr>
          <w:b/>
        </w:rPr>
        <w:t>OMB Control No. 0648-0448</w:t>
      </w:r>
    </w:p>
    <w:p w:rsidR="000E6A30" w14:paraId="33B40541" w14:textId="77777777">
      <w:pPr>
        <w:pBdr>
          <w:top w:val="nil"/>
          <w:left w:val="nil"/>
          <w:bottom w:val="nil"/>
          <w:right w:val="nil"/>
          <w:between w:val="nil"/>
        </w:pBdr>
        <w:spacing w:before="1"/>
        <w:jc w:val="center"/>
        <w:rPr>
          <w:b/>
          <w:color w:val="000000"/>
        </w:rPr>
      </w:pPr>
    </w:p>
    <w:p w:rsidR="000E6A30" w14:paraId="1C3A5B7E" w14:textId="7B69591D">
      <w:pPr>
        <w:pStyle w:val="Heading1"/>
        <w:spacing w:before="199"/>
        <w:ind w:left="0"/>
      </w:pPr>
      <w:r>
        <w:t>Abstract</w:t>
      </w:r>
    </w:p>
    <w:p w:rsidR="00153A82" w:rsidRPr="00153A82" w:rsidP="00153A82" w14:paraId="4A67342B" w14:textId="77777777">
      <w:pPr>
        <w:pStyle w:val="Heading1"/>
        <w:spacing w:before="360"/>
        <w:ind w:left="0" w:firstLine="720"/>
        <w:rPr>
          <w:b w:val="0"/>
          <w:bCs w:val="0"/>
        </w:rPr>
      </w:pPr>
      <w:r w:rsidRPr="00153A82">
        <w:rPr>
          <w:b w:val="0"/>
          <w:bCs w:val="0"/>
        </w:rPr>
        <w:t>This request is for revision and extension to an approved collection of information under the Paperwork Reduction Act, 44 U.S.C. § 3501 et seq., and implementing regulations at 5 C.F.R. Part 1320. The Coral Reef Conservation Act of 2000, 16 U.S.C. § 6401 et seq., has been amended since the last approval and the revised requirements for information collection are outlined below.</w:t>
      </w:r>
    </w:p>
    <w:p w:rsidR="00153A82" w:rsidRPr="00153A82" w:rsidP="00153A82" w14:paraId="744920FF" w14:textId="77777777">
      <w:pPr>
        <w:pStyle w:val="Heading1"/>
        <w:spacing w:before="360"/>
        <w:ind w:left="0" w:firstLine="720"/>
        <w:rPr>
          <w:b w:val="0"/>
          <w:bCs w:val="0"/>
        </w:rPr>
      </w:pPr>
      <w:r w:rsidRPr="00153A82">
        <w:rPr>
          <w:b w:val="0"/>
          <w:bCs w:val="0"/>
        </w:rPr>
        <w:t xml:space="preserve">The Coral Reef Conservation Act was enacted to conserve and restore the condition of United States coral reef ecosystems challenged by natural and human-accelerated changes; to promote the science-based management and sustainable use of coral reef ecosystems to benefit local communities and the Nation; to develop sound scientific information on the condition of coral reef ecosystems, continuing and emerging threats to such ecosystems, and the efficacy of innovative tools, technologies, and strategies to mitigate stressors and restore such ecosystems; to assist in the preservation of coral reefs by supporting science-based, consensus-driven, and community-based coral reef management by covered States (Florida, Hawaii, and the territories of American Samoa, the Commonwealth of the Northern Mariana Islands, Guam, Puerto Rico, and the United States Virgin Islands) and covered Native entities (an Indian Tribe, the Department of Hawaiian Home Lands, the Office of Hawaiian Affairs, or a Native Hawaiian organization with interests in a coral reef ecosystem); to provide financial resources, technical assistance, and scientific expertise to supplement, complement, and strengthen community-based management programs and conservation and restoration projects of non-Federal reefs; to establish a formal mechanism for collecting and allocating monetary donations from the private sector to be used for coral reef conservation and restoration projects; to support rapid, effective, and science-based assessment and response to exigent circumstances that pose immediate and long-term threats to coral reefs; and to serve as a model for advancing similar international efforts to monitor, conserve, and restore coral reef ecosystems. </w:t>
      </w:r>
    </w:p>
    <w:p w:rsidR="00153A82" w:rsidRPr="00153A82" w:rsidP="00153A82" w14:paraId="3483CC80" w14:textId="77777777">
      <w:pPr>
        <w:pStyle w:val="Heading1"/>
        <w:spacing w:before="360"/>
        <w:ind w:left="0" w:firstLine="720"/>
        <w:rPr>
          <w:b w:val="0"/>
          <w:bCs w:val="0"/>
        </w:rPr>
      </w:pPr>
      <w:r w:rsidRPr="00153A82">
        <w:rPr>
          <w:b w:val="0"/>
          <w:bCs w:val="0"/>
        </w:rPr>
        <w:t xml:space="preserve">Under section 6406 of the Act (Block Grants), covered States are responsible for documenting and reporting the State’s use of Federal funds received under the Act; and expenditures of non-Federal funds made in furtherance of coral reef management and restoration as the NOAA Administrator (Administrator) deems appropriate. The Administrator is responsible for providing guidance on the proper documentation of expenditures. </w:t>
      </w:r>
    </w:p>
    <w:p w:rsidR="00153A82" w:rsidP="00153A82" w14:paraId="23FAC842" w14:textId="1A146D4D">
      <w:pPr>
        <w:pStyle w:val="Heading1"/>
        <w:spacing w:before="360"/>
        <w:ind w:left="0" w:firstLine="720"/>
        <w:rPr>
          <w:b w:val="0"/>
          <w:bCs w:val="0"/>
        </w:rPr>
      </w:pPr>
      <w:r w:rsidRPr="00153A82">
        <w:rPr>
          <w:b w:val="0"/>
          <w:bCs w:val="0"/>
        </w:rPr>
        <w:t>Under section 6410 of the Act (Ruth D. Gates Coral Reef Conservation Grant Program), the NOAA Administrator, and subject to the availability of appropriations, is authorized to provide up to $3,500,000 annually (per section 6414(c)) in grants for coral reef conservation projects.</w:t>
      </w:r>
    </w:p>
    <w:p w:rsidR="00990874" w:rsidP="00990874" w14:paraId="596F276E" w14:textId="77777777">
      <w:pPr>
        <w:rPr>
          <w:b/>
          <w:bCs/>
        </w:rPr>
      </w:pPr>
    </w:p>
    <w:p w:rsidR="00990874" w:rsidP="00990874" w14:paraId="339DFFAD" w14:textId="7225B5C7">
      <w:pPr>
        <w:ind w:firstLine="720"/>
        <w:rPr>
          <w:bCs/>
          <w:color w:val="000000"/>
        </w:rPr>
      </w:pPr>
      <w:r w:rsidRPr="00990874">
        <w:rPr>
          <w:bCs/>
        </w:rPr>
        <w:t xml:space="preserve">The match waiver requests and request for written comments are being removed from this collection as they are no longer applicable.  </w:t>
      </w:r>
      <w:r w:rsidRPr="00990874">
        <w:rPr>
          <w:bCs/>
          <w:color w:val="222222"/>
          <w:shd w:val="clear" w:color="auto" w:fill="FFFFFF"/>
        </w:rPr>
        <w:t>The match waiver requests may still be made under Ruth D. Gates but are </w:t>
      </w:r>
      <w:r w:rsidRPr="00E1278E">
        <w:rPr>
          <w:bCs/>
          <w:shd w:val="clear" w:color="auto" w:fill="FFFFFF"/>
        </w:rPr>
        <w:t>not expected and not requested of applicants</w:t>
      </w:r>
      <w:r w:rsidRPr="00990874">
        <w:rPr>
          <w:bCs/>
          <w:color w:val="222222"/>
          <w:shd w:val="clear" w:color="auto" w:fill="FFFFFF"/>
        </w:rPr>
        <w:t>. They were included in the original because all territories (5) requested a match waiver, however, their awards are now located in Block Grants, and there is no matching requirement.</w:t>
      </w:r>
      <w:r w:rsidRPr="00990874">
        <w:rPr>
          <w:color w:val="222222"/>
          <w:shd w:val="clear" w:color="auto" w:fill="FFFFFF"/>
        </w:rPr>
        <w:t> </w:t>
      </w:r>
      <w:r w:rsidRPr="00990874">
        <w:rPr>
          <w:color w:val="222222"/>
          <w:shd w:val="clear" w:color="auto" w:fill="FFFFFF"/>
        </w:rPr>
        <w:t xml:space="preserve"> </w:t>
      </w:r>
      <w:r w:rsidRPr="00990874">
        <w:rPr>
          <w:bCs/>
          <w:color w:val="000000"/>
        </w:rPr>
        <w:t xml:space="preserve">The Ruth D. Gates application process now requires </w:t>
      </w:r>
      <w:r w:rsidRPr="00990874">
        <w:rPr>
          <w:bCs/>
          <w:color w:val="000000"/>
        </w:rPr>
        <w:t>"evidence of support for the project by appropriate representatives of States...in which the project will be conducted" on the front end.</w:t>
      </w:r>
    </w:p>
    <w:p w:rsidR="00990874" w:rsidP="00990874" w14:paraId="2BBB7CCB" w14:textId="52AF47FE">
      <w:pPr>
        <w:ind w:firstLine="720"/>
        <w:rPr>
          <w:bCs/>
        </w:rPr>
      </w:pPr>
    </w:p>
    <w:p w:rsidR="00990874" w:rsidRPr="00990874" w:rsidP="00990874" w14:paraId="2969C9B8" w14:textId="6B327CAD">
      <w:pPr>
        <w:ind w:firstLine="720"/>
        <w:rPr>
          <w:bCs/>
        </w:rPr>
      </w:pPr>
      <w:r>
        <w:rPr>
          <w:bCs/>
        </w:rPr>
        <w:t xml:space="preserve">Additionally, the </w:t>
      </w:r>
      <w:r w:rsidR="00666854">
        <w:rPr>
          <w:bCs/>
        </w:rPr>
        <w:t>Performance Progress Report (PPR) from collection 0648-0718 is being added to this collection so that all program requirements are under a single control number.  The PPR will be removed from 0648-0718 at the next renewal period.</w:t>
      </w:r>
    </w:p>
    <w:p w:rsidR="000E6A30" w:rsidP="00153A82" w14:paraId="4BC4A4DE" w14:textId="5DA6FDC5">
      <w:pPr>
        <w:pStyle w:val="Heading1"/>
        <w:spacing w:before="360"/>
        <w:ind w:left="0"/>
      </w:pPr>
      <w:r>
        <w:t>Justification</w:t>
      </w:r>
    </w:p>
    <w:p w:rsidR="000E6A30" w14:paraId="51F5B2C9" w14:textId="77777777">
      <w:pPr>
        <w:numPr>
          <w:ilvl w:val="0"/>
          <w:numId w:val="1"/>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90FAB" w:rsidP="00C91067" w14:paraId="72AE2185" w14:textId="77777777">
      <w:pPr>
        <w:widowControl/>
        <w:ind w:firstLine="720"/>
      </w:pPr>
    </w:p>
    <w:p w:rsidR="000E6A30" w:rsidP="00C91067" w14:paraId="59D8B690" w14:textId="2EE718C6">
      <w:pPr>
        <w:widowControl/>
        <w:ind w:firstLine="720"/>
      </w:pPr>
      <w:r>
        <w:t xml:space="preserve">The Coral Reef Conservation Act of 2000 (16 U.S.C. 6401 et seq.) was enacted on December 14, 2000, to preserve, sustain and restore the condition of coral reef ecosystems; to promote the wise management and sustainable use of coral reef ecosystems to benefit local communities and the Nation; to develop sound scientific information on the condition of coral reef ecosystems and the threats to such ecosystems; to assist in the preservation of coral reefs by supporting conservation programs, including projects that involve affected local communities and non-governmental organizations; to provide financial resources for those programs and projects; and to establish a formal mechanism for the collecting and allocating of monetary donations from the private sector to be used for coral reef conservation projects. The act was amended on December 23, 2022, to revise existing collection requirements previously approved (application and reporting requirements under section 6410) and create new information collection (reporting of non-federal expenditures under section 6406 and coral reef stewardship partnership applications under section 6405).  </w:t>
      </w:r>
    </w:p>
    <w:p w:rsidR="00790FAB" w:rsidP="00C91067" w14:paraId="6559538C" w14:textId="77777777">
      <w:pPr>
        <w:widowControl/>
      </w:pPr>
      <w:r>
        <w:tab/>
      </w:r>
    </w:p>
    <w:p w:rsidR="0003089E" w:rsidP="00790FAB" w14:paraId="1421D024" w14:textId="644CF68D">
      <w:pPr>
        <w:widowControl/>
        <w:ind w:firstLine="720"/>
      </w:pPr>
      <w:r>
        <w:t xml:space="preserve">Application requirements under section 6406 have minor revisions </w:t>
      </w:r>
      <w:r>
        <w:t xml:space="preserve">outlined in the Coral Reef Conservation Act (mostly due to applicant eligibility) but </w:t>
      </w:r>
      <w:r>
        <w:t>remain consistent with the original Coral Reef Conservation Act</w:t>
      </w:r>
      <w:r w:rsidR="00C71166">
        <w:t xml:space="preserve"> </w:t>
      </w:r>
      <w:r>
        <w:t xml:space="preserve">and are used in the review and selection of competitive financial assistance awards under the new Ruth D. Gates Coral Conservation Grant Program. NOAA will continue to use the information provided for this purpose. Reporting requirements for federal assistance awards remain consistent with prior submissions approved by OMB under collection 0648-0718 and the program seeks to integrate this approved form into the larger collection. </w:t>
      </w:r>
      <w:r>
        <w:tab/>
      </w:r>
    </w:p>
    <w:p w:rsidR="000E6A30" w14:paraId="69E0A194" w14:textId="77777777">
      <w:pPr>
        <w:pStyle w:val="Heading1"/>
        <w:numPr>
          <w:ilvl w:val="0"/>
          <w:numId w:val="1"/>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0E6A30" w14:paraId="69A3A0DA" w14:textId="77777777">
      <w:pPr>
        <w:widowControl/>
        <w:spacing w:line="480" w:lineRule="auto"/>
        <w:ind w:firstLine="1440"/>
      </w:pPr>
      <w:bookmarkStart w:id="0" w:name="_heading=h.pzdxavcsuafq" w:colFirst="0" w:colLast="0"/>
      <w:bookmarkEnd w:id="0"/>
    </w:p>
    <w:p w:rsidR="00221272" w:rsidP="00C91067" w14:paraId="3FB4DD79" w14:textId="4E6C24FB">
      <w:pPr>
        <w:widowControl/>
        <w:ind w:firstLine="720"/>
      </w:pPr>
      <w:r>
        <w:t xml:space="preserve">Covered States’ submissions of expenditures of non-Federal funds used to further coral reef management and restoration is required by statute (16 U.S.C. § 6406(c)(2)) and will be collected by secure email by June 30 of each </w:t>
      </w:r>
      <w:r w:rsidR="003D71FA">
        <w:t>year.</w:t>
      </w:r>
      <w:r>
        <w:t xml:space="preserve"> </w:t>
      </w:r>
      <w:r w:rsidRPr="0097267F">
        <w:t xml:space="preserve"> </w:t>
      </w:r>
      <w:r>
        <w:t xml:space="preserve">Non-federal expenditure reports will be used as a variable in the </w:t>
      </w:r>
      <w:r>
        <w:t>b;pcl</w:t>
      </w:r>
      <w:r>
        <w:t xml:space="preserve"> grant funding formula to determine the annual allocation of funding to individual covered States, per section 6406(b)(3). This information may be shared with other NOAA agencies, </w:t>
      </w:r>
      <w:r w:rsidR="008E0FB3">
        <w:t>U.S. Coral Reef Task Force (</w:t>
      </w:r>
      <w:r>
        <w:t>USCRTF</w:t>
      </w:r>
      <w:r w:rsidR="008E0FB3">
        <w:t>)</w:t>
      </w:r>
      <w:r>
        <w:t xml:space="preserve"> members, and may be included in mandatory reports to Congress.</w:t>
      </w:r>
    </w:p>
    <w:p w:rsidR="008E0FB3" w:rsidP="00C91067" w14:paraId="46EBF864" w14:textId="77777777">
      <w:pPr>
        <w:widowControl/>
        <w:ind w:firstLine="720"/>
      </w:pPr>
    </w:p>
    <w:p w:rsidR="003D71FA" w:rsidP="00C91067" w14:paraId="5B3488FE" w14:textId="25D3839B">
      <w:pPr>
        <w:widowControl/>
        <w:ind w:firstLine="720"/>
      </w:pPr>
      <w:r>
        <w:t xml:space="preserve">Coral reef stewardship partnership applications will be submitted to the U.S. Coral Reef Task Force via email using a NOAA-supplied PDF template form available on the NOAA CRCP website. Coral reef stewardship partnerships are optional for non-federal reefs and NOAA does not receive the </w:t>
      </w:r>
      <w:r>
        <w:t xml:space="preserve">submissions directly. </w:t>
      </w:r>
      <w:sdt>
        <w:sdtPr>
          <w:tag w:val="goog_rdk_18"/>
          <w:id w:val="908425813"/>
          <w:richText/>
        </w:sdtPr>
        <w:sdtContent>
          <w:r>
            <w:t xml:space="preserve"> Applications are not expected to be submitted more than once ever by any single applicant. </w:t>
          </w:r>
        </w:sdtContent>
      </w:sdt>
      <w:r>
        <w:t xml:space="preserve">Coral reef stewardship partnership members may be eligible for financial assistance opportunities and member lists will be used to verify eligibility of applicants.  </w:t>
      </w:r>
    </w:p>
    <w:sdt>
      <w:sdtPr>
        <w:tag w:val="goog_rdk_22"/>
        <w:id w:val="2001311576"/>
        <w:richText/>
      </w:sdtPr>
      <w:sdtContent>
        <w:p w:rsidR="008E0FB3" w:rsidP="00C91067" w14:paraId="017A4E82" w14:textId="77777777">
          <w:pPr>
            <w:widowControl/>
            <w:ind w:firstLine="720"/>
          </w:pPr>
        </w:p>
        <w:p w:rsidR="003D71FA" w:rsidP="00C91067" w14:paraId="2F36AD3A" w14:textId="109F217F">
          <w:pPr>
            <w:widowControl/>
            <w:ind w:firstLine="720"/>
          </w:pPr>
          <w:r>
            <w:t xml:space="preserve">Application requirements under the Ruth D. Gates Coral Reef Grant Program will be collected from applicants through Grants.gov. If electronic submission is not possible, paper submissions may be allowable pursuant to the Notice of Funding Opportunity. Information collected for grant applications is </w:t>
          </w:r>
          <w:sdt>
            <w:sdtPr>
              <w:tag w:val="goog_rdk_19"/>
              <w:id w:val="1630128918"/>
              <w:richText/>
            </w:sdtPr>
            <w:sdtContent>
              <w:r>
                <w:t xml:space="preserve">to be </w:t>
              </w:r>
            </w:sdtContent>
          </w:sdt>
          <w:r>
            <w:t xml:space="preserve">used in the review and selection process, as required under the Coral Reef Conservation Act. </w:t>
          </w:r>
          <w:sdt>
            <w:sdtPr>
              <w:tag w:val="goog_rdk_20"/>
              <w:id w:val="973794017"/>
              <w:richText/>
            </w:sdtPr>
            <w:sdtContent>
              <w:sdt>
                <w:sdtPr>
                  <w:tag w:val="goog_rdk_21"/>
                  <w:id w:val="1798022406"/>
                  <w:richText/>
                </w:sdtPr>
                <w:sdtContent/>
              </w:sdt>
              <w:r>
                <w:t>NOAA anticipates collecting application information with each Ruth D. Gates Coral Reef Grant Program Notice of Funding Opportunity, to occur no more frequently than annually. Per section 6410(c), eligible applicants may include a covered reef manager or a covered Native entity; a regional fishery management council; a coral reef stewardship partnership seeking to implement a coral reef action plan; a coral reef research center; or a nongovernmental organization or research institution with demonstrated expertise in the conservation or restoration of coral reefs in practice or through significant contributions to the body of existing scientific research on coral reefs. Specific applicant types for each Notice of Funding Opportunity</w:t>
              </w:r>
              <w:r w:rsidR="00A6118F">
                <w:t xml:space="preserve"> (NOFO)</w:t>
              </w:r>
              <w:r>
                <w:t xml:space="preserve"> will be outlined in the respective NOFO language and will be </w:t>
              </w:r>
              <w:r w:rsidR="00C91067">
                <w:t>dependent</w:t>
              </w:r>
              <w:r>
                <w:t xml:space="preserve"> upon the scope of the NOFO.</w:t>
              </w:r>
            </w:sdtContent>
          </w:sdt>
        </w:p>
      </w:sdtContent>
    </w:sdt>
    <w:p w:rsidR="008E0FB3" w:rsidP="00C91067" w14:paraId="61051930" w14:textId="77777777">
      <w:pPr>
        <w:widowControl/>
        <w:ind w:firstLine="720"/>
      </w:pPr>
    </w:p>
    <w:p w:rsidR="003D71FA" w:rsidP="00C91067" w14:paraId="71FB929D" w14:textId="4C227591">
      <w:pPr>
        <w:widowControl/>
        <w:ind w:firstLine="720"/>
      </w:pPr>
      <w:r>
        <w:t xml:space="preserve">Performance (technical) reports for financial assistance awards will be collected electronically </w:t>
      </w:r>
      <w:sdt>
        <w:sdtPr>
          <w:tag w:val="goog_rdk_23"/>
          <w:id w:val="1933156107"/>
          <w:richText/>
        </w:sdtPr>
        <w:sdtContent>
          <w:r>
            <w:t xml:space="preserve">on a semi-annual basis </w:t>
          </w:r>
        </w:sdtContent>
      </w:sdt>
      <w:r>
        <w:t xml:space="preserve">via the Department of Commerce’s grant management system, </w:t>
      </w:r>
      <w:r>
        <w:t>eRA</w:t>
      </w:r>
      <w:r>
        <w:t xml:space="preserve"> Commons. </w:t>
      </w:r>
      <w:sdt>
        <w:sdtPr>
          <w:tag w:val="goog_rdk_24"/>
          <w:id w:val="-1222591243"/>
          <w:richText/>
        </w:sdtPr>
        <w:sdtContent>
          <w:r>
            <w:t xml:space="preserve">However, the program expects to require the Objectives and Indicators section annually. </w:t>
          </w:r>
        </w:sdtContent>
      </w:sdt>
      <w:r>
        <w:t>Performance (technical) progress reports have been used to monitor the performance of awards and are required by the Department of Commerce.</w:t>
      </w:r>
    </w:p>
    <w:p w:rsidR="000E6A30" w14:paraId="111B0713" w14:textId="77777777">
      <w:pPr>
        <w:tabs>
          <w:tab w:val="left" w:pos="360"/>
        </w:tabs>
      </w:pPr>
    </w:p>
    <w:p w:rsidR="000E6A30" w14:paraId="54EB185A" w14:textId="77777777">
      <w:pPr>
        <w:tabs>
          <w:tab w:val="left" w:pos="360"/>
        </w:tabs>
      </w:pPr>
    </w:p>
    <w:p w:rsidR="000E6A30" w14:paraId="5A12143A" w14:textId="77777777">
      <w:pPr>
        <w:numPr>
          <w:ilvl w:val="0"/>
          <w:numId w:val="1"/>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6118F" w:rsidP="00A6118F" w14:paraId="467C989A" w14:textId="77777777">
      <w:pPr>
        <w:widowControl/>
        <w:ind w:firstLine="720"/>
      </w:pPr>
      <w:bookmarkStart w:id="1" w:name="_heading=h.o3obfxd4t6w3" w:colFirst="0" w:colLast="0"/>
      <w:bookmarkStart w:id="2" w:name="_heading=h.30j0zll" w:colFirst="0" w:colLast="0"/>
      <w:bookmarkEnd w:id="1"/>
      <w:bookmarkEnd w:id="2"/>
    </w:p>
    <w:p w:rsidR="000E6A30" w:rsidP="00A6118F" w14:paraId="24DB8B22" w14:textId="2425500C">
      <w:pPr>
        <w:widowControl/>
        <w:ind w:firstLine="720"/>
      </w:pPr>
      <w:r>
        <w:t xml:space="preserve">All information will be collected electronically, by email or </w:t>
      </w:r>
      <w:r w:rsidR="00DC57E2">
        <w:t xml:space="preserve">electronic system. </w:t>
      </w:r>
      <w:r w:rsidR="00C17645">
        <w:t>In the event that electronic submission is not available for</w:t>
      </w:r>
      <w:r w:rsidR="00DC57E2">
        <w:t xml:space="preserve"> competitive financial assistance applications under the Ruth D. Gates Coral Reef Grant Program, </w:t>
      </w:r>
      <w:r w:rsidR="00C17645">
        <w:t>paper submissions may be allowable pursuant to the Notice of Funding Opportunity.</w:t>
      </w:r>
    </w:p>
    <w:p w:rsidR="000E6A30" w14:paraId="2EAC5B06" w14:textId="77777777">
      <w:pPr>
        <w:widowControl/>
      </w:pPr>
      <w:bookmarkStart w:id="3" w:name="_heading=h.l4cm6hivrtz4" w:colFirst="0" w:colLast="0"/>
      <w:bookmarkEnd w:id="3"/>
    </w:p>
    <w:p w:rsidR="000E6A30" w14:paraId="252CCBCC"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0E6A30" w14:paraId="42932A0D" w14:textId="77777777">
      <w:pPr>
        <w:pBdr>
          <w:top w:val="nil"/>
          <w:left w:val="nil"/>
          <w:bottom w:val="nil"/>
          <w:right w:val="nil"/>
          <w:between w:val="nil"/>
        </w:pBdr>
        <w:spacing w:before="161"/>
        <w:ind w:firstLine="720"/>
      </w:pPr>
      <w:r>
        <w:t>Information collected is specific to the Coral Reef Conservation Program and is not expected to be duplicated.  The applicant/recipient would not make this information publicly available, so there is no other source from which this information could be obtained.</w:t>
      </w:r>
    </w:p>
    <w:p w:rsidR="000E6A30" w14:paraId="22C0FF81" w14:textId="77777777">
      <w:pPr>
        <w:pBdr>
          <w:top w:val="nil"/>
          <w:left w:val="nil"/>
          <w:bottom w:val="nil"/>
          <w:right w:val="nil"/>
          <w:between w:val="nil"/>
        </w:pBdr>
        <w:spacing w:before="161"/>
      </w:pPr>
    </w:p>
    <w:p w:rsidR="000E6A30" w14:paraId="6116B5FA"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0E6A30" w14:paraId="3F5027EA" w14:textId="77777777">
      <w:pPr>
        <w:pBdr>
          <w:top w:val="nil"/>
          <w:left w:val="nil"/>
          <w:bottom w:val="nil"/>
          <w:right w:val="nil"/>
          <w:between w:val="nil"/>
        </w:pBdr>
        <w:spacing w:before="160"/>
        <w:ind w:firstLine="720"/>
      </w:pPr>
      <w:r>
        <w:t>Small businesses are eligible applicants in specific circumstances and instructions are written to require a minimal burden of all applicant types.</w:t>
      </w:r>
    </w:p>
    <w:p w:rsidR="000E6A30" w14:paraId="01180BA9" w14:textId="77777777">
      <w:pPr>
        <w:pBdr>
          <w:top w:val="nil"/>
          <w:left w:val="nil"/>
          <w:bottom w:val="nil"/>
          <w:right w:val="nil"/>
          <w:between w:val="nil"/>
        </w:pBdr>
        <w:spacing w:before="160"/>
      </w:pPr>
    </w:p>
    <w:p w:rsidR="000E6A30" w14:paraId="12840918" w14:textId="552A86E9">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C91067" w:rsidP="00C91067" w14:paraId="5B868CEF" w14:textId="5A85FFA3">
      <w:pPr>
        <w:pBdr>
          <w:top w:val="nil"/>
          <w:left w:val="nil"/>
          <w:bottom w:val="nil"/>
          <w:right w:val="nil"/>
          <w:between w:val="nil"/>
        </w:pBdr>
        <w:tabs>
          <w:tab w:val="left" w:pos="360"/>
        </w:tabs>
        <w:spacing w:before="80"/>
        <w:rPr>
          <w:b/>
          <w:color w:val="000000"/>
        </w:rPr>
      </w:pPr>
    </w:p>
    <w:sdt>
      <w:sdtPr>
        <w:tag w:val="goog_rdk_30"/>
        <w:id w:val="433171482"/>
        <w:richText/>
      </w:sdtPr>
      <w:sdtContent>
        <w:p w:rsidR="003D71FA" w:rsidRPr="003D71FA" w:rsidP="003D71FA" w14:paraId="68026F7D" w14:textId="34F72749">
          <w:pPr>
            <w:widowControl/>
            <w:ind w:firstLine="720"/>
            <w:rPr>
              <w:b/>
              <w:bCs/>
              <w:color w:val="000000"/>
            </w:rPr>
          </w:pPr>
          <w:sdt>
            <w:sdtPr>
              <w:tag w:val="goog_rdk_29"/>
              <w:id w:val="287867055"/>
              <w:richText/>
            </w:sdtPr>
            <w:sdtContent>
              <w:r w:rsidRPr="00C91067">
                <w:rPr>
                  <w:color w:val="000000"/>
                </w:rPr>
                <w:t>Non-federal expenditure values are one of the variables included in the block grant funding formula, which will be used to determine the annual allocation of funding to individual covered States, per section 6406(b)(3). Per section 6406(b)(2), NOAA is required to issue annual solicitations for block grants to the seven (7) covered States, thus necessitating the need for annual solicitation of expenditures of non-Federal funds.</w:t>
              </w:r>
              <w:r w:rsidR="00C91067">
                <w:rPr>
                  <w:color w:val="000000"/>
                </w:rPr>
                <w:t xml:space="preserve"> </w:t>
              </w:r>
              <w:r w:rsidRPr="00C91067">
                <w:rPr>
                  <w:color w:val="000000"/>
                </w:rPr>
                <w:t>If this data is not collected annually, the funding formula would need to be modified and/or timely implementation of the block grant program may be hindered.</w:t>
              </w:r>
            </w:sdtContent>
          </w:sdt>
        </w:p>
      </w:sdtContent>
    </w:sdt>
    <w:sdt>
      <w:sdtPr>
        <w:tag w:val="goog_rdk_38"/>
        <w:id w:val="1194271113"/>
        <w:richText/>
      </w:sdtPr>
      <w:sdtContent>
        <w:p w:rsidR="003D71FA" w:rsidP="003D71FA" w14:paraId="407BFAFB" w14:textId="77777777">
          <w:pPr>
            <w:spacing w:before="115"/>
            <w:ind w:firstLine="720"/>
            <w:rPr>
              <w:b/>
              <w:color w:val="000000"/>
            </w:rPr>
          </w:pPr>
          <w:sdt>
            <w:sdtPr>
              <w:tag w:val="goog_rdk_32"/>
              <w:id w:val="-1263301698"/>
              <w:richText/>
            </w:sdtPr>
            <w:sdtContent>
              <w:r w:rsidRPr="00C91067">
                <w:rPr>
                  <w:color w:val="000000"/>
                </w:rPr>
                <w:t xml:space="preserve">Coral reef stewardship partnerships are optional groups created to further community-based stewardship of Federally and non-Federally managed coral reefs (section 6405(a)). Applications are not expected to be submitted more than once ever by any single applicant. </w:t>
              </w:r>
            </w:sdtContent>
          </w:sdt>
          <w:sdt>
            <w:sdtPr>
              <w:tag w:val="goog_rdk_33"/>
              <w:id w:val="1581409911"/>
              <w:richText/>
            </w:sdtPr>
            <w:sdtContent>
              <w:sdt>
                <w:sdtPr>
                  <w:tag w:val="goog_rdk_34"/>
                  <w:id w:val="1736128232"/>
                  <w:richText/>
                </w:sdtPr>
                <w:sdtContent>
                  <w:r w:rsidRPr="00C91067">
                    <w:t>As noted in section 2 above, c</w:t>
                  </w:r>
                </w:sdtContent>
              </w:sdt>
              <w:sdt>
                <w:sdtPr>
                  <w:tag w:val="goog_rdk_35"/>
                  <w:id w:val="-1142266020"/>
                  <w:richText/>
                </w:sdtPr>
                <w:sdtContent>
                  <w:r>
                    <w:t xml:space="preserve">oral reef stewardship partnership applications will be submitted to the U.S. Coral Reef Task Force, via email using a NOAA-supplied PDF template form; NOAA will not receive submission directly. Per section 6405 (b)(2), NOAA must develop processes for adjudicating multiple stewardship partnership applicants for the same reef to ensure no geographic overlap. </w:t>
                  </w:r>
                </w:sdtContent>
              </w:sdt>
              <w:sdt>
                <w:sdtPr>
                  <w:tag w:val="goog_rdk_36"/>
                  <w:id w:val="-1795742993"/>
                  <w:richText/>
                </w:sdtPr>
                <w:sdtContent/>
              </w:sdt>
              <w:sdt>
                <w:sdtPr>
                  <w:tag w:val="goog_rdk_37"/>
                  <w:id w:val="-2110649833"/>
                  <w:richText/>
                </w:sdtPr>
                <w:sdtContent>
                  <w:r>
                    <w:t xml:space="preserve">If the application data is not collected, NOAA will be unable to complete this task. </w:t>
                  </w:r>
                </w:sdtContent>
              </w:sdt>
            </w:sdtContent>
          </w:sdt>
        </w:p>
      </w:sdtContent>
    </w:sdt>
    <w:sdt>
      <w:sdtPr>
        <w:tag w:val="goog_rdk_40"/>
        <w:id w:val="641072450"/>
        <w:richText/>
      </w:sdtPr>
      <w:sdtContent>
        <w:p w:rsidR="003D71FA" w:rsidP="003D71FA" w14:paraId="6F585096" w14:textId="77777777">
          <w:pPr>
            <w:pBdr>
              <w:top w:val="nil"/>
              <w:left w:val="nil"/>
              <w:bottom w:val="nil"/>
              <w:right w:val="nil"/>
              <w:between w:val="nil"/>
            </w:pBdr>
            <w:spacing w:before="115"/>
            <w:ind w:firstLine="720"/>
          </w:pPr>
          <w:r>
            <w:t>Information collection requirements for competitive financial assistance applications must be collected for each Notice of Funding Opportunity, and a non-federal entity is required to submit this information for each application.</w:t>
          </w:r>
          <w:sdt>
            <w:sdtPr>
              <w:tag w:val="goog_rdk_39"/>
              <w:id w:val="-817579752"/>
              <w:richText/>
            </w:sdtPr>
            <w:sdtContent>
              <w:r>
                <w:t xml:space="preserve"> This information is a necessary component of the application process for federal funding.</w:t>
              </w:r>
            </w:sdtContent>
          </w:sdt>
        </w:p>
      </w:sdtContent>
    </w:sdt>
    <w:p w:rsidR="003D71FA" w:rsidP="003D71FA" w14:paraId="2A188FCB" w14:textId="47274495">
      <w:pPr>
        <w:pBdr>
          <w:top w:val="nil"/>
          <w:left w:val="nil"/>
          <w:bottom w:val="nil"/>
          <w:right w:val="nil"/>
          <w:between w:val="nil"/>
        </w:pBdr>
        <w:spacing w:before="115"/>
        <w:ind w:firstLine="720"/>
      </w:pPr>
      <w:sdt>
        <w:sdtPr>
          <w:tag w:val="goog_rdk_43"/>
          <w:id w:val="-1467415786"/>
          <w:richText/>
        </w:sdtPr>
        <w:sdtContent>
          <w:r>
            <w:t>Performance (technical) progress reports are required by the Department of Commerce to be collected semi-annually and are</w:t>
          </w:r>
        </w:sdtContent>
      </w:sdt>
      <w:sdt>
        <w:sdtPr>
          <w:tag w:val="goog_rdk_44"/>
          <w:id w:val="-1351791937"/>
          <w:richText/>
        </w:sdtPr>
        <w:sdtContent>
          <w:r>
            <w:t xml:space="preserve"> necessary to monitor progress of funded grant projects.</w:t>
          </w:r>
        </w:sdtContent>
      </w:sdt>
    </w:p>
    <w:p w:rsidR="000E6A30" w14:paraId="1A07A0C4" w14:textId="0909A443">
      <w:pPr>
        <w:pBdr>
          <w:top w:val="nil"/>
          <w:left w:val="nil"/>
          <w:bottom w:val="nil"/>
          <w:right w:val="nil"/>
          <w:between w:val="nil"/>
        </w:pBdr>
        <w:spacing w:before="115"/>
        <w:ind w:firstLine="720"/>
      </w:pPr>
      <w:r>
        <w:t xml:space="preserve">Coral reef stewardship partnership applications are not expected to be submitted more than once ever by any single applicant. </w:t>
      </w:r>
    </w:p>
    <w:p w:rsidR="000E6A30" w14:paraId="31AF45DD" w14:textId="77777777">
      <w:pPr>
        <w:pBdr>
          <w:top w:val="nil"/>
          <w:left w:val="nil"/>
          <w:bottom w:val="nil"/>
          <w:right w:val="nil"/>
          <w:between w:val="nil"/>
        </w:pBdr>
        <w:spacing w:before="115"/>
        <w:ind w:firstLine="720"/>
      </w:pPr>
    </w:p>
    <w:p w:rsidR="000E6A30" w14:paraId="2C17EDC7"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0E6A30" w14:paraId="2D09B181" w14:textId="491ADA52">
      <w:pPr>
        <w:pBdr>
          <w:top w:val="nil"/>
          <w:left w:val="nil"/>
          <w:bottom w:val="nil"/>
          <w:right w:val="nil"/>
          <w:between w:val="nil"/>
        </w:pBdr>
        <w:spacing w:before="240"/>
        <w:ind w:firstLine="720"/>
      </w:pPr>
      <w:r>
        <w:t>There are currently no known circumstances that would cause an information collection to be conducted in a manner inconsistent with OMB guidelines</w:t>
      </w:r>
      <w:r w:rsidR="00DC57E2">
        <w:t>:</w:t>
      </w:r>
    </w:p>
    <w:p w:rsidR="00DC57E2" w:rsidP="00DC57E2" w14:paraId="31797634" w14:textId="36D37DFB">
      <w:pPr>
        <w:pBdr>
          <w:top w:val="nil"/>
          <w:left w:val="nil"/>
          <w:bottom w:val="nil"/>
          <w:right w:val="nil"/>
          <w:between w:val="nil"/>
        </w:pBdr>
        <w:spacing w:before="240"/>
        <w:ind w:firstLine="720"/>
      </w:pPr>
      <w:r>
        <w:t xml:space="preserve">● Respondents </w:t>
      </w:r>
      <w:r w:rsidR="002F5789">
        <w:t xml:space="preserve">are NOT required </w:t>
      </w:r>
      <w:r>
        <w:t>to report information to the agency more often than quarterly;</w:t>
      </w:r>
    </w:p>
    <w:p w:rsidR="00DC57E2" w:rsidP="00DC57E2" w14:paraId="111A2A7F" w14:textId="67238BBF">
      <w:pPr>
        <w:pBdr>
          <w:top w:val="nil"/>
          <w:left w:val="nil"/>
          <w:bottom w:val="nil"/>
          <w:right w:val="nil"/>
          <w:between w:val="nil"/>
        </w:pBdr>
        <w:spacing w:before="240"/>
        <w:ind w:firstLine="720"/>
      </w:pPr>
      <w:r>
        <w:t xml:space="preserve">● </w:t>
      </w:r>
      <w:r w:rsidR="002F5789">
        <w:t>R</w:t>
      </w:r>
      <w:r>
        <w:t xml:space="preserve">espondents </w:t>
      </w:r>
      <w:r w:rsidR="002F5789">
        <w:t xml:space="preserve">are NOT required </w:t>
      </w:r>
      <w:r>
        <w:t>to prepare a written response to a collection of information in fewer than</w:t>
      </w:r>
      <w:r w:rsidR="002F5789">
        <w:t xml:space="preserve"> </w:t>
      </w:r>
      <w:r>
        <w:t>30 days after receipt of it;</w:t>
      </w:r>
    </w:p>
    <w:p w:rsidR="00DC57E2" w:rsidP="00DC57E2" w14:paraId="33DD00B0" w14:textId="0F86B087">
      <w:pPr>
        <w:pBdr>
          <w:top w:val="nil"/>
          <w:left w:val="nil"/>
          <w:bottom w:val="nil"/>
          <w:right w:val="nil"/>
          <w:between w:val="nil"/>
        </w:pBdr>
        <w:spacing w:before="240"/>
        <w:ind w:firstLine="720"/>
      </w:pPr>
      <w:r>
        <w:t xml:space="preserve">● </w:t>
      </w:r>
      <w:r w:rsidR="002F5789">
        <w:t xml:space="preserve">Respondents are NOT required </w:t>
      </w:r>
      <w:r>
        <w:t>to submit more than an original and two copies of any document;</w:t>
      </w:r>
    </w:p>
    <w:p w:rsidR="00DC57E2" w:rsidP="00DC57E2" w14:paraId="27FE8BAA" w14:textId="4CD4C233">
      <w:pPr>
        <w:pBdr>
          <w:top w:val="nil"/>
          <w:left w:val="nil"/>
          <w:bottom w:val="nil"/>
          <w:right w:val="nil"/>
          <w:between w:val="nil"/>
        </w:pBdr>
        <w:spacing w:before="240"/>
        <w:ind w:firstLine="720"/>
      </w:pPr>
      <w:r>
        <w:t xml:space="preserve">● </w:t>
      </w:r>
      <w:r w:rsidR="002F5789">
        <w:t xml:space="preserve">Respondents are NOT required </w:t>
      </w:r>
      <w:r>
        <w:t>to retain records, other than health, medical, government contract, grant-in- aid, or tax records for more than three years;</w:t>
      </w:r>
    </w:p>
    <w:p w:rsidR="00DC57E2" w:rsidP="00DC57E2" w14:paraId="2BAC0501" w14:textId="2F4E189E">
      <w:pPr>
        <w:pBdr>
          <w:top w:val="nil"/>
          <w:left w:val="nil"/>
          <w:bottom w:val="nil"/>
          <w:right w:val="nil"/>
          <w:between w:val="nil"/>
        </w:pBdr>
        <w:spacing w:before="240"/>
        <w:ind w:firstLine="720"/>
      </w:pPr>
      <w:r>
        <w:t xml:space="preserve">● </w:t>
      </w:r>
      <w:r w:rsidR="002F5789">
        <w:t xml:space="preserve">Responses are NOT </w:t>
      </w:r>
      <w:r>
        <w:t>in connection with a statistical survey, that is not designed to produce valid and reliable results</w:t>
      </w:r>
      <w:r w:rsidR="002F5789">
        <w:t xml:space="preserve"> </w:t>
      </w:r>
      <w:r>
        <w:t>that can be generalized to the universe of study;</w:t>
      </w:r>
    </w:p>
    <w:p w:rsidR="00DC57E2" w:rsidP="00DC57E2" w14:paraId="5F5B22E9" w14:textId="7472AFBD">
      <w:pPr>
        <w:pBdr>
          <w:top w:val="nil"/>
          <w:left w:val="nil"/>
          <w:bottom w:val="nil"/>
          <w:right w:val="nil"/>
          <w:between w:val="nil"/>
        </w:pBdr>
        <w:spacing w:before="240"/>
        <w:ind w:firstLine="720"/>
      </w:pPr>
      <w:r>
        <w:t xml:space="preserve">● </w:t>
      </w:r>
      <w:r w:rsidR="002F5789">
        <w:t xml:space="preserve">NOAA is NOT </w:t>
      </w:r>
      <w:r>
        <w:t>requiring the use of a statistical data classification that has not been reviewed and approved by</w:t>
      </w:r>
      <w:r w:rsidR="002F5789">
        <w:t xml:space="preserve"> </w:t>
      </w:r>
      <w:r>
        <w:t>OMB;</w:t>
      </w:r>
    </w:p>
    <w:p w:rsidR="00DC57E2" w:rsidP="002F5789" w14:paraId="52A68713" w14:textId="1C5B6AE9">
      <w:pPr>
        <w:pBdr>
          <w:top w:val="nil"/>
          <w:left w:val="nil"/>
          <w:bottom w:val="nil"/>
          <w:right w:val="nil"/>
          <w:between w:val="nil"/>
        </w:pBdr>
        <w:spacing w:before="240"/>
        <w:ind w:firstLine="720"/>
      </w:pPr>
      <w:r>
        <w:t xml:space="preserve">● </w:t>
      </w:r>
      <w:r w:rsidR="002F5789">
        <w:t xml:space="preserve">NOAA does NOT require </w:t>
      </w:r>
      <w:r>
        <w:t>a pledge of confidentiality that is not supported by authority established in statute</w:t>
      </w:r>
      <w:r w:rsidR="002F5789">
        <w:t xml:space="preserve"> </w:t>
      </w:r>
      <w:r>
        <w:t>or regulation, that is not supported by disclosure and data security policies that are consistent</w:t>
      </w:r>
      <w:r w:rsidR="002F5789">
        <w:t xml:space="preserve"> </w:t>
      </w:r>
      <w:r>
        <w:t>with the pledge, or which unnecessarily impedes sharing of data with other agencies for</w:t>
      </w:r>
      <w:r w:rsidR="00C91067">
        <w:t xml:space="preserve"> </w:t>
      </w:r>
      <w:r>
        <w:t>compatible confidential use; or</w:t>
      </w:r>
    </w:p>
    <w:p w:rsidR="00DC57E2" w:rsidP="002F5789" w14:paraId="4AAA5804" w14:textId="5DEAA532">
      <w:pPr>
        <w:pBdr>
          <w:top w:val="nil"/>
          <w:left w:val="nil"/>
          <w:bottom w:val="nil"/>
          <w:right w:val="nil"/>
          <w:between w:val="nil"/>
        </w:pBdr>
        <w:spacing w:before="240"/>
        <w:ind w:firstLine="720"/>
      </w:pPr>
      <w:r>
        <w:t xml:space="preserve">● </w:t>
      </w:r>
      <w:r w:rsidR="002F5789">
        <w:t xml:space="preserve">Respondents are NOT required </w:t>
      </w:r>
      <w:r>
        <w:t>to submit proprietary trade secrets, or other confidential information.</w:t>
      </w:r>
    </w:p>
    <w:p w:rsidR="000E6A30" w14:paraId="67EB5CE8" w14:textId="77777777">
      <w:pPr>
        <w:pBdr>
          <w:top w:val="nil"/>
          <w:left w:val="nil"/>
          <w:bottom w:val="nil"/>
          <w:right w:val="nil"/>
          <w:between w:val="nil"/>
        </w:pBdr>
        <w:spacing w:before="80"/>
      </w:pPr>
    </w:p>
    <w:p w:rsidR="000E6A30" w14:paraId="4B580F37"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E6A30" w14:paraId="0C4C9025" w14:textId="26366AE9">
      <w:pPr>
        <w:pBdr>
          <w:top w:val="nil"/>
          <w:left w:val="nil"/>
          <w:bottom w:val="nil"/>
          <w:right w:val="nil"/>
          <w:between w:val="nil"/>
        </w:pBdr>
        <w:tabs>
          <w:tab w:val="left" w:pos="360"/>
        </w:tabs>
        <w:spacing w:before="240"/>
        <w:ind w:firstLine="720"/>
      </w:pPr>
      <w:r>
        <w:t>A notice was published in the Federal Register on</w:t>
      </w:r>
      <w:r w:rsidR="005E3CFD">
        <w:t xml:space="preserve"> April 30, 2024 (</w:t>
      </w:r>
      <w:r w:rsidRPr="005E3CFD" w:rsidR="005E3CFD">
        <w:t>89 FR 34211</w:t>
      </w:r>
      <w:r w:rsidR="005E3CFD">
        <w:t>)</w:t>
      </w:r>
      <w:r>
        <w:t>. No comments were received.</w:t>
      </w:r>
    </w:p>
    <w:p w:rsidR="000E6A30" w14:paraId="704282C7" w14:textId="2FCF0B2B">
      <w:pPr>
        <w:spacing w:before="161"/>
        <w:ind w:firstLine="720"/>
      </w:pPr>
      <w:r>
        <w:t xml:space="preserve">NOAA </w:t>
      </w:r>
      <w:r w:rsidR="00BF44B2">
        <w:t xml:space="preserve">consulted with </w:t>
      </w:r>
      <w:r>
        <w:t xml:space="preserve">8 individuals outside the agency to obtain their views on the availability of data, frequency of collection, the clarity of instructions and recordkeeping, disclosure, or reporting format, and on the data elements to be recorded, disclosed, or reported. </w:t>
      </w:r>
      <w:r w:rsidR="00550977">
        <w:t>Comments were provided with regard to burden estimates and these comments were used to determine the appropriate burden response time for each collection</w:t>
      </w:r>
      <w:r w:rsidR="00BF44B2">
        <w:t>.</w:t>
      </w:r>
    </w:p>
    <w:p w:rsidR="000E6A30" w14:paraId="429FF3FE" w14:textId="77777777">
      <w:pPr>
        <w:pBdr>
          <w:top w:val="nil"/>
          <w:left w:val="nil"/>
          <w:bottom w:val="nil"/>
          <w:right w:val="nil"/>
          <w:between w:val="nil"/>
        </w:pBdr>
        <w:spacing w:before="159"/>
        <w:rPr>
          <w:color w:val="FF0000"/>
        </w:rPr>
      </w:pPr>
    </w:p>
    <w:p w:rsidR="000E6A30" w14:paraId="0D60401A"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0E6A30" w14:paraId="4087DD58" w14:textId="77777777">
      <w:pPr>
        <w:pBdr>
          <w:top w:val="nil"/>
          <w:left w:val="nil"/>
          <w:bottom w:val="nil"/>
          <w:right w:val="nil"/>
          <w:between w:val="nil"/>
        </w:pBdr>
        <w:spacing w:before="240"/>
        <w:ind w:firstLine="720"/>
      </w:pPr>
      <w:r>
        <w:t>The agency does not plan to provide a payment or gift to respondents.</w:t>
      </w:r>
    </w:p>
    <w:p w:rsidR="000E6A30" w14:paraId="37433FC7" w14:textId="77777777">
      <w:pPr>
        <w:pBdr>
          <w:top w:val="nil"/>
          <w:left w:val="nil"/>
          <w:bottom w:val="nil"/>
          <w:right w:val="nil"/>
          <w:between w:val="nil"/>
        </w:pBdr>
        <w:spacing w:before="158"/>
      </w:pPr>
    </w:p>
    <w:p w:rsidR="000E6A30" w14:paraId="29F281B9"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0E6A30" w14:paraId="5767542C" w14:textId="34EC2D04">
      <w:pPr>
        <w:pBdr>
          <w:top w:val="nil"/>
          <w:left w:val="nil"/>
          <w:bottom w:val="nil"/>
          <w:right w:val="nil"/>
          <w:between w:val="nil"/>
        </w:pBdr>
        <w:spacing w:before="158"/>
        <w:ind w:firstLine="720"/>
      </w:pPr>
      <w:r>
        <w:t>In order to maintain confidentiality of Personal Identifiable Information (PII) (</w:t>
      </w:r>
      <w:r w:rsidR="00A6118F">
        <w:t>e.g.</w:t>
      </w:r>
      <w:r>
        <w:t xml:space="preserve">, SSNs) and Business Identifiable Information (BII), all submissions are sent to the agency through a secured system. Applicants may also submit confidential information through certified mail or another secure </w:t>
      </w:r>
      <w:r w:rsidR="002F5789">
        <w:t xml:space="preserve">email </w:t>
      </w:r>
      <w:r>
        <w:t xml:space="preserve">service of their choice. NOAA shares applications for review through either the </w:t>
      </w:r>
      <w:r>
        <w:t>eRA</w:t>
      </w:r>
      <w:r>
        <w:t xml:space="preserve"> grants management system or </w:t>
      </w:r>
      <w:r>
        <w:t>Accellion</w:t>
      </w:r>
      <w:r>
        <w:t xml:space="preserve"> </w:t>
      </w:r>
      <w:r>
        <w:t>Kiteworks</w:t>
      </w:r>
      <w:r>
        <w:t xml:space="preserve"> (secured). </w:t>
      </w:r>
    </w:p>
    <w:p w:rsidR="00550977" w14:paraId="6387B55D" w14:textId="7C48A7AA">
      <w:pPr>
        <w:pBdr>
          <w:top w:val="nil"/>
          <w:left w:val="nil"/>
          <w:bottom w:val="nil"/>
          <w:right w:val="nil"/>
          <w:between w:val="nil"/>
        </w:pBdr>
        <w:spacing w:before="158"/>
        <w:ind w:firstLine="720"/>
      </w:pPr>
      <w:r>
        <w:t>The collection of information for grant management is authorized under SORN GSA/GOV’T-9</w:t>
      </w:r>
      <w:r w:rsidR="00C71166">
        <w:t>.</w:t>
      </w:r>
    </w:p>
    <w:p w:rsidR="000E6A30" w14:paraId="3214FE24" w14:textId="77777777">
      <w:pPr>
        <w:pBdr>
          <w:top w:val="nil"/>
          <w:left w:val="nil"/>
          <w:bottom w:val="nil"/>
          <w:right w:val="nil"/>
          <w:between w:val="nil"/>
        </w:pBdr>
        <w:spacing w:before="158"/>
        <w:ind w:firstLine="720"/>
      </w:pPr>
    </w:p>
    <w:p w:rsidR="000E6A30" w14:paraId="79BB4067"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E6A30" w14:paraId="1FA2A73B" w14:textId="77777777">
      <w:pPr>
        <w:pBdr>
          <w:top w:val="nil"/>
          <w:left w:val="nil"/>
          <w:bottom w:val="nil"/>
          <w:right w:val="nil"/>
          <w:between w:val="nil"/>
        </w:pBdr>
        <w:tabs>
          <w:tab w:val="left" w:pos="360"/>
        </w:tabs>
        <w:spacing w:before="240"/>
        <w:ind w:firstLine="720"/>
        <w:rPr>
          <w:color w:val="2F5496"/>
        </w:rPr>
        <w:sectPr w:rsidSect="008E0FB3">
          <w:footerReference w:type="default" r:id="rId6"/>
          <w:pgSz w:w="12240" w:h="15840"/>
          <w:pgMar w:top="900" w:right="1080" w:bottom="1200" w:left="1080" w:header="0" w:footer="714" w:gutter="0"/>
          <w:pgNumType w:start="1"/>
          <w:cols w:space="720"/>
        </w:sectPr>
      </w:pPr>
      <w:r>
        <w:t xml:space="preserve">The agency does not find these types of questions necessary and does not ask them. </w:t>
      </w:r>
    </w:p>
    <w:p w:rsidR="000E6A30" w14:paraId="3DF646FE" w14:textId="77777777">
      <w:pPr>
        <w:spacing w:line="259" w:lineRule="auto"/>
      </w:pPr>
    </w:p>
    <w:p w:rsidR="000E6A30" w14:paraId="2C0E5FD5" w14:textId="4D49106A">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1349E1" w:rsidP="001349E1" w14:paraId="0707921F" w14:textId="43180AA8">
      <w:pPr>
        <w:pBdr>
          <w:top w:val="nil"/>
          <w:left w:val="nil"/>
          <w:bottom w:val="nil"/>
          <w:right w:val="nil"/>
          <w:between w:val="nil"/>
        </w:pBdr>
        <w:tabs>
          <w:tab w:val="left" w:pos="360"/>
        </w:tabs>
        <w:spacing w:before="80"/>
        <w:rPr>
          <w:color w:val="000000"/>
        </w:rPr>
      </w:pPr>
    </w:p>
    <w:p w:rsidR="001349E1" w:rsidRPr="001349E1" w:rsidP="001349E1" w14:paraId="0C5DA8B9" w14:textId="27DFC168">
      <w:pPr>
        <w:pBdr>
          <w:top w:val="nil"/>
          <w:left w:val="nil"/>
          <w:bottom w:val="nil"/>
          <w:right w:val="nil"/>
          <w:between w:val="nil"/>
        </w:pBdr>
        <w:tabs>
          <w:tab w:val="left" w:pos="360"/>
        </w:tabs>
        <w:spacing w:before="80"/>
        <w:rPr>
          <w:color w:val="000000"/>
        </w:rPr>
      </w:pPr>
      <w:r>
        <w:rPr>
          <w:color w:val="000000"/>
        </w:rPr>
        <w:t>The burden estimates for the</w:t>
      </w:r>
      <w:r w:rsidR="0022277E">
        <w:rPr>
          <w:color w:val="000000"/>
        </w:rPr>
        <w:t>se requirements were based on the time needed for CRCP staff to complete the forms.  The Annual Non-Federal Expenditures Reports takes between 5 and 12 hours to complete, so an average of 8.5 hours was used.  All burden estimates will be updated as appropriate based on feedback from respondents.</w:t>
      </w:r>
    </w:p>
    <w:p w:rsidR="000E6A30" w14:paraId="3E7F34E3" w14:textId="77777777">
      <w:pPr>
        <w:spacing w:line="259" w:lineRule="auto"/>
        <w:ind w:hanging="43"/>
        <w:jc w:val="center"/>
        <w:rPr>
          <w:b/>
          <w:color w:val="FF0000"/>
          <w:highlight w:val="magenta"/>
        </w:rPr>
      </w:pPr>
    </w:p>
    <w:tbl>
      <w:tblPr>
        <w:tblStyle w:val="aa"/>
        <w:tblW w:w="14419" w:type="dxa"/>
        <w:tblInd w:w="-25" w:type="dxa"/>
        <w:tblLayout w:type="fixed"/>
        <w:tblLook w:val="0400"/>
      </w:tblPr>
      <w:tblGrid>
        <w:gridCol w:w="3560"/>
        <w:gridCol w:w="1920"/>
        <w:gridCol w:w="1470"/>
        <w:gridCol w:w="1349"/>
        <w:gridCol w:w="1170"/>
        <w:gridCol w:w="1080"/>
        <w:gridCol w:w="1137"/>
        <w:gridCol w:w="1066"/>
        <w:gridCol w:w="1667"/>
      </w:tblGrid>
      <w:tr w14:paraId="37E55E39" w14:textId="77777777">
        <w:tblPrEx>
          <w:tblW w:w="14419" w:type="dxa"/>
          <w:tblInd w:w="-25" w:type="dxa"/>
          <w:tblLayout w:type="fixed"/>
          <w:tblLook w:val="0400"/>
        </w:tblPrEx>
        <w:trPr>
          <w:trHeight w:val="1365"/>
        </w:trPr>
        <w:tc>
          <w:tcPr>
            <w:tcW w:w="356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0E6A30" w14:paraId="311CBF6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920" w:type="dxa"/>
            <w:tcBorders>
              <w:top w:val="single" w:sz="8" w:space="0" w:color="000000"/>
              <w:left w:val="nil"/>
              <w:bottom w:val="single" w:sz="8" w:space="0" w:color="000000"/>
              <w:right w:val="single" w:sz="8" w:space="0" w:color="000000"/>
            </w:tcBorders>
            <w:shd w:val="clear" w:color="auto" w:fill="BDD7EE"/>
            <w:vAlign w:val="center"/>
          </w:tcPr>
          <w:p w:rsidR="000E6A30" w14:paraId="36E6E10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Type of Respondent (e.g., Occupational </w:t>
            </w:r>
            <w:r>
              <w:rPr>
                <w:rFonts w:ascii="Calibri" w:eastAsia="Calibri" w:hAnsi="Calibri" w:cs="Calibri"/>
                <w:b/>
                <w:color w:val="000000"/>
                <w:sz w:val="16"/>
                <w:szCs w:val="16"/>
              </w:rPr>
              <w:t>Title)*</w:t>
            </w:r>
          </w:p>
        </w:tc>
        <w:tc>
          <w:tcPr>
            <w:tcW w:w="1470" w:type="dxa"/>
            <w:tcBorders>
              <w:top w:val="single" w:sz="8" w:space="0" w:color="000000"/>
              <w:left w:val="nil"/>
              <w:bottom w:val="single" w:sz="8" w:space="0" w:color="000000"/>
              <w:right w:val="single" w:sz="8" w:space="0" w:color="000000"/>
            </w:tcBorders>
            <w:shd w:val="clear" w:color="auto" w:fill="BDD7EE"/>
            <w:vAlign w:val="center"/>
          </w:tcPr>
          <w:p w:rsidR="000E6A30" w14:paraId="5254906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349" w:type="dxa"/>
            <w:tcBorders>
              <w:top w:val="single" w:sz="8" w:space="0" w:color="000000"/>
              <w:left w:val="nil"/>
              <w:bottom w:val="single" w:sz="8" w:space="0" w:color="000000"/>
              <w:right w:val="single" w:sz="8" w:space="0" w:color="000000"/>
            </w:tcBorders>
            <w:shd w:val="clear" w:color="auto" w:fill="BDD7EE"/>
            <w:vAlign w:val="center"/>
          </w:tcPr>
          <w:p w:rsidR="000E6A30" w14:paraId="1133BF38"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0E6A30" w14:paraId="093B82F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0E6A30" w14:paraId="4B1CEDD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Burden </w:t>
            </w:r>
            <w:r>
              <w:rPr>
                <w:rFonts w:ascii="Calibri" w:eastAsia="Calibri" w:hAnsi="Calibri" w:cs="Calibri"/>
                <w:b/>
                <w:color w:val="000000"/>
                <w:sz w:val="16"/>
                <w:szCs w:val="16"/>
              </w:rPr>
              <w:t>Hrs</w:t>
            </w:r>
            <w:r>
              <w:rPr>
                <w:rFonts w:ascii="Calibri" w:eastAsia="Calibri" w:hAnsi="Calibri" w:cs="Calibri"/>
                <w:b/>
                <w:color w:val="000000"/>
                <w:sz w:val="16"/>
                <w:szCs w:val="16"/>
              </w:rPr>
              <w:t xml:space="preserve"> / Response</w:t>
            </w:r>
            <w:r>
              <w:rPr>
                <w:rFonts w:ascii="Calibri" w:eastAsia="Calibri" w:hAnsi="Calibri" w:cs="Calibri"/>
                <w:b/>
                <w:color w:val="000000"/>
                <w:sz w:val="16"/>
                <w:szCs w:val="16"/>
              </w:rPr>
              <w:br/>
              <w:t>(d)</w:t>
            </w:r>
          </w:p>
        </w:tc>
        <w:tc>
          <w:tcPr>
            <w:tcW w:w="1137" w:type="dxa"/>
            <w:tcBorders>
              <w:top w:val="single" w:sz="8" w:space="0" w:color="000000"/>
              <w:left w:val="nil"/>
              <w:bottom w:val="single" w:sz="8" w:space="0" w:color="000000"/>
              <w:right w:val="single" w:sz="8" w:space="0" w:color="000000"/>
            </w:tcBorders>
            <w:shd w:val="clear" w:color="auto" w:fill="BDD7EE"/>
            <w:vAlign w:val="center"/>
          </w:tcPr>
          <w:p w:rsidR="000E6A30" w14:paraId="2FDE1BD7"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Total Annual Burden </w:t>
            </w:r>
            <w:r>
              <w:rPr>
                <w:rFonts w:ascii="Calibri" w:eastAsia="Calibri" w:hAnsi="Calibri" w:cs="Calibri"/>
                <w:b/>
                <w:color w:val="000000"/>
                <w:sz w:val="16"/>
                <w:szCs w:val="16"/>
              </w:rPr>
              <w:t>Hrs</w:t>
            </w:r>
            <w:r>
              <w:rPr>
                <w:rFonts w:ascii="Calibri" w:eastAsia="Calibri" w:hAnsi="Calibri" w:cs="Calibri"/>
                <w:b/>
                <w:color w:val="000000"/>
                <w:sz w:val="16"/>
                <w:szCs w:val="16"/>
              </w:rPr>
              <w:br/>
              <w:t>(</w:t>
            </w:r>
            <w:r>
              <w:rPr>
                <w:rFonts w:ascii="Calibri" w:eastAsia="Calibri" w:hAnsi="Calibri" w:cs="Calibri"/>
                <w:b/>
                <w:color w:val="000000"/>
                <w:sz w:val="16"/>
                <w:szCs w:val="16"/>
              </w:rPr>
              <w:t>e)  =</w:t>
            </w:r>
            <w:r>
              <w:rPr>
                <w:rFonts w:ascii="Calibri" w:eastAsia="Calibri" w:hAnsi="Calibri" w:cs="Calibri"/>
                <w:b/>
                <w:color w:val="000000"/>
                <w:sz w:val="16"/>
                <w:szCs w:val="16"/>
              </w:rPr>
              <w:t xml:space="preserve"> (c) x (d)</w:t>
            </w:r>
          </w:p>
        </w:tc>
        <w:tc>
          <w:tcPr>
            <w:tcW w:w="1066" w:type="dxa"/>
            <w:tcBorders>
              <w:top w:val="single" w:sz="8" w:space="0" w:color="000000"/>
              <w:left w:val="nil"/>
              <w:bottom w:val="single" w:sz="8" w:space="0" w:color="000000"/>
              <w:right w:val="single" w:sz="8" w:space="0" w:color="000000"/>
            </w:tcBorders>
            <w:shd w:val="clear" w:color="auto" w:fill="BDD7EE"/>
            <w:vAlign w:val="center"/>
          </w:tcPr>
          <w:p w:rsidR="000E6A30" w14:paraId="76DED7C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Hourly Wage </w:t>
            </w:r>
            <w:r>
              <w:rPr>
                <w:rFonts w:ascii="Calibri" w:eastAsia="Calibri" w:hAnsi="Calibri" w:cs="Calibri"/>
                <w:b/>
                <w:color w:val="000000"/>
                <w:sz w:val="16"/>
                <w:szCs w:val="16"/>
              </w:rPr>
              <w:t>Rate  (</w:t>
            </w:r>
            <w:r>
              <w:rPr>
                <w:rFonts w:ascii="Calibri" w:eastAsia="Calibri" w:hAnsi="Calibri" w:cs="Calibri"/>
                <w:b/>
                <w:color w:val="000000"/>
                <w:sz w:val="16"/>
                <w:szCs w:val="16"/>
              </w:rPr>
              <w:t>for Type of Respondent)*</w:t>
            </w:r>
            <w:r>
              <w:rPr>
                <w:rFonts w:ascii="Calibri" w:eastAsia="Calibri" w:hAnsi="Calibri" w:cs="Calibri"/>
                <w:b/>
                <w:color w:val="000000"/>
                <w:sz w:val="16"/>
                <w:szCs w:val="16"/>
              </w:rPr>
              <w:br/>
              <w:t>(f)</w:t>
            </w:r>
          </w:p>
        </w:tc>
        <w:tc>
          <w:tcPr>
            <w:tcW w:w="1667" w:type="dxa"/>
            <w:tcBorders>
              <w:top w:val="single" w:sz="8" w:space="0" w:color="000000"/>
              <w:left w:val="nil"/>
              <w:bottom w:val="single" w:sz="8" w:space="0" w:color="000000"/>
              <w:right w:val="single" w:sz="8" w:space="0" w:color="000000"/>
            </w:tcBorders>
            <w:shd w:val="clear" w:color="auto" w:fill="BDD7EE"/>
            <w:vAlign w:val="center"/>
          </w:tcPr>
          <w:p w:rsidR="000E6A30" w14:paraId="5E09C55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14:paraId="1C878E1D" w14:textId="77777777">
        <w:tblPrEx>
          <w:tblW w:w="14419" w:type="dxa"/>
          <w:tblInd w:w="-25" w:type="dxa"/>
          <w:tblLayout w:type="fixed"/>
          <w:tblLook w:val="0400"/>
        </w:tblPrEx>
        <w:trPr>
          <w:trHeight w:val="300"/>
        </w:trPr>
        <w:tc>
          <w:tcPr>
            <w:tcW w:w="3560" w:type="dxa"/>
            <w:tcBorders>
              <w:top w:val="nil"/>
              <w:left w:val="single" w:sz="8" w:space="0" w:color="000000"/>
              <w:bottom w:val="single" w:sz="4" w:space="0" w:color="000000"/>
              <w:right w:val="single" w:sz="4" w:space="0" w:color="000000"/>
            </w:tcBorders>
            <w:shd w:val="clear" w:color="auto" w:fill="auto"/>
            <w:vAlign w:val="bottom"/>
          </w:tcPr>
          <w:p w:rsidR="000E6A30" w14:paraId="755C7796" w14:textId="792A6468">
            <w:pPr>
              <w:widowControl/>
              <w:rPr>
                <w:rFonts w:ascii="Calibri" w:eastAsia="Calibri" w:hAnsi="Calibri" w:cs="Calibri"/>
                <w:color w:val="000000"/>
                <w:sz w:val="16"/>
                <w:szCs w:val="16"/>
              </w:rPr>
            </w:pPr>
            <w:r>
              <w:rPr>
                <w:rFonts w:ascii="Calibri" w:eastAsia="Calibri" w:hAnsi="Calibri" w:cs="Calibri"/>
                <w:color w:val="000000"/>
                <w:sz w:val="16"/>
                <w:szCs w:val="16"/>
              </w:rPr>
              <w:t>C</w:t>
            </w:r>
            <w:r>
              <w:rPr>
                <w:rFonts w:ascii="Calibri" w:eastAsia="Calibri" w:hAnsi="Calibri" w:cs="Calibri"/>
                <w:sz w:val="16"/>
                <w:szCs w:val="16"/>
              </w:rPr>
              <w:t xml:space="preserve">RCP </w:t>
            </w:r>
            <w:r w:rsidR="00EC51BC">
              <w:rPr>
                <w:rFonts w:ascii="Calibri" w:eastAsia="Calibri" w:hAnsi="Calibri" w:cs="Calibri"/>
                <w:sz w:val="16"/>
                <w:szCs w:val="16"/>
              </w:rPr>
              <w:t>Annual N</w:t>
            </w:r>
            <w:r>
              <w:rPr>
                <w:rFonts w:ascii="Calibri" w:eastAsia="Calibri" w:hAnsi="Calibri" w:cs="Calibri"/>
                <w:sz w:val="16"/>
                <w:szCs w:val="16"/>
              </w:rPr>
              <w:t>on-federa</w:t>
            </w:r>
            <w:r w:rsidR="00EC51BC">
              <w:rPr>
                <w:rFonts w:ascii="Calibri" w:eastAsia="Calibri" w:hAnsi="Calibri" w:cs="Calibri"/>
                <w:sz w:val="16"/>
                <w:szCs w:val="16"/>
              </w:rPr>
              <w:t>l E</w:t>
            </w:r>
            <w:r>
              <w:rPr>
                <w:rFonts w:ascii="Calibri" w:eastAsia="Calibri" w:hAnsi="Calibri" w:cs="Calibri"/>
                <w:sz w:val="16"/>
                <w:szCs w:val="16"/>
              </w:rPr>
              <w:t>xpenditures</w:t>
            </w:r>
            <w:r w:rsidR="00EC51BC">
              <w:rPr>
                <w:rFonts w:ascii="Calibri" w:eastAsia="Calibri" w:hAnsi="Calibri" w:cs="Calibri"/>
                <w:sz w:val="16"/>
                <w:szCs w:val="16"/>
              </w:rPr>
              <w:t xml:space="preserve"> Report</w:t>
            </w:r>
          </w:p>
        </w:tc>
        <w:tc>
          <w:tcPr>
            <w:tcW w:w="1920" w:type="dxa"/>
            <w:tcBorders>
              <w:top w:val="nil"/>
              <w:left w:val="nil"/>
              <w:bottom w:val="single" w:sz="4" w:space="0" w:color="000000"/>
              <w:right w:val="single" w:sz="4" w:space="0" w:color="000000"/>
            </w:tcBorders>
            <w:shd w:val="clear" w:color="auto" w:fill="auto"/>
            <w:vAlign w:val="bottom"/>
          </w:tcPr>
          <w:p w:rsidR="000E6A30" w14:paraId="7764AF3F" w14:textId="77777777">
            <w:pPr>
              <w:widowControl/>
              <w:rPr>
                <w:rFonts w:ascii="Calibri" w:eastAsia="Calibri" w:hAnsi="Calibri" w:cs="Calibri"/>
                <w:color w:val="000000"/>
                <w:sz w:val="16"/>
                <w:szCs w:val="16"/>
              </w:rPr>
            </w:pPr>
            <w:r>
              <w:rPr>
                <w:rFonts w:ascii="Calibri" w:eastAsia="Calibri" w:hAnsi="Calibri" w:cs="Calibri"/>
                <w:sz w:val="16"/>
                <w:szCs w:val="16"/>
              </w:rPr>
              <w:t>General and Operations Manager</w:t>
            </w:r>
          </w:p>
        </w:tc>
        <w:tc>
          <w:tcPr>
            <w:tcW w:w="1470" w:type="dxa"/>
            <w:tcBorders>
              <w:top w:val="nil"/>
              <w:left w:val="nil"/>
              <w:bottom w:val="single" w:sz="4" w:space="0" w:color="000000"/>
              <w:right w:val="single" w:sz="4" w:space="0" w:color="000000"/>
            </w:tcBorders>
            <w:shd w:val="clear" w:color="auto" w:fill="auto"/>
            <w:vAlign w:val="bottom"/>
          </w:tcPr>
          <w:p w:rsidR="000E6A30" w14:paraId="6CA40A88" w14:textId="77777777">
            <w:pPr>
              <w:widowControl/>
              <w:jc w:val="center"/>
              <w:rPr>
                <w:rFonts w:ascii="Calibri" w:eastAsia="Calibri" w:hAnsi="Calibri" w:cs="Calibri"/>
                <w:color w:val="000000"/>
                <w:sz w:val="16"/>
                <w:szCs w:val="16"/>
              </w:rPr>
            </w:pPr>
            <w:r>
              <w:rPr>
                <w:rFonts w:ascii="Calibri" w:eastAsia="Calibri" w:hAnsi="Calibri" w:cs="Calibri"/>
                <w:sz w:val="16"/>
                <w:szCs w:val="16"/>
              </w:rPr>
              <w:t>7</w:t>
            </w:r>
          </w:p>
        </w:tc>
        <w:tc>
          <w:tcPr>
            <w:tcW w:w="1349" w:type="dxa"/>
            <w:tcBorders>
              <w:top w:val="nil"/>
              <w:left w:val="nil"/>
              <w:bottom w:val="single" w:sz="4" w:space="0" w:color="000000"/>
              <w:right w:val="single" w:sz="4" w:space="0" w:color="000000"/>
            </w:tcBorders>
            <w:shd w:val="clear" w:color="auto" w:fill="auto"/>
            <w:vAlign w:val="bottom"/>
          </w:tcPr>
          <w:p w:rsidR="000E6A30" w14:paraId="6C34ECFA" w14:textId="77777777">
            <w:pPr>
              <w:widowControl/>
              <w:jc w:val="center"/>
              <w:rPr>
                <w:rFonts w:ascii="Calibri" w:eastAsia="Calibri" w:hAnsi="Calibri" w:cs="Calibri"/>
                <w:color w:val="000000"/>
                <w:sz w:val="16"/>
                <w:szCs w:val="16"/>
              </w:rPr>
            </w:pPr>
            <w:r>
              <w:rPr>
                <w:rFonts w:ascii="Calibri" w:eastAsia="Calibri" w:hAnsi="Calibri" w:cs="Calibri"/>
                <w:sz w:val="16"/>
                <w:szCs w:val="16"/>
              </w:rPr>
              <w:t>1</w:t>
            </w:r>
          </w:p>
        </w:tc>
        <w:tc>
          <w:tcPr>
            <w:tcW w:w="1170" w:type="dxa"/>
            <w:tcBorders>
              <w:top w:val="nil"/>
              <w:left w:val="nil"/>
              <w:bottom w:val="single" w:sz="4" w:space="0" w:color="000000"/>
              <w:right w:val="single" w:sz="4" w:space="0" w:color="000000"/>
            </w:tcBorders>
            <w:shd w:val="clear" w:color="auto" w:fill="auto"/>
            <w:vAlign w:val="bottom"/>
          </w:tcPr>
          <w:p w:rsidR="000E6A30" w14:paraId="4574307A" w14:textId="77777777">
            <w:pPr>
              <w:widowControl/>
              <w:jc w:val="center"/>
              <w:rPr>
                <w:rFonts w:ascii="Calibri" w:eastAsia="Calibri" w:hAnsi="Calibri" w:cs="Calibri"/>
                <w:color w:val="000000"/>
                <w:sz w:val="16"/>
                <w:szCs w:val="16"/>
              </w:rPr>
            </w:pPr>
            <w:r>
              <w:rPr>
                <w:rFonts w:ascii="Calibri" w:eastAsia="Calibri" w:hAnsi="Calibri" w:cs="Calibri"/>
                <w:sz w:val="16"/>
                <w:szCs w:val="16"/>
              </w:rPr>
              <w:t>7</w:t>
            </w:r>
          </w:p>
        </w:tc>
        <w:tc>
          <w:tcPr>
            <w:tcW w:w="1080" w:type="dxa"/>
            <w:tcBorders>
              <w:top w:val="nil"/>
              <w:left w:val="nil"/>
              <w:bottom w:val="single" w:sz="4" w:space="0" w:color="000000"/>
              <w:right w:val="single" w:sz="4" w:space="0" w:color="000000"/>
            </w:tcBorders>
            <w:shd w:val="clear" w:color="auto" w:fill="auto"/>
            <w:vAlign w:val="bottom"/>
          </w:tcPr>
          <w:p w:rsidR="000E6A30" w:rsidP="00CA5E27" w14:paraId="15748354" w14:textId="2DBE8BFD">
            <w:pPr>
              <w:widowControl/>
              <w:ind w:right="180"/>
              <w:jc w:val="center"/>
              <w:rPr>
                <w:rFonts w:ascii="Calibri" w:eastAsia="Calibri" w:hAnsi="Calibri" w:cs="Calibri"/>
                <w:color w:val="000000"/>
                <w:sz w:val="16"/>
                <w:szCs w:val="16"/>
              </w:rPr>
            </w:pPr>
            <w:r>
              <w:rPr>
                <w:rFonts w:ascii="Calibri" w:eastAsia="Calibri" w:hAnsi="Calibri" w:cs="Calibri"/>
                <w:sz w:val="16"/>
                <w:szCs w:val="16"/>
              </w:rPr>
              <w:t>8.5</w:t>
            </w:r>
          </w:p>
        </w:tc>
        <w:tc>
          <w:tcPr>
            <w:tcW w:w="1137" w:type="dxa"/>
            <w:tcBorders>
              <w:top w:val="nil"/>
              <w:left w:val="nil"/>
              <w:bottom w:val="single" w:sz="4" w:space="0" w:color="000000"/>
              <w:right w:val="single" w:sz="4" w:space="0" w:color="000000"/>
            </w:tcBorders>
            <w:shd w:val="clear" w:color="auto" w:fill="auto"/>
            <w:vAlign w:val="bottom"/>
          </w:tcPr>
          <w:p w:rsidR="000E6A30" w:rsidP="00CA5E27" w14:paraId="31DEDA2D" w14:textId="3C6FBA19">
            <w:pPr>
              <w:widowControl/>
              <w:ind w:right="180"/>
              <w:jc w:val="center"/>
              <w:rPr>
                <w:rFonts w:ascii="Calibri" w:eastAsia="Calibri" w:hAnsi="Calibri" w:cs="Calibri"/>
                <w:color w:val="000000"/>
                <w:sz w:val="16"/>
                <w:szCs w:val="16"/>
              </w:rPr>
            </w:pPr>
            <w:r>
              <w:rPr>
                <w:rFonts w:ascii="Calibri" w:eastAsia="Calibri" w:hAnsi="Calibri" w:cs="Calibri"/>
                <w:sz w:val="16"/>
                <w:szCs w:val="16"/>
              </w:rPr>
              <w:t>59.5</w:t>
            </w:r>
          </w:p>
        </w:tc>
        <w:tc>
          <w:tcPr>
            <w:tcW w:w="1066" w:type="dxa"/>
            <w:tcBorders>
              <w:top w:val="nil"/>
              <w:left w:val="nil"/>
              <w:bottom w:val="single" w:sz="4" w:space="0" w:color="000000"/>
              <w:right w:val="single" w:sz="4" w:space="0" w:color="000000"/>
            </w:tcBorders>
            <w:vAlign w:val="bottom"/>
          </w:tcPr>
          <w:p w:rsidR="000E6A30" w:rsidP="006C0DAF" w14:paraId="4D64ADB7" w14:textId="77777777">
            <w:pPr>
              <w:widowControl/>
              <w:ind w:right="180"/>
              <w:jc w:val="right"/>
              <w:rPr>
                <w:rFonts w:ascii="Calibri" w:eastAsia="Calibri" w:hAnsi="Calibri" w:cs="Calibri"/>
                <w:color w:val="000000"/>
                <w:sz w:val="16"/>
                <w:szCs w:val="16"/>
              </w:rPr>
            </w:pPr>
            <w:r>
              <w:rPr>
                <w:rFonts w:ascii="Calibri" w:eastAsia="Calibri" w:hAnsi="Calibri" w:cs="Calibri"/>
                <w:sz w:val="16"/>
                <w:szCs w:val="16"/>
              </w:rPr>
              <w:t>$62.18</w:t>
            </w:r>
          </w:p>
        </w:tc>
        <w:tc>
          <w:tcPr>
            <w:tcW w:w="1667" w:type="dxa"/>
            <w:tcBorders>
              <w:top w:val="nil"/>
              <w:left w:val="nil"/>
              <w:bottom w:val="single" w:sz="4" w:space="0" w:color="000000"/>
              <w:right w:val="single" w:sz="8" w:space="0" w:color="000000"/>
            </w:tcBorders>
            <w:shd w:val="clear" w:color="auto" w:fill="auto"/>
            <w:vAlign w:val="bottom"/>
          </w:tcPr>
          <w:p w:rsidR="000E6A30" w:rsidP="00CA5E27" w14:paraId="2A691641" w14:textId="0097350A">
            <w:pPr>
              <w:widowControl/>
              <w:ind w:right="180"/>
              <w:jc w:val="right"/>
              <w:rPr>
                <w:rFonts w:ascii="Calibri" w:eastAsia="Calibri" w:hAnsi="Calibri" w:cs="Calibri"/>
                <w:color w:val="000000"/>
                <w:sz w:val="16"/>
                <w:szCs w:val="16"/>
              </w:rPr>
            </w:pPr>
            <w:r>
              <w:rPr>
                <w:rFonts w:ascii="Calibri" w:eastAsia="Calibri" w:hAnsi="Calibri" w:cs="Calibri"/>
                <w:sz w:val="16"/>
                <w:szCs w:val="16"/>
              </w:rPr>
              <w:t>$</w:t>
            </w:r>
            <w:r w:rsidR="00E3122B">
              <w:rPr>
                <w:rFonts w:ascii="Calibri" w:eastAsia="Calibri" w:hAnsi="Calibri" w:cs="Calibri"/>
                <w:sz w:val="16"/>
                <w:szCs w:val="16"/>
              </w:rPr>
              <w:t>3,699.71</w:t>
            </w:r>
            <w:r w:rsidR="00C17645">
              <w:rPr>
                <w:rFonts w:ascii="Calibri" w:eastAsia="Calibri" w:hAnsi="Calibri" w:cs="Calibri"/>
                <w:sz w:val="16"/>
                <w:szCs w:val="16"/>
              </w:rPr>
              <w:t> </w:t>
            </w:r>
          </w:p>
        </w:tc>
      </w:tr>
      <w:tr w14:paraId="6A54A0CF" w14:textId="77777777">
        <w:tblPrEx>
          <w:tblW w:w="14419" w:type="dxa"/>
          <w:tblInd w:w="-25" w:type="dxa"/>
          <w:tblLayout w:type="fixed"/>
          <w:tblLook w:val="0400"/>
        </w:tblPrEx>
        <w:trPr>
          <w:trHeight w:val="465"/>
        </w:trPr>
        <w:tc>
          <w:tcPr>
            <w:tcW w:w="3560" w:type="dxa"/>
            <w:tcBorders>
              <w:top w:val="nil"/>
              <w:left w:val="single" w:sz="8" w:space="0" w:color="000000"/>
              <w:bottom w:val="single" w:sz="4" w:space="0" w:color="000000"/>
              <w:right w:val="single" w:sz="4" w:space="0" w:color="000000"/>
            </w:tcBorders>
            <w:shd w:val="clear" w:color="auto" w:fill="auto"/>
            <w:vAlign w:val="bottom"/>
          </w:tcPr>
          <w:p w:rsidR="000E6A30" w14:paraId="1763A17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xml:space="preserve">CRCP </w:t>
            </w:r>
            <w:r>
              <w:rPr>
                <w:rFonts w:ascii="Calibri" w:eastAsia="Calibri" w:hAnsi="Calibri" w:cs="Calibri"/>
                <w:sz w:val="16"/>
                <w:szCs w:val="16"/>
              </w:rPr>
              <w:t>Ruth D. Gates Program proposal package development and submission</w:t>
            </w:r>
          </w:p>
        </w:tc>
        <w:tc>
          <w:tcPr>
            <w:tcW w:w="1920" w:type="dxa"/>
            <w:tcBorders>
              <w:top w:val="nil"/>
              <w:left w:val="nil"/>
              <w:bottom w:val="single" w:sz="4" w:space="0" w:color="000000"/>
              <w:right w:val="single" w:sz="4" w:space="0" w:color="000000"/>
            </w:tcBorders>
            <w:shd w:val="clear" w:color="auto" w:fill="auto"/>
            <w:vAlign w:val="bottom"/>
          </w:tcPr>
          <w:p w:rsidR="000E6A30" w14:paraId="6436FFAA" w14:textId="77777777">
            <w:pPr>
              <w:widowControl/>
              <w:rPr>
                <w:rFonts w:ascii="Calibri" w:eastAsia="Calibri" w:hAnsi="Calibri" w:cs="Calibri"/>
                <w:color w:val="000000"/>
                <w:sz w:val="16"/>
                <w:szCs w:val="16"/>
              </w:rPr>
            </w:pPr>
            <w:r>
              <w:rPr>
                <w:rFonts w:ascii="Calibri" w:eastAsia="Calibri" w:hAnsi="Calibri" w:cs="Calibri"/>
                <w:sz w:val="16"/>
                <w:szCs w:val="16"/>
              </w:rPr>
              <w:t>General and Operations Manager</w:t>
            </w:r>
          </w:p>
        </w:tc>
        <w:tc>
          <w:tcPr>
            <w:tcW w:w="1470" w:type="dxa"/>
            <w:tcBorders>
              <w:top w:val="nil"/>
              <w:left w:val="nil"/>
              <w:bottom w:val="single" w:sz="4" w:space="0" w:color="000000"/>
              <w:right w:val="single" w:sz="4" w:space="0" w:color="000000"/>
            </w:tcBorders>
            <w:shd w:val="clear" w:color="auto" w:fill="auto"/>
            <w:vAlign w:val="bottom"/>
          </w:tcPr>
          <w:p w:rsidR="000E6A30" w14:paraId="2CFB12FF" w14:textId="77777777">
            <w:pPr>
              <w:widowControl/>
              <w:jc w:val="center"/>
              <w:rPr>
                <w:rFonts w:ascii="Calibri" w:eastAsia="Calibri" w:hAnsi="Calibri" w:cs="Calibri"/>
                <w:color w:val="000000"/>
                <w:sz w:val="16"/>
                <w:szCs w:val="16"/>
              </w:rPr>
            </w:pPr>
            <w:r>
              <w:rPr>
                <w:rFonts w:ascii="Calibri" w:eastAsia="Calibri" w:hAnsi="Calibri" w:cs="Calibri"/>
                <w:sz w:val="16"/>
                <w:szCs w:val="16"/>
              </w:rPr>
              <w:t>15</w:t>
            </w:r>
          </w:p>
        </w:tc>
        <w:tc>
          <w:tcPr>
            <w:tcW w:w="1349" w:type="dxa"/>
            <w:tcBorders>
              <w:top w:val="nil"/>
              <w:left w:val="nil"/>
              <w:bottom w:val="single" w:sz="4" w:space="0" w:color="000000"/>
              <w:right w:val="single" w:sz="4" w:space="0" w:color="000000"/>
            </w:tcBorders>
            <w:shd w:val="clear" w:color="auto" w:fill="auto"/>
            <w:vAlign w:val="bottom"/>
          </w:tcPr>
          <w:p w:rsidR="000E6A30" w14:paraId="37148C3E" w14:textId="77777777">
            <w:pPr>
              <w:widowControl/>
              <w:jc w:val="center"/>
              <w:rPr>
                <w:rFonts w:ascii="Calibri" w:eastAsia="Calibri" w:hAnsi="Calibri" w:cs="Calibri"/>
                <w:color w:val="000000"/>
                <w:sz w:val="16"/>
                <w:szCs w:val="16"/>
              </w:rPr>
            </w:pPr>
            <w:r>
              <w:rPr>
                <w:rFonts w:ascii="Calibri" w:eastAsia="Calibri" w:hAnsi="Calibri" w:cs="Calibri"/>
                <w:sz w:val="16"/>
                <w:szCs w:val="16"/>
              </w:rPr>
              <w:t>1</w:t>
            </w:r>
          </w:p>
        </w:tc>
        <w:tc>
          <w:tcPr>
            <w:tcW w:w="1170" w:type="dxa"/>
            <w:tcBorders>
              <w:top w:val="nil"/>
              <w:left w:val="nil"/>
              <w:bottom w:val="single" w:sz="4" w:space="0" w:color="000000"/>
              <w:right w:val="single" w:sz="4" w:space="0" w:color="000000"/>
            </w:tcBorders>
            <w:shd w:val="clear" w:color="auto" w:fill="auto"/>
            <w:vAlign w:val="bottom"/>
          </w:tcPr>
          <w:p w:rsidR="000E6A30" w14:paraId="2A54E491" w14:textId="77777777">
            <w:pPr>
              <w:widowControl/>
              <w:jc w:val="center"/>
              <w:rPr>
                <w:rFonts w:ascii="Calibri" w:eastAsia="Calibri" w:hAnsi="Calibri" w:cs="Calibri"/>
                <w:color w:val="000000"/>
                <w:sz w:val="16"/>
                <w:szCs w:val="16"/>
              </w:rPr>
            </w:pPr>
            <w:r>
              <w:rPr>
                <w:rFonts w:ascii="Calibri" w:eastAsia="Calibri" w:hAnsi="Calibri" w:cs="Calibri"/>
                <w:sz w:val="16"/>
                <w:szCs w:val="16"/>
              </w:rPr>
              <w:t>15</w:t>
            </w:r>
          </w:p>
        </w:tc>
        <w:tc>
          <w:tcPr>
            <w:tcW w:w="1080" w:type="dxa"/>
            <w:tcBorders>
              <w:top w:val="nil"/>
              <w:left w:val="nil"/>
              <w:bottom w:val="single" w:sz="4" w:space="0" w:color="000000"/>
              <w:right w:val="single" w:sz="4" w:space="0" w:color="000000"/>
            </w:tcBorders>
            <w:shd w:val="clear" w:color="auto" w:fill="auto"/>
            <w:vAlign w:val="bottom"/>
          </w:tcPr>
          <w:p w:rsidR="000E6A30" w:rsidP="00CA5E27" w14:paraId="15D15171" w14:textId="77777777">
            <w:pPr>
              <w:widowControl/>
              <w:ind w:right="180"/>
              <w:jc w:val="center"/>
              <w:rPr>
                <w:rFonts w:ascii="Calibri" w:eastAsia="Calibri" w:hAnsi="Calibri" w:cs="Calibri"/>
                <w:color w:val="000000"/>
                <w:sz w:val="16"/>
                <w:szCs w:val="16"/>
              </w:rPr>
            </w:pPr>
            <w:r>
              <w:rPr>
                <w:rFonts w:ascii="Calibri" w:eastAsia="Calibri" w:hAnsi="Calibri" w:cs="Calibri"/>
                <w:sz w:val="16"/>
                <w:szCs w:val="16"/>
              </w:rPr>
              <w:t>46.5</w:t>
            </w:r>
          </w:p>
        </w:tc>
        <w:tc>
          <w:tcPr>
            <w:tcW w:w="1137" w:type="dxa"/>
            <w:tcBorders>
              <w:top w:val="nil"/>
              <w:left w:val="nil"/>
              <w:bottom w:val="single" w:sz="4" w:space="0" w:color="000000"/>
              <w:right w:val="single" w:sz="4" w:space="0" w:color="000000"/>
            </w:tcBorders>
            <w:shd w:val="clear" w:color="auto" w:fill="auto"/>
            <w:vAlign w:val="bottom"/>
          </w:tcPr>
          <w:p w:rsidR="000E6A30" w:rsidP="00CA5E27" w14:paraId="1A2E0976" w14:textId="77777777">
            <w:pPr>
              <w:widowControl/>
              <w:ind w:right="180"/>
              <w:jc w:val="center"/>
              <w:rPr>
                <w:rFonts w:ascii="Calibri" w:eastAsia="Calibri" w:hAnsi="Calibri" w:cs="Calibri"/>
                <w:color w:val="000000"/>
                <w:sz w:val="16"/>
                <w:szCs w:val="16"/>
              </w:rPr>
            </w:pPr>
            <w:r>
              <w:rPr>
                <w:rFonts w:ascii="Calibri" w:eastAsia="Calibri" w:hAnsi="Calibri" w:cs="Calibri"/>
                <w:sz w:val="16"/>
                <w:szCs w:val="16"/>
              </w:rPr>
              <w:t>697.5</w:t>
            </w:r>
          </w:p>
        </w:tc>
        <w:tc>
          <w:tcPr>
            <w:tcW w:w="1066" w:type="dxa"/>
            <w:tcBorders>
              <w:top w:val="nil"/>
              <w:left w:val="nil"/>
              <w:bottom w:val="single" w:sz="4" w:space="0" w:color="000000"/>
              <w:right w:val="single" w:sz="4" w:space="0" w:color="000000"/>
            </w:tcBorders>
            <w:vAlign w:val="bottom"/>
          </w:tcPr>
          <w:p w:rsidR="000E6A30" w:rsidP="006C0DAF" w14:paraId="732DAA30" w14:textId="77777777">
            <w:pPr>
              <w:widowControl/>
              <w:ind w:right="180"/>
              <w:jc w:val="right"/>
              <w:rPr>
                <w:rFonts w:ascii="Calibri" w:eastAsia="Calibri" w:hAnsi="Calibri" w:cs="Calibri"/>
                <w:color w:val="000000"/>
                <w:sz w:val="16"/>
                <w:szCs w:val="16"/>
              </w:rPr>
            </w:pPr>
            <w:r>
              <w:rPr>
                <w:rFonts w:ascii="Calibri" w:eastAsia="Calibri" w:hAnsi="Calibri" w:cs="Calibri"/>
                <w:sz w:val="16"/>
                <w:szCs w:val="16"/>
              </w:rPr>
              <w:t>$62.18</w:t>
            </w:r>
          </w:p>
        </w:tc>
        <w:tc>
          <w:tcPr>
            <w:tcW w:w="1667" w:type="dxa"/>
            <w:tcBorders>
              <w:top w:val="nil"/>
              <w:left w:val="nil"/>
              <w:bottom w:val="single" w:sz="4" w:space="0" w:color="000000"/>
              <w:right w:val="single" w:sz="8" w:space="0" w:color="000000"/>
            </w:tcBorders>
            <w:shd w:val="clear" w:color="auto" w:fill="auto"/>
            <w:vAlign w:val="bottom"/>
          </w:tcPr>
          <w:p w:rsidR="000E6A30" w:rsidP="006C0DAF" w14:paraId="39E6E7BA" w14:textId="77777777">
            <w:pPr>
              <w:widowControl/>
              <w:ind w:right="180"/>
              <w:jc w:val="right"/>
              <w:rPr>
                <w:rFonts w:ascii="Calibri" w:eastAsia="Calibri" w:hAnsi="Calibri" w:cs="Calibri"/>
                <w:color w:val="000000"/>
                <w:sz w:val="16"/>
                <w:szCs w:val="16"/>
              </w:rPr>
            </w:pPr>
            <w:r>
              <w:rPr>
                <w:rFonts w:ascii="Calibri" w:eastAsia="Calibri" w:hAnsi="Calibri" w:cs="Calibri"/>
                <w:sz w:val="16"/>
                <w:szCs w:val="16"/>
              </w:rPr>
              <w:t>$43,370.55</w:t>
            </w:r>
          </w:p>
        </w:tc>
      </w:tr>
      <w:tr w14:paraId="2521B49C" w14:textId="77777777">
        <w:tblPrEx>
          <w:tblW w:w="14419" w:type="dxa"/>
          <w:tblInd w:w="-25" w:type="dxa"/>
          <w:tblLayout w:type="fixed"/>
          <w:tblLook w:val="0400"/>
        </w:tblPrEx>
        <w:trPr>
          <w:trHeight w:val="300"/>
        </w:trPr>
        <w:tc>
          <w:tcPr>
            <w:tcW w:w="3560" w:type="dxa"/>
            <w:tcBorders>
              <w:top w:val="nil"/>
              <w:left w:val="single" w:sz="8" w:space="0" w:color="000000"/>
              <w:bottom w:val="single" w:sz="4" w:space="0" w:color="000000"/>
              <w:right w:val="single" w:sz="4" w:space="0" w:color="000000"/>
            </w:tcBorders>
            <w:shd w:val="clear" w:color="auto" w:fill="auto"/>
            <w:vAlign w:val="bottom"/>
          </w:tcPr>
          <w:p w:rsidR="000E6A30" w14:paraId="4BAA2806" w14:textId="77777777">
            <w:pPr>
              <w:widowControl/>
              <w:rPr>
                <w:rFonts w:ascii="Calibri" w:eastAsia="Calibri" w:hAnsi="Calibri" w:cs="Calibri"/>
                <w:color w:val="000000"/>
                <w:sz w:val="16"/>
                <w:szCs w:val="16"/>
              </w:rPr>
            </w:pPr>
            <w:r>
              <w:rPr>
                <w:rFonts w:ascii="Calibri" w:eastAsia="Calibri" w:hAnsi="Calibri" w:cs="Calibri"/>
                <w:sz w:val="16"/>
                <w:szCs w:val="16"/>
              </w:rPr>
              <w:t>CRCP performance progress report and indicator report submission</w:t>
            </w:r>
          </w:p>
        </w:tc>
        <w:tc>
          <w:tcPr>
            <w:tcW w:w="1920" w:type="dxa"/>
            <w:tcBorders>
              <w:top w:val="nil"/>
              <w:left w:val="nil"/>
              <w:bottom w:val="single" w:sz="4" w:space="0" w:color="000000"/>
              <w:right w:val="single" w:sz="4" w:space="0" w:color="000000"/>
            </w:tcBorders>
            <w:shd w:val="clear" w:color="auto" w:fill="auto"/>
            <w:vAlign w:val="bottom"/>
          </w:tcPr>
          <w:p w:rsidR="000E6A30" w14:paraId="59CE4D90" w14:textId="77777777">
            <w:pPr>
              <w:widowControl/>
              <w:rPr>
                <w:rFonts w:ascii="Calibri" w:eastAsia="Calibri" w:hAnsi="Calibri" w:cs="Calibri"/>
                <w:sz w:val="16"/>
                <w:szCs w:val="16"/>
              </w:rPr>
            </w:pPr>
            <w:r>
              <w:rPr>
                <w:rFonts w:ascii="Calibri" w:eastAsia="Calibri" w:hAnsi="Calibri" w:cs="Calibri"/>
                <w:sz w:val="16"/>
                <w:szCs w:val="16"/>
              </w:rPr>
              <w:t>General and Operations Manager</w:t>
            </w:r>
          </w:p>
        </w:tc>
        <w:tc>
          <w:tcPr>
            <w:tcW w:w="1470" w:type="dxa"/>
            <w:tcBorders>
              <w:top w:val="nil"/>
              <w:left w:val="nil"/>
              <w:bottom w:val="single" w:sz="4" w:space="0" w:color="000000"/>
              <w:right w:val="single" w:sz="4" w:space="0" w:color="000000"/>
            </w:tcBorders>
            <w:shd w:val="clear" w:color="auto" w:fill="auto"/>
            <w:vAlign w:val="bottom"/>
          </w:tcPr>
          <w:p w:rsidR="000E6A30" w14:paraId="5A826FEB" w14:textId="77777777">
            <w:pPr>
              <w:widowControl/>
              <w:jc w:val="center"/>
              <w:rPr>
                <w:rFonts w:ascii="Calibri" w:eastAsia="Calibri" w:hAnsi="Calibri" w:cs="Calibri"/>
                <w:sz w:val="16"/>
                <w:szCs w:val="16"/>
              </w:rPr>
            </w:pPr>
            <w:r>
              <w:rPr>
                <w:rFonts w:ascii="Calibri" w:eastAsia="Calibri" w:hAnsi="Calibri" w:cs="Calibri"/>
                <w:sz w:val="16"/>
                <w:szCs w:val="16"/>
              </w:rPr>
              <w:t>20</w:t>
            </w:r>
          </w:p>
        </w:tc>
        <w:tc>
          <w:tcPr>
            <w:tcW w:w="1349" w:type="dxa"/>
            <w:tcBorders>
              <w:top w:val="nil"/>
              <w:left w:val="nil"/>
              <w:bottom w:val="single" w:sz="4" w:space="0" w:color="000000"/>
              <w:right w:val="single" w:sz="4" w:space="0" w:color="000000"/>
            </w:tcBorders>
            <w:shd w:val="clear" w:color="auto" w:fill="auto"/>
            <w:vAlign w:val="bottom"/>
          </w:tcPr>
          <w:p w:rsidR="000E6A30" w14:paraId="590C65B5" w14:textId="77777777">
            <w:pPr>
              <w:widowControl/>
              <w:jc w:val="center"/>
              <w:rPr>
                <w:rFonts w:ascii="Calibri" w:eastAsia="Calibri" w:hAnsi="Calibri" w:cs="Calibri"/>
                <w:sz w:val="16"/>
                <w:szCs w:val="16"/>
              </w:rPr>
            </w:pPr>
            <w:r>
              <w:rPr>
                <w:rFonts w:ascii="Calibri" w:eastAsia="Calibri" w:hAnsi="Calibri" w:cs="Calibri"/>
                <w:sz w:val="16"/>
                <w:szCs w:val="16"/>
              </w:rPr>
              <w:t>2</w:t>
            </w:r>
          </w:p>
        </w:tc>
        <w:tc>
          <w:tcPr>
            <w:tcW w:w="1170" w:type="dxa"/>
            <w:tcBorders>
              <w:top w:val="nil"/>
              <w:left w:val="nil"/>
              <w:bottom w:val="single" w:sz="4" w:space="0" w:color="000000"/>
              <w:right w:val="single" w:sz="4" w:space="0" w:color="000000"/>
            </w:tcBorders>
            <w:shd w:val="clear" w:color="auto" w:fill="auto"/>
            <w:vAlign w:val="bottom"/>
          </w:tcPr>
          <w:p w:rsidR="000E6A30" w14:paraId="4BA6BAB4" w14:textId="77777777">
            <w:pPr>
              <w:widowControl/>
              <w:jc w:val="center"/>
              <w:rPr>
                <w:rFonts w:ascii="Calibri" w:eastAsia="Calibri" w:hAnsi="Calibri" w:cs="Calibri"/>
                <w:color w:val="000000"/>
                <w:sz w:val="16"/>
                <w:szCs w:val="16"/>
              </w:rPr>
            </w:pPr>
            <w:r>
              <w:rPr>
                <w:rFonts w:ascii="Calibri" w:eastAsia="Calibri" w:hAnsi="Calibri" w:cs="Calibri"/>
                <w:sz w:val="16"/>
                <w:szCs w:val="16"/>
              </w:rPr>
              <w:t>40</w:t>
            </w:r>
          </w:p>
        </w:tc>
        <w:tc>
          <w:tcPr>
            <w:tcW w:w="1080" w:type="dxa"/>
            <w:tcBorders>
              <w:top w:val="nil"/>
              <w:left w:val="nil"/>
              <w:bottom w:val="single" w:sz="4" w:space="0" w:color="000000"/>
              <w:right w:val="single" w:sz="4" w:space="0" w:color="000000"/>
            </w:tcBorders>
            <w:shd w:val="clear" w:color="auto" w:fill="auto"/>
            <w:vAlign w:val="bottom"/>
          </w:tcPr>
          <w:p w:rsidR="000E6A30" w:rsidP="00CA5E27" w14:paraId="56555F16" w14:textId="77777777">
            <w:pPr>
              <w:widowControl/>
              <w:ind w:right="180"/>
              <w:jc w:val="center"/>
              <w:rPr>
                <w:rFonts w:ascii="Calibri" w:eastAsia="Calibri" w:hAnsi="Calibri" w:cs="Calibri"/>
                <w:sz w:val="16"/>
                <w:szCs w:val="16"/>
              </w:rPr>
            </w:pPr>
            <w:r>
              <w:rPr>
                <w:rFonts w:ascii="Calibri" w:eastAsia="Calibri" w:hAnsi="Calibri" w:cs="Calibri"/>
                <w:sz w:val="16"/>
                <w:szCs w:val="16"/>
              </w:rPr>
              <w:t>6</w:t>
            </w:r>
          </w:p>
        </w:tc>
        <w:tc>
          <w:tcPr>
            <w:tcW w:w="1137" w:type="dxa"/>
            <w:tcBorders>
              <w:top w:val="nil"/>
              <w:left w:val="nil"/>
              <w:bottom w:val="single" w:sz="4" w:space="0" w:color="000000"/>
              <w:right w:val="single" w:sz="4" w:space="0" w:color="000000"/>
            </w:tcBorders>
            <w:shd w:val="clear" w:color="auto" w:fill="auto"/>
            <w:vAlign w:val="bottom"/>
          </w:tcPr>
          <w:p w:rsidR="000E6A30" w:rsidP="00CA5E27" w14:paraId="242DA4B6" w14:textId="77777777">
            <w:pPr>
              <w:widowControl/>
              <w:ind w:right="180"/>
              <w:jc w:val="center"/>
              <w:rPr>
                <w:rFonts w:ascii="Calibri" w:eastAsia="Calibri" w:hAnsi="Calibri" w:cs="Calibri"/>
                <w:sz w:val="16"/>
                <w:szCs w:val="16"/>
              </w:rPr>
            </w:pPr>
            <w:r>
              <w:rPr>
                <w:rFonts w:ascii="Calibri" w:eastAsia="Calibri" w:hAnsi="Calibri" w:cs="Calibri"/>
                <w:sz w:val="16"/>
                <w:szCs w:val="16"/>
              </w:rPr>
              <w:t>240</w:t>
            </w:r>
          </w:p>
        </w:tc>
        <w:tc>
          <w:tcPr>
            <w:tcW w:w="1066" w:type="dxa"/>
            <w:tcBorders>
              <w:top w:val="nil"/>
              <w:left w:val="nil"/>
              <w:bottom w:val="single" w:sz="4" w:space="0" w:color="000000"/>
              <w:right w:val="single" w:sz="4" w:space="0" w:color="000000"/>
            </w:tcBorders>
            <w:vAlign w:val="bottom"/>
          </w:tcPr>
          <w:p w:rsidR="000E6A30" w:rsidP="006C0DAF" w14:paraId="0614AC2B" w14:textId="77777777">
            <w:pPr>
              <w:widowControl/>
              <w:ind w:right="180"/>
              <w:jc w:val="right"/>
              <w:rPr>
                <w:rFonts w:ascii="Calibri" w:eastAsia="Calibri" w:hAnsi="Calibri" w:cs="Calibri"/>
                <w:sz w:val="16"/>
                <w:szCs w:val="16"/>
              </w:rPr>
            </w:pPr>
            <w:r>
              <w:rPr>
                <w:rFonts w:ascii="Calibri" w:eastAsia="Calibri" w:hAnsi="Calibri" w:cs="Calibri"/>
                <w:sz w:val="16"/>
                <w:szCs w:val="16"/>
              </w:rPr>
              <w:t>$62.18</w:t>
            </w:r>
          </w:p>
        </w:tc>
        <w:tc>
          <w:tcPr>
            <w:tcW w:w="1667" w:type="dxa"/>
            <w:tcBorders>
              <w:top w:val="nil"/>
              <w:left w:val="nil"/>
              <w:bottom w:val="single" w:sz="4" w:space="0" w:color="000000"/>
              <w:right w:val="single" w:sz="8" w:space="0" w:color="000000"/>
            </w:tcBorders>
            <w:shd w:val="clear" w:color="auto" w:fill="auto"/>
            <w:vAlign w:val="bottom"/>
          </w:tcPr>
          <w:p w:rsidR="000E6A30" w:rsidP="006C0DAF" w14:paraId="621D9D20" w14:textId="77777777">
            <w:pPr>
              <w:widowControl/>
              <w:ind w:right="180"/>
              <w:jc w:val="right"/>
              <w:rPr>
                <w:rFonts w:ascii="Calibri" w:eastAsia="Calibri" w:hAnsi="Calibri" w:cs="Calibri"/>
                <w:sz w:val="16"/>
                <w:szCs w:val="16"/>
              </w:rPr>
            </w:pPr>
            <w:r>
              <w:rPr>
                <w:rFonts w:ascii="Calibri" w:eastAsia="Calibri" w:hAnsi="Calibri" w:cs="Calibri"/>
                <w:sz w:val="16"/>
                <w:szCs w:val="16"/>
              </w:rPr>
              <w:t>$14,923.20</w:t>
            </w:r>
          </w:p>
        </w:tc>
      </w:tr>
      <w:tr w14:paraId="4975A15A" w14:textId="77777777">
        <w:tblPrEx>
          <w:tblW w:w="14419" w:type="dxa"/>
          <w:tblInd w:w="-25" w:type="dxa"/>
          <w:tblLayout w:type="fixed"/>
          <w:tblLook w:val="0400"/>
        </w:tblPrEx>
        <w:trPr>
          <w:trHeight w:val="300"/>
        </w:trPr>
        <w:tc>
          <w:tcPr>
            <w:tcW w:w="3560" w:type="dxa"/>
            <w:tcBorders>
              <w:top w:val="nil"/>
              <w:left w:val="single" w:sz="8" w:space="0" w:color="000000"/>
              <w:bottom w:val="single" w:sz="4" w:space="0" w:color="000000"/>
              <w:right w:val="single" w:sz="4" w:space="0" w:color="000000"/>
            </w:tcBorders>
            <w:shd w:val="clear" w:color="auto" w:fill="auto"/>
            <w:vAlign w:val="bottom"/>
          </w:tcPr>
          <w:p w:rsidR="000E6A30" w14:paraId="191A924D" w14:textId="77777777">
            <w:pPr>
              <w:widowControl/>
              <w:rPr>
                <w:rFonts w:ascii="Calibri" w:eastAsia="Calibri" w:hAnsi="Calibri" w:cs="Calibri"/>
                <w:sz w:val="16"/>
                <w:szCs w:val="16"/>
              </w:rPr>
            </w:pPr>
            <w:r>
              <w:rPr>
                <w:rFonts w:ascii="Calibri" w:eastAsia="Calibri" w:hAnsi="Calibri" w:cs="Calibri"/>
                <w:sz w:val="16"/>
                <w:szCs w:val="16"/>
              </w:rPr>
              <w:t>Coral reef stewardship partnership applications</w:t>
            </w:r>
          </w:p>
        </w:tc>
        <w:tc>
          <w:tcPr>
            <w:tcW w:w="1920" w:type="dxa"/>
            <w:tcBorders>
              <w:top w:val="nil"/>
              <w:left w:val="nil"/>
              <w:bottom w:val="single" w:sz="4" w:space="0" w:color="000000"/>
              <w:right w:val="single" w:sz="4" w:space="0" w:color="000000"/>
            </w:tcBorders>
            <w:shd w:val="clear" w:color="auto" w:fill="auto"/>
            <w:vAlign w:val="bottom"/>
          </w:tcPr>
          <w:p w:rsidR="000E6A30" w14:paraId="2B6B4E58" w14:textId="77777777">
            <w:pPr>
              <w:widowControl/>
              <w:rPr>
                <w:rFonts w:ascii="Calibri" w:eastAsia="Calibri" w:hAnsi="Calibri" w:cs="Calibri"/>
                <w:sz w:val="16"/>
                <w:szCs w:val="16"/>
              </w:rPr>
            </w:pPr>
            <w:r>
              <w:rPr>
                <w:rFonts w:ascii="Calibri" w:eastAsia="Calibri" w:hAnsi="Calibri" w:cs="Calibri"/>
                <w:sz w:val="16"/>
                <w:szCs w:val="16"/>
              </w:rPr>
              <w:t>General and Operations Manager</w:t>
            </w:r>
          </w:p>
        </w:tc>
        <w:tc>
          <w:tcPr>
            <w:tcW w:w="1470" w:type="dxa"/>
            <w:tcBorders>
              <w:top w:val="nil"/>
              <w:left w:val="nil"/>
              <w:bottom w:val="single" w:sz="4" w:space="0" w:color="000000"/>
              <w:right w:val="single" w:sz="4" w:space="0" w:color="000000"/>
            </w:tcBorders>
            <w:shd w:val="clear" w:color="auto" w:fill="auto"/>
            <w:vAlign w:val="bottom"/>
          </w:tcPr>
          <w:p w:rsidR="000E6A30" w14:paraId="4EA94C8D" w14:textId="77777777">
            <w:pPr>
              <w:widowControl/>
              <w:jc w:val="center"/>
              <w:rPr>
                <w:rFonts w:ascii="Calibri" w:eastAsia="Calibri" w:hAnsi="Calibri" w:cs="Calibri"/>
                <w:sz w:val="16"/>
                <w:szCs w:val="16"/>
              </w:rPr>
            </w:pPr>
            <w:r>
              <w:rPr>
                <w:rFonts w:ascii="Calibri" w:eastAsia="Calibri" w:hAnsi="Calibri" w:cs="Calibri"/>
                <w:sz w:val="16"/>
                <w:szCs w:val="16"/>
              </w:rPr>
              <w:t>7</w:t>
            </w:r>
          </w:p>
        </w:tc>
        <w:tc>
          <w:tcPr>
            <w:tcW w:w="1349" w:type="dxa"/>
            <w:tcBorders>
              <w:top w:val="nil"/>
              <w:left w:val="nil"/>
              <w:bottom w:val="single" w:sz="4" w:space="0" w:color="000000"/>
              <w:right w:val="single" w:sz="4" w:space="0" w:color="000000"/>
            </w:tcBorders>
            <w:shd w:val="clear" w:color="auto" w:fill="auto"/>
            <w:vAlign w:val="bottom"/>
          </w:tcPr>
          <w:p w:rsidR="000E6A30" w14:paraId="4FEA9B1B" w14:textId="77777777">
            <w:pPr>
              <w:widowControl/>
              <w:jc w:val="center"/>
              <w:rPr>
                <w:rFonts w:ascii="Calibri" w:eastAsia="Calibri" w:hAnsi="Calibri" w:cs="Calibri"/>
                <w:sz w:val="16"/>
                <w:szCs w:val="16"/>
              </w:rPr>
            </w:pPr>
            <w:r>
              <w:rPr>
                <w:rFonts w:ascii="Calibri" w:eastAsia="Calibri" w:hAnsi="Calibri" w:cs="Calibri"/>
                <w:sz w:val="16"/>
                <w:szCs w:val="16"/>
              </w:rPr>
              <w:t>1</w:t>
            </w:r>
          </w:p>
        </w:tc>
        <w:tc>
          <w:tcPr>
            <w:tcW w:w="1170" w:type="dxa"/>
            <w:tcBorders>
              <w:top w:val="nil"/>
              <w:left w:val="nil"/>
              <w:bottom w:val="single" w:sz="4" w:space="0" w:color="000000"/>
              <w:right w:val="single" w:sz="4" w:space="0" w:color="000000"/>
            </w:tcBorders>
            <w:shd w:val="clear" w:color="auto" w:fill="auto"/>
            <w:vAlign w:val="bottom"/>
          </w:tcPr>
          <w:p w:rsidR="000E6A30" w14:paraId="764D4B7F" w14:textId="77777777">
            <w:pPr>
              <w:widowControl/>
              <w:jc w:val="center"/>
              <w:rPr>
                <w:rFonts w:ascii="Calibri" w:eastAsia="Calibri" w:hAnsi="Calibri" w:cs="Calibri"/>
                <w:sz w:val="16"/>
                <w:szCs w:val="16"/>
              </w:rPr>
            </w:pPr>
            <w:r>
              <w:rPr>
                <w:rFonts w:ascii="Calibri" w:eastAsia="Calibri" w:hAnsi="Calibri" w:cs="Calibri"/>
                <w:sz w:val="16"/>
                <w:szCs w:val="16"/>
              </w:rPr>
              <w:t>7</w:t>
            </w:r>
          </w:p>
        </w:tc>
        <w:tc>
          <w:tcPr>
            <w:tcW w:w="1080" w:type="dxa"/>
            <w:tcBorders>
              <w:top w:val="nil"/>
              <w:left w:val="nil"/>
              <w:bottom w:val="single" w:sz="4" w:space="0" w:color="000000"/>
              <w:right w:val="single" w:sz="4" w:space="0" w:color="000000"/>
            </w:tcBorders>
            <w:shd w:val="clear" w:color="auto" w:fill="auto"/>
            <w:vAlign w:val="bottom"/>
          </w:tcPr>
          <w:p w:rsidR="000E6A30" w:rsidP="00CA5E27" w14:paraId="0E564E89" w14:textId="77777777">
            <w:pPr>
              <w:widowControl/>
              <w:ind w:right="180"/>
              <w:jc w:val="center"/>
              <w:rPr>
                <w:rFonts w:ascii="Calibri" w:eastAsia="Calibri" w:hAnsi="Calibri" w:cs="Calibri"/>
                <w:sz w:val="16"/>
                <w:szCs w:val="16"/>
              </w:rPr>
            </w:pPr>
            <w:r>
              <w:rPr>
                <w:rFonts w:ascii="Calibri" w:eastAsia="Calibri" w:hAnsi="Calibri" w:cs="Calibri"/>
                <w:sz w:val="16"/>
                <w:szCs w:val="16"/>
              </w:rPr>
              <w:t>1</w:t>
            </w:r>
          </w:p>
        </w:tc>
        <w:tc>
          <w:tcPr>
            <w:tcW w:w="1137" w:type="dxa"/>
            <w:tcBorders>
              <w:top w:val="nil"/>
              <w:left w:val="nil"/>
              <w:bottom w:val="single" w:sz="4" w:space="0" w:color="000000"/>
              <w:right w:val="single" w:sz="4" w:space="0" w:color="000000"/>
            </w:tcBorders>
            <w:shd w:val="clear" w:color="auto" w:fill="auto"/>
            <w:vAlign w:val="bottom"/>
          </w:tcPr>
          <w:p w:rsidR="000E6A30" w:rsidP="00CA5E27" w14:paraId="200F99F0" w14:textId="77777777">
            <w:pPr>
              <w:widowControl/>
              <w:ind w:right="180"/>
              <w:jc w:val="center"/>
              <w:rPr>
                <w:rFonts w:ascii="Calibri" w:eastAsia="Calibri" w:hAnsi="Calibri" w:cs="Calibri"/>
                <w:sz w:val="16"/>
                <w:szCs w:val="16"/>
              </w:rPr>
            </w:pPr>
            <w:r>
              <w:rPr>
                <w:rFonts w:ascii="Calibri" w:eastAsia="Calibri" w:hAnsi="Calibri" w:cs="Calibri"/>
                <w:sz w:val="16"/>
                <w:szCs w:val="16"/>
              </w:rPr>
              <w:t>7</w:t>
            </w:r>
          </w:p>
        </w:tc>
        <w:tc>
          <w:tcPr>
            <w:tcW w:w="1066" w:type="dxa"/>
            <w:tcBorders>
              <w:top w:val="nil"/>
              <w:left w:val="nil"/>
              <w:bottom w:val="single" w:sz="4" w:space="0" w:color="000000"/>
              <w:right w:val="single" w:sz="4" w:space="0" w:color="000000"/>
            </w:tcBorders>
            <w:vAlign w:val="bottom"/>
          </w:tcPr>
          <w:p w:rsidR="000E6A30" w:rsidP="006C0DAF" w14:paraId="1191608F" w14:textId="77777777">
            <w:pPr>
              <w:widowControl/>
              <w:ind w:right="180"/>
              <w:jc w:val="right"/>
              <w:rPr>
                <w:rFonts w:ascii="Calibri" w:eastAsia="Calibri" w:hAnsi="Calibri" w:cs="Calibri"/>
                <w:sz w:val="16"/>
                <w:szCs w:val="16"/>
              </w:rPr>
            </w:pPr>
            <w:r>
              <w:rPr>
                <w:rFonts w:ascii="Calibri" w:eastAsia="Calibri" w:hAnsi="Calibri" w:cs="Calibri"/>
                <w:sz w:val="16"/>
                <w:szCs w:val="16"/>
              </w:rPr>
              <w:t>$62.18</w:t>
            </w:r>
          </w:p>
        </w:tc>
        <w:tc>
          <w:tcPr>
            <w:tcW w:w="1667" w:type="dxa"/>
            <w:tcBorders>
              <w:top w:val="nil"/>
              <w:left w:val="nil"/>
              <w:bottom w:val="single" w:sz="4" w:space="0" w:color="000000"/>
              <w:right w:val="single" w:sz="8" w:space="0" w:color="000000"/>
            </w:tcBorders>
            <w:shd w:val="clear" w:color="auto" w:fill="auto"/>
            <w:vAlign w:val="bottom"/>
          </w:tcPr>
          <w:p w:rsidR="000E6A30" w:rsidP="006C0DAF" w14:paraId="113215A9" w14:textId="77777777">
            <w:pPr>
              <w:widowControl/>
              <w:ind w:right="180"/>
              <w:jc w:val="right"/>
              <w:rPr>
                <w:rFonts w:ascii="Calibri" w:eastAsia="Calibri" w:hAnsi="Calibri" w:cs="Calibri"/>
                <w:sz w:val="16"/>
                <w:szCs w:val="16"/>
              </w:rPr>
            </w:pPr>
            <w:r>
              <w:rPr>
                <w:rFonts w:ascii="Calibri" w:eastAsia="Calibri" w:hAnsi="Calibri" w:cs="Calibri"/>
                <w:sz w:val="16"/>
                <w:szCs w:val="16"/>
              </w:rPr>
              <w:t>$435.26</w:t>
            </w:r>
          </w:p>
        </w:tc>
      </w:tr>
      <w:tr w14:paraId="28D4BDC7" w14:textId="77777777">
        <w:tblPrEx>
          <w:tblW w:w="14419" w:type="dxa"/>
          <w:tblInd w:w="-25" w:type="dxa"/>
          <w:tblLayout w:type="fixed"/>
          <w:tblLook w:val="0400"/>
        </w:tblPrEx>
        <w:trPr>
          <w:trHeight w:val="615"/>
        </w:trPr>
        <w:tc>
          <w:tcPr>
            <w:tcW w:w="3560" w:type="dxa"/>
            <w:tcBorders>
              <w:top w:val="nil"/>
              <w:left w:val="single" w:sz="8" w:space="0" w:color="000000"/>
              <w:bottom w:val="single" w:sz="8" w:space="0" w:color="000000"/>
              <w:right w:val="single" w:sz="8" w:space="0" w:color="000000"/>
            </w:tcBorders>
            <w:shd w:val="clear" w:color="auto" w:fill="DDEBF7"/>
            <w:vAlign w:val="bottom"/>
          </w:tcPr>
          <w:p w:rsidR="000E6A30" w14:paraId="40BBD2EF" w14:textId="77777777">
            <w:pPr>
              <w:widowControl/>
              <w:rPr>
                <w:rFonts w:ascii="Calibri" w:eastAsia="Calibri" w:hAnsi="Calibri" w:cs="Calibri"/>
                <w:b/>
                <w:color w:val="000000"/>
              </w:rPr>
            </w:pPr>
            <w:r>
              <w:rPr>
                <w:rFonts w:ascii="Calibri" w:eastAsia="Calibri" w:hAnsi="Calibri" w:cs="Calibri"/>
                <w:b/>
                <w:color w:val="000000"/>
              </w:rPr>
              <w:t>Totals</w:t>
            </w:r>
          </w:p>
        </w:tc>
        <w:tc>
          <w:tcPr>
            <w:tcW w:w="1920" w:type="dxa"/>
            <w:tcBorders>
              <w:top w:val="nil"/>
              <w:left w:val="nil"/>
              <w:bottom w:val="single" w:sz="8" w:space="0" w:color="000000"/>
              <w:right w:val="single" w:sz="8" w:space="0" w:color="000000"/>
            </w:tcBorders>
            <w:shd w:val="clear" w:color="auto" w:fill="000000"/>
            <w:vAlign w:val="bottom"/>
          </w:tcPr>
          <w:p w:rsidR="000E6A30" w14:paraId="0098017B" w14:textId="77777777">
            <w:pPr>
              <w:widowControl/>
              <w:rPr>
                <w:rFonts w:ascii="Calibri" w:eastAsia="Calibri" w:hAnsi="Calibri" w:cs="Calibri"/>
                <w:b/>
                <w:color w:val="000000"/>
              </w:rPr>
            </w:pPr>
            <w:r>
              <w:rPr>
                <w:rFonts w:ascii="Calibri" w:eastAsia="Calibri" w:hAnsi="Calibri" w:cs="Calibri"/>
                <w:b/>
              </w:rPr>
              <w:t>En</w:t>
            </w:r>
            <w:r>
              <w:rPr>
                <w:rFonts w:ascii="Calibri" w:eastAsia="Calibri" w:hAnsi="Calibri" w:cs="Calibri"/>
                <w:b/>
                <w:color w:val="000000"/>
              </w:rPr>
              <w:t> </w:t>
            </w:r>
          </w:p>
        </w:tc>
        <w:tc>
          <w:tcPr>
            <w:tcW w:w="1470" w:type="dxa"/>
            <w:tcBorders>
              <w:top w:val="nil"/>
              <w:left w:val="nil"/>
              <w:bottom w:val="single" w:sz="8" w:space="0" w:color="000000"/>
              <w:right w:val="single" w:sz="8" w:space="0" w:color="000000"/>
            </w:tcBorders>
            <w:shd w:val="clear" w:color="auto" w:fill="000000"/>
            <w:vAlign w:val="bottom"/>
          </w:tcPr>
          <w:p w:rsidR="000E6A30" w14:paraId="627D7950" w14:textId="77777777">
            <w:pPr>
              <w:widowControl/>
              <w:rPr>
                <w:rFonts w:ascii="Calibri" w:eastAsia="Calibri" w:hAnsi="Calibri" w:cs="Calibri"/>
                <w:b/>
                <w:color w:val="000000"/>
              </w:rPr>
            </w:pPr>
            <w:r>
              <w:rPr>
                <w:rFonts w:ascii="Calibri" w:eastAsia="Calibri" w:hAnsi="Calibri" w:cs="Calibri"/>
                <w:b/>
                <w:color w:val="000000"/>
              </w:rPr>
              <w:t> </w:t>
            </w:r>
          </w:p>
        </w:tc>
        <w:tc>
          <w:tcPr>
            <w:tcW w:w="1349" w:type="dxa"/>
            <w:tcBorders>
              <w:top w:val="nil"/>
              <w:left w:val="nil"/>
              <w:bottom w:val="single" w:sz="8" w:space="0" w:color="000000"/>
              <w:right w:val="single" w:sz="8" w:space="0" w:color="000000"/>
            </w:tcBorders>
            <w:shd w:val="clear" w:color="auto" w:fill="000000"/>
            <w:vAlign w:val="bottom"/>
          </w:tcPr>
          <w:p w:rsidR="000E6A30" w14:paraId="02A3E3A9" w14:textId="77777777">
            <w:pPr>
              <w:widowControl/>
              <w:rPr>
                <w:rFonts w:ascii="Calibri" w:eastAsia="Calibri" w:hAnsi="Calibri" w:cs="Calibri"/>
                <w:b/>
                <w:color w:val="000000"/>
              </w:rPr>
            </w:pPr>
            <w:r>
              <w:rPr>
                <w:rFonts w:ascii="Calibri" w:eastAsia="Calibri" w:hAnsi="Calibri" w:cs="Calibri"/>
                <w:b/>
                <w:color w:val="000000"/>
              </w:rPr>
              <w:t> </w:t>
            </w:r>
          </w:p>
        </w:tc>
        <w:tc>
          <w:tcPr>
            <w:tcW w:w="1170" w:type="dxa"/>
            <w:tcBorders>
              <w:top w:val="nil"/>
              <w:left w:val="nil"/>
              <w:bottom w:val="single" w:sz="8" w:space="0" w:color="000000"/>
              <w:right w:val="single" w:sz="8" w:space="0" w:color="000000"/>
            </w:tcBorders>
            <w:shd w:val="clear" w:color="auto" w:fill="DDEBF7"/>
            <w:vAlign w:val="bottom"/>
          </w:tcPr>
          <w:p w:rsidR="000E6A30" w14:paraId="6461710E" w14:textId="7098202C">
            <w:pPr>
              <w:widowControl/>
              <w:jc w:val="center"/>
              <w:rPr>
                <w:rFonts w:ascii="Calibri" w:eastAsia="Calibri" w:hAnsi="Calibri" w:cs="Calibri"/>
                <w:b/>
                <w:color w:val="000000"/>
              </w:rPr>
            </w:pPr>
            <w:r>
              <w:rPr>
                <w:rFonts w:ascii="Calibri" w:eastAsia="Calibri" w:hAnsi="Calibri" w:cs="Calibri"/>
                <w:b/>
              </w:rPr>
              <w:t>6</w:t>
            </w:r>
            <w:r w:rsidR="00A673FF">
              <w:rPr>
                <w:rFonts w:ascii="Calibri" w:eastAsia="Calibri" w:hAnsi="Calibri" w:cs="Calibri"/>
                <w:b/>
              </w:rPr>
              <w:t>9</w:t>
            </w:r>
          </w:p>
        </w:tc>
        <w:tc>
          <w:tcPr>
            <w:tcW w:w="1080" w:type="dxa"/>
            <w:tcBorders>
              <w:top w:val="nil"/>
              <w:left w:val="nil"/>
              <w:bottom w:val="single" w:sz="8" w:space="0" w:color="000000"/>
              <w:right w:val="single" w:sz="8" w:space="0" w:color="000000"/>
            </w:tcBorders>
            <w:shd w:val="clear" w:color="auto" w:fill="000000"/>
            <w:vAlign w:val="bottom"/>
          </w:tcPr>
          <w:p w:rsidR="000E6A30" w14:paraId="093B1BCE" w14:textId="77777777">
            <w:pPr>
              <w:widowControl/>
              <w:jc w:val="center"/>
              <w:rPr>
                <w:rFonts w:ascii="Calibri" w:eastAsia="Calibri" w:hAnsi="Calibri" w:cs="Calibri"/>
                <w:b/>
                <w:color w:val="000000"/>
              </w:rPr>
            </w:pPr>
            <w:r>
              <w:rPr>
                <w:rFonts w:ascii="Calibri" w:eastAsia="Calibri" w:hAnsi="Calibri" w:cs="Calibri"/>
                <w:b/>
                <w:color w:val="000000"/>
              </w:rPr>
              <w:t> </w:t>
            </w:r>
          </w:p>
        </w:tc>
        <w:tc>
          <w:tcPr>
            <w:tcW w:w="1137" w:type="dxa"/>
            <w:tcBorders>
              <w:top w:val="nil"/>
              <w:left w:val="nil"/>
              <w:bottom w:val="single" w:sz="8" w:space="0" w:color="000000"/>
              <w:right w:val="single" w:sz="8" w:space="0" w:color="000000"/>
            </w:tcBorders>
            <w:shd w:val="clear" w:color="auto" w:fill="DDEBF7"/>
            <w:vAlign w:val="bottom"/>
          </w:tcPr>
          <w:p w:rsidR="000E6A30" w14:paraId="3BA65FAA" w14:textId="1C88B77F">
            <w:pPr>
              <w:widowControl/>
              <w:jc w:val="center"/>
              <w:rPr>
                <w:rFonts w:ascii="Calibri" w:eastAsia="Calibri" w:hAnsi="Calibri" w:cs="Calibri"/>
                <w:b/>
                <w:color w:val="000000"/>
              </w:rPr>
            </w:pPr>
            <w:r>
              <w:rPr>
                <w:rFonts w:ascii="Calibri" w:eastAsia="Calibri" w:hAnsi="Calibri" w:cs="Calibri"/>
                <w:b/>
              </w:rPr>
              <w:t>1004</w:t>
            </w:r>
            <w:r w:rsidR="002924C1">
              <w:rPr>
                <w:rFonts w:ascii="Calibri" w:eastAsia="Calibri" w:hAnsi="Calibri" w:cs="Calibri"/>
                <w:b/>
              </w:rPr>
              <w:t>*</w:t>
            </w:r>
          </w:p>
        </w:tc>
        <w:tc>
          <w:tcPr>
            <w:tcW w:w="1066" w:type="dxa"/>
            <w:tcBorders>
              <w:top w:val="nil"/>
              <w:left w:val="nil"/>
              <w:bottom w:val="single" w:sz="8" w:space="0" w:color="000000"/>
              <w:right w:val="single" w:sz="8" w:space="0" w:color="000000"/>
            </w:tcBorders>
            <w:shd w:val="clear" w:color="auto" w:fill="000000"/>
            <w:vAlign w:val="bottom"/>
          </w:tcPr>
          <w:p w:rsidR="000E6A30" w14:paraId="78B0CE94" w14:textId="77777777">
            <w:pPr>
              <w:widowControl/>
              <w:jc w:val="center"/>
              <w:rPr>
                <w:rFonts w:ascii="Calibri" w:eastAsia="Calibri" w:hAnsi="Calibri" w:cs="Calibri"/>
                <w:b/>
                <w:color w:val="000000"/>
              </w:rPr>
            </w:pPr>
            <w:r>
              <w:rPr>
                <w:rFonts w:ascii="Calibri" w:eastAsia="Calibri" w:hAnsi="Calibri" w:cs="Calibri"/>
                <w:b/>
                <w:color w:val="000000"/>
              </w:rPr>
              <w:t> </w:t>
            </w:r>
          </w:p>
        </w:tc>
        <w:tc>
          <w:tcPr>
            <w:tcW w:w="1667" w:type="dxa"/>
            <w:tcBorders>
              <w:top w:val="nil"/>
              <w:left w:val="nil"/>
              <w:bottom w:val="single" w:sz="8" w:space="0" w:color="000000"/>
              <w:right w:val="single" w:sz="8" w:space="0" w:color="000000"/>
            </w:tcBorders>
            <w:shd w:val="clear" w:color="auto" w:fill="DDEBF7"/>
            <w:vAlign w:val="bottom"/>
          </w:tcPr>
          <w:p w:rsidR="000E6A30" w14:paraId="31F1EB18" w14:textId="5D7E79F3">
            <w:pPr>
              <w:widowControl/>
              <w:jc w:val="center"/>
              <w:rPr>
                <w:rFonts w:ascii="Calibri" w:eastAsia="Calibri" w:hAnsi="Calibri" w:cs="Calibri"/>
                <w:b/>
                <w:color w:val="000000"/>
              </w:rPr>
            </w:pPr>
            <w:r>
              <w:rPr>
                <w:rFonts w:ascii="Calibri" w:eastAsia="Calibri" w:hAnsi="Calibri" w:cs="Calibri"/>
                <w:b/>
              </w:rPr>
              <w:t>$</w:t>
            </w:r>
            <w:r w:rsidR="00E3122B">
              <w:rPr>
                <w:rFonts w:ascii="Calibri" w:eastAsia="Calibri" w:hAnsi="Calibri" w:cs="Calibri"/>
                <w:b/>
              </w:rPr>
              <w:t>62,428.72</w:t>
            </w:r>
          </w:p>
        </w:tc>
      </w:tr>
    </w:tbl>
    <w:p w:rsidR="000E6A30" w14:paraId="04814EC4" w14:textId="77777777">
      <w:pPr>
        <w:spacing w:line="259" w:lineRule="auto"/>
        <w:rPr>
          <w:b/>
          <w:color w:val="FF0000"/>
        </w:rPr>
      </w:pPr>
    </w:p>
    <w:p w:rsidR="002924C1" w14:paraId="1E022072" w14:textId="77777777">
      <w:pPr>
        <w:spacing w:line="259" w:lineRule="auto"/>
        <w:ind w:hanging="43"/>
      </w:pPr>
      <w:r>
        <w:t>* ROCIS shows 1006 burden hours due to rounding.</w:t>
      </w:r>
    </w:p>
    <w:p w:rsidR="0022277E" w14:paraId="588F13A5" w14:textId="44737FFF">
      <w:pPr>
        <w:spacing w:line="259" w:lineRule="auto"/>
        <w:ind w:hanging="43"/>
      </w:pPr>
      <w:bookmarkStart w:id="4" w:name="_GoBack"/>
      <w:bookmarkEnd w:id="4"/>
      <w:r>
        <w:t xml:space="preserve">The median hourly wage for occupational code 11-1021, General and Operations Managers, was used to calculate the hourly wage rate for respondents.  </w:t>
      </w:r>
      <w:hyperlink r:id="rId7" w:history="1">
        <w:r w:rsidRPr="00F1660F">
          <w:rPr>
            <w:rStyle w:val="Hyperlink"/>
          </w:rPr>
          <w:t>https://www.bls.gov/oes/current/oes_nat.htm#11-0000</w:t>
        </w:r>
      </w:hyperlink>
    </w:p>
    <w:p w:rsidR="000E6A30" w14:paraId="6FB77603" w14:textId="70967EE5">
      <w:pPr>
        <w:spacing w:line="259" w:lineRule="auto"/>
        <w:ind w:hanging="43"/>
        <w:sectPr>
          <w:pgSz w:w="15840" w:h="12240" w:orient="landscape"/>
          <w:pgMar w:top="1080" w:right="1200" w:bottom="1080" w:left="640" w:header="0" w:footer="1014" w:gutter="0"/>
          <w:cols w:space="720"/>
        </w:sectPr>
      </w:pPr>
      <w:r>
        <w:t>.</w:t>
      </w:r>
    </w:p>
    <w:p w:rsidR="000E6A30" w14:paraId="6C3755DC"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0E6A30" w14:paraId="21E5D408" w14:textId="77777777">
      <w:pPr>
        <w:pBdr>
          <w:top w:val="nil"/>
          <w:left w:val="nil"/>
          <w:bottom w:val="nil"/>
          <w:right w:val="nil"/>
          <w:between w:val="nil"/>
        </w:pBdr>
        <w:spacing w:before="240"/>
        <w:ind w:firstLine="720"/>
      </w:pPr>
      <w:r>
        <w:t>Record keeping is done electronically by the Grants Online system.  There is no measurable cost associated with this activity. There are no capital costs or operating and maintenance costs associated with this information collection.</w:t>
      </w:r>
    </w:p>
    <w:p w:rsidR="000E6A30" w14:paraId="0903FB2B" w14:textId="77777777">
      <w:pPr>
        <w:pBdr>
          <w:top w:val="nil"/>
          <w:left w:val="nil"/>
          <w:bottom w:val="nil"/>
          <w:right w:val="nil"/>
          <w:between w:val="nil"/>
        </w:pBdr>
        <w:spacing w:before="1"/>
        <w:rPr>
          <w:b/>
          <w:color w:val="000000"/>
        </w:rPr>
      </w:pPr>
    </w:p>
    <w:p w:rsidR="000E6A30" w:rsidRPr="00D82074" w14:paraId="78C7664D" w14:textId="77777777">
      <w:pPr>
        <w:numPr>
          <w:ilvl w:val="0"/>
          <w:numId w:val="1"/>
        </w:numPr>
        <w:pBdr>
          <w:top w:val="nil"/>
          <w:left w:val="nil"/>
          <w:bottom w:val="nil"/>
          <w:right w:val="nil"/>
          <w:between w:val="nil"/>
        </w:pBdr>
        <w:tabs>
          <w:tab w:val="left" w:pos="360"/>
        </w:tabs>
        <w:spacing w:before="80"/>
        <w:ind w:left="0" w:firstLine="0"/>
        <w:rPr>
          <w:b/>
          <w:color w:val="000000"/>
        </w:rPr>
      </w:pPr>
      <w:r w:rsidRPr="00D82074">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E6A30" w14:paraId="14AC9555" w14:textId="77777777">
      <w:pPr>
        <w:pBdr>
          <w:top w:val="nil"/>
          <w:left w:val="nil"/>
          <w:bottom w:val="nil"/>
          <w:right w:val="nil"/>
          <w:between w:val="nil"/>
        </w:pBdr>
        <w:spacing w:before="9" w:after="1"/>
        <w:rPr>
          <w:b/>
          <w:color w:val="000000"/>
        </w:rPr>
      </w:pPr>
    </w:p>
    <w:tbl>
      <w:tblPr>
        <w:tblStyle w:val="ab"/>
        <w:tblW w:w="8245" w:type="dxa"/>
        <w:tblInd w:w="-25" w:type="dxa"/>
        <w:tblLayout w:type="fixed"/>
        <w:tblLook w:val="0400"/>
      </w:tblPr>
      <w:tblGrid>
        <w:gridCol w:w="2280"/>
        <w:gridCol w:w="1335"/>
        <w:gridCol w:w="985"/>
        <w:gridCol w:w="1065"/>
        <w:gridCol w:w="1280"/>
        <w:gridCol w:w="1300"/>
      </w:tblGrid>
      <w:tr w14:paraId="714FA12C" w14:textId="77777777" w:rsidTr="00D82074">
        <w:tblPrEx>
          <w:tblW w:w="8245"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0E6A30" w14:paraId="3BE98D02"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335" w:type="dxa"/>
            <w:tcBorders>
              <w:top w:val="single" w:sz="8" w:space="0" w:color="000000"/>
              <w:left w:val="nil"/>
              <w:bottom w:val="nil"/>
              <w:right w:val="single" w:sz="8" w:space="0" w:color="000000"/>
            </w:tcBorders>
            <w:shd w:val="clear" w:color="auto" w:fill="BDD7EE"/>
            <w:vAlign w:val="center"/>
          </w:tcPr>
          <w:p w:rsidR="000E6A30" w14:paraId="09D3693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985" w:type="dxa"/>
            <w:tcBorders>
              <w:top w:val="single" w:sz="8" w:space="0" w:color="000000"/>
              <w:left w:val="nil"/>
              <w:bottom w:val="nil"/>
              <w:right w:val="single" w:sz="8" w:space="0" w:color="000000"/>
            </w:tcBorders>
            <w:shd w:val="clear" w:color="auto" w:fill="BDD7EE"/>
            <w:vAlign w:val="center"/>
          </w:tcPr>
          <w:p w:rsidR="000E6A30" w14:paraId="0E78DEA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065" w:type="dxa"/>
            <w:tcBorders>
              <w:top w:val="single" w:sz="8" w:space="0" w:color="000000"/>
              <w:left w:val="nil"/>
              <w:bottom w:val="nil"/>
              <w:right w:val="single" w:sz="8" w:space="0" w:color="000000"/>
            </w:tcBorders>
            <w:shd w:val="clear" w:color="auto" w:fill="BDD7EE"/>
            <w:vAlign w:val="center"/>
          </w:tcPr>
          <w:p w:rsidR="000E6A30" w14:paraId="4E02FE9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0E6A30" w14:paraId="63EECB9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0E6A30" w14:paraId="5B0531A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13DCB6D1" w14:textId="77777777" w:rsidTr="00D82074">
        <w:tblPrEx>
          <w:tblW w:w="8245" w:type="dxa"/>
          <w:tblInd w:w="-25" w:type="dxa"/>
          <w:tblLayout w:type="fixed"/>
          <w:tblLook w:val="0400"/>
        </w:tblPrEx>
        <w:trPr>
          <w:trHeight w:val="480"/>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0E6A30" w14:paraId="16E70155"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Federal Oversight </w:t>
            </w:r>
          </w:p>
        </w:tc>
        <w:tc>
          <w:tcPr>
            <w:tcW w:w="1335" w:type="dxa"/>
            <w:tcBorders>
              <w:top w:val="single" w:sz="4" w:space="0" w:color="000000"/>
              <w:left w:val="nil"/>
              <w:bottom w:val="single" w:sz="4" w:space="0" w:color="000000"/>
              <w:right w:val="single" w:sz="4" w:space="0" w:color="000000"/>
            </w:tcBorders>
            <w:shd w:val="clear" w:color="auto" w:fill="auto"/>
            <w:vAlign w:val="bottom"/>
          </w:tcPr>
          <w:p w:rsidR="000E6A30" w14:paraId="372AE68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GS-14/</w:t>
            </w:r>
            <w:r>
              <w:rPr>
                <w:rFonts w:ascii="Calibri" w:eastAsia="Calibri" w:hAnsi="Calibri" w:cs="Calibri"/>
                <w:sz w:val="16"/>
                <w:szCs w:val="16"/>
              </w:rPr>
              <w:t>3  (</w:t>
            </w:r>
            <w:r>
              <w:rPr>
                <w:rFonts w:ascii="Calibri" w:eastAsia="Calibri" w:hAnsi="Calibri" w:cs="Calibri"/>
                <w:sz w:val="16"/>
                <w:szCs w:val="16"/>
              </w:rPr>
              <w:t>x 1)</w:t>
            </w:r>
          </w:p>
        </w:tc>
        <w:tc>
          <w:tcPr>
            <w:tcW w:w="985" w:type="dxa"/>
            <w:tcBorders>
              <w:top w:val="single" w:sz="4" w:space="0" w:color="000000"/>
              <w:left w:val="nil"/>
              <w:bottom w:val="single" w:sz="4" w:space="0" w:color="000000"/>
              <w:right w:val="single" w:sz="4" w:space="0" w:color="000000"/>
            </w:tcBorders>
            <w:shd w:val="clear" w:color="auto" w:fill="auto"/>
            <w:vAlign w:val="bottom"/>
          </w:tcPr>
          <w:p w:rsidR="000E6A30" w:rsidRPr="00D82074" w14:paraId="03DAC248" w14:textId="244EC1D3">
            <w:pPr>
              <w:widowControl/>
              <w:rPr>
                <w:rFonts w:ascii="Calibri" w:eastAsia="Calibri" w:hAnsi="Calibri" w:cs="Calibri"/>
                <w:color w:val="000000"/>
                <w:sz w:val="16"/>
                <w:szCs w:val="16"/>
              </w:rPr>
            </w:pPr>
            <w:r w:rsidRPr="00D82074">
              <w:rPr>
                <w:rFonts w:ascii="Calibri" w:eastAsia="Calibri" w:hAnsi="Calibri" w:cs="Calibri"/>
                <w:color w:val="000000"/>
                <w:sz w:val="16"/>
                <w:szCs w:val="16"/>
              </w:rPr>
              <w:t> $</w:t>
            </w:r>
            <w:r w:rsidRPr="00D82074" w:rsidR="00D82074">
              <w:rPr>
                <w:rFonts w:ascii="Calibri" w:eastAsia="Calibri" w:hAnsi="Calibri" w:cs="Calibri"/>
                <w:color w:val="000000"/>
                <w:sz w:val="16"/>
                <w:szCs w:val="16"/>
              </w:rPr>
              <w:t>195,518</w:t>
            </w:r>
          </w:p>
        </w:tc>
        <w:tc>
          <w:tcPr>
            <w:tcW w:w="1065" w:type="dxa"/>
            <w:tcBorders>
              <w:top w:val="single" w:sz="4" w:space="0" w:color="000000"/>
              <w:left w:val="nil"/>
              <w:bottom w:val="single" w:sz="4" w:space="0" w:color="000000"/>
              <w:right w:val="single" w:sz="4" w:space="0" w:color="000000"/>
            </w:tcBorders>
            <w:shd w:val="clear" w:color="auto" w:fill="auto"/>
            <w:vAlign w:val="bottom"/>
          </w:tcPr>
          <w:p w:rsidR="000E6A30" w14:paraId="7A5BF39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10</w:t>
            </w:r>
            <w:r>
              <w:rPr>
                <w:rFonts w:ascii="Calibri" w:eastAsia="Calibri" w:hAnsi="Calibri" w:cs="Calibri"/>
                <w:color w:val="000000"/>
                <w:sz w:val="16"/>
                <w:szCs w:val="16"/>
              </w:rPr>
              <w:t>%</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0E6A30" w14:paraId="349C9A8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0E6A30" w:rsidRPr="00D82074" w14:paraId="76E03EF8" w14:textId="05FB6E2F">
            <w:pPr>
              <w:widowControl/>
              <w:rPr>
                <w:rFonts w:ascii="Calibri" w:eastAsia="Calibri" w:hAnsi="Calibri" w:cs="Calibri"/>
                <w:color w:val="000000"/>
                <w:sz w:val="16"/>
                <w:szCs w:val="16"/>
              </w:rPr>
            </w:pPr>
            <w:r w:rsidRPr="00D82074">
              <w:rPr>
                <w:rFonts w:ascii="Calibri" w:eastAsia="Calibri" w:hAnsi="Calibri" w:cs="Calibri"/>
                <w:color w:val="000000"/>
                <w:sz w:val="16"/>
                <w:szCs w:val="16"/>
              </w:rPr>
              <w:t> $</w:t>
            </w:r>
            <w:r w:rsidRPr="00D82074" w:rsidR="00D82074">
              <w:rPr>
                <w:rFonts w:ascii="Calibri" w:eastAsia="Calibri" w:hAnsi="Calibri" w:cs="Calibri"/>
                <w:sz w:val="16"/>
                <w:szCs w:val="16"/>
              </w:rPr>
              <w:t>19,518</w:t>
            </w:r>
          </w:p>
        </w:tc>
      </w:tr>
      <w:tr w14:paraId="5FEF5C42" w14:textId="77777777" w:rsidTr="00D82074">
        <w:tblPrEx>
          <w:tblW w:w="8245"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0E6A30" w14:paraId="155E3A2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xml:space="preserve">Other Federal Positions </w:t>
            </w:r>
          </w:p>
        </w:tc>
        <w:tc>
          <w:tcPr>
            <w:tcW w:w="1335" w:type="dxa"/>
            <w:tcBorders>
              <w:top w:val="nil"/>
              <w:left w:val="nil"/>
              <w:bottom w:val="single" w:sz="4" w:space="0" w:color="000000"/>
              <w:right w:val="single" w:sz="4" w:space="0" w:color="000000"/>
            </w:tcBorders>
            <w:shd w:val="clear" w:color="auto" w:fill="auto"/>
            <w:vAlign w:val="bottom"/>
          </w:tcPr>
          <w:p w:rsidR="000E6A30" w14:paraId="5AEAD0C6"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GS-1</w:t>
            </w:r>
            <w:r>
              <w:rPr>
                <w:rFonts w:ascii="Calibri" w:eastAsia="Calibri" w:hAnsi="Calibri" w:cs="Calibri"/>
                <w:sz w:val="16"/>
                <w:szCs w:val="16"/>
              </w:rPr>
              <w:t xml:space="preserve">3/5 </w:t>
            </w:r>
            <w:r>
              <w:rPr>
                <w:rFonts w:ascii="Calibri" w:eastAsia="Calibri" w:hAnsi="Calibri" w:cs="Calibri"/>
                <w:sz w:val="16"/>
                <w:szCs w:val="16"/>
              </w:rPr>
              <w:t>( x</w:t>
            </w:r>
            <w:r>
              <w:rPr>
                <w:rFonts w:ascii="Calibri" w:eastAsia="Calibri" w:hAnsi="Calibri" w:cs="Calibri"/>
                <w:sz w:val="16"/>
                <w:szCs w:val="16"/>
              </w:rPr>
              <w:t xml:space="preserve"> 3)</w:t>
            </w:r>
          </w:p>
        </w:tc>
        <w:tc>
          <w:tcPr>
            <w:tcW w:w="985" w:type="dxa"/>
            <w:tcBorders>
              <w:top w:val="nil"/>
              <w:left w:val="nil"/>
              <w:bottom w:val="single" w:sz="4" w:space="0" w:color="000000"/>
              <w:right w:val="single" w:sz="4" w:space="0" w:color="000000"/>
            </w:tcBorders>
            <w:shd w:val="clear" w:color="auto" w:fill="auto"/>
            <w:vAlign w:val="bottom"/>
          </w:tcPr>
          <w:p w:rsidR="000E6A30" w:rsidRPr="00D82074" w14:paraId="7D582281" w14:textId="7F4C078B">
            <w:pPr>
              <w:widowControl/>
              <w:rPr>
                <w:rFonts w:ascii="Calibri" w:eastAsia="Calibri" w:hAnsi="Calibri" w:cs="Calibri"/>
                <w:color w:val="000000"/>
                <w:sz w:val="16"/>
                <w:szCs w:val="16"/>
              </w:rPr>
            </w:pPr>
            <w:r w:rsidRPr="00D82074">
              <w:rPr>
                <w:rFonts w:ascii="Calibri" w:eastAsia="Calibri" w:hAnsi="Calibri" w:cs="Calibri"/>
                <w:color w:val="000000"/>
                <w:sz w:val="16"/>
                <w:szCs w:val="16"/>
              </w:rPr>
              <w:t> $</w:t>
            </w:r>
            <w:r w:rsidRPr="00D82074" w:rsidR="00D82074">
              <w:rPr>
                <w:rFonts w:ascii="Calibri" w:eastAsia="Calibri" w:hAnsi="Calibri" w:cs="Calibri"/>
                <w:color w:val="000000"/>
                <w:sz w:val="16"/>
                <w:szCs w:val="16"/>
              </w:rPr>
              <w:t>175,797</w:t>
            </w:r>
          </w:p>
        </w:tc>
        <w:tc>
          <w:tcPr>
            <w:tcW w:w="1065" w:type="dxa"/>
            <w:tcBorders>
              <w:top w:val="single" w:sz="4" w:space="0" w:color="000000"/>
              <w:left w:val="nil"/>
              <w:bottom w:val="single" w:sz="4" w:space="0" w:color="000000"/>
              <w:right w:val="single" w:sz="4" w:space="0" w:color="000000"/>
            </w:tcBorders>
            <w:shd w:val="clear" w:color="auto" w:fill="auto"/>
            <w:vAlign w:val="bottom"/>
          </w:tcPr>
          <w:p w:rsidR="000E6A30" w14:paraId="3930A241" w14:textId="77777777">
            <w:pPr>
              <w:widowControl/>
              <w:rPr>
                <w:rFonts w:ascii="Calibri" w:eastAsia="Calibri" w:hAnsi="Calibri" w:cs="Calibri"/>
                <w:sz w:val="16"/>
                <w:szCs w:val="16"/>
              </w:rPr>
            </w:pPr>
            <w:r>
              <w:rPr>
                <w:rFonts w:ascii="Calibri" w:eastAsia="Calibri" w:hAnsi="Calibri" w:cs="Calibri"/>
                <w:sz w:val="16"/>
                <w:szCs w:val="16"/>
              </w:rPr>
              <w:t> 10%</w:t>
            </w:r>
          </w:p>
        </w:tc>
        <w:tc>
          <w:tcPr>
            <w:tcW w:w="1280" w:type="dxa"/>
            <w:tcBorders>
              <w:top w:val="nil"/>
              <w:left w:val="nil"/>
              <w:bottom w:val="single" w:sz="4" w:space="0" w:color="000000"/>
              <w:right w:val="single" w:sz="4" w:space="0" w:color="000000"/>
            </w:tcBorders>
            <w:shd w:val="clear" w:color="auto" w:fill="808080"/>
            <w:vAlign w:val="bottom"/>
          </w:tcPr>
          <w:p w:rsidR="000E6A30" w14:paraId="19CD66F7" w14:textId="77777777">
            <w:pPr>
              <w:widowControl/>
              <w:rPr>
                <w:rFonts w:ascii="Calibri" w:eastAsia="Calibri" w:hAnsi="Calibri" w:cs="Calibri"/>
                <w:color w:val="000000"/>
                <w:sz w:val="16"/>
                <w:szCs w:val="16"/>
                <w:highlight w:val="yellow"/>
              </w:rPr>
            </w:pPr>
            <w:r>
              <w:rPr>
                <w:rFonts w:ascii="Calibri" w:eastAsia="Calibri" w:hAnsi="Calibri" w:cs="Calibri"/>
                <w:color w:val="000000"/>
                <w:sz w:val="16"/>
                <w:szCs w:val="16"/>
                <w:highlight w:val="yellow"/>
              </w:rPr>
              <w:t> </w:t>
            </w:r>
          </w:p>
        </w:tc>
        <w:tc>
          <w:tcPr>
            <w:tcW w:w="1300" w:type="dxa"/>
            <w:tcBorders>
              <w:top w:val="nil"/>
              <w:left w:val="nil"/>
              <w:bottom w:val="single" w:sz="4" w:space="0" w:color="000000"/>
              <w:right w:val="single" w:sz="8" w:space="0" w:color="000000"/>
            </w:tcBorders>
            <w:shd w:val="clear" w:color="auto" w:fill="auto"/>
            <w:vAlign w:val="bottom"/>
          </w:tcPr>
          <w:p w:rsidR="000E6A30" w:rsidRPr="00D82074" w14:paraId="77F3D2EA" w14:textId="35D09036">
            <w:pPr>
              <w:widowControl/>
              <w:rPr>
                <w:rFonts w:ascii="Calibri" w:eastAsia="Calibri" w:hAnsi="Calibri" w:cs="Calibri"/>
                <w:color w:val="000000"/>
                <w:sz w:val="16"/>
                <w:szCs w:val="16"/>
              </w:rPr>
            </w:pPr>
            <w:r w:rsidRPr="00D82074">
              <w:rPr>
                <w:rFonts w:ascii="Calibri" w:eastAsia="Calibri" w:hAnsi="Calibri" w:cs="Calibri"/>
                <w:color w:val="000000"/>
                <w:sz w:val="16"/>
                <w:szCs w:val="16"/>
              </w:rPr>
              <w:t> $</w:t>
            </w:r>
            <w:r w:rsidRPr="00D82074" w:rsidR="00D82074">
              <w:rPr>
                <w:rFonts w:ascii="Calibri" w:eastAsia="Calibri" w:hAnsi="Calibri" w:cs="Calibri"/>
                <w:sz w:val="16"/>
                <w:szCs w:val="16"/>
              </w:rPr>
              <w:t>52,739</w:t>
            </w:r>
          </w:p>
        </w:tc>
      </w:tr>
      <w:tr w14:paraId="7582F88D" w14:textId="77777777" w:rsidTr="00D82074">
        <w:tblPrEx>
          <w:tblW w:w="8245" w:type="dxa"/>
          <w:tblInd w:w="-25"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0E6A30" w14:paraId="1FE90AF8"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 (x 7)</w:t>
            </w:r>
          </w:p>
        </w:tc>
        <w:tc>
          <w:tcPr>
            <w:tcW w:w="1335" w:type="dxa"/>
            <w:tcBorders>
              <w:top w:val="nil"/>
              <w:left w:val="nil"/>
              <w:bottom w:val="single" w:sz="4" w:space="0" w:color="000000"/>
              <w:right w:val="single" w:sz="4" w:space="0" w:color="000000"/>
            </w:tcBorders>
            <w:shd w:val="clear" w:color="auto" w:fill="808080"/>
            <w:vAlign w:val="bottom"/>
          </w:tcPr>
          <w:p w:rsidR="000E6A30" w14:paraId="4A5685C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985" w:type="dxa"/>
            <w:tcBorders>
              <w:top w:val="nil"/>
              <w:left w:val="nil"/>
              <w:bottom w:val="single" w:sz="4" w:space="0" w:color="000000"/>
              <w:right w:val="single" w:sz="4" w:space="0" w:color="000000"/>
            </w:tcBorders>
            <w:shd w:val="clear" w:color="auto" w:fill="auto"/>
            <w:vAlign w:val="bottom"/>
          </w:tcPr>
          <w:p w:rsidR="000E6A30" w14:paraId="74576AF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90,000</w:t>
            </w:r>
          </w:p>
        </w:tc>
        <w:tc>
          <w:tcPr>
            <w:tcW w:w="1065" w:type="dxa"/>
            <w:tcBorders>
              <w:top w:val="single" w:sz="4" w:space="0" w:color="000000"/>
              <w:left w:val="nil"/>
              <w:bottom w:val="single" w:sz="4" w:space="0" w:color="000000"/>
              <w:right w:val="single" w:sz="4" w:space="0" w:color="000000"/>
            </w:tcBorders>
            <w:shd w:val="clear" w:color="auto" w:fill="auto"/>
            <w:vAlign w:val="bottom"/>
          </w:tcPr>
          <w:p w:rsidR="000E6A30" w14:paraId="58AFD56E" w14:textId="77777777">
            <w:pPr>
              <w:widowControl/>
              <w:rPr>
                <w:rFonts w:ascii="Calibri" w:eastAsia="Calibri" w:hAnsi="Calibri" w:cs="Calibri"/>
                <w:sz w:val="16"/>
                <w:szCs w:val="16"/>
              </w:rPr>
            </w:pPr>
            <w:r>
              <w:rPr>
                <w:rFonts w:ascii="Calibri" w:eastAsia="Calibri" w:hAnsi="Calibri" w:cs="Calibri"/>
                <w:sz w:val="16"/>
                <w:szCs w:val="16"/>
              </w:rPr>
              <w:t> 5%</w:t>
            </w:r>
          </w:p>
        </w:tc>
        <w:tc>
          <w:tcPr>
            <w:tcW w:w="1280" w:type="dxa"/>
            <w:tcBorders>
              <w:top w:val="nil"/>
              <w:left w:val="nil"/>
              <w:bottom w:val="single" w:sz="4" w:space="0" w:color="000000"/>
              <w:right w:val="single" w:sz="4" w:space="0" w:color="000000"/>
            </w:tcBorders>
            <w:shd w:val="clear" w:color="auto" w:fill="auto"/>
            <w:vAlign w:val="bottom"/>
          </w:tcPr>
          <w:p w:rsidR="000E6A30" w14:paraId="6C9BCA47"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n/a</w:t>
            </w:r>
          </w:p>
        </w:tc>
        <w:tc>
          <w:tcPr>
            <w:tcW w:w="1300" w:type="dxa"/>
            <w:tcBorders>
              <w:top w:val="nil"/>
              <w:left w:val="nil"/>
              <w:bottom w:val="single" w:sz="4" w:space="0" w:color="000000"/>
              <w:right w:val="single" w:sz="8" w:space="0" w:color="000000"/>
            </w:tcBorders>
            <w:shd w:val="clear" w:color="auto" w:fill="auto"/>
            <w:vAlign w:val="bottom"/>
          </w:tcPr>
          <w:p w:rsidR="000E6A30" w14:paraId="2FAC0685"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r>
              <w:rPr>
                <w:rFonts w:ascii="Calibri" w:eastAsia="Calibri" w:hAnsi="Calibri" w:cs="Calibri"/>
                <w:sz w:val="16"/>
                <w:szCs w:val="16"/>
              </w:rPr>
              <w:t>31</w:t>
            </w:r>
            <w:r>
              <w:rPr>
                <w:rFonts w:ascii="Calibri" w:eastAsia="Calibri" w:hAnsi="Calibri" w:cs="Calibri"/>
                <w:color w:val="000000"/>
                <w:sz w:val="16"/>
                <w:szCs w:val="16"/>
              </w:rPr>
              <w:t>,500</w:t>
            </w:r>
          </w:p>
        </w:tc>
      </w:tr>
      <w:tr w14:paraId="485BDD48" w14:textId="77777777" w:rsidTr="00D82074">
        <w:tblPrEx>
          <w:tblW w:w="8245" w:type="dxa"/>
          <w:tblInd w:w="-25"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0E6A30" w14:paraId="3545F0F5"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335" w:type="dxa"/>
            <w:tcBorders>
              <w:top w:val="nil"/>
              <w:left w:val="nil"/>
              <w:bottom w:val="single" w:sz="4" w:space="0" w:color="000000"/>
              <w:right w:val="single" w:sz="4" w:space="0" w:color="000000"/>
            </w:tcBorders>
            <w:shd w:val="clear" w:color="auto" w:fill="808080"/>
            <w:vAlign w:val="bottom"/>
          </w:tcPr>
          <w:p w:rsidR="000E6A30" w14:paraId="5739B47B"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985" w:type="dxa"/>
            <w:tcBorders>
              <w:top w:val="nil"/>
              <w:left w:val="nil"/>
              <w:bottom w:val="single" w:sz="4" w:space="0" w:color="000000"/>
              <w:right w:val="single" w:sz="4" w:space="0" w:color="000000"/>
            </w:tcBorders>
            <w:shd w:val="clear" w:color="auto" w:fill="808080"/>
            <w:vAlign w:val="bottom"/>
          </w:tcPr>
          <w:p w:rsidR="000E6A30" w14:paraId="5BCDA57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065" w:type="dxa"/>
            <w:tcBorders>
              <w:top w:val="nil"/>
              <w:left w:val="nil"/>
              <w:bottom w:val="single" w:sz="4" w:space="0" w:color="000000"/>
              <w:right w:val="single" w:sz="4" w:space="0" w:color="000000"/>
            </w:tcBorders>
            <w:shd w:val="clear" w:color="auto" w:fill="808080"/>
            <w:vAlign w:val="bottom"/>
          </w:tcPr>
          <w:p w:rsidR="000E6A30" w14:paraId="7B522E81"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0E6A30" w14:paraId="1ACF0E5D"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0E6A30" w14:paraId="1466D73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08B42EE6" w14:textId="77777777" w:rsidTr="00D418B9">
        <w:tblPrEx>
          <w:tblW w:w="8245" w:type="dxa"/>
          <w:tblInd w:w="-25" w:type="dxa"/>
          <w:tblLayout w:type="fixed"/>
          <w:tblLook w:val="0400"/>
        </w:tblPrEx>
        <w:trPr>
          <w:trHeight w:val="331"/>
        </w:trPr>
        <w:tc>
          <w:tcPr>
            <w:tcW w:w="2280" w:type="dxa"/>
            <w:tcBorders>
              <w:top w:val="nil"/>
              <w:left w:val="single" w:sz="8" w:space="0" w:color="000000"/>
              <w:bottom w:val="nil"/>
              <w:right w:val="single" w:sz="8" w:space="0" w:color="000000"/>
            </w:tcBorders>
            <w:shd w:val="clear" w:color="auto" w:fill="auto"/>
            <w:vAlign w:val="center"/>
          </w:tcPr>
          <w:p w:rsidR="000E6A30" w14:paraId="0744EDC0"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335" w:type="dxa"/>
            <w:tcBorders>
              <w:top w:val="nil"/>
              <w:left w:val="nil"/>
              <w:bottom w:val="single" w:sz="4" w:space="0" w:color="000000"/>
              <w:right w:val="single" w:sz="4" w:space="0" w:color="000000"/>
            </w:tcBorders>
            <w:shd w:val="clear" w:color="auto" w:fill="808080"/>
            <w:vAlign w:val="bottom"/>
          </w:tcPr>
          <w:p w:rsidR="000E6A30" w14:paraId="7A618303"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985" w:type="dxa"/>
            <w:tcBorders>
              <w:top w:val="nil"/>
              <w:left w:val="nil"/>
              <w:bottom w:val="single" w:sz="4" w:space="0" w:color="000000"/>
              <w:right w:val="single" w:sz="4" w:space="0" w:color="000000"/>
            </w:tcBorders>
            <w:shd w:val="clear" w:color="auto" w:fill="808080"/>
            <w:vAlign w:val="bottom"/>
          </w:tcPr>
          <w:p w:rsidR="000E6A30" w14:paraId="09EC0700"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065" w:type="dxa"/>
            <w:tcBorders>
              <w:top w:val="nil"/>
              <w:left w:val="nil"/>
              <w:bottom w:val="single" w:sz="4" w:space="0" w:color="000000"/>
              <w:right w:val="single" w:sz="4" w:space="0" w:color="000000"/>
            </w:tcBorders>
            <w:shd w:val="clear" w:color="auto" w:fill="808080"/>
            <w:vAlign w:val="bottom"/>
          </w:tcPr>
          <w:p w:rsidR="000E6A30" w14:paraId="3ED536A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0E6A30" w14:paraId="149FAD7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0E6A30" w14:paraId="4CCDA80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r>
      <w:tr w14:paraId="6DFB9062" w14:textId="77777777" w:rsidTr="00D82074">
        <w:tblPrEx>
          <w:tblW w:w="8245" w:type="dxa"/>
          <w:tblInd w:w="-25"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0E6A30" w14:paraId="0377E7EE"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335" w:type="dxa"/>
            <w:tcBorders>
              <w:top w:val="single" w:sz="8" w:space="0" w:color="000000"/>
              <w:left w:val="nil"/>
              <w:bottom w:val="single" w:sz="8" w:space="0" w:color="000000"/>
              <w:right w:val="single" w:sz="8" w:space="0" w:color="000000"/>
            </w:tcBorders>
            <w:shd w:val="clear" w:color="auto" w:fill="808080"/>
            <w:vAlign w:val="bottom"/>
          </w:tcPr>
          <w:p w:rsidR="000E6A30" w14:paraId="2A0935AF"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985" w:type="dxa"/>
            <w:tcBorders>
              <w:top w:val="single" w:sz="8" w:space="0" w:color="000000"/>
              <w:left w:val="nil"/>
              <w:bottom w:val="single" w:sz="8" w:space="0" w:color="000000"/>
              <w:right w:val="single" w:sz="8" w:space="0" w:color="000000"/>
            </w:tcBorders>
            <w:shd w:val="clear" w:color="auto" w:fill="808080"/>
            <w:vAlign w:val="bottom"/>
          </w:tcPr>
          <w:p w:rsidR="000E6A30" w14:paraId="3E5D321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065" w:type="dxa"/>
            <w:tcBorders>
              <w:top w:val="single" w:sz="8" w:space="0" w:color="000000"/>
              <w:left w:val="nil"/>
              <w:bottom w:val="single" w:sz="8" w:space="0" w:color="000000"/>
              <w:right w:val="single" w:sz="8" w:space="0" w:color="000000"/>
            </w:tcBorders>
            <w:shd w:val="clear" w:color="auto" w:fill="757171"/>
            <w:vAlign w:val="bottom"/>
          </w:tcPr>
          <w:p w:rsidR="000E6A30" w14:paraId="1857B36A"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0E6A30" w14:paraId="778AA42C"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n/a</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0E6A30" w:rsidRPr="00D82074" w14:paraId="1CC934CE" w14:textId="317481F5">
            <w:pPr>
              <w:widowControl/>
              <w:rPr>
                <w:rFonts w:ascii="Calibri" w:eastAsia="Calibri" w:hAnsi="Calibri" w:cs="Calibri"/>
                <w:b/>
                <w:color w:val="000000"/>
                <w:sz w:val="18"/>
                <w:szCs w:val="18"/>
                <w:shd w:val="clear" w:color="auto" w:fill="999999"/>
              </w:rPr>
            </w:pPr>
            <w:r>
              <w:rPr>
                <w:rFonts w:ascii="Calibri" w:eastAsia="Calibri" w:hAnsi="Calibri" w:cs="Calibri"/>
                <w:color w:val="000000"/>
                <w:sz w:val="16"/>
                <w:szCs w:val="16"/>
              </w:rPr>
              <w:t> </w:t>
            </w:r>
            <w:r w:rsidRPr="00D82074">
              <w:rPr>
                <w:rFonts w:ascii="Calibri" w:eastAsia="Calibri" w:hAnsi="Calibri" w:cs="Calibri"/>
                <w:b/>
                <w:color w:val="000000"/>
                <w:sz w:val="18"/>
                <w:szCs w:val="18"/>
              </w:rPr>
              <w:t>$</w:t>
            </w:r>
            <w:r w:rsidRPr="00D82074" w:rsidR="00D82074">
              <w:rPr>
                <w:rFonts w:ascii="Calibri" w:eastAsia="Calibri" w:hAnsi="Calibri" w:cs="Calibri"/>
                <w:b/>
                <w:sz w:val="18"/>
                <w:szCs w:val="18"/>
              </w:rPr>
              <w:t>103,757</w:t>
            </w:r>
          </w:p>
        </w:tc>
      </w:tr>
    </w:tbl>
    <w:p w:rsidR="000E6A30" w14:paraId="1F5A0DEA" w14:textId="77777777">
      <w:pPr>
        <w:pBdr>
          <w:top w:val="nil"/>
          <w:left w:val="nil"/>
          <w:bottom w:val="nil"/>
          <w:right w:val="nil"/>
          <w:between w:val="nil"/>
        </w:pBdr>
        <w:spacing w:before="9" w:after="1"/>
        <w:rPr>
          <w:b/>
          <w:color w:val="000000"/>
        </w:rPr>
      </w:pPr>
    </w:p>
    <w:p w:rsidR="00D82074" w:rsidRPr="00D82074" w14:paraId="631D5ED5" w14:textId="29E57369">
      <w:pPr>
        <w:pBdr>
          <w:top w:val="nil"/>
          <w:left w:val="nil"/>
          <w:bottom w:val="nil"/>
          <w:right w:val="nil"/>
          <w:between w:val="nil"/>
        </w:pBdr>
        <w:spacing w:before="9" w:after="1"/>
        <w:rPr>
          <w:color w:val="000000"/>
        </w:rPr>
      </w:pPr>
      <w:r w:rsidRPr="00D82074">
        <w:rPr>
          <w:color w:val="000000"/>
        </w:rPr>
        <w:t>The Rest of U.S. locality rate was used since NOAA employees are geographically dispersed.  A 1.5 multiplier was used to obtain the loaded salary.</w:t>
      </w:r>
      <w:r>
        <w:rPr>
          <w:color w:val="000000"/>
        </w:rPr>
        <w:t xml:space="preserve"> </w:t>
      </w:r>
      <w:hyperlink r:id="rId8" w:history="1">
        <w:r w:rsidRPr="00D82074">
          <w:rPr>
            <w:rStyle w:val="Hyperlink"/>
          </w:rPr>
          <w:t>https://www.opm.gov/policy-data-oversight/pay-leave/salaries-wages/salary-tables/pdf/2024/RUS.pdf</w:t>
        </w:r>
      </w:hyperlink>
    </w:p>
    <w:p w:rsidR="00D82074" w14:paraId="443EFBAB" w14:textId="77777777">
      <w:pPr>
        <w:pBdr>
          <w:top w:val="nil"/>
          <w:left w:val="nil"/>
          <w:bottom w:val="nil"/>
          <w:right w:val="nil"/>
          <w:between w:val="nil"/>
        </w:pBdr>
        <w:spacing w:before="9" w:after="1"/>
        <w:rPr>
          <w:b/>
          <w:color w:val="000000"/>
        </w:rPr>
      </w:pPr>
    </w:p>
    <w:p w:rsidR="000E6A30" w14:paraId="140573CA" w14:textId="77777777">
      <w:pPr>
        <w:pBdr>
          <w:top w:val="nil"/>
          <w:left w:val="nil"/>
          <w:bottom w:val="nil"/>
          <w:right w:val="nil"/>
          <w:between w:val="nil"/>
        </w:pBdr>
        <w:spacing w:before="9" w:after="1"/>
        <w:rPr>
          <w:b/>
          <w:color w:val="000000"/>
        </w:rPr>
      </w:pPr>
    </w:p>
    <w:p w:rsidR="000E6A30" w14:paraId="3037D178"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0E6A30" w14:paraId="686BAE33" w14:textId="77777777">
      <w:pPr>
        <w:pBdr>
          <w:top w:val="nil"/>
          <w:left w:val="nil"/>
          <w:bottom w:val="nil"/>
          <w:right w:val="nil"/>
          <w:between w:val="nil"/>
        </w:pBdr>
        <w:spacing w:before="7"/>
      </w:pPr>
    </w:p>
    <w:tbl>
      <w:tblPr>
        <w:tblW w:w="10610" w:type="dxa"/>
        <w:tblLook w:val="04A0"/>
      </w:tblPr>
      <w:tblGrid>
        <w:gridCol w:w="1980"/>
        <w:gridCol w:w="980"/>
        <w:gridCol w:w="900"/>
        <w:gridCol w:w="990"/>
        <w:gridCol w:w="1080"/>
        <w:gridCol w:w="1080"/>
        <w:gridCol w:w="990"/>
        <w:gridCol w:w="2610"/>
      </w:tblGrid>
      <w:tr w14:paraId="319C9362" w14:textId="77777777" w:rsidTr="00A27BED">
        <w:tblPrEx>
          <w:tblW w:w="10610" w:type="dxa"/>
          <w:tblLook w:val="04A0"/>
        </w:tblPrEx>
        <w:trPr>
          <w:trHeight w:val="300"/>
        </w:trPr>
        <w:tc>
          <w:tcPr>
            <w:tcW w:w="1980" w:type="dxa"/>
            <w:vMerge w:val="restart"/>
            <w:tcBorders>
              <w:top w:val="single" w:sz="8" w:space="0" w:color="000000"/>
              <w:left w:val="single" w:sz="8" w:space="0" w:color="000000"/>
              <w:bottom w:val="single" w:sz="8" w:space="0" w:color="000000"/>
              <w:right w:val="single" w:sz="8" w:space="0" w:color="000000"/>
            </w:tcBorders>
            <w:shd w:val="clear" w:color="5B9BD5" w:fill="5B9BD5"/>
            <w:vAlign w:val="center"/>
            <w:hideMark/>
          </w:tcPr>
          <w:p w:rsidR="00A27BED" w:rsidRPr="00A27BED" w:rsidP="00A27BED" w14:paraId="03952E5A" w14:textId="77777777">
            <w:pPr>
              <w:widowControl/>
              <w:jc w:val="center"/>
              <w:rPr>
                <w:rFonts w:ascii="Calibri" w:hAnsi="Calibri" w:cs="Calibri"/>
                <w:b/>
                <w:bCs/>
                <w:color w:val="000000"/>
                <w:sz w:val="16"/>
                <w:szCs w:val="16"/>
              </w:rPr>
            </w:pPr>
            <w:r w:rsidRPr="00A27BED">
              <w:rPr>
                <w:rFonts w:ascii="Calibri" w:hAnsi="Calibri" w:cs="Calibri"/>
                <w:b/>
                <w:bCs/>
                <w:color w:val="000000"/>
                <w:sz w:val="16"/>
                <w:szCs w:val="16"/>
              </w:rPr>
              <w:t>Information Collection</w:t>
            </w:r>
          </w:p>
        </w:tc>
        <w:tc>
          <w:tcPr>
            <w:tcW w:w="188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A27BED" w:rsidRPr="00A27BED" w:rsidP="00A27BED" w14:paraId="0D1FE92C" w14:textId="77777777">
            <w:pPr>
              <w:widowControl/>
              <w:jc w:val="center"/>
              <w:rPr>
                <w:rFonts w:ascii="Calibri" w:hAnsi="Calibri" w:cs="Calibri"/>
                <w:b/>
                <w:bCs/>
                <w:color w:val="000000"/>
                <w:sz w:val="16"/>
                <w:szCs w:val="16"/>
              </w:rPr>
            </w:pPr>
            <w:r w:rsidRPr="00A27BED">
              <w:rPr>
                <w:rFonts w:ascii="Calibri" w:hAnsi="Calibri" w:cs="Calibri"/>
                <w:b/>
                <w:bCs/>
                <w:color w:val="000000"/>
                <w:sz w:val="16"/>
                <w:szCs w:val="16"/>
              </w:rPr>
              <w:t>Respondents</w:t>
            </w:r>
          </w:p>
        </w:tc>
        <w:tc>
          <w:tcPr>
            <w:tcW w:w="207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A27BED" w:rsidRPr="00A27BED" w:rsidP="00A27BED" w14:paraId="1C40F27C" w14:textId="77777777">
            <w:pPr>
              <w:widowControl/>
              <w:jc w:val="center"/>
              <w:rPr>
                <w:rFonts w:ascii="Calibri" w:hAnsi="Calibri" w:cs="Calibri"/>
                <w:b/>
                <w:bCs/>
                <w:color w:val="000000"/>
                <w:sz w:val="16"/>
                <w:szCs w:val="16"/>
              </w:rPr>
            </w:pPr>
            <w:r w:rsidRPr="00A27BED">
              <w:rPr>
                <w:rFonts w:ascii="Calibri" w:hAnsi="Calibri" w:cs="Calibri"/>
                <w:b/>
                <w:bCs/>
                <w:color w:val="000000"/>
                <w:sz w:val="16"/>
                <w:szCs w:val="16"/>
              </w:rPr>
              <w:t>Responses</w:t>
            </w:r>
          </w:p>
        </w:tc>
        <w:tc>
          <w:tcPr>
            <w:tcW w:w="207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A27BED" w:rsidRPr="00A27BED" w:rsidP="00A27BED" w14:paraId="02A34D0D" w14:textId="77777777">
            <w:pPr>
              <w:widowControl/>
              <w:jc w:val="center"/>
              <w:rPr>
                <w:rFonts w:ascii="Calibri" w:hAnsi="Calibri" w:cs="Calibri"/>
                <w:b/>
                <w:bCs/>
                <w:color w:val="000000"/>
                <w:sz w:val="16"/>
                <w:szCs w:val="16"/>
              </w:rPr>
            </w:pPr>
            <w:r w:rsidRPr="00A27BED">
              <w:rPr>
                <w:rFonts w:ascii="Calibri" w:hAnsi="Calibri" w:cs="Calibri"/>
                <w:b/>
                <w:bCs/>
                <w:color w:val="000000"/>
                <w:sz w:val="16"/>
                <w:szCs w:val="16"/>
              </w:rPr>
              <w:t>Burden Hours</w:t>
            </w:r>
          </w:p>
        </w:tc>
        <w:tc>
          <w:tcPr>
            <w:tcW w:w="2610" w:type="dxa"/>
            <w:vMerge w:val="restart"/>
            <w:tcBorders>
              <w:top w:val="single" w:sz="8" w:space="0" w:color="000000"/>
              <w:left w:val="single" w:sz="8" w:space="0" w:color="000000"/>
              <w:bottom w:val="single" w:sz="8" w:space="0" w:color="000000"/>
              <w:right w:val="single" w:sz="8" w:space="0" w:color="000000"/>
            </w:tcBorders>
            <w:shd w:val="clear" w:color="5B9BD5" w:fill="5B9BD5"/>
            <w:vAlign w:val="center"/>
            <w:hideMark/>
          </w:tcPr>
          <w:p w:rsidR="00A27BED" w:rsidRPr="00A27BED" w:rsidP="00A27BED" w14:paraId="4DCFA292" w14:textId="77777777">
            <w:pPr>
              <w:widowControl/>
              <w:jc w:val="center"/>
              <w:rPr>
                <w:rFonts w:ascii="Calibri" w:hAnsi="Calibri" w:cs="Calibri"/>
                <w:b/>
                <w:bCs/>
                <w:color w:val="000000"/>
                <w:sz w:val="16"/>
                <w:szCs w:val="16"/>
              </w:rPr>
            </w:pPr>
            <w:r w:rsidRPr="00A27BED">
              <w:rPr>
                <w:rFonts w:ascii="Calibri" w:hAnsi="Calibri" w:cs="Calibri"/>
                <w:b/>
                <w:bCs/>
                <w:color w:val="000000"/>
                <w:sz w:val="16"/>
                <w:szCs w:val="16"/>
              </w:rPr>
              <w:t>Reason for change or adjustment</w:t>
            </w:r>
          </w:p>
        </w:tc>
      </w:tr>
      <w:tr w14:paraId="719F391D" w14:textId="77777777" w:rsidTr="00A27BED">
        <w:tblPrEx>
          <w:tblW w:w="10610" w:type="dxa"/>
          <w:tblLook w:val="04A0"/>
        </w:tblPrEx>
        <w:trPr>
          <w:trHeight w:val="690"/>
        </w:trPr>
        <w:tc>
          <w:tcPr>
            <w:tcW w:w="1980" w:type="dxa"/>
            <w:vMerge/>
            <w:tcBorders>
              <w:top w:val="single" w:sz="8" w:space="0" w:color="000000"/>
              <w:left w:val="single" w:sz="8" w:space="0" w:color="000000"/>
              <w:bottom w:val="single" w:sz="8" w:space="0" w:color="000000"/>
              <w:right w:val="single" w:sz="8" w:space="0" w:color="000000"/>
            </w:tcBorders>
            <w:vAlign w:val="center"/>
            <w:hideMark/>
          </w:tcPr>
          <w:p w:rsidR="00A27BED" w:rsidRPr="00A27BED" w:rsidP="00A27BED" w14:paraId="5ECEE700" w14:textId="77777777">
            <w:pPr>
              <w:widowControl/>
              <w:rPr>
                <w:rFonts w:ascii="Calibri" w:hAnsi="Calibri" w:cs="Calibri"/>
                <w:b/>
                <w:bCs/>
                <w:color w:val="000000"/>
                <w:sz w:val="16"/>
                <w:szCs w:val="16"/>
              </w:rPr>
            </w:pPr>
          </w:p>
        </w:tc>
        <w:tc>
          <w:tcPr>
            <w:tcW w:w="980" w:type="dxa"/>
            <w:tcBorders>
              <w:top w:val="nil"/>
              <w:left w:val="nil"/>
              <w:bottom w:val="single" w:sz="8" w:space="0" w:color="000000"/>
              <w:right w:val="dotted" w:sz="4" w:space="0" w:color="000000"/>
            </w:tcBorders>
            <w:shd w:val="clear" w:color="FBE4D5" w:fill="FBE4D5"/>
            <w:vAlign w:val="center"/>
            <w:hideMark/>
          </w:tcPr>
          <w:p w:rsidR="00A27BED" w:rsidRPr="00A27BED" w:rsidP="00A27BED" w14:paraId="4280C105" w14:textId="77777777">
            <w:pPr>
              <w:widowControl/>
              <w:jc w:val="center"/>
              <w:rPr>
                <w:rFonts w:ascii="Calibri" w:hAnsi="Calibri" w:cs="Calibri"/>
                <w:color w:val="000000"/>
                <w:sz w:val="16"/>
                <w:szCs w:val="16"/>
              </w:rPr>
            </w:pPr>
            <w:r w:rsidRPr="00A27BED">
              <w:rPr>
                <w:rFonts w:ascii="Calibri" w:hAnsi="Calibri" w:cs="Calibri"/>
                <w:color w:val="000000"/>
                <w:sz w:val="16"/>
                <w:szCs w:val="16"/>
              </w:rPr>
              <w:t>Current Renewal / Revision</w:t>
            </w:r>
          </w:p>
        </w:tc>
        <w:tc>
          <w:tcPr>
            <w:tcW w:w="900" w:type="dxa"/>
            <w:tcBorders>
              <w:top w:val="nil"/>
              <w:left w:val="nil"/>
              <w:bottom w:val="single" w:sz="8" w:space="0" w:color="000000"/>
              <w:right w:val="single" w:sz="8" w:space="0" w:color="000000"/>
            </w:tcBorders>
            <w:shd w:val="clear" w:color="FBE4D5" w:fill="FBE4D5"/>
            <w:vAlign w:val="center"/>
            <w:hideMark/>
          </w:tcPr>
          <w:p w:rsidR="00A27BED" w:rsidRPr="00A27BED" w:rsidP="00A27BED" w14:paraId="6079A45F" w14:textId="77777777">
            <w:pPr>
              <w:widowControl/>
              <w:jc w:val="center"/>
              <w:rPr>
                <w:rFonts w:ascii="Calibri" w:hAnsi="Calibri" w:cs="Calibri"/>
                <w:color w:val="000000"/>
                <w:sz w:val="16"/>
                <w:szCs w:val="16"/>
              </w:rPr>
            </w:pPr>
            <w:r w:rsidRPr="00A27BED">
              <w:rPr>
                <w:rFonts w:ascii="Calibri" w:hAnsi="Calibri" w:cs="Calibri"/>
                <w:color w:val="000000"/>
                <w:sz w:val="16"/>
                <w:szCs w:val="16"/>
              </w:rPr>
              <w:t>Previous Renewal / Revision</w:t>
            </w:r>
          </w:p>
        </w:tc>
        <w:tc>
          <w:tcPr>
            <w:tcW w:w="990" w:type="dxa"/>
            <w:tcBorders>
              <w:top w:val="nil"/>
              <w:left w:val="nil"/>
              <w:bottom w:val="single" w:sz="8" w:space="0" w:color="000000"/>
              <w:right w:val="dotted" w:sz="4" w:space="0" w:color="000000"/>
            </w:tcBorders>
            <w:shd w:val="clear" w:color="FBE4D5" w:fill="FBE4D5"/>
            <w:vAlign w:val="center"/>
            <w:hideMark/>
          </w:tcPr>
          <w:p w:rsidR="00A27BED" w:rsidRPr="00A27BED" w:rsidP="00A27BED" w14:paraId="35A3BC42" w14:textId="77777777">
            <w:pPr>
              <w:widowControl/>
              <w:jc w:val="center"/>
              <w:rPr>
                <w:rFonts w:ascii="Calibri" w:hAnsi="Calibri" w:cs="Calibri"/>
                <w:color w:val="000000"/>
                <w:sz w:val="16"/>
                <w:szCs w:val="16"/>
              </w:rPr>
            </w:pPr>
            <w:r w:rsidRPr="00A27BED">
              <w:rPr>
                <w:rFonts w:ascii="Calibri" w:hAnsi="Calibri" w:cs="Calibri"/>
                <w:color w:val="000000"/>
                <w:sz w:val="16"/>
                <w:szCs w:val="16"/>
              </w:rPr>
              <w:t>Current Renewal / Revision</w:t>
            </w:r>
          </w:p>
        </w:tc>
        <w:tc>
          <w:tcPr>
            <w:tcW w:w="1080" w:type="dxa"/>
            <w:tcBorders>
              <w:top w:val="nil"/>
              <w:left w:val="nil"/>
              <w:bottom w:val="single" w:sz="8" w:space="0" w:color="000000"/>
              <w:right w:val="single" w:sz="8" w:space="0" w:color="000000"/>
            </w:tcBorders>
            <w:shd w:val="clear" w:color="FBE4D5" w:fill="FBE4D5"/>
            <w:vAlign w:val="center"/>
            <w:hideMark/>
          </w:tcPr>
          <w:p w:rsidR="00A27BED" w:rsidRPr="00A27BED" w:rsidP="00A27BED" w14:paraId="657A1175" w14:textId="77777777">
            <w:pPr>
              <w:widowControl/>
              <w:jc w:val="center"/>
              <w:rPr>
                <w:rFonts w:ascii="Calibri" w:hAnsi="Calibri" w:cs="Calibri"/>
                <w:color w:val="000000"/>
                <w:sz w:val="16"/>
                <w:szCs w:val="16"/>
              </w:rPr>
            </w:pPr>
            <w:r w:rsidRPr="00A27BED">
              <w:rPr>
                <w:rFonts w:ascii="Calibri" w:hAnsi="Calibri" w:cs="Calibri"/>
                <w:color w:val="000000"/>
                <w:sz w:val="16"/>
                <w:szCs w:val="16"/>
              </w:rPr>
              <w:t>Previous Renewal / Revision</w:t>
            </w:r>
          </w:p>
        </w:tc>
        <w:tc>
          <w:tcPr>
            <w:tcW w:w="1080" w:type="dxa"/>
            <w:tcBorders>
              <w:top w:val="nil"/>
              <w:left w:val="nil"/>
              <w:bottom w:val="single" w:sz="8" w:space="0" w:color="000000"/>
              <w:right w:val="dotted" w:sz="4" w:space="0" w:color="000000"/>
            </w:tcBorders>
            <w:shd w:val="clear" w:color="FBE4D5" w:fill="FBE4D5"/>
            <w:vAlign w:val="center"/>
            <w:hideMark/>
          </w:tcPr>
          <w:p w:rsidR="00A27BED" w:rsidRPr="00A27BED" w:rsidP="00A27BED" w14:paraId="16FC9B69" w14:textId="77777777">
            <w:pPr>
              <w:widowControl/>
              <w:jc w:val="center"/>
              <w:rPr>
                <w:rFonts w:ascii="Calibri" w:hAnsi="Calibri" w:cs="Calibri"/>
                <w:color w:val="000000"/>
                <w:sz w:val="16"/>
                <w:szCs w:val="16"/>
              </w:rPr>
            </w:pPr>
            <w:r w:rsidRPr="00A27BED">
              <w:rPr>
                <w:rFonts w:ascii="Calibri" w:hAnsi="Calibri" w:cs="Calibri"/>
                <w:color w:val="000000"/>
                <w:sz w:val="16"/>
                <w:szCs w:val="16"/>
              </w:rPr>
              <w:t>Current Renewal / Revision</w:t>
            </w:r>
          </w:p>
        </w:tc>
        <w:tc>
          <w:tcPr>
            <w:tcW w:w="990" w:type="dxa"/>
            <w:tcBorders>
              <w:top w:val="nil"/>
              <w:left w:val="nil"/>
              <w:bottom w:val="single" w:sz="8" w:space="0" w:color="000000"/>
              <w:right w:val="single" w:sz="8" w:space="0" w:color="000000"/>
            </w:tcBorders>
            <w:shd w:val="clear" w:color="FBE4D5" w:fill="FBE4D5"/>
            <w:vAlign w:val="center"/>
            <w:hideMark/>
          </w:tcPr>
          <w:p w:rsidR="00A27BED" w:rsidRPr="00A27BED" w:rsidP="00A27BED" w14:paraId="73E2BFD1" w14:textId="77777777">
            <w:pPr>
              <w:widowControl/>
              <w:jc w:val="center"/>
              <w:rPr>
                <w:rFonts w:ascii="Calibri" w:hAnsi="Calibri" w:cs="Calibri"/>
                <w:color w:val="000000"/>
                <w:sz w:val="16"/>
                <w:szCs w:val="16"/>
              </w:rPr>
            </w:pPr>
            <w:r w:rsidRPr="00A27BED">
              <w:rPr>
                <w:rFonts w:ascii="Calibri" w:hAnsi="Calibri" w:cs="Calibri"/>
                <w:color w:val="000000"/>
                <w:sz w:val="16"/>
                <w:szCs w:val="16"/>
              </w:rPr>
              <w:t>Previous Renewal / Revision</w:t>
            </w:r>
          </w:p>
        </w:tc>
        <w:tc>
          <w:tcPr>
            <w:tcW w:w="2610" w:type="dxa"/>
            <w:vMerge/>
            <w:tcBorders>
              <w:top w:val="single" w:sz="8" w:space="0" w:color="000000"/>
              <w:left w:val="single" w:sz="8" w:space="0" w:color="000000"/>
              <w:bottom w:val="single" w:sz="8" w:space="0" w:color="000000"/>
              <w:right w:val="single" w:sz="8" w:space="0" w:color="000000"/>
            </w:tcBorders>
            <w:vAlign w:val="center"/>
            <w:hideMark/>
          </w:tcPr>
          <w:p w:rsidR="00A27BED" w:rsidRPr="00A27BED" w:rsidP="00A27BED" w14:paraId="5CE5A95D" w14:textId="77777777">
            <w:pPr>
              <w:widowControl/>
              <w:rPr>
                <w:rFonts w:ascii="Calibri" w:hAnsi="Calibri" w:cs="Calibri"/>
                <w:b/>
                <w:bCs/>
                <w:color w:val="000000"/>
                <w:sz w:val="16"/>
                <w:szCs w:val="16"/>
              </w:rPr>
            </w:pPr>
          </w:p>
        </w:tc>
      </w:tr>
      <w:tr w14:paraId="77BA4534" w14:textId="77777777" w:rsidTr="00A27BED">
        <w:tblPrEx>
          <w:tblW w:w="10610" w:type="dxa"/>
          <w:tblLook w:val="04A0"/>
        </w:tblPrEx>
        <w:trPr>
          <w:trHeight w:val="465"/>
        </w:trPr>
        <w:tc>
          <w:tcPr>
            <w:tcW w:w="1980" w:type="dxa"/>
            <w:tcBorders>
              <w:top w:val="nil"/>
              <w:left w:val="single" w:sz="8" w:space="0" w:color="000000"/>
              <w:bottom w:val="single" w:sz="8" w:space="0" w:color="000000"/>
              <w:right w:val="single" w:sz="8" w:space="0" w:color="000000"/>
            </w:tcBorders>
            <w:shd w:val="clear" w:color="auto" w:fill="auto"/>
            <w:vAlign w:val="center"/>
            <w:hideMark/>
          </w:tcPr>
          <w:p w:rsidR="00A27BED" w:rsidRPr="00A27BED" w:rsidP="00A27BED" w14:paraId="045EEFB2" w14:textId="77777777">
            <w:pPr>
              <w:widowControl/>
              <w:rPr>
                <w:rFonts w:ascii="Calibri" w:hAnsi="Calibri" w:cs="Calibri"/>
                <w:color w:val="000000"/>
                <w:sz w:val="16"/>
                <w:szCs w:val="16"/>
              </w:rPr>
            </w:pPr>
            <w:r w:rsidRPr="00A27BED">
              <w:rPr>
                <w:rFonts w:ascii="Calibri" w:hAnsi="Calibri" w:cs="Calibri"/>
                <w:color w:val="000000"/>
                <w:sz w:val="16"/>
                <w:szCs w:val="16"/>
              </w:rPr>
              <w:t>Matching Funds Waiver Request</w:t>
            </w:r>
          </w:p>
        </w:tc>
        <w:tc>
          <w:tcPr>
            <w:tcW w:w="980" w:type="dxa"/>
            <w:tcBorders>
              <w:top w:val="nil"/>
              <w:left w:val="nil"/>
              <w:bottom w:val="dotted" w:sz="4" w:space="0" w:color="000000"/>
              <w:right w:val="dotted" w:sz="4" w:space="0" w:color="000000"/>
            </w:tcBorders>
            <w:shd w:val="clear" w:color="auto" w:fill="auto"/>
            <w:vAlign w:val="center"/>
            <w:hideMark/>
          </w:tcPr>
          <w:p w:rsidR="00A27BED" w:rsidRPr="00A27BED" w:rsidP="00A27BED" w14:paraId="491E3157" w14:textId="77777777">
            <w:pPr>
              <w:widowControl/>
              <w:jc w:val="center"/>
              <w:rPr>
                <w:rFonts w:ascii="Calibri" w:hAnsi="Calibri" w:cs="Calibri"/>
                <w:color w:val="000000"/>
                <w:sz w:val="16"/>
                <w:szCs w:val="16"/>
              </w:rPr>
            </w:pPr>
            <w:r w:rsidRPr="00A27BED">
              <w:rPr>
                <w:rFonts w:ascii="Calibri" w:hAnsi="Calibri" w:cs="Calibri"/>
                <w:color w:val="000000"/>
                <w:sz w:val="16"/>
                <w:szCs w:val="16"/>
              </w:rPr>
              <w:t>0</w:t>
            </w:r>
          </w:p>
        </w:tc>
        <w:tc>
          <w:tcPr>
            <w:tcW w:w="900" w:type="dxa"/>
            <w:tcBorders>
              <w:top w:val="nil"/>
              <w:left w:val="nil"/>
              <w:bottom w:val="dotted" w:sz="4" w:space="0" w:color="000000"/>
              <w:right w:val="single" w:sz="8" w:space="0" w:color="000000"/>
            </w:tcBorders>
            <w:shd w:val="clear" w:color="auto" w:fill="auto"/>
            <w:vAlign w:val="center"/>
            <w:hideMark/>
          </w:tcPr>
          <w:p w:rsidR="00A27BED" w:rsidRPr="00A27BED" w:rsidP="00A27BED" w14:paraId="2657C0DB" w14:textId="77777777">
            <w:pPr>
              <w:widowControl/>
              <w:jc w:val="center"/>
              <w:rPr>
                <w:rFonts w:ascii="Calibri" w:hAnsi="Calibri" w:cs="Calibri"/>
                <w:color w:val="000000"/>
                <w:sz w:val="16"/>
                <w:szCs w:val="16"/>
              </w:rPr>
            </w:pPr>
            <w:r w:rsidRPr="00A27BED">
              <w:rPr>
                <w:rFonts w:ascii="Calibri" w:hAnsi="Calibri" w:cs="Calibri"/>
                <w:color w:val="000000"/>
                <w:sz w:val="16"/>
                <w:szCs w:val="16"/>
              </w:rPr>
              <w:t>5</w:t>
            </w:r>
          </w:p>
        </w:tc>
        <w:tc>
          <w:tcPr>
            <w:tcW w:w="990" w:type="dxa"/>
            <w:tcBorders>
              <w:top w:val="nil"/>
              <w:left w:val="nil"/>
              <w:bottom w:val="dotted" w:sz="4" w:space="0" w:color="000000"/>
              <w:right w:val="dotted" w:sz="4" w:space="0" w:color="000000"/>
            </w:tcBorders>
            <w:shd w:val="clear" w:color="auto" w:fill="auto"/>
            <w:vAlign w:val="center"/>
            <w:hideMark/>
          </w:tcPr>
          <w:p w:rsidR="00A27BED" w:rsidRPr="00A27BED" w:rsidP="00A27BED" w14:paraId="0F8E5AC4" w14:textId="77777777">
            <w:pPr>
              <w:widowControl/>
              <w:jc w:val="center"/>
              <w:rPr>
                <w:rFonts w:ascii="Calibri" w:hAnsi="Calibri" w:cs="Calibri"/>
                <w:color w:val="000000"/>
                <w:sz w:val="16"/>
                <w:szCs w:val="16"/>
              </w:rPr>
            </w:pPr>
            <w:r w:rsidRPr="00A27BED">
              <w:rPr>
                <w:rFonts w:ascii="Calibri" w:hAnsi="Calibri" w:cs="Calibri"/>
                <w:color w:val="000000"/>
                <w:sz w:val="16"/>
                <w:szCs w:val="16"/>
              </w:rPr>
              <w:t>0</w:t>
            </w:r>
          </w:p>
        </w:tc>
        <w:tc>
          <w:tcPr>
            <w:tcW w:w="1080" w:type="dxa"/>
            <w:tcBorders>
              <w:top w:val="nil"/>
              <w:left w:val="nil"/>
              <w:bottom w:val="dotted" w:sz="4" w:space="0" w:color="000000"/>
              <w:right w:val="single" w:sz="8" w:space="0" w:color="000000"/>
            </w:tcBorders>
            <w:shd w:val="clear" w:color="auto" w:fill="auto"/>
            <w:vAlign w:val="center"/>
            <w:hideMark/>
          </w:tcPr>
          <w:p w:rsidR="00A27BED" w:rsidRPr="00A27BED" w:rsidP="00A27BED" w14:paraId="633CD66F" w14:textId="77777777">
            <w:pPr>
              <w:widowControl/>
              <w:jc w:val="center"/>
              <w:rPr>
                <w:rFonts w:ascii="Calibri" w:hAnsi="Calibri" w:cs="Calibri"/>
                <w:color w:val="000000"/>
                <w:sz w:val="16"/>
                <w:szCs w:val="16"/>
              </w:rPr>
            </w:pPr>
            <w:r w:rsidRPr="00A27BED">
              <w:rPr>
                <w:rFonts w:ascii="Calibri" w:hAnsi="Calibri" w:cs="Calibri"/>
                <w:color w:val="000000"/>
                <w:sz w:val="16"/>
                <w:szCs w:val="16"/>
              </w:rPr>
              <w:t>5</w:t>
            </w:r>
          </w:p>
        </w:tc>
        <w:tc>
          <w:tcPr>
            <w:tcW w:w="1080" w:type="dxa"/>
            <w:tcBorders>
              <w:top w:val="nil"/>
              <w:left w:val="nil"/>
              <w:bottom w:val="dotted" w:sz="4" w:space="0" w:color="000000"/>
              <w:right w:val="dotted" w:sz="4" w:space="0" w:color="000000"/>
            </w:tcBorders>
            <w:shd w:val="clear" w:color="auto" w:fill="auto"/>
            <w:vAlign w:val="center"/>
            <w:hideMark/>
          </w:tcPr>
          <w:p w:rsidR="00A27BED" w:rsidRPr="00A27BED" w:rsidP="00A27BED" w14:paraId="2FFB5A3C" w14:textId="77777777">
            <w:pPr>
              <w:widowControl/>
              <w:jc w:val="center"/>
              <w:rPr>
                <w:rFonts w:ascii="Calibri" w:hAnsi="Calibri" w:cs="Calibri"/>
                <w:color w:val="000000"/>
                <w:sz w:val="16"/>
                <w:szCs w:val="16"/>
              </w:rPr>
            </w:pPr>
            <w:r w:rsidRPr="00A27BED">
              <w:rPr>
                <w:rFonts w:ascii="Calibri" w:hAnsi="Calibri" w:cs="Calibri"/>
                <w:color w:val="000000"/>
                <w:sz w:val="16"/>
                <w:szCs w:val="16"/>
              </w:rPr>
              <w:t>0</w:t>
            </w:r>
          </w:p>
        </w:tc>
        <w:tc>
          <w:tcPr>
            <w:tcW w:w="990" w:type="dxa"/>
            <w:tcBorders>
              <w:top w:val="nil"/>
              <w:left w:val="nil"/>
              <w:bottom w:val="dotted" w:sz="4" w:space="0" w:color="000000"/>
              <w:right w:val="single" w:sz="8" w:space="0" w:color="000000"/>
            </w:tcBorders>
            <w:shd w:val="clear" w:color="auto" w:fill="auto"/>
            <w:vAlign w:val="center"/>
            <w:hideMark/>
          </w:tcPr>
          <w:p w:rsidR="00A27BED" w:rsidRPr="00A27BED" w:rsidP="00A27BED" w14:paraId="58C17794" w14:textId="77777777">
            <w:pPr>
              <w:widowControl/>
              <w:jc w:val="center"/>
              <w:rPr>
                <w:rFonts w:ascii="Calibri" w:hAnsi="Calibri" w:cs="Calibri"/>
                <w:color w:val="000000"/>
                <w:sz w:val="16"/>
                <w:szCs w:val="16"/>
              </w:rPr>
            </w:pPr>
            <w:r w:rsidRPr="00A27BED">
              <w:rPr>
                <w:rFonts w:ascii="Calibri" w:hAnsi="Calibri" w:cs="Calibri"/>
                <w:color w:val="000000"/>
                <w:sz w:val="16"/>
                <w:szCs w:val="16"/>
              </w:rPr>
              <w:t>11</w:t>
            </w:r>
          </w:p>
        </w:tc>
        <w:tc>
          <w:tcPr>
            <w:tcW w:w="2610" w:type="dxa"/>
            <w:tcBorders>
              <w:top w:val="nil"/>
              <w:left w:val="nil"/>
              <w:bottom w:val="dotted" w:sz="4" w:space="0" w:color="000000"/>
              <w:right w:val="single" w:sz="8" w:space="0" w:color="000000"/>
            </w:tcBorders>
            <w:shd w:val="clear" w:color="auto" w:fill="auto"/>
            <w:vAlign w:val="center"/>
            <w:hideMark/>
          </w:tcPr>
          <w:p w:rsidR="00A27BED" w:rsidRPr="00990874" w:rsidP="00A27BED" w14:paraId="7383FD46" w14:textId="77777777">
            <w:pPr>
              <w:widowControl/>
              <w:rPr>
                <w:rFonts w:asciiTheme="minorHAnsi" w:hAnsiTheme="minorHAnsi" w:cstheme="minorHAnsi"/>
                <w:color w:val="000000"/>
                <w:sz w:val="18"/>
                <w:szCs w:val="18"/>
              </w:rPr>
            </w:pPr>
            <w:r w:rsidRPr="00A27BED">
              <w:rPr>
                <w:rFonts w:asciiTheme="minorHAnsi" w:hAnsiTheme="minorHAnsi" w:cstheme="minorHAnsi"/>
                <w:color w:val="000000"/>
                <w:sz w:val="18"/>
                <w:szCs w:val="18"/>
              </w:rPr>
              <w:t>Removed from collection as no longer applicable.</w:t>
            </w:r>
          </w:p>
          <w:p w:rsidR="00990874" w:rsidRPr="00990874" w:rsidP="00990874" w14:paraId="29984AE9" w14:textId="77777777">
            <w:pPr>
              <w:rPr>
                <w:rFonts w:asciiTheme="minorHAnsi" w:hAnsiTheme="minorHAnsi" w:cstheme="minorHAnsi"/>
                <w:color w:val="222222"/>
                <w:sz w:val="18"/>
                <w:szCs w:val="18"/>
                <w:shd w:val="clear" w:color="auto" w:fill="FFFFFF"/>
              </w:rPr>
            </w:pPr>
            <w:r w:rsidRPr="00990874">
              <w:rPr>
                <w:rFonts w:asciiTheme="minorHAnsi" w:hAnsiTheme="minorHAnsi" w:cstheme="minorHAnsi"/>
                <w:b/>
                <w:bCs/>
                <w:color w:val="222222"/>
                <w:sz w:val="18"/>
                <w:szCs w:val="18"/>
                <w:shd w:val="clear" w:color="auto" w:fill="FFFFFF"/>
              </w:rPr>
              <w:t>The match waiver requests may still be made under Ruth D. Gates but are </w:t>
            </w:r>
            <w:r w:rsidRPr="00990874">
              <w:rPr>
                <w:rFonts w:asciiTheme="minorHAnsi" w:hAnsiTheme="minorHAnsi" w:cstheme="minorHAnsi"/>
                <w:b/>
                <w:bCs/>
                <w:color w:val="FF0000"/>
                <w:sz w:val="18"/>
                <w:szCs w:val="18"/>
                <w:shd w:val="clear" w:color="auto" w:fill="FFFFFF"/>
              </w:rPr>
              <w:t>not expected and not requested of applicants</w:t>
            </w:r>
            <w:r w:rsidRPr="00990874">
              <w:rPr>
                <w:rFonts w:asciiTheme="minorHAnsi" w:hAnsiTheme="minorHAnsi" w:cstheme="minorHAnsi"/>
                <w:b/>
                <w:bCs/>
                <w:color w:val="222222"/>
                <w:sz w:val="18"/>
                <w:szCs w:val="18"/>
                <w:shd w:val="clear" w:color="auto" w:fill="FFFFFF"/>
              </w:rPr>
              <w:t>. They were included in the original because all territories (5) requested a match waiver, however, their awards are now located in Block Grants, and there is no matching requirement.</w:t>
            </w:r>
            <w:r w:rsidRPr="00990874">
              <w:rPr>
                <w:rFonts w:asciiTheme="minorHAnsi" w:hAnsiTheme="minorHAnsi" w:cstheme="minorHAnsi"/>
                <w:color w:val="222222"/>
                <w:sz w:val="18"/>
                <w:szCs w:val="18"/>
                <w:shd w:val="clear" w:color="auto" w:fill="FFFFFF"/>
              </w:rPr>
              <w:t> </w:t>
            </w:r>
          </w:p>
          <w:p w:rsidR="00990874" w:rsidRPr="00A27BED" w:rsidP="00A27BED" w14:paraId="1115430F" w14:textId="1F49F68B">
            <w:pPr>
              <w:widowControl/>
              <w:rPr>
                <w:rFonts w:asciiTheme="minorHAnsi" w:hAnsiTheme="minorHAnsi" w:cstheme="minorHAnsi"/>
                <w:color w:val="000000"/>
                <w:sz w:val="18"/>
                <w:szCs w:val="18"/>
              </w:rPr>
            </w:pPr>
          </w:p>
        </w:tc>
      </w:tr>
      <w:tr w14:paraId="228157BE" w14:textId="77777777" w:rsidTr="00A27BED">
        <w:tblPrEx>
          <w:tblW w:w="10610" w:type="dxa"/>
          <w:tblLook w:val="04A0"/>
        </w:tblPrEx>
        <w:trPr>
          <w:trHeight w:val="465"/>
        </w:trPr>
        <w:tc>
          <w:tcPr>
            <w:tcW w:w="1980" w:type="dxa"/>
            <w:tcBorders>
              <w:top w:val="nil"/>
              <w:left w:val="single" w:sz="8" w:space="0" w:color="000000"/>
              <w:bottom w:val="single" w:sz="8" w:space="0" w:color="000000"/>
              <w:right w:val="single" w:sz="8" w:space="0" w:color="000000"/>
            </w:tcBorders>
            <w:shd w:val="clear" w:color="auto" w:fill="auto"/>
            <w:vAlign w:val="center"/>
            <w:hideMark/>
          </w:tcPr>
          <w:p w:rsidR="00A27BED" w:rsidRPr="00A27BED" w:rsidP="00A27BED" w14:paraId="3FFDC2EB" w14:textId="77777777">
            <w:pPr>
              <w:widowControl/>
              <w:rPr>
                <w:rFonts w:ascii="Calibri" w:hAnsi="Calibri" w:cs="Calibri"/>
                <w:color w:val="000000"/>
                <w:sz w:val="16"/>
                <w:szCs w:val="16"/>
              </w:rPr>
            </w:pPr>
            <w:r w:rsidRPr="00A27BED">
              <w:rPr>
                <w:rFonts w:ascii="Calibri" w:hAnsi="Calibri" w:cs="Calibri"/>
                <w:color w:val="000000"/>
                <w:sz w:val="16"/>
                <w:szCs w:val="16"/>
              </w:rPr>
              <w:t>Reviewer Comments</w:t>
            </w:r>
          </w:p>
        </w:tc>
        <w:tc>
          <w:tcPr>
            <w:tcW w:w="980" w:type="dxa"/>
            <w:tcBorders>
              <w:top w:val="nil"/>
              <w:left w:val="nil"/>
              <w:bottom w:val="dotted" w:sz="4" w:space="0" w:color="000000"/>
              <w:right w:val="dotted" w:sz="4" w:space="0" w:color="000000"/>
            </w:tcBorders>
            <w:shd w:val="clear" w:color="auto" w:fill="auto"/>
            <w:vAlign w:val="center"/>
            <w:hideMark/>
          </w:tcPr>
          <w:p w:rsidR="00A27BED" w:rsidRPr="00A27BED" w:rsidP="00A27BED" w14:paraId="052B81EC" w14:textId="77777777">
            <w:pPr>
              <w:widowControl/>
              <w:jc w:val="center"/>
              <w:rPr>
                <w:rFonts w:ascii="Calibri" w:hAnsi="Calibri" w:cs="Calibri"/>
                <w:color w:val="000000"/>
                <w:sz w:val="16"/>
                <w:szCs w:val="16"/>
              </w:rPr>
            </w:pPr>
            <w:r w:rsidRPr="00A27BED">
              <w:rPr>
                <w:rFonts w:ascii="Calibri" w:hAnsi="Calibri" w:cs="Calibri"/>
                <w:color w:val="000000"/>
                <w:sz w:val="16"/>
                <w:szCs w:val="16"/>
              </w:rPr>
              <w:t>0</w:t>
            </w:r>
          </w:p>
        </w:tc>
        <w:tc>
          <w:tcPr>
            <w:tcW w:w="900" w:type="dxa"/>
            <w:tcBorders>
              <w:top w:val="nil"/>
              <w:left w:val="nil"/>
              <w:bottom w:val="dotted" w:sz="4" w:space="0" w:color="000000"/>
              <w:right w:val="single" w:sz="8" w:space="0" w:color="000000"/>
            </w:tcBorders>
            <w:shd w:val="clear" w:color="auto" w:fill="auto"/>
            <w:vAlign w:val="center"/>
            <w:hideMark/>
          </w:tcPr>
          <w:p w:rsidR="00A27BED" w:rsidRPr="00A27BED" w:rsidP="00A27BED" w14:paraId="7123F853" w14:textId="77777777">
            <w:pPr>
              <w:widowControl/>
              <w:jc w:val="center"/>
              <w:rPr>
                <w:rFonts w:ascii="Calibri" w:hAnsi="Calibri" w:cs="Calibri"/>
                <w:color w:val="000000"/>
                <w:sz w:val="16"/>
                <w:szCs w:val="16"/>
              </w:rPr>
            </w:pPr>
            <w:r w:rsidRPr="00A27BED">
              <w:rPr>
                <w:rFonts w:ascii="Calibri" w:hAnsi="Calibri" w:cs="Calibri"/>
                <w:color w:val="000000"/>
                <w:sz w:val="16"/>
                <w:szCs w:val="16"/>
              </w:rPr>
              <w:t>7</w:t>
            </w:r>
          </w:p>
        </w:tc>
        <w:tc>
          <w:tcPr>
            <w:tcW w:w="990" w:type="dxa"/>
            <w:tcBorders>
              <w:top w:val="nil"/>
              <w:left w:val="nil"/>
              <w:bottom w:val="dotted" w:sz="4" w:space="0" w:color="000000"/>
              <w:right w:val="dotted" w:sz="4" w:space="0" w:color="000000"/>
            </w:tcBorders>
            <w:shd w:val="clear" w:color="auto" w:fill="auto"/>
            <w:vAlign w:val="center"/>
            <w:hideMark/>
          </w:tcPr>
          <w:p w:rsidR="00A27BED" w:rsidRPr="00A27BED" w:rsidP="00A27BED" w14:paraId="0BFA6DD5" w14:textId="77777777">
            <w:pPr>
              <w:widowControl/>
              <w:jc w:val="center"/>
              <w:rPr>
                <w:rFonts w:ascii="Calibri" w:hAnsi="Calibri" w:cs="Calibri"/>
                <w:color w:val="000000"/>
                <w:sz w:val="16"/>
                <w:szCs w:val="16"/>
              </w:rPr>
            </w:pPr>
            <w:r w:rsidRPr="00A27BED">
              <w:rPr>
                <w:rFonts w:ascii="Calibri" w:hAnsi="Calibri" w:cs="Calibri"/>
                <w:color w:val="000000"/>
                <w:sz w:val="16"/>
                <w:szCs w:val="16"/>
              </w:rPr>
              <w:t>0</w:t>
            </w:r>
          </w:p>
        </w:tc>
        <w:tc>
          <w:tcPr>
            <w:tcW w:w="1080" w:type="dxa"/>
            <w:tcBorders>
              <w:top w:val="nil"/>
              <w:left w:val="nil"/>
              <w:bottom w:val="dotted" w:sz="4" w:space="0" w:color="000000"/>
              <w:right w:val="single" w:sz="8" w:space="0" w:color="000000"/>
            </w:tcBorders>
            <w:shd w:val="clear" w:color="auto" w:fill="auto"/>
            <w:vAlign w:val="center"/>
            <w:hideMark/>
          </w:tcPr>
          <w:p w:rsidR="00A27BED" w:rsidRPr="00A27BED" w:rsidP="00A27BED" w14:paraId="21544A97" w14:textId="77777777">
            <w:pPr>
              <w:widowControl/>
              <w:jc w:val="center"/>
              <w:rPr>
                <w:rFonts w:ascii="Calibri" w:hAnsi="Calibri" w:cs="Calibri"/>
                <w:color w:val="000000"/>
                <w:sz w:val="16"/>
                <w:szCs w:val="16"/>
              </w:rPr>
            </w:pPr>
            <w:r w:rsidRPr="00A27BED">
              <w:rPr>
                <w:rFonts w:ascii="Calibri" w:hAnsi="Calibri" w:cs="Calibri"/>
                <w:color w:val="000000"/>
                <w:sz w:val="16"/>
                <w:szCs w:val="16"/>
              </w:rPr>
              <w:t>42</w:t>
            </w:r>
          </w:p>
        </w:tc>
        <w:tc>
          <w:tcPr>
            <w:tcW w:w="1080" w:type="dxa"/>
            <w:tcBorders>
              <w:top w:val="nil"/>
              <w:left w:val="nil"/>
              <w:bottom w:val="dotted" w:sz="4" w:space="0" w:color="000000"/>
              <w:right w:val="dotted" w:sz="4" w:space="0" w:color="000000"/>
            </w:tcBorders>
            <w:shd w:val="clear" w:color="auto" w:fill="auto"/>
            <w:vAlign w:val="center"/>
            <w:hideMark/>
          </w:tcPr>
          <w:p w:rsidR="00A27BED" w:rsidRPr="00A27BED" w:rsidP="00A27BED" w14:paraId="39BE3DE6" w14:textId="77777777">
            <w:pPr>
              <w:widowControl/>
              <w:jc w:val="center"/>
              <w:rPr>
                <w:rFonts w:ascii="Calibri" w:hAnsi="Calibri" w:cs="Calibri"/>
                <w:color w:val="000000"/>
                <w:sz w:val="16"/>
                <w:szCs w:val="16"/>
              </w:rPr>
            </w:pPr>
            <w:r w:rsidRPr="00A27BED">
              <w:rPr>
                <w:rFonts w:ascii="Calibri" w:hAnsi="Calibri" w:cs="Calibri"/>
                <w:color w:val="000000"/>
                <w:sz w:val="16"/>
                <w:szCs w:val="16"/>
              </w:rPr>
              <w:t>0</w:t>
            </w:r>
          </w:p>
        </w:tc>
        <w:tc>
          <w:tcPr>
            <w:tcW w:w="990" w:type="dxa"/>
            <w:tcBorders>
              <w:top w:val="nil"/>
              <w:left w:val="nil"/>
              <w:bottom w:val="dotted" w:sz="4" w:space="0" w:color="000000"/>
              <w:right w:val="single" w:sz="8" w:space="0" w:color="000000"/>
            </w:tcBorders>
            <w:shd w:val="clear" w:color="auto" w:fill="auto"/>
            <w:vAlign w:val="center"/>
            <w:hideMark/>
          </w:tcPr>
          <w:p w:rsidR="00A27BED" w:rsidRPr="00A27BED" w:rsidP="00A27BED" w14:paraId="52597F7D" w14:textId="77777777">
            <w:pPr>
              <w:widowControl/>
              <w:jc w:val="center"/>
              <w:rPr>
                <w:rFonts w:ascii="Calibri" w:hAnsi="Calibri" w:cs="Calibri"/>
                <w:color w:val="000000"/>
                <w:sz w:val="16"/>
                <w:szCs w:val="16"/>
              </w:rPr>
            </w:pPr>
            <w:r w:rsidRPr="00A27BED">
              <w:rPr>
                <w:rFonts w:ascii="Calibri" w:hAnsi="Calibri" w:cs="Calibri"/>
                <w:color w:val="000000"/>
                <w:sz w:val="16"/>
                <w:szCs w:val="16"/>
              </w:rPr>
              <w:t>126</w:t>
            </w:r>
          </w:p>
        </w:tc>
        <w:tc>
          <w:tcPr>
            <w:tcW w:w="2610" w:type="dxa"/>
            <w:tcBorders>
              <w:top w:val="nil"/>
              <w:left w:val="nil"/>
              <w:bottom w:val="dotted" w:sz="4" w:space="0" w:color="000000"/>
              <w:right w:val="single" w:sz="8" w:space="0" w:color="000000"/>
            </w:tcBorders>
            <w:shd w:val="clear" w:color="auto" w:fill="auto"/>
            <w:vAlign w:val="center"/>
            <w:hideMark/>
          </w:tcPr>
          <w:p w:rsidR="00A27BED" w:rsidRPr="00990874" w:rsidP="00A27BED" w14:paraId="0FD64BA2" w14:textId="77777777">
            <w:pPr>
              <w:widowControl/>
              <w:rPr>
                <w:rFonts w:asciiTheme="minorHAnsi" w:hAnsiTheme="minorHAnsi" w:cstheme="minorHAnsi"/>
                <w:color w:val="000000"/>
                <w:sz w:val="18"/>
                <w:szCs w:val="18"/>
              </w:rPr>
            </w:pPr>
            <w:r w:rsidRPr="00A27BED">
              <w:rPr>
                <w:rFonts w:asciiTheme="minorHAnsi" w:hAnsiTheme="minorHAnsi" w:cstheme="minorHAnsi"/>
                <w:color w:val="000000"/>
                <w:sz w:val="18"/>
                <w:szCs w:val="18"/>
              </w:rPr>
              <w:t>Removed from collection as no longer applicable.</w:t>
            </w:r>
          </w:p>
          <w:p w:rsidR="00990874" w:rsidRPr="00A27BED" w:rsidP="00A27BED" w14:paraId="4E7CBD92" w14:textId="0C89694E">
            <w:pPr>
              <w:widowControl/>
              <w:rPr>
                <w:rFonts w:asciiTheme="minorHAnsi" w:hAnsiTheme="minorHAnsi" w:cstheme="minorHAnsi"/>
                <w:color w:val="000000"/>
                <w:sz w:val="18"/>
                <w:szCs w:val="18"/>
              </w:rPr>
            </w:pPr>
            <w:r w:rsidRPr="00990874">
              <w:rPr>
                <w:rFonts w:asciiTheme="minorHAnsi" w:hAnsiTheme="minorHAnsi" w:cstheme="minorHAnsi"/>
                <w:b/>
                <w:bCs/>
                <w:color w:val="000000"/>
                <w:sz w:val="18"/>
                <w:szCs w:val="18"/>
              </w:rPr>
              <w:t xml:space="preserve">The Ruth D. Gates application process now requires "evidence of support for the project </w:t>
            </w:r>
            <w:r w:rsidRPr="00990874">
              <w:rPr>
                <w:rFonts w:asciiTheme="minorHAnsi" w:hAnsiTheme="minorHAnsi" w:cstheme="minorHAnsi"/>
                <w:b/>
                <w:bCs/>
                <w:color w:val="000000"/>
                <w:sz w:val="18"/>
                <w:szCs w:val="18"/>
              </w:rPr>
              <w:t>by appropriate</w:t>
            </w:r>
            <w:r w:rsidRPr="00990874">
              <w:rPr>
                <w:rFonts w:asciiTheme="minorHAnsi" w:hAnsiTheme="minorHAnsi" w:cstheme="minorHAnsi"/>
                <w:b/>
                <w:bCs/>
                <w:color w:val="000000"/>
                <w:sz w:val="18"/>
                <w:szCs w:val="18"/>
              </w:rPr>
              <w:t xml:space="preserve"> representatives of States...in which the project will be conducted" on the front end. </w:t>
            </w:r>
          </w:p>
        </w:tc>
      </w:tr>
      <w:tr w14:paraId="75F30C43" w14:textId="77777777" w:rsidTr="00E1278E">
        <w:tblPrEx>
          <w:tblW w:w="10610" w:type="dxa"/>
          <w:tblLook w:val="04A0"/>
        </w:tblPrEx>
        <w:trPr>
          <w:trHeight w:val="465"/>
        </w:trPr>
        <w:tc>
          <w:tcPr>
            <w:tcW w:w="1980" w:type="dxa"/>
            <w:tcBorders>
              <w:top w:val="nil"/>
              <w:left w:val="single" w:sz="8" w:space="0" w:color="000000"/>
              <w:bottom w:val="single" w:sz="8" w:space="0" w:color="000000"/>
              <w:right w:val="single" w:sz="8" w:space="0" w:color="000000"/>
            </w:tcBorders>
            <w:shd w:val="clear" w:color="auto" w:fill="auto"/>
            <w:vAlign w:val="center"/>
            <w:hideMark/>
          </w:tcPr>
          <w:p w:rsidR="00E1278E" w:rsidRPr="00A27BED" w:rsidP="00A27BED" w14:paraId="570FD55C" w14:textId="77777777">
            <w:pPr>
              <w:widowControl/>
              <w:rPr>
                <w:rFonts w:ascii="Calibri" w:hAnsi="Calibri" w:cs="Calibri"/>
                <w:color w:val="000000"/>
                <w:sz w:val="16"/>
                <w:szCs w:val="16"/>
              </w:rPr>
            </w:pPr>
            <w:r w:rsidRPr="00A27BED">
              <w:rPr>
                <w:rFonts w:ascii="Calibri" w:hAnsi="Calibri" w:cs="Calibri"/>
                <w:color w:val="000000"/>
                <w:sz w:val="16"/>
                <w:szCs w:val="16"/>
              </w:rPr>
              <w:t>CRCP Annual Non-Federal Expenditures Report</w:t>
            </w:r>
          </w:p>
        </w:tc>
        <w:tc>
          <w:tcPr>
            <w:tcW w:w="980" w:type="dxa"/>
            <w:tcBorders>
              <w:top w:val="nil"/>
              <w:left w:val="nil"/>
              <w:bottom w:val="dotted" w:sz="4" w:space="0" w:color="000000"/>
              <w:right w:val="dotted" w:sz="4" w:space="0" w:color="000000"/>
            </w:tcBorders>
            <w:shd w:val="clear" w:color="auto" w:fill="auto"/>
            <w:vAlign w:val="center"/>
            <w:hideMark/>
          </w:tcPr>
          <w:p w:rsidR="00E1278E" w:rsidRPr="00A27BED" w:rsidP="00A27BED" w14:paraId="15791340" w14:textId="77777777">
            <w:pPr>
              <w:widowControl/>
              <w:jc w:val="center"/>
              <w:rPr>
                <w:rFonts w:ascii="Calibri" w:hAnsi="Calibri" w:cs="Calibri"/>
                <w:color w:val="000000"/>
                <w:sz w:val="16"/>
                <w:szCs w:val="16"/>
              </w:rPr>
            </w:pPr>
            <w:r w:rsidRPr="00A27BED">
              <w:rPr>
                <w:rFonts w:ascii="Calibri" w:hAnsi="Calibri" w:cs="Calibri"/>
                <w:color w:val="000000"/>
                <w:sz w:val="16"/>
                <w:szCs w:val="16"/>
              </w:rPr>
              <w:t>7</w:t>
            </w:r>
          </w:p>
        </w:tc>
        <w:tc>
          <w:tcPr>
            <w:tcW w:w="900" w:type="dxa"/>
            <w:tcBorders>
              <w:top w:val="nil"/>
              <w:left w:val="nil"/>
              <w:bottom w:val="dotted" w:sz="4" w:space="0" w:color="000000"/>
              <w:right w:val="single" w:sz="8" w:space="0" w:color="000000"/>
            </w:tcBorders>
            <w:shd w:val="clear" w:color="auto" w:fill="auto"/>
            <w:vAlign w:val="center"/>
            <w:hideMark/>
          </w:tcPr>
          <w:p w:rsidR="00E1278E" w:rsidRPr="00A27BED" w:rsidP="00A27BED" w14:paraId="60E43625" w14:textId="77777777">
            <w:pPr>
              <w:widowControl/>
              <w:jc w:val="center"/>
              <w:rPr>
                <w:rFonts w:ascii="Calibri" w:hAnsi="Calibri" w:cs="Calibri"/>
                <w:color w:val="000000"/>
                <w:sz w:val="16"/>
                <w:szCs w:val="16"/>
              </w:rPr>
            </w:pPr>
            <w:r w:rsidRPr="00A27BED">
              <w:rPr>
                <w:rFonts w:ascii="Calibri" w:hAnsi="Calibri" w:cs="Calibri"/>
                <w:color w:val="000000"/>
                <w:sz w:val="16"/>
                <w:szCs w:val="16"/>
              </w:rPr>
              <w:t>0</w:t>
            </w:r>
          </w:p>
        </w:tc>
        <w:tc>
          <w:tcPr>
            <w:tcW w:w="990" w:type="dxa"/>
            <w:tcBorders>
              <w:top w:val="nil"/>
              <w:left w:val="nil"/>
              <w:bottom w:val="dotted" w:sz="4" w:space="0" w:color="000000"/>
              <w:right w:val="dotted" w:sz="4" w:space="0" w:color="000000"/>
            </w:tcBorders>
            <w:shd w:val="clear" w:color="auto" w:fill="auto"/>
            <w:vAlign w:val="center"/>
            <w:hideMark/>
          </w:tcPr>
          <w:p w:rsidR="00E1278E" w:rsidRPr="00A27BED" w:rsidP="00A27BED" w14:paraId="2DFE169D" w14:textId="77777777">
            <w:pPr>
              <w:widowControl/>
              <w:jc w:val="center"/>
              <w:rPr>
                <w:rFonts w:ascii="Calibri" w:hAnsi="Calibri" w:cs="Calibri"/>
                <w:color w:val="000000"/>
                <w:sz w:val="16"/>
                <w:szCs w:val="16"/>
              </w:rPr>
            </w:pPr>
            <w:r w:rsidRPr="00A27BED">
              <w:rPr>
                <w:rFonts w:ascii="Calibri" w:hAnsi="Calibri" w:cs="Calibri"/>
                <w:color w:val="000000"/>
                <w:sz w:val="16"/>
                <w:szCs w:val="16"/>
              </w:rPr>
              <w:t>7</w:t>
            </w:r>
          </w:p>
        </w:tc>
        <w:tc>
          <w:tcPr>
            <w:tcW w:w="1080" w:type="dxa"/>
            <w:tcBorders>
              <w:top w:val="nil"/>
              <w:left w:val="nil"/>
              <w:bottom w:val="dotted" w:sz="4" w:space="0" w:color="000000"/>
              <w:right w:val="single" w:sz="8" w:space="0" w:color="000000"/>
            </w:tcBorders>
            <w:shd w:val="clear" w:color="auto" w:fill="auto"/>
            <w:vAlign w:val="center"/>
            <w:hideMark/>
          </w:tcPr>
          <w:p w:rsidR="00E1278E" w:rsidRPr="00A27BED" w:rsidP="00A27BED" w14:paraId="07B65177" w14:textId="77777777">
            <w:pPr>
              <w:widowControl/>
              <w:jc w:val="center"/>
              <w:rPr>
                <w:rFonts w:ascii="Calibri" w:hAnsi="Calibri" w:cs="Calibri"/>
                <w:color w:val="000000"/>
                <w:sz w:val="16"/>
                <w:szCs w:val="16"/>
              </w:rPr>
            </w:pPr>
            <w:r w:rsidRPr="00A27BED">
              <w:rPr>
                <w:rFonts w:ascii="Calibri" w:hAnsi="Calibri" w:cs="Calibri"/>
                <w:color w:val="000000"/>
                <w:sz w:val="16"/>
                <w:szCs w:val="16"/>
              </w:rPr>
              <w:t>0</w:t>
            </w:r>
          </w:p>
        </w:tc>
        <w:tc>
          <w:tcPr>
            <w:tcW w:w="1080" w:type="dxa"/>
            <w:tcBorders>
              <w:top w:val="nil"/>
              <w:left w:val="nil"/>
              <w:bottom w:val="dotted" w:sz="4" w:space="0" w:color="000000"/>
              <w:right w:val="dotted" w:sz="4" w:space="0" w:color="000000"/>
            </w:tcBorders>
            <w:shd w:val="clear" w:color="auto" w:fill="auto"/>
            <w:vAlign w:val="center"/>
            <w:hideMark/>
          </w:tcPr>
          <w:p w:rsidR="00E1278E" w:rsidRPr="00A27BED" w:rsidP="00A27BED" w14:paraId="78600031" w14:textId="77777777">
            <w:pPr>
              <w:widowControl/>
              <w:jc w:val="center"/>
              <w:rPr>
                <w:rFonts w:ascii="Calibri" w:hAnsi="Calibri" w:cs="Calibri"/>
                <w:color w:val="000000"/>
                <w:sz w:val="16"/>
                <w:szCs w:val="16"/>
              </w:rPr>
            </w:pPr>
            <w:r w:rsidRPr="00A27BED">
              <w:rPr>
                <w:rFonts w:ascii="Calibri" w:hAnsi="Calibri" w:cs="Calibri"/>
                <w:color w:val="000000"/>
                <w:sz w:val="16"/>
                <w:szCs w:val="16"/>
              </w:rPr>
              <w:t>59.5</w:t>
            </w:r>
          </w:p>
        </w:tc>
        <w:tc>
          <w:tcPr>
            <w:tcW w:w="990" w:type="dxa"/>
            <w:tcBorders>
              <w:top w:val="nil"/>
              <w:left w:val="nil"/>
              <w:bottom w:val="dotted" w:sz="4" w:space="0" w:color="000000"/>
              <w:right w:val="single" w:sz="8" w:space="0" w:color="000000"/>
            </w:tcBorders>
            <w:shd w:val="clear" w:color="auto" w:fill="auto"/>
            <w:vAlign w:val="center"/>
            <w:hideMark/>
          </w:tcPr>
          <w:p w:rsidR="00E1278E" w:rsidRPr="00A27BED" w:rsidP="00A27BED" w14:paraId="15F46053" w14:textId="77777777">
            <w:pPr>
              <w:widowControl/>
              <w:jc w:val="center"/>
              <w:rPr>
                <w:rFonts w:ascii="Calibri" w:hAnsi="Calibri" w:cs="Calibri"/>
                <w:color w:val="000000"/>
                <w:sz w:val="16"/>
                <w:szCs w:val="16"/>
              </w:rPr>
            </w:pPr>
            <w:r w:rsidRPr="00A27BED">
              <w:rPr>
                <w:rFonts w:ascii="Calibri" w:hAnsi="Calibri" w:cs="Calibri"/>
                <w:color w:val="000000"/>
                <w:sz w:val="16"/>
                <w:szCs w:val="16"/>
              </w:rPr>
              <w:t>0</w:t>
            </w:r>
          </w:p>
        </w:tc>
        <w:tc>
          <w:tcPr>
            <w:tcW w:w="2610" w:type="dxa"/>
            <w:tcBorders>
              <w:top w:val="nil"/>
              <w:left w:val="single" w:sz="8" w:space="0" w:color="000000"/>
              <w:bottom w:val="dotted" w:sz="4" w:space="0" w:color="000000"/>
              <w:right w:val="single" w:sz="8" w:space="0" w:color="000000"/>
            </w:tcBorders>
            <w:shd w:val="clear" w:color="auto" w:fill="auto"/>
            <w:vAlign w:val="center"/>
            <w:hideMark/>
          </w:tcPr>
          <w:p w:rsidR="00E1278E" w:rsidRPr="00A27BED" w:rsidP="00E1278E" w14:paraId="5B2001D4" w14:textId="77777777">
            <w:pPr>
              <w:widowControl/>
              <w:rPr>
                <w:rFonts w:ascii="Calibri" w:hAnsi="Calibri" w:cs="Calibri"/>
                <w:color w:val="000000"/>
                <w:sz w:val="16"/>
                <w:szCs w:val="16"/>
              </w:rPr>
            </w:pPr>
            <w:r w:rsidRPr="00A27BED">
              <w:rPr>
                <w:rFonts w:ascii="Calibri" w:hAnsi="Calibri" w:cs="Calibri"/>
                <w:color w:val="000000"/>
                <w:sz w:val="16"/>
                <w:szCs w:val="16"/>
              </w:rPr>
              <w:t>New requirements pursuant to change in law.</w:t>
            </w:r>
          </w:p>
        </w:tc>
      </w:tr>
      <w:tr w14:paraId="7D0DEFA5" w14:textId="77777777" w:rsidTr="00E1278E">
        <w:tblPrEx>
          <w:tblW w:w="10610" w:type="dxa"/>
          <w:tblLook w:val="04A0"/>
        </w:tblPrEx>
        <w:trPr>
          <w:trHeight w:val="465"/>
        </w:trPr>
        <w:tc>
          <w:tcPr>
            <w:tcW w:w="1980" w:type="dxa"/>
            <w:tcBorders>
              <w:top w:val="nil"/>
              <w:left w:val="single" w:sz="8" w:space="0" w:color="000000"/>
              <w:bottom w:val="single" w:sz="8" w:space="0" w:color="000000"/>
              <w:right w:val="single" w:sz="8" w:space="0" w:color="000000"/>
            </w:tcBorders>
            <w:shd w:val="clear" w:color="auto" w:fill="auto"/>
            <w:vAlign w:val="center"/>
            <w:hideMark/>
          </w:tcPr>
          <w:p w:rsidR="00E1278E" w:rsidRPr="00A27BED" w:rsidP="00E1278E" w14:paraId="082A55E9" w14:textId="77777777">
            <w:pPr>
              <w:widowControl/>
              <w:rPr>
                <w:rFonts w:ascii="Calibri" w:hAnsi="Calibri" w:cs="Calibri"/>
                <w:color w:val="000000"/>
                <w:sz w:val="16"/>
                <w:szCs w:val="16"/>
              </w:rPr>
            </w:pPr>
            <w:r w:rsidRPr="00A27BED">
              <w:rPr>
                <w:rFonts w:ascii="Calibri" w:hAnsi="Calibri" w:cs="Calibri"/>
                <w:color w:val="000000"/>
                <w:sz w:val="16"/>
                <w:szCs w:val="16"/>
              </w:rPr>
              <w:t>CRCP Ruth D. Gates Program Proposal Pkg</w:t>
            </w:r>
          </w:p>
        </w:tc>
        <w:tc>
          <w:tcPr>
            <w:tcW w:w="980" w:type="dxa"/>
            <w:tcBorders>
              <w:top w:val="nil"/>
              <w:left w:val="nil"/>
              <w:bottom w:val="dotted" w:sz="4" w:space="0" w:color="000000"/>
              <w:right w:val="dotted" w:sz="4" w:space="0" w:color="000000"/>
            </w:tcBorders>
            <w:shd w:val="clear" w:color="auto" w:fill="auto"/>
            <w:vAlign w:val="center"/>
            <w:hideMark/>
          </w:tcPr>
          <w:p w:rsidR="00E1278E" w:rsidRPr="00A27BED" w:rsidP="00E1278E" w14:paraId="5B2E90F4" w14:textId="77777777">
            <w:pPr>
              <w:widowControl/>
              <w:jc w:val="center"/>
              <w:rPr>
                <w:rFonts w:ascii="Calibri" w:hAnsi="Calibri" w:cs="Calibri"/>
                <w:color w:val="000000"/>
                <w:sz w:val="16"/>
                <w:szCs w:val="16"/>
              </w:rPr>
            </w:pPr>
            <w:r w:rsidRPr="00A27BED">
              <w:rPr>
                <w:rFonts w:ascii="Calibri" w:hAnsi="Calibri" w:cs="Calibri"/>
                <w:color w:val="000000"/>
                <w:sz w:val="16"/>
                <w:szCs w:val="16"/>
              </w:rPr>
              <w:t>15</w:t>
            </w:r>
          </w:p>
        </w:tc>
        <w:tc>
          <w:tcPr>
            <w:tcW w:w="900" w:type="dxa"/>
            <w:tcBorders>
              <w:top w:val="nil"/>
              <w:left w:val="nil"/>
              <w:bottom w:val="dotted" w:sz="4" w:space="0" w:color="000000"/>
              <w:right w:val="single" w:sz="8" w:space="0" w:color="000000"/>
            </w:tcBorders>
            <w:shd w:val="clear" w:color="auto" w:fill="auto"/>
            <w:vAlign w:val="center"/>
            <w:hideMark/>
          </w:tcPr>
          <w:p w:rsidR="00E1278E" w:rsidRPr="00A27BED" w:rsidP="00E1278E" w14:paraId="247BBB28" w14:textId="77777777">
            <w:pPr>
              <w:widowControl/>
              <w:jc w:val="center"/>
              <w:rPr>
                <w:rFonts w:ascii="Calibri" w:hAnsi="Calibri" w:cs="Calibri"/>
                <w:color w:val="000000"/>
                <w:sz w:val="16"/>
                <w:szCs w:val="16"/>
              </w:rPr>
            </w:pPr>
            <w:r w:rsidRPr="00A27BED">
              <w:rPr>
                <w:rFonts w:ascii="Calibri" w:hAnsi="Calibri" w:cs="Calibri"/>
                <w:color w:val="000000"/>
                <w:sz w:val="16"/>
                <w:szCs w:val="16"/>
              </w:rPr>
              <w:t>0</w:t>
            </w:r>
          </w:p>
        </w:tc>
        <w:tc>
          <w:tcPr>
            <w:tcW w:w="990" w:type="dxa"/>
            <w:tcBorders>
              <w:top w:val="nil"/>
              <w:left w:val="nil"/>
              <w:bottom w:val="dotted" w:sz="4" w:space="0" w:color="000000"/>
              <w:right w:val="dotted" w:sz="4" w:space="0" w:color="000000"/>
            </w:tcBorders>
            <w:shd w:val="clear" w:color="auto" w:fill="auto"/>
            <w:vAlign w:val="center"/>
            <w:hideMark/>
          </w:tcPr>
          <w:p w:rsidR="00E1278E" w:rsidRPr="00A27BED" w:rsidP="00E1278E" w14:paraId="39C7B131" w14:textId="77777777">
            <w:pPr>
              <w:widowControl/>
              <w:jc w:val="center"/>
              <w:rPr>
                <w:rFonts w:ascii="Calibri" w:hAnsi="Calibri" w:cs="Calibri"/>
                <w:color w:val="000000"/>
                <w:sz w:val="16"/>
                <w:szCs w:val="16"/>
              </w:rPr>
            </w:pPr>
            <w:r w:rsidRPr="00A27BED">
              <w:rPr>
                <w:rFonts w:ascii="Calibri" w:hAnsi="Calibri" w:cs="Calibri"/>
                <w:color w:val="000000"/>
                <w:sz w:val="16"/>
                <w:szCs w:val="16"/>
              </w:rPr>
              <w:t>15</w:t>
            </w:r>
          </w:p>
        </w:tc>
        <w:tc>
          <w:tcPr>
            <w:tcW w:w="1080" w:type="dxa"/>
            <w:tcBorders>
              <w:top w:val="nil"/>
              <w:left w:val="nil"/>
              <w:bottom w:val="dotted" w:sz="4" w:space="0" w:color="000000"/>
              <w:right w:val="single" w:sz="8" w:space="0" w:color="000000"/>
            </w:tcBorders>
            <w:shd w:val="clear" w:color="auto" w:fill="auto"/>
            <w:vAlign w:val="center"/>
            <w:hideMark/>
          </w:tcPr>
          <w:p w:rsidR="00E1278E" w:rsidRPr="00A27BED" w:rsidP="00E1278E" w14:paraId="3CE57F77" w14:textId="77777777">
            <w:pPr>
              <w:widowControl/>
              <w:jc w:val="center"/>
              <w:rPr>
                <w:rFonts w:ascii="Calibri" w:hAnsi="Calibri" w:cs="Calibri"/>
                <w:color w:val="000000"/>
                <w:sz w:val="16"/>
                <w:szCs w:val="16"/>
              </w:rPr>
            </w:pPr>
            <w:r w:rsidRPr="00A27BED">
              <w:rPr>
                <w:rFonts w:ascii="Calibri" w:hAnsi="Calibri" w:cs="Calibri"/>
                <w:color w:val="000000"/>
                <w:sz w:val="16"/>
                <w:szCs w:val="16"/>
              </w:rPr>
              <w:t>0</w:t>
            </w:r>
          </w:p>
        </w:tc>
        <w:tc>
          <w:tcPr>
            <w:tcW w:w="1080" w:type="dxa"/>
            <w:tcBorders>
              <w:top w:val="nil"/>
              <w:left w:val="nil"/>
              <w:bottom w:val="dotted" w:sz="4" w:space="0" w:color="000000"/>
              <w:right w:val="dotted" w:sz="4" w:space="0" w:color="000000"/>
            </w:tcBorders>
            <w:shd w:val="clear" w:color="auto" w:fill="auto"/>
            <w:vAlign w:val="center"/>
            <w:hideMark/>
          </w:tcPr>
          <w:p w:rsidR="00E1278E" w:rsidRPr="00A27BED" w:rsidP="00E1278E" w14:paraId="4B57C9D4" w14:textId="77777777">
            <w:pPr>
              <w:widowControl/>
              <w:jc w:val="center"/>
              <w:rPr>
                <w:rFonts w:ascii="Calibri" w:hAnsi="Calibri" w:cs="Calibri"/>
                <w:color w:val="000000"/>
                <w:sz w:val="16"/>
                <w:szCs w:val="16"/>
              </w:rPr>
            </w:pPr>
            <w:r w:rsidRPr="00A27BED">
              <w:rPr>
                <w:rFonts w:ascii="Calibri" w:hAnsi="Calibri" w:cs="Calibri"/>
                <w:color w:val="000000"/>
                <w:sz w:val="16"/>
                <w:szCs w:val="16"/>
              </w:rPr>
              <w:t>697.5</w:t>
            </w:r>
          </w:p>
        </w:tc>
        <w:tc>
          <w:tcPr>
            <w:tcW w:w="990" w:type="dxa"/>
            <w:tcBorders>
              <w:top w:val="nil"/>
              <w:left w:val="nil"/>
              <w:bottom w:val="dotted" w:sz="4" w:space="0" w:color="000000"/>
              <w:right w:val="single" w:sz="8" w:space="0" w:color="000000"/>
            </w:tcBorders>
            <w:shd w:val="clear" w:color="auto" w:fill="auto"/>
            <w:vAlign w:val="center"/>
            <w:hideMark/>
          </w:tcPr>
          <w:p w:rsidR="00E1278E" w:rsidRPr="00A27BED" w:rsidP="00E1278E" w14:paraId="01E69C71" w14:textId="77777777">
            <w:pPr>
              <w:widowControl/>
              <w:jc w:val="center"/>
              <w:rPr>
                <w:rFonts w:ascii="Calibri" w:hAnsi="Calibri" w:cs="Calibri"/>
                <w:color w:val="000000"/>
                <w:sz w:val="16"/>
                <w:szCs w:val="16"/>
              </w:rPr>
            </w:pPr>
            <w:r w:rsidRPr="00A27BED">
              <w:rPr>
                <w:rFonts w:ascii="Calibri" w:hAnsi="Calibri" w:cs="Calibri"/>
                <w:color w:val="000000"/>
                <w:sz w:val="16"/>
                <w:szCs w:val="16"/>
              </w:rPr>
              <w:t>0</w:t>
            </w:r>
          </w:p>
        </w:tc>
        <w:tc>
          <w:tcPr>
            <w:tcW w:w="2610" w:type="dxa"/>
            <w:tcBorders>
              <w:top w:val="dotted" w:sz="4" w:space="0" w:color="000000"/>
              <w:left w:val="single" w:sz="8" w:space="0" w:color="000000"/>
              <w:bottom w:val="dotted" w:sz="4" w:space="0" w:color="000000"/>
              <w:right w:val="single" w:sz="8" w:space="0" w:color="000000"/>
            </w:tcBorders>
            <w:shd w:val="clear" w:color="auto" w:fill="auto"/>
            <w:vAlign w:val="center"/>
            <w:hideMark/>
          </w:tcPr>
          <w:p w:rsidR="00E1278E" w:rsidRPr="00A27BED" w:rsidP="00E1278E" w14:paraId="070C470A" w14:textId="569C6478">
            <w:pPr>
              <w:widowControl/>
              <w:rPr>
                <w:rFonts w:ascii="Calibri" w:hAnsi="Calibri" w:cs="Calibri"/>
                <w:color w:val="000000"/>
                <w:sz w:val="16"/>
                <w:szCs w:val="16"/>
              </w:rPr>
            </w:pPr>
            <w:r w:rsidRPr="00A27BED">
              <w:rPr>
                <w:rFonts w:ascii="Calibri" w:hAnsi="Calibri" w:cs="Calibri"/>
                <w:color w:val="000000"/>
                <w:sz w:val="16"/>
                <w:szCs w:val="16"/>
              </w:rPr>
              <w:t>New requirements pursuant to change in law.</w:t>
            </w:r>
          </w:p>
        </w:tc>
      </w:tr>
      <w:tr w14:paraId="7EA850CC" w14:textId="77777777" w:rsidTr="00E1278E">
        <w:tblPrEx>
          <w:tblW w:w="10610" w:type="dxa"/>
          <w:tblLook w:val="04A0"/>
        </w:tblPrEx>
        <w:trPr>
          <w:trHeight w:val="465"/>
        </w:trPr>
        <w:tc>
          <w:tcPr>
            <w:tcW w:w="1980" w:type="dxa"/>
            <w:tcBorders>
              <w:top w:val="nil"/>
              <w:left w:val="single" w:sz="8" w:space="0" w:color="000000"/>
              <w:bottom w:val="single" w:sz="8" w:space="0" w:color="000000"/>
              <w:right w:val="single" w:sz="8" w:space="0" w:color="000000"/>
            </w:tcBorders>
            <w:shd w:val="clear" w:color="auto" w:fill="auto"/>
            <w:vAlign w:val="center"/>
            <w:hideMark/>
          </w:tcPr>
          <w:p w:rsidR="00E1278E" w:rsidRPr="00A27BED" w:rsidP="00A27BED" w14:paraId="1AAF99CD" w14:textId="77777777">
            <w:pPr>
              <w:widowControl/>
              <w:rPr>
                <w:rFonts w:ascii="Calibri" w:hAnsi="Calibri" w:cs="Calibri"/>
                <w:color w:val="000000"/>
                <w:sz w:val="16"/>
                <w:szCs w:val="16"/>
              </w:rPr>
            </w:pPr>
            <w:r w:rsidRPr="00A27BED">
              <w:rPr>
                <w:rFonts w:ascii="Calibri" w:hAnsi="Calibri" w:cs="Calibri"/>
                <w:color w:val="000000"/>
                <w:sz w:val="16"/>
                <w:szCs w:val="16"/>
              </w:rPr>
              <w:t>CRCP Performance Progress Report</w:t>
            </w:r>
          </w:p>
        </w:tc>
        <w:tc>
          <w:tcPr>
            <w:tcW w:w="980" w:type="dxa"/>
            <w:tcBorders>
              <w:top w:val="nil"/>
              <w:left w:val="nil"/>
              <w:bottom w:val="dotted" w:sz="4" w:space="0" w:color="000000"/>
              <w:right w:val="dotted" w:sz="4" w:space="0" w:color="000000"/>
            </w:tcBorders>
            <w:shd w:val="clear" w:color="auto" w:fill="auto"/>
            <w:vAlign w:val="center"/>
            <w:hideMark/>
          </w:tcPr>
          <w:p w:rsidR="00E1278E" w:rsidRPr="00A27BED" w:rsidP="00A27BED" w14:paraId="5DAC0465" w14:textId="77777777">
            <w:pPr>
              <w:widowControl/>
              <w:jc w:val="center"/>
              <w:rPr>
                <w:rFonts w:ascii="Calibri" w:hAnsi="Calibri" w:cs="Calibri"/>
                <w:color w:val="000000"/>
                <w:sz w:val="16"/>
                <w:szCs w:val="16"/>
              </w:rPr>
            </w:pPr>
            <w:r w:rsidRPr="00A27BED">
              <w:rPr>
                <w:rFonts w:ascii="Calibri" w:hAnsi="Calibri" w:cs="Calibri"/>
                <w:color w:val="000000"/>
                <w:sz w:val="16"/>
                <w:szCs w:val="16"/>
              </w:rPr>
              <w:t>20</w:t>
            </w:r>
          </w:p>
        </w:tc>
        <w:tc>
          <w:tcPr>
            <w:tcW w:w="900" w:type="dxa"/>
            <w:tcBorders>
              <w:top w:val="nil"/>
              <w:left w:val="nil"/>
              <w:bottom w:val="dotted" w:sz="4" w:space="0" w:color="000000"/>
              <w:right w:val="single" w:sz="8" w:space="0" w:color="000000"/>
            </w:tcBorders>
            <w:shd w:val="clear" w:color="auto" w:fill="auto"/>
            <w:vAlign w:val="center"/>
            <w:hideMark/>
          </w:tcPr>
          <w:p w:rsidR="00E1278E" w:rsidRPr="00A27BED" w:rsidP="00A27BED" w14:paraId="2B317600" w14:textId="77777777">
            <w:pPr>
              <w:widowControl/>
              <w:jc w:val="center"/>
              <w:rPr>
                <w:rFonts w:ascii="Calibri" w:hAnsi="Calibri" w:cs="Calibri"/>
                <w:color w:val="000000"/>
                <w:sz w:val="16"/>
                <w:szCs w:val="16"/>
              </w:rPr>
            </w:pPr>
            <w:r w:rsidRPr="00A27BED">
              <w:rPr>
                <w:rFonts w:ascii="Calibri" w:hAnsi="Calibri" w:cs="Calibri"/>
                <w:color w:val="000000"/>
                <w:sz w:val="16"/>
                <w:szCs w:val="16"/>
              </w:rPr>
              <w:t>0</w:t>
            </w:r>
          </w:p>
        </w:tc>
        <w:tc>
          <w:tcPr>
            <w:tcW w:w="990" w:type="dxa"/>
            <w:tcBorders>
              <w:top w:val="nil"/>
              <w:left w:val="nil"/>
              <w:bottom w:val="dotted" w:sz="4" w:space="0" w:color="000000"/>
              <w:right w:val="dotted" w:sz="4" w:space="0" w:color="000000"/>
            </w:tcBorders>
            <w:shd w:val="clear" w:color="auto" w:fill="auto"/>
            <w:vAlign w:val="center"/>
            <w:hideMark/>
          </w:tcPr>
          <w:p w:rsidR="00E1278E" w:rsidRPr="00A27BED" w:rsidP="00A27BED" w14:paraId="2388B9A4" w14:textId="77777777">
            <w:pPr>
              <w:widowControl/>
              <w:jc w:val="center"/>
              <w:rPr>
                <w:rFonts w:ascii="Calibri" w:hAnsi="Calibri" w:cs="Calibri"/>
                <w:color w:val="000000"/>
                <w:sz w:val="16"/>
                <w:szCs w:val="16"/>
              </w:rPr>
            </w:pPr>
            <w:r w:rsidRPr="00A27BED">
              <w:rPr>
                <w:rFonts w:ascii="Calibri" w:hAnsi="Calibri" w:cs="Calibri"/>
                <w:color w:val="000000"/>
                <w:sz w:val="16"/>
                <w:szCs w:val="16"/>
              </w:rPr>
              <w:t>40</w:t>
            </w:r>
          </w:p>
        </w:tc>
        <w:tc>
          <w:tcPr>
            <w:tcW w:w="1080" w:type="dxa"/>
            <w:tcBorders>
              <w:top w:val="nil"/>
              <w:left w:val="nil"/>
              <w:bottom w:val="dotted" w:sz="4" w:space="0" w:color="000000"/>
              <w:right w:val="single" w:sz="8" w:space="0" w:color="000000"/>
            </w:tcBorders>
            <w:shd w:val="clear" w:color="auto" w:fill="auto"/>
            <w:vAlign w:val="center"/>
            <w:hideMark/>
          </w:tcPr>
          <w:p w:rsidR="00E1278E" w:rsidRPr="00A27BED" w:rsidP="00A27BED" w14:paraId="4F4681AC" w14:textId="77777777">
            <w:pPr>
              <w:widowControl/>
              <w:jc w:val="center"/>
              <w:rPr>
                <w:rFonts w:ascii="Calibri" w:hAnsi="Calibri" w:cs="Calibri"/>
                <w:color w:val="000000"/>
                <w:sz w:val="16"/>
                <w:szCs w:val="16"/>
              </w:rPr>
            </w:pPr>
            <w:r w:rsidRPr="00A27BED">
              <w:rPr>
                <w:rFonts w:ascii="Calibri" w:hAnsi="Calibri" w:cs="Calibri"/>
                <w:color w:val="000000"/>
                <w:sz w:val="16"/>
                <w:szCs w:val="16"/>
              </w:rPr>
              <w:t>0</w:t>
            </w:r>
          </w:p>
        </w:tc>
        <w:tc>
          <w:tcPr>
            <w:tcW w:w="1080" w:type="dxa"/>
            <w:tcBorders>
              <w:top w:val="nil"/>
              <w:left w:val="nil"/>
              <w:bottom w:val="dotted" w:sz="4" w:space="0" w:color="000000"/>
              <w:right w:val="dotted" w:sz="4" w:space="0" w:color="000000"/>
            </w:tcBorders>
            <w:shd w:val="clear" w:color="auto" w:fill="auto"/>
            <w:vAlign w:val="center"/>
            <w:hideMark/>
          </w:tcPr>
          <w:p w:rsidR="00E1278E" w:rsidRPr="00A27BED" w:rsidP="00A27BED" w14:paraId="5EE98D0F" w14:textId="77777777">
            <w:pPr>
              <w:widowControl/>
              <w:jc w:val="center"/>
              <w:rPr>
                <w:rFonts w:ascii="Calibri" w:hAnsi="Calibri" w:cs="Calibri"/>
                <w:color w:val="000000"/>
                <w:sz w:val="16"/>
                <w:szCs w:val="16"/>
              </w:rPr>
            </w:pPr>
            <w:r w:rsidRPr="00A27BED">
              <w:rPr>
                <w:rFonts w:ascii="Calibri" w:hAnsi="Calibri" w:cs="Calibri"/>
                <w:color w:val="000000"/>
                <w:sz w:val="16"/>
                <w:szCs w:val="16"/>
              </w:rPr>
              <w:t>240</w:t>
            </w:r>
          </w:p>
        </w:tc>
        <w:tc>
          <w:tcPr>
            <w:tcW w:w="990" w:type="dxa"/>
            <w:tcBorders>
              <w:top w:val="nil"/>
              <w:left w:val="nil"/>
              <w:bottom w:val="dotted" w:sz="4" w:space="0" w:color="000000"/>
              <w:right w:val="single" w:sz="8" w:space="0" w:color="000000"/>
            </w:tcBorders>
            <w:shd w:val="clear" w:color="auto" w:fill="auto"/>
            <w:vAlign w:val="center"/>
            <w:hideMark/>
          </w:tcPr>
          <w:p w:rsidR="00E1278E" w:rsidRPr="00A27BED" w:rsidP="00A27BED" w14:paraId="40D54FAB" w14:textId="77777777">
            <w:pPr>
              <w:widowControl/>
              <w:jc w:val="center"/>
              <w:rPr>
                <w:rFonts w:ascii="Calibri" w:hAnsi="Calibri" w:cs="Calibri"/>
                <w:color w:val="000000"/>
                <w:sz w:val="16"/>
                <w:szCs w:val="16"/>
              </w:rPr>
            </w:pPr>
            <w:r w:rsidRPr="00A27BED">
              <w:rPr>
                <w:rFonts w:ascii="Calibri" w:hAnsi="Calibri" w:cs="Calibri"/>
                <w:color w:val="000000"/>
                <w:sz w:val="16"/>
                <w:szCs w:val="16"/>
              </w:rPr>
              <w:t>0</w:t>
            </w:r>
          </w:p>
        </w:tc>
        <w:tc>
          <w:tcPr>
            <w:tcW w:w="2610" w:type="dxa"/>
            <w:tcBorders>
              <w:top w:val="dotted" w:sz="4" w:space="0" w:color="000000"/>
              <w:left w:val="single" w:sz="8" w:space="0" w:color="000000"/>
              <w:bottom w:val="dotted" w:sz="4" w:space="0" w:color="000000"/>
              <w:right w:val="single" w:sz="8" w:space="0" w:color="000000"/>
            </w:tcBorders>
            <w:shd w:val="clear" w:color="auto" w:fill="auto"/>
            <w:vAlign w:val="center"/>
            <w:hideMark/>
          </w:tcPr>
          <w:p w:rsidR="00E1278E" w:rsidRPr="00A27BED" w:rsidP="00A27BED" w14:paraId="525E1715" w14:textId="37E4ECDB">
            <w:pPr>
              <w:widowControl/>
              <w:rPr>
                <w:rFonts w:ascii="Calibri" w:hAnsi="Calibri" w:cs="Calibri"/>
                <w:color w:val="000000"/>
                <w:sz w:val="16"/>
                <w:szCs w:val="16"/>
              </w:rPr>
            </w:pPr>
            <w:r>
              <w:rPr>
                <w:rFonts w:ascii="Calibri" w:hAnsi="Calibri" w:cs="Calibri"/>
                <w:color w:val="000000"/>
                <w:sz w:val="16"/>
                <w:szCs w:val="16"/>
              </w:rPr>
              <w:t>This form is being added to this collection so all CRCP grant documents are under a single control number.  This form will be removed from 0648-0718 at the next renewal of that collection.</w:t>
            </w:r>
          </w:p>
        </w:tc>
      </w:tr>
      <w:tr w14:paraId="2A7F64DE" w14:textId="77777777" w:rsidTr="00E1278E">
        <w:tblPrEx>
          <w:tblW w:w="10610" w:type="dxa"/>
          <w:tblLook w:val="04A0"/>
        </w:tblPrEx>
        <w:trPr>
          <w:trHeight w:val="465"/>
        </w:trPr>
        <w:tc>
          <w:tcPr>
            <w:tcW w:w="1980" w:type="dxa"/>
            <w:tcBorders>
              <w:top w:val="nil"/>
              <w:left w:val="single" w:sz="8" w:space="0" w:color="000000"/>
              <w:bottom w:val="single" w:sz="8" w:space="0" w:color="000000"/>
              <w:right w:val="single" w:sz="8" w:space="0" w:color="000000"/>
            </w:tcBorders>
            <w:shd w:val="clear" w:color="auto" w:fill="auto"/>
            <w:vAlign w:val="center"/>
            <w:hideMark/>
          </w:tcPr>
          <w:p w:rsidR="00E1278E" w:rsidRPr="00A27BED" w:rsidP="00E1278E" w14:paraId="1A30AFF4" w14:textId="77777777">
            <w:pPr>
              <w:widowControl/>
              <w:rPr>
                <w:rFonts w:ascii="Calibri" w:hAnsi="Calibri" w:cs="Calibri"/>
                <w:color w:val="000000"/>
                <w:sz w:val="16"/>
                <w:szCs w:val="16"/>
              </w:rPr>
            </w:pPr>
            <w:r w:rsidRPr="00A27BED">
              <w:rPr>
                <w:rFonts w:ascii="Calibri" w:hAnsi="Calibri" w:cs="Calibri"/>
                <w:color w:val="000000"/>
                <w:sz w:val="16"/>
                <w:szCs w:val="16"/>
              </w:rPr>
              <w:t>Coral Reef Stewardship Partnership Applications</w:t>
            </w:r>
          </w:p>
        </w:tc>
        <w:tc>
          <w:tcPr>
            <w:tcW w:w="980" w:type="dxa"/>
            <w:tcBorders>
              <w:top w:val="nil"/>
              <w:left w:val="nil"/>
              <w:bottom w:val="dotted" w:sz="4" w:space="0" w:color="000000"/>
              <w:right w:val="dotted" w:sz="4" w:space="0" w:color="000000"/>
            </w:tcBorders>
            <w:shd w:val="clear" w:color="auto" w:fill="auto"/>
            <w:vAlign w:val="center"/>
            <w:hideMark/>
          </w:tcPr>
          <w:p w:rsidR="00E1278E" w:rsidRPr="00A27BED" w:rsidP="00E1278E" w14:paraId="58DAD145" w14:textId="77777777">
            <w:pPr>
              <w:widowControl/>
              <w:jc w:val="center"/>
              <w:rPr>
                <w:rFonts w:ascii="Calibri" w:hAnsi="Calibri" w:cs="Calibri"/>
                <w:color w:val="000000"/>
                <w:sz w:val="16"/>
                <w:szCs w:val="16"/>
              </w:rPr>
            </w:pPr>
            <w:r w:rsidRPr="00A27BED">
              <w:rPr>
                <w:rFonts w:ascii="Calibri" w:hAnsi="Calibri" w:cs="Calibri"/>
                <w:color w:val="000000"/>
                <w:sz w:val="16"/>
                <w:szCs w:val="16"/>
              </w:rPr>
              <w:t>7</w:t>
            </w:r>
          </w:p>
        </w:tc>
        <w:tc>
          <w:tcPr>
            <w:tcW w:w="900" w:type="dxa"/>
            <w:tcBorders>
              <w:top w:val="nil"/>
              <w:left w:val="nil"/>
              <w:bottom w:val="dotted" w:sz="4" w:space="0" w:color="000000"/>
              <w:right w:val="single" w:sz="8" w:space="0" w:color="000000"/>
            </w:tcBorders>
            <w:shd w:val="clear" w:color="auto" w:fill="auto"/>
            <w:vAlign w:val="center"/>
            <w:hideMark/>
          </w:tcPr>
          <w:p w:rsidR="00E1278E" w:rsidRPr="00A27BED" w:rsidP="00E1278E" w14:paraId="5D9B35A8" w14:textId="77777777">
            <w:pPr>
              <w:widowControl/>
              <w:jc w:val="center"/>
              <w:rPr>
                <w:rFonts w:ascii="Calibri" w:hAnsi="Calibri" w:cs="Calibri"/>
                <w:color w:val="000000"/>
                <w:sz w:val="16"/>
                <w:szCs w:val="16"/>
              </w:rPr>
            </w:pPr>
            <w:r w:rsidRPr="00A27BED">
              <w:rPr>
                <w:rFonts w:ascii="Calibri" w:hAnsi="Calibri" w:cs="Calibri"/>
                <w:color w:val="000000"/>
                <w:sz w:val="16"/>
                <w:szCs w:val="16"/>
              </w:rPr>
              <w:t>0</w:t>
            </w:r>
          </w:p>
        </w:tc>
        <w:tc>
          <w:tcPr>
            <w:tcW w:w="990" w:type="dxa"/>
            <w:tcBorders>
              <w:top w:val="nil"/>
              <w:left w:val="nil"/>
              <w:bottom w:val="dotted" w:sz="4" w:space="0" w:color="000000"/>
              <w:right w:val="dotted" w:sz="4" w:space="0" w:color="000000"/>
            </w:tcBorders>
            <w:shd w:val="clear" w:color="auto" w:fill="auto"/>
            <w:vAlign w:val="center"/>
            <w:hideMark/>
          </w:tcPr>
          <w:p w:rsidR="00E1278E" w:rsidRPr="00A27BED" w:rsidP="00E1278E" w14:paraId="266655F5" w14:textId="77777777">
            <w:pPr>
              <w:widowControl/>
              <w:jc w:val="center"/>
              <w:rPr>
                <w:rFonts w:ascii="Calibri" w:hAnsi="Calibri" w:cs="Calibri"/>
                <w:color w:val="000000"/>
                <w:sz w:val="16"/>
                <w:szCs w:val="16"/>
              </w:rPr>
            </w:pPr>
            <w:r w:rsidRPr="00A27BED">
              <w:rPr>
                <w:rFonts w:ascii="Calibri" w:hAnsi="Calibri" w:cs="Calibri"/>
                <w:color w:val="000000"/>
                <w:sz w:val="16"/>
                <w:szCs w:val="16"/>
              </w:rPr>
              <w:t>7</w:t>
            </w:r>
          </w:p>
        </w:tc>
        <w:tc>
          <w:tcPr>
            <w:tcW w:w="1080" w:type="dxa"/>
            <w:tcBorders>
              <w:top w:val="nil"/>
              <w:left w:val="nil"/>
              <w:bottom w:val="dotted" w:sz="4" w:space="0" w:color="000000"/>
              <w:right w:val="single" w:sz="8" w:space="0" w:color="000000"/>
            </w:tcBorders>
            <w:shd w:val="clear" w:color="auto" w:fill="auto"/>
            <w:vAlign w:val="center"/>
            <w:hideMark/>
          </w:tcPr>
          <w:p w:rsidR="00E1278E" w:rsidRPr="00A27BED" w:rsidP="00E1278E" w14:paraId="3EFC6F5F" w14:textId="77777777">
            <w:pPr>
              <w:widowControl/>
              <w:jc w:val="center"/>
              <w:rPr>
                <w:rFonts w:ascii="Calibri" w:hAnsi="Calibri" w:cs="Calibri"/>
                <w:color w:val="000000"/>
                <w:sz w:val="16"/>
                <w:szCs w:val="16"/>
              </w:rPr>
            </w:pPr>
            <w:r w:rsidRPr="00A27BED">
              <w:rPr>
                <w:rFonts w:ascii="Calibri" w:hAnsi="Calibri" w:cs="Calibri"/>
                <w:color w:val="000000"/>
                <w:sz w:val="16"/>
                <w:szCs w:val="16"/>
              </w:rPr>
              <w:t>0</w:t>
            </w:r>
          </w:p>
        </w:tc>
        <w:tc>
          <w:tcPr>
            <w:tcW w:w="1080" w:type="dxa"/>
            <w:tcBorders>
              <w:top w:val="nil"/>
              <w:left w:val="nil"/>
              <w:bottom w:val="dotted" w:sz="4" w:space="0" w:color="000000"/>
              <w:right w:val="dotted" w:sz="4" w:space="0" w:color="000000"/>
            </w:tcBorders>
            <w:shd w:val="clear" w:color="auto" w:fill="auto"/>
            <w:vAlign w:val="center"/>
            <w:hideMark/>
          </w:tcPr>
          <w:p w:rsidR="00E1278E" w:rsidRPr="00A27BED" w:rsidP="00E1278E" w14:paraId="75496168" w14:textId="77777777">
            <w:pPr>
              <w:widowControl/>
              <w:jc w:val="center"/>
              <w:rPr>
                <w:rFonts w:ascii="Calibri" w:hAnsi="Calibri" w:cs="Calibri"/>
                <w:color w:val="000000"/>
                <w:sz w:val="16"/>
                <w:szCs w:val="16"/>
              </w:rPr>
            </w:pPr>
            <w:r w:rsidRPr="00A27BED">
              <w:rPr>
                <w:rFonts w:ascii="Calibri" w:hAnsi="Calibri" w:cs="Calibri"/>
                <w:color w:val="000000"/>
                <w:sz w:val="16"/>
                <w:szCs w:val="16"/>
              </w:rPr>
              <w:t>7</w:t>
            </w:r>
          </w:p>
        </w:tc>
        <w:tc>
          <w:tcPr>
            <w:tcW w:w="990" w:type="dxa"/>
            <w:tcBorders>
              <w:top w:val="nil"/>
              <w:left w:val="nil"/>
              <w:bottom w:val="dotted" w:sz="4" w:space="0" w:color="000000"/>
              <w:right w:val="single" w:sz="8" w:space="0" w:color="000000"/>
            </w:tcBorders>
            <w:shd w:val="clear" w:color="auto" w:fill="auto"/>
            <w:vAlign w:val="center"/>
            <w:hideMark/>
          </w:tcPr>
          <w:p w:rsidR="00E1278E" w:rsidRPr="00A27BED" w:rsidP="00E1278E" w14:paraId="1B2AC114" w14:textId="77777777">
            <w:pPr>
              <w:widowControl/>
              <w:jc w:val="center"/>
              <w:rPr>
                <w:rFonts w:ascii="Calibri" w:hAnsi="Calibri" w:cs="Calibri"/>
                <w:color w:val="000000"/>
                <w:sz w:val="16"/>
                <w:szCs w:val="16"/>
              </w:rPr>
            </w:pPr>
            <w:r w:rsidRPr="00A27BED">
              <w:rPr>
                <w:rFonts w:ascii="Calibri" w:hAnsi="Calibri" w:cs="Calibri"/>
                <w:color w:val="000000"/>
                <w:sz w:val="16"/>
                <w:szCs w:val="16"/>
              </w:rPr>
              <w:t>0</w:t>
            </w:r>
          </w:p>
        </w:tc>
        <w:tc>
          <w:tcPr>
            <w:tcW w:w="2610" w:type="dxa"/>
            <w:tcBorders>
              <w:top w:val="dotted" w:sz="4" w:space="0" w:color="000000"/>
              <w:left w:val="single" w:sz="8" w:space="0" w:color="000000"/>
              <w:bottom w:val="dotted" w:sz="4" w:space="0" w:color="000000"/>
              <w:right w:val="single" w:sz="8" w:space="0" w:color="000000"/>
            </w:tcBorders>
            <w:shd w:val="clear" w:color="auto" w:fill="auto"/>
            <w:vAlign w:val="center"/>
            <w:hideMark/>
          </w:tcPr>
          <w:p w:rsidR="00E1278E" w:rsidRPr="00A27BED" w:rsidP="00E1278E" w14:paraId="523DDE20" w14:textId="737BE8F7">
            <w:pPr>
              <w:widowControl/>
              <w:rPr>
                <w:rFonts w:ascii="Calibri" w:hAnsi="Calibri" w:cs="Calibri"/>
                <w:color w:val="000000"/>
                <w:sz w:val="16"/>
                <w:szCs w:val="16"/>
              </w:rPr>
            </w:pPr>
            <w:r w:rsidRPr="00A27BED">
              <w:rPr>
                <w:rFonts w:ascii="Calibri" w:hAnsi="Calibri" w:cs="Calibri"/>
                <w:color w:val="000000"/>
                <w:sz w:val="16"/>
                <w:szCs w:val="16"/>
              </w:rPr>
              <w:t>New requirements pursuant to change in law.</w:t>
            </w:r>
          </w:p>
        </w:tc>
      </w:tr>
      <w:tr w14:paraId="55819AF2" w14:textId="77777777" w:rsidTr="00A27BED">
        <w:tblPrEx>
          <w:tblW w:w="10610" w:type="dxa"/>
          <w:tblLook w:val="04A0"/>
        </w:tblPrEx>
        <w:trPr>
          <w:trHeight w:val="465"/>
        </w:trPr>
        <w:tc>
          <w:tcPr>
            <w:tcW w:w="1980" w:type="dxa"/>
            <w:tcBorders>
              <w:top w:val="nil"/>
              <w:left w:val="single" w:sz="8" w:space="0" w:color="000000"/>
              <w:bottom w:val="nil"/>
              <w:right w:val="single" w:sz="8" w:space="0" w:color="000000"/>
            </w:tcBorders>
            <w:shd w:val="clear" w:color="BDD6EE" w:fill="BDD6EE"/>
            <w:vAlign w:val="center"/>
            <w:hideMark/>
          </w:tcPr>
          <w:p w:rsidR="00A27BED" w:rsidRPr="00A27BED" w:rsidP="00A27BED" w14:paraId="744D5A0F" w14:textId="77777777">
            <w:pPr>
              <w:widowControl/>
              <w:jc w:val="center"/>
              <w:rPr>
                <w:rFonts w:ascii="Calibri" w:hAnsi="Calibri" w:cs="Calibri"/>
                <w:b/>
                <w:bCs/>
                <w:color w:val="000000"/>
                <w:sz w:val="16"/>
                <w:szCs w:val="16"/>
              </w:rPr>
            </w:pPr>
            <w:r w:rsidRPr="00A27BED">
              <w:rPr>
                <w:rFonts w:ascii="Calibri" w:hAnsi="Calibri" w:cs="Calibri"/>
                <w:b/>
                <w:bCs/>
                <w:color w:val="000000"/>
                <w:sz w:val="16"/>
                <w:szCs w:val="16"/>
              </w:rPr>
              <w:t>Total for Collection</w:t>
            </w:r>
          </w:p>
        </w:tc>
        <w:tc>
          <w:tcPr>
            <w:tcW w:w="980" w:type="dxa"/>
            <w:tcBorders>
              <w:top w:val="nil"/>
              <w:left w:val="nil"/>
              <w:bottom w:val="nil"/>
              <w:right w:val="dotted" w:sz="4" w:space="0" w:color="000000"/>
            </w:tcBorders>
            <w:shd w:val="clear" w:color="BDD6EE" w:fill="BDD6EE"/>
            <w:vAlign w:val="center"/>
            <w:hideMark/>
          </w:tcPr>
          <w:p w:rsidR="00A27BED" w:rsidRPr="00A27BED" w:rsidP="00A27BED" w14:paraId="5684E13E" w14:textId="77777777">
            <w:pPr>
              <w:widowControl/>
              <w:jc w:val="center"/>
              <w:rPr>
                <w:rFonts w:ascii="Calibri" w:hAnsi="Calibri" w:cs="Calibri"/>
                <w:b/>
                <w:bCs/>
                <w:color w:val="000000"/>
                <w:sz w:val="16"/>
                <w:szCs w:val="16"/>
              </w:rPr>
            </w:pPr>
            <w:r w:rsidRPr="00A27BED">
              <w:rPr>
                <w:rFonts w:ascii="Calibri" w:hAnsi="Calibri" w:cs="Calibri"/>
                <w:b/>
                <w:bCs/>
                <w:color w:val="000000"/>
                <w:sz w:val="16"/>
                <w:szCs w:val="16"/>
              </w:rPr>
              <w:t>49</w:t>
            </w:r>
          </w:p>
        </w:tc>
        <w:tc>
          <w:tcPr>
            <w:tcW w:w="900" w:type="dxa"/>
            <w:tcBorders>
              <w:top w:val="nil"/>
              <w:left w:val="nil"/>
              <w:bottom w:val="single" w:sz="8" w:space="0" w:color="000000"/>
              <w:right w:val="single" w:sz="8" w:space="0" w:color="000000"/>
            </w:tcBorders>
            <w:shd w:val="clear" w:color="BDD6EE" w:fill="BDD6EE"/>
            <w:vAlign w:val="center"/>
            <w:hideMark/>
          </w:tcPr>
          <w:p w:rsidR="00A27BED" w:rsidRPr="00A27BED" w:rsidP="00A27BED" w14:paraId="42C1E1AA" w14:textId="77777777">
            <w:pPr>
              <w:widowControl/>
              <w:jc w:val="center"/>
              <w:rPr>
                <w:rFonts w:ascii="Calibri" w:hAnsi="Calibri" w:cs="Calibri"/>
                <w:b/>
                <w:bCs/>
                <w:color w:val="000000"/>
                <w:sz w:val="16"/>
                <w:szCs w:val="16"/>
              </w:rPr>
            </w:pPr>
            <w:r w:rsidRPr="00A27BED">
              <w:rPr>
                <w:rFonts w:ascii="Calibri" w:hAnsi="Calibri" w:cs="Calibri"/>
                <w:b/>
                <w:bCs/>
                <w:color w:val="000000"/>
                <w:sz w:val="16"/>
                <w:szCs w:val="16"/>
              </w:rPr>
              <w:t>12</w:t>
            </w:r>
          </w:p>
        </w:tc>
        <w:tc>
          <w:tcPr>
            <w:tcW w:w="990" w:type="dxa"/>
            <w:tcBorders>
              <w:top w:val="nil"/>
              <w:left w:val="nil"/>
              <w:bottom w:val="nil"/>
              <w:right w:val="dotted" w:sz="4" w:space="0" w:color="000000"/>
            </w:tcBorders>
            <w:shd w:val="clear" w:color="BDD6EE" w:fill="BDD6EE"/>
            <w:vAlign w:val="center"/>
            <w:hideMark/>
          </w:tcPr>
          <w:p w:rsidR="00A27BED" w:rsidRPr="00A27BED" w:rsidP="00A27BED" w14:paraId="22FAFDF1" w14:textId="77777777">
            <w:pPr>
              <w:widowControl/>
              <w:jc w:val="center"/>
              <w:rPr>
                <w:rFonts w:ascii="Calibri" w:hAnsi="Calibri" w:cs="Calibri"/>
                <w:b/>
                <w:bCs/>
                <w:color w:val="000000"/>
                <w:sz w:val="16"/>
                <w:szCs w:val="16"/>
              </w:rPr>
            </w:pPr>
            <w:r w:rsidRPr="00A27BED">
              <w:rPr>
                <w:rFonts w:ascii="Calibri" w:hAnsi="Calibri" w:cs="Calibri"/>
                <w:b/>
                <w:bCs/>
                <w:color w:val="000000"/>
                <w:sz w:val="16"/>
                <w:szCs w:val="16"/>
              </w:rPr>
              <w:t>69</w:t>
            </w:r>
          </w:p>
        </w:tc>
        <w:tc>
          <w:tcPr>
            <w:tcW w:w="1080" w:type="dxa"/>
            <w:tcBorders>
              <w:top w:val="nil"/>
              <w:left w:val="nil"/>
              <w:bottom w:val="single" w:sz="8" w:space="0" w:color="000000"/>
              <w:right w:val="single" w:sz="8" w:space="0" w:color="000000"/>
            </w:tcBorders>
            <w:shd w:val="clear" w:color="BDD6EE" w:fill="BDD6EE"/>
            <w:vAlign w:val="center"/>
            <w:hideMark/>
          </w:tcPr>
          <w:p w:rsidR="00A27BED" w:rsidRPr="00A27BED" w:rsidP="00A27BED" w14:paraId="11ECCF76" w14:textId="77777777">
            <w:pPr>
              <w:widowControl/>
              <w:jc w:val="center"/>
              <w:rPr>
                <w:rFonts w:ascii="Calibri" w:hAnsi="Calibri" w:cs="Calibri"/>
                <w:b/>
                <w:bCs/>
                <w:color w:val="000000"/>
                <w:sz w:val="16"/>
                <w:szCs w:val="16"/>
              </w:rPr>
            </w:pPr>
            <w:r w:rsidRPr="00A27BED">
              <w:rPr>
                <w:rFonts w:ascii="Calibri" w:hAnsi="Calibri" w:cs="Calibri"/>
                <w:b/>
                <w:bCs/>
                <w:color w:val="000000"/>
                <w:sz w:val="16"/>
                <w:szCs w:val="16"/>
              </w:rPr>
              <w:t>47</w:t>
            </w:r>
          </w:p>
        </w:tc>
        <w:tc>
          <w:tcPr>
            <w:tcW w:w="1080" w:type="dxa"/>
            <w:tcBorders>
              <w:top w:val="nil"/>
              <w:left w:val="nil"/>
              <w:bottom w:val="nil"/>
              <w:right w:val="dotted" w:sz="4" w:space="0" w:color="000000"/>
            </w:tcBorders>
            <w:shd w:val="clear" w:color="BDD6EE" w:fill="BDD6EE"/>
            <w:vAlign w:val="center"/>
            <w:hideMark/>
          </w:tcPr>
          <w:p w:rsidR="00A27BED" w:rsidRPr="00A27BED" w:rsidP="00A27BED" w14:paraId="44DF8B3A" w14:textId="77777777">
            <w:pPr>
              <w:widowControl/>
              <w:jc w:val="center"/>
              <w:rPr>
                <w:rFonts w:ascii="Calibri" w:hAnsi="Calibri" w:cs="Calibri"/>
                <w:b/>
                <w:bCs/>
                <w:color w:val="000000"/>
                <w:sz w:val="16"/>
                <w:szCs w:val="16"/>
              </w:rPr>
            </w:pPr>
            <w:r w:rsidRPr="00A27BED">
              <w:rPr>
                <w:rFonts w:ascii="Calibri" w:hAnsi="Calibri" w:cs="Calibri"/>
                <w:b/>
                <w:bCs/>
                <w:color w:val="000000"/>
                <w:sz w:val="16"/>
                <w:szCs w:val="16"/>
              </w:rPr>
              <w:t>1004</w:t>
            </w:r>
          </w:p>
        </w:tc>
        <w:tc>
          <w:tcPr>
            <w:tcW w:w="990" w:type="dxa"/>
            <w:tcBorders>
              <w:top w:val="nil"/>
              <w:left w:val="nil"/>
              <w:bottom w:val="nil"/>
              <w:right w:val="dotted" w:sz="4" w:space="0" w:color="000000"/>
            </w:tcBorders>
            <w:shd w:val="clear" w:color="BDD6EE" w:fill="BDD6EE"/>
            <w:vAlign w:val="center"/>
            <w:hideMark/>
          </w:tcPr>
          <w:p w:rsidR="00A27BED" w:rsidRPr="00A27BED" w:rsidP="00A27BED" w14:paraId="4EED1419" w14:textId="77777777">
            <w:pPr>
              <w:widowControl/>
              <w:jc w:val="center"/>
              <w:rPr>
                <w:rFonts w:ascii="Calibri" w:hAnsi="Calibri" w:cs="Calibri"/>
                <w:b/>
                <w:bCs/>
                <w:color w:val="000000"/>
                <w:sz w:val="16"/>
                <w:szCs w:val="16"/>
              </w:rPr>
            </w:pPr>
            <w:r w:rsidRPr="00A27BED">
              <w:rPr>
                <w:rFonts w:ascii="Calibri" w:hAnsi="Calibri" w:cs="Calibri"/>
                <w:b/>
                <w:bCs/>
                <w:color w:val="000000"/>
                <w:sz w:val="16"/>
                <w:szCs w:val="16"/>
              </w:rPr>
              <w:t>137</w:t>
            </w:r>
          </w:p>
        </w:tc>
        <w:tc>
          <w:tcPr>
            <w:tcW w:w="2610" w:type="dxa"/>
            <w:tcBorders>
              <w:top w:val="nil"/>
              <w:left w:val="nil"/>
              <w:bottom w:val="nil"/>
              <w:right w:val="single" w:sz="8" w:space="0" w:color="000000"/>
            </w:tcBorders>
            <w:shd w:val="clear" w:color="000000" w:fill="000000"/>
            <w:vAlign w:val="center"/>
            <w:hideMark/>
          </w:tcPr>
          <w:p w:rsidR="00A27BED" w:rsidRPr="00A27BED" w:rsidP="00A27BED" w14:paraId="7828EFBA" w14:textId="77777777">
            <w:pPr>
              <w:widowControl/>
              <w:jc w:val="center"/>
              <w:rPr>
                <w:rFonts w:ascii="Calibri" w:hAnsi="Calibri" w:cs="Calibri"/>
                <w:b/>
                <w:bCs/>
                <w:color w:val="000000"/>
                <w:sz w:val="16"/>
                <w:szCs w:val="16"/>
              </w:rPr>
            </w:pPr>
            <w:r w:rsidRPr="00A27BED">
              <w:rPr>
                <w:rFonts w:ascii="Calibri" w:hAnsi="Calibri" w:cs="Calibri"/>
                <w:b/>
                <w:bCs/>
                <w:color w:val="000000"/>
                <w:sz w:val="16"/>
                <w:szCs w:val="16"/>
              </w:rPr>
              <w:t> </w:t>
            </w:r>
          </w:p>
        </w:tc>
      </w:tr>
      <w:tr w14:paraId="62825942" w14:textId="77777777" w:rsidTr="00A27BED">
        <w:tblPrEx>
          <w:tblW w:w="10610" w:type="dxa"/>
          <w:tblLook w:val="04A0"/>
        </w:tblPrEx>
        <w:trPr>
          <w:trHeight w:val="315"/>
        </w:trPr>
        <w:tc>
          <w:tcPr>
            <w:tcW w:w="1980" w:type="dxa"/>
            <w:tcBorders>
              <w:top w:val="single" w:sz="8" w:space="0" w:color="000000"/>
              <w:left w:val="single" w:sz="8" w:space="0" w:color="000000"/>
              <w:bottom w:val="single" w:sz="8" w:space="0" w:color="000000"/>
              <w:right w:val="nil"/>
            </w:tcBorders>
            <w:shd w:val="clear" w:color="FBE4D5" w:fill="FBE4D5"/>
            <w:noWrap/>
            <w:vAlign w:val="bottom"/>
            <w:hideMark/>
          </w:tcPr>
          <w:p w:rsidR="00A27BED" w:rsidRPr="00A27BED" w:rsidP="00A27BED" w14:paraId="682210CD" w14:textId="77777777">
            <w:pPr>
              <w:widowControl/>
              <w:jc w:val="center"/>
              <w:rPr>
                <w:rFonts w:ascii="Calibri" w:hAnsi="Calibri" w:cs="Calibri"/>
                <w:b/>
                <w:bCs/>
                <w:color w:val="000000"/>
                <w:sz w:val="16"/>
                <w:szCs w:val="16"/>
              </w:rPr>
            </w:pPr>
            <w:r w:rsidRPr="00A27BED">
              <w:rPr>
                <w:rFonts w:ascii="Calibri" w:hAnsi="Calibri" w:cs="Calibri"/>
                <w:b/>
                <w:bCs/>
                <w:color w:val="000000"/>
                <w:sz w:val="16"/>
                <w:szCs w:val="16"/>
              </w:rPr>
              <w:t>Difference</w:t>
            </w:r>
          </w:p>
        </w:tc>
        <w:tc>
          <w:tcPr>
            <w:tcW w:w="1880" w:type="dxa"/>
            <w:gridSpan w:val="2"/>
            <w:tcBorders>
              <w:top w:val="single" w:sz="8" w:space="0" w:color="000000"/>
              <w:left w:val="single" w:sz="8" w:space="0" w:color="000000"/>
              <w:bottom w:val="single" w:sz="8" w:space="0" w:color="000000"/>
              <w:right w:val="single" w:sz="8" w:space="0" w:color="000000"/>
            </w:tcBorders>
            <w:shd w:val="clear" w:color="FBE4D5" w:fill="FBE4D5"/>
            <w:noWrap/>
            <w:vAlign w:val="bottom"/>
            <w:hideMark/>
          </w:tcPr>
          <w:p w:rsidR="00A27BED" w:rsidRPr="00A27BED" w:rsidP="00A27BED" w14:paraId="7DEB6EF9" w14:textId="3E04E7A1">
            <w:pPr>
              <w:widowControl/>
              <w:jc w:val="center"/>
              <w:rPr>
                <w:rFonts w:ascii="Calibri" w:hAnsi="Calibri" w:cs="Calibri"/>
                <w:color w:val="000000"/>
                <w:sz w:val="22"/>
                <w:szCs w:val="22"/>
              </w:rPr>
            </w:pPr>
            <w:r>
              <w:rPr>
                <w:rFonts w:ascii="Calibri" w:hAnsi="Calibri" w:cs="Calibri"/>
                <w:color w:val="000000"/>
                <w:sz w:val="22"/>
                <w:szCs w:val="22"/>
              </w:rPr>
              <w:t>37</w:t>
            </w:r>
          </w:p>
        </w:tc>
        <w:tc>
          <w:tcPr>
            <w:tcW w:w="2070" w:type="dxa"/>
            <w:gridSpan w:val="2"/>
            <w:tcBorders>
              <w:top w:val="single" w:sz="8" w:space="0" w:color="000000"/>
              <w:left w:val="nil"/>
              <w:bottom w:val="single" w:sz="8" w:space="0" w:color="000000"/>
              <w:right w:val="single" w:sz="8" w:space="0" w:color="000000"/>
            </w:tcBorders>
            <w:shd w:val="clear" w:color="FBE4D5" w:fill="FBE4D5"/>
            <w:noWrap/>
            <w:vAlign w:val="bottom"/>
            <w:hideMark/>
          </w:tcPr>
          <w:p w:rsidR="00A27BED" w:rsidRPr="00A27BED" w:rsidP="00A27BED" w14:paraId="4C0D32E1" w14:textId="700575E5">
            <w:pPr>
              <w:widowControl/>
              <w:jc w:val="center"/>
              <w:rPr>
                <w:rFonts w:ascii="Calibri" w:hAnsi="Calibri" w:cs="Calibri"/>
                <w:color w:val="000000"/>
                <w:sz w:val="22"/>
                <w:szCs w:val="22"/>
              </w:rPr>
            </w:pPr>
            <w:r>
              <w:rPr>
                <w:rFonts w:ascii="Calibri" w:hAnsi="Calibri" w:cs="Calibri"/>
                <w:color w:val="000000"/>
                <w:sz w:val="22"/>
                <w:szCs w:val="22"/>
              </w:rPr>
              <w:t>22</w:t>
            </w:r>
          </w:p>
        </w:tc>
        <w:tc>
          <w:tcPr>
            <w:tcW w:w="2070" w:type="dxa"/>
            <w:gridSpan w:val="2"/>
            <w:tcBorders>
              <w:top w:val="single" w:sz="8" w:space="0" w:color="000000"/>
              <w:left w:val="nil"/>
              <w:bottom w:val="single" w:sz="8" w:space="0" w:color="000000"/>
              <w:right w:val="single" w:sz="4" w:space="0" w:color="000000"/>
            </w:tcBorders>
            <w:shd w:val="clear" w:color="FBE4D5" w:fill="FBE4D5"/>
            <w:noWrap/>
            <w:vAlign w:val="bottom"/>
            <w:hideMark/>
          </w:tcPr>
          <w:p w:rsidR="00A27BED" w:rsidRPr="00A27BED" w:rsidP="00A27BED" w14:paraId="3165B549" w14:textId="77777777">
            <w:pPr>
              <w:widowControl/>
              <w:jc w:val="center"/>
              <w:rPr>
                <w:rFonts w:ascii="Calibri" w:hAnsi="Calibri" w:cs="Calibri"/>
                <w:color w:val="000000"/>
                <w:sz w:val="22"/>
                <w:szCs w:val="22"/>
              </w:rPr>
            </w:pPr>
            <w:r w:rsidRPr="00A27BED">
              <w:rPr>
                <w:rFonts w:ascii="Calibri" w:hAnsi="Calibri" w:cs="Calibri"/>
                <w:color w:val="000000"/>
                <w:sz w:val="22"/>
                <w:szCs w:val="22"/>
              </w:rPr>
              <w:t>867</w:t>
            </w:r>
          </w:p>
        </w:tc>
        <w:tc>
          <w:tcPr>
            <w:tcW w:w="2610" w:type="dxa"/>
            <w:tcBorders>
              <w:top w:val="single" w:sz="8" w:space="0" w:color="000000"/>
              <w:left w:val="nil"/>
              <w:bottom w:val="single" w:sz="8" w:space="0" w:color="000000"/>
              <w:right w:val="single" w:sz="8" w:space="0" w:color="000000"/>
            </w:tcBorders>
            <w:shd w:val="clear" w:color="000000" w:fill="000000"/>
            <w:noWrap/>
            <w:vAlign w:val="bottom"/>
            <w:hideMark/>
          </w:tcPr>
          <w:p w:rsidR="00A27BED" w:rsidRPr="00A27BED" w:rsidP="00A27BED" w14:paraId="25E8794E" w14:textId="77777777">
            <w:pPr>
              <w:widowControl/>
              <w:rPr>
                <w:rFonts w:ascii="Calibri" w:hAnsi="Calibri" w:cs="Calibri"/>
                <w:color w:val="000000"/>
                <w:sz w:val="22"/>
                <w:szCs w:val="22"/>
              </w:rPr>
            </w:pPr>
            <w:r w:rsidRPr="00A27BED">
              <w:rPr>
                <w:rFonts w:ascii="Calibri" w:hAnsi="Calibri" w:cs="Calibri"/>
                <w:color w:val="000000"/>
                <w:sz w:val="22"/>
                <w:szCs w:val="22"/>
              </w:rPr>
              <w:t> </w:t>
            </w:r>
          </w:p>
        </w:tc>
      </w:tr>
    </w:tbl>
    <w:p w:rsidR="000E6A30" w14:paraId="0606D0EB" w14:textId="5852D889">
      <w:pPr>
        <w:spacing w:before="161"/>
      </w:pPr>
    </w:p>
    <w:p w:rsidR="000E6A30" w14:paraId="4E897A8C" w14:textId="77777777">
      <w:pPr>
        <w:spacing w:before="161"/>
      </w:pPr>
    </w:p>
    <w:p w:rsidR="000E6A30" w14:paraId="0B2F2906"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E6A30" w14:paraId="2B458EB1" w14:textId="77777777">
      <w:pPr>
        <w:pBdr>
          <w:top w:val="nil"/>
          <w:left w:val="nil"/>
          <w:bottom w:val="nil"/>
          <w:right w:val="nil"/>
          <w:between w:val="nil"/>
        </w:pBdr>
        <w:spacing w:before="240"/>
        <w:ind w:firstLine="720"/>
      </w:pPr>
      <w:r>
        <w:t>This information is not published or made publicly available.</w:t>
      </w:r>
    </w:p>
    <w:p w:rsidR="000E6A30" w14:paraId="267FE907" w14:textId="77777777">
      <w:pPr>
        <w:pBdr>
          <w:top w:val="nil"/>
          <w:left w:val="nil"/>
          <w:bottom w:val="nil"/>
          <w:right w:val="nil"/>
          <w:between w:val="nil"/>
        </w:pBdr>
        <w:spacing w:before="160"/>
        <w:ind w:firstLine="720"/>
      </w:pPr>
    </w:p>
    <w:p w:rsidR="000E6A30" w14:paraId="141B8B63"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0E6A30" w14:paraId="7FBF0045" w14:textId="77777777">
      <w:pPr>
        <w:spacing w:before="240"/>
        <w:ind w:firstLine="720"/>
      </w:pPr>
      <w:r>
        <w:t>The agency plans to display the expiration date for OMB approval of the information collection on all instruments.</w:t>
      </w:r>
    </w:p>
    <w:p w:rsidR="000E6A30" w14:paraId="5D7A56D1" w14:textId="77777777">
      <w:pPr>
        <w:spacing w:before="161"/>
        <w:rPr>
          <w:i/>
        </w:rPr>
      </w:pPr>
    </w:p>
    <w:p w:rsidR="000E6A30" w14:paraId="39618497" w14:textId="77777777">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0E6A30" w14:paraId="6D286793" w14:textId="77777777">
      <w:pPr>
        <w:spacing w:before="240" w:line="259" w:lineRule="auto"/>
        <w:ind w:firstLine="720"/>
      </w:pPr>
      <w:r>
        <w:t xml:space="preserve">The agency certifies compliance with </w:t>
      </w:r>
      <w:hyperlink r:id="rId9">
        <w:r>
          <w:rPr>
            <w:color w:val="0563C1"/>
            <w:u w:val="single"/>
          </w:rPr>
          <w:t>5 CFR 1320.9</w:t>
        </w:r>
      </w:hyperlink>
      <w:hyperlink r:id="rId9">
        <w:r>
          <w:rPr>
            <w:color w:val="0563C1"/>
          </w:rPr>
          <w:t xml:space="preserve"> </w:t>
        </w:r>
      </w:hyperlink>
      <w:r>
        <w:t xml:space="preserve">and the related provisions of </w:t>
      </w:r>
      <w:hyperlink r:id="rId10">
        <w:r>
          <w:rPr>
            <w:color w:val="0563C1"/>
            <w:u w:val="single"/>
          </w:rPr>
          <w:t>5 CFR</w:t>
        </w:r>
      </w:hyperlink>
      <w:r>
        <w:rPr>
          <w:color w:val="0563C1"/>
        </w:rPr>
        <w:t xml:space="preserve"> </w:t>
      </w:r>
      <w:hyperlink r:id="rId10">
        <w:r>
          <w:rPr>
            <w:color w:val="0563C1"/>
            <w:u w:val="single"/>
          </w:rPr>
          <w:t>1320.8(b)(3)</w:t>
        </w:r>
      </w:hyperlink>
      <w:r>
        <w:t>.</w:t>
      </w:r>
    </w:p>
    <w:p w:rsidR="000E6A30" w14:paraId="421A609F" w14:textId="77777777">
      <w:pPr>
        <w:spacing w:before="221" w:line="259" w:lineRule="auto"/>
        <w:jc w:val="both"/>
        <w:rPr>
          <w:color w:val="FF0000"/>
        </w:rPr>
      </w:pPr>
      <w:bookmarkStart w:id="5" w:name="_heading=h.gjdgxs" w:colFirst="0" w:colLast="0"/>
      <w:bookmarkEnd w:id="5"/>
    </w:p>
    <w:sectPr>
      <w:pgSz w:w="12240" w:h="15840"/>
      <w:pgMar w:top="1080" w:right="1620" w:bottom="1080" w:left="120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E6A30" w14:paraId="074A8610" w14:textId="77777777">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0" locked="0" layoutInCell="1" allowOverlap="1">
              <wp:simplePos x="0" y="0"/>
              <wp:positionH relativeFrom="column">
                <wp:posOffset>-353060</wp:posOffset>
              </wp:positionH>
              <wp:positionV relativeFrom="paragraph">
                <wp:posOffset>52070</wp:posOffset>
              </wp:positionV>
              <wp:extent cx="2943225" cy="247650"/>
              <wp:effectExtent l="0" t="0" r="9525" b="0"/>
              <wp:wrapSquare wrapText="bothSides"/>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2943225" cy="247650"/>
                      </a:xfrm>
                      <a:prstGeom prst="rect">
                        <a:avLst/>
                      </a:prstGeom>
                      <a:noFill/>
                      <a:ln>
                        <a:noFill/>
                      </a:ln>
                    </wps:spPr>
                    <wps:txbx>
                      <w:txbxContent>
                        <w:p w:rsidR="000E6A30" w14:textId="7C055456">
                          <w:pPr>
                            <w:spacing w:line="245" w:lineRule="auto"/>
                            <w:ind w:left="20" w:firstLine="60"/>
                          </w:pPr>
                          <w:r w:rsidRPr="008E0FB3">
                            <w:rPr>
                              <w:rFonts w:ascii="Calibri" w:eastAsia="Calibri" w:hAnsi="Calibri" w:cs="Calibri"/>
                              <w:b/>
                              <w:color w:val="7F7F7F" w:themeColor="background1" w:themeShade="7F"/>
                              <w:spacing w:val="60"/>
                            </w:rPr>
                            <w:t>Page</w:t>
                          </w:r>
                          <w:r w:rsidRPr="008E0FB3">
                            <w:rPr>
                              <w:rFonts w:ascii="Calibri" w:eastAsia="Calibri" w:hAnsi="Calibri" w:cs="Calibri"/>
                              <w:b/>
                              <w:color w:val="000000"/>
                            </w:rPr>
                            <w:t xml:space="preserve"> | </w:t>
                          </w:r>
                          <w:r w:rsidRPr="008E0FB3">
                            <w:rPr>
                              <w:rFonts w:ascii="Calibri" w:eastAsia="Calibri" w:hAnsi="Calibri" w:cs="Calibri"/>
                              <w:b/>
                              <w:color w:val="000000"/>
                            </w:rPr>
                            <w:fldChar w:fldCharType="begin"/>
                          </w:r>
                          <w:r w:rsidRPr="008E0FB3">
                            <w:rPr>
                              <w:rFonts w:ascii="Calibri" w:eastAsia="Calibri" w:hAnsi="Calibri" w:cs="Calibri"/>
                              <w:b/>
                              <w:color w:val="000000"/>
                            </w:rPr>
                            <w:instrText xml:space="preserve"> PAGE   \* MERGEFORMAT </w:instrText>
                          </w:r>
                          <w:r w:rsidRPr="008E0FB3">
                            <w:rPr>
                              <w:rFonts w:ascii="Calibri" w:eastAsia="Calibri" w:hAnsi="Calibri" w:cs="Calibri"/>
                              <w:b/>
                              <w:color w:val="000000"/>
                            </w:rPr>
                            <w:fldChar w:fldCharType="separate"/>
                          </w:r>
                          <w:r w:rsidRPr="008E0FB3">
                            <w:rPr>
                              <w:rFonts w:ascii="Calibri" w:eastAsia="Calibri" w:hAnsi="Calibri" w:cs="Calibri"/>
                              <w:b/>
                              <w:bCs/>
                              <w:noProof/>
                              <w:color w:val="000000"/>
                            </w:rPr>
                            <w:t>1</w:t>
                          </w:r>
                          <w:r w:rsidRPr="008E0FB3">
                            <w:rPr>
                              <w:rFonts w:ascii="Calibri" w:eastAsia="Calibri" w:hAnsi="Calibri" w:cs="Calibri"/>
                              <w:b/>
                              <w:bCs/>
                              <w:noProof/>
                              <w:color w:val="000000"/>
                            </w:rPr>
                            <w:fldChar w:fldCharType="end"/>
                          </w:r>
                        </w:p>
                      </w:txbxContent>
                    </wps:txbx>
                    <wps:bodyPr spcFirstLastPara="1" wrap="square" lIns="0" tIns="0" rIns="0" bIns="0" anchor="t" anchorCtr="0"/>
                  </wps:wsp>
                </a:graphicData>
              </a:graphic>
              <wp14:sizeRelH relativeFrom="margin">
                <wp14:pctWidth>0</wp14:pctWidth>
              </wp14:sizeRelH>
              <wp14:sizeRelV relativeFrom="margin">
                <wp14:pctHeight>0</wp14:pctHeight>
              </wp14:sizeRelV>
            </wp:anchor>
          </w:drawing>
        </mc:Choice>
        <mc:Fallback>
          <w:pict>
            <v:rect id="Rectangle 5" o:spid="_x0000_s2049" style="width:231.75pt;height:19.5pt;margin-top:4.1pt;margin-left:-27.8pt;mso-height-percent:0;mso-height-relative:margin;mso-width-percent:0;mso-width-relative:margin;mso-wrap-distance-bottom:0;mso-wrap-distance-left:0;mso-wrap-distance-right:0;mso-wrap-distance-top:0;mso-wrap-style:square;position:absolute;visibility:visible;v-text-anchor:top;z-index:251659264" filled="f" stroked="f">
              <v:textbox inset="0,0,0,0">
                <w:txbxContent>
                  <w:p w:rsidR="000E6A30" w14:paraId="7AE766A5" w14:textId="7C055456">
                    <w:pPr>
                      <w:spacing w:line="245" w:lineRule="auto"/>
                      <w:ind w:left="20" w:firstLine="60"/>
                    </w:pPr>
                    <w:r w:rsidRPr="008E0FB3">
                      <w:rPr>
                        <w:rFonts w:ascii="Calibri" w:eastAsia="Calibri" w:hAnsi="Calibri" w:cs="Calibri"/>
                        <w:b/>
                        <w:color w:val="7F7F7F" w:themeColor="background1" w:themeShade="7F"/>
                        <w:spacing w:val="60"/>
                      </w:rPr>
                      <w:t>Page</w:t>
                    </w:r>
                    <w:r w:rsidRPr="008E0FB3">
                      <w:rPr>
                        <w:rFonts w:ascii="Calibri" w:eastAsia="Calibri" w:hAnsi="Calibri" w:cs="Calibri"/>
                        <w:b/>
                        <w:color w:val="000000"/>
                      </w:rPr>
                      <w:t xml:space="preserve"> | </w:t>
                    </w:r>
                    <w:r w:rsidRPr="008E0FB3">
                      <w:rPr>
                        <w:rFonts w:ascii="Calibri" w:eastAsia="Calibri" w:hAnsi="Calibri" w:cs="Calibri"/>
                        <w:b/>
                        <w:color w:val="000000"/>
                      </w:rPr>
                      <w:fldChar w:fldCharType="begin"/>
                    </w:r>
                    <w:r w:rsidRPr="008E0FB3">
                      <w:rPr>
                        <w:rFonts w:ascii="Calibri" w:eastAsia="Calibri" w:hAnsi="Calibri" w:cs="Calibri"/>
                        <w:b/>
                        <w:color w:val="000000"/>
                      </w:rPr>
                      <w:instrText xml:space="preserve"> PAGE   \* MERGEFORMAT </w:instrText>
                    </w:r>
                    <w:r w:rsidRPr="008E0FB3">
                      <w:rPr>
                        <w:rFonts w:ascii="Calibri" w:eastAsia="Calibri" w:hAnsi="Calibri" w:cs="Calibri"/>
                        <w:b/>
                        <w:color w:val="000000"/>
                      </w:rPr>
                      <w:fldChar w:fldCharType="separate"/>
                    </w:r>
                    <w:r w:rsidRPr="008E0FB3">
                      <w:rPr>
                        <w:rFonts w:ascii="Calibri" w:eastAsia="Calibri" w:hAnsi="Calibri" w:cs="Calibri"/>
                        <w:b/>
                        <w:bCs/>
                        <w:noProof/>
                        <w:color w:val="000000"/>
                      </w:rPr>
                      <w:t>1</w:t>
                    </w:r>
                    <w:r w:rsidRPr="008E0FB3">
                      <w:rPr>
                        <w:rFonts w:ascii="Calibri" w:eastAsia="Calibri" w:hAnsi="Calibri" w:cs="Calibri"/>
                        <w:b/>
                        <w:bCs/>
                        <w:noProof/>
                        <w:color w:val="000000"/>
                      </w:rPr>
                      <w:fldChar w:fldCharType="end"/>
                    </w:r>
                  </w:p>
                </w:txbxContent>
              </v:textbox>
              <w10:wrap type="square"/>
            </v:rect>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39C505D0"/>
    <w:multiLevelType w:val="multilevel"/>
    <w:tmpl w:val="65FC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6C3DBD"/>
    <w:multiLevelType w:val="multilevel"/>
    <w:tmpl w:val="92843A2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nsid w:val="6AC25C52"/>
    <w:multiLevelType w:val="multilevel"/>
    <w:tmpl w:val="1C0E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A30"/>
    <w:rsid w:val="0003089E"/>
    <w:rsid w:val="000351B3"/>
    <w:rsid w:val="00071AB0"/>
    <w:rsid w:val="000B19EE"/>
    <w:rsid w:val="000B7678"/>
    <w:rsid w:val="000E6A30"/>
    <w:rsid w:val="001349E1"/>
    <w:rsid w:val="00153A82"/>
    <w:rsid w:val="001973E5"/>
    <w:rsid w:val="001B6751"/>
    <w:rsid w:val="001E64A9"/>
    <w:rsid w:val="00221272"/>
    <w:rsid w:val="0022277E"/>
    <w:rsid w:val="00232376"/>
    <w:rsid w:val="002924C1"/>
    <w:rsid w:val="002A75F8"/>
    <w:rsid w:val="002E6E32"/>
    <w:rsid w:val="002E6EFC"/>
    <w:rsid w:val="002F5789"/>
    <w:rsid w:val="003678A5"/>
    <w:rsid w:val="00375CC4"/>
    <w:rsid w:val="0039280E"/>
    <w:rsid w:val="003A032F"/>
    <w:rsid w:val="003D71FA"/>
    <w:rsid w:val="004037BF"/>
    <w:rsid w:val="00550977"/>
    <w:rsid w:val="005674F4"/>
    <w:rsid w:val="005C4BED"/>
    <w:rsid w:val="005E3CFD"/>
    <w:rsid w:val="006347F1"/>
    <w:rsid w:val="00637ECE"/>
    <w:rsid w:val="00666854"/>
    <w:rsid w:val="006C0DAF"/>
    <w:rsid w:val="00790FAB"/>
    <w:rsid w:val="007E28B6"/>
    <w:rsid w:val="00840F64"/>
    <w:rsid w:val="0086082C"/>
    <w:rsid w:val="00877B43"/>
    <w:rsid w:val="00886421"/>
    <w:rsid w:val="008E0FB3"/>
    <w:rsid w:val="00970AF4"/>
    <w:rsid w:val="0097267F"/>
    <w:rsid w:val="00977B6B"/>
    <w:rsid w:val="00990874"/>
    <w:rsid w:val="00990D98"/>
    <w:rsid w:val="009E20DC"/>
    <w:rsid w:val="00A23771"/>
    <w:rsid w:val="00A27BED"/>
    <w:rsid w:val="00A6118F"/>
    <w:rsid w:val="00A673FF"/>
    <w:rsid w:val="00AA1C60"/>
    <w:rsid w:val="00B34417"/>
    <w:rsid w:val="00B44201"/>
    <w:rsid w:val="00BF44B2"/>
    <w:rsid w:val="00C14A66"/>
    <w:rsid w:val="00C17645"/>
    <w:rsid w:val="00C71166"/>
    <w:rsid w:val="00C91067"/>
    <w:rsid w:val="00C96773"/>
    <w:rsid w:val="00CA5E27"/>
    <w:rsid w:val="00CC61C9"/>
    <w:rsid w:val="00D418B9"/>
    <w:rsid w:val="00D82074"/>
    <w:rsid w:val="00DC57E2"/>
    <w:rsid w:val="00E1278E"/>
    <w:rsid w:val="00E3122B"/>
    <w:rsid w:val="00E8576B"/>
    <w:rsid w:val="00EC51BC"/>
    <w:rsid w:val="00F1660F"/>
    <w:rsid w:val="00FE7B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456AD2"/>
  <w15:docId w15:val="{104132A9-EB04-4ABB-9ACF-2CF23F91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0" w:type="dxa"/>
        <w:right w:w="0" w:type="dxa"/>
      </w:tblCellMar>
    </w:tblPr>
  </w:style>
  <w:style w:type="table" w:customStyle="1" w:styleId="a8">
    <w:name w:val="a8"/>
    <w:basedOn w:val="TableNormal"/>
    <w:tblPr>
      <w:tblStyleRowBandSize w:val="1"/>
      <w:tblStyleColBandSize w:val="1"/>
      <w:tblCellMar>
        <w:left w:w="0" w:type="dxa"/>
        <w:right w:w="0" w:type="dxa"/>
      </w:tblCellMar>
    </w:tblPr>
  </w:style>
  <w:style w:type="table" w:customStyle="1" w:styleId="a9">
    <w:name w:val="a9"/>
    <w:basedOn w:val="TableNormal"/>
    <w:tblPr>
      <w:tblStyleRowBandSize w:val="1"/>
      <w:tblStyleColBandSize w:val="1"/>
      <w:tblCellMar>
        <w:left w:w="0" w:type="dxa"/>
        <w:right w:w="0" w:type="dxa"/>
      </w:tblCellMar>
    </w:tblPr>
  </w:style>
  <w:style w:type="table" w:customStyle="1" w:styleId="aa">
    <w:name w:val="aa"/>
    <w:basedOn w:val="TableNormal"/>
    <w:tblPr>
      <w:tblStyleRowBandSize w:val="1"/>
      <w:tblStyleColBandSize w:val="1"/>
      <w:tblCellMar>
        <w:left w:w="0" w:type="dxa"/>
        <w:right w:w="0" w:type="dxa"/>
      </w:tblCellMar>
    </w:tblPr>
  </w:style>
  <w:style w:type="table" w:customStyle="1" w:styleId="ab">
    <w:name w:val="ab"/>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5E3CFD"/>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5E3CFD"/>
    <w:rPr>
      <w:rFonts w:ascii="Arial" w:eastAsia="Arial" w:hAnsi="Arial" w:cs="Arial"/>
      <w:b/>
      <w:bCs/>
      <w:color w:val="2E5395"/>
      <w:sz w:val="20"/>
      <w:szCs w:val="20"/>
    </w:rPr>
  </w:style>
  <w:style w:type="paragraph" w:styleId="NormalWeb">
    <w:name w:val="Normal (Web)"/>
    <w:basedOn w:val="Normal"/>
    <w:uiPriority w:val="99"/>
    <w:unhideWhenUsed/>
    <w:rsid w:val="00FE7BA4"/>
    <w:pPr>
      <w:widowControl/>
      <w:spacing w:before="100" w:beforeAutospacing="1" w:after="100" w:afterAutospacing="1"/>
    </w:pPr>
  </w:style>
  <w:style w:type="paragraph" w:styleId="Revision">
    <w:name w:val="Revision"/>
    <w:hidden/>
    <w:uiPriority w:val="99"/>
    <w:semiHidden/>
    <w:rsid w:val="00C96773"/>
    <w:pPr>
      <w:widowControl/>
    </w:pPr>
  </w:style>
  <w:style w:type="character" w:styleId="UnresolvedMention">
    <w:name w:val="Unresolved Mention"/>
    <w:basedOn w:val="DefaultParagraphFont"/>
    <w:uiPriority w:val="99"/>
    <w:semiHidden/>
    <w:unhideWhenUsed/>
    <w:rsid w:val="00D82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8.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yperlink" Target="https://www.bls.gov/oes/current/oes_nat.htm#11-0000" TargetMode="External" /><Relationship Id="rId8" Type="http://schemas.openxmlformats.org/officeDocument/2006/relationships/hyperlink" Target="https://www.opm.gov/policy-data-oversight/pay-leave/salaries-wages/salary-tables/pdf/2024/RUS.pdf" TargetMode="Externa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Ltfqt/tl0ITPozxGUeL7rnqBsw==">CgMxLjAyDmgucHpkeGF2Y3N1YWZxMgloLjMwajB6bGwyDmgubDRjbTZoaXZydHo0Mg5oLm8zb2JmeGQ0dDZ3MzIJaC4zMGowemxsMg5oLmw0Y202aGl2cnR6NDIIaC5namRneHM4AGozChRzdWdnZXN0LmcwZGk0ZmdsaTFnYRIbVGF1bmEgUmFua2luIC0gTk9BQSBGZWRlcmFsciExZ01TamtITFduaWpXZGpITU5nVkxRalBzRkhxRWFvQzA=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B39297-72CC-421C-92AE-8525A72A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3397</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17</cp:revision>
  <dcterms:created xsi:type="dcterms:W3CDTF">2024-07-29T19:29:00Z</dcterms:created>
  <dcterms:modified xsi:type="dcterms:W3CDTF">2024-08-09T16:35:00Z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