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3510" w:rsidP="00B130C4" w14:paraId="2C3976D0" w14:textId="77777777">
      <w:pPr>
        <w:widowControl w:val="0"/>
        <w:tabs>
          <w:tab w:val="left" w:pos="3420"/>
        </w:tabs>
        <w:autoSpaceDE w:val="0"/>
        <w:autoSpaceDN w:val="0"/>
        <w:adjustRightInd w:val="0"/>
        <w:jc w:val="center"/>
        <w:rPr>
          <w:b/>
          <w:bCs/>
        </w:rPr>
      </w:pPr>
      <w:r>
        <w:t xml:space="preserve"> </w:t>
      </w:r>
      <w:r>
        <w:rPr>
          <w:b/>
          <w:bCs/>
        </w:rPr>
        <w:t>SUPPORTING STATEMENT</w:t>
      </w:r>
    </w:p>
    <w:p w:rsidR="00630856" w14:paraId="338FE2E1" w14:textId="77777777">
      <w:pPr>
        <w:widowControl w:val="0"/>
        <w:autoSpaceDE w:val="0"/>
        <w:autoSpaceDN w:val="0"/>
        <w:adjustRightInd w:val="0"/>
        <w:jc w:val="center"/>
        <w:rPr>
          <w:b/>
          <w:bCs/>
        </w:rPr>
      </w:pPr>
      <w:r>
        <w:rPr>
          <w:b/>
          <w:bCs/>
        </w:rPr>
        <w:t>U.S. Department of Commerce</w:t>
      </w:r>
    </w:p>
    <w:p w:rsidR="000A3510" w14:paraId="31FF98FF" w14:textId="77777777">
      <w:pPr>
        <w:widowControl w:val="0"/>
        <w:autoSpaceDE w:val="0"/>
        <w:autoSpaceDN w:val="0"/>
        <w:adjustRightInd w:val="0"/>
        <w:jc w:val="center"/>
        <w:rPr>
          <w:b/>
          <w:bCs/>
        </w:rPr>
      </w:pPr>
      <w:r>
        <w:rPr>
          <w:b/>
          <w:bCs/>
        </w:rPr>
        <w:t>Bureau of Industry and Security</w:t>
      </w:r>
    </w:p>
    <w:p w:rsidR="000A3510" w14:paraId="359D3E83" w14:textId="77777777">
      <w:pPr>
        <w:widowControl w:val="0"/>
        <w:autoSpaceDE w:val="0"/>
        <w:autoSpaceDN w:val="0"/>
        <w:adjustRightInd w:val="0"/>
        <w:jc w:val="center"/>
        <w:rPr>
          <w:b/>
          <w:bCs/>
        </w:rPr>
      </w:pPr>
      <w:r>
        <w:rPr>
          <w:b/>
          <w:bCs/>
        </w:rPr>
        <w:t>Offsets in Military Exports</w:t>
      </w:r>
    </w:p>
    <w:p w:rsidR="000A3510" w14:paraId="6C73F331" w14:textId="77777777">
      <w:pPr>
        <w:widowControl w:val="0"/>
        <w:autoSpaceDE w:val="0"/>
        <w:autoSpaceDN w:val="0"/>
        <w:adjustRightInd w:val="0"/>
        <w:jc w:val="center"/>
        <w:rPr>
          <w:b/>
          <w:bCs/>
        </w:rPr>
      </w:pPr>
      <w:r>
        <w:rPr>
          <w:b/>
          <w:bCs/>
        </w:rPr>
        <w:t>OMB Control No. 0694-0084</w:t>
      </w:r>
    </w:p>
    <w:p w:rsidR="000A3510" w14:paraId="37458335" w14:textId="77777777">
      <w:pPr>
        <w:widowControl w:val="0"/>
        <w:autoSpaceDE w:val="0"/>
        <w:autoSpaceDN w:val="0"/>
        <w:adjustRightInd w:val="0"/>
        <w:rPr>
          <w:b/>
          <w:bCs/>
        </w:rPr>
      </w:pPr>
    </w:p>
    <w:p w:rsidR="000A3510" w14:paraId="00C74B05" w14:textId="77777777">
      <w:pPr>
        <w:widowControl w:val="0"/>
        <w:autoSpaceDE w:val="0"/>
        <w:autoSpaceDN w:val="0"/>
        <w:adjustRightInd w:val="0"/>
        <w:rPr>
          <w:b/>
          <w:bCs/>
        </w:rPr>
      </w:pPr>
      <w:r>
        <w:rPr>
          <w:b/>
          <w:bCs/>
        </w:rPr>
        <w:t>A.  JUSTIFICATION</w:t>
      </w:r>
    </w:p>
    <w:p w:rsidR="00C624C2" w14:paraId="7895AC38" w14:textId="77777777">
      <w:pPr>
        <w:widowControl w:val="0"/>
        <w:autoSpaceDE w:val="0"/>
        <w:autoSpaceDN w:val="0"/>
        <w:adjustRightInd w:val="0"/>
        <w:rPr>
          <w:b/>
          <w:bCs/>
        </w:rPr>
      </w:pPr>
    </w:p>
    <w:p w:rsidR="000A3510" w14:paraId="20FCE366" w14:textId="77777777">
      <w:pPr>
        <w:widowControl w:val="0"/>
        <w:autoSpaceDE w:val="0"/>
        <w:autoSpaceDN w:val="0"/>
        <w:adjustRightInd w:val="0"/>
        <w:rPr>
          <w:b/>
          <w:bCs/>
        </w:rPr>
      </w:pPr>
      <w:r>
        <w:rPr>
          <w:b/>
          <w:bCs/>
        </w:rPr>
        <w:t xml:space="preserve">1.  </w:t>
      </w:r>
      <w:r>
        <w:rPr>
          <w:b/>
          <w:bCs/>
          <w:u w:val="single"/>
        </w:rPr>
        <w:t>Explain the circumstances that make the collection of information necessary.</w:t>
      </w:r>
      <w:r>
        <w:rPr>
          <w:b/>
          <w:bCs/>
        </w:rPr>
        <w:t xml:space="preserve">  </w:t>
      </w:r>
    </w:p>
    <w:p w:rsidR="000A3510" w14:paraId="20AC733C" w14:textId="77777777">
      <w:pPr>
        <w:widowControl w:val="0"/>
        <w:autoSpaceDE w:val="0"/>
        <w:autoSpaceDN w:val="0"/>
        <w:adjustRightInd w:val="0"/>
        <w:rPr>
          <w:b/>
          <w:bCs/>
        </w:rPr>
      </w:pPr>
    </w:p>
    <w:p w:rsidR="000A3510" w14:paraId="12CD7A99" w14:textId="77777777">
      <w:pPr>
        <w:widowControl w:val="0"/>
        <w:autoSpaceDE w:val="0"/>
        <w:autoSpaceDN w:val="0"/>
        <w:adjustRightInd w:val="0"/>
      </w:pPr>
      <w:r>
        <w:t xml:space="preserve">In 1984, the Congress enacted amendments to the Defense Production Act </w:t>
      </w:r>
      <w:r w:rsidR="00515DF1">
        <w:t>of 1950 (</w:t>
      </w:r>
      <w:r w:rsidR="00515DF1">
        <w:rPr>
          <w:u w:val="single"/>
        </w:rPr>
        <w:t>See</w:t>
      </w:r>
      <w:r w:rsidR="00515DF1">
        <w:t xml:space="preserve"> 50 U.S.C. </w:t>
      </w:r>
      <w:r w:rsidR="00F65835">
        <w:t xml:space="preserve">4501 </w:t>
      </w:r>
      <w:r w:rsidR="00515DF1">
        <w:t xml:space="preserve">et seq.) </w:t>
      </w:r>
      <w:r>
        <w:t xml:space="preserve">(DPA), including the addition of Section 309 addressing offsets in defense trade.  </w:t>
      </w:r>
      <w:r>
        <w:rPr>
          <w:u w:val="single"/>
        </w:rPr>
        <w:t>See</w:t>
      </w:r>
      <w:r>
        <w:t xml:space="preserve"> Pub. L. 98-265, April 17, 1984, 98 </w:t>
      </w:r>
      <w:r w:rsidR="00390ECB">
        <w:t>Stat. 149.   Section 309 required</w:t>
      </w:r>
      <w:r>
        <w:t xml:space="preserve"> the President to submit an annual report on the impact of offsets on the U.S. defense industrial base to the Congress’ then-Committee on Banking, Finance, and Urban Affairs of the House of Representatives and the Committee on Banking, Housing, and Urban Affairs of the Senate. </w:t>
      </w:r>
    </w:p>
    <w:p w:rsidR="000A3510" w14:paraId="6FE50317" w14:textId="77777777">
      <w:pPr>
        <w:widowControl w:val="0"/>
        <w:autoSpaceDE w:val="0"/>
        <w:autoSpaceDN w:val="0"/>
        <w:adjustRightInd w:val="0"/>
      </w:pPr>
    </w:p>
    <w:p w:rsidR="000A3510" w14:paraId="3FB47C72" w14:textId="77777777">
      <w:pPr>
        <w:widowControl w:val="0"/>
        <w:autoSpaceDE w:val="0"/>
        <w:autoSpaceDN w:val="0"/>
        <w:adjustRightInd w:val="0"/>
      </w:pPr>
      <w:r>
        <w:t xml:space="preserve">The Office of Management and Budget (OMB) was appointed the interagency coordinator for preparing the report for Congress when Section 309 was first enacted.  Section 309 of the DPA was amended in 1992, and the Secretary of Commerce was directed to function as the President’s Executive Agent for carrying out the responsibilities set forth in Section 309.  </w:t>
      </w:r>
      <w:r>
        <w:rPr>
          <w:u w:val="single"/>
        </w:rPr>
        <w:t>See</w:t>
      </w:r>
      <w:r>
        <w:t xml:space="preserve"> Pub. L. 102-558, Oct. 28, 1992, 106 Stat. 4198; </w:t>
      </w:r>
      <w:r>
        <w:rPr>
          <w:u w:val="single"/>
        </w:rPr>
        <w:t>see</w:t>
      </w:r>
      <w:r>
        <w:t xml:space="preserve"> also Part IV of Exec. Order No. 12919, 59 </w:t>
      </w:r>
      <w:r>
        <w:rPr>
          <w:u w:val="single"/>
        </w:rPr>
        <w:t>Fed. Reg</w:t>
      </w:r>
      <w:r>
        <w:rPr>
          <w:i/>
          <w:iCs/>
        </w:rPr>
        <w:t>.</w:t>
      </w:r>
      <w:r>
        <w:t xml:space="preserve"> 29525 (June 3, 1994).    </w:t>
      </w:r>
    </w:p>
    <w:p w:rsidR="000A3510" w14:paraId="0A16FB42" w14:textId="77777777">
      <w:pPr>
        <w:widowControl w:val="0"/>
        <w:autoSpaceDE w:val="0"/>
        <w:autoSpaceDN w:val="0"/>
        <w:adjustRightInd w:val="0"/>
      </w:pPr>
    </w:p>
    <w:p w:rsidR="000A3510" w14:paraId="2EB1BE49" w14:textId="77777777">
      <w:pPr>
        <w:widowControl w:val="0"/>
        <w:autoSpaceDE w:val="0"/>
        <w:autoSpaceDN w:val="0"/>
        <w:adjustRightInd w:val="0"/>
      </w:pPr>
      <w:r>
        <w:t xml:space="preserve">Section 309 authorized the Secretary of Commerce to develop and administer the regulations necessary to collect offset data from U.S. firms.  The Secretary of Commerce delegated this authority to the Bureau of Industry and Security (BIS).  BIS published its offset reporting regulations in 1994.  </w:t>
      </w:r>
      <w:r>
        <w:rPr>
          <w:u w:val="single"/>
        </w:rPr>
        <w:t>See</w:t>
      </w:r>
      <w:r>
        <w:t xml:space="preserve"> 59 </w:t>
      </w:r>
      <w:r>
        <w:rPr>
          <w:u w:val="single"/>
        </w:rPr>
        <w:t>Fed. Reg</w:t>
      </w:r>
      <w:r>
        <w:rPr>
          <w:i/>
          <w:iCs/>
        </w:rPr>
        <w:t>.</w:t>
      </w:r>
      <w:r>
        <w:t xml:space="preserve"> 61796, Dec. 2, 1994, codified at 15 C.F.R. § 701.</w:t>
      </w:r>
    </w:p>
    <w:p w:rsidR="00A162A1" w14:paraId="73DDCFE8" w14:textId="77777777">
      <w:pPr>
        <w:widowControl w:val="0"/>
        <w:autoSpaceDE w:val="0"/>
        <w:autoSpaceDN w:val="0"/>
        <w:adjustRightInd w:val="0"/>
      </w:pPr>
    </w:p>
    <w:p w:rsidR="00A162A1" w:rsidP="00A162A1" w14:paraId="1F7DEBDF" w14:textId="77777777">
      <w:pPr>
        <w:widowControl w:val="0"/>
        <w:autoSpaceDE w:val="0"/>
        <w:autoSpaceDN w:val="0"/>
        <w:adjustRightInd w:val="0"/>
      </w:pPr>
      <w:r>
        <w:t xml:space="preserve">In 2009, Congress amended the DPA, </w:t>
      </w:r>
      <w:r w:rsidR="00835422">
        <w:t>striking</w:t>
      </w:r>
      <w:r>
        <w:t xml:space="preserve"> Section 309 </w:t>
      </w:r>
      <w:r w:rsidR="00835422">
        <w:t xml:space="preserve">and replacing it </w:t>
      </w:r>
      <w:r>
        <w:t xml:space="preserve">with Section 723.  </w:t>
      </w:r>
      <w:r w:rsidRPr="007660CF">
        <w:rPr>
          <w:u w:val="single"/>
        </w:rPr>
        <w:t>See</w:t>
      </w:r>
      <w:r>
        <w:t xml:space="preserve"> Pub. L. 111-67, September 30, 2009 123 Stat. 2020.  </w:t>
      </w:r>
    </w:p>
    <w:p w:rsidR="00390ECB" w:rsidP="00A162A1" w14:paraId="3CCE95C4" w14:textId="77777777">
      <w:pPr>
        <w:widowControl w:val="0"/>
        <w:autoSpaceDE w:val="0"/>
        <w:autoSpaceDN w:val="0"/>
        <w:adjustRightInd w:val="0"/>
      </w:pPr>
    </w:p>
    <w:p w:rsidR="00FF3A81" w14:paraId="28FB6198" w14:textId="48EB8DC2">
      <w:pPr>
        <w:widowControl w:val="0"/>
        <w:autoSpaceDE w:val="0"/>
        <w:autoSpaceDN w:val="0"/>
        <w:adjustRightInd w:val="0"/>
      </w:pPr>
      <w:r>
        <w:t>On March 16, 2012, the President signed an Executive Order</w:t>
      </w:r>
      <w:r w:rsidR="00AD4E89">
        <w:t xml:space="preserve"> Number 13603</w:t>
      </w:r>
      <w:r>
        <w:t xml:space="preserve"> renewing the authority of the Secretary of Commerce </w:t>
      </w:r>
      <w:r w:rsidR="000F158A">
        <w:t xml:space="preserve">to </w:t>
      </w:r>
      <w:r>
        <w:t xml:space="preserve">prepare and submit to the Congress the annual </w:t>
      </w:r>
      <w:r w:rsidR="00AD4E89">
        <w:t xml:space="preserve">offset </w:t>
      </w:r>
      <w:r>
        <w:t xml:space="preserve">report </w:t>
      </w:r>
      <w:r w:rsidR="00AD4E89">
        <w:t xml:space="preserve">to Congress.  </w:t>
      </w:r>
      <w:r w:rsidRPr="00B130C4" w:rsidR="00AD4E89">
        <w:rPr>
          <w:u w:val="single"/>
        </w:rPr>
        <w:t>See</w:t>
      </w:r>
      <w:r w:rsidRPr="00390ECB">
        <w:t xml:space="preserve"> Order No. 77 </w:t>
      </w:r>
      <w:r w:rsidRPr="00B130C4">
        <w:rPr>
          <w:u w:val="single"/>
        </w:rPr>
        <w:t>Fed. Reg</w:t>
      </w:r>
      <w:r w:rsidRPr="00390ECB">
        <w:t>. 16651</w:t>
      </w:r>
      <w:r w:rsidR="00AD4E89">
        <w:t>,</w:t>
      </w:r>
      <w:r w:rsidRPr="00390ECB">
        <w:t xml:space="preserve"> March 22, 2012.</w:t>
      </w:r>
      <w:r w:rsidR="00315C26">
        <w:t xml:space="preserve">  A copy </w:t>
      </w:r>
      <w:r>
        <w:t xml:space="preserve">of all materials was provided to OMB with this request.  </w:t>
      </w:r>
    </w:p>
    <w:p w:rsidR="00AB3016" w14:paraId="4EDBD8BD" w14:textId="77777777">
      <w:pPr>
        <w:widowControl w:val="0"/>
        <w:autoSpaceDE w:val="0"/>
        <w:autoSpaceDN w:val="0"/>
        <w:adjustRightInd w:val="0"/>
      </w:pPr>
    </w:p>
    <w:p w:rsidR="000A3510" w14:paraId="6316A04D" w14:textId="0BA5FA47">
      <w:pPr>
        <w:widowControl w:val="0"/>
        <w:autoSpaceDE w:val="0"/>
        <w:autoSpaceDN w:val="0"/>
        <w:adjustRightInd w:val="0"/>
      </w:pPr>
      <w:r>
        <w:t xml:space="preserve">Virtually all defense trading partners of the United States impose some sort of offset requirement on large </w:t>
      </w:r>
      <w:r w:rsidR="000F158A">
        <w:t xml:space="preserve">procurements </w:t>
      </w:r>
      <w:r>
        <w:t xml:space="preserve">of U.S. military items </w:t>
      </w:r>
      <w:r w:rsidR="000F158A">
        <w:t>by</w:t>
      </w:r>
      <w:r>
        <w:t xml:space="preserve"> their country.  The defense offsets are industrial compensation practices, such as requiring overseas co-production, foreign licensed production, overseas subcontractor production, overseas investment or counter trade.   </w:t>
      </w:r>
    </w:p>
    <w:p w:rsidR="00B60294" w14:paraId="76109B69" w14:textId="77777777">
      <w:pPr>
        <w:widowControl w:val="0"/>
        <w:autoSpaceDE w:val="0"/>
        <w:autoSpaceDN w:val="0"/>
        <w:adjustRightInd w:val="0"/>
      </w:pPr>
    </w:p>
    <w:p w:rsidR="000A3510" w14:paraId="76270B7E" w14:textId="77777777">
      <w:pPr>
        <w:widowControl w:val="0"/>
        <w:autoSpaceDE w:val="0"/>
        <w:autoSpaceDN w:val="0"/>
        <w:adjustRightInd w:val="0"/>
      </w:pPr>
    </w:p>
    <w:p w:rsidR="000A3510" w14:paraId="52F0E6D2" w14:textId="21053797">
      <w:pPr>
        <w:widowControl w:val="0"/>
        <w:autoSpaceDE w:val="0"/>
        <w:autoSpaceDN w:val="0"/>
        <w:adjustRightInd w:val="0"/>
      </w:pPr>
      <w:r>
        <w:t>Commerce’s offset reporting</w:t>
      </w:r>
      <w:r w:rsidR="00AD4E89">
        <w:t xml:space="preserve"> regulation</w:t>
      </w:r>
      <w:r>
        <w:t>s</w:t>
      </w:r>
      <w:r w:rsidR="00AD4E89">
        <w:t xml:space="preserve"> require </w:t>
      </w:r>
      <w:r>
        <w:t xml:space="preserve">U.S. firms to report annually on contracts for the sale of defense articles or defense services to foreign governments or foreign firms that are subject to offset agreements exceeding $5,000,000 in value.  They are also required to report offset transactions completed in performance of existing offset commitments for which offset credit of $250,000 or more has been claimed from the foreign representative.  </w:t>
      </w:r>
      <w:r w:rsidR="0000390F">
        <w:t>U.S.</w:t>
      </w:r>
      <w:r>
        <w:t xml:space="preserve"> firms submit such reports for the preceding calendar year no later than June 15</w:t>
      </w:r>
      <w:r>
        <w:t xml:space="preserve"> each year</w:t>
      </w:r>
      <w:r>
        <w:t xml:space="preserve">.  Commerce publishes a Federal Register Notice annually reminding the public of these requirements.  At present, BIS’s offset database contains </w:t>
      </w:r>
      <w:r w:rsidR="0000390F">
        <w:t>2</w:t>
      </w:r>
      <w:r w:rsidR="00A81190">
        <w:t>8</w:t>
      </w:r>
      <w:r w:rsidR="00F65835">
        <w:t xml:space="preserve"> </w:t>
      </w:r>
      <w:r>
        <w:t>years of data (1993-</w:t>
      </w:r>
      <w:r w:rsidR="00F174C2">
        <w:t>2020</w:t>
      </w:r>
      <w:r>
        <w:t xml:space="preserve">).  The first report on Offsets in Defense Trade prepared by BIS was forwarded to Congress on May 20, 1996.  </w:t>
      </w:r>
    </w:p>
    <w:p w:rsidR="000A3510" w14:paraId="7ED3DE7A" w14:textId="77777777">
      <w:pPr>
        <w:widowControl w:val="0"/>
        <w:autoSpaceDE w:val="0"/>
        <w:autoSpaceDN w:val="0"/>
        <w:adjustRightInd w:val="0"/>
      </w:pPr>
    </w:p>
    <w:p w:rsidR="000A3510" w14:paraId="210AE682" w14:textId="5967B240">
      <w:pPr>
        <w:widowControl w:val="0"/>
        <w:autoSpaceDE w:val="0"/>
        <w:autoSpaceDN w:val="0"/>
        <w:adjustRightInd w:val="0"/>
      </w:pPr>
      <w:r>
        <w:t xml:space="preserve">BIS published its </w:t>
      </w:r>
      <w:r w:rsidR="00F65835">
        <w:t>twenty</w:t>
      </w:r>
      <w:r w:rsidR="00AB3016">
        <w:t>-</w:t>
      </w:r>
      <w:r w:rsidR="00F174C2">
        <w:t>fifth</w:t>
      </w:r>
      <w:r w:rsidR="00F65835">
        <w:t xml:space="preserve"> </w:t>
      </w:r>
      <w:r>
        <w:t xml:space="preserve">report to Congress on offsets in defense trade in </w:t>
      </w:r>
      <w:r w:rsidR="00F174C2">
        <w:t>July 2021</w:t>
      </w:r>
      <w:r>
        <w:t xml:space="preserve">.  This report reviews offset data for the </w:t>
      </w:r>
      <w:r w:rsidR="00F65835">
        <w:t>2</w:t>
      </w:r>
      <w:r w:rsidR="00A81190">
        <w:t>7</w:t>
      </w:r>
      <w:r>
        <w:t>-year period from 1993-</w:t>
      </w:r>
      <w:r w:rsidR="00F174C2">
        <w:t>2019</w:t>
      </w:r>
      <w:r>
        <w:t>.</w:t>
      </w:r>
      <w:r w:rsidR="00AB3016">
        <w:t xml:space="preserve">  BIS expects to publish its twenty-</w:t>
      </w:r>
      <w:r w:rsidR="00F174C2">
        <w:t>sixth</w:t>
      </w:r>
      <w:r w:rsidR="00AB3016">
        <w:t xml:space="preserve"> report to Congress shortly, which will include data from </w:t>
      </w:r>
      <w:r w:rsidR="00F174C2">
        <w:t>2020</w:t>
      </w:r>
      <w:r w:rsidR="00AB3016">
        <w:t>.</w:t>
      </w:r>
    </w:p>
    <w:p w:rsidR="000A3510" w14:paraId="3A39CA31" w14:textId="77777777">
      <w:pPr>
        <w:widowControl w:val="0"/>
        <w:autoSpaceDE w:val="0"/>
        <w:autoSpaceDN w:val="0"/>
        <w:adjustRightInd w:val="0"/>
      </w:pPr>
    </w:p>
    <w:p w:rsidR="000A3510" w14:paraId="560E7FC8" w14:textId="77777777">
      <w:pPr>
        <w:widowControl w:val="0"/>
        <w:autoSpaceDE w:val="0"/>
        <w:autoSpaceDN w:val="0"/>
        <w:adjustRightInd w:val="0"/>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0A3510" w14:paraId="05490E86" w14:textId="77777777">
      <w:pPr>
        <w:widowControl w:val="0"/>
        <w:autoSpaceDE w:val="0"/>
        <w:autoSpaceDN w:val="0"/>
        <w:adjustRightInd w:val="0"/>
      </w:pPr>
    </w:p>
    <w:p w:rsidR="000A3510" w14:paraId="5EBEEF9D" w14:textId="4E8C14C2">
      <w:pPr>
        <w:widowControl w:val="0"/>
        <w:autoSpaceDE w:val="0"/>
        <w:autoSpaceDN w:val="0"/>
        <w:adjustRightInd w:val="0"/>
      </w:pPr>
      <w:r>
        <w:t xml:space="preserve">By statute, the Secretary </w:t>
      </w:r>
      <w:r w:rsidR="00AB3016">
        <w:t xml:space="preserve">of Commerce </w:t>
      </w:r>
      <w:r>
        <w:t xml:space="preserve">must submit an annual report to Congress on the impact of offsets in defense trade on the United States.  </w:t>
      </w:r>
      <w:r w:rsidR="00006200">
        <w:t>A public version of the report</w:t>
      </w:r>
      <w:r w:rsidR="000F158A">
        <w:t>, that does not include certain sensitive information,</w:t>
      </w:r>
      <w:r w:rsidR="00006200">
        <w:t xml:space="preserve"> is posted on BIS’s website.  </w:t>
      </w:r>
      <w:r>
        <w:t xml:space="preserve">The reports are based on offset agreement and offset transaction data reported to BIS by industry on an annual basis.  BIS uses the data to determine the impact of offset activity on the defense preparedness, industrial competitiveness, employment, and trade of the United States.  </w:t>
      </w:r>
    </w:p>
    <w:p w:rsidR="000A3510" w14:paraId="5DFB3812" w14:textId="77777777">
      <w:pPr>
        <w:widowControl w:val="0"/>
        <w:autoSpaceDE w:val="0"/>
        <w:autoSpaceDN w:val="0"/>
        <w:adjustRightInd w:val="0"/>
      </w:pPr>
    </w:p>
    <w:p w:rsidR="000A3510" w14:paraId="09A2E2CF" w14:textId="204428FC">
      <w:pPr>
        <w:widowControl w:val="0"/>
        <w:autoSpaceDE w:val="0"/>
        <w:autoSpaceDN w:val="0"/>
        <w:adjustRightInd w:val="0"/>
      </w:pPr>
      <w:r>
        <w:t>In 20</w:t>
      </w:r>
      <w:r w:rsidR="000F158A">
        <w:t>18</w:t>
      </w:r>
      <w:r>
        <w:t xml:space="preserve">, </w:t>
      </w:r>
      <w:r w:rsidR="000F158A">
        <w:t>as part of the Implementation Plan for the Conventional Arms Transfer (CAT) Policy</w:t>
      </w:r>
      <w:r w:rsidR="003800A8">
        <w:t xml:space="preserve">, an Interagency Offset Working Group was established.  It mirrored a previous Working Group that was established in 2003 pursuant to an amendment to </w:t>
      </w:r>
      <w:r>
        <w:t>Section 123(c) of the DPA</w:t>
      </w:r>
      <w:r w:rsidR="003800A8">
        <w:t>, which had ceased to exist after its statutory mandate expired.  Among the Working Group’s tasks is</w:t>
      </w:r>
      <w:r>
        <w:t xml:space="preserve"> to consult with foreign nations on limiting the adverse effects of offsets in defense procurement.   </w:t>
      </w:r>
      <w:r w:rsidR="00AB3016">
        <w:t xml:space="preserve"> </w:t>
      </w:r>
      <w:r>
        <w:t xml:space="preserve">The </w:t>
      </w:r>
      <w:r w:rsidR="003800A8">
        <w:t xml:space="preserve">current </w:t>
      </w:r>
      <w:r>
        <w:t>interagency group</w:t>
      </w:r>
      <w:r w:rsidR="00AD4E89">
        <w:t xml:space="preserve">, </w:t>
      </w:r>
      <w:r w:rsidR="003800A8">
        <w:t>co-</w:t>
      </w:r>
      <w:r w:rsidR="00AD4E89">
        <w:t>chaired by</w:t>
      </w:r>
      <w:r w:rsidR="00DF2BE4">
        <w:t xml:space="preserve"> the Department of </w:t>
      </w:r>
      <w:r w:rsidR="003800A8">
        <w:t xml:space="preserve">State and the Department, also includes various offices within the Department of Defense and </w:t>
      </w:r>
      <w:r>
        <w:t>the Office of the United States Trade Representative.  Commerce consults with members of the interagency group in completing this report.  In addition, the data contained in this report is considered by representatives of the United States during bilateral and multilateral discussions with friends and allies to minimize the adverse effects of offsets</w:t>
      </w:r>
      <w:r w:rsidR="00DF2BE4">
        <w:t xml:space="preserve"> in defense priorities</w:t>
      </w:r>
      <w:r>
        <w:t xml:space="preserve">. </w:t>
      </w:r>
    </w:p>
    <w:p w:rsidR="000A3510" w14:paraId="48E3D1A0" w14:textId="77777777">
      <w:pPr>
        <w:widowControl w:val="0"/>
        <w:autoSpaceDE w:val="0"/>
        <w:autoSpaceDN w:val="0"/>
        <w:adjustRightInd w:val="0"/>
      </w:pPr>
    </w:p>
    <w:p w:rsidR="00FC08FC" w14:paraId="66EDCA54" w14:textId="77777777">
      <w:pPr>
        <w:widowControl w:val="0"/>
        <w:autoSpaceDE w:val="0"/>
        <w:autoSpaceDN w:val="0"/>
        <w:adjustRightInd w:val="0"/>
      </w:pPr>
      <w:r>
        <w:t>The Section 515 Information Quality Guidelines apply to this information collection and comply with all applicable information quality guidelines, i.e., OMB, Department of Commerce, and specific operating unit guidelines.</w:t>
      </w:r>
    </w:p>
    <w:p w:rsidR="00FC08FC" w14:paraId="4B77E53C" w14:textId="1FF04813">
      <w:pPr>
        <w:widowControl w:val="0"/>
        <w:autoSpaceDE w:val="0"/>
        <w:autoSpaceDN w:val="0"/>
        <w:adjustRightInd w:val="0"/>
      </w:pPr>
    </w:p>
    <w:p w:rsidR="00B17C44" w14:paraId="6009D5A5" w14:textId="77777777">
      <w:pPr>
        <w:widowControl w:val="0"/>
        <w:autoSpaceDE w:val="0"/>
        <w:autoSpaceDN w:val="0"/>
        <w:adjustRightInd w:val="0"/>
      </w:pPr>
    </w:p>
    <w:p w:rsidR="000A3510" w14:paraId="51A21E24" w14:textId="77777777">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0A3510" w14:paraId="536B21C5" w14:textId="77777777">
      <w:pPr>
        <w:widowControl w:val="0"/>
        <w:autoSpaceDE w:val="0"/>
        <w:autoSpaceDN w:val="0"/>
        <w:adjustRightInd w:val="0"/>
      </w:pPr>
    </w:p>
    <w:p w:rsidR="000A3510" w14:paraId="4FFB6279" w14:textId="71E50517">
      <w:pPr>
        <w:widowControl w:val="0"/>
        <w:autoSpaceDE w:val="0"/>
        <w:autoSpaceDN w:val="0"/>
        <w:adjustRightInd w:val="0"/>
      </w:pPr>
      <w:r>
        <w:t>C</w:t>
      </w:r>
      <w:r>
        <w:t>ompanies reporting data concerning their firm</w:t>
      </w:r>
      <w:r w:rsidR="003800A8">
        <w:t>’</w:t>
      </w:r>
      <w:r>
        <w:t xml:space="preserve">s offset activities are permitted to provide the information in the format most convenient with their particular computer capabilities.  These firms already collect, analyze, and present this information to document their implementation and performance on each offset agreement and transaction to the foreign government to which offset commitments are made.  The regulations require companies to submit offset activity in hardcopy via mail </w:t>
      </w:r>
      <w:r w:rsidR="003800A8">
        <w:t>and</w:t>
      </w:r>
      <w:r>
        <w:t xml:space="preserve"> as an attachment to an e-mail and in a computerized spreadsheet/database format.  </w:t>
      </w:r>
    </w:p>
    <w:p w:rsidR="00630856" w14:paraId="79FDA8F9" w14:textId="77777777">
      <w:pPr>
        <w:widowControl w:val="0"/>
        <w:autoSpaceDE w:val="0"/>
        <w:autoSpaceDN w:val="0"/>
        <w:adjustRightInd w:val="0"/>
      </w:pPr>
    </w:p>
    <w:p w:rsidR="000A3510" w14:paraId="134863AD" w14:textId="77777777">
      <w:pPr>
        <w:widowControl w:val="0"/>
        <w:autoSpaceDE w:val="0"/>
        <w:autoSpaceDN w:val="0"/>
        <w:adjustRightInd w:val="0"/>
      </w:pPr>
      <w:r>
        <w:rPr>
          <w:b/>
          <w:bCs/>
        </w:rPr>
        <w:t xml:space="preserve">4.  </w:t>
      </w:r>
      <w:r>
        <w:rPr>
          <w:b/>
          <w:bCs/>
          <w:u w:val="single"/>
        </w:rPr>
        <w:t>Describe efforts to identify duplication</w:t>
      </w:r>
      <w:r>
        <w:rPr>
          <w:b/>
          <w:bCs/>
        </w:rPr>
        <w:t>.</w:t>
      </w:r>
    </w:p>
    <w:p w:rsidR="000A3510" w14:paraId="5B24AA34" w14:textId="77777777">
      <w:pPr>
        <w:widowControl w:val="0"/>
        <w:autoSpaceDE w:val="0"/>
        <w:autoSpaceDN w:val="0"/>
        <w:adjustRightInd w:val="0"/>
      </w:pPr>
    </w:p>
    <w:p w:rsidR="000A3510" w14:paraId="28A27C3C" w14:textId="77777777">
      <w:pPr>
        <w:widowControl w:val="0"/>
        <w:autoSpaceDE w:val="0"/>
        <w:autoSpaceDN w:val="0"/>
        <w:adjustRightInd w:val="0"/>
      </w:pPr>
      <w:r>
        <w:t xml:space="preserve">A thorough background check of data sources continues to substantiate the original finding that no other </w:t>
      </w:r>
      <w:r w:rsidR="009251DB">
        <w:t xml:space="preserve">U.S. </w:t>
      </w:r>
      <w:r>
        <w:t>government, industry or academic organizations are currently conducting research at a level of detail which duplicates this data collection.</w:t>
      </w:r>
      <w:r w:rsidR="009251DB">
        <w:t xml:space="preserve">  </w:t>
      </w:r>
    </w:p>
    <w:p w:rsidR="000A3510" w14:paraId="7C84E07C" w14:textId="77777777">
      <w:pPr>
        <w:widowControl w:val="0"/>
        <w:autoSpaceDE w:val="0"/>
        <w:autoSpaceDN w:val="0"/>
        <w:adjustRightInd w:val="0"/>
      </w:pPr>
    </w:p>
    <w:p w:rsidR="000A3510" w14:paraId="10A4FB52" w14:textId="77777777">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p>
    <w:p w:rsidR="000A3510" w14:paraId="244A3F73" w14:textId="77777777">
      <w:pPr>
        <w:widowControl w:val="0"/>
        <w:autoSpaceDE w:val="0"/>
        <w:autoSpaceDN w:val="0"/>
        <w:adjustRightInd w:val="0"/>
      </w:pPr>
    </w:p>
    <w:p w:rsidR="000A3510" w14:paraId="4F70DD44" w14:textId="77777777">
      <w:pPr>
        <w:widowControl w:val="0"/>
        <w:autoSpaceDE w:val="0"/>
        <w:autoSpaceDN w:val="0"/>
        <w:adjustRightInd w:val="0"/>
      </w:pPr>
      <w:r>
        <w:t>This data collection will not have a significant economic impact on a substantial number of small businesses or other small entities.  Based on experience, the reporting requirement affects almost exclusively large defense contractors that engage in offset agreements with foreign governments and report related offset transactions to these governments.  Moreover, these companies already keep track of offset agreement and offset transaction data for reporting to the foreign government parties to the offset agreements.</w:t>
      </w:r>
      <w:r>
        <w:tab/>
      </w:r>
    </w:p>
    <w:p w:rsidR="000A3510" w14:paraId="37E56646" w14:textId="77777777">
      <w:pPr>
        <w:widowControl w:val="0"/>
        <w:autoSpaceDE w:val="0"/>
        <w:autoSpaceDN w:val="0"/>
        <w:adjustRightInd w:val="0"/>
      </w:pPr>
    </w:p>
    <w:p w:rsidR="000A3510" w14:paraId="76916CD5" w14:textId="77777777">
      <w:pPr>
        <w:widowControl w:val="0"/>
        <w:autoSpaceDE w:val="0"/>
        <w:autoSpaceDN w:val="0"/>
        <w:adjustRightInd w:val="0"/>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0A3510" w14:paraId="44092CAD" w14:textId="77777777">
      <w:pPr>
        <w:widowControl w:val="0"/>
        <w:autoSpaceDE w:val="0"/>
        <w:autoSpaceDN w:val="0"/>
        <w:adjustRightInd w:val="0"/>
      </w:pPr>
    </w:p>
    <w:p w:rsidR="00FC08FC" w14:paraId="2F03C815" w14:textId="77777777">
      <w:pPr>
        <w:widowControl w:val="0"/>
        <w:autoSpaceDE w:val="0"/>
        <w:autoSpaceDN w:val="0"/>
        <w:adjustRightInd w:val="0"/>
      </w:pPr>
      <w:r>
        <w:t>The data concerning offset agreements and transactions must be collected yearly in order for Commerce to make accurate and timely assessments of the impact of offsets on the defense preparedness, industrial competitiveness, employment, and trade of the United States in its report to Congress, as required by statute, and cannot be collected less frequently.</w:t>
      </w:r>
    </w:p>
    <w:p w:rsidR="00FC08FC" w14:paraId="3F1FA24C" w14:textId="77777777">
      <w:pPr>
        <w:widowControl w:val="0"/>
        <w:autoSpaceDE w:val="0"/>
        <w:autoSpaceDN w:val="0"/>
        <w:adjustRightInd w:val="0"/>
      </w:pPr>
    </w:p>
    <w:p w:rsidR="000A3510" w14:paraId="3BA22131" w14:textId="77777777">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0A3510" w14:paraId="55E017A3" w14:textId="77777777">
      <w:pPr>
        <w:widowControl w:val="0"/>
        <w:autoSpaceDE w:val="0"/>
        <w:autoSpaceDN w:val="0"/>
        <w:adjustRightInd w:val="0"/>
      </w:pPr>
    </w:p>
    <w:p w:rsidR="000A3510" w14:paraId="10F7A2F5" w14:textId="77777777">
      <w:pPr>
        <w:widowControl w:val="0"/>
        <w:autoSpaceDE w:val="0"/>
        <w:autoSpaceDN w:val="0"/>
        <w:adjustRightInd w:val="0"/>
      </w:pPr>
      <w:r>
        <w:t>No special circumstances apply that require the collection of information to be conducted in a manner inconsistent with the guidelines of 5 CFR 1320.6.</w:t>
      </w:r>
    </w:p>
    <w:p w:rsidR="000A3510" w14:paraId="07334336" w14:textId="7456057D">
      <w:pPr>
        <w:widowControl w:val="0"/>
        <w:autoSpaceDE w:val="0"/>
        <w:autoSpaceDN w:val="0"/>
        <w:adjustRightInd w:val="0"/>
      </w:pPr>
    </w:p>
    <w:p w:rsidR="00B17C44" w14:paraId="231D717E" w14:textId="3B97A399">
      <w:pPr>
        <w:widowControl w:val="0"/>
        <w:autoSpaceDE w:val="0"/>
        <w:autoSpaceDN w:val="0"/>
        <w:adjustRightInd w:val="0"/>
      </w:pPr>
    </w:p>
    <w:p w:rsidR="00B17C44" w14:paraId="436C0098" w14:textId="77777777">
      <w:pPr>
        <w:widowControl w:val="0"/>
        <w:autoSpaceDE w:val="0"/>
        <w:autoSpaceDN w:val="0"/>
        <w:adjustRightInd w:val="0"/>
      </w:pPr>
    </w:p>
    <w:p w:rsidR="000A3510" w14:paraId="54A6168E" w14:textId="77777777">
      <w:pPr>
        <w:widowControl w:val="0"/>
        <w:autoSpaceDE w:val="0"/>
        <w:autoSpaceDN w:val="0"/>
        <w:adjustRightInd w:val="0"/>
      </w:pPr>
      <w:r>
        <w:rPr>
          <w:b/>
          <w:bCs/>
        </w:rPr>
        <w:t xml:space="preserve">8.  </w:t>
      </w:r>
      <w:r>
        <w:rPr>
          <w:b/>
          <w:bCs/>
          <w:u w:val="single"/>
        </w:rPr>
        <w:t xml:space="preserve">Provide </w:t>
      </w:r>
      <w:r w:rsidR="00C73456">
        <w:rPr>
          <w:b/>
          <w:bCs/>
          <w:u w:val="single"/>
        </w:rPr>
        <w:t>information</w:t>
      </w:r>
      <w:r>
        <w:rPr>
          <w:b/>
          <w:bCs/>
          <w:u w:val="single"/>
        </w:rPr>
        <w:t xml:space="preserve">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D45FF2" w14:paraId="02BC1850" w14:textId="77777777">
      <w:pPr>
        <w:widowControl w:val="0"/>
        <w:autoSpaceDE w:val="0"/>
        <w:autoSpaceDN w:val="0"/>
        <w:adjustRightInd w:val="0"/>
      </w:pPr>
    </w:p>
    <w:p w:rsidR="00315C26" w:rsidRPr="00AF7006" w:rsidP="00A10BC0" w14:paraId="04FD568F" w14:textId="77777777">
      <w:pPr>
        <w:widowControl w:val="0"/>
        <w:autoSpaceDE w:val="0"/>
        <w:autoSpaceDN w:val="0"/>
        <w:adjustRightInd w:val="0"/>
      </w:pPr>
      <w:r w:rsidRPr="00AF7006">
        <w:t xml:space="preserve">The notice requesting public comment was published in the Federal Register on </w:t>
      </w:r>
    </w:p>
    <w:p w:rsidR="00151A73" w:rsidP="00A10BC0" w14:paraId="05EE66D9" w14:textId="1312E76E">
      <w:pPr>
        <w:widowControl w:val="0"/>
        <w:autoSpaceDE w:val="0"/>
        <w:autoSpaceDN w:val="0"/>
        <w:adjustRightInd w:val="0"/>
      </w:pPr>
      <w:r>
        <w:t>February 16</w:t>
      </w:r>
      <w:r w:rsidR="006A75E0">
        <w:t>, 202</w:t>
      </w:r>
      <w:r>
        <w:t>4</w:t>
      </w:r>
      <w:r w:rsidRPr="00AF7006" w:rsidR="00515DF1">
        <w:t xml:space="preserve">.  </w:t>
      </w:r>
      <w:r w:rsidRPr="00AF7006">
        <w:t>No public comments were received.</w:t>
      </w:r>
      <w:r>
        <w:t xml:space="preserve">  </w:t>
      </w:r>
    </w:p>
    <w:p w:rsidR="00D310F8" w:rsidP="00A10BC0" w14:paraId="510A7844" w14:textId="77777777">
      <w:pPr>
        <w:widowControl w:val="0"/>
        <w:autoSpaceDE w:val="0"/>
        <w:autoSpaceDN w:val="0"/>
        <w:adjustRightInd w:val="0"/>
      </w:pPr>
    </w:p>
    <w:p w:rsidR="00D310F8" w:rsidRPr="00296694" w:rsidP="00D310F8" w14:paraId="19689723" w14:textId="19B4AD56">
      <w:pPr>
        <w:spacing w:before="29"/>
        <w:ind w:right="203"/>
        <w:rPr>
          <w:rFonts w:eastAsia="Times New Roman"/>
        </w:rPr>
      </w:pPr>
      <w:r>
        <w:t xml:space="preserve"> </w:t>
      </w:r>
      <w:bookmarkStart w:id="0" w:name="_Hlk115166192"/>
      <w:r w:rsidRPr="00296694">
        <w:rPr>
          <w:rFonts w:eastAsia="Times New Roman"/>
        </w:rPr>
        <w:t>BIS consults with Technical Advisory Committees (TACs) consisting of members outside the agency, who are leaders in the industry, to discuss with BIS current policies and standards both with the government and the public.</w:t>
      </w:r>
      <w:r w:rsidRPr="00296694">
        <w:rPr>
          <w:rFonts w:eastAsia="Calibri"/>
        </w:rPr>
        <w:t xml:space="preserve">  ECRA states that the TACs advise the Under Secretary of Commerce for Industry and Security on controls under the Export Administration Regulations.</w:t>
      </w:r>
      <w:bookmarkEnd w:id="0"/>
    </w:p>
    <w:p w:rsidR="00D440F4" w:rsidP="00A10BC0" w14:paraId="25EC5476" w14:textId="5C7AE9F6">
      <w:pPr>
        <w:widowControl w:val="0"/>
        <w:autoSpaceDE w:val="0"/>
        <w:autoSpaceDN w:val="0"/>
        <w:adjustRightInd w:val="0"/>
      </w:pPr>
    </w:p>
    <w:p w:rsidR="000A3510" w14:paraId="767101F1" w14:textId="77777777">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0A3510" w14:paraId="68647402" w14:textId="77777777">
      <w:pPr>
        <w:widowControl w:val="0"/>
        <w:autoSpaceDE w:val="0"/>
        <w:autoSpaceDN w:val="0"/>
        <w:adjustRightInd w:val="0"/>
      </w:pPr>
    </w:p>
    <w:p w:rsidR="000A3510" w14:paraId="70C35B7F" w14:textId="77777777">
      <w:pPr>
        <w:widowControl w:val="0"/>
        <w:autoSpaceDE w:val="0"/>
        <w:autoSpaceDN w:val="0"/>
        <w:adjustRightInd w:val="0"/>
      </w:pPr>
      <w:r>
        <w:t>Not ap</w:t>
      </w:r>
      <w:r w:rsidR="009D4B98">
        <w:t xml:space="preserve">plicable. </w:t>
      </w:r>
    </w:p>
    <w:p w:rsidR="000A3510" w14:paraId="119A1120" w14:textId="77777777">
      <w:pPr>
        <w:widowControl w:val="0"/>
        <w:autoSpaceDE w:val="0"/>
        <w:autoSpaceDN w:val="0"/>
        <w:adjustRightInd w:val="0"/>
      </w:pPr>
    </w:p>
    <w:p w:rsidR="000A3510" w14:paraId="5E8FA103" w14:textId="77777777">
      <w:pPr>
        <w:widowControl w:val="0"/>
        <w:autoSpaceDE w:val="0"/>
        <w:autoSpaceDN w:val="0"/>
        <w:adjustRightInd w:val="0"/>
      </w:pPr>
      <w:r>
        <w:rPr>
          <w:b/>
          <w:bCs/>
        </w:rPr>
        <w:t xml:space="preserve">10.  </w:t>
      </w:r>
      <w:r>
        <w:rPr>
          <w:b/>
          <w:bCs/>
          <w:u w:val="single"/>
        </w:rPr>
        <w:t>Describe any assurance of confidentiality provided to respondents and the basis for assurance in statute, regulation, or agency policy</w:t>
      </w:r>
      <w:r>
        <w:rPr>
          <w:b/>
          <w:bCs/>
        </w:rPr>
        <w:t>.</w:t>
      </w:r>
    </w:p>
    <w:p w:rsidR="000A3510" w14:paraId="4720C642" w14:textId="77777777">
      <w:pPr>
        <w:widowControl w:val="0"/>
        <w:autoSpaceDE w:val="0"/>
        <w:autoSpaceDN w:val="0"/>
        <w:adjustRightInd w:val="0"/>
      </w:pPr>
    </w:p>
    <w:p w:rsidR="000A3510" w14:paraId="4F62A778" w14:textId="0D5E88BC">
      <w:pPr>
        <w:widowControl w:val="0"/>
        <w:autoSpaceDE w:val="0"/>
        <w:autoSpaceDN w:val="0"/>
        <w:adjustRightInd w:val="0"/>
      </w:pPr>
      <w:r>
        <w:t>The Defense Production Act of 1950, as amended, requires the Secretary to establish regulations to collect this information, and to provide protection for such information from public disclosure.  Commerce will not disclose individual or company reports</w:t>
      </w:r>
      <w:r w:rsidR="00BB47CA">
        <w:t>,</w:t>
      </w:r>
      <w:r>
        <w:t xml:space="preserve"> or proprietary data in the report as required by Section </w:t>
      </w:r>
      <w:r w:rsidR="00050413">
        <w:t xml:space="preserve">723 (c) and 705 (d) </w:t>
      </w:r>
      <w:r>
        <w:t xml:space="preserve">of the Defense Production Act of 1950.  Rather, information provided by U.S. firms is presented in aggregated formats, protecting the identity and proprietary data of individual respondents.  Commerce has successfully met this requirement for the </w:t>
      </w:r>
      <w:r w:rsidR="002E238B">
        <w:t>30</w:t>
      </w:r>
      <w:r w:rsidR="00F65835">
        <w:t xml:space="preserve"> </w:t>
      </w:r>
      <w:r>
        <w:t>years of data that it has reported and submitted to Congress.</w:t>
      </w:r>
    </w:p>
    <w:p w:rsidR="000A3510" w14:paraId="16BF8A1A" w14:textId="77777777">
      <w:pPr>
        <w:widowControl w:val="0"/>
        <w:autoSpaceDE w:val="0"/>
        <w:autoSpaceDN w:val="0"/>
        <w:adjustRightInd w:val="0"/>
      </w:pPr>
    </w:p>
    <w:p w:rsidR="000A3510" w14:paraId="4D21C350" w14:textId="77777777">
      <w:pPr>
        <w:widowControl w:val="0"/>
        <w:autoSpaceDE w:val="0"/>
        <w:autoSpaceDN w:val="0"/>
        <w:adjustRightInd w:val="0"/>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0A3510" w14:paraId="234EB2EC" w14:textId="77777777">
      <w:pPr>
        <w:widowControl w:val="0"/>
        <w:autoSpaceDE w:val="0"/>
        <w:autoSpaceDN w:val="0"/>
        <w:adjustRightInd w:val="0"/>
      </w:pPr>
    </w:p>
    <w:p w:rsidR="000A3510" w14:paraId="1D32DFED" w14:textId="77777777">
      <w:pPr>
        <w:widowControl w:val="0"/>
        <w:autoSpaceDE w:val="0"/>
        <w:autoSpaceDN w:val="0"/>
        <w:adjustRightInd w:val="0"/>
      </w:pPr>
      <w:r>
        <w:t>No information related to the private affairs of individuals or information that could in any way be construed to be of a sensitive nature regarding individuals will be collected.</w:t>
      </w:r>
    </w:p>
    <w:p w:rsidR="007B6D5F" w14:paraId="43C558EB" w14:textId="77777777">
      <w:pPr>
        <w:widowControl w:val="0"/>
        <w:autoSpaceDE w:val="0"/>
        <w:autoSpaceDN w:val="0"/>
        <w:adjustRightInd w:val="0"/>
      </w:pPr>
    </w:p>
    <w:p w:rsidR="000A3510" w14:paraId="04F116B3" w14:textId="77777777">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0A3510" w14:paraId="30009703" w14:textId="77777777">
      <w:pPr>
        <w:widowControl w:val="0"/>
        <w:autoSpaceDE w:val="0"/>
        <w:autoSpaceDN w:val="0"/>
        <w:adjustRightInd w:val="0"/>
      </w:pPr>
    </w:p>
    <w:p w:rsidR="000A3510" w14:paraId="21AE1A98" w14:textId="77777777">
      <w:pPr>
        <w:widowControl w:val="0"/>
        <w:autoSpaceDE w:val="0"/>
        <w:autoSpaceDN w:val="0"/>
        <w:adjustRightInd w:val="0"/>
      </w:pPr>
      <w:r>
        <w:t xml:space="preserve">The estimated total burden placed on those involved in offset agreements is </w:t>
      </w:r>
      <w:r w:rsidRPr="00EB7816" w:rsidR="005D2F7F">
        <w:rPr>
          <w:b/>
        </w:rPr>
        <w:t xml:space="preserve">360 </w:t>
      </w:r>
      <w:r w:rsidRPr="00EB7816">
        <w:rPr>
          <w:b/>
        </w:rPr>
        <w:t>hours</w:t>
      </w:r>
      <w:r>
        <w:t xml:space="preserve"> per year.  Approximately 30 firms are expected to require an average of </w:t>
      </w:r>
      <w:r w:rsidR="009251DB">
        <w:t xml:space="preserve">twelve </w:t>
      </w:r>
      <w:r>
        <w:t xml:space="preserve">hours </w:t>
      </w:r>
      <w:r>
        <w:t xml:space="preserve">each to compile the data once a year.  This estimate is based on the past industry reporting of offset agreements and offset transactions to Commerce.  </w:t>
      </w:r>
    </w:p>
    <w:p w:rsidR="000A3510" w14:paraId="2F3EFE27" w14:textId="77777777">
      <w:pPr>
        <w:widowControl w:val="0"/>
        <w:autoSpaceDE w:val="0"/>
        <w:autoSpaceDN w:val="0"/>
        <w:adjustRightInd w:val="0"/>
      </w:pPr>
    </w:p>
    <w:p w:rsidR="000A3510" w14:paraId="1EA8FC35" w14:textId="7BFD2715">
      <w:pPr>
        <w:widowControl w:val="0"/>
        <w:autoSpaceDE w:val="0"/>
        <w:autoSpaceDN w:val="0"/>
        <w:adjustRightInd w:val="0"/>
      </w:pPr>
      <w:r>
        <w:t xml:space="preserve">Based on the above estimates of </w:t>
      </w:r>
      <w:r w:rsidR="005D2F7F">
        <w:t xml:space="preserve">360 </w:t>
      </w:r>
      <w:r>
        <w:t>hours at $25</w:t>
      </w:r>
      <w:r w:rsidR="00BB47CA">
        <w:t xml:space="preserve"> per</w:t>
      </w:r>
      <w:r w:rsidR="003800A8">
        <w:t xml:space="preserve"> </w:t>
      </w:r>
      <w:r>
        <w:t xml:space="preserve">hour, the total annual </w:t>
      </w:r>
      <w:r w:rsidR="007B6D5F">
        <w:t xml:space="preserve">labor </w:t>
      </w:r>
      <w:r>
        <w:t>cost is $</w:t>
      </w:r>
      <w:r w:rsidR="005D2F7F">
        <w:t>9,000</w:t>
      </w:r>
      <w:r>
        <w:t>.  These estimates of reporting burden are subject to variations among individual organizations because of differences in record keeping, number of establishments, breadth of offset activities, organization size, area of specialization and other variables.  Based on recent submissions from industry, the estimate seems to be accurate.</w:t>
      </w:r>
    </w:p>
    <w:p w:rsidR="000A3510" w14:paraId="53E02F28" w14:textId="77777777">
      <w:pPr>
        <w:widowControl w:val="0"/>
        <w:autoSpaceDE w:val="0"/>
        <w:autoSpaceDN w:val="0"/>
        <w:adjustRightInd w:val="0"/>
        <w:ind w:left="720"/>
      </w:pPr>
      <w:r>
        <w:t xml:space="preserve">  </w:t>
      </w:r>
    </w:p>
    <w:p w:rsidR="000A3510" w14:paraId="5A7DEA52" w14:textId="77777777">
      <w:pPr>
        <w:widowControl w:val="0"/>
        <w:autoSpaceDE w:val="0"/>
        <w:autoSpaceDN w:val="0"/>
        <w:adjustRightInd w:val="0"/>
      </w:pPr>
      <w:r>
        <w:rPr>
          <w:b/>
          <w:bCs/>
        </w:rPr>
        <w:t xml:space="preserve">13.  </w:t>
      </w:r>
      <w:r>
        <w:rPr>
          <w:b/>
          <w:bCs/>
          <w:u w:val="single"/>
        </w:rPr>
        <w:t xml:space="preserve">Provide an estimate of the total annual cost burden to the respondents or record-keepers resulting from the collection (excluding the value of the burden hours in </w:t>
      </w:r>
      <w:r w:rsidR="00FB231F">
        <w:rPr>
          <w:b/>
          <w:bCs/>
          <w:u w:val="single"/>
        </w:rPr>
        <w:t xml:space="preserve">Question </w:t>
      </w:r>
      <w:r>
        <w:rPr>
          <w:b/>
          <w:bCs/>
          <w:u w:val="single"/>
        </w:rPr>
        <w:t>12 above)</w:t>
      </w:r>
      <w:r>
        <w:rPr>
          <w:b/>
          <w:bCs/>
        </w:rPr>
        <w:t>.</w:t>
      </w:r>
    </w:p>
    <w:p w:rsidR="000A3510" w14:paraId="2B932EFF" w14:textId="77777777">
      <w:pPr>
        <w:widowControl w:val="0"/>
        <w:autoSpaceDE w:val="0"/>
        <w:autoSpaceDN w:val="0"/>
        <w:adjustRightInd w:val="0"/>
      </w:pPr>
    </w:p>
    <w:p w:rsidR="000A3510" w14:paraId="487EB2FF" w14:textId="77777777">
      <w:pPr>
        <w:widowControl w:val="0"/>
        <w:autoSpaceDE w:val="0"/>
        <w:autoSpaceDN w:val="0"/>
        <w:adjustRightInd w:val="0"/>
      </w:pPr>
      <w:r>
        <w:t>Not applicable.</w:t>
      </w:r>
    </w:p>
    <w:p w:rsidR="00FC08FC" w14:paraId="5168E917" w14:textId="77777777">
      <w:pPr>
        <w:widowControl w:val="0"/>
        <w:autoSpaceDE w:val="0"/>
        <w:autoSpaceDN w:val="0"/>
        <w:adjustRightInd w:val="0"/>
      </w:pPr>
    </w:p>
    <w:p w:rsidR="000A3510" w14:paraId="40C2F744" w14:textId="77777777">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rsidR="000A3510" w14:paraId="1294B25D" w14:textId="77777777">
      <w:pPr>
        <w:widowControl w:val="0"/>
        <w:autoSpaceDE w:val="0"/>
        <w:autoSpaceDN w:val="0"/>
        <w:adjustRightInd w:val="0"/>
      </w:pPr>
    </w:p>
    <w:p w:rsidR="000A3510" w14:paraId="6D8B5846" w14:textId="39D15B3F">
      <w:pPr>
        <w:widowControl w:val="0"/>
        <w:autoSpaceDE w:val="0"/>
        <w:autoSpaceDN w:val="0"/>
        <w:adjustRightInd w:val="0"/>
      </w:pPr>
      <w:r>
        <w:t>The estimated cost to the Federal Government for the offset agreement and transaction data collection is $2</w:t>
      </w:r>
      <w:r w:rsidR="002A13B3">
        <w:t>0,857</w:t>
      </w:r>
      <w:r>
        <w:t xml:space="preserve"> annually.  A major portion of this cost is related to collecting and verifying data and computerizing the information for analytical purposes. </w:t>
      </w:r>
      <w:r w:rsidR="00555F7D">
        <w:t xml:space="preserve"> </w:t>
      </w:r>
      <w:r>
        <w:t>The direct costs were estimated by determining the total Federal employee hours allocated to the project and multiplying the total hours of the employees assigned to the assessment by average hourly pay of a GS-15 assigned to the project for approximately 60 hours each year; a GS-14 assigned to the project for 150 hours each year; and a GS-12 assigned to the project for 1</w:t>
      </w:r>
      <w:r w:rsidR="00555F7D">
        <w:t>5</w:t>
      </w:r>
      <w:r>
        <w:t xml:space="preserve">0 hours each year, as shown below.  These estimates are based on </w:t>
      </w:r>
      <w:r w:rsidR="00750C47">
        <w:t>27</w:t>
      </w:r>
      <w:r w:rsidR="008E4D90">
        <w:t xml:space="preserve"> </w:t>
      </w:r>
      <w:r>
        <w:t xml:space="preserve">years of experience with this data collection.  </w:t>
      </w:r>
    </w:p>
    <w:p w:rsidR="000A3510" w14:paraId="15C66201" w14:textId="77777777">
      <w:pPr>
        <w:widowControl w:val="0"/>
        <w:autoSpaceDE w:val="0"/>
        <w:autoSpaceDN w:val="0"/>
        <w:adjustRightInd w:val="0"/>
      </w:pPr>
    </w:p>
    <w:p w:rsidR="000A3510" w14:paraId="76AA7B7B" w14:textId="77777777">
      <w:pPr>
        <w:widowControl w:val="0"/>
        <w:autoSpaceDE w:val="0"/>
        <w:autoSpaceDN w:val="0"/>
        <w:adjustRightInd w:val="0"/>
      </w:pPr>
      <w:r>
        <w:rPr>
          <w:u w:val="single"/>
        </w:rPr>
        <w:t>Employee Salaries (total 3</w:t>
      </w:r>
      <w:r w:rsidR="00555F7D">
        <w:rPr>
          <w:u w:val="single"/>
        </w:rPr>
        <w:t>6</w:t>
      </w:r>
      <w:r>
        <w:rPr>
          <w:u w:val="single"/>
        </w:rPr>
        <w:t>0 hours)</w:t>
      </w:r>
      <w:r>
        <w:t>:</w:t>
      </w:r>
    </w:p>
    <w:p w:rsidR="000A3510" w:rsidP="00F31A28" w14:paraId="05500397" w14:textId="1C0683A8">
      <w:pPr>
        <w:widowControl w:val="0"/>
        <w:autoSpaceDE w:val="0"/>
        <w:autoSpaceDN w:val="0"/>
        <w:adjustRightInd w:val="0"/>
      </w:pPr>
      <w:r>
        <w:t xml:space="preserve">60 </w:t>
      </w:r>
      <w:r w:rsidR="00F31A28">
        <w:t>hours for one GS-15</w:t>
      </w:r>
      <w:r w:rsidR="00F31A28">
        <w:tab/>
      </w:r>
      <w:r w:rsidR="00F31A28">
        <w:tab/>
      </w:r>
      <w:r w:rsidR="00B60294">
        <w:t xml:space="preserve">  </w:t>
      </w:r>
      <w:r w:rsidR="00F31A28">
        <w:t>$4</w:t>
      </w:r>
      <w:r w:rsidR="009251DB">
        <w:t>,</w:t>
      </w:r>
      <w:r w:rsidR="002A13B3">
        <w:t>756</w:t>
      </w:r>
    </w:p>
    <w:p w:rsidR="000A3510" w:rsidP="00F31A28" w14:paraId="69A66C87" w14:textId="40F597BA">
      <w:pPr>
        <w:widowControl w:val="0"/>
        <w:autoSpaceDE w:val="0"/>
        <w:autoSpaceDN w:val="0"/>
        <w:adjustRightInd w:val="0"/>
      </w:pPr>
      <w:r>
        <w:t>150 hours for one GS-14</w:t>
      </w:r>
      <w:r>
        <w:tab/>
      </w:r>
      <w:r>
        <w:tab/>
        <w:t>$</w:t>
      </w:r>
      <w:r w:rsidR="002A13B3">
        <w:t>10,107</w:t>
      </w:r>
    </w:p>
    <w:p w:rsidR="000A3510" w:rsidRPr="00B60294" w:rsidP="00F31A28" w14:paraId="309E6B7C" w14:textId="28CA904A">
      <w:pPr>
        <w:widowControl w:val="0"/>
        <w:autoSpaceDE w:val="0"/>
        <w:autoSpaceDN w:val="0"/>
        <w:adjustRightInd w:val="0"/>
        <w:rPr>
          <w:u w:val="single"/>
        </w:rPr>
      </w:pPr>
      <w:r>
        <w:t>1</w:t>
      </w:r>
      <w:r w:rsidR="00555F7D">
        <w:t>5</w:t>
      </w:r>
      <w:r>
        <w:t>0 hours for one GS-12</w:t>
      </w:r>
      <w:r>
        <w:tab/>
      </w:r>
      <w:r>
        <w:tab/>
      </w:r>
      <w:r w:rsidR="00B60294">
        <w:t xml:space="preserve">  </w:t>
      </w:r>
      <w:r w:rsidRPr="00B60294">
        <w:rPr>
          <w:u w:val="single"/>
        </w:rPr>
        <w:t>$</w:t>
      </w:r>
      <w:r w:rsidRPr="00B60294" w:rsidR="002A13B3">
        <w:rPr>
          <w:u w:val="single"/>
        </w:rPr>
        <w:t>5,994</w:t>
      </w:r>
    </w:p>
    <w:p w:rsidR="000A3510" w:rsidP="00F31A28" w14:paraId="488E31DD" w14:textId="043969D2">
      <w:pPr>
        <w:widowControl w:val="0"/>
        <w:autoSpaceDE w:val="0"/>
        <w:autoSpaceDN w:val="0"/>
        <w:adjustRightInd w:val="0"/>
      </w:pPr>
      <w:r>
        <w:t>Total</w:t>
      </w:r>
      <w:r>
        <w:tab/>
      </w:r>
      <w:r>
        <w:tab/>
      </w:r>
      <w:r>
        <w:tab/>
      </w:r>
      <w:r>
        <w:tab/>
      </w:r>
      <w:r>
        <w:tab/>
      </w:r>
      <w:r>
        <w:rPr>
          <w:b/>
          <w:bCs/>
        </w:rPr>
        <w:t>$</w:t>
      </w:r>
      <w:r w:rsidR="002A13B3">
        <w:rPr>
          <w:b/>
          <w:bCs/>
        </w:rPr>
        <w:t>20,857</w:t>
      </w:r>
    </w:p>
    <w:p w:rsidR="000A3510" w14:paraId="121BBF82" w14:textId="77777777">
      <w:pPr>
        <w:widowControl w:val="0"/>
        <w:autoSpaceDE w:val="0"/>
        <w:autoSpaceDN w:val="0"/>
        <w:adjustRightInd w:val="0"/>
      </w:pPr>
    </w:p>
    <w:p w:rsidR="000A3510" w14:paraId="4D8E97FF" w14:textId="77777777">
      <w:pPr>
        <w:widowControl w:val="0"/>
        <w:autoSpaceDE w:val="0"/>
        <w:autoSpaceDN w:val="0"/>
        <w:adjustRightInd w:val="0"/>
        <w:rPr>
          <w:b/>
          <w:bCs/>
        </w:rPr>
      </w:pPr>
      <w:r>
        <w:rPr>
          <w:b/>
          <w:bCs/>
        </w:rPr>
        <w:t xml:space="preserve">15.  </w:t>
      </w:r>
      <w:r>
        <w:rPr>
          <w:b/>
          <w:bCs/>
          <w:u w:val="single"/>
        </w:rPr>
        <w:t>Explain the reasons for any program changes or adjustments</w:t>
      </w:r>
      <w:r>
        <w:rPr>
          <w:b/>
          <w:bCs/>
        </w:rPr>
        <w:t>.</w:t>
      </w:r>
    </w:p>
    <w:p w:rsidR="009F7C7A" w:rsidP="008E4D90" w14:paraId="7269ED32" w14:textId="77777777">
      <w:pPr>
        <w:widowControl w:val="0"/>
        <w:autoSpaceDE w:val="0"/>
        <w:autoSpaceDN w:val="0"/>
        <w:adjustRightInd w:val="0"/>
      </w:pPr>
    </w:p>
    <w:p w:rsidR="00FF3A81" w:rsidP="008E4D90" w14:paraId="64BD9604" w14:textId="77777777">
      <w:pPr>
        <w:widowControl w:val="0"/>
        <w:autoSpaceDE w:val="0"/>
        <w:autoSpaceDN w:val="0"/>
        <w:adjustRightInd w:val="0"/>
      </w:pPr>
      <w:r>
        <w:t>Not applicable.</w:t>
      </w:r>
    </w:p>
    <w:p w:rsidR="00005685" w14:paraId="58310539" w14:textId="77777777">
      <w:pPr>
        <w:widowControl w:val="0"/>
        <w:autoSpaceDE w:val="0"/>
        <w:autoSpaceDN w:val="0"/>
        <w:adjustRightInd w:val="0"/>
        <w:rPr>
          <w:b/>
          <w:bCs/>
        </w:rPr>
      </w:pPr>
    </w:p>
    <w:p w:rsidR="000A3510" w14:paraId="6BA23984" w14:textId="77777777">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0A3510" w14:paraId="498566AD" w14:textId="77777777">
      <w:pPr>
        <w:widowControl w:val="0"/>
        <w:autoSpaceDE w:val="0"/>
        <w:autoSpaceDN w:val="0"/>
        <w:adjustRightInd w:val="0"/>
      </w:pPr>
    </w:p>
    <w:p w:rsidR="000A3510" w:rsidP="00F378FA" w14:paraId="1DC0E014" w14:textId="77777777">
      <w:pPr>
        <w:widowControl w:val="0"/>
        <w:autoSpaceDE w:val="0"/>
        <w:autoSpaceDN w:val="0"/>
        <w:adjustRightInd w:val="0"/>
        <w:rPr>
          <w:b/>
          <w:bCs/>
        </w:rPr>
      </w:pPr>
      <w:r>
        <w:t>The annual reports to Congress are prepared using these data in aggregated format.  Commerce generally completes its annual report to Congress in December.</w:t>
      </w:r>
    </w:p>
    <w:p w:rsidR="00F378FA" w:rsidP="00F378FA" w14:paraId="0B6121F5" w14:textId="77777777">
      <w:pPr>
        <w:widowControl w:val="0"/>
        <w:autoSpaceDE w:val="0"/>
        <w:autoSpaceDN w:val="0"/>
        <w:adjustRightInd w:val="0"/>
        <w:rPr>
          <w:b/>
          <w:bCs/>
        </w:rPr>
      </w:pPr>
    </w:p>
    <w:p w:rsidR="000A3510" w14:paraId="28605A72" w14:textId="77777777">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r>
        <w:tab/>
      </w:r>
    </w:p>
    <w:p w:rsidR="000A3510" w14:paraId="137A81DC" w14:textId="77777777">
      <w:pPr>
        <w:widowControl w:val="0"/>
        <w:autoSpaceDE w:val="0"/>
        <w:autoSpaceDN w:val="0"/>
        <w:adjustRightInd w:val="0"/>
      </w:pPr>
    </w:p>
    <w:p w:rsidR="000A3510" w14:paraId="5DD4A279" w14:textId="77777777">
      <w:pPr>
        <w:widowControl w:val="0"/>
        <w:autoSpaceDE w:val="0"/>
        <w:autoSpaceDN w:val="0"/>
        <w:adjustRightInd w:val="0"/>
      </w:pPr>
      <w:r>
        <w:t>Not applicable.</w:t>
      </w:r>
    </w:p>
    <w:p w:rsidR="000A3510" w14:paraId="1438E4EA" w14:textId="77777777">
      <w:pPr>
        <w:widowControl w:val="0"/>
        <w:autoSpaceDE w:val="0"/>
        <w:autoSpaceDN w:val="0"/>
        <w:adjustRightInd w:val="0"/>
      </w:pPr>
    </w:p>
    <w:p w:rsidR="000A3510" w:rsidRPr="00FB231F" w14:paraId="65B29C27" w14:textId="77777777">
      <w:pPr>
        <w:widowControl w:val="0"/>
        <w:autoSpaceDE w:val="0"/>
        <w:autoSpaceDN w:val="0"/>
        <w:adjustRightInd w:val="0"/>
        <w:rPr>
          <w:b/>
          <w:bCs/>
          <w:u w:val="single"/>
        </w:rPr>
      </w:pPr>
      <w:r>
        <w:rPr>
          <w:b/>
          <w:bCs/>
        </w:rPr>
        <w:t xml:space="preserve">18.  </w:t>
      </w:r>
      <w:r>
        <w:rPr>
          <w:b/>
          <w:bCs/>
          <w:u w:val="single"/>
        </w:rPr>
        <w:t>Explain each exception to the certification statemen</w:t>
      </w:r>
      <w:r w:rsidR="00FB231F">
        <w:rPr>
          <w:b/>
          <w:bCs/>
          <w:u w:val="single"/>
        </w:rPr>
        <w:t>t</w:t>
      </w:r>
      <w:r>
        <w:rPr>
          <w:b/>
          <w:bCs/>
        </w:rPr>
        <w:t>.</w:t>
      </w:r>
    </w:p>
    <w:p w:rsidR="000A3510" w14:paraId="101D7863" w14:textId="77777777">
      <w:pPr>
        <w:widowControl w:val="0"/>
        <w:autoSpaceDE w:val="0"/>
        <w:autoSpaceDN w:val="0"/>
        <w:adjustRightInd w:val="0"/>
      </w:pPr>
    </w:p>
    <w:p w:rsidR="000A3510" w14:paraId="55A016E0" w14:textId="77777777">
      <w:pPr>
        <w:widowControl w:val="0"/>
        <w:autoSpaceDE w:val="0"/>
        <w:autoSpaceDN w:val="0"/>
        <w:adjustRightInd w:val="0"/>
      </w:pPr>
      <w:r>
        <w:t>Not applicable.</w:t>
      </w:r>
    </w:p>
    <w:p w:rsidR="00EB7816" w14:paraId="799A6FF4" w14:textId="77777777">
      <w:pPr>
        <w:widowControl w:val="0"/>
        <w:autoSpaceDE w:val="0"/>
        <w:autoSpaceDN w:val="0"/>
        <w:adjustRightInd w:val="0"/>
      </w:pPr>
    </w:p>
    <w:p w:rsidR="000A3510" w14:paraId="34C5E904" w14:textId="77777777">
      <w:pPr>
        <w:widowControl w:val="0"/>
        <w:autoSpaceDE w:val="0"/>
        <w:autoSpaceDN w:val="0"/>
        <w:adjustRightInd w:val="0"/>
      </w:pPr>
      <w:r>
        <w:rPr>
          <w:b/>
          <w:bCs/>
        </w:rPr>
        <w:t>B.  COLLECTIONS OF INFORMATION EMPLOYING STATISTICAL METHODS</w:t>
      </w:r>
    </w:p>
    <w:p w:rsidR="000A3510" w14:paraId="2788FE38" w14:textId="77777777">
      <w:pPr>
        <w:widowControl w:val="0"/>
        <w:autoSpaceDE w:val="0"/>
        <w:autoSpaceDN w:val="0"/>
        <w:adjustRightInd w:val="0"/>
      </w:pPr>
    </w:p>
    <w:p w:rsidR="000A3510" w14:paraId="4D8D73EC" w14:textId="77777777">
      <w:pPr>
        <w:widowControl w:val="0"/>
        <w:autoSpaceDE w:val="0"/>
        <w:autoSpaceDN w:val="0"/>
        <w:adjustRightInd w:val="0"/>
      </w:pPr>
      <w:r>
        <w:t>Not applicable.  Statistical methods will not be used.</w:t>
      </w:r>
    </w:p>
    <w:p w:rsidR="000A3510" w14:paraId="46A50CCF" w14:textId="77777777">
      <w:pPr>
        <w:widowControl w:val="0"/>
        <w:autoSpaceDE w:val="0"/>
        <w:autoSpaceDN w:val="0"/>
        <w:adjustRightInd w:val="0"/>
      </w:pPr>
    </w:p>
    <w:p w:rsidR="000A3510" w14:paraId="44E94681" w14:textId="77777777">
      <w:pPr>
        <w:widowControl w:val="0"/>
        <w:autoSpaceDE w:val="0"/>
        <w:autoSpaceDN w:val="0"/>
        <w:adjustRightInd w:val="0"/>
        <w:rPr>
          <w:rFonts w:ascii="Arial" w:hAnsi="Arial" w:cs="Arial"/>
          <w:sz w:val="20"/>
          <w:szCs w:val="20"/>
        </w:rPr>
      </w:pPr>
    </w:p>
    <w:sectPr>
      <w:footerReference w:type="default" r:id="rId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6B97" w14:paraId="3A415357" w14:textId="77777777">
    <w:pPr>
      <w:pStyle w:val="Footer"/>
      <w:jc w:val="center"/>
    </w:pPr>
    <w:r>
      <w:fldChar w:fldCharType="begin"/>
    </w:r>
    <w:r>
      <w:instrText xml:space="preserve"> PAGE   \* MERGEFORMAT </w:instrText>
    </w:r>
    <w:r>
      <w:fldChar w:fldCharType="separate"/>
    </w:r>
    <w:r w:rsidR="00B71ACD">
      <w:rPr>
        <w:noProof/>
      </w:rPr>
      <w:t>1</w:t>
    </w:r>
    <w:r>
      <w:fldChar w:fldCharType="end"/>
    </w:r>
  </w:p>
  <w:p w:rsidR="00E66B97" w14:paraId="7726F8D5"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EE"/>
    <w:rsid w:val="0000390F"/>
    <w:rsid w:val="00005685"/>
    <w:rsid w:val="00006200"/>
    <w:rsid w:val="00043ACF"/>
    <w:rsid w:val="00050413"/>
    <w:rsid w:val="000A3510"/>
    <w:rsid w:val="000E379F"/>
    <w:rsid w:val="000F158A"/>
    <w:rsid w:val="00142F28"/>
    <w:rsid w:val="00151A73"/>
    <w:rsid w:val="001541DE"/>
    <w:rsid w:val="001602AF"/>
    <w:rsid w:val="0019798F"/>
    <w:rsid w:val="00294AF9"/>
    <w:rsid w:val="00296694"/>
    <w:rsid w:val="002A13B3"/>
    <w:rsid w:val="002E238B"/>
    <w:rsid w:val="002F3239"/>
    <w:rsid w:val="00315C26"/>
    <w:rsid w:val="003800A8"/>
    <w:rsid w:val="00390ECB"/>
    <w:rsid w:val="003A178A"/>
    <w:rsid w:val="003A354A"/>
    <w:rsid w:val="003D7BF1"/>
    <w:rsid w:val="004559E0"/>
    <w:rsid w:val="0046511D"/>
    <w:rsid w:val="00485D8F"/>
    <w:rsid w:val="00486411"/>
    <w:rsid w:val="00496852"/>
    <w:rsid w:val="00515DF1"/>
    <w:rsid w:val="005168EF"/>
    <w:rsid w:val="00535FB3"/>
    <w:rsid w:val="00555F7D"/>
    <w:rsid w:val="00572036"/>
    <w:rsid w:val="005722F3"/>
    <w:rsid w:val="005A6679"/>
    <w:rsid w:val="005B09EA"/>
    <w:rsid w:val="005B50B8"/>
    <w:rsid w:val="005D2F7F"/>
    <w:rsid w:val="00630856"/>
    <w:rsid w:val="00647372"/>
    <w:rsid w:val="006A75E0"/>
    <w:rsid w:val="006D28B5"/>
    <w:rsid w:val="00750C47"/>
    <w:rsid w:val="007660CF"/>
    <w:rsid w:val="00774B71"/>
    <w:rsid w:val="007B6D5F"/>
    <w:rsid w:val="00800D9E"/>
    <w:rsid w:val="00835422"/>
    <w:rsid w:val="008371A6"/>
    <w:rsid w:val="00846AC2"/>
    <w:rsid w:val="00857C1E"/>
    <w:rsid w:val="008E0AC1"/>
    <w:rsid w:val="008E4D90"/>
    <w:rsid w:val="008E5306"/>
    <w:rsid w:val="008E6FD2"/>
    <w:rsid w:val="009251DB"/>
    <w:rsid w:val="009460D0"/>
    <w:rsid w:val="009C26A8"/>
    <w:rsid w:val="009D4B98"/>
    <w:rsid w:val="009F3C7C"/>
    <w:rsid w:val="009F5A86"/>
    <w:rsid w:val="009F6314"/>
    <w:rsid w:val="009F7C7A"/>
    <w:rsid w:val="00A10BC0"/>
    <w:rsid w:val="00A162A1"/>
    <w:rsid w:val="00A609EE"/>
    <w:rsid w:val="00A81190"/>
    <w:rsid w:val="00A86835"/>
    <w:rsid w:val="00AB3016"/>
    <w:rsid w:val="00AD4E89"/>
    <w:rsid w:val="00AE54E0"/>
    <w:rsid w:val="00AF7006"/>
    <w:rsid w:val="00B130C4"/>
    <w:rsid w:val="00B17C44"/>
    <w:rsid w:val="00B60294"/>
    <w:rsid w:val="00B71ACD"/>
    <w:rsid w:val="00BB47CA"/>
    <w:rsid w:val="00BB5908"/>
    <w:rsid w:val="00BC1460"/>
    <w:rsid w:val="00BF30C0"/>
    <w:rsid w:val="00C16C24"/>
    <w:rsid w:val="00C624C2"/>
    <w:rsid w:val="00C73456"/>
    <w:rsid w:val="00CD2C37"/>
    <w:rsid w:val="00CF053F"/>
    <w:rsid w:val="00D310F8"/>
    <w:rsid w:val="00D419D7"/>
    <w:rsid w:val="00D440F4"/>
    <w:rsid w:val="00D44BC9"/>
    <w:rsid w:val="00D45FF2"/>
    <w:rsid w:val="00D51228"/>
    <w:rsid w:val="00DC0944"/>
    <w:rsid w:val="00DF2BE4"/>
    <w:rsid w:val="00E61364"/>
    <w:rsid w:val="00E66B97"/>
    <w:rsid w:val="00EB1A22"/>
    <w:rsid w:val="00EB4534"/>
    <w:rsid w:val="00EB7816"/>
    <w:rsid w:val="00F174C2"/>
    <w:rsid w:val="00F22D11"/>
    <w:rsid w:val="00F31A28"/>
    <w:rsid w:val="00F378FA"/>
    <w:rsid w:val="00F4774F"/>
    <w:rsid w:val="00F5000B"/>
    <w:rsid w:val="00F65835"/>
    <w:rsid w:val="00F7273C"/>
    <w:rsid w:val="00FB231F"/>
    <w:rsid w:val="00FC08FC"/>
    <w:rsid w:val="00FD0F4A"/>
    <w:rsid w:val="00FD3319"/>
    <w:rsid w:val="00FD7203"/>
    <w:rsid w:val="00FF3A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4869F3"/>
  <w15:chartTrackingRefBased/>
  <w15:docId w15:val="{ABE98AD5-CE71-450A-A684-8DC63498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60D0"/>
    <w:rPr>
      <w:rFonts w:ascii="Tahoma" w:hAnsi="Tahoma" w:cs="Tahoma"/>
      <w:sz w:val="16"/>
      <w:szCs w:val="16"/>
    </w:rPr>
  </w:style>
  <w:style w:type="paragraph" w:customStyle="1" w:styleId="a">
    <w:name w:val="a"/>
    <w:basedOn w:val="Normal"/>
    <w:semiHidden/>
    <w:rsid w:val="00AE54E0"/>
    <w:pPr>
      <w:spacing w:after="160" w:line="240" w:lineRule="exact"/>
    </w:pPr>
    <w:rPr>
      <w:rFonts w:ascii="Verdana" w:eastAsia="Times New Roman" w:hAnsi="Verdana"/>
      <w:sz w:val="20"/>
      <w:szCs w:val="20"/>
      <w:lang w:eastAsia="en-US"/>
    </w:rPr>
  </w:style>
  <w:style w:type="paragraph" w:customStyle="1" w:styleId="CharChar1">
    <w:name w:val="Char Char1"/>
    <w:basedOn w:val="Normal"/>
    <w:semiHidden/>
    <w:rsid w:val="009F7C7A"/>
    <w:pPr>
      <w:spacing w:after="160" w:line="240" w:lineRule="exact"/>
    </w:pPr>
    <w:rPr>
      <w:rFonts w:ascii="Verdana" w:eastAsia="Times New Roman" w:hAnsi="Verdana"/>
      <w:sz w:val="20"/>
      <w:szCs w:val="20"/>
      <w:lang w:eastAsia="en-US"/>
    </w:rPr>
  </w:style>
  <w:style w:type="character" w:styleId="CommentReference">
    <w:name w:val="annotation reference"/>
    <w:rsid w:val="0019798F"/>
    <w:rPr>
      <w:sz w:val="16"/>
      <w:szCs w:val="16"/>
    </w:rPr>
  </w:style>
  <w:style w:type="paragraph" w:styleId="CommentText">
    <w:name w:val="annotation text"/>
    <w:basedOn w:val="Normal"/>
    <w:link w:val="CommentTextChar"/>
    <w:rsid w:val="0019798F"/>
    <w:rPr>
      <w:sz w:val="20"/>
      <w:szCs w:val="20"/>
      <w:lang w:val="x-none"/>
    </w:rPr>
  </w:style>
  <w:style w:type="character" w:customStyle="1" w:styleId="CommentTextChar">
    <w:name w:val="Comment Text Char"/>
    <w:link w:val="CommentText"/>
    <w:rsid w:val="0019798F"/>
    <w:rPr>
      <w:lang w:eastAsia="ko-KR"/>
    </w:rPr>
  </w:style>
  <w:style w:type="paragraph" w:styleId="CommentSubject">
    <w:name w:val="annotation subject"/>
    <w:basedOn w:val="CommentText"/>
    <w:next w:val="CommentText"/>
    <w:link w:val="CommentSubjectChar"/>
    <w:rsid w:val="0019798F"/>
    <w:rPr>
      <w:b/>
      <w:bCs/>
    </w:rPr>
  </w:style>
  <w:style w:type="character" w:customStyle="1" w:styleId="CommentSubjectChar">
    <w:name w:val="Comment Subject Char"/>
    <w:link w:val="CommentSubject"/>
    <w:rsid w:val="0019798F"/>
    <w:rPr>
      <w:b/>
      <w:bCs/>
      <w:lang w:eastAsia="ko-KR"/>
    </w:rPr>
  </w:style>
  <w:style w:type="paragraph" w:styleId="Header">
    <w:name w:val="header"/>
    <w:basedOn w:val="Normal"/>
    <w:link w:val="HeaderChar"/>
    <w:rsid w:val="00E66B97"/>
    <w:pPr>
      <w:tabs>
        <w:tab w:val="center" w:pos="4680"/>
        <w:tab w:val="right" w:pos="9360"/>
      </w:tabs>
    </w:pPr>
  </w:style>
  <w:style w:type="character" w:customStyle="1" w:styleId="HeaderChar">
    <w:name w:val="Header Char"/>
    <w:link w:val="Header"/>
    <w:rsid w:val="00E66B97"/>
    <w:rPr>
      <w:sz w:val="24"/>
      <w:szCs w:val="24"/>
      <w:lang w:eastAsia="ko-KR"/>
    </w:rPr>
  </w:style>
  <w:style w:type="paragraph" w:styleId="Footer">
    <w:name w:val="footer"/>
    <w:basedOn w:val="Normal"/>
    <w:link w:val="FooterChar"/>
    <w:uiPriority w:val="99"/>
    <w:rsid w:val="00E66B97"/>
    <w:pPr>
      <w:tabs>
        <w:tab w:val="center" w:pos="4680"/>
        <w:tab w:val="right" w:pos="9360"/>
      </w:tabs>
    </w:pPr>
  </w:style>
  <w:style w:type="character" w:customStyle="1" w:styleId="FooterChar">
    <w:name w:val="Footer Char"/>
    <w:link w:val="Footer"/>
    <w:uiPriority w:val="99"/>
    <w:rsid w:val="00E66B97"/>
    <w:rPr>
      <w:sz w:val="24"/>
      <w:szCs w:val="24"/>
      <w:lang w:eastAsia="ko-KR"/>
    </w:rPr>
  </w:style>
  <w:style w:type="character" w:styleId="Hyperlink">
    <w:name w:val="Hyperlink"/>
    <w:rsid w:val="004559E0"/>
    <w:rPr>
      <w:color w:val="0563C1"/>
      <w:u w:val="single"/>
    </w:rPr>
  </w:style>
  <w:style w:type="paragraph" w:styleId="Revision">
    <w:name w:val="Revision"/>
    <w:hidden/>
    <w:uiPriority w:val="99"/>
    <w:semiHidden/>
    <w:rsid w:val="00BB47CA"/>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093E-CF09-4152-B214-20BF734B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2020</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RDemarin</dc:creator>
  <cp:lastModifiedBy>Mark Crace</cp:lastModifiedBy>
  <cp:revision>7</cp:revision>
  <cp:lastPrinted>2019-05-15T14:08:00Z</cp:lastPrinted>
  <dcterms:created xsi:type="dcterms:W3CDTF">2022-01-26T20:03:00Z</dcterms:created>
  <dcterms:modified xsi:type="dcterms:W3CDTF">2024-07-26T16:51:00Z</dcterms:modified>
</cp:coreProperties>
</file>