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9147C" w:rsidP="00A8233B" w14:paraId="624BE277" w14:textId="2513C370">
      <w:pPr>
        <w:jc w:val="center"/>
        <w:rPr>
          <w:sz w:val="24"/>
          <w:szCs w:val="24"/>
        </w:rPr>
      </w:pPr>
      <w:r>
        <w:rPr>
          <w:sz w:val="24"/>
          <w:szCs w:val="24"/>
        </w:rPr>
        <w:t xml:space="preserve"> </w:t>
      </w:r>
      <w:r w:rsidR="0004155B">
        <w:rPr>
          <w:sz w:val="24"/>
          <w:szCs w:val="24"/>
        </w:rPr>
        <w:t>United States Food and Drug Administration</w:t>
      </w:r>
    </w:p>
    <w:p w:rsidR="00B9147C" w:rsidRPr="00B9147C" w:rsidP="00A8233B" w14:paraId="143BD49D" w14:textId="7B74593D">
      <w:pPr>
        <w:jc w:val="center"/>
        <w:rPr>
          <w:sz w:val="24"/>
          <w:szCs w:val="24"/>
        </w:rPr>
      </w:pPr>
    </w:p>
    <w:p w:rsidR="00EC35E0" w:rsidRPr="00B9147C" w:rsidP="0004155B" w14:paraId="1101692C" w14:textId="001D1A61">
      <w:pPr>
        <w:jc w:val="center"/>
        <w:rPr>
          <w:sz w:val="24"/>
          <w:szCs w:val="24"/>
        </w:rPr>
      </w:pPr>
      <w:r w:rsidRPr="00B9147C">
        <w:rPr>
          <w:sz w:val="24"/>
          <w:szCs w:val="24"/>
        </w:rPr>
        <w:t>Voluntary Qualified Importer Program</w:t>
      </w:r>
    </w:p>
    <w:p w:rsidR="00B9147C" w:rsidRPr="0004155B" w:rsidP="00B9147C" w14:paraId="7E2C782D" w14:textId="77777777">
      <w:pPr>
        <w:jc w:val="center"/>
        <w:rPr>
          <w:sz w:val="24"/>
          <w:szCs w:val="24"/>
        </w:rPr>
      </w:pPr>
    </w:p>
    <w:p w:rsidR="006D4E17" w:rsidRPr="00D2629E" w:rsidP="00A8233B" w14:paraId="0B0B4339" w14:textId="77777777">
      <w:pPr>
        <w:pStyle w:val="Heading3"/>
        <w:rPr>
          <w:rFonts w:ascii="Times New Roman" w:hAnsi="Times New Roman" w:cs="Times New Roman"/>
          <w:szCs w:val="24"/>
        </w:rPr>
      </w:pPr>
      <w:r w:rsidRPr="00D2629E">
        <w:rPr>
          <w:rFonts w:ascii="Times New Roman" w:hAnsi="Times New Roman" w:cs="Times New Roman"/>
          <w:szCs w:val="24"/>
        </w:rPr>
        <w:t xml:space="preserve">OMB Control No. </w:t>
      </w:r>
      <w:r w:rsidRPr="00D2629E" w:rsidR="003F44F2">
        <w:rPr>
          <w:rFonts w:ascii="Times New Roman" w:hAnsi="Times New Roman" w:cs="Times New Roman"/>
          <w:szCs w:val="24"/>
        </w:rPr>
        <w:t>0910-</w:t>
      </w:r>
      <w:r w:rsidRPr="00D2629E" w:rsidR="00B9147C">
        <w:rPr>
          <w:rFonts w:ascii="Times New Roman" w:hAnsi="Times New Roman" w:cs="Times New Roman"/>
          <w:szCs w:val="24"/>
        </w:rPr>
        <w:t>0840</w:t>
      </w:r>
    </w:p>
    <w:p w:rsidR="00EC35E0" w:rsidRPr="008808C3" w:rsidP="00A8233B" w14:paraId="4A1E9256" w14:textId="77777777"/>
    <w:p w:rsidR="0004155B" w:rsidP="00D2629E" w14:paraId="56B36524" w14:textId="77777777">
      <w:pPr>
        <w:jc w:val="center"/>
        <w:rPr>
          <w:sz w:val="24"/>
          <w:szCs w:val="24"/>
        </w:rPr>
      </w:pPr>
      <w:r w:rsidRPr="00B9147C">
        <w:rPr>
          <w:sz w:val="24"/>
          <w:szCs w:val="24"/>
        </w:rPr>
        <w:t>SUPPORTING STATEMENT</w:t>
      </w:r>
    </w:p>
    <w:p w:rsidR="0004155B" w:rsidP="00B9147C" w14:paraId="0558DD15" w14:textId="77777777">
      <w:pPr>
        <w:rPr>
          <w:sz w:val="24"/>
          <w:szCs w:val="24"/>
        </w:rPr>
      </w:pPr>
    </w:p>
    <w:p w:rsidR="00EC35E0" w:rsidRPr="008808C3" w:rsidP="00B9147C" w14:paraId="11E0C2AA" w14:textId="7789BCA3">
      <w:pPr>
        <w:rPr>
          <w:b/>
          <w:sz w:val="24"/>
          <w:szCs w:val="24"/>
        </w:rPr>
      </w:pPr>
      <w:r w:rsidRPr="00B9147C">
        <w:rPr>
          <w:b/>
          <w:sz w:val="24"/>
          <w:szCs w:val="24"/>
        </w:rPr>
        <w:t>Part A:</w:t>
      </w:r>
      <w:r>
        <w:rPr>
          <w:b/>
          <w:sz w:val="24"/>
          <w:szCs w:val="24"/>
        </w:rPr>
        <w:t xml:space="preserve">  Justification</w:t>
      </w:r>
    </w:p>
    <w:p w:rsidR="00B9147C" w:rsidP="00A8233B" w14:paraId="7698A9EE" w14:textId="77777777">
      <w:pPr>
        <w:rPr>
          <w:b/>
          <w:bCs/>
          <w:sz w:val="24"/>
          <w:szCs w:val="24"/>
        </w:rPr>
      </w:pPr>
    </w:p>
    <w:p w:rsidR="005C771D" w:rsidRPr="00B9147C" w:rsidP="00A8233B" w14:paraId="59BBF5D0" w14:textId="77777777">
      <w:pPr>
        <w:rPr>
          <w:bCs/>
          <w:sz w:val="24"/>
          <w:szCs w:val="24"/>
          <w:u w:val="single"/>
        </w:rPr>
      </w:pPr>
      <w:r w:rsidRPr="00D2629E">
        <w:rPr>
          <w:bCs/>
          <w:sz w:val="24"/>
          <w:szCs w:val="24"/>
        </w:rPr>
        <w:t xml:space="preserve">1.  </w:t>
      </w:r>
      <w:r w:rsidRPr="00B9147C" w:rsidR="00C06574">
        <w:rPr>
          <w:bCs/>
          <w:sz w:val="24"/>
          <w:szCs w:val="24"/>
          <w:u w:val="single"/>
        </w:rPr>
        <w:t>Circumstances Making the Collection of Information Necessary</w:t>
      </w:r>
      <w:r w:rsidRPr="00B9147C" w:rsidR="006D4E17">
        <w:rPr>
          <w:bCs/>
          <w:sz w:val="24"/>
          <w:szCs w:val="24"/>
          <w:u w:val="single"/>
        </w:rPr>
        <w:br/>
      </w:r>
    </w:p>
    <w:p w:rsidR="008F4113" w:rsidRPr="008F4113" w:rsidP="008F4113" w14:paraId="127D47BA" w14:textId="1781F75C">
      <w:pPr>
        <w:spacing w:before="100" w:beforeAutospacing="1" w:after="100" w:afterAutospacing="1"/>
        <w:rPr>
          <w:sz w:val="24"/>
          <w:szCs w:val="24"/>
        </w:rPr>
      </w:pPr>
      <w:r w:rsidRPr="008F4113">
        <w:rPr>
          <w:sz w:val="24"/>
          <w:szCs w:val="24"/>
        </w:rPr>
        <w:t>This information collection supports implementation of FDA's Voluntary Qualified Importer Program (VQIP), a voluntary fee-based program that provides expedited review and import entry of human and animal foods into the United States. Program participants may import products to the United States with greater speed and predictability, avoiding unexpected delays at the point of import entry. Importers interested in applying can start their application</w:t>
      </w:r>
      <w:r w:rsidR="003258AC">
        <w:rPr>
          <w:sz w:val="24"/>
          <w:szCs w:val="24"/>
        </w:rPr>
        <w:t xml:space="preserve"> (Form FDA 4041)</w:t>
      </w:r>
      <w:r w:rsidRPr="008F4113">
        <w:rPr>
          <w:sz w:val="24"/>
          <w:szCs w:val="24"/>
        </w:rPr>
        <w:t xml:space="preserve"> by submitting a notice of intent to participate after setting up an account through the FDA Industry Systems (FIS) website at </w:t>
      </w:r>
      <w:hyperlink r:id="rId9" w:tgtFrame="_blank" w:history="1">
        <w:r w:rsidRPr="008F4113">
          <w:rPr>
            <w:i/>
            <w:iCs/>
            <w:color w:val="0000FF"/>
            <w:sz w:val="24"/>
            <w:szCs w:val="24"/>
            <w:u w:val="single"/>
          </w:rPr>
          <w:t>https://www.access.fda.gov</w:t>
        </w:r>
      </w:hyperlink>
      <w:r w:rsidRPr="008F4113">
        <w:rPr>
          <w:i/>
          <w:iCs/>
          <w:sz w:val="24"/>
          <w:szCs w:val="24"/>
        </w:rPr>
        <w:t>,</w:t>
      </w:r>
      <w:r w:rsidRPr="008F4113">
        <w:rPr>
          <w:sz w:val="24"/>
          <w:szCs w:val="24"/>
        </w:rPr>
        <w:t xml:space="preserve"> which includes a VQIP Portal User Guide. To participate, importers must meet eligibility criteria and pay a user fee that covers costs associated with FDA's administration of the program. Consistent with section 743(b)(1) of the Federal Food, Drug, and Cosmetic Act (FD&amp;C Act) (</w:t>
      </w:r>
      <w:hyperlink r:id="rId10" w:tgtFrame="_blank" w:history="1">
        <w:r w:rsidRPr="008F4113">
          <w:rPr>
            <w:color w:val="0000FF"/>
            <w:sz w:val="24"/>
            <w:szCs w:val="24"/>
            <w:u w:val="single"/>
          </w:rPr>
          <w:t>21 U.S.C. 379j-31(b)(1)</w:t>
        </w:r>
      </w:hyperlink>
      <w:r w:rsidRPr="008F4113">
        <w:rPr>
          <w:sz w:val="24"/>
          <w:szCs w:val="24"/>
        </w:rPr>
        <w:t xml:space="preserve">), FDA </w:t>
      </w:r>
      <w:r w:rsidR="00572668">
        <w:rPr>
          <w:sz w:val="24"/>
          <w:szCs w:val="24"/>
        </w:rPr>
        <w:t xml:space="preserve">annually </w:t>
      </w:r>
      <w:r w:rsidRPr="008F4113">
        <w:rPr>
          <w:sz w:val="24"/>
          <w:szCs w:val="24"/>
        </w:rPr>
        <w:t>publish</w:t>
      </w:r>
      <w:r w:rsidR="00572668">
        <w:rPr>
          <w:sz w:val="24"/>
          <w:szCs w:val="24"/>
        </w:rPr>
        <w:t>es</w:t>
      </w:r>
      <w:r w:rsidRPr="008F4113">
        <w:rPr>
          <w:sz w:val="24"/>
          <w:szCs w:val="24"/>
        </w:rPr>
        <w:t xml:space="preserve"> a schedule of fees applicable to VQIP</w:t>
      </w:r>
      <w:r w:rsidR="00572668">
        <w:rPr>
          <w:sz w:val="24"/>
          <w:szCs w:val="24"/>
        </w:rPr>
        <w:t xml:space="preserve"> in the </w:t>
      </w:r>
      <w:r w:rsidRPr="00572668" w:rsidR="00572668">
        <w:rPr>
          <w:i/>
          <w:iCs/>
          <w:sz w:val="24"/>
          <w:szCs w:val="24"/>
        </w:rPr>
        <w:t>Federal Register</w:t>
      </w:r>
      <w:r w:rsidRPr="008F4113">
        <w:rPr>
          <w:sz w:val="24"/>
          <w:szCs w:val="24"/>
        </w:rPr>
        <w:t xml:space="preserve">. </w:t>
      </w:r>
    </w:p>
    <w:p w:rsidR="008F4113" w:rsidRPr="008F4113" w:rsidP="008F4113" w14:paraId="6B3565B0" w14:textId="0593EDBE">
      <w:pPr>
        <w:spacing w:before="100" w:beforeAutospacing="1" w:after="100" w:afterAutospacing="1"/>
        <w:rPr>
          <w:sz w:val="24"/>
          <w:szCs w:val="24"/>
        </w:rPr>
      </w:pPr>
      <w:r w:rsidRPr="008F4113">
        <w:rPr>
          <w:sz w:val="24"/>
          <w:szCs w:val="24"/>
        </w:rPr>
        <w:t xml:space="preserve">To assist respondents with the information collection, we developed the guidance document entitled, “FDA's Voluntary Qualified Importer Program” (issued November 2016, </w:t>
      </w:r>
      <w:r w:rsidR="00161009">
        <w:rPr>
          <w:sz w:val="24"/>
          <w:szCs w:val="24"/>
        </w:rPr>
        <w:t xml:space="preserve">updated </w:t>
      </w:r>
      <w:r w:rsidR="005E43FF">
        <w:rPr>
          <w:sz w:val="24"/>
          <w:szCs w:val="24"/>
        </w:rPr>
        <w:t>July 2023</w:t>
      </w:r>
      <w:r w:rsidR="00161009">
        <w:rPr>
          <w:sz w:val="24"/>
          <w:szCs w:val="24"/>
        </w:rPr>
        <w:t xml:space="preserve"> to change the PRA burden statement address</w:t>
      </w:r>
      <w:r w:rsidRPr="008F4113">
        <w:rPr>
          <w:sz w:val="24"/>
          <w:szCs w:val="24"/>
        </w:rPr>
        <w:t xml:space="preserve">), available at </w:t>
      </w:r>
      <w:hyperlink r:id="rId11" w:tgtFrame="_blank" w:history="1">
        <w:r w:rsidRPr="008F4113">
          <w:rPr>
            <w:i/>
            <w:iCs/>
            <w:color w:val="0000FF"/>
            <w:sz w:val="24"/>
            <w:szCs w:val="24"/>
            <w:u w:val="single"/>
          </w:rPr>
          <w:t>https://www.fda.gov/​regulatory-information/​search-fda-guidance-documents/​guidance-industry-fdas-voluntary-qualified-importer-program</w:t>
        </w:r>
      </w:hyperlink>
      <w:r w:rsidRPr="008F4113">
        <w:rPr>
          <w:i/>
          <w:iCs/>
          <w:sz w:val="24"/>
          <w:szCs w:val="24"/>
        </w:rPr>
        <w:t>.</w:t>
      </w:r>
      <w:r w:rsidRPr="008F4113">
        <w:rPr>
          <w:sz w:val="24"/>
          <w:szCs w:val="24"/>
        </w:rPr>
        <w:t xml:space="preserve"> The guidance document is prepared in a question-and-answer format and discusses eligibility criteria; includes instruction for completing a VQIP application; explains conditions that may result in revocation of participation as well as criteria for reinstatement; and communicates benefits VQIP importers can expect to receive under the program. The guidance also discusses preparation of the “Quality Assurance Program (QAP),” a compilation of written policies and procedures used to ensure adequate control over the safety and security of foods being imported. The guidance document was developed and issued consistent with FDA Good Guidance Practice regulations in </w:t>
      </w:r>
      <w:hyperlink r:id="rId12" w:tgtFrame="_blank" w:history="1">
        <w:r w:rsidRPr="008F4113">
          <w:rPr>
            <w:color w:val="0000FF"/>
            <w:sz w:val="24"/>
            <w:szCs w:val="24"/>
            <w:u w:val="single"/>
          </w:rPr>
          <w:t>21 CFR part 10.115</w:t>
        </w:r>
      </w:hyperlink>
      <w:r w:rsidRPr="008F4113">
        <w:rPr>
          <w:sz w:val="24"/>
          <w:szCs w:val="24"/>
        </w:rPr>
        <w:t>, which provides for public comment at any time.</w:t>
      </w:r>
    </w:p>
    <w:p w:rsidR="00896943" w:rsidP="006127F2" w14:paraId="6EB7F2C8" w14:textId="7052AC4D">
      <w:pPr>
        <w:rPr>
          <w:rFonts w:cs="Courier New"/>
          <w:sz w:val="24"/>
        </w:rPr>
      </w:pPr>
      <w:r w:rsidRPr="00520823">
        <w:rPr>
          <w:rFonts w:cs="Courier New"/>
          <w:sz w:val="24"/>
        </w:rPr>
        <w:t>Accordingly, we request approval for the information collection provisions contained in the guidance</w:t>
      </w:r>
      <w:r w:rsidR="00D4762B">
        <w:rPr>
          <w:rFonts w:cs="Courier New"/>
          <w:sz w:val="24"/>
        </w:rPr>
        <w:t xml:space="preserve"> and Form FDA 4041, </w:t>
      </w:r>
      <w:r w:rsidRPr="00520823">
        <w:rPr>
          <w:rFonts w:cs="Courier New"/>
          <w:sz w:val="24"/>
        </w:rPr>
        <w:t>as discussed in this supporting statement.</w:t>
      </w:r>
    </w:p>
    <w:p w:rsidR="007877B0" w:rsidP="006127F2" w14:paraId="75FE2CD0" w14:textId="77777777">
      <w:pPr>
        <w:rPr>
          <w:rFonts w:cs="Courier New"/>
          <w:i/>
          <w:sz w:val="24"/>
        </w:rPr>
      </w:pPr>
    </w:p>
    <w:p w:rsidR="0076535A" w:rsidRPr="00BA718B" w:rsidP="006127F2" w14:paraId="538FB7EF" w14:textId="3AC85823">
      <w:pPr>
        <w:rPr>
          <w:rFonts w:cs="Courier New"/>
          <w:sz w:val="24"/>
        </w:rPr>
      </w:pPr>
      <w:r w:rsidRPr="007B4D7A">
        <w:rPr>
          <w:bCs/>
          <w:sz w:val="24"/>
          <w:szCs w:val="24"/>
        </w:rPr>
        <w:t xml:space="preserve">2.  </w:t>
      </w:r>
      <w:r w:rsidRPr="00B9147C" w:rsidR="00C06574">
        <w:rPr>
          <w:bCs/>
          <w:sz w:val="24"/>
          <w:szCs w:val="24"/>
          <w:u w:val="single"/>
        </w:rPr>
        <w:t>Purpose and Use of the Information Collection</w:t>
      </w:r>
      <w:r w:rsidRPr="008808C3" w:rsidR="006D4E17">
        <w:rPr>
          <w:b/>
          <w:bCs/>
          <w:sz w:val="24"/>
          <w:szCs w:val="24"/>
          <w:u w:val="single"/>
        </w:rPr>
        <w:br/>
      </w:r>
      <w:r w:rsidRPr="008808C3" w:rsidR="006D4E17">
        <w:rPr>
          <w:b/>
          <w:bCs/>
          <w:sz w:val="24"/>
          <w:szCs w:val="24"/>
          <w:u w:val="single"/>
        </w:rPr>
        <w:br/>
      </w:r>
      <w:r w:rsidRPr="008808C3" w:rsidR="00C53535">
        <w:rPr>
          <w:sz w:val="24"/>
          <w:szCs w:val="24"/>
        </w:rPr>
        <w:t xml:space="preserve">Information </w:t>
      </w:r>
      <w:r>
        <w:rPr>
          <w:sz w:val="24"/>
          <w:szCs w:val="24"/>
        </w:rPr>
        <w:t xml:space="preserve">collection provisions of the guidance </w:t>
      </w:r>
      <w:r w:rsidR="00AF63C7">
        <w:rPr>
          <w:sz w:val="24"/>
          <w:szCs w:val="24"/>
        </w:rPr>
        <w:t>facilitates</w:t>
      </w:r>
      <w:r>
        <w:rPr>
          <w:sz w:val="24"/>
          <w:szCs w:val="24"/>
        </w:rPr>
        <w:t xml:space="preserve"> </w:t>
      </w:r>
      <w:r w:rsidRPr="006127F2">
        <w:rPr>
          <w:sz w:val="24"/>
          <w:szCs w:val="24"/>
        </w:rPr>
        <w:t>expedited review and importation of food offered for importation by importers who voluntarily agree to p</w:t>
      </w:r>
      <w:r>
        <w:rPr>
          <w:sz w:val="24"/>
          <w:szCs w:val="24"/>
        </w:rPr>
        <w:t xml:space="preserve">articipate in VQIP, and supports the establishment of an agency </w:t>
      </w:r>
      <w:r w:rsidRPr="006127F2">
        <w:rPr>
          <w:sz w:val="24"/>
          <w:szCs w:val="24"/>
        </w:rPr>
        <w:t xml:space="preserve">process, consistent with section 808 of the FD&amp;C Act </w:t>
      </w:r>
      <w:r w:rsidRPr="006127F2">
        <w:rPr>
          <w:sz w:val="24"/>
          <w:szCs w:val="24"/>
        </w:rPr>
        <w:t>(21 U.S.C. 384d), for the issuance of a facility certification to accompany a food offered for importation by importers participating in VQIP.</w:t>
      </w:r>
    </w:p>
    <w:p w:rsidR="0076535A" w:rsidP="00A8233B" w14:paraId="4B902643" w14:textId="77777777">
      <w:pPr>
        <w:rPr>
          <w:sz w:val="24"/>
          <w:szCs w:val="24"/>
        </w:rPr>
      </w:pPr>
    </w:p>
    <w:p w:rsidR="00790E51" w:rsidP="00A8233B" w14:paraId="7EFABAAC" w14:textId="25794DCE">
      <w:pPr>
        <w:rPr>
          <w:sz w:val="24"/>
          <w:szCs w:val="24"/>
        </w:rPr>
      </w:pPr>
      <w:r w:rsidRPr="000721BC">
        <w:rPr>
          <w:i/>
          <w:sz w:val="24"/>
          <w:szCs w:val="24"/>
        </w:rPr>
        <w:t>Description of Respondents</w:t>
      </w:r>
      <w:r w:rsidR="006127F2">
        <w:rPr>
          <w:sz w:val="24"/>
          <w:szCs w:val="24"/>
        </w:rPr>
        <w:t>:</w:t>
      </w:r>
      <w:r w:rsidR="00896943">
        <w:rPr>
          <w:sz w:val="24"/>
          <w:szCs w:val="24"/>
        </w:rPr>
        <w:t xml:space="preserve"> </w:t>
      </w:r>
      <w:r w:rsidRPr="008F4113">
        <w:rPr>
          <w:sz w:val="24"/>
          <w:szCs w:val="24"/>
        </w:rPr>
        <w:t>Respondents to the information collection are persons that bring food, or cause food to be brought, from a foreign country into the customs territory of the United States (section 806 of the FD&amp;C Act (</w:t>
      </w:r>
      <w:hyperlink r:id="rId13" w:tgtFrame="_blank" w:history="1">
        <w:r w:rsidRPr="008F4113">
          <w:rPr>
            <w:color w:val="0000FF"/>
            <w:sz w:val="24"/>
            <w:szCs w:val="24"/>
            <w:u w:val="single"/>
          </w:rPr>
          <w:t>21 U.S.C. 384b</w:t>
        </w:r>
      </w:hyperlink>
      <w:r w:rsidRPr="008F4113">
        <w:rPr>
          <w:sz w:val="24"/>
          <w:szCs w:val="24"/>
        </w:rPr>
        <w:t xml:space="preserve">)) as a VQIP importer. A VQIP importer can be located outside the United States. Persons who may be a VQIP importer include the manufacturer, owner, consignee, and importer of record of a food, provided that the importer can meet all the criteria for participation. </w:t>
      </w:r>
    </w:p>
    <w:p w:rsidR="006127F2" w:rsidRPr="008808C3" w:rsidP="00A8233B" w14:paraId="73D9F079" w14:textId="77777777">
      <w:pPr>
        <w:rPr>
          <w:sz w:val="24"/>
          <w:szCs w:val="24"/>
        </w:rPr>
      </w:pPr>
    </w:p>
    <w:p w:rsidR="0076535A" w:rsidP="00A8233B" w14:paraId="0AEB499F" w14:textId="52A460D8">
      <w:pPr>
        <w:rPr>
          <w:sz w:val="24"/>
          <w:szCs w:val="24"/>
        </w:rPr>
      </w:pPr>
      <w:r w:rsidRPr="007B4D7A">
        <w:rPr>
          <w:bCs/>
          <w:sz w:val="24"/>
          <w:szCs w:val="24"/>
        </w:rPr>
        <w:t xml:space="preserve">3.  </w:t>
      </w:r>
      <w:r w:rsidRPr="00B9147C" w:rsidR="00C06574">
        <w:rPr>
          <w:bCs/>
          <w:sz w:val="24"/>
          <w:szCs w:val="24"/>
          <w:u w:val="single"/>
        </w:rPr>
        <w:t>Use of Improved Information Technology and Burden Reduction</w:t>
      </w:r>
      <w:r w:rsidRPr="008808C3" w:rsidR="006D4E17">
        <w:rPr>
          <w:b/>
          <w:bCs/>
          <w:sz w:val="24"/>
          <w:szCs w:val="24"/>
          <w:u w:val="single"/>
        </w:rPr>
        <w:br/>
      </w:r>
      <w:r w:rsidRPr="008808C3" w:rsidR="006D4E17">
        <w:rPr>
          <w:sz w:val="24"/>
          <w:szCs w:val="24"/>
        </w:rPr>
        <w:br/>
      </w:r>
      <w:r w:rsidR="00F3139D">
        <w:rPr>
          <w:sz w:val="24"/>
          <w:szCs w:val="24"/>
        </w:rPr>
        <w:t>FDA leverages information technology systems to facilitate electronic submissions of VQIP applications to FDA. To submit a VQIP application, participants e</w:t>
      </w:r>
      <w:r w:rsidRPr="00F3139D" w:rsidR="00F3139D">
        <w:rPr>
          <w:sz w:val="24"/>
          <w:szCs w:val="24"/>
        </w:rPr>
        <w:t xml:space="preserve">stablish an online account on the FDA Industry Systems Web site at </w:t>
      </w:r>
      <w:hyperlink r:id="rId14" w:history="1">
        <w:r w:rsidRPr="00150D51" w:rsidR="002C0B2E">
          <w:rPr>
            <w:rStyle w:val="Hyperlink"/>
            <w:sz w:val="24"/>
            <w:szCs w:val="24"/>
          </w:rPr>
          <w:t>www.access.fda.gov</w:t>
        </w:r>
      </w:hyperlink>
      <w:r w:rsidRPr="00F3139D" w:rsidR="00F3139D">
        <w:rPr>
          <w:sz w:val="24"/>
          <w:szCs w:val="24"/>
        </w:rPr>
        <w:t xml:space="preserve">. The information in </w:t>
      </w:r>
      <w:r w:rsidR="00F3139D">
        <w:rPr>
          <w:sz w:val="24"/>
          <w:szCs w:val="24"/>
        </w:rPr>
        <w:t>the</w:t>
      </w:r>
      <w:r w:rsidRPr="00F3139D" w:rsidR="00F3139D">
        <w:rPr>
          <w:sz w:val="24"/>
          <w:szCs w:val="24"/>
        </w:rPr>
        <w:t xml:space="preserve"> online account will auto populate into </w:t>
      </w:r>
      <w:r w:rsidR="00F3139D">
        <w:rPr>
          <w:sz w:val="24"/>
          <w:szCs w:val="24"/>
        </w:rPr>
        <w:t>the</w:t>
      </w:r>
      <w:r w:rsidRPr="00F3139D" w:rsidR="00F3139D">
        <w:rPr>
          <w:sz w:val="24"/>
          <w:szCs w:val="24"/>
        </w:rPr>
        <w:t xml:space="preserve"> VQIP application</w:t>
      </w:r>
      <w:r w:rsidR="00E549C6">
        <w:rPr>
          <w:sz w:val="24"/>
          <w:szCs w:val="24"/>
        </w:rPr>
        <w:t xml:space="preserve"> (Form FDA 4041)</w:t>
      </w:r>
      <w:r w:rsidR="00F3139D">
        <w:rPr>
          <w:sz w:val="24"/>
          <w:szCs w:val="24"/>
        </w:rPr>
        <w:t xml:space="preserve">. </w:t>
      </w:r>
      <w:r w:rsidRPr="00F3139D" w:rsidR="00F3139D">
        <w:rPr>
          <w:sz w:val="24"/>
          <w:szCs w:val="24"/>
        </w:rPr>
        <w:t xml:space="preserve">Additional information on completing and submitting a VQIP application is provided in Section G of </w:t>
      </w:r>
      <w:r w:rsidR="005205A1">
        <w:rPr>
          <w:sz w:val="24"/>
          <w:szCs w:val="24"/>
        </w:rPr>
        <w:t>the guidance</w:t>
      </w:r>
      <w:r w:rsidRPr="00F3139D" w:rsidR="00F3139D">
        <w:rPr>
          <w:sz w:val="24"/>
          <w:szCs w:val="24"/>
        </w:rPr>
        <w:t xml:space="preserve"> and the VQIP Portal User Guide </w:t>
      </w:r>
      <w:bookmarkStart w:id="0" w:name="_Hlk130856759"/>
      <w:r w:rsidR="00E24B95">
        <w:rPr>
          <w:sz w:val="24"/>
          <w:szCs w:val="24"/>
        </w:rPr>
        <w:t>(</w:t>
      </w:r>
      <w:hyperlink r:id="rId15" w:history="1">
        <w:r w:rsidRPr="00150D51" w:rsidR="0005119C">
          <w:rPr>
            <w:rStyle w:val="Hyperlink"/>
            <w:sz w:val="24"/>
            <w:szCs w:val="24"/>
          </w:rPr>
          <w:t>https://www.fda.gov/media/113346/download</w:t>
        </w:r>
      </w:hyperlink>
      <w:bookmarkEnd w:id="0"/>
      <w:r w:rsidR="00284B45">
        <w:rPr>
          <w:sz w:val="24"/>
          <w:szCs w:val="24"/>
        </w:rPr>
        <w:t>)</w:t>
      </w:r>
      <w:r w:rsidRPr="00F3139D" w:rsidR="00F3139D">
        <w:rPr>
          <w:sz w:val="24"/>
          <w:szCs w:val="24"/>
        </w:rPr>
        <w:t>.</w:t>
      </w:r>
      <w:r w:rsidR="00284B45">
        <w:rPr>
          <w:sz w:val="24"/>
          <w:szCs w:val="24"/>
        </w:rPr>
        <w:t xml:space="preserve"> </w:t>
      </w:r>
      <w:r w:rsidRPr="008808C3" w:rsidR="00B70147">
        <w:rPr>
          <w:sz w:val="24"/>
          <w:szCs w:val="24"/>
        </w:rPr>
        <w:t xml:space="preserve">The guidance does not specifically recommend the use of automated, electronic, mechanical, or other technological techniques or other forms of information technology for use by firms. </w:t>
      </w:r>
      <w:r>
        <w:rPr>
          <w:sz w:val="24"/>
          <w:szCs w:val="24"/>
        </w:rPr>
        <w:t xml:space="preserve">Respondents may </w:t>
      </w:r>
      <w:r w:rsidRPr="008808C3" w:rsidR="00B70147">
        <w:rPr>
          <w:sz w:val="24"/>
          <w:szCs w:val="24"/>
        </w:rPr>
        <w:t xml:space="preserve">use whatever forms of information technology </w:t>
      </w:r>
      <w:r w:rsidR="00FF1896">
        <w:rPr>
          <w:sz w:val="24"/>
          <w:szCs w:val="24"/>
        </w:rPr>
        <w:t xml:space="preserve">that </w:t>
      </w:r>
      <w:r w:rsidRPr="008808C3" w:rsidR="00B70147">
        <w:rPr>
          <w:sz w:val="24"/>
          <w:szCs w:val="24"/>
        </w:rPr>
        <w:t>best</w:t>
      </w:r>
      <w:r>
        <w:rPr>
          <w:sz w:val="24"/>
          <w:szCs w:val="24"/>
        </w:rPr>
        <w:t>s</w:t>
      </w:r>
      <w:r w:rsidRPr="008808C3" w:rsidR="00B70147">
        <w:rPr>
          <w:sz w:val="24"/>
          <w:szCs w:val="24"/>
        </w:rPr>
        <w:t xml:space="preserve"> assist them in retaining the appropriate records and making them available to regulatory officials</w:t>
      </w:r>
      <w:r w:rsidR="00213927">
        <w:rPr>
          <w:sz w:val="24"/>
          <w:szCs w:val="24"/>
        </w:rPr>
        <w:t xml:space="preserve">, but </w:t>
      </w:r>
      <w:r w:rsidR="009B2E17">
        <w:rPr>
          <w:sz w:val="24"/>
          <w:szCs w:val="24"/>
        </w:rPr>
        <w:t>r</w:t>
      </w:r>
      <w:r w:rsidRPr="00213927" w:rsidR="00213927">
        <w:rPr>
          <w:sz w:val="24"/>
          <w:szCs w:val="24"/>
        </w:rPr>
        <w:t xml:space="preserve">espondents should </w:t>
      </w:r>
      <w:r w:rsidRPr="00A66010" w:rsidR="00213927">
        <w:rPr>
          <w:sz w:val="24"/>
          <w:szCs w:val="24"/>
        </w:rPr>
        <w:t>establish an online account on the FDA Industry Systems Web site</w:t>
      </w:r>
      <w:r w:rsidR="009B2E17">
        <w:rPr>
          <w:sz w:val="24"/>
          <w:szCs w:val="24"/>
        </w:rPr>
        <w:t xml:space="preserve">. </w:t>
      </w:r>
      <w:r w:rsidR="009A3BBF">
        <w:rPr>
          <w:sz w:val="24"/>
          <w:szCs w:val="24"/>
        </w:rPr>
        <w:t xml:space="preserve"> </w:t>
      </w:r>
      <w:r w:rsidR="009B2E17">
        <w:rPr>
          <w:sz w:val="24"/>
          <w:szCs w:val="24"/>
        </w:rPr>
        <w:t>Respondents</w:t>
      </w:r>
      <w:r w:rsidRPr="00A66010" w:rsidR="00213927">
        <w:rPr>
          <w:sz w:val="24"/>
          <w:szCs w:val="24"/>
        </w:rPr>
        <w:t xml:space="preserve"> can update or change information in </w:t>
      </w:r>
      <w:r w:rsidR="009B2E17">
        <w:rPr>
          <w:sz w:val="24"/>
          <w:szCs w:val="24"/>
        </w:rPr>
        <w:t>the</w:t>
      </w:r>
      <w:r w:rsidRPr="00A66010" w:rsidR="00213927">
        <w:rPr>
          <w:sz w:val="24"/>
          <w:szCs w:val="24"/>
        </w:rPr>
        <w:t xml:space="preserve"> online account at any time.</w:t>
      </w:r>
      <w:r>
        <w:rPr>
          <w:sz w:val="24"/>
          <w:szCs w:val="24"/>
        </w:rPr>
        <w:t xml:space="preserve">  </w:t>
      </w:r>
    </w:p>
    <w:p w:rsidR="00854CC2" w:rsidRPr="00D2629E" w:rsidP="00854CC2" w14:paraId="3ED1774A" w14:textId="77777777">
      <w:pPr>
        <w:pStyle w:val="CommentText"/>
        <w:rPr>
          <w:sz w:val="24"/>
          <w:szCs w:val="24"/>
        </w:rPr>
      </w:pPr>
    </w:p>
    <w:p w:rsidR="00753F59" w:rsidRPr="008808C3" w:rsidP="00753F59" w14:paraId="06881DDE" w14:textId="1359A316">
      <w:pPr>
        <w:rPr>
          <w:sz w:val="24"/>
          <w:szCs w:val="24"/>
        </w:rPr>
      </w:pPr>
      <w:r w:rsidRPr="00D77B4E">
        <w:rPr>
          <w:sz w:val="24"/>
          <w:szCs w:val="24"/>
        </w:rPr>
        <w:t xml:space="preserve">Once the application has been reviewed and approved by FDA, an email is sent to the main contact person specified in the VQIP application. </w:t>
      </w:r>
      <w:r w:rsidRPr="00753F59">
        <w:rPr>
          <w:sz w:val="24"/>
          <w:szCs w:val="24"/>
        </w:rPr>
        <w:t>Approved VQIP participants will receive an invoice sent via email to be paid prior to Oct</w:t>
      </w:r>
      <w:r w:rsidR="005C4CC5">
        <w:rPr>
          <w:sz w:val="24"/>
          <w:szCs w:val="24"/>
        </w:rPr>
        <w:t>ober</w:t>
      </w:r>
      <w:r w:rsidRPr="00753F59">
        <w:rPr>
          <w:sz w:val="24"/>
          <w:szCs w:val="24"/>
        </w:rPr>
        <w:t xml:space="preserve"> 1</w:t>
      </w:r>
      <w:r w:rsidR="005C4CC5">
        <w:rPr>
          <w:sz w:val="24"/>
          <w:szCs w:val="24"/>
        </w:rPr>
        <w:t>st</w:t>
      </w:r>
      <w:r w:rsidRPr="00753F59">
        <w:rPr>
          <w:sz w:val="24"/>
          <w:szCs w:val="24"/>
        </w:rPr>
        <w:t xml:space="preserve"> of the calendar year. Instructions and methods of payment may be found by visiting the Voluntary Qualified Importer Program User Fees page </w:t>
      </w:r>
      <w:r w:rsidR="003E53D7">
        <w:rPr>
          <w:sz w:val="24"/>
          <w:szCs w:val="24"/>
        </w:rPr>
        <w:t>(</w:t>
      </w:r>
      <w:hyperlink r:id="rId16" w:history="1">
        <w:r w:rsidRPr="00A66010" w:rsidR="00213927">
          <w:rPr>
            <w:rStyle w:val="Hyperlink"/>
            <w:sz w:val="24"/>
            <w:szCs w:val="24"/>
          </w:rPr>
          <w:t>https://www.fda.gov/industry/fda-user-fee-programs/voluntary-qualified-importer-program-user-fees</w:t>
        </w:r>
      </w:hyperlink>
      <w:r w:rsidR="003E53D7">
        <w:rPr>
          <w:sz w:val="24"/>
          <w:szCs w:val="24"/>
        </w:rPr>
        <w:t xml:space="preserve">) </w:t>
      </w:r>
      <w:r w:rsidRPr="00753F59">
        <w:rPr>
          <w:sz w:val="24"/>
          <w:szCs w:val="24"/>
        </w:rPr>
        <w:t>and selecting the current Federal Register Notice.</w:t>
      </w:r>
    </w:p>
    <w:p w:rsidR="000D759D" w:rsidRPr="008808C3" w:rsidP="00A8233B" w14:paraId="7F740F62" w14:textId="77777777">
      <w:pPr>
        <w:rPr>
          <w:sz w:val="24"/>
          <w:szCs w:val="24"/>
        </w:rPr>
      </w:pPr>
    </w:p>
    <w:p w:rsidR="0024652E" w:rsidRPr="008808C3" w:rsidP="00A8233B" w14:paraId="227F0C67" w14:textId="77777777">
      <w:pPr>
        <w:rPr>
          <w:b/>
          <w:bCs/>
          <w:sz w:val="24"/>
          <w:szCs w:val="24"/>
        </w:rPr>
      </w:pPr>
      <w:r w:rsidRPr="007B4D7A">
        <w:rPr>
          <w:bCs/>
          <w:sz w:val="24"/>
          <w:szCs w:val="24"/>
        </w:rPr>
        <w:t xml:space="preserve">4.  </w:t>
      </w:r>
      <w:r w:rsidRPr="00B9147C" w:rsidR="00C06574">
        <w:rPr>
          <w:bCs/>
          <w:sz w:val="24"/>
          <w:szCs w:val="24"/>
          <w:u w:val="single"/>
        </w:rPr>
        <w:t>Efforts to Identify Duplication and Use of Similar Information</w:t>
      </w:r>
      <w:r w:rsidRPr="008808C3" w:rsidR="006D4E17">
        <w:rPr>
          <w:b/>
          <w:bCs/>
          <w:sz w:val="24"/>
          <w:szCs w:val="24"/>
        </w:rPr>
        <w:br/>
      </w:r>
      <w:r w:rsidRPr="008808C3" w:rsidR="006D4E17">
        <w:rPr>
          <w:b/>
          <w:bCs/>
          <w:sz w:val="24"/>
          <w:szCs w:val="24"/>
        </w:rPr>
        <w:br/>
      </w:r>
      <w:r>
        <w:rPr>
          <w:bCs/>
          <w:sz w:val="24"/>
          <w:szCs w:val="24"/>
        </w:rPr>
        <w:t>We are unaware of any duplicative information collection.</w:t>
      </w:r>
      <w:r w:rsidRPr="008808C3" w:rsidR="000D759D">
        <w:rPr>
          <w:sz w:val="24"/>
          <w:szCs w:val="24"/>
        </w:rPr>
        <w:t xml:space="preserve"> </w:t>
      </w:r>
      <w:r w:rsidRPr="008808C3" w:rsidR="006D4E17">
        <w:rPr>
          <w:sz w:val="24"/>
          <w:szCs w:val="24"/>
        </w:rPr>
        <w:br/>
      </w:r>
    </w:p>
    <w:p w:rsidR="0024652E" w:rsidRPr="008808C3" w:rsidP="00A8233B" w14:paraId="7F0B912C" w14:textId="204A5B64">
      <w:pPr>
        <w:numPr>
          <w:ilvl w:val="12"/>
          <w:numId w:val="0"/>
        </w:numPr>
        <w:rPr>
          <w:b/>
          <w:bCs/>
          <w:sz w:val="24"/>
          <w:szCs w:val="24"/>
        </w:rPr>
      </w:pPr>
      <w:r w:rsidRPr="007B4D7A">
        <w:rPr>
          <w:bCs/>
          <w:sz w:val="24"/>
          <w:szCs w:val="24"/>
        </w:rPr>
        <w:t xml:space="preserve">5.  </w:t>
      </w:r>
      <w:r w:rsidRPr="00B9147C" w:rsidR="00C06574">
        <w:rPr>
          <w:bCs/>
          <w:sz w:val="24"/>
          <w:szCs w:val="24"/>
          <w:u w:val="single"/>
        </w:rPr>
        <w:t>Impact on Small Businesses or Other Small Entities</w:t>
      </w:r>
      <w:r w:rsidRPr="008808C3" w:rsidR="006D4E17">
        <w:rPr>
          <w:b/>
          <w:bCs/>
          <w:sz w:val="24"/>
          <w:szCs w:val="24"/>
          <w:u w:val="single"/>
        </w:rPr>
        <w:br/>
      </w:r>
      <w:r w:rsidRPr="008808C3" w:rsidR="006D4E17">
        <w:rPr>
          <w:b/>
          <w:bCs/>
          <w:sz w:val="24"/>
          <w:szCs w:val="24"/>
          <w:u w:val="single"/>
        </w:rPr>
        <w:br/>
      </w:r>
      <w:r>
        <w:rPr>
          <w:sz w:val="24"/>
          <w:szCs w:val="24"/>
        </w:rPr>
        <w:t xml:space="preserve">While the information collection provisions apply to small and large businesses alike, </w:t>
      </w:r>
      <w:r w:rsidR="00B9147C">
        <w:rPr>
          <w:sz w:val="24"/>
          <w:szCs w:val="24"/>
        </w:rPr>
        <w:t xml:space="preserve">it imposes no undue burden on small entities. At the same time, </w:t>
      </w:r>
      <w:r w:rsidRPr="005A6C7D" w:rsidR="0076535A">
        <w:rPr>
          <w:sz w:val="24"/>
        </w:rPr>
        <w:t xml:space="preserve">FDA aids small businesses in </w:t>
      </w:r>
      <w:r w:rsidR="0076535A">
        <w:rPr>
          <w:sz w:val="24"/>
        </w:rPr>
        <w:t>complying</w:t>
      </w:r>
      <w:r w:rsidRPr="005A6C7D" w:rsidR="0076535A">
        <w:rPr>
          <w:sz w:val="24"/>
        </w:rPr>
        <w:t xml:space="preserve"> with </w:t>
      </w:r>
      <w:r w:rsidR="0076535A">
        <w:rPr>
          <w:sz w:val="24"/>
        </w:rPr>
        <w:t>its</w:t>
      </w:r>
      <w:r w:rsidRPr="005A6C7D" w:rsidR="0076535A">
        <w:rPr>
          <w:sz w:val="24"/>
        </w:rPr>
        <w:t xml:space="preserve"> requirements through </w:t>
      </w:r>
      <w:r w:rsidRPr="005112BB" w:rsidR="0076535A">
        <w:rPr>
          <w:sz w:val="24"/>
        </w:rPr>
        <w:t>the agency’s Regional Small Business Representatives</w:t>
      </w:r>
      <w:r w:rsidRPr="005A6C7D" w:rsidR="0076535A">
        <w:rPr>
          <w:sz w:val="24"/>
        </w:rPr>
        <w:t xml:space="preserve"> and through the scientific and administrative staffs </w:t>
      </w:r>
      <w:r w:rsidR="0076535A">
        <w:rPr>
          <w:sz w:val="24"/>
        </w:rPr>
        <w:t>within</w:t>
      </w:r>
      <w:r w:rsidRPr="005A6C7D" w:rsidR="0076535A">
        <w:rPr>
          <w:sz w:val="24"/>
        </w:rPr>
        <w:t xml:space="preserve"> the agency.</w:t>
      </w:r>
      <w:r w:rsidR="0076535A">
        <w:rPr>
          <w:sz w:val="24"/>
        </w:rPr>
        <w:t xml:space="preserve"> </w:t>
      </w:r>
      <w:r w:rsidRPr="005112BB" w:rsidR="0076535A">
        <w:rPr>
          <w:sz w:val="24"/>
        </w:rPr>
        <w:t xml:space="preserve">FDA has provided a Small Business Guide on the agency’s website at </w:t>
      </w:r>
      <w:hyperlink r:id="rId17" w:history="1">
        <w:r w:rsidRPr="005112BB" w:rsidR="0076535A">
          <w:rPr>
            <w:rStyle w:val="Hyperlink"/>
            <w:sz w:val="24"/>
          </w:rPr>
          <w:t>http://www.fda.gov/oc/industry/</w:t>
        </w:r>
      </w:hyperlink>
      <w:r w:rsidRPr="005112BB" w:rsidR="0076535A">
        <w:rPr>
          <w:sz w:val="24"/>
        </w:rPr>
        <w:t>.</w:t>
      </w:r>
      <w:r w:rsidRPr="008808C3" w:rsidR="006D4E17">
        <w:rPr>
          <w:sz w:val="24"/>
          <w:szCs w:val="24"/>
        </w:rPr>
        <w:br/>
      </w:r>
    </w:p>
    <w:p w:rsidR="000D759D" w:rsidRPr="00B9147C" w:rsidP="00A8233B" w14:paraId="79CD494E" w14:textId="77777777">
      <w:pPr>
        <w:rPr>
          <w:sz w:val="24"/>
          <w:szCs w:val="24"/>
          <w:u w:val="single"/>
        </w:rPr>
      </w:pPr>
      <w:r w:rsidRPr="007B4D7A">
        <w:rPr>
          <w:bCs/>
          <w:sz w:val="24"/>
          <w:szCs w:val="24"/>
        </w:rPr>
        <w:t xml:space="preserve">6.  </w:t>
      </w:r>
      <w:r w:rsidRPr="00B9147C" w:rsidR="00C06574">
        <w:rPr>
          <w:bCs/>
          <w:sz w:val="24"/>
          <w:szCs w:val="24"/>
          <w:u w:val="single"/>
        </w:rPr>
        <w:t>Consequences of Collecting the Information Less Frequently</w:t>
      </w:r>
      <w:r w:rsidRPr="00B9147C" w:rsidR="007D476F">
        <w:rPr>
          <w:sz w:val="24"/>
          <w:szCs w:val="24"/>
          <w:u w:val="single"/>
        </w:rPr>
        <w:br/>
      </w:r>
    </w:p>
    <w:p w:rsidR="0024652E" w:rsidRPr="008808C3" w:rsidP="00A8233B" w14:paraId="53822D25" w14:textId="3956A1DF">
      <w:pPr>
        <w:rPr>
          <w:b/>
          <w:bCs/>
          <w:sz w:val="24"/>
          <w:szCs w:val="24"/>
        </w:rPr>
      </w:pPr>
      <w:r>
        <w:rPr>
          <w:sz w:val="24"/>
        </w:rPr>
        <w:t>The guidance provides for an annual application process and the establishment and main</w:t>
      </w:r>
      <w:r w:rsidR="005A7939">
        <w:rPr>
          <w:sz w:val="24"/>
        </w:rPr>
        <w:t>tenance of a quality assurance program</w:t>
      </w:r>
      <w:r w:rsidR="002C0B2E">
        <w:rPr>
          <w:sz w:val="24"/>
        </w:rPr>
        <w:t xml:space="preserve"> (QAP)</w:t>
      </w:r>
      <w:r>
        <w:rPr>
          <w:sz w:val="24"/>
        </w:rPr>
        <w:t>. We believe the frequency of collection imposes a minimal burden on respondents while allowing the agency to effectively administer the program.  We believe less frequent collection would diminish the agency’s ability to ensure the safety of food being imported into the United States.</w:t>
      </w:r>
      <w:r w:rsidR="00F06047">
        <w:rPr>
          <w:sz w:val="24"/>
          <w:szCs w:val="24"/>
        </w:rPr>
        <w:t xml:space="preserve"> </w:t>
      </w:r>
      <w:r w:rsidRPr="008808C3" w:rsidR="006D4E17">
        <w:rPr>
          <w:sz w:val="24"/>
          <w:szCs w:val="24"/>
        </w:rPr>
        <w:br/>
      </w:r>
    </w:p>
    <w:p w:rsidR="007D476F" w:rsidRPr="008808C3" w:rsidP="00A8233B" w14:paraId="440ACF5D" w14:textId="77777777">
      <w:pPr>
        <w:rPr>
          <w:sz w:val="24"/>
          <w:szCs w:val="24"/>
        </w:rPr>
      </w:pPr>
      <w:r w:rsidRPr="007B4D7A">
        <w:rPr>
          <w:bCs/>
          <w:sz w:val="24"/>
          <w:szCs w:val="24"/>
        </w:rPr>
        <w:t xml:space="preserve">7.  </w:t>
      </w:r>
      <w:r w:rsidRPr="00B9147C" w:rsidR="006D4E17">
        <w:rPr>
          <w:bCs/>
          <w:sz w:val="24"/>
          <w:szCs w:val="24"/>
          <w:u w:val="single"/>
        </w:rPr>
        <w:t>Special Circumstances</w:t>
      </w:r>
      <w:r w:rsidRPr="00B9147C" w:rsidR="00C06574">
        <w:rPr>
          <w:sz w:val="24"/>
          <w:szCs w:val="24"/>
          <w:u w:val="single"/>
        </w:rPr>
        <w:t xml:space="preserve"> </w:t>
      </w:r>
      <w:r w:rsidRPr="00B9147C" w:rsidR="00C06574">
        <w:rPr>
          <w:bCs/>
          <w:sz w:val="24"/>
          <w:szCs w:val="24"/>
          <w:u w:val="single"/>
        </w:rPr>
        <w:t>Relating to the Guidelines of 5 CFR 1320.5</w:t>
      </w:r>
      <w:r w:rsidRPr="008808C3" w:rsidR="006D4E17">
        <w:rPr>
          <w:sz w:val="24"/>
          <w:szCs w:val="24"/>
        </w:rPr>
        <w:br/>
      </w:r>
      <w:r w:rsidRPr="008808C3" w:rsidR="006D4E17">
        <w:rPr>
          <w:sz w:val="24"/>
          <w:szCs w:val="24"/>
        </w:rPr>
        <w:br/>
      </w:r>
      <w:r w:rsidRPr="00EB4884">
        <w:rPr>
          <w:rFonts w:cs="Courier New"/>
          <w:sz w:val="24"/>
        </w:rPr>
        <w:t xml:space="preserve">There are no </w:t>
      </w:r>
      <w:r w:rsidRPr="00EB4884">
        <w:rPr>
          <w:rFonts w:cs="Courier New"/>
          <w:sz w:val="24"/>
        </w:rPr>
        <w:t>special circumstances</w:t>
      </w:r>
      <w:r w:rsidRPr="00EB4884">
        <w:rPr>
          <w:rFonts w:cs="Courier New"/>
          <w:sz w:val="24"/>
        </w:rPr>
        <w:t xml:space="preserve"> associated with this collection of information.</w:t>
      </w:r>
    </w:p>
    <w:p w:rsidR="00E46D58" w:rsidRPr="008808C3" w:rsidP="00A8233B" w14:paraId="6DC20457" w14:textId="77777777">
      <w:pPr>
        <w:rPr>
          <w:sz w:val="24"/>
          <w:szCs w:val="24"/>
        </w:rPr>
      </w:pPr>
    </w:p>
    <w:p w:rsidR="00F34737" w:rsidRPr="00F34737" w:rsidP="007E7975" w14:paraId="472D6A7A" w14:textId="70D24035">
      <w:pPr>
        <w:rPr>
          <w:sz w:val="24"/>
          <w:szCs w:val="24"/>
        </w:rPr>
      </w:pPr>
      <w:r w:rsidRPr="007B4D7A">
        <w:rPr>
          <w:sz w:val="24"/>
          <w:szCs w:val="24"/>
        </w:rPr>
        <w:t>8.</w:t>
      </w:r>
      <w:r w:rsidRPr="007B4D7A" w:rsidR="00EB4884">
        <w:rPr>
          <w:sz w:val="24"/>
          <w:szCs w:val="24"/>
        </w:rPr>
        <w:t xml:space="preserve">  </w:t>
      </w:r>
      <w:r w:rsidRPr="00B9147C" w:rsidR="00C06574">
        <w:rPr>
          <w:bCs/>
          <w:iCs/>
          <w:sz w:val="24"/>
          <w:szCs w:val="24"/>
          <w:u w:val="single"/>
        </w:rPr>
        <w:t>Comments in Response to the Federal Register Notice and Efforts to Consult Outside</w:t>
      </w:r>
      <w:r w:rsidRPr="00B9147C" w:rsidR="00EB4884">
        <w:rPr>
          <w:bCs/>
          <w:iCs/>
          <w:sz w:val="24"/>
          <w:szCs w:val="24"/>
          <w:u w:val="single"/>
        </w:rPr>
        <w:t xml:space="preserve"> </w:t>
      </w:r>
      <w:r w:rsidRPr="00B9147C" w:rsidR="00C06574">
        <w:rPr>
          <w:bCs/>
          <w:iCs/>
          <w:sz w:val="24"/>
          <w:szCs w:val="24"/>
          <w:u w:val="single"/>
        </w:rPr>
        <w:t>the Agency</w:t>
      </w:r>
      <w:r w:rsidRPr="008808C3" w:rsidR="006D4E17">
        <w:rPr>
          <w:b/>
          <w:bCs/>
          <w:sz w:val="24"/>
          <w:szCs w:val="24"/>
          <w:u w:val="single"/>
        </w:rPr>
        <w:br/>
      </w:r>
      <w:r w:rsidRPr="008808C3" w:rsidR="006D4E17">
        <w:rPr>
          <w:b/>
          <w:bCs/>
          <w:sz w:val="24"/>
          <w:szCs w:val="24"/>
          <w:u w:val="single"/>
        </w:rPr>
        <w:br/>
      </w:r>
      <w:r w:rsidRPr="00D2629E" w:rsidR="00C631A4">
        <w:rPr>
          <w:sz w:val="24"/>
          <w:szCs w:val="24"/>
        </w:rPr>
        <w:t xml:space="preserve">In accordance with 5 CFR 1320.8(d), </w:t>
      </w:r>
      <w:r w:rsidRPr="00D2629E" w:rsidR="00B9147C">
        <w:rPr>
          <w:sz w:val="24"/>
          <w:szCs w:val="24"/>
        </w:rPr>
        <w:t xml:space="preserve">we </w:t>
      </w:r>
      <w:r w:rsidRPr="00D2629E" w:rsidR="00C631A4">
        <w:rPr>
          <w:sz w:val="24"/>
          <w:szCs w:val="24"/>
        </w:rPr>
        <w:t xml:space="preserve">published a 60-day notice for public comment in the </w:t>
      </w:r>
      <w:r w:rsidRPr="00D2629E" w:rsidR="00EB4884">
        <w:rPr>
          <w:i/>
          <w:iCs/>
          <w:sz w:val="24"/>
          <w:szCs w:val="24"/>
        </w:rPr>
        <w:t>Federal Register</w:t>
      </w:r>
      <w:r w:rsidRPr="00D2629E" w:rsidR="00EB4884">
        <w:rPr>
          <w:sz w:val="24"/>
          <w:szCs w:val="24"/>
        </w:rPr>
        <w:t xml:space="preserve"> of </w:t>
      </w:r>
      <w:r w:rsidR="00614552">
        <w:rPr>
          <w:sz w:val="24"/>
          <w:szCs w:val="24"/>
        </w:rPr>
        <w:t>May 11, 2023 (88 FR 30315</w:t>
      </w:r>
      <w:r w:rsidRPr="00D2629E" w:rsidR="00C631A4">
        <w:rPr>
          <w:sz w:val="24"/>
          <w:szCs w:val="24"/>
        </w:rPr>
        <w:t xml:space="preserve">).  </w:t>
      </w:r>
      <w:r w:rsidR="003E53D7">
        <w:rPr>
          <w:sz w:val="24"/>
          <w:szCs w:val="24"/>
        </w:rPr>
        <w:t>No comments were received.</w:t>
      </w:r>
    </w:p>
    <w:p w:rsidR="0024652E" w:rsidRPr="008808C3" w:rsidP="00A8233B" w14:paraId="345AA150" w14:textId="77777777">
      <w:pPr>
        <w:pStyle w:val="Heading1"/>
        <w:tabs>
          <w:tab w:val="clear" w:pos="-1080"/>
          <w:tab w:val="clear" w:pos="-720"/>
          <w:tab w:val="clear" w:pos="0"/>
          <w:tab w:val="clear" w:pos="36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pPr>
    </w:p>
    <w:p w:rsidR="00C631A4" w:rsidRPr="007E7975" w:rsidP="00A8233B" w14:paraId="13EB4F7C" w14:textId="77777777">
      <w:pPr>
        <w:pStyle w:val="Heading1"/>
        <w:tabs>
          <w:tab w:val="clear" w:pos="-1080"/>
          <w:tab w:val="clear" w:pos="-720"/>
          <w:tab w:val="clear" w:pos="0"/>
          <w:tab w:val="clear" w:pos="36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rPr>
          <w:u w:val="single"/>
        </w:rPr>
      </w:pPr>
      <w:r w:rsidRPr="007B4D7A">
        <w:t>9.</w:t>
      </w:r>
      <w:r w:rsidRPr="007B4D7A" w:rsidR="00F34737">
        <w:t xml:space="preserve">  </w:t>
      </w:r>
      <w:r w:rsidRPr="007E7975" w:rsidR="00C06574">
        <w:rPr>
          <w:bCs/>
          <w:u w:val="single"/>
        </w:rPr>
        <w:t>Explanation of Any Payment or Gift to Respondents</w:t>
      </w:r>
      <w:r w:rsidRPr="007E7975" w:rsidR="006D4E17">
        <w:rPr>
          <w:u w:val="single"/>
        </w:rPr>
        <w:br/>
      </w:r>
    </w:p>
    <w:p w:rsidR="00E46D58" w:rsidRPr="008808C3" w:rsidP="00A8233B" w14:paraId="4554FE38" w14:textId="002C8A67">
      <w:pPr>
        <w:numPr>
          <w:ilvl w:val="12"/>
          <w:numId w:val="0"/>
        </w:numPr>
        <w:rPr>
          <w:rFonts w:cs="Courier New"/>
          <w:sz w:val="24"/>
        </w:rPr>
      </w:pPr>
      <w:r w:rsidRPr="009F68FD">
        <w:rPr>
          <w:sz w:val="24"/>
          <w:szCs w:val="24"/>
        </w:rPr>
        <w:t>There are no incentives, payments or gifts associated with this information collection.</w:t>
      </w:r>
    </w:p>
    <w:p w:rsidR="0024652E" w:rsidRPr="008808C3" w:rsidP="00A8233B" w14:paraId="68A990B2" w14:textId="77777777">
      <w:pPr>
        <w:pStyle w:val="Heading1"/>
        <w:tabs>
          <w:tab w:val="clear" w:pos="-1080"/>
          <w:tab w:val="clear" w:pos="-720"/>
          <w:tab w:val="clear" w:pos="0"/>
          <w:tab w:val="clear" w:pos="36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pPr>
    </w:p>
    <w:p w:rsidR="00C631A4" w:rsidRPr="007E7975" w:rsidP="00A8233B" w14:paraId="4C20DB26" w14:textId="77777777">
      <w:pPr>
        <w:pStyle w:val="Heading1"/>
        <w:tabs>
          <w:tab w:val="clear" w:pos="-1080"/>
          <w:tab w:val="clear" w:pos="-720"/>
          <w:tab w:val="clear" w:pos="0"/>
          <w:tab w:val="clear" w:pos="36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rPr>
          <w:u w:val="single"/>
        </w:rPr>
      </w:pPr>
      <w:r w:rsidRPr="007B4D7A">
        <w:rPr>
          <w:bCs/>
        </w:rPr>
        <w:t xml:space="preserve">10.  </w:t>
      </w:r>
      <w:r w:rsidRPr="007E7975" w:rsidR="00C06574">
        <w:rPr>
          <w:bCs/>
          <w:u w:val="single"/>
        </w:rPr>
        <w:t>Assurance of Confidentiality Provided to Respondents</w:t>
      </w:r>
      <w:r w:rsidRPr="007E7975" w:rsidR="00012DD5">
        <w:rPr>
          <w:u w:val="single"/>
        </w:rPr>
        <w:br/>
      </w:r>
    </w:p>
    <w:p w:rsidR="00A66010" w:rsidP="00A66010" w14:paraId="22BD1987" w14:textId="62363D7B">
      <w:pPr>
        <w:ind w:left="720"/>
        <w:rPr>
          <w:sz w:val="24"/>
          <w:szCs w:val="24"/>
        </w:rPr>
      </w:pPr>
      <w:r>
        <w:rPr>
          <w:sz w:val="24"/>
          <w:szCs w:val="24"/>
        </w:rPr>
        <w:t>The Privacy Act of 1974</w:t>
      </w:r>
    </w:p>
    <w:p w:rsidR="00A66010" w:rsidP="00255538" w14:paraId="63476C41" w14:textId="77777777">
      <w:pPr>
        <w:rPr>
          <w:sz w:val="24"/>
          <w:szCs w:val="24"/>
        </w:rPr>
      </w:pPr>
    </w:p>
    <w:p w:rsidR="00255538" w:rsidRPr="00A66010" w:rsidP="00255538" w14:paraId="349BC841" w14:textId="4B8909BD">
      <w:pPr>
        <w:rPr>
          <w:sz w:val="24"/>
          <w:szCs w:val="24"/>
        </w:rPr>
      </w:pPr>
      <w:r w:rsidRPr="00A66010">
        <w:rPr>
          <w:sz w:val="24"/>
          <w:szCs w:val="24"/>
        </w:rPr>
        <w:t>In preparing this Supporting Statement, we consulted our Privacy Office to ensure appropriate identification and handling of information collected.</w:t>
      </w:r>
    </w:p>
    <w:p w:rsidR="00255538" w:rsidRPr="00A66010" w:rsidP="00255538" w14:paraId="575E2BF8" w14:textId="77777777">
      <w:pPr>
        <w:rPr>
          <w:sz w:val="24"/>
          <w:szCs w:val="24"/>
        </w:rPr>
      </w:pPr>
    </w:p>
    <w:p w:rsidR="00255538" w:rsidP="00255538" w14:paraId="52C9B870" w14:textId="63A87571">
      <w:pPr>
        <w:rPr>
          <w:sz w:val="24"/>
          <w:szCs w:val="24"/>
        </w:rPr>
      </w:pPr>
      <w:r w:rsidRPr="00A66010">
        <w:rPr>
          <w:sz w:val="24"/>
          <w:szCs w:val="24"/>
        </w:rPr>
        <w:t>This ICR collects personally identifiable information (PII).  PII is collected in the context of the subject individuals’ professional capacity and the FDA-related work they perform for their employer (e.g., point of contact at a regulated entity).  The PII submitted includes point of contact name, employer tax identification number, work email address, work telephone number, and work fax telephone number. FDA determined that although PII is collected, the collection is not subject to the Privacy Act of 1974 and the particular notice and other requirements of the Act do not apply. Specifically, the contractor or FDA does not use name or any other personal identifier to retrieve records from the information collected. Through appropriate webpage design, FDA limited submission fields and minimized the PII collected to protect the privacy of the individuals.</w:t>
      </w:r>
    </w:p>
    <w:p w:rsidR="00A66010" w:rsidP="00255538" w14:paraId="50AE60F8" w14:textId="4CCAD9AB">
      <w:pPr>
        <w:rPr>
          <w:sz w:val="24"/>
          <w:szCs w:val="24"/>
        </w:rPr>
      </w:pPr>
    </w:p>
    <w:p w:rsidR="00A66010" w:rsidRPr="00A66010" w:rsidP="00255538" w14:paraId="1D0D4B37" w14:textId="44F051F8">
      <w:pPr>
        <w:rPr>
          <w:sz w:val="24"/>
          <w:szCs w:val="24"/>
        </w:rPr>
      </w:pPr>
      <w:r>
        <w:rPr>
          <w:sz w:val="24"/>
          <w:szCs w:val="24"/>
        </w:rPr>
        <w:tab/>
        <w:t>The Freedom of Information Act</w:t>
      </w:r>
    </w:p>
    <w:p w:rsidR="00255538" w:rsidRPr="00A66010" w:rsidP="00255538" w14:paraId="1FB57762" w14:textId="77777777">
      <w:pPr>
        <w:rPr>
          <w:sz w:val="24"/>
          <w:szCs w:val="24"/>
        </w:rPr>
      </w:pPr>
    </w:p>
    <w:p w:rsidR="00255538" w:rsidRPr="00A66010" w:rsidP="00255538" w14:paraId="776D2ECA" w14:textId="77777777">
      <w:pPr>
        <w:pStyle w:val="Heading1"/>
        <w:tabs>
          <w:tab w:val="clear" w:pos="-1080"/>
          <w:tab w:val="clear" w:pos="-720"/>
          <w:tab w:val="clear" w:pos="0"/>
          <w:tab w:val="clear" w:pos="36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rPr>
          <w:szCs w:val="24"/>
        </w:rPr>
      </w:pPr>
      <w:r w:rsidRPr="00A66010">
        <w:rPr>
          <w:szCs w:val="24"/>
        </w:rPr>
        <w:t xml:space="preserve">Under the Freedom of Information Act (FOIA) (5 U.S.C. 552), the public has broad access to government documents. However, FOIA provides certain exemptions from mandatory public disclosure of government records (5 U.S.C. 552(b)(1-9)).  FDA will make the fullest possible </w:t>
      </w:r>
      <w:r w:rsidRPr="00A66010">
        <w:rPr>
          <w:szCs w:val="24"/>
        </w:rPr>
        <w:t xml:space="preserve">disclosure of records to the public, consistent with the rights of individuals to privacy, the property rights of persons in trade and confidential commercial or financial information. </w:t>
      </w:r>
    </w:p>
    <w:p w:rsidR="00255538" w:rsidRPr="00A66010" w:rsidP="00255538" w14:paraId="6A0B5724" w14:textId="77777777">
      <w:pPr>
        <w:pStyle w:val="Heading1"/>
        <w:tabs>
          <w:tab w:val="clear" w:pos="-1080"/>
          <w:tab w:val="clear" w:pos="-720"/>
          <w:tab w:val="clear" w:pos="0"/>
          <w:tab w:val="clear" w:pos="36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rPr>
          <w:szCs w:val="24"/>
        </w:rPr>
      </w:pPr>
    </w:p>
    <w:p w:rsidR="0024652E" w:rsidRPr="00A66010" w:rsidP="00255538" w14:paraId="1E46DA62" w14:textId="77EA13ED">
      <w:pPr>
        <w:pStyle w:val="Heading1"/>
        <w:tabs>
          <w:tab w:val="clear" w:pos="-1080"/>
          <w:tab w:val="clear" w:pos="-720"/>
          <w:tab w:val="clear" w:pos="0"/>
          <w:tab w:val="clear" w:pos="36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pPr>
      <w:r w:rsidRPr="007B4D7A">
        <w:t>11.</w:t>
      </w:r>
      <w:r w:rsidRPr="007B4D7A" w:rsidR="00F34737">
        <w:t xml:space="preserve">  </w:t>
      </w:r>
      <w:r w:rsidRPr="00A66010" w:rsidR="00C06574">
        <w:rPr>
          <w:u w:val="single"/>
        </w:rPr>
        <w:t xml:space="preserve">Justification for </w:t>
      </w:r>
      <w:r w:rsidRPr="00A66010" w:rsidR="006D4E17">
        <w:rPr>
          <w:bCs/>
          <w:u w:val="single"/>
        </w:rPr>
        <w:t>Sensitive Questions</w:t>
      </w:r>
      <w:r w:rsidRPr="00A66010" w:rsidR="006D4E17">
        <w:br/>
      </w:r>
      <w:r w:rsidRPr="00A66010" w:rsidR="006D4E17">
        <w:br/>
      </w:r>
      <w:r w:rsidRPr="00A66010" w:rsidR="00F34737">
        <w:t>The</w:t>
      </w:r>
      <w:r w:rsidRPr="00A66010" w:rsidR="006A422C">
        <w:t xml:space="preserve"> </w:t>
      </w:r>
      <w:r w:rsidRPr="00A66010" w:rsidR="009F68FD">
        <w:t xml:space="preserve">collection of information </w:t>
      </w:r>
      <w:r w:rsidRPr="00A66010" w:rsidR="006A422C">
        <w:t>does not</w:t>
      </w:r>
      <w:r w:rsidRPr="00A66010" w:rsidR="009F68FD">
        <w:t xml:space="preserve"> involve sensitive questions</w:t>
      </w:r>
      <w:r w:rsidRPr="00A66010" w:rsidR="006A422C">
        <w:t>.</w:t>
      </w:r>
    </w:p>
    <w:p w:rsidR="005C4CC5" w:rsidRPr="00A66010" w:rsidP="00D2629E" w14:paraId="1159320B" w14:textId="77777777"/>
    <w:p w:rsidR="006D4E17" w:rsidRPr="00A66010" w:rsidP="00A8233B" w14:paraId="1F34A0B2" w14:textId="77777777">
      <w:pPr>
        <w:rPr>
          <w:bCs/>
          <w:sz w:val="24"/>
          <w:szCs w:val="24"/>
          <w:u w:val="single"/>
        </w:rPr>
      </w:pPr>
      <w:r w:rsidRPr="007B4D7A">
        <w:rPr>
          <w:sz w:val="24"/>
          <w:szCs w:val="24"/>
        </w:rPr>
        <w:t>12.</w:t>
      </w:r>
      <w:r w:rsidRPr="007B4D7A" w:rsidR="00F34737">
        <w:rPr>
          <w:bCs/>
          <w:sz w:val="24"/>
          <w:szCs w:val="24"/>
        </w:rPr>
        <w:t xml:space="preserve">  </w:t>
      </w:r>
      <w:r w:rsidRPr="00A66010" w:rsidR="00C06574">
        <w:rPr>
          <w:bCs/>
          <w:sz w:val="24"/>
          <w:szCs w:val="24"/>
          <w:u w:val="single"/>
        </w:rPr>
        <w:t>Estimates of Annualized Burden Hours and Costs</w:t>
      </w:r>
    </w:p>
    <w:p w:rsidR="003C70BD" w:rsidRPr="00A66010" w:rsidP="00A8233B" w14:paraId="41057DE4" w14:textId="77777777">
      <w:pPr>
        <w:rPr>
          <w:sz w:val="24"/>
          <w:szCs w:val="24"/>
        </w:rPr>
      </w:pPr>
    </w:p>
    <w:p w:rsidR="00EE135D" w:rsidRPr="00A66010" w:rsidP="00A8233B" w14:paraId="0ABB7AA2" w14:textId="77777777">
      <w:pPr>
        <w:rPr>
          <w:sz w:val="24"/>
          <w:szCs w:val="24"/>
        </w:rPr>
      </w:pPr>
      <w:r w:rsidRPr="00A66010">
        <w:rPr>
          <w:b/>
          <w:sz w:val="24"/>
          <w:szCs w:val="24"/>
        </w:rPr>
        <w:tab/>
      </w:r>
      <w:bookmarkStart w:id="1" w:name="_Hlk134784567"/>
      <w:r w:rsidRPr="00A66010">
        <w:rPr>
          <w:i/>
          <w:sz w:val="24"/>
          <w:szCs w:val="24"/>
        </w:rPr>
        <w:t>12a. Annualized Hour Burden Estimate</w:t>
      </w:r>
      <w:bookmarkEnd w:id="1"/>
    </w:p>
    <w:p w:rsidR="003456B9" w:rsidRPr="00A66010" w:rsidP="00A8233B" w14:paraId="555C546B" w14:textId="77777777">
      <w:pPr>
        <w:rPr>
          <w:sz w:val="24"/>
          <w:szCs w:val="24"/>
        </w:rPr>
      </w:pPr>
    </w:p>
    <w:p w:rsidR="003456B9" w:rsidRPr="00A66010" w:rsidP="003456B9" w14:paraId="521F7638" w14:textId="50478158">
      <w:pPr>
        <w:ind w:firstLine="720"/>
        <w:contextualSpacing/>
        <w:rPr>
          <w:sz w:val="24"/>
          <w:szCs w:val="24"/>
        </w:rPr>
      </w:pPr>
      <w:r w:rsidRPr="00A66010">
        <w:rPr>
          <w:sz w:val="24"/>
          <w:szCs w:val="24"/>
        </w:rPr>
        <w:t>We estimate the burden of the information collection as follows:</w:t>
      </w:r>
    </w:p>
    <w:p w:rsidR="00291539" w:rsidRPr="00A66010" w:rsidP="003456B9" w14:paraId="6239F02C" w14:textId="0E9B462E">
      <w:pPr>
        <w:ind w:firstLine="720"/>
        <w:contextualSpacing/>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56"/>
        <w:gridCol w:w="1584"/>
        <w:gridCol w:w="1494"/>
        <w:gridCol w:w="1140"/>
        <w:gridCol w:w="1406"/>
        <w:gridCol w:w="1080"/>
      </w:tblGrid>
      <w:tr w14:paraId="7C2415C3" w14:textId="77777777" w:rsidTr="00195FF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0"/>
          <w:tblHeader/>
        </w:trPr>
        <w:tc>
          <w:tcPr>
            <w:tcW w:w="5000" w:type="pct"/>
            <w:gridSpan w:val="6"/>
            <w:tcBorders>
              <w:top w:val="nil"/>
              <w:left w:val="nil"/>
              <w:right w:val="nil"/>
            </w:tcBorders>
            <w:shd w:val="clear" w:color="auto" w:fill="auto"/>
          </w:tcPr>
          <w:p w:rsidR="00854CC2" w:rsidRPr="00E70835" w:rsidP="00195FF0" w14:paraId="23F19F56" w14:textId="2456B0C9">
            <w:pPr>
              <w:jc w:val="center"/>
              <w:rPr>
                <w:vertAlign w:val="superscript"/>
              </w:rPr>
            </w:pPr>
            <w:r w:rsidRPr="00E70835">
              <w:t xml:space="preserve">Table </w:t>
            </w:r>
            <w:r>
              <w:t>1</w:t>
            </w:r>
            <w:r w:rsidRPr="00E70835">
              <w:t>.</w:t>
            </w:r>
            <w:r>
              <w:t>—</w:t>
            </w:r>
            <w:r w:rsidRPr="00E70835">
              <w:t>Estimated</w:t>
            </w:r>
            <w:r>
              <w:t xml:space="preserve"> Annual</w:t>
            </w:r>
            <w:r w:rsidRPr="00E70835">
              <w:t xml:space="preserve"> Reporting Burden</w:t>
            </w:r>
          </w:p>
          <w:p w:rsidR="00854CC2" w:rsidRPr="00E70835" w:rsidP="00195FF0" w14:paraId="077A5BE5" w14:textId="77777777">
            <w:pPr>
              <w:jc w:val="center"/>
            </w:pPr>
          </w:p>
        </w:tc>
      </w:tr>
      <w:tr w14:paraId="29FAFF18" w14:textId="77777777" w:rsidTr="00195FF0">
        <w:tblPrEx>
          <w:tblW w:w="5000" w:type="pct"/>
          <w:tblLook w:val="01E0"/>
        </w:tblPrEx>
        <w:trPr>
          <w:cantSplit/>
          <w:trHeight w:val="20"/>
        </w:trPr>
        <w:tc>
          <w:tcPr>
            <w:tcW w:w="1419" w:type="pct"/>
            <w:shd w:val="clear" w:color="auto" w:fill="auto"/>
          </w:tcPr>
          <w:p w:rsidR="00854CC2" w:rsidRPr="00E70835" w:rsidP="00195FF0" w14:paraId="0F63D52D" w14:textId="58DD9598">
            <w:pPr>
              <w:jc w:val="center"/>
            </w:pPr>
            <w:r>
              <w:t>Reporting Using FIS System VQIP Portal</w:t>
            </w:r>
            <w:r w:rsidR="00D4762B">
              <w:t>/Form FDA 4041</w:t>
            </w:r>
          </w:p>
        </w:tc>
        <w:tc>
          <w:tcPr>
            <w:tcW w:w="846" w:type="pct"/>
            <w:shd w:val="clear" w:color="auto" w:fill="auto"/>
          </w:tcPr>
          <w:p w:rsidR="00854CC2" w:rsidRPr="00E70835" w:rsidP="00195FF0" w14:paraId="03F5D23A" w14:textId="77777777">
            <w:pPr>
              <w:jc w:val="center"/>
            </w:pPr>
            <w:r w:rsidRPr="00E70835">
              <w:t>No. of Respondents</w:t>
            </w:r>
          </w:p>
        </w:tc>
        <w:tc>
          <w:tcPr>
            <w:tcW w:w="798" w:type="pct"/>
            <w:shd w:val="clear" w:color="auto" w:fill="auto"/>
          </w:tcPr>
          <w:p w:rsidR="00854CC2" w:rsidRPr="00E70835" w:rsidP="00195FF0" w14:paraId="088EBB5D" w14:textId="77777777">
            <w:pPr>
              <w:jc w:val="center"/>
            </w:pPr>
            <w:r w:rsidRPr="00E70835">
              <w:rPr>
                <w:bCs/>
              </w:rPr>
              <w:t>No. of Responses per Respondent</w:t>
            </w:r>
          </w:p>
        </w:tc>
        <w:tc>
          <w:tcPr>
            <w:tcW w:w="609" w:type="pct"/>
            <w:shd w:val="clear" w:color="auto" w:fill="auto"/>
          </w:tcPr>
          <w:p w:rsidR="00854CC2" w:rsidRPr="00E70835" w:rsidP="00195FF0" w14:paraId="66B68C6A" w14:textId="77777777">
            <w:pPr>
              <w:jc w:val="center"/>
            </w:pPr>
            <w:r w:rsidRPr="00E70835">
              <w:t>Total Annual Responses</w:t>
            </w:r>
          </w:p>
        </w:tc>
        <w:tc>
          <w:tcPr>
            <w:tcW w:w="751" w:type="pct"/>
            <w:shd w:val="clear" w:color="auto" w:fill="auto"/>
          </w:tcPr>
          <w:p w:rsidR="00854CC2" w:rsidRPr="00E70835" w:rsidP="00195FF0" w14:paraId="0435B01A" w14:textId="77777777">
            <w:pPr>
              <w:jc w:val="center"/>
            </w:pPr>
            <w:r w:rsidRPr="00E70835">
              <w:rPr>
                <w:bCs/>
              </w:rPr>
              <w:t>Average Burden per Response</w:t>
            </w:r>
          </w:p>
        </w:tc>
        <w:tc>
          <w:tcPr>
            <w:tcW w:w="577" w:type="pct"/>
            <w:shd w:val="clear" w:color="auto" w:fill="auto"/>
          </w:tcPr>
          <w:p w:rsidR="00854CC2" w:rsidRPr="00E70835" w:rsidP="00195FF0" w14:paraId="1AB19703" w14:textId="77777777">
            <w:pPr>
              <w:jc w:val="center"/>
            </w:pPr>
            <w:r w:rsidRPr="00E70835">
              <w:t>Total Hours</w:t>
            </w:r>
          </w:p>
        </w:tc>
      </w:tr>
      <w:tr w14:paraId="720A969E" w14:textId="77777777" w:rsidTr="00195FF0">
        <w:tblPrEx>
          <w:tblW w:w="5000" w:type="pct"/>
          <w:tblLook w:val="01E0"/>
        </w:tblPrEx>
        <w:trPr>
          <w:cantSplit/>
          <w:trHeight w:val="20"/>
        </w:trPr>
        <w:tc>
          <w:tcPr>
            <w:tcW w:w="1419" w:type="pct"/>
            <w:shd w:val="clear" w:color="auto" w:fill="auto"/>
          </w:tcPr>
          <w:p w:rsidR="00854CC2" w:rsidRPr="00E70835" w:rsidP="00195FF0" w14:paraId="1D190D9E" w14:textId="77777777">
            <w:r w:rsidRPr="00E70835">
              <w:t>Initial VQIP application</w:t>
            </w:r>
            <w:r>
              <w:t xml:space="preserve"> </w:t>
            </w:r>
          </w:p>
        </w:tc>
        <w:tc>
          <w:tcPr>
            <w:tcW w:w="846" w:type="pct"/>
            <w:shd w:val="clear" w:color="auto" w:fill="auto"/>
          </w:tcPr>
          <w:p w:rsidR="00854CC2" w:rsidRPr="00E70835" w:rsidP="00195FF0" w14:paraId="652C2E54" w14:textId="77777777">
            <w:pPr>
              <w:jc w:val="right"/>
            </w:pPr>
            <w:r>
              <w:t>5</w:t>
            </w:r>
          </w:p>
        </w:tc>
        <w:tc>
          <w:tcPr>
            <w:tcW w:w="798" w:type="pct"/>
            <w:shd w:val="clear" w:color="auto" w:fill="auto"/>
          </w:tcPr>
          <w:p w:rsidR="00854CC2" w:rsidRPr="00E70835" w:rsidP="00195FF0" w14:paraId="6AFA34BD" w14:textId="77777777">
            <w:pPr>
              <w:jc w:val="right"/>
            </w:pPr>
            <w:r w:rsidRPr="00E70835">
              <w:t>1</w:t>
            </w:r>
          </w:p>
        </w:tc>
        <w:tc>
          <w:tcPr>
            <w:tcW w:w="609" w:type="pct"/>
            <w:shd w:val="clear" w:color="auto" w:fill="auto"/>
          </w:tcPr>
          <w:p w:rsidR="00854CC2" w:rsidRPr="00E70835" w:rsidP="00195FF0" w14:paraId="1BC629E7" w14:textId="77777777">
            <w:pPr>
              <w:jc w:val="right"/>
            </w:pPr>
            <w:r>
              <w:t>5</w:t>
            </w:r>
          </w:p>
        </w:tc>
        <w:tc>
          <w:tcPr>
            <w:tcW w:w="751" w:type="pct"/>
            <w:shd w:val="clear" w:color="auto" w:fill="auto"/>
          </w:tcPr>
          <w:p w:rsidR="00854CC2" w:rsidRPr="00E70835" w:rsidP="00195FF0" w14:paraId="1C42447C" w14:textId="77777777">
            <w:pPr>
              <w:jc w:val="right"/>
            </w:pPr>
            <w:r>
              <w:t>180</w:t>
            </w:r>
          </w:p>
        </w:tc>
        <w:tc>
          <w:tcPr>
            <w:tcW w:w="577" w:type="pct"/>
            <w:shd w:val="clear" w:color="auto" w:fill="auto"/>
          </w:tcPr>
          <w:p w:rsidR="00854CC2" w:rsidRPr="00E70835" w:rsidP="00195FF0" w14:paraId="3549FA0D" w14:textId="536CAE82">
            <w:pPr>
              <w:jc w:val="right"/>
            </w:pPr>
            <w:r>
              <w:t>9</w:t>
            </w:r>
            <w:r w:rsidRPr="00E70835">
              <w:t>00</w:t>
            </w:r>
          </w:p>
        </w:tc>
      </w:tr>
      <w:tr w14:paraId="2D866F43" w14:textId="77777777" w:rsidTr="00195FF0">
        <w:tblPrEx>
          <w:tblW w:w="5000" w:type="pct"/>
          <w:tblLook w:val="01E0"/>
        </w:tblPrEx>
        <w:trPr>
          <w:cantSplit/>
          <w:trHeight w:val="20"/>
        </w:trPr>
        <w:tc>
          <w:tcPr>
            <w:tcW w:w="1419" w:type="pct"/>
            <w:shd w:val="clear" w:color="auto" w:fill="auto"/>
          </w:tcPr>
          <w:p w:rsidR="00854CC2" w:rsidRPr="00E70835" w:rsidP="00195FF0" w14:paraId="1B4119B2" w14:textId="77777777">
            <w:r>
              <w:t>Application Renewals – subsequent year</w:t>
            </w:r>
          </w:p>
        </w:tc>
        <w:tc>
          <w:tcPr>
            <w:tcW w:w="846" w:type="pct"/>
            <w:shd w:val="clear" w:color="auto" w:fill="auto"/>
          </w:tcPr>
          <w:p w:rsidR="00854CC2" w:rsidP="00195FF0" w14:paraId="2B838387" w14:textId="77777777">
            <w:pPr>
              <w:jc w:val="right"/>
            </w:pPr>
            <w:r>
              <w:t>6</w:t>
            </w:r>
          </w:p>
        </w:tc>
        <w:tc>
          <w:tcPr>
            <w:tcW w:w="798" w:type="pct"/>
            <w:shd w:val="clear" w:color="auto" w:fill="auto"/>
          </w:tcPr>
          <w:p w:rsidR="00854CC2" w:rsidRPr="00E70835" w:rsidP="00195FF0" w14:paraId="6F599EEB" w14:textId="77777777">
            <w:pPr>
              <w:jc w:val="right"/>
            </w:pPr>
            <w:r>
              <w:t>1</w:t>
            </w:r>
          </w:p>
        </w:tc>
        <w:tc>
          <w:tcPr>
            <w:tcW w:w="609" w:type="pct"/>
            <w:shd w:val="clear" w:color="auto" w:fill="auto"/>
          </w:tcPr>
          <w:p w:rsidR="00854CC2" w:rsidP="00195FF0" w14:paraId="5C328525" w14:textId="77777777">
            <w:pPr>
              <w:jc w:val="right"/>
            </w:pPr>
            <w:r>
              <w:t>6</w:t>
            </w:r>
          </w:p>
        </w:tc>
        <w:tc>
          <w:tcPr>
            <w:tcW w:w="751" w:type="pct"/>
            <w:shd w:val="clear" w:color="auto" w:fill="auto"/>
          </w:tcPr>
          <w:p w:rsidR="00854CC2" w:rsidP="00195FF0" w14:paraId="192ACC50" w14:textId="77777777">
            <w:pPr>
              <w:jc w:val="right"/>
            </w:pPr>
            <w:r>
              <w:t>20</w:t>
            </w:r>
          </w:p>
        </w:tc>
        <w:tc>
          <w:tcPr>
            <w:tcW w:w="577" w:type="pct"/>
            <w:shd w:val="clear" w:color="auto" w:fill="auto"/>
          </w:tcPr>
          <w:p w:rsidR="00854CC2" w:rsidRPr="00E70835" w:rsidP="00195FF0" w14:paraId="19ECD3CF" w14:textId="77777777">
            <w:pPr>
              <w:jc w:val="right"/>
            </w:pPr>
            <w:r>
              <w:t>120</w:t>
            </w:r>
          </w:p>
        </w:tc>
      </w:tr>
      <w:tr w14:paraId="15B8E9AE" w14:textId="77777777" w:rsidTr="00195FF0">
        <w:tblPrEx>
          <w:tblW w:w="5000" w:type="pct"/>
          <w:tblLook w:val="01E0"/>
        </w:tblPrEx>
        <w:trPr>
          <w:cantSplit/>
          <w:trHeight w:val="20"/>
        </w:trPr>
        <w:tc>
          <w:tcPr>
            <w:tcW w:w="1419" w:type="pct"/>
            <w:shd w:val="clear" w:color="auto" w:fill="auto"/>
          </w:tcPr>
          <w:p w:rsidR="00854CC2" w:rsidRPr="00E70835" w:rsidP="00195FF0" w14:paraId="1967269F" w14:textId="77777777">
            <w:r>
              <w:t>Requests for reinstatement</w:t>
            </w:r>
          </w:p>
        </w:tc>
        <w:tc>
          <w:tcPr>
            <w:tcW w:w="846" w:type="pct"/>
            <w:shd w:val="clear" w:color="auto" w:fill="auto"/>
          </w:tcPr>
          <w:p w:rsidR="00854CC2" w:rsidP="00195FF0" w14:paraId="25416DF7" w14:textId="77777777">
            <w:pPr>
              <w:jc w:val="right"/>
            </w:pPr>
            <w:r>
              <w:t>2</w:t>
            </w:r>
          </w:p>
        </w:tc>
        <w:tc>
          <w:tcPr>
            <w:tcW w:w="798" w:type="pct"/>
            <w:shd w:val="clear" w:color="auto" w:fill="auto"/>
          </w:tcPr>
          <w:p w:rsidR="00854CC2" w:rsidRPr="00E70835" w:rsidP="00195FF0" w14:paraId="5A246C27" w14:textId="77777777">
            <w:pPr>
              <w:jc w:val="right"/>
            </w:pPr>
            <w:r>
              <w:t>1</w:t>
            </w:r>
          </w:p>
        </w:tc>
        <w:tc>
          <w:tcPr>
            <w:tcW w:w="609" w:type="pct"/>
            <w:shd w:val="clear" w:color="auto" w:fill="auto"/>
          </w:tcPr>
          <w:p w:rsidR="00854CC2" w:rsidP="00195FF0" w14:paraId="425602B0" w14:textId="77777777">
            <w:pPr>
              <w:jc w:val="right"/>
            </w:pPr>
            <w:r>
              <w:t>2</w:t>
            </w:r>
          </w:p>
        </w:tc>
        <w:tc>
          <w:tcPr>
            <w:tcW w:w="751" w:type="pct"/>
            <w:shd w:val="clear" w:color="auto" w:fill="auto"/>
          </w:tcPr>
          <w:p w:rsidR="00854CC2" w:rsidP="00195FF0" w14:paraId="78B1F0B4" w14:textId="77777777">
            <w:pPr>
              <w:jc w:val="right"/>
            </w:pPr>
            <w:r>
              <w:t>10</w:t>
            </w:r>
          </w:p>
        </w:tc>
        <w:tc>
          <w:tcPr>
            <w:tcW w:w="577" w:type="pct"/>
            <w:shd w:val="clear" w:color="auto" w:fill="auto"/>
          </w:tcPr>
          <w:p w:rsidR="00854CC2" w:rsidRPr="00E70835" w:rsidP="00195FF0" w14:paraId="5D6C1044" w14:textId="77777777">
            <w:pPr>
              <w:jc w:val="right"/>
            </w:pPr>
            <w:r>
              <w:t>20</w:t>
            </w:r>
          </w:p>
        </w:tc>
      </w:tr>
      <w:tr w14:paraId="53971D6D" w14:textId="77777777" w:rsidTr="00790E51">
        <w:tblPrEx>
          <w:tblW w:w="5000" w:type="pct"/>
          <w:tblLook w:val="01E0"/>
        </w:tblPrEx>
        <w:trPr>
          <w:cantSplit/>
          <w:trHeight w:val="20"/>
        </w:trPr>
        <w:tc>
          <w:tcPr>
            <w:tcW w:w="4423" w:type="pct"/>
            <w:gridSpan w:val="5"/>
            <w:shd w:val="clear" w:color="auto" w:fill="auto"/>
          </w:tcPr>
          <w:p w:rsidR="00790E51" w:rsidRPr="00E70835" w:rsidP="00A66010" w14:paraId="1E6D90D5" w14:textId="2885B0E1">
            <w:r w:rsidRPr="00E70835">
              <w:t>T</w:t>
            </w:r>
            <w:r>
              <w:t>otal</w:t>
            </w:r>
          </w:p>
        </w:tc>
        <w:tc>
          <w:tcPr>
            <w:tcW w:w="577" w:type="pct"/>
            <w:shd w:val="clear" w:color="auto" w:fill="auto"/>
          </w:tcPr>
          <w:p w:rsidR="00790E51" w:rsidRPr="00E70835" w:rsidP="00195FF0" w14:paraId="6C59FEF6" w14:textId="0B6FA54B">
            <w:pPr>
              <w:jc w:val="right"/>
            </w:pPr>
            <w:r>
              <w:t>1,040</w:t>
            </w:r>
          </w:p>
        </w:tc>
      </w:tr>
    </w:tbl>
    <w:p w:rsidR="009A4047" w:rsidP="003456B9" w14:paraId="3B4179F1" w14:textId="77777777">
      <w:pPr>
        <w:ind w:firstLine="720"/>
        <w:contextualSpacing/>
        <w:rPr>
          <w:sz w:val="24"/>
          <w:szCs w:val="24"/>
        </w:rPr>
      </w:pPr>
    </w:p>
    <w:p w:rsidR="00A45D1C" w:rsidRPr="003456B9" w:rsidP="003456B9" w14:paraId="7134FD79" w14:textId="77777777">
      <w:pPr>
        <w:ind w:firstLine="720"/>
        <w:contextualSpacing/>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46"/>
        <w:gridCol w:w="1496"/>
        <w:gridCol w:w="1587"/>
        <w:gridCol w:w="1144"/>
        <w:gridCol w:w="1309"/>
        <w:gridCol w:w="1078"/>
      </w:tblGrid>
      <w:tr w14:paraId="5E61A006" w14:textId="77777777" w:rsidTr="00195FF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0"/>
          <w:tblHeader/>
        </w:trPr>
        <w:tc>
          <w:tcPr>
            <w:tcW w:w="5000" w:type="pct"/>
            <w:gridSpan w:val="6"/>
            <w:tcBorders>
              <w:top w:val="nil"/>
              <w:left w:val="nil"/>
              <w:right w:val="nil"/>
            </w:tcBorders>
            <w:shd w:val="clear" w:color="auto" w:fill="auto"/>
          </w:tcPr>
          <w:p w:rsidR="00854CC2" w:rsidRPr="00E70835" w:rsidP="00670E9B" w14:paraId="2E6B1DC3" w14:textId="1FEE80D4">
            <w:pPr>
              <w:jc w:val="center"/>
            </w:pPr>
            <w:r w:rsidRPr="00E70835">
              <w:t xml:space="preserve">Table </w:t>
            </w:r>
            <w:r>
              <w:t>2</w:t>
            </w:r>
            <w:r w:rsidRPr="00E70835">
              <w:t>.</w:t>
            </w:r>
            <w:r>
              <w:t>—Estimated Annual</w:t>
            </w:r>
            <w:r w:rsidRPr="00E70835">
              <w:t xml:space="preserve"> Recordkeeping Burden</w:t>
            </w:r>
          </w:p>
        </w:tc>
      </w:tr>
      <w:tr w14:paraId="6D89D238" w14:textId="77777777" w:rsidTr="00790E51">
        <w:tblPrEx>
          <w:tblW w:w="5000" w:type="pct"/>
          <w:tblLook w:val="01E0"/>
        </w:tblPrEx>
        <w:trPr>
          <w:cantSplit/>
          <w:trHeight w:val="20"/>
        </w:trPr>
        <w:tc>
          <w:tcPr>
            <w:tcW w:w="1467" w:type="pct"/>
            <w:shd w:val="clear" w:color="auto" w:fill="auto"/>
          </w:tcPr>
          <w:p w:rsidR="00854CC2" w:rsidRPr="00E70835" w:rsidP="00195FF0" w14:paraId="6244EC61" w14:textId="77777777">
            <w:pPr>
              <w:jc w:val="center"/>
            </w:pPr>
            <w:r>
              <w:t>VQIP Participant Records Consistent with Implementing Guidance</w:t>
            </w:r>
          </w:p>
        </w:tc>
        <w:tc>
          <w:tcPr>
            <w:tcW w:w="799" w:type="pct"/>
            <w:shd w:val="clear" w:color="auto" w:fill="auto"/>
          </w:tcPr>
          <w:p w:rsidR="00854CC2" w:rsidRPr="00E70835" w:rsidP="00195FF0" w14:paraId="092D3C27" w14:textId="77777777">
            <w:pPr>
              <w:jc w:val="center"/>
            </w:pPr>
            <w:r w:rsidRPr="00E70835">
              <w:t>No. of Respondents</w:t>
            </w:r>
          </w:p>
        </w:tc>
        <w:tc>
          <w:tcPr>
            <w:tcW w:w="848" w:type="pct"/>
            <w:shd w:val="clear" w:color="auto" w:fill="auto"/>
          </w:tcPr>
          <w:p w:rsidR="00854CC2" w:rsidRPr="00E70835" w:rsidP="00195FF0" w14:paraId="276961C3" w14:textId="77777777">
            <w:pPr>
              <w:jc w:val="center"/>
            </w:pPr>
            <w:r w:rsidRPr="00E70835">
              <w:rPr>
                <w:bCs/>
              </w:rPr>
              <w:t>No. of Responses per Respondent</w:t>
            </w:r>
          </w:p>
        </w:tc>
        <w:tc>
          <w:tcPr>
            <w:tcW w:w="611" w:type="pct"/>
            <w:shd w:val="clear" w:color="auto" w:fill="auto"/>
          </w:tcPr>
          <w:p w:rsidR="00854CC2" w:rsidRPr="00E70835" w:rsidP="00195FF0" w14:paraId="10D83528" w14:textId="77777777">
            <w:pPr>
              <w:jc w:val="center"/>
            </w:pPr>
            <w:r w:rsidRPr="00E70835">
              <w:t>Total Annual Responses</w:t>
            </w:r>
          </w:p>
        </w:tc>
        <w:tc>
          <w:tcPr>
            <w:tcW w:w="699" w:type="pct"/>
            <w:shd w:val="clear" w:color="auto" w:fill="auto"/>
          </w:tcPr>
          <w:p w:rsidR="00854CC2" w:rsidRPr="00E70835" w:rsidP="00195FF0" w14:paraId="517C05AA" w14:textId="77777777">
            <w:pPr>
              <w:jc w:val="center"/>
            </w:pPr>
            <w:r w:rsidRPr="00E70835">
              <w:rPr>
                <w:bCs/>
              </w:rPr>
              <w:t>Average Burden per Response</w:t>
            </w:r>
          </w:p>
        </w:tc>
        <w:tc>
          <w:tcPr>
            <w:tcW w:w="576" w:type="pct"/>
            <w:shd w:val="clear" w:color="auto" w:fill="auto"/>
          </w:tcPr>
          <w:p w:rsidR="00854CC2" w:rsidRPr="00E70835" w:rsidP="00195FF0" w14:paraId="1DF22533" w14:textId="77777777">
            <w:pPr>
              <w:jc w:val="center"/>
            </w:pPr>
            <w:r w:rsidRPr="00E70835">
              <w:t>Total Hours</w:t>
            </w:r>
          </w:p>
        </w:tc>
      </w:tr>
      <w:tr w14:paraId="4BF9BBD4" w14:textId="77777777" w:rsidTr="00790E51">
        <w:tblPrEx>
          <w:tblW w:w="5000" w:type="pct"/>
          <w:tblLook w:val="01E0"/>
        </w:tblPrEx>
        <w:trPr>
          <w:cantSplit/>
          <w:trHeight w:val="20"/>
        </w:trPr>
        <w:tc>
          <w:tcPr>
            <w:tcW w:w="1467" w:type="pct"/>
            <w:shd w:val="clear" w:color="auto" w:fill="auto"/>
          </w:tcPr>
          <w:p w:rsidR="00854CC2" w:rsidRPr="00E70835" w:rsidP="00195FF0" w14:paraId="5B528D20" w14:textId="77777777">
            <w:r w:rsidRPr="00E70835">
              <w:t>Quality Assurance Program (QAP) preparation</w:t>
            </w:r>
          </w:p>
        </w:tc>
        <w:tc>
          <w:tcPr>
            <w:tcW w:w="799" w:type="pct"/>
            <w:shd w:val="clear" w:color="auto" w:fill="auto"/>
          </w:tcPr>
          <w:p w:rsidR="00854CC2" w:rsidRPr="00E70835" w:rsidP="00195FF0" w14:paraId="08FCFC4A" w14:textId="77777777">
            <w:pPr>
              <w:jc w:val="right"/>
            </w:pPr>
            <w:r>
              <w:t>5</w:t>
            </w:r>
          </w:p>
        </w:tc>
        <w:tc>
          <w:tcPr>
            <w:tcW w:w="848" w:type="pct"/>
            <w:shd w:val="clear" w:color="auto" w:fill="auto"/>
          </w:tcPr>
          <w:p w:rsidR="00854CC2" w:rsidRPr="00E70835" w:rsidP="00195FF0" w14:paraId="6C67596E" w14:textId="77777777">
            <w:pPr>
              <w:jc w:val="right"/>
            </w:pPr>
            <w:r w:rsidRPr="00E70835">
              <w:t>1</w:t>
            </w:r>
          </w:p>
        </w:tc>
        <w:tc>
          <w:tcPr>
            <w:tcW w:w="611" w:type="pct"/>
            <w:shd w:val="clear" w:color="auto" w:fill="auto"/>
          </w:tcPr>
          <w:p w:rsidR="00854CC2" w:rsidRPr="00E70835" w:rsidP="00195FF0" w14:paraId="53DEB3CA" w14:textId="77777777">
            <w:pPr>
              <w:jc w:val="right"/>
            </w:pPr>
            <w:r>
              <w:t>5</w:t>
            </w:r>
          </w:p>
        </w:tc>
        <w:tc>
          <w:tcPr>
            <w:tcW w:w="699" w:type="pct"/>
            <w:shd w:val="clear" w:color="auto" w:fill="auto"/>
          </w:tcPr>
          <w:p w:rsidR="00854CC2" w:rsidRPr="00E70835" w:rsidP="00195FF0" w14:paraId="21A43CB4" w14:textId="77777777">
            <w:pPr>
              <w:jc w:val="right"/>
            </w:pPr>
            <w:r w:rsidRPr="00E70835">
              <w:t>160</w:t>
            </w:r>
          </w:p>
        </w:tc>
        <w:tc>
          <w:tcPr>
            <w:tcW w:w="576" w:type="pct"/>
            <w:shd w:val="clear" w:color="auto" w:fill="auto"/>
          </w:tcPr>
          <w:p w:rsidR="00854CC2" w:rsidRPr="00E70835" w:rsidP="00195FF0" w14:paraId="34B98395" w14:textId="77777777">
            <w:pPr>
              <w:jc w:val="right"/>
            </w:pPr>
            <w:r>
              <w:t>800</w:t>
            </w:r>
          </w:p>
        </w:tc>
      </w:tr>
      <w:tr w14:paraId="17BD7535" w14:textId="77777777" w:rsidTr="00790E51">
        <w:tblPrEx>
          <w:tblW w:w="5000" w:type="pct"/>
          <w:tblLook w:val="01E0"/>
        </w:tblPrEx>
        <w:trPr>
          <w:cantSplit/>
          <w:trHeight w:val="20"/>
        </w:trPr>
        <w:tc>
          <w:tcPr>
            <w:tcW w:w="1467" w:type="pct"/>
            <w:shd w:val="clear" w:color="auto" w:fill="auto"/>
          </w:tcPr>
          <w:p w:rsidR="00854CC2" w:rsidRPr="00E70835" w:rsidP="00195FF0" w14:paraId="46A77F8B" w14:textId="77777777">
            <w:r>
              <w:t>QAP maintenance and updates</w:t>
            </w:r>
          </w:p>
        </w:tc>
        <w:tc>
          <w:tcPr>
            <w:tcW w:w="799" w:type="pct"/>
            <w:shd w:val="clear" w:color="auto" w:fill="auto"/>
          </w:tcPr>
          <w:p w:rsidR="00854CC2" w:rsidP="00195FF0" w14:paraId="22D4D4EF" w14:textId="77777777">
            <w:pPr>
              <w:jc w:val="right"/>
            </w:pPr>
            <w:r>
              <w:t>6</w:t>
            </w:r>
          </w:p>
        </w:tc>
        <w:tc>
          <w:tcPr>
            <w:tcW w:w="848" w:type="pct"/>
            <w:shd w:val="clear" w:color="auto" w:fill="auto"/>
          </w:tcPr>
          <w:p w:rsidR="00854CC2" w:rsidRPr="00E70835" w:rsidP="00195FF0" w14:paraId="59F99BB5" w14:textId="77777777">
            <w:pPr>
              <w:jc w:val="right"/>
            </w:pPr>
            <w:r>
              <w:t>1</w:t>
            </w:r>
          </w:p>
        </w:tc>
        <w:tc>
          <w:tcPr>
            <w:tcW w:w="611" w:type="pct"/>
            <w:shd w:val="clear" w:color="auto" w:fill="auto"/>
          </w:tcPr>
          <w:p w:rsidR="00854CC2" w:rsidP="00195FF0" w14:paraId="57D74226" w14:textId="77777777">
            <w:pPr>
              <w:jc w:val="right"/>
            </w:pPr>
            <w:r>
              <w:t>6</w:t>
            </w:r>
          </w:p>
        </w:tc>
        <w:tc>
          <w:tcPr>
            <w:tcW w:w="699" w:type="pct"/>
            <w:shd w:val="clear" w:color="auto" w:fill="auto"/>
          </w:tcPr>
          <w:p w:rsidR="00854CC2" w:rsidRPr="00E70835" w:rsidP="00195FF0" w14:paraId="78118C02" w14:textId="77777777">
            <w:pPr>
              <w:jc w:val="right"/>
            </w:pPr>
            <w:r>
              <w:t>16</w:t>
            </w:r>
          </w:p>
        </w:tc>
        <w:tc>
          <w:tcPr>
            <w:tcW w:w="576" w:type="pct"/>
            <w:shd w:val="clear" w:color="auto" w:fill="auto"/>
          </w:tcPr>
          <w:p w:rsidR="00854CC2" w:rsidP="00195FF0" w14:paraId="5435319F" w14:textId="77777777">
            <w:pPr>
              <w:jc w:val="right"/>
            </w:pPr>
            <w:r>
              <w:t>96</w:t>
            </w:r>
          </w:p>
        </w:tc>
      </w:tr>
      <w:tr w14:paraId="1FEDDF52" w14:textId="77777777" w:rsidTr="00790E51">
        <w:tblPrEx>
          <w:tblW w:w="5000" w:type="pct"/>
          <w:tblLook w:val="01E0"/>
        </w:tblPrEx>
        <w:trPr>
          <w:cantSplit/>
          <w:trHeight w:val="20"/>
        </w:trPr>
        <w:tc>
          <w:tcPr>
            <w:tcW w:w="4424" w:type="pct"/>
            <w:gridSpan w:val="5"/>
            <w:shd w:val="clear" w:color="auto" w:fill="auto"/>
          </w:tcPr>
          <w:p w:rsidR="00790E51" w:rsidP="00A66010" w14:paraId="0FB8BC51" w14:textId="4AF24941">
            <w:r>
              <w:t>Total</w:t>
            </w:r>
          </w:p>
        </w:tc>
        <w:tc>
          <w:tcPr>
            <w:tcW w:w="576" w:type="pct"/>
            <w:shd w:val="clear" w:color="auto" w:fill="auto"/>
          </w:tcPr>
          <w:p w:rsidR="00790E51" w:rsidP="00195FF0" w14:paraId="3D1D1650" w14:textId="77777777">
            <w:pPr>
              <w:jc w:val="right"/>
            </w:pPr>
            <w:r>
              <w:t>896</w:t>
            </w:r>
          </w:p>
        </w:tc>
      </w:tr>
    </w:tbl>
    <w:p w:rsidR="002F07B4" w:rsidP="00854CC2" w14:paraId="3B23FF68" w14:textId="26BBA56D">
      <w:pPr>
        <w:rPr>
          <w:vertAlign w:val="superscript"/>
        </w:rPr>
      </w:pPr>
    </w:p>
    <w:p w:rsidR="007746DA" w:rsidP="00854CC2" w14:paraId="07C61234" w14:textId="77777777">
      <w:pPr>
        <w:rPr>
          <w:vertAlign w:val="superscript"/>
        </w:rPr>
      </w:pPr>
    </w:p>
    <w:p w:rsidR="007746DA" w:rsidP="00854CC2" w14:paraId="41A41D96" w14:textId="63EDAD45">
      <w:pPr>
        <w:rPr>
          <w:sz w:val="24"/>
          <w:szCs w:val="24"/>
        </w:rPr>
      </w:pPr>
      <w:r>
        <w:rPr>
          <w:sz w:val="24"/>
          <w:szCs w:val="24"/>
        </w:rPr>
        <w:t>The burden hour total for this ICR is 1,</w:t>
      </w:r>
      <w:r w:rsidR="008D2C6E">
        <w:rPr>
          <w:sz w:val="24"/>
          <w:szCs w:val="24"/>
        </w:rPr>
        <w:t>936</w:t>
      </w:r>
      <w:r>
        <w:rPr>
          <w:sz w:val="24"/>
          <w:szCs w:val="24"/>
        </w:rPr>
        <w:t xml:space="preserve"> hours</w:t>
      </w:r>
      <w:r w:rsidR="00CF63AC">
        <w:rPr>
          <w:sz w:val="24"/>
          <w:szCs w:val="24"/>
        </w:rPr>
        <w:t xml:space="preserve"> </w:t>
      </w:r>
      <w:r>
        <w:rPr>
          <w:sz w:val="24"/>
          <w:szCs w:val="24"/>
        </w:rPr>
        <w:t>(</w:t>
      </w:r>
      <w:r w:rsidR="008D2C6E">
        <w:rPr>
          <w:sz w:val="24"/>
          <w:szCs w:val="24"/>
        </w:rPr>
        <w:t>1,0</w:t>
      </w:r>
      <w:r>
        <w:rPr>
          <w:sz w:val="24"/>
          <w:szCs w:val="24"/>
        </w:rPr>
        <w:t>40 + 896).</w:t>
      </w:r>
    </w:p>
    <w:p w:rsidR="007746DA" w:rsidRPr="0015229A" w:rsidP="00854CC2" w14:paraId="0AC20208" w14:textId="77777777"/>
    <w:p w:rsidR="003C70BD" w:rsidRPr="007E7975" w:rsidP="00A66010" w14:paraId="22A86F76" w14:textId="3FCF1CEB">
      <w:pPr>
        <w:rPr>
          <w:i/>
          <w:sz w:val="24"/>
          <w:szCs w:val="24"/>
        </w:rPr>
      </w:pPr>
      <w:r w:rsidRPr="002F07B4">
        <w:rPr>
          <w:sz w:val="24"/>
          <w:szCs w:val="24"/>
        </w:rPr>
        <w:t>We assume the average burden required for the respective reporting and recordkeeping activities for both initial and continued participation in the program remain constan</w:t>
      </w:r>
      <w:r>
        <w:rPr>
          <w:sz w:val="24"/>
          <w:szCs w:val="24"/>
        </w:rPr>
        <w:t>t.</w:t>
      </w:r>
      <w:r w:rsidR="00950302">
        <w:rPr>
          <w:sz w:val="24"/>
          <w:szCs w:val="24"/>
        </w:rPr>
        <w:t xml:space="preserve"> </w:t>
      </w:r>
      <w:r>
        <w:rPr>
          <w:sz w:val="24"/>
          <w:szCs w:val="24"/>
        </w:rPr>
        <w:t xml:space="preserve"> </w:t>
      </w:r>
    </w:p>
    <w:p w:rsidR="00AC40FA" w:rsidP="00AC40FA" w14:paraId="34CE5696" w14:textId="77777777">
      <w:pPr>
        <w:ind w:firstLine="720"/>
        <w:rPr>
          <w:i/>
          <w:sz w:val="24"/>
          <w:szCs w:val="24"/>
        </w:rPr>
      </w:pPr>
    </w:p>
    <w:p w:rsidR="00103FE5" w:rsidP="00AC40FA" w14:paraId="32C8D2B7" w14:textId="6725EBA7">
      <w:pPr>
        <w:ind w:firstLine="720"/>
        <w:rPr>
          <w:i/>
          <w:sz w:val="24"/>
          <w:szCs w:val="24"/>
        </w:rPr>
      </w:pPr>
      <w:r w:rsidRPr="007E7975">
        <w:rPr>
          <w:i/>
          <w:sz w:val="24"/>
          <w:szCs w:val="24"/>
        </w:rPr>
        <w:t>12</w:t>
      </w:r>
      <w:r>
        <w:rPr>
          <w:i/>
          <w:sz w:val="24"/>
          <w:szCs w:val="24"/>
        </w:rPr>
        <w:t>b</w:t>
      </w:r>
      <w:r w:rsidRPr="007E7975">
        <w:rPr>
          <w:i/>
          <w:sz w:val="24"/>
          <w:szCs w:val="24"/>
        </w:rPr>
        <w:t>. Annualized Hour Burden Estimate</w:t>
      </w:r>
    </w:p>
    <w:p w:rsidR="00AC40FA" w:rsidP="00A66010" w14:paraId="5A9BA50F" w14:textId="77777777">
      <w:pPr>
        <w:ind w:firstLine="720"/>
        <w:rPr>
          <w:bCs/>
          <w:sz w:val="24"/>
          <w:szCs w:val="24"/>
        </w:rPr>
      </w:pPr>
    </w:p>
    <w:p w:rsidR="007A564B" w:rsidP="00A8233B" w14:paraId="5D488FF2" w14:textId="7B53855A">
      <w:pPr>
        <w:rPr>
          <w:bCs/>
          <w:sz w:val="24"/>
          <w:szCs w:val="24"/>
        </w:rPr>
      </w:pPr>
      <w:r>
        <w:rPr>
          <w:bCs/>
          <w:sz w:val="24"/>
          <w:szCs w:val="24"/>
        </w:rPr>
        <w:tab/>
        <w:t>W</w:t>
      </w:r>
      <w:r w:rsidR="003D69F3">
        <w:rPr>
          <w:bCs/>
          <w:sz w:val="24"/>
          <w:szCs w:val="24"/>
        </w:rPr>
        <w:t xml:space="preserve">e assume an </w:t>
      </w:r>
      <w:r w:rsidR="00103FE5">
        <w:rPr>
          <w:bCs/>
          <w:sz w:val="24"/>
          <w:szCs w:val="24"/>
        </w:rPr>
        <w:t>annualized cost to respondents</w:t>
      </w:r>
      <w:r w:rsidR="008C419E">
        <w:rPr>
          <w:bCs/>
          <w:sz w:val="24"/>
          <w:szCs w:val="24"/>
        </w:rPr>
        <w:t xml:space="preserve"> commensurate with</w:t>
      </w:r>
      <w:r w:rsidR="00103FE5">
        <w:rPr>
          <w:bCs/>
          <w:sz w:val="24"/>
          <w:szCs w:val="24"/>
        </w:rPr>
        <w:t xml:space="preserve"> an </w:t>
      </w:r>
      <w:r w:rsidRPr="00103FE5" w:rsidR="00103FE5">
        <w:rPr>
          <w:bCs/>
          <w:sz w:val="24"/>
          <w:szCs w:val="24"/>
        </w:rPr>
        <w:t>average hourly wage</w:t>
      </w:r>
      <w:r w:rsidR="00AF43CA">
        <w:rPr>
          <w:bCs/>
          <w:sz w:val="24"/>
          <w:szCs w:val="24"/>
        </w:rPr>
        <w:t xml:space="preserve"> of</w:t>
      </w:r>
      <w:r w:rsidRPr="00103FE5" w:rsidR="00103FE5">
        <w:rPr>
          <w:bCs/>
          <w:sz w:val="24"/>
          <w:szCs w:val="24"/>
        </w:rPr>
        <w:t xml:space="preserve"> a GS-12/Step-1 level in the locality pay area of Washington-</w:t>
      </w:r>
      <w:r w:rsidRPr="00A670E6" w:rsidR="00103FE5">
        <w:rPr>
          <w:bCs/>
          <w:sz w:val="24"/>
          <w:szCs w:val="24"/>
        </w:rPr>
        <w:t xml:space="preserve">Baltimore in </w:t>
      </w:r>
      <w:r w:rsidRPr="00A670E6" w:rsidR="00BA718B">
        <w:rPr>
          <w:bCs/>
          <w:sz w:val="24"/>
          <w:szCs w:val="24"/>
        </w:rPr>
        <w:t>(</w:t>
      </w:r>
      <w:r w:rsidRPr="00D2629E" w:rsidR="00103FE5">
        <w:rPr>
          <w:bCs/>
          <w:sz w:val="24"/>
          <w:szCs w:val="24"/>
        </w:rPr>
        <w:t>20</w:t>
      </w:r>
      <w:r w:rsidRPr="00D2629E" w:rsidR="003D69F3">
        <w:rPr>
          <w:bCs/>
          <w:sz w:val="24"/>
          <w:szCs w:val="24"/>
        </w:rPr>
        <w:t>2</w:t>
      </w:r>
      <w:r w:rsidRPr="00D2629E" w:rsidR="00842EB9">
        <w:rPr>
          <w:bCs/>
          <w:sz w:val="24"/>
          <w:szCs w:val="24"/>
        </w:rPr>
        <w:t>3</w:t>
      </w:r>
      <w:r w:rsidRPr="00D2629E" w:rsidR="00BA718B">
        <w:rPr>
          <w:bCs/>
          <w:sz w:val="24"/>
          <w:szCs w:val="24"/>
        </w:rPr>
        <w:t xml:space="preserve"> OPM schedule: </w:t>
      </w:r>
      <w:r w:rsidRPr="00D2629E" w:rsidR="00103FE5">
        <w:rPr>
          <w:bCs/>
          <w:sz w:val="24"/>
          <w:szCs w:val="24"/>
        </w:rPr>
        <w:t>$</w:t>
      </w:r>
      <w:r w:rsidRPr="00D2629E" w:rsidR="00657B29">
        <w:rPr>
          <w:bCs/>
          <w:sz w:val="24"/>
          <w:szCs w:val="24"/>
        </w:rPr>
        <w:t>4</w:t>
      </w:r>
      <w:r w:rsidRPr="00D2629E" w:rsidR="00AF205F">
        <w:rPr>
          <w:bCs/>
          <w:sz w:val="24"/>
          <w:szCs w:val="24"/>
        </w:rPr>
        <w:t>5</w:t>
      </w:r>
      <w:r w:rsidRPr="00D2629E" w:rsidR="003D69F3">
        <w:rPr>
          <w:bCs/>
          <w:sz w:val="24"/>
          <w:szCs w:val="24"/>
        </w:rPr>
        <w:t>.</w:t>
      </w:r>
      <w:r w:rsidRPr="00D2629E" w:rsidR="00AF205F">
        <w:rPr>
          <w:bCs/>
          <w:sz w:val="24"/>
          <w:szCs w:val="24"/>
        </w:rPr>
        <w:t>14</w:t>
      </w:r>
      <w:r w:rsidRPr="00D2629E" w:rsidR="00103FE5">
        <w:rPr>
          <w:bCs/>
          <w:sz w:val="24"/>
          <w:szCs w:val="24"/>
        </w:rPr>
        <w:t>/hour</w:t>
      </w:r>
      <w:r w:rsidRPr="00D2629E" w:rsidR="003D69F3">
        <w:rPr>
          <w:bCs/>
          <w:sz w:val="24"/>
          <w:szCs w:val="24"/>
        </w:rPr>
        <w:t>)</w:t>
      </w:r>
      <w:r w:rsidRPr="00D2629E" w:rsidR="00103FE5">
        <w:rPr>
          <w:bCs/>
          <w:sz w:val="24"/>
          <w:szCs w:val="24"/>
        </w:rPr>
        <w:t>.</w:t>
      </w:r>
      <w:r>
        <w:rPr>
          <w:rStyle w:val="FootnoteReference"/>
          <w:bCs/>
          <w:sz w:val="24"/>
          <w:szCs w:val="24"/>
        </w:rPr>
        <w:footnoteReference w:id="3"/>
      </w:r>
      <w:r w:rsidRPr="00A670E6" w:rsidR="00103FE5">
        <w:rPr>
          <w:bCs/>
          <w:sz w:val="24"/>
          <w:szCs w:val="24"/>
        </w:rPr>
        <w:t xml:space="preserve"> Doubling this wage to account for</w:t>
      </w:r>
      <w:r w:rsidR="00CF63AC">
        <w:rPr>
          <w:bCs/>
          <w:sz w:val="24"/>
          <w:szCs w:val="24"/>
        </w:rPr>
        <w:t xml:space="preserve"> fringe benefits</w:t>
      </w:r>
      <w:r w:rsidRPr="00A670E6" w:rsidR="00103FE5">
        <w:rPr>
          <w:bCs/>
          <w:sz w:val="24"/>
          <w:szCs w:val="24"/>
        </w:rPr>
        <w:t xml:space="preserve">, </w:t>
      </w:r>
      <w:r w:rsidRPr="00A670E6" w:rsidR="003D69F3">
        <w:rPr>
          <w:bCs/>
          <w:sz w:val="24"/>
          <w:szCs w:val="24"/>
        </w:rPr>
        <w:t xml:space="preserve">we </w:t>
      </w:r>
      <w:r w:rsidRPr="00A670E6" w:rsidR="00BA718B">
        <w:rPr>
          <w:bCs/>
          <w:sz w:val="24"/>
          <w:szCs w:val="24"/>
        </w:rPr>
        <w:t xml:space="preserve">calculate </w:t>
      </w:r>
      <w:r w:rsidRPr="00A670E6" w:rsidR="003D69F3">
        <w:rPr>
          <w:bCs/>
          <w:sz w:val="24"/>
          <w:szCs w:val="24"/>
        </w:rPr>
        <w:t>an</w:t>
      </w:r>
      <w:r w:rsidRPr="00A670E6" w:rsidR="00103FE5">
        <w:rPr>
          <w:bCs/>
          <w:sz w:val="24"/>
          <w:szCs w:val="24"/>
        </w:rPr>
        <w:t xml:space="preserve"> </w:t>
      </w:r>
      <w:r w:rsidRPr="00A670E6" w:rsidR="00103FE5">
        <w:rPr>
          <w:bCs/>
          <w:sz w:val="24"/>
          <w:szCs w:val="24"/>
        </w:rPr>
        <w:t xml:space="preserve">average hourly cost </w:t>
      </w:r>
      <w:r w:rsidRPr="00A670E6" w:rsidR="003D69F3">
        <w:rPr>
          <w:bCs/>
          <w:sz w:val="24"/>
          <w:szCs w:val="24"/>
        </w:rPr>
        <w:t xml:space="preserve">of </w:t>
      </w:r>
      <w:r w:rsidRPr="00A670E6" w:rsidR="00103FE5">
        <w:rPr>
          <w:bCs/>
          <w:sz w:val="24"/>
          <w:szCs w:val="24"/>
        </w:rPr>
        <w:t>$</w:t>
      </w:r>
      <w:r w:rsidRPr="00A670E6" w:rsidR="00AF205F">
        <w:rPr>
          <w:bCs/>
          <w:sz w:val="24"/>
          <w:szCs w:val="24"/>
        </w:rPr>
        <w:t>90</w:t>
      </w:r>
      <w:r w:rsidRPr="00A670E6" w:rsidR="003D69F3">
        <w:rPr>
          <w:bCs/>
          <w:sz w:val="24"/>
          <w:szCs w:val="24"/>
        </w:rPr>
        <w:t>.</w:t>
      </w:r>
      <w:r w:rsidRPr="00A670E6" w:rsidR="00AF205F">
        <w:rPr>
          <w:bCs/>
          <w:sz w:val="24"/>
          <w:szCs w:val="24"/>
        </w:rPr>
        <w:t>28</w:t>
      </w:r>
      <w:r w:rsidRPr="00A670E6" w:rsidR="00103FE5">
        <w:rPr>
          <w:bCs/>
          <w:sz w:val="24"/>
          <w:szCs w:val="24"/>
        </w:rPr>
        <w:t>/hour</w:t>
      </w:r>
      <w:r w:rsidRPr="00A670E6" w:rsidR="008C419E">
        <w:rPr>
          <w:bCs/>
          <w:sz w:val="24"/>
          <w:szCs w:val="24"/>
        </w:rPr>
        <w:t xml:space="preserve"> for reporting</w:t>
      </w:r>
      <w:r w:rsidR="00CF63AC">
        <w:rPr>
          <w:bCs/>
          <w:sz w:val="24"/>
          <w:szCs w:val="24"/>
        </w:rPr>
        <w:t xml:space="preserve"> and recordkeeping</w:t>
      </w:r>
      <w:r w:rsidRPr="00A670E6" w:rsidR="008C419E">
        <w:rPr>
          <w:bCs/>
          <w:sz w:val="24"/>
          <w:szCs w:val="24"/>
        </w:rPr>
        <w:t xml:space="preserve">. We then multiply the total number of </w:t>
      </w:r>
      <w:r w:rsidR="00CA3855">
        <w:rPr>
          <w:bCs/>
          <w:sz w:val="24"/>
          <w:szCs w:val="24"/>
        </w:rPr>
        <w:t xml:space="preserve">burden </w:t>
      </w:r>
      <w:r w:rsidRPr="00A670E6" w:rsidR="008C419E">
        <w:rPr>
          <w:bCs/>
          <w:sz w:val="24"/>
          <w:szCs w:val="24"/>
        </w:rPr>
        <w:t>hours (</w:t>
      </w:r>
      <w:r w:rsidR="00CF63AC">
        <w:rPr>
          <w:sz w:val="24"/>
          <w:szCs w:val="24"/>
        </w:rPr>
        <w:t>1,</w:t>
      </w:r>
      <w:r w:rsidR="008D2C6E">
        <w:rPr>
          <w:sz w:val="24"/>
          <w:szCs w:val="24"/>
        </w:rPr>
        <w:t>9</w:t>
      </w:r>
      <w:r w:rsidR="00CF63AC">
        <w:rPr>
          <w:sz w:val="24"/>
          <w:szCs w:val="24"/>
        </w:rPr>
        <w:t>36</w:t>
      </w:r>
      <w:r w:rsidRPr="00A670E6" w:rsidR="008C419E">
        <w:rPr>
          <w:bCs/>
          <w:sz w:val="24"/>
          <w:szCs w:val="24"/>
        </w:rPr>
        <w:t>) by the</w:t>
      </w:r>
      <w:r w:rsidRPr="00A670E6" w:rsidR="000202AD">
        <w:rPr>
          <w:bCs/>
          <w:sz w:val="24"/>
          <w:szCs w:val="24"/>
        </w:rPr>
        <w:t xml:space="preserve"> average hourly cost</w:t>
      </w:r>
      <w:r w:rsidRPr="00A670E6" w:rsidR="008C419E">
        <w:rPr>
          <w:bCs/>
          <w:sz w:val="24"/>
          <w:szCs w:val="24"/>
        </w:rPr>
        <w:t>, for a total cost estimate of $</w:t>
      </w:r>
      <w:r w:rsidR="002947E7">
        <w:rPr>
          <w:bCs/>
          <w:sz w:val="24"/>
          <w:szCs w:val="24"/>
        </w:rPr>
        <w:t>174,782</w:t>
      </w:r>
      <w:r w:rsidR="009A3BBF">
        <w:rPr>
          <w:bCs/>
          <w:sz w:val="24"/>
          <w:szCs w:val="24"/>
        </w:rPr>
        <w:t>.</w:t>
      </w:r>
      <w:r w:rsidRPr="00103FE5" w:rsidR="00103FE5">
        <w:rPr>
          <w:bCs/>
          <w:sz w:val="24"/>
          <w:szCs w:val="24"/>
        </w:rPr>
        <w:t xml:space="preserve"> </w:t>
      </w:r>
    </w:p>
    <w:p w:rsidR="00DC2EE1" w:rsidP="00A8233B" w14:paraId="1203C632" w14:textId="219F6489">
      <w:pPr>
        <w:rPr>
          <w:bCs/>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1890"/>
        <w:gridCol w:w="1944"/>
        <w:gridCol w:w="1926"/>
      </w:tblGrid>
      <w:tr w14:paraId="523ACC50" w14:textId="77777777" w:rsidTr="00AF0B96">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520" w:type="dxa"/>
            <w:shd w:val="clear" w:color="auto" w:fill="auto"/>
          </w:tcPr>
          <w:p w:rsidR="00DC2EE1" w:rsidP="00AF0B96" w14:paraId="22E37794" w14:textId="4E2FBDA3">
            <w:pPr>
              <w:jc w:val="center"/>
            </w:pPr>
            <w:r>
              <w:t>VQIP Participant</w:t>
            </w:r>
            <w:r w:rsidR="00CF63AC">
              <w:t xml:space="preserve"> Reporting and </w:t>
            </w:r>
            <w:r>
              <w:t>Records Consistent with Implementing Guidance</w:t>
            </w:r>
          </w:p>
        </w:tc>
        <w:tc>
          <w:tcPr>
            <w:tcW w:w="1890" w:type="dxa"/>
            <w:shd w:val="clear" w:color="auto" w:fill="auto"/>
          </w:tcPr>
          <w:p w:rsidR="00DC2EE1" w:rsidP="00AF0B96" w14:paraId="0B6F2F47" w14:textId="77777777">
            <w:pPr>
              <w:jc w:val="center"/>
            </w:pPr>
            <w:r>
              <w:t>Total Burden Hours</w:t>
            </w:r>
          </w:p>
        </w:tc>
        <w:tc>
          <w:tcPr>
            <w:tcW w:w="1944" w:type="dxa"/>
            <w:shd w:val="clear" w:color="auto" w:fill="auto"/>
          </w:tcPr>
          <w:p w:rsidR="00DC2EE1" w:rsidP="00AF0B96" w14:paraId="43756759" w14:textId="77777777">
            <w:pPr>
              <w:jc w:val="center"/>
            </w:pPr>
            <w:r>
              <w:t>Hourly Wage Rate</w:t>
            </w:r>
          </w:p>
        </w:tc>
        <w:tc>
          <w:tcPr>
            <w:tcW w:w="1926" w:type="dxa"/>
            <w:shd w:val="clear" w:color="auto" w:fill="auto"/>
          </w:tcPr>
          <w:p w:rsidR="00DC2EE1" w:rsidP="00AF0B96" w14:paraId="0A0A8FC9" w14:textId="77777777">
            <w:pPr>
              <w:jc w:val="center"/>
            </w:pPr>
            <w:r>
              <w:t>Total Respondent Costs</w:t>
            </w:r>
          </w:p>
        </w:tc>
      </w:tr>
      <w:tr w14:paraId="5E79D810" w14:textId="77777777" w:rsidTr="00AF0B96">
        <w:tblPrEx>
          <w:tblW w:w="0" w:type="auto"/>
          <w:tblInd w:w="828" w:type="dxa"/>
          <w:tblLook w:val="01E0"/>
        </w:tblPrEx>
        <w:tc>
          <w:tcPr>
            <w:tcW w:w="2520" w:type="dxa"/>
            <w:shd w:val="clear" w:color="auto" w:fill="auto"/>
          </w:tcPr>
          <w:p w:rsidR="00DC2EE1" w:rsidP="00AF0B96" w14:paraId="34BCFF0A" w14:textId="406CFAD5">
            <w:r>
              <w:t>Professional services commensurate with GS-12/Step-1</w:t>
            </w:r>
          </w:p>
        </w:tc>
        <w:tc>
          <w:tcPr>
            <w:tcW w:w="1890" w:type="dxa"/>
            <w:shd w:val="clear" w:color="auto" w:fill="auto"/>
          </w:tcPr>
          <w:p w:rsidR="00DC2EE1" w:rsidP="00AF0B96" w14:paraId="519104A3" w14:textId="188AFE71">
            <w:r>
              <w:t>1.</w:t>
            </w:r>
            <w:r w:rsidR="008D2C6E">
              <w:t>9</w:t>
            </w:r>
            <w:r>
              <w:t>36</w:t>
            </w:r>
          </w:p>
        </w:tc>
        <w:tc>
          <w:tcPr>
            <w:tcW w:w="1944" w:type="dxa"/>
            <w:shd w:val="clear" w:color="auto" w:fill="auto"/>
          </w:tcPr>
          <w:p w:rsidR="00DC2EE1" w:rsidP="00AF0B96" w14:paraId="436BD188" w14:textId="275001EE">
            <w:r>
              <w:t>$</w:t>
            </w:r>
            <w:r w:rsidR="00CF63AC">
              <w:t>90.28</w:t>
            </w:r>
          </w:p>
        </w:tc>
        <w:tc>
          <w:tcPr>
            <w:tcW w:w="1926" w:type="dxa"/>
            <w:shd w:val="clear" w:color="auto" w:fill="auto"/>
          </w:tcPr>
          <w:p w:rsidR="00DC2EE1" w:rsidP="00AF0B96" w14:paraId="7A6BBC7A" w14:textId="4366C8E0">
            <w:r>
              <w:t>$</w:t>
            </w:r>
            <w:r w:rsidR="008D2C6E">
              <w:t>174,782</w:t>
            </w:r>
          </w:p>
          <w:p w:rsidR="00CF63AC" w:rsidP="00AF0B96" w14:paraId="1A5232F6" w14:textId="5DB16B3C"/>
        </w:tc>
      </w:tr>
    </w:tbl>
    <w:p w:rsidR="00DC2EE1" w:rsidRPr="008808C3" w:rsidP="00A8233B" w14:paraId="7AE0B0A9" w14:textId="77777777">
      <w:pPr>
        <w:rPr>
          <w:bCs/>
          <w:sz w:val="24"/>
          <w:szCs w:val="24"/>
        </w:rPr>
      </w:pPr>
    </w:p>
    <w:p w:rsidR="006A422C" w:rsidRPr="008808C3" w:rsidP="00A8233B" w14:paraId="43C70C1C" w14:textId="77777777">
      <w:pPr>
        <w:rPr>
          <w:bCs/>
          <w:sz w:val="24"/>
          <w:szCs w:val="24"/>
        </w:rPr>
      </w:pPr>
    </w:p>
    <w:p w:rsidR="0024652E" w:rsidRPr="008808C3" w:rsidP="00A8233B" w14:paraId="462855CE" w14:textId="77777777">
      <w:pPr>
        <w:rPr>
          <w:sz w:val="24"/>
          <w:szCs w:val="24"/>
        </w:rPr>
      </w:pPr>
      <w:r w:rsidRPr="007B4D7A">
        <w:rPr>
          <w:bCs/>
          <w:sz w:val="24"/>
          <w:szCs w:val="24"/>
        </w:rPr>
        <w:t xml:space="preserve">13.  </w:t>
      </w:r>
      <w:r w:rsidRPr="007E7975" w:rsidR="00C06574">
        <w:rPr>
          <w:bCs/>
          <w:sz w:val="24"/>
          <w:szCs w:val="24"/>
          <w:u w:val="single"/>
        </w:rPr>
        <w:t>Estimates of Other Total Annual Cost Burden to Respondents and Record</w:t>
      </w:r>
      <w:r w:rsidR="007E7975">
        <w:rPr>
          <w:bCs/>
          <w:sz w:val="24"/>
          <w:szCs w:val="24"/>
          <w:u w:val="single"/>
        </w:rPr>
        <w:t>k</w:t>
      </w:r>
      <w:r w:rsidRPr="007E7975" w:rsidR="00C06574">
        <w:rPr>
          <w:bCs/>
          <w:sz w:val="24"/>
          <w:szCs w:val="24"/>
          <w:u w:val="single"/>
        </w:rPr>
        <w:t>eepers</w:t>
      </w:r>
      <w:r w:rsidRPr="008808C3" w:rsidR="006D4E17">
        <w:rPr>
          <w:sz w:val="24"/>
          <w:szCs w:val="24"/>
        </w:rPr>
        <w:br/>
      </w:r>
      <w:r w:rsidRPr="008808C3" w:rsidR="006D4E17">
        <w:rPr>
          <w:sz w:val="24"/>
          <w:szCs w:val="24"/>
        </w:rPr>
        <w:br/>
      </w:r>
      <w:r w:rsidRPr="004F26FD" w:rsidR="00F93D1B">
        <w:rPr>
          <w:sz w:val="24"/>
          <w:szCs w:val="24"/>
        </w:rPr>
        <w:t>There are no capital, start-up, operating, or maintenance costs associated with this collection.</w:t>
      </w:r>
      <w:r w:rsidRPr="008808C3" w:rsidR="006D4E17">
        <w:rPr>
          <w:sz w:val="24"/>
          <w:szCs w:val="24"/>
        </w:rPr>
        <w:br/>
      </w:r>
    </w:p>
    <w:p w:rsidR="009A3BBF" w14:paraId="024C4370" w14:textId="77777777">
      <w:r w:rsidRPr="007B4D7A">
        <w:rPr>
          <w:sz w:val="24"/>
          <w:szCs w:val="24"/>
        </w:rPr>
        <w:t>14.</w:t>
      </w:r>
      <w:r w:rsidRPr="007B4D7A" w:rsidR="00F34737">
        <w:rPr>
          <w:sz w:val="24"/>
          <w:szCs w:val="24"/>
        </w:rPr>
        <w:t xml:space="preserve">  </w:t>
      </w:r>
      <w:r w:rsidRPr="007E7975" w:rsidR="00C06574">
        <w:rPr>
          <w:sz w:val="24"/>
          <w:szCs w:val="24"/>
          <w:u w:val="single"/>
        </w:rPr>
        <w:t xml:space="preserve">Annualized </w:t>
      </w:r>
      <w:r w:rsidRPr="007E7975" w:rsidR="006D4E17">
        <w:rPr>
          <w:bCs/>
          <w:sz w:val="24"/>
          <w:szCs w:val="24"/>
          <w:u w:val="single"/>
        </w:rPr>
        <w:t>Cost to Federal Government</w:t>
      </w:r>
      <w:r w:rsidRPr="007E7975" w:rsidR="006D4E17">
        <w:rPr>
          <w:sz w:val="24"/>
          <w:szCs w:val="24"/>
          <w:u w:val="single"/>
        </w:rPr>
        <w:br/>
      </w:r>
    </w:p>
    <w:p w:rsidR="006C2500" w:rsidRPr="00DB02E4" w14:paraId="14708C31" w14:textId="16A5ACA9">
      <w:pPr>
        <w:rPr>
          <w:bCs/>
          <w:sz w:val="24"/>
          <w:szCs w:val="24"/>
        </w:rPr>
      </w:pPr>
      <w:r w:rsidRPr="00DB02E4">
        <w:rPr>
          <w:bCs/>
          <w:sz w:val="24"/>
          <w:szCs w:val="24"/>
        </w:rPr>
        <w:t>We assume, using FY 22-FY 23 appropriations request data, expenditure reporting, and allocated among our agency import program activities offset against the $6,000,000 in collected VQIP user fees, the cost to administer the VQIP program information collection is $</w:t>
      </w:r>
      <w:r w:rsidRPr="00DB02E4" w:rsidR="00960D2A">
        <w:rPr>
          <w:bCs/>
          <w:sz w:val="24"/>
          <w:szCs w:val="24"/>
        </w:rPr>
        <w:t>3,435.47</w:t>
      </w:r>
      <w:r w:rsidRPr="00DB02E4">
        <w:rPr>
          <w:bCs/>
          <w:sz w:val="24"/>
          <w:szCs w:val="24"/>
        </w:rPr>
        <w:t>.</w:t>
      </w:r>
    </w:p>
    <w:p w:rsidR="00146E2B" w14:paraId="3327E2DB" w14:textId="1C36A7A7">
      <w:pPr>
        <w:rPr>
          <w:sz w:val="24"/>
          <w:szCs w:val="24"/>
        </w:rPr>
      </w:pPr>
    </w:p>
    <w:p w:rsidR="00577422" w:rsidRPr="007E7975" w:rsidP="00A8233B" w14:paraId="285DFF7C" w14:textId="77777777">
      <w:pPr>
        <w:rPr>
          <w:sz w:val="24"/>
          <w:szCs w:val="24"/>
          <w:u w:val="single"/>
        </w:rPr>
      </w:pPr>
      <w:r w:rsidRPr="007B4D7A">
        <w:rPr>
          <w:bCs/>
          <w:sz w:val="24"/>
          <w:szCs w:val="24"/>
        </w:rPr>
        <w:t xml:space="preserve">15.  </w:t>
      </w:r>
      <w:r w:rsidRPr="007E7975" w:rsidR="00D840E3">
        <w:rPr>
          <w:bCs/>
          <w:sz w:val="24"/>
          <w:szCs w:val="24"/>
          <w:u w:val="single"/>
        </w:rPr>
        <w:t xml:space="preserve">Explanation for </w:t>
      </w:r>
      <w:r w:rsidRPr="007E7975" w:rsidR="006D4E17">
        <w:rPr>
          <w:bCs/>
          <w:sz w:val="24"/>
          <w:szCs w:val="24"/>
          <w:u w:val="single"/>
        </w:rPr>
        <w:t>Program Changes</w:t>
      </w:r>
      <w:r w:rsidRPr="007E7975" w:rsidR="00D840E3">
        <w:rPr>
          <w:bCs/>
          <w:sz w:val="24"/>
          <w:szCs w:val="24"/>
          <w:u w:val="single"/>
        </w:rPr>
        <w:t xml:space="preserve"> or Adjustments</w:t>
      </w:r>
      <w:r w:rsidRPr="007E7975" w:rsidR="006D4E17">
        <w:rPr>
          <w:sz w:val="24"/>
          <w:szCs w:val="24"/>
          <w:u w:val="single"/>
        </w:rPr>
        <w:br/>
      </w:r>
    </w:p>
    <w:p w:rsidR="00A97318" w:rsidRPr="008808C3" w:rsidP="00A8233B" w14:paraId="391EF185" w14:textId="6AFBB905">
      <w:pPr>
        <w:rPr>
          <w:sz w:val="24"/>
          <w:szCs w:val="24"/>
        </w:rPr>
      </w:pPr>
      <w:bookmarkStart w:id="2" w:name="_Hlk134792370"/>
      <w:r w:rsidRPr="008D2C6E">
        <w:rPr>
          <w:color w:val="000000"/>
          <w:sz w:val="24"/>
          <w:szCs w:val="24"/>
        </w:rPr>
        <w:t xml:space="preserve">Our estimated burden for the information collection reflects an overall adjustment decrease of </w:t>
      </w:r>
      <w:r w:rsidR="008D2C6E">
        <w:rPr>
          <w:color w:val="000000"/>
          <w:sz w:val="24"/>
          <w:szCs w:val="24"/>
        </w:rPr>
        <w:t>1,8</w:t>
      </w:r>
      <w:r w:rsidRPr="008D2C6E">
        <w:rPr>
          <w:color w:val="000000"/>
          <w:sz w:val="24"/>
          <w:szCs w:val="24"/>
        </w:rPr>
        <w:t>44 hours and a corresponding decrease of 18 responses</w:t>
      </w:r>
      <w:r>
        <w:rPr>
          <w:color w:val="000000"/>
          <w:sz w:val="27"/>
          <w:szCs w:val="27"/>
        </w:rPr>
        <w:t xml:space="preserve">. </w:t>
      </w:r>
      <w:r w:rsidRPr="00950302" w:rsidR="00950302">
        <w:rPr>
          <w:sz w:val="24"/>
          <w:szCs w:val="24"/>
        </w:rPr>
        <w:t>Since our last request for OMB approval of the information collection, we have adjusted our estimate of the number of respondents based on actual participation in the program.  Th</w:t>
      </w:r>
      <w:r w:rsidR="008D2C6E">
        <w:rPr>
          <w:sz w:val="24"/>
          <w:szCs w:val="24"/>
        </w:rPr>
        <w:t>is</w:t>
      </w:r>
      <w:r w:rsidRPr="00950302" w:rsidR="00950302">
        <w:rPr>
          <w:sz w:val="24"/>
          <w:szCs w:val="24"/>
        </w:rPr>
        <w:t xml:space="preserve"> results in a decrease of 500 hours to the currently approved recordkeeping burden attributed to initial VQIP applications with additional information.  We assume the average burden required for the respective reporting and recordkeeping activities for both initial and continued participation in the program remain constant</w:t>
      </w:r>
      <w:bookmarkEnd w:id="2"/>
      <w:r w:rsidRPr="004509CA" w:rsidR="004509CA">
        <w:rPr>
          <w:sz w:val="24"/>
          <w:szCs w:val="24"/>
        </w:rPr>
        <w:t>.</w:t>
      </w:r>
      <w:r w:rsidRPr="00D2629E">
        <w:rPr>
          <w:sz w:val="24"/>
          <w:szCs w:val="24"/>
          <w:highlight w:val="yellow"/>
        </w:rPr>
        <w:t xml:space="preserve">  </w:t>
      </w:r>
    </w:p>
    <w:p w:rsidR="006D4E17" w:rsidRPr="008808C3" w:rsidP="00A8233B" w14:paraId="73245201" w14:textId="77777777">
      <w:pPr>
        <w:rPr>
          <w:sz w:val="24"/>
          <w:szCs w:val="24"/>
          <w:u w:val="single"/>
        </w:rPr>
      </w:pPr>
    </w:p>
    <w:p w:rsidR="00D840E3" w:rsidRPr="007E7975" w:rsidP="00A8233B" w14:paraId="536AF6A2" w14:textId="77777777">
      <w:pPr>
        <w:rPr>
          <w:bCs/>
          <w:sz w:val="24"/>
          <w:szCs w:val="24"/>
          <w:u w:val="single"/>
        </w:rPr>
      </w:pPr>
      <w:r w:rsidRPr="007B4D7A">
        <w:rPr>
          <w:bCs/>
          <w:sz w:val="24"/>
          <w:szCs w:val="24"/>
        </w:rPr>
        <w:t xml:space="preserve">16.  </w:t>
      </w:r>
      <w:r w:rsidRPr="007E7975">
        <w:rPr>
          <w:bCs/>
          <w:sz w:val="24"/>
          <w:szCs w:val="24"/>
          <w:u w:val="single"/>
        </w:rPr>
        <w:t xml:space="preserve">Plans for Tabulation and Publication and Project Time Schedule </w:t>
      </w:r>
    </w:p>
    <w:p w:rsidR="006D4E17" w:rsidRPr="008808C3" w:rsidP="008C419E" w14:paraId="498491DF" w14:textId="35853C3A">
      <w:pPr>
        <w:pStyle w:val="CommentText"/>
        <w:rPr>
          <w:sz w:val="24"/>
          <w:szCs w:val="24"/>
        </w:rPr>
      </w:pPr>
      <w:r w:rsidRPr="008808C3">
        <w:rPr>
          <w:sz w:val="24"/>
          <w:szCs w:val="24"/>
          <w:u w:val="single"/>
        </w:rPr>
        <w:br/>
      </w:r>
      <w:r w:rsidRPr="00F34737" w:rsidR="00F34737">
        <w:rPr>
          <w:rFonts w:cs="Courier New"/>
          <w:sz w:val="24"/>
          <w:szCs w:val="24"/>
        </w:rPr>
        <w:t xml:space="preserve">FDA </w:t>
      </w:r>
      <w:r w:rsidR="007E7975">
        <w:rPr>
          <w:rFonts w:cs="Courier New"/>
          <w:sz w:val="24"/>
          <w:szCs w:val="24"/>
        </w:rPr>
        <w:t xml:space="preserve">makes </w:t>
      </w:r>
      <w:r w:rsidRPr="00F34737" w:rsidR="00F34737">
        <w:rPr>
          <w:rFonts w:cs="Courier New"/>
          <w:sz w:val="24"/>
          <w:szCs w:val="24"/>
        </w:rPr>
        <w:t>a publicly available list of approved VQIP importers on</w:t>
      </w:r>
      <w:r w:rsidR="00F34737">
        <w:rPr>
          <w:rFonts w:cs="Courier New"/>
          <w:sz w:val="24"/>
          <w:szCs w:val="24"/>
        </w:rPr>
        <w:t xml:space="preserve"> its webpage at </w:t>
      </w:r>
      <w:r w:rsidRPr="00F34737" w:rsidR="00F34737">
        <w:rPr>
          <w:rFonts w:cs="Courier New"/>
          <w:sz w:val="24"/>
          <w:szCs w:val="24"/>
        </w:rPr>
        <w:t xml:space="preserve"> </w:t>
      </w:r>
      <w:hyperlink r:id="rId18" w:history="1">
        <w:r w:rsidRPr="00A66010" w:rsidR="008C419E">
          <w:rPr>
            <w:rStyle w:val="Hyperlink"/>
            <w:sz w:val="24"/>
            <w:szCs w:val="24"/>
          </w:rPr>
          <w:t>https://www.fda.gov/food/importing-food-products-united-states/voluntary-qualified-importer-program-vqip-public-list-approved-vqip-importers</w:t>
        </w:r>
      </w:hyperlink>
      <w:r w:rsidR="008C419E">
        <w:rPr>
          <w:rFonts w:cs="Courier New"/>
          <w:sz w:val="24"/>
          <w:szCs w:val="24"/>
        </w:rPr>
        <w:t xml:space="preserve">. </w:t>
      </w:r>
      <w:r w:rsidRPr="00F34737" w:rsidR="00F34737">
        <w:rPr>
          <w:rFonts w:cs="Courier New"/>
          <w:sz w:val="24"/>
          <w:szCs w:val="24"/>
        </w:rPr>
        <w:t xml:space="preserve">VQIP importers may choose not to be listed. A VQIP importer’s decision to opt out of being listed on the publicly available list of approved VQIP importers will not have any effect on its </w:t>
      </w:r>
      <w:r w:rsidRPr="00F34737" w:rsidR="00AF63C7">
        <w:rPr>
          <w:rFonts w:cs="Courier New"/>
          <w:sz w:val="24"/>
          <w:szCs w:val="24"/>
        </w:rPr>
        <w:t>participation.</w:t>
      </w:r>
      <w:r w:rsidRPr="008808C3" w:rsidR="00AF63C7">
        <w:rPr>
          <w:rFonts w:cs="Courier New"/>
          <w:sz w:val="24"/>
          <w:szCs w:val="24"/>
        </w:rPr>
        <w:t xml:space="preserve"> The</w:t>
      </w:r>
      <w:r w:rsidRPr="008808C3" w:rsidR="00E36E28">
        <w:rPr>
          <w:rFonts w:cs="Courier New"/>
          <w:sz w:val="24"/>
          <w:szCs w:val="24"/>
        </w:rPr>
        <w:t xml:space="preserve"> agency has no plans for publication of information from this information collection.</w:t>
      </w:r>
      <w:r w:rsidRPr="008808C3">
        <w:rPr>
          <w:sz w:val="24"/>
          <w:szCs w:val="24"/>
        </w:rPr>
        <w:br/>
      </w:r>
    </w:p>
    <w:p w:rsidR="00D840E3" w:rsidRPr="007E7975" w:rsidP="00A8233B" w14:paraId="7DDCFCDD" w14:textId="77777777">
      <w:pPr>
        <w:rPr>
          <w:bCs/>
          <w:sz w:val="24"/>
          <w:szCs w:val="24"/>
          <w:u w:val="single"/>
        </w:rPr>
      </w:pPr>
      <w:r w:rsidRPr="007B4D7A">
        <w:rPr>
          <w:bCs/>
          <w:sz w:val="24"/>
          <w:szCs w:val="24"/>
        </w:rPr>
        <w:t xml:space="preserve">17.  </w:t>
      </w:r>
      <w:r w:rsidRPr="007E7975">
        <w:rPr>
          <w:bCs/>
          <w:sz w:val="24"/>
          <w:szCs w:val="24"/>
          <w:u w:val="single"/>
        </w:rPr>
        <w:t xml:space="preserve">Reason(s) Display of OMB Expiration Date is Inappropriate </w:t>
      </w:r>
    </w:p>
    <w:p w:rsidR="006D4E17" w:rsidRPr="008808C3" w:rsidP="00A8233B" w14:paraId="21DD96DC" w14:textId="014F2891">
      <w:pPr>
        <w:rPr>
          <w:sz w:val="24"/>
          <w:szCs w:val="24"/>
        </w:rPr>
      </w:pPr>
      <w:r w:rsidRPr="008808C3">
        <w:rPr>
          <w:sz w:val="24"/>
          <w:szCs w:val="24"/>
        </w:rPr>
        <w:br/>
      </w:r>
      <w:r w:rsidRPr="00BC6E35" w:rsidR="00BC6E35">
        <w:rPr>
          <w:sz w:val="24"/>
          <w:szCs w:val="24"/>
        </w:rPr>
        <w:t>FDA will display the OMB expiration date as required by 5 CFR 1320.8</w:t>
      </w:r>
      <w:r w:rsidR="004D3C29">
        <w:rPr>
          <w:sz w:val="24"/>
          <w:szCs w:val="24"/>
        </w:rPr>
        <w:t>.</w:t>
      </w:r>
      <w:r w:rsidR="00B424C7">
        <w:rPr>
          <w:sz w:val="24"/>
          <w:szCs w:val="24"/>
        </w:rPr>
        <w:t xml:space="preserve">  </w:t>
      </w:r>
      <w:r w:rsidR="00D85BE9">
        <w:rPr>
          <w:sz w:val="24"/>
          <w:szCs w:val="24"/>
        </w:rPr>
        <w:t>We display the OMB expiration date as part</w:t>
      </w:r>
      <w:r w:rsidR="00936D8C">
        <w:rPr>
          <w:sz w:val="24"/>
          <w:szCs w:val="24"/>
        </w:rPr>
        <w:t xml:space="preserve"> of the F</w:t>
      </w:r>
      <w:r w:rsidR="009D341D">
        <w:rPr>
          <w:sz w:val="24"/>
          <w:szCs w:val="24"/>
        </w:rPr>
        <w:t xml:space="preserve">ederal Industry </w:t>
      </w:r>
      <w:r w:rsidR="00936D8C">
        <w:rPr>
          <w:sz w:val="24"/>
          <w:szCs w:val="24"/>
        </w:rPr>
        <w:t>S</w:t>
      </w:r>
      <w:r w:rsidR="009D341D">
        <w:rPr>
          <w:sz w:val="24"/>
          <w:szCs w:val="24"/>
        </w:rPr>
        <w:t>ystems</w:t>
      </w:r>
      <w:r w:rsidR="00936D8C">
        <w:rPr>
          <w:sz w:val="24"/>
          <w:szCs w:val="24"/>
        </w:rPr>
        <w:t xml:space="preserve"> landing page.  </w:t>
      </w:r>
      <w:r w:rsidR="005C1A90">
        <w:rPr>
          <w:sz w:val="24"/>
          <w:szCs w:val="24"/>
        </w:rPr>
        <w:t>The agency will continue its efforts to increase the visibility of the PRA burden statement displayed in electronic format</w:t>
      </w:r>
      <w:r w:rsidR="00936D8C">
        <w:rPr>
          <w:sz w:val="24"/>
          <w:szCs w:val="24"/>
        </w:rPr>
        <w:t xml:space="preserve"> as </w:t>
      </w:r>
      <w:r w:rsidR="00936D8C">
        <w:rPr>
          <w:sz w:val="24"/>
          <w:szCs w:val="24"/>
        </w:rPr>
        <w:t>our allocated resources permit</w:t>
      </w:r>
      <w:r w:rsidR="005C1A90">
        <w:rPr>
          <w:sz w:val="24"/>
          <w:szCs w:val="24"/>
        </w:rPr>
        <w:t>.</w:t>
      </w:r>
      <w:r w:rsidRPr="008808C3">
        <w:rPr>
          <w:sz w:val="24"/>
          <w:szCs w:val="24"/>
        </w:rPr>
        <w:br/>
      </w:r>
    </w:p>
    <w:p w:rsidR="006D4E17" w:rsidRPr="00FB47DE" w:rsidP="00A8233B" w14:paraId="4CF1310A" w14:textId="77777777">
      <w:pPr>
        <w:rPr>
          <w:sz w:val="24"/>
          <w:szCs w:val="24"/>
        </w:rPr>
      </w:pPr>
      <w:r w:rsidRPr="007B4D7A">
        <w:rPr>
          <w:bCs/>
          <w:sz w:val="24"/>
          <w:szCs w:val="24"/>
        </w:rPr>
        <w:t xml:space="preserve">18.  </w:t>
      </w:r>
      <w:r w:rsidRPr="007E7975" w:rsidR="00D840E3">
        <w:rPr>
          <w:bCs/>
          <w:sz w:val="24"/>
          <w:szCs w:val="24"/>
          <w:u w:val="single"/>
        </w:rPr>
        <w:t>Exceptions to Certification for Paperwork Reduction Act Submissions</w:t>
      </w:r>
      <w:r w:rsidRPr="008808C3">
        <w:rPr>
          <w:sz w:val="24"/>
          <w:szCs w:val="24"/>
        </w:rPr>
        <w:br/>
      </w:r>
      <w:r w:rsidRPr="008808C3">
        <w:rPr>
          <w:sz w:val="24"/>
          <w:szCs w:val="24"/>
        </w:rPr>
        <w:br/>
      </w:r>
      <w:r w:rsidR="00F93D1B">
        <w:rPr>
          <w:sz w:val="24"/>
          <w:szCs w:val="24"/>
        </w:rPr>
        <w:t>There are no exceptions to the certification.</w:t>
      </w:r>
    </w:p>
    <w:sectPr w:rsidSect="00C8533E">
      <w:footerReference w:type="default" r:id="rId19"/>
      <w:footerReference w:type="first" r:id="rId20"/>
      <w:type w:val="continuous"/>
      <w:pgSz w:w="12240" w:h="15840"/>
      <w:pgMar w:top="1440" w:right="1440" w:bottom="1440" w:left="144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533E" w14:paraId="298E1AF8" w14:textId="77777777">
    <w:pPr>
      <w:pStyle w:val="Footer"/>
      <w:jc w:val="center"/>
    </w:pPr>
    <w:r>
      <w:fldChar w:fldCharType="begin"/>
    </w:r>
    <w:r>
      <w:instrText xml:space="preserve"> PAGE   \* MERGEFORMAT </w:instrText>
    </w:r>
    <w:r>
      <w:fldChar w:fldCharType="separate"/>
    </w:r>
    <w:r w:rsidR="005A7939">
      <w:rPr>
        <w:noProof/>
      </w:rPr>
      <w:t>2</w:t>
    </w:r>
    <w:r>
      <w:rPr>
        <w:noProof/>
      </w:rPr>
      <w:fldChar w:fldCharType="end"/>
    </w:r>
  </w:p>
  <w:p w:rsidR="00C8533E" w14:paraId="4BAD61B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533E" w14:paraId="2B24EA0C" w14:textId="77777777">
    <w:pPr>
      <w:pStyle w:val="Footer"/>
      <w:jc w:val="center"/>
    </w:pPr>
  </w:p>
  <w:p w:rsidR="00103FE5" w14:paraId="4233AA8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62739" w:rsidP="000424C3" w14:paraId="70669B04" w14:textId="77777777">
      <w:r>
        <w:separator/>
      </w:r>
    </w:p>
  </w:footnote>
  <w:footnote w:type="continuationSeparator" w:id="1">
    <w:p w:rsidR="00C62739" w:rsidP="000424C3" w14:paraId="18B75332" w14:textId="77777777">
      <w:r>
        <w:continuationSeparator/>
      </w:r>
    </w:p>
  </w:footnote>
  <w:footnote w:type="continuationNotice" w:id="2">
    <w:p w:rsidR="00C62739" w14:paraId="20BE5D4F" w14:textId="77777777"/>
  </w:footnote>
  <w:footnote w:id="3">
    <w:p w:rsidR="00213927" w14:paraId="7348BD78" w14:textId="1C3A471A">
      <w:pPr>
        <w:pStyle w:val="FootnoteText"/>
      </w:pPr>
      <w:r>
        <w:rPr>
          <w:rStyle w:val="FootnoteReference"/>
        </w:rPr>
        <w:footnoteRef/>
      </w:r>
      <w:r>
        <w:t xml:space="preserve"> See OPM 2023 Salary Table at: </w:t>
      </w:r>
      <w:hyperlink r:id="rId1" w:history="1">
        <w:r w:rsidRPr="002C5159">
          <w:rPr>
            <w:rStyle w:val="Hyperlink"/>
          </w:rPr>
          <w:t>https://www.opm.gov/policy-data-oversight/pay-leave/salaries-wages/salary-tables/23Tables/html/DCB_h.aspx</w:t>
        </w:r>
      </w:hyperlink>
    </w:p>
    <w:p w:rsidR="00213927" w14:paraId="5E4101A0"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F32DB1"/>
    <w:multiLevelType w:val="hybridMultilevel"/>
    <w:tmpl w:val="CD1E7F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8C36A1E"/>
    <w:multiLevelType w:val="hybridMultilevel"/>
    <w:tmpl w:val="C03A219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0945BD0"/>
    <w:multiLevelType w:val="hybridMultilevel"/>
    <w:tmpl w:val="18749A2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57B04DDD"/>
    <w:multiLevelType w:val="hybridMultilevel"/>
    <w:tmpl w:val="A3F466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A2D3155"/>
    <w:multiLevelType w:val="hybridMultilevel"/>
    <w:tmpl w:val="4F5E39C6"/>
    <w:lvl w:ilvl="0">
      <w:start w:val="1"/>
      <w:numFmt w:val="decimal"/>
      <w:lvlText w:val="%1."/>
      <w:lvlJc w:val="left"/>
      <w:pPr>
        <w:tabs>
          <w:tab w:val="num" w:pos="648"/>
        </w:tabs>
        <w:ind w:left="648" w:hanging="432"/>
      </w:pPr>
      <w:rPr>
        <w:rFonts w:ascii="Times New Roman" w:hAnsi="Times New Roman" w:cs="Times New Roman" w:hint="default"/>
        <w:b/>
        <w:i w:val="0"/>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61B24763"/>
    <w:multiLevelType w:val="hybridMultilevel"/>
    <w:tmpl w:val="DFA8EA3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647A5B22"/>
    <w:multiLevelType w:val="hybridMultilevel"/>
    <w:tmpl w:val="BBFAD7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7B1381A"/>
    <w:multiLevelType w:val="multilevel"/>
    <w:tmpl w:val="FB72D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0B23204"/>
    <w:multiLevelType w:val="hybridMultilevel"/>
    <w:tmpl w:val="DF46456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8"/>
  </w:num>
  <w:num w:numId="4">
    <w:abstractNumId w:val="1"/>
  </w:num>
  <w:num w:numId="5">
    <w:abstractNumId w:val="7"/>
  </w:num>
  <w:num w:numId="6">
    <w:abstractNumId w:val="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685"/>
    <w:rsid w:val="00000F1A"/>
    <w:rsid w:val="000024DE"/>
    <w:rsid w:val="00002953"/>
    <w:rsid w:val="00005625"/>
    <w:rsid w:val="00010F72"/>
    <w:rsid w:val="00012DD5"/>
    <w:rsid w:val="000202AD"/>
    <w:rsid w:val="000215BF"/>
    <w:rsid w:val="0002230D"/>
    <w:rsid w:val="00022675"/>
    <w:rsid w:val="00031B5B"/>
    <w:rsid w:val="00037DCD"/>
    <w:rsid w:val="0004155B"/>
    <w:rsid w:val="000424C3"/>
    <w:rsid w:val="0004504C"/>
    <w:rsid w:val="00047CFA"/>
    <w:rsid w:val="0005119C"/>
    <w:rsid w:val="00052DD3"/>
    <w:rsid w:val="000622F5"/>
    <w:rsid w:val="00064A9A"/>
    <w:rsid w:val="000721BC"/>
    <w:rsid w:val="00076322"/>
    <w:rsid w:val="00093D90"/>
    <w:rsid w:val="00097FAF"/>
    <w:rsid w:val="000A3454"/>
    <w:rsid w:val="000A71CD"/>
    <w:rsid w:val="000B07F0"/>
    <w:rsid w:val="000B3E85"/>
    <w:rsid w:val="000C2FF3"/>
    <w:rsid w:val="000C5F68"/>
    <w:rsid w:val="000C61D4"/>
    <w:rsid w:val="000D759D"/>
    <w:rsid w:val="000E22ED"/>
    <w:rsid w:val="000E5BDB"/>
    <w:rsid w:val="000F3C8F"/>
    <w:rsid w:val="000F73FA"/>
    <w:rsid w:val="00103FE5"/>
    <w:rsid w:val="00124EC8"/>
    <w:rsid w:val="00127468"/>
    <w:rsid w:val="00127562"/>
    <w:rsid w:val="001431A2"/>
    <w:rsid w:val="00143FC9"/>
    <w:rsid w:val="00145420"/>
    <w:rsid w:val="00146E2B"/>
    <w:rsid w:val="00150D51"/>
    <w:rsid w:val="00151EE3"/>
    <w:rsid w:val="0015229A"/>
    <w:rsid w:val="00161009"/>
    <w:rsid w:val="00170ABC"/>
    <w:rsid w:val="00172C95"/>
    <w:rsid w:val="001747B1"/>
    <w:rsid w:val="001817B3"/>
    <w:rsid w:val="001829A7"/>
    <w:rsid w:val="001847F9"/>
    <w:rsid w:val="001859CC"/>
    <w:rsid w:val="00192D87"/>
    <w:rsid w:val="001936E9"/>
    <w:rsid w:val="0019501B"/>
    <w:rsid w:val="00195FF0"/>
    <w:rsid w:val="001971D3"/>
    <w:rsid w:val="001C3ED6"/>
    <w:rsid w:val="001D182C"/>
    <w:rsid w:val="001D1D17"/>
    <w:rsid w:val="001D2949"/>
    <w:rsid w:val="001D2E8E"/>
    <w:rsid w:val="001D2FD5"/>
    <w:rsid w:val="001D523F"/>
    <w:rsid w:val="001D57A6"/>
    <w:rsid w:val="001E0FCC"/>
    <w:rsid w:val="001F26F1"/>
    <w:rsid w:val="001F282D"/>
    <w:rsid w:val="002003CD"/>
    <w:rsid w:val="00205595"/>
    <w:rsid w:val="00207EA2"/>
    <w:rsid w:val="00207F94"/>
    <w:rsid w:val="00213927"/>
    <w:rsid w:val="0021698A"/>
    <w:rsid w:val="002175BB"/>
    <w:rsid w:val="00222114"/>
    <w:rsid w:val="0022652A"/>
    <w:rsid w:val="00233644"/>
    <w:rsid w:val="00234469"/>
    <w:rsid w:val="002367D5"/>
    <w:rsid w:val="002406C0"/>
    <w:rsid w:val="0024081F"/>
    <w:rsid w:val="0024652E"/>
    <w:rsid w:val="002512A9"/>
    <w:rsid w:val="00255538"/>
    <w:rsid w:val="0025786E"/>
    <w:rsid w:val="002601B0"/>
    <w:rsid w:val="00264C09"/>
    <w:rsid w:val="00265801"/>
    <w:rsid w:val="00266471"/>
    <w:rsid w:val="002708A8"/>
    <w:rsid w:val="00273B26"/>
    <w:rsid w:val="00273CA9"/>
    <w:rsid w:val="00283E95"/>
    <w:rsid w:val="00284B45"/>
    <w:rsid w:val="0028572A"/>
    <w:rsid w:val="00291539"/>
    <w:rsid w:val="002947E7"/>
    <w:rsid w:val="002A00D9"/>
    <w:rsid w:val="002A32BA"/>
    <w:rsid w:val="002A3C13"/>
    <w:rsid w:val="002A4FC4"/>
    <w:rsid w:val="002B1ABD"/>
    <w:rsid w:val="002C0B2E"/>
    <w:rsid w:val="002C5159"/>
    <w:rsid w:val="002C5F42"/>
    <w:rsid w:val="002D377A"/>
    <w:rsid w:val="002E381F"/>
    <w:rsid w:val="002E7289"/>
    <w:rsid w:val="002E7370"/>
    <w:rsid w:val="002F07B4"/>
    <w:rsid w:val="002F1EF2"/>
    <w:rsid w:val="00306A84"/>
    <w:rsid w:val="00316DA4"/>
    <w:rsid w:val="00321E06"/>
    <w:rsid w:val="003252D8"/>
    <w:rsid w:val="003258AC"/>
    <w:rsid w:val="00327DAA"/>
    <w:rsid w:val="003319B1"/>
    <w:rsid w:val="003358C4"/>
    <w:rsid w:val="003418E8"/>
    <w:rsid w:val="003456B9"/>
    <w:rsid w:val="00350D60"/>
    <w:rsid w:val="00352B2D"/>
    <w:rsid w:val="00354102"/>
    <w:rsid w:val="00360344"/>
    <w:rsid w:val="00363749"/>
    <w:rsid w:val="00364330"/>
    <w:rsid w:val="00377542"/>
    <w:rsid w:val="00382A76"/>
    <w:rsid w:val="003839AC"/>
    <w:rsid w:val="00383EF5"/>
    <w:rsid w:val="003932FA"/>
    <w:rsid w:val="00393508"/>
    <w:rsid w:val="00396E9D"/>
    <w:rsid w:val="003A0F3E"/>
    <w:rsid w:val="003A4486"/>
    <w:rsid w:val="003A50CA"/>
    <w:rsid w:val="003A51B6"/>
    <w:rsid w:val="003A7D70"/>
    <w:rsid w:val="003B5910"/>
    <w:rsid w:val="003B6647"/>
    <w:rsid w:val="003B67E3"/>
    <w:rsid w:val="003C53CB"/>
    <w:rsid w:val="003C70BD"/>
    <w:rsid w:val="003D6564"/>
    <w:rsid w:val="003D69F3"/>
    <w:rsid w:val="003E3253"/>
    <w:rsid w:val="003E459C"/>
    <w:rsid w:val="003E4BE4"/>
    <w:rsid w:val="003E53D7"/>
    <w:rsid w:val="003E6197"/>
    <w:rsid w:val="003F1D5A"/>
    <w:rsid w:val="003F44F2"/>
    <w:rsid w:val="00400EEF"/>
    <w:rsid w:val="00415E38"/>
    <w:rsid w:val="00416375"/>
    <w:rsid w:val="00433CBE"/>
    <w:rsid w:val="00436EA0"/>
    <w:rsid w:val="00444EE8"/>
    <w:rsid w:val="00447AF5"/>
    <w:rsid w:val="004509CA"/>
    <w:rsid w:val="00452133"/>
    <w:rsid w:val="004600C8"/>
    <w:rsid w:val="00462470"/>
    <w:rsid w:val="00462CC6"/>
    <w:rsid w:val="0046726F"/>
    <w:rsid w:val="0046797E"/>
    <w:rsid w:val="0048504E"/>
    <w:rsid w:val="00487BD9"/>
    <w:rsid w:val="00491DC1"/>
    <w:rsid w:val="004923A5"/>
    <w:rsid w:val="00494B21"/>
    <w:rsid w:val="00495F6D"/>
    <w:rsid w:val="004B3556"/>
    <w:rsid w:val="004C425F"/>
    <w:rsid w:val="004C43D8"/>
    <w:rsid w:val="004D0B8D"/>
    <w:rsid w:val="004D3C29"/>
    <w:rsid w:val="004E07EA"/>
    <w:rsid w:val="004E34FB"/>
    <w:rsid w:val="004E4B3B"/>
    <w:rsid w:val="004E663B"/>
    <w:rsid w:val="004F26A8"/>
    <w:rsid w:val="004F26FD"/>
    <w:rsid w:val="004F46FF"/>
    <w:rsid w:val="005112BB"/>
    <w:rsid w:val="00515E1A"/>
    <w:rsid w:val="00516CDD"/>
    <w:rsid w:val="005175C3"/>
    <w:rsid w:val="005205A1"/>
    <w:rsid w:val="00520823"/>
    <w:rsid w:val="00521FB0"/>
    <w:rsid w:val="00533ADA"/>
    <w:rsid w:val="005401F3"/>
    <w:rsid w:val="005408BD"/>
    <w:rsid w:val="00542C37"/>
    <w:rsid w:val="00551732"/>
    <w:rsid w:val="0057258C"/>
    <w:rsid w:val="00572668"/>
    <w:rsid w:val="00577422"/>
    <w:rsid w:val="00577C0F"/>
    <w:rsid w:val="00581B9F"/>
    <w:rsid w:val="00583264"/>
    <w:rsid w:val="005A0575"/>
    <w:rsid w:val="005A6218"/>
    <w:rsid w:val="005A6BD5"/>
    <w:rsid w:val="005A6C7D"/>
    <w:rsid w:val="005A7939"/>
    <w:rsid w:val="005C1A90"/>
    <w:rsid w:val="005C4CC5"/>
    <w:rsid w:val="005C771D"/>
    <w:rsid w:val="005D6CC4"/>
    <w:rsid w:val="005E43FF"/>
    <w:rsid w:val="005E58C3"/>
    <w:rsid w:val="005F316B"/>
    <w:rsid w:val="005F5914"/>
    <w:rsid w:val="006029FA"/>
    <w:rsid w:val="00611447"/>
    <w:rsid w:val="006127F2"/>
    <w:rsid w:val="00614552"/>
    <w:rsid w:val="00616310"/>
    <w:rsid w:val="00627F0B"/>
    <w:rsid w:val="0063207D"/>
    <w:rsid w:val="00635466"/>
    <w:rsid w:val="00643CF9"/>
    <w:rsid w:val="0064733D"/>
    <w:rsid w:val="00650B99"/>
    <w:rsid w:val="00657B29"/>
    <w:rsid w:val="00663808"/>
    <w:rsid w:val="00663AE7"/>
    <w:rsid w:val="00670E9B"/>
    <w:rsid w:val="0067273C"/>
    <w:rsid w:val="00675D3A"/>
    <w:rsid w:val="00680911"/>
    <w:rsid w:val="00680CE6"/>
    <w:rsid w:val="00686D7C"/>
    <w:rsid w:val="00690D63"/>
    <w:rsid w:val="00691FEB"/>
    <w:rsid w:val="006A25A5"/>
    <w:rsid w:val="006A3E43"/>
    <w:rsid w:val="006A422C"/>
    <w:rsid w:val="006B11B8"/>
    <w:rsid w:val="006B20E0"/>
    <w:rsid w:val="006B482F"/>
    <w:rsid w:val="006C2500"/>
    <w:rsid w:val="006C338D"/>
    <w:rsid w:val="006C464D"/>
    <w:rsid w:val="006C655B"/>
    <w:rsid w:val="006C6580"/>
    <w:rsid w:val="006D4E17"/>
    <w:rsid w:val="006F2C40"/>
    <w:rsid w:val="00707865"/>
    <w:rsid w:val="007269BC"/>
    <w:rsid w:val="00727897"/>
    <w:rsid w:val="00731408"/>
    <w:rsid w:val="00740309"/>
    <w:rsid w:val="00740EFC"/>
    <w:rsid w:val="00743437"/>
    <w:rsid w:val="00744CE5"/>
    <w:rsid w:val="00747427"/>
    <w:rsid w:val="00753F59"/>
    <w:rsid w:val="00757AE5"/>
    <w:rsid w:val="0076535A"/>
    <w:rsid w:val="0076716B"/>
    <w:rsid w:val="007746DA"/>
    <w:rsid w:val="00781AF5"/>
    <w:rsid w:val="007849E8"/>
    <w:rsid w:val="00785712"/>
    <w:rsid w:val="00787599"/>
    <w:rsid w:val="007877B0"/>
    <w:rsid w:val="00790E51"/>
    <w:rsid w:val="00792E7E"/>
    <w:rsid w:val="00797852"/>
    <w:rsid w:val="007A01F7"/>
    <w:rsid w:val="007A564B"/>
    <w:rsid w:val="007A5C49"/>
    <w:rsid w:val="007B02E1"/>
    <w:rsid w:val="007B0C61"/>
    <w:rsid w:val="007B4D7A"/>
    <w:rsid w:val="007B7AAA"/>
    <w:rsid w:val="007C582D"/>
    <w:rsid w:val="007D476F"/>
    <w:rsid w:val="007D579F"/>
    <w:rsid w:val="007D71C4"/>
    <w:rsid w:val="007D765B"/>
    <w:rsid w:val="007E7975"/>
    <w:rsid w:val="0080451E"/>
    <w:rsid w:val="0080725E"/>
    <w:rsid w:val="00811FDA"/>
    <w:rsid w:val="008128EB"/>
    <w:rsid w:val="00812CE3"/>
    <w:rsid w:val="00814B66"/>
    <w:rsid w:val="00827B5C"/>
    <w:rsid w:val="00827F4E"/>
    <w:rsid w:val="00837B17"/>
    <w:rsid w:val="00841026"/>
    <w:rsid w:val="00842EB9"/>
    <w:rsid w:val="00843F8C"/>
    <w:rsid w:val="008445BF"/>
    <w:rsid w:val="00850DC4"/>
    <w:rsid w:val="00854838"/>
    <w:rsid w:val="00854CC2"/>
    <w:rsid w:val="0087043C"/>
    <w:rsid w:val="008713BC"/>
    <w:rsid w:val="008808C3"/>
    <w:rsid w:val="00882F72"/>
    <w:rsid w:val="0088308A"/>
    <w:rsid w:val="008835C1"/>
    <w:rsid w:val="00884D13"/>
    <w:rsid w:val="00896943"/>
    <w:rsid w:val="008A258F"/>
    <w:rsid w:val="008A64BD"/>
    <w:rsid w:val="008B2D70"/>
    <w:rsid w:val="008B6CCA"/>
    <w:rsid w:val="008C324A"/>
    <w:rsid w:val="008C419E"/>
    <w:rsid w:val="008D2C6E"/>
    <w:rsid w:val="008D34B5"/>
    <w:rsid w:val="008D7712"/>
    <w:rsid w:val="008F07A2"/>
    <w:rsid w:val="008F1BE0"/>
    <w:rsid w:val="008F4113"/>
    <w:rsid w:val="009034A1"/>
    <w:rsid w:val="00905757"/>
    <w:rsid w:val="00910317"/>
    <w:rsid w:val="00910896"/>
    <w:rsid w:val="0091504F"/>
    <w:rsid w:val="0092152D"/>
    <w:rsid w:val="00921E85"/>
    <w:rsid w:val="00925632"/>
    <w:rsid w:val="00927C20"/>
    <w:rsid w:val="009349A9"/>
    <w:rsid w:val="009349F0"/>
    <w:rsid w:val="00936D8C"/>
    <w:rsid w:val="009412F5"/>
    <w:rsid w:val="00950302"/>
    <w:rsid w:val="00951D29"/>
    <w:rsid w:val="0095328F"/>
    <w:rsid w:val="009547C9"/>
    <w:rsid w:val="0095548A"/>
    <w:rsid w:val="00960D2A"/>
    <w:rsid w:val="00961A7D"/>
    <w:rsid w:val="009621C1"/>
    <w:rsid w:val="00964DA6"/>
    <w:rsid w:val="009700E6"/>
    <w:rsid w:val="00984DB2"/>
    <w:rsid w:val="009924B5"/>
    <w:rsid w:val="00992E2C"/>
    <w:rsid w:val="009959AF"/>
    <w:rsid w:val="00995CCE"/>
    <w:rsid w:val="009A3182"/>
    <w:rsid w:val="009A3BBF"/>
    <w:rsid w:val="009A4047"/>
    <w:rsid w:val="009A58BD"/>
    <w:rsid w:val="009B2E17"/>
    <w:rsid w:val="009B6938"/>
    <w:rsid w:val="009D341D"/>
    <w:rsid w:val="009D7162"/>
    <w:rsid w:val="009E46A1"/>
    <w:rsid w:val="009F3D53"/>
    <w:rsid w:val="009F4EF1"/>
    <w:rsid w:val="009F68FD"/>
    <w:rsid w:val="00A06AD5"/>
    <w:rsid w:val="00A13D49"/>
    <w:rsid w:val="00A24609"/>
    <w:rsid w:val="00A26DC1"/>
    <w:rsid w:val="00A37F6A"/>
    <w:rsid w:val="00A44F5A"/>
    <w:rsid w:val="00A45D1C"/>
    <w:rsid w:val="00A55F75"/>
    <w:rsid w:val="00A6349B"/>
    <w:rsid w:val="00A65C66"/>
    <w:rsid w:val="00A66010"/>
    <w:rsid w:val="00A670E6"/>
    <w:rsid w:val="00A7039E"/>
    <w:rsid w:val="00A70A9A"/>
    <w:rsid w:val="00A72C3B"/>
    <w:rsid w:val="00A8041B"/>
    <w:rsid w:val="00A82295"/>
    <w:rsid w:val="00A8233B"/>
    <w:rsid w:val="00A84DF0"/>
    <w:rsid w:val="00A84EC4"/>
    <w:rsid w:val="00A91685"/>
    <w:rsid w:val="00A940B3"/>
    <w:rsid w:val="00A97318"/>
    <w:rsid w:val="00AA11D9"/>
    <w:rsid w:val="00AB172C"/>
    <w:rsid w:val="00AB3B0F"/>
    <w:rsid w:val="00AC158A"/>
    <w:rsid w:val="00AC40FA"/>
    <w:rsid w:val="00AD5D63"/>
    <w:rsid w:val="00AE7E97"/>
    <w:rsid w:val="00AF0B96"/>
    <w:rsid w:val="00AF205F"/>
    <w:rsid w:val="00AF43CA"/>
    <w:rsid w:val="00AF63C7"/>
    <w:rsid w:val="00AF77F9"/>
    <w:rsid w:val="00B02831"/>
    <w:rsid w:val="00B1549F"/>
    <w:rsid w:val="00B22520"/>
    <w:rsid w:val="00B424C7"/>
    <w:rsid w:val="00B45282"/>
    <w:rsid w:val="00B45DCD"/>
    <w:rsid w:val="00B556DA"/>
    <w:rsid w:val="00B65DC1"/>
    <w:rsid w:val="00B66320"/>
    <w:rsid w:val="00B67539"/>
    <w:rsid w:val="00B67966"/>
    <w:rsid w:val="00B70147"/>
    <w:rsid w:val="00B718B3"/>
    <w:rsid w:val="00B85E24"/>
    <w:rsid w:val="00B902EF"/>
    <w:rsid w:val="00B9147C"/>
    <w:rsid w:val="00BA152F"/>
    <w:rsid w:val="00BA491D"/>
    <w:rsid w:val="00BA6CFE"/>
    <w:rsid w:val="00BA718B"/>
    <w:rsid w:val="00BB310B"/>
    <w:rsid w:val="00BC00ED"/>
    <w:rsid w:val="00BC200E"/>
    <w:rsid w:val="00BC6E35"/>
    <w:rsid w:val="00BD0691"/>
    <w:rsid w:val="00BF3E25"/>
    <w:rsid w:val="00C03D08"/>
    <w:rsid w:val="00C06574"/>
    <w:rsid w:val="00C12021"/>
    <w:rsid w:val="00C125D6"/>
    <w:rsid w:val="00C15177"/>
    <w:rsid w:val="00C161E9"/>
    <w:rsid w:val="00C301AB"/>
    <w:rsid w:val="00C30FB2"/>
    <w:rsid w:val="00C4012B"/>
    <w:rsid w:val="00C40A69"/>
    <w:rsid w:val="00C42270"/>
    <w:rsid w:val="00C44279"/>
    <w:rsid w:val="00C53535"/>
    <w:rsid w:val="00C62739"/>
    <w:rsid w:val="00C631A4"/>
    <w:rsid w:val="00C80E1A"/>
    <w:rsid w:val="00C8533E"/>
    <w:rsid w:val="00C91A91"/>
    <w:rsid w:val="00C94331"/>
    <w:rsid w:val="00C95650"/>
    <w:rsid w:val="00C95DDE"/>
    <w:rsid w:val="00C97A2D"/>
    <w:rsid w:val="00CA2FC4"/>
    <w:rsid w:val="00CA3855"/>
    <w:rsid w:val="00CA411F"/>
    <w:rsid w:val="00CA7D17"/>
    <w:rsid w:val="00CB13C2"/>
    <w:rsid w:val="00CB2154"/>
    <w:rsid w:val="00CB720B"/>
    <w:rsid w:val="00CD2E7B"/>
    <w:rsid w:val="00CD572B"/>
    <w:rsid w:val="00CD6F57"/>
    <w:rsid w:val="00CE06E7"/>
    <w:rsid w:val="00CE5B6B"/>
    <w:rsid w:val="00CF63AC"/>
    <w:rsid w:val="00CF7E48"/>
    <w:rsid w:val="00D112B5"/>
    <w:rsid w:val="00D13581"/>
    <w:rsid w:val="00D16F6F"/>
    <w:rsid w:val="00D2629E"/>
    <w:rsid w:val="00D32616"/>
    <w:rsid w:val="00D34211"/>
    <w:rsid w:val="00D36A69"/>
    <w:rsid w:val="00D40313"/>
    <w:rsid w:val="00D41C30"/>
    <w:rsid w:val="00D41EC9"/>
    <w:rsid w:val="00D472E3"/>
    <w:rsid w:val="00D4762B"/>
    <w:rsid w:val="00D6032D"/>
    <w:rsid w:val="00D6737F"/>
    <w:rsid w:val="00D7168B"/>
    <w:rsid w:val="00D77B4E"/>
    <w:rsid w:val="00D77C4A"/>
    <w:rsid w:val="00D81D6B"/>
    <w:rsid w:val="00D840E3"/>
    <w:rsid w:val="00D85BE9"/>
    <w:rsid w:val="00D86563"/>
    <w:rsid w:val="00D90A11"/>
    <w:rsid w:val="00D92EBA"/>
    <w:rsid w:val="00D93489"/>
    <w:rsid w:val="00D94381"/>
    <w:rsid w:val="00D96B72"/>
    <w:rsid w:val="00D972CC"/>
    <w:rsid w:val="00DA1C93"/>
    <w:rsid w:val="00DB02E4"/>
    <w:rsid w:val="00DB0D66"/>
    <w:rsid w:val="00DB461E"/>
    <w:rsid w:val="00DC111D"/>
    <w:rsid w:val="00DC2E17"/>
    <w:rsid w:val="00DC2EE1"/>
    <w:rsid w:val="00DC340B"/>
    <w:rsid w:val="00E00052"/>
    <w:rsid w:val="00E022B8"/>
    <w:rsid w:val="00E02AB5"/>
    <w:rsid w:val="00E02BC1"/>
    <w:rsid w:val="00E03835"/>
    <w:rsid w:val="00E05FE2"/>
    <w:rsid w:val="00E10BDB"/>
    <w:rsid w:val="00E246EE"/>
    <w:rsid w:val="00E24B95"/>
    <w:rsid w:val="00E25E62"/>
    <w:rsid w:val="00E36240"/>
    <w:rsid w:val="00E36E28"/>
    <w:rsid w:val="00E41114"/>
    <w:rsid w:val="00E4117D"/>
    <w:rsid w:val="00E45A36"/>
    <w:rsid w:val="00E46D58"/>
    <w:rsid w:val="00E549C6"/>
    <w:rsid w:val="00E649B8"/>
    <w:rsid w:val="00E70835"/>
    <w:rsid w:val="00E87744"/>
    <w:rsid w:val="00E93277"/>
    <w:rsid w:val="00EB4884"/>
    <w:rsid w:val="00EC0B77"/>
    <w:rsid w:val="00EC1D45"/>
    <w:rsid w:val="00EC35E0"/>
    <w:rsid w:val="00EC67C8"/>
    <w:rsid w:val="00ED59C4"/>
    <w:rsid w:val="00EE135D"/>
    <w:rsid w:val="00F00159"/>
    <w:rsid w:val="00F01AB7"/>
    <w:rsid w:val="00F0269E"/>
    <w:rsid w:val="00F06047"/>
    <w:rsid w:val="00F0629B"/>
    <w:rsid w:val="00F0724D"/>
    <w:rsid w:val="00F13D8E"/>
    <w:rsid w:val="00F3139D"/>
    <w:rsid w:val="00F3447C"/>
    <w:rsid w:val="00F34737"/>
    <w:rsid w:val="00F4318D"/>
    <w:rsid w:val="00F57799"/>
    <w:rsid w:val="00F6106C"/>
    <w:rsid w:val="00F638AF"/>
    <w:rsid w:val="00F6589F"/>
    <w:rsid w:val="00F72ED5"/>
    <w:rsid w:val="00F747C0"/>
    <w:rsid w:val="00F84E5D"/>
    <w:rsid w:val="00F85AB4"/>
    <w:rsid w:val="00F92F3A"/>
    <w:rsid w:val="00F93D1B"/>
    <w:rsid w:val="00F96D4E"/>
    <w:rsid w:val="00FA4DC4"/>
    <w:rsid w:val="00FA7F01"/>
    <w:rsid w:val="00FB47DE"/>
    <w:rsid w:val="00FC09D9"/>
    <w:rsid w:val="00FC1B40"/>
    <w:rsid w:val="00FC5411"/>
    <w:rsid w:val="00FE5DB8"/>
    <w:rsid w:val="00FF0F39"/>
    <w:rsid w:val="00FF1896"/>
    <w:rsid w:val="00FF1D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A8739C6"/>
  <w15:chartTrackingRefBased/>
  <w15:docId w15:val="{3DACB23F-3FA6-479F-ADDB-75DBE6ABA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pPr>
    <w:rPr>
      <w:sz w:val="24"/>
    </w:rPr>
  </w:style>
  <w:style w:type="paragraph" w:styleId="Heading2">
    <w:name w:val="heading 2"/>
    <w:basedOn w:val="Normal"/>
    <w:next w:val="Normal"/>
    <w:qFormat/>
    <w:pPr>
      <w:keepNext/>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1"/>
    </w:pPr>
    <w:rPr>
      <w:rFonts w:ascii="Arial" w:hAnsi="Arial" w:cs="Arial"/>
      <w:sz w:val="24"/>
      <w:u w:val="single"/>
    </w:rPr>
  </w:style>
  <w:style w:type="paragraph" w:styleId="Heading3">
    <w:name w:val="heading 3"/>
    <w:basedOn w:val="Normal"/>
    <w:next w:val="Normal"/>
    <w:qFormat/>
    <w:pPr>
      <w:keepNext/>
      <w:jc w:val="center"/>
      <w:outlineLvl w:val="2"/>
    </w:pPr>
    <w:rPr>
      <w:rFonts w:ascii="Arial" w:hAnsi="Arial" w:cs="Arial"/>
      <w:sz w:val="24"/>
    </w:rPr>
  </w:style>
  <w:style w:type="paragraph" w:styleId="Heading4">
    <w:name w:val="heading 4"/>
    <w:basedOn w:val="Normal"/>
    <w:next w:val="Normal"/>
    <w:qFormat/>
    <w:pPr>
      <w:keepNext/>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3"/>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Pr>
      <w:iCs/>
      <w:sz w:val="24"/>
    </w:rPr>
  </w:style>
  <w:style w:type="character" w:styleId="Hyperlink">
    <w:name w:val="Hyperlink"/>
    <w:rsid w:val="005C771D"/>
    <w:rPr>
      <w:color w:val="0000FF"/>
      <w:u w:val="single"/>
    </w:rPr>
  </w:style>
  <w:style w:type="paragraph" w:styleId="BalloonText">
    <w:name w:val="Balloon Text"/>
    <w:basedOn w:val="Normal"/>
    <w:semiHidden/>
    <w:rsid w:val="0076535A"/>
    <w:rPr>
      <w:rFonts w:ascii="Tahoma" w:hAnsi="Tahoma" w:cs="Tahoma"/>
      <w:sz w:val="16"/>
      <w:szCs w:val="16"/>
    </w:rPr>
  </w:style>
  <w:style w:type="character" w:styleId="CommentReference">
    <w:name w:val="annotation reference"/>
    <w:semiHidden/>
    <w:rsid w:val="003C70BD"/>
    <w:rPr>
      <w:sz w:val="16"/>
      <w:szCs w:val="16"/>
    </w:rPr>
  </w:style>
  <w:style w:type="paragraph" w:styleId="CommentText">
    <w:name w:val="annotation text"/>
    <w:basedOn w:val="Normal"/>
    <w:link w:val="CommentTextChar"/>
    <w:semiHidden/>
    <w:rsid w:val="003C70BD"/>
  </w:style>
  <w:style w:type="character" w:styleId="FollowedHyperlink">
    <w:name w:val="FollowedHyperlink"/>
    <w:rsid w:val="00AD5D63"/>
    <w:rPr>
      <w:color w:val="800080"/>
      <w:u w:val="single"/>
    </w:rPr>
  </w:style>
  <w:style w:type="paragraph" w:styleId="CommentSubject">
    <w:name w:val="annotation subject"/>
    <w:basedOn w:val="CommentText"/>
    <w:next w:val="CommentText"/>
    <w:semiHidden/>
    <w:rsid w:val="009E46A1"/>
    <w:rPr>
      <w:b/>
      <w:bCs/>
    </w:rPr>
  </w:style>
  <w:style w:type="paragraph" w:styleId="Revision">
    <w:name w:val="Revision"/>
    <w:hidden/>
    <w:uiPriority w:val="99"/>
    <w:semiHidden/>
    <w:rsid w:val="005A6218"/>
  </w:style>
  <w:style w:type="paragraph" w:styleId="Header">
    <w:name w:val="header"/>
    <w:basedOn w:val="Normal"/>
    <w:link w:val="HeaderChar"/>
    <w:rsid w:val="000424C3"/>
    <w:pPr>
      <w:tabs>
        <w:tab w:val="center" w:pos="4680"/>
        <w:tab w:val="right" w:pos="9360"/>
      </w:tabs>
    </w:pPr>
  </w:style>
  <w:style w:type="character" w:customStyle="1" w:styleId="HeaderChar">
    <w:name w:val="Header Char"/>
    <w:basedOn w:val="DefaultParagraphFont"/>
    <w:link w:val="Header"/>
    <w:rsid w:val="000424C3"/>
  </w:style>
  <w:style w:type="paragraph" w:styleId="Footer">
    <w:name w:val="footer"/>
    <w:basedOn w:val="Normal"/>
    <w:link w:val="FooterChar"/>
    <w:uiPriority w:val="99"/>
    <w:rsid w:val="000424C3"/>
    <w:pPr>
      <w:tabs>
        <w:tab w:val="center" w:pos="4680"/>
        <w:tab w:val="right" w:pos="9360"/>
      </w:tabs>
    </w:pPr>
  </w:style>
  <w:style w:type="character" w:customStyle="1" w:styleId="FooterChar">
    <w:name w:val="Footer Char"/>
    <w:basedOn w:val="DefaultParagraphFont"/>
    <w:link w:val="Footer"/>
    <w:uiPriority w:val="99"/>
    <w:rsid w:val="000424C3"/>
  </w:style>
  <w:style w:type="table" w:styleId="TableGrid">
    <w:name w:val="Table Grid"/>
    <w:basedOn w:val="TableNormal"/>
    <w:rsid w:val="00BA6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A6CFE"/>
  </w:style>
  <w:style w:type="paragraph" w:styleId="BodyText2">
    <w:name w:val="Body Text 2"/>
    <w:basedOn w:val="Normal"/>
    <w:link w:val="BodyText2Char"/>
    <w:rsid w:val="003456B9"/>
    <w:pPr>
      <w:spacing w:after="120" w:line="480" w:lineRule="auto"/>
    </w:pPr>
  </w:style>
  <w:style w:type="character" w:customStyle="1" w:styleId="BodyText2Char">
    <w:name w:val="Body Text 2 Char"/>
    <w:basedOn w:val="DefaultParagraphFont"/>
    <w:link w:val="BodyText2"/>
    <w:rsid w:val="003456B9"/>
  </w:style>
  <w:style w:type="character" w:customStyle="1" w:styleId="CommentTextChar">
    <w:name w:val="Comment Text Char"/>
    <w:link w:val="CommentText"/>
    <w:semiHidden/>
    <w:rsid w:val="008C419E"/>
  </w:style>
  <w:style w:type="character" w:styleId="UnresolvedMention">
    <w:name w:val="Unresolved Mention"/>
    <w:basedOn w:val="DefaultParagraphFont"/>
    <w:uiPriority w:val="99"/>
    <w:unhideWhenUsed/>
    <w:rsid w:val="009547C9"/>
    <w:rPr>
      <w:color w:val="605E5C"/>
      <w:shd w:val="clear" w:color="auto" w:fill="E1DFDD"/>
    </w:rPr>
  </w:style>
  <w:style w:type="character" w:styleId="Mention">
    <w:name w:val="Mention"/>
    <w:basedOn w:val="DefaultParagraphFont"/>
    <w:uiPriority w:val="99"/>
    <w:unhideWhenUsed/>
    <w:rsid w:val="009547C9"/>
    <w:rPr>
      <w:color w:val="2B579A"/>
      <w:shd w:val="clear" w:color="auto" w:fill="E1DFDD"/>
    </w:rPr>
  </w:style>
  <w:style w:type="character" w:customStyle="1" w:styleId="ui-provider">
    <w:name w:val="ui-provider"/>
    <w:basedOn w:val="DefaultParagraphFont"/>
    <w:rsid w:val="00B85E24"/>
  </w:style>
  <w:style w:type="paragraph" w:styleId="FootnoteText">
    <w:name w:val="footnote text"/>
    <w:basedOn w:val="Normal"/>
    <w:link w:val="FootnoteTextChar"/>
    <w:rsid w:val="00213927"/>
  </w:style>
  <w:style w:type="character" w:customStyle="1" w:styleId="FootnoteTextChar">
    <w:name w:val="Footnote Text Char"/>
    <w:basedOn w:val="DefaultParagraphFont"/>
    <w:link w:val="FootnoteText"/>
    <w:rsid w:val="00213927"/>
  </w:style>
  <w:style w:type="character" w:styleId="FootnoteReference">
    <w:name w:val="footnote reference"/>
    <w:basedOn w:val="DefaultParagraphFont"/>
    <w:rsid w:val="00213927"/>
    <w:rPr>
      <w:vertAlign w:val="superscript"/>
    </w:rPr>
  </w:style>
  <w:style w:type="paragraph" w:styleId="ListParagraph">
    <w:name w:val="List Paragraph"/>
    <w:basedOn w:val="Normal"/>
    <w:uiPriority w:val="34"/>
    <w:qFormat/>
    <w:rsid w:val="002555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govinfo.gov/link/uscode/21/379j-31" TargetMode="External" /><Relationship Id="rId11" Type="http://schemas.openxmlformats.org/officeDocument/2006/relationships/hyperlink" Target="https://www.fda.gov/regulatory-information/search-fda-guidance-documents/guidance-industry-fdas-voluntary-qualified-importer-program" TargetMode="External" /><Relationship Id="rId12" Type="http://schemas.openxmlformats.org/officeDocument/2006/relationships/hyperlink" Target="https://www.ecfr.gov/current/title-21/section-10.115" TargetMode="External" /><Relationship Id="rId13" Type="http://schemas.openxmlformats.org/officeDocument/2006/relationships/hyperlink" Target="https://www.govinfo.gov/link/uscode/21/384b" TargetMode="External" /><Relationship Id="rId14" Type="http://schemas.openxmlformats.org/officeDocument/2006/relationships/hyperlink" Target="http://www.access.fda.gov" TargetMode="External" /><Relationship Id="rId15" Type="http://schemas.openxmlformats.org/officeDocument/2006/relationships/hyperlink" Target="https://www.fda.gov/media/113346/download" TargetMode="External" /><Relationship Id="rId16" Type="http://schemas.openxmlformats.org/officeDocument/2006/relationships/hyperlink" Target="https://www.fda.gov/industry/fda-user-fee-programs/voluntary-qualified-importer-program-user-fees" TargetMode="External" /><Relationship Id="rId17" Type="http://schemas.openxmlformats.org/officeDocument/2006/relationships/hyperlink" Target="http://www.fda.gov/oc/industry/" TargetMode="External" /><Relationship Id="rId18" Type="http://schemas.openxmlformats.org/officeDocument/2006/relationships/hyperlink" Target="https://www.fda.gov/food/importing-food-products-united-states/voluntary-qualified-importer-program-vqip-public-list-approved-vqip-importers" TargetMode="External" /><Relationship Id="rId19" Type="http://schemas.openxmlformats.org/officeDocument/2006/relationships/footer" Target="footer1.xml" /><Relationship Id="rId2" Type="http://schemas.openxmlformats.org/officeDocument/2006/relationships/settings" Target="settings.xml" /><Relationship Id="rId20" Type="http://schemas.openxmlformats.org/officeDocument/2006/relationships/footer" Target="footer2.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access.fda.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23Tables/html/DCB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6A08FBD5310342BF958ADCB470BE9A" ma:contentTypeVersion="10" ma:contentTypeDescription="Create a new document." ma:contentTypeScope="" ma:versionID="2d8172902937bd671e1f175e0a7072dc">
  <xsd:schema xmlns:xsd="http://www.w3.org/2001/XMLSchema" xmlns:xs="http://www.w3.org/2001/XMLSchema" xmlns:p="http://schemas.microsoft.com/office/2006/metadata/properties" xmlns:ns3="978cbee1-b604-4d95-9f89-3d25ff6383a8" targetNamespace="http://schemas.microsoft.com/office/2006/metadata/properties" ma:root="true" ma:fieldsID="2198e51545d67ad5d0324c0da15ff561" ns3:_="">
    <xsd:import namespace="978cbee1-b604-4d95-9f89-3d25ff6383a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cbee1-b604-4d95-9f89-3d25ff638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C9E19-FDF4-442B-AD5D-713D11A01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cbee1-b604-4d95-9f89-3d25ff638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431F52-9A08-4184-AFA6-8DECA54D4CC2}">
  <ds:schemaRefs>
    <ds:schemaRef ds:uri="http://schemas.microsoft.com/sharepoint/v3/contenttype/forms"/>
  </ds:schemaRefs>
</ds:datastoreItem>
</file>

<file path=customXml/itemProps3.xml><?xml version="1.0" encoding="utf-8"?>
<ds:datastoreItem xmlns:ds="http://schemas.openxmlformats.org/officeDocument/2006/customXml" ds:itemID="{AD85E755-7229-4D38-8362-EEC2572DBD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B25F76-B054-4228-9DCD-BCB1DDA01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1812</Words>
  <Characters>11713</Characters>
  <Application>Microsoft Office Word</Application>
  <DocSecurity>0</DocSecurity>
  <Lines>97</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Showalter, Rachel</dc:creator>
  <cp:lastModifiedBy>Showalter, Rachel</cp:lastModifiedBy>
  <cp:revision>9</cp:revision>
  <dcterms:created xsi:type="dcterms:W3CDTF">2023-07-27T19:19:00Z</dcterms:created>
  <dcterms:modified xsi:type="dcterms:W3CDTF">2023-08-11T18:57:00Z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0x010100076A08FBD5310342BF958ADCB470BE9A</vt:lpwstr>
  </property>
</Properties>
</file>