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94627D" w:rsidP="00A53D7E" w14:paraId="1C66AA27" w14:textId="77777777">
      <w:pPr>
        <w:jc w:val="center"/>
        <w:rPr>
          <w:rFonts w:eastAsia="Calibri"/>
          <w:color w:val="000000"/>
        </w:rPr>
      </w:pPr>
      <w:r w:rsidRPr="0094627D">
        <w:rPr>
          <w:rFonts w:eastAsia="Calibri"/>
          <w:color w:val="000000"/>
        </w:rPr>
        <w:t>United States Food and Drug Administration</w:t>
      </w:r>
    </w:p>
    <w:p w:rsidR="00357C8A" w:rsidRPr="0094627D" w:rsidP="00357C8A" w14:paraId="299A4E79" w14:textId="77777777">
      <w:pPr>
        <w:jc w:val="center"/>
        <w:rPr>
          <w:rFonts w:eastAsia="Calibri"/>
          <w:color w:val="000000"/>
        </w:rPr>
      </w:pPr>
    </w:p>
    <w:p w:rsidR="00357C8A" w:rsidRPr="0094627D" w:rsidP="00357C8A" w14:paraId="1FC13A32" w14:textId="77777777">
      <w:pPr>
        <w:jc w:val="center"/>
        <w:rPr>
          <w:rFonts w:eastAsia="Calibri"/>
          <w:color w:val="000000"/>
        </w:rPr>
      </w:pPr>
      <w:r w:rsidRPr="0094627D">
        <w:rPr>
          <w:rFonts w:eastAsia="Calibri"/>
          <w:color w:val="000000"/>
        </w:rPr>
        <w:t>National Agriculture and Food Defense Strategy Survey</w:t>
      </w:r>
    </w:p>
    <w:p w:rsidR="00CA1AD3" w:rsidRPr="0094627D" w:rsidP="00357C8A" w14:paraId="52E25985" w14:textId="77777777">
      <w:pPr>
        <w:jc w:val="center"/>
        <w:rPr>
          <w:rFonts w:eastAsia="Calibri"/>
          <w:color w:val="000000"/>
        </w:rPr>
      </w:pPr>
    </w:p>
    <w:p w:rsidR="00357C8A" w:rsidRPr="0094627D" w:rsidP="00357C8A" w14:paraId="5091167C" w14:textId="77777777">
      <w:pPr>
        <w:jc w:val="center"/>
        <w:rPr>
          <w:rFonts w:eastAsia="Calibri"/>
          <w:color w:val="000000"/>
        </w:rPr>
      </w:pPr>
      <w:r w:rsidRPr="0094627D">
        <w:rPr>
          <w:rFonts w:eastAsia="Calibri"/>
          <w:color w:val="000000"/>
        </w:rPr>
        <w:t>OMB Control No. 0910-</w:t>
      </w:r>
      <w:r w:rsidRPr="0094627D" w:rsidR="00594028">
        <w:rPr>
          <w:rFonts w:eastAsia="Calibri"/>
          <w:color w:val="000000"/>
        </w:rPr>
        <w:t>0855</w:t>
      </w:r>
    </w:p>
    <w:p w:rsidR="00357C8A" w:rsidRPr="0094627D" w:rsidP="00357C8A" w14:paraId="691884B6" w14:textId="77777777">
      <w:pPr>
        <w:jc w:val="center"/>
        <w:rPr>
          <w:rFonts w:eastAsia="Calibri"/>
          <w:color w:val="000000"/>
        </w:rPr>
      </w:pPr>
    </w:p>
    <w:p w:rsidR="00357C8A" w:rsidRPr="0094627D" w:rsidP="00357C8A" w14:paraId="6CA82902" w14:textId="77777777">
      <w:pPr>
        <w:jc w:val="center"/>
        <w:rPr>
          <w:rFonts w:eastAsia="Calibri"/>
          <w:color w:val="000000"/>
        </w:rPr>
      </w:pPr>
      <w:r w:rsidRPr="0094627D">
        <w:rPr>
          <w:rFonts w:eastAsia="Calibri"/>
          <w:color w:val="000000"/>
        </w:rPr>
        <w:t>SUPPORTING STATEMENT</w:t>
      </w:r>
    </w:p>
    <w:p w:rsidR="009B4DF2" w:rsidRPr="0094627D" w:rsidP="00357C8A" w14:paraId="0A3A2B57" w14:textId="77777777">
      <w:pPr>
        <w:jc w:val="center"/>
        <w:rPr>
          <w:rFonts w:eastAsia="Calibri"/>
          <w:color w:val="000000"/>
        </w:rPr>
      </w:pPr>
    </w:p>
    <w:p w:rsidR="00357C8A" w:rsidRPr="0094627D" w:rsidP="000D79CC" w14:paraId="749D5496" w14:textId="77777777">
      <w:pPr>
        <w:rPr>
          <w:rFonts w:eastAsia="Calibri"/>
          <w:color w:val="000000"/>
        </w:rPr>
      </w:pPr>
      <w:r w:rsidRPr="0094627D">
        <w:rPr>
          <w:rFonts w:eastAsia="Calibri"/>
          <w:b/>
          <w:color w:val="000000"/>
        </w:rPr>
        <w:t>Part A:  Justification</w:t>
      </w:r>
      <w:r w:rsidRPr="0094627D">
        <w:rPr>
          <w:rFonts w:eastAsia="Calibri"/>
          <w:color w:val="000000"/>
        </w:rPr>
        <w:t>:</w:t>
      </w:r>
    </w:p>
    <w:p w:rsidR="000D79CC" w:rsidRPr="0094627D" w:rsidP="000D79CC" w14:paraId="52C2F03C" w14:textId="77777777">
      <w:pPr>
        <w:rPr>
          <w:rFonts w:eastAsia="Calibri"/>
          <w:color w:val="000000"/>
        </w:rPr>
      </w:pPr>
    </w:p>
    <w:p w:rsidR="00357C8A" w:rsidRPr="0094627D" w:rsidP="006705EA" w14:paraId="1B86FD73" w14:textId="77777777">
      <w:pPr>
        <w:numPr>
          <w:ilvl w:val="0"/>
          <w:numId w:val="6"/>
        </w:numPr>
        <w:spacing w:after="200" w:line="276" w:lineRule="auto"/>
        <w:rPr>
          <w:rFonts w:eastAsia="Calibri"/>
          <w:color w:val="000000"/>
        </w:rPr>
      </w:pPr>
      <w:r w:rsidRPr="0094627D">
        <w:rPr>
          <w:rFonts w:eastAsia="Calibri"/>
          <w:color w:val="000000"/>
          <w:u w:val="single"/>
        </w:rPr>
        <w:t>Circumstances Making the Collection of Information Necessary</w:t>
      </w:r>
    </w:p>
    <w:p w:rsidR="00594028" w:rsidRPr="0094627D" w:rsidP="00594028" w14:paraId="0C961E36" w14:textId="5B8B15B3">
      <w:pPr>
        <w:rPr>
          <w:rFonts w:eastAsia="Calibri"/>
          <w:color w:val="000000"/>
        </w:rPr>
      </w:pPr>
      <w:r w:rsidRPr="0094627D">
        <w:rPr>
          <w:rFonts w:eastAsia="Calibri"/>
          <w:color w:val="000000"/>
        </w:rPr>
        <w:t>T</w:t>
      </w:r>
      <w:r w:rsidRPr="00831495" w:rsidR="00831495">
        <w:rPr>
          <w:rFonts w:eastAsia="Calibri"/>
          <w:color w:val="000000"/>
        </w:rPr>
        <w:t>he Food and Drug Administration (FDA, the agency, us or we)</w:t>
      </w:r>
      <w:r w:rsidR="00D17B82">
        <w:rPr>
          <w:rFonts w:eastAsia="Calibri"/>
          <w:color w:val="000000"/>
        </w:rPr>
        <w:t xml:space="preserve"> </w:t>
      </w:r>
      <w:r w:rsidRPr="0094627D">
        <w:rPr>
          <w:rFonts w:eastAsia="Calibri"/>
          <w:color w:val="000000"/>
        </w:rPr>
        <w:t xml:space="preserve">is </w:t>
      </w:r>
      <w:r w:rsidRPr="00D17B82" w:rsidR="00D17B82">
        <w:rPr>
          <w:rFonts w:eastAsia="Calibri"/>
          <w:color w:val="000000"/>
        </w:rPr>
        <w:t>seeking OMB approval of</w:t>
      </w:r>
      <w:r w:rsidRPr="0094627D">
        <w:rPr>
          <w:rFonts w:eastAsia="Calibri"/>
          <w:color w:val="000000"/>
        </w:rPr>
        <w:t xml:space="preserve"> the National Agriculture and Food Defense Strategy (NAFDS) </w:t>
      </w:r>
      <w:r w:rsidR="00A9513F">
        <w:rPr>
          <w:rFonts w:eastAsia="Calibri"/>
          <w:color w:val="000000"/>
        </w:rPr>
        <w:t xml:space="preserve">Survey </w:t>
      </w:r>
      <w:r w:rsidRPr="00431CA8" w:rsidR="00431CA8">
        <w:rPr>
          <w:rFonts w:eastAsia="Calibri"/>
          <w:color w:val="000000"/>
        </w:rPr>
        <w:t xml:space="preserve">under section 108 of </w:t>
      </w:r>
      <w:r w:rsidR="00431CA8">
        <w:rPr>
          <w:rFonts w:eastAsia="Calibri"/>
          <w:color w:val="000000"/>
        </w:rPr>
        <w:t>t</w:t>
      </w:r>
      <w:r w:rsidRPr="00431CA8" w:rsidR="00431CA8">
        <w:rPr>
          <w:rFonts w:eastAsia="Calibri"/>
          <w:color w:val="000000"/>
        </w:rPr>
        <w:t>he Food Safety Modernization Act (FSMA)</w:t>
      </w:r>
      <w:r w:rsidRPr="0094627D">
        <w:rPr>
          <w:rFonts w:eastAsia="Calibri"/>
          <w:color w:val="000000"/>
        </w:rPr>
        <w:t xml:space="preserve">.  This is a voluntary survey of </w:t>
      </w:r>
      <w:r w:rsidR="00AC149F">
        <w:rPr>
          <w:rFonts w:eastAsia="Calibri"/>
          <w:color w:val="000000"/>
        </w:rPr>
        <w:t>S</w:t>
      </w:r>
      <w:r w:rsidRPr="0094627D">
        <w:rPr>
          <w:rFonts w:eastAsia="Calibri"/>
          <w:color w:val="000000"/>
        </w:rPr>
        <w:t>tate</w:t>
      </w:r>
      <w:r w:rsidR="00A32DAA">
        <w:rPr>
          <w:rFonts w:eastAsia="Calibri"/>
          <w:color w:val="000000"/>
        </w:rPr>
        <w:t>, local, territorial, and tribal (SLTT)</w:t>
      </w:r>
      <w:r w:rsidRPr="0094627D">
        <w:rPr>
          <w:rFonts w:eastAsia="Calibri"/>
          <w:color w:val="000000"/>
        </w:rPr>
        <w:t xml:space="preserve"> governments intended to gauge government activities in food and agriculture defense from intentional contamination and emerging threats.  The collected information will be included in the mandatory NAFDS follow-up Report to Congress.</w:t>
      </w:r>
      <w:r w:rsidRPr="00843B3A" w:rsidR="00843B3A">
        <w:t xml:space="preserve"> </w:t>
      </w:r>
      <w:r w:rsidR="00843B3A">
        <w:t xml:space="preserve"> </w:t>
      </w:r>
      <w:r w:rsidRPr="00843B3A" w:rsidR="00843B3A">
        <w:rPr>
          <w:rFonts w:eastAsia="Calibri"/>
          <w:color w:val="000000"/>
        </w:rPr>
        <w:t>The authority for us to collect the information derives from the Commissioner of Food and Drugs’ authority provided in section 1003(d)(2)(C) of the Federal Food, Drug, and Cosmetic Act (21 U.S.C. 393(d)(2)(C)).</w:t>
      </w:r>
    </w:p>
    <w:p w:rsidR="00594028" w:rsidRPr="0094627D" w:rsidP="00594028" w14:paraId="7611B596" w14:textId="77777777">
      <w:pPr>
        <w:rPr>
          <w:rFonts w:eastAsia="Calibri"/>
          <w:color w:val="000000"/>
        </w:rPr>
      </w:pPr>
    </w:p>
    <w:p w:rsidR="00594028" w:rsidRPr="0094627D" w:rsidP="007B29F9" w14:paraId="5390FCFA" w14:textId="65A46F93">
      <w:pPr>
        <w:rPr>
          <w:rFonts w:eastAsia="Calibri"/>
          <w:color w:val="000000"/>
        </w:rPr>
      </w:pPr>
      <w:r w:rsidRPr="0094627D">
        <w:rPr>
          <w:rFonts w:eastAsia="Calibri"/>
          <w:color w:val="000000"/>
        </w:rPr>
        <w:t>Protecting the nation’s food and agriculture supply against intentional contamination and other emerging threats is an important responsibility shared by S</w:t>
      </w:r>
      <w:r w:rsidR="007B29F9">
        <w:rPr>
          <w:rFonts w:eastAsia="Calibri"/>
          <w:color w:val="000000"/>
        </w:rPr>
        <w:t>LTT</w:t>
      </w:r>
      <w:r w:rsidRPr="0094627D">
        <w:rPr>
          <w:rFonts w:eastAsia="Calibri"/>
          <w:color w:val="000000"/>
        </w:rPr>
        <w:t xml:space="preserve"> governments as well as private sector partners.  </w:t>
      </w:r>
      <w:r w:rsidRPr="007B29F9" w:rsidR="007B29F9">
        <w:rPr>
          <w:rFonts w:eastAsia="Calibri"/>
          <w:color w:val="000000"/>
        </w:rPr>
        <w:t>FSMA focuses</w:t>
      </w:r>
      <w:r w:rsidR="007B29F9">
        <w:rPr>
          <w:rFonts w:eastAsia="Calibri"/>
          <w:color w:val="000000"/>
        </w:rPr>
        <w:t xml:space="preserve"> </w:t>
      </w:r>
      <w:r w:rsidRPr="007B29F9" w:rsidR="007B29F9">
        <w:rPr>
          <w:rFonts w:eastAsia="Calibri"/>
          <w:color w:val="000000"/>
        </w:rPr>
        <w:t>on ensuring the safety of the U.S. food</w:t>
      </w:r>
      <w:r w:rsidR="007B29F9">
        <w:rPr>
          <w:rFonts w:eastAsia="Calibri"/>
          <w:color w:val="000000"/>
        </w:rPr>
        <w:t xml:space="preserve"> </w:t>
      </w:r>
      <w:r w:rsidRPr="007B29F9" w:rsidR="007B29F9">
        <w:rPr>
          <w:rFonts w:eastAsia="Calibri"/>
          <w:color w:val="000000"/>
        </w:rPr>
        <w:t>supply by shifting the efforts of Federal</w:t>
      </w:r>
      <w:r w:rsidR="007B29F9">
        <w:rPr>
          <w:rFonts w:eastAsia="Calibri"/>
          <w:color w:val="000000"/>
        </w:rPr>
        <w:t xml:space="preserve"> </w:t>
      </w:r>
      <w:r w:rsidRPr="007B29F9" w:rsidR="007B29F9">
        <w:rPr>
          <w:rFonts w:eastAsia="Calibri"/>
          <w:color w:val="000000"/>
        </w:rPr>
        <w:t>regulators from response to prevention</w:t>
      </w:r>
      <w:r w:rsidR="007B29F9">
        <w:rPr>
          <w:rFonts w:eastAsia="Calibri"/>
          <w:color w:val="000000"/>
        </w:rPr>
        <w:t xml:space="preserve"> </w:t>
      </w:r>
      <w:r w:rsidRPr="007B29F9" w:rsidR="007B29F9">
        <w:rPr>
          <w:rFonts w:eastAsia="Calibri"/>
          <w:color w:val="000000"/>
        </w:rPr>
        <w:t>and recognizes the importance of</w:t>
      </w:r>
      <w:r w:rsidR="007B29F9">
        <w:rPr>
          <w:rFonts w:eastAsia="Calibri"/>
          <w:color w:val="000000"/>
        </w:rPr>
        <w:t xml:space="preserve"> </w:t>
      </w:r>
      <w:r w:rsidRPr="007B29F9" w:rsidR="007B29F9">
        <w:rPr>
          <w:rFonts w:eastAsia="Calibri"/>
          <w:color w:val="000000"/>
        </w:rPr>
        <w:t>strengthening existing collaboration</w:t>
      </w:r>
      <w:r w:rsidR="007B29F9">
        <w:rPr>
          <w:rFonts w:eastAsia="Calibri"/>
          <w:color w:val="000000"/>
        </w:rPr>
        <w:t xml:space="preserve"> </w:t>
      </w:r>
      <w:r w:rsidRPr="007B29F9" w:rsidR="007B29F9">
        <w:rPr>
          <w:rFonts w:eastAsia="Calibri"/>
          <w:color w:val="000000"/>
        </w:rPr>
        <w:t>among all stakeholders to achieve</w:t>
      </w:r>
      <w:r w:rsidR="007B29F9">
        <w:rPr>
          <w:rFonts w:eastAsia="Calibri"/>
          <w:color w:val="000000"/>
        </w:rPr>
        <w:t xml:space="preserve"> </w:t>
      </w:r>
      <w:r w:rsidRPr="007B29F9" w:rsidR="007B29F9">
        <w:rPr>
          <w:rFonts w:eastAsia="Calibri"/>
          <w:color w:val="000000"/>
        </w:rPr>
        <w:t>common public health and security</w:t>
      </w:r>
      <w:r w:rsidR="007B29F9">
        <w:rPr>
          <w:rFonts w:eastAsia="Calibri"/>
          <w:color w:val="000000"/>
        </w:rPr>
        <w:t xml:space="preserve"> </w:t>
      </w:r>
      <w:r w:rsidRPr="007B29F9" w:rsidR="007B29F9">
        <w:rPr>
          <w:rFonts w:eastAsia="Calibri"/>
          <w:color w:val="000000"/>
        </w:rPr>
        <w:t xml:space="preserve">goals. </w:t>
      </w:r>
      <w:r w:rsidR="007B29F9">
        <w:rPr>
          <w:rFonts w:eastAsia="Calibri"/>
          <w:color w:val="000000"/>
        </w:rPr>
        <w:t xml:space="preserve"> </w:t>
      </w:r>
      <w:r w:rsidRPr="007B29F9" w:rsidR="007B29F9">
        <w:rPr>
          <w:rFonts w:eastAsia="Calibri"/>
          <w:color w:val="000000"/>
        </w:rPr>
        <w:t>FSMA identifies some key</w:t>
      </w:r>
      <w:r w:rsidR="007B29F9">
        <w:rPr>
          <w:rFonts w:eastAsia="Calibri"/>
          <w:color w:val="000000"/>
        </w:rPr>
        <w:t xml:space="preserve"> </w:t>
      </w:r>
      <w:r w:rsidRPr="007B29F9" w:rsidR="007B29F9">
        <w:rPr>
          <w:rFonts w:eastAsia="Calibri"/>
          <w:color w:val="000000"/>
        </w:rPr>
        <w:t>priorities for working with partners in</w:t>
      </w:r>
      <w:r w:rsidR="007B29F9">
        <w:rPr>
          <w:rFonts w:eastAsia="Calibri"/>
          <w:color w:val="000000"/>
        </w:rPr>
        <w:t xml:space="preserve"> </w:t>
      </w:r>
      <w:r w:rsidRPr="007B29F9" w:rsidR="007B29F9">
        <w:rPr>
          <w:rFonts w:eastAsia="Calibri"/>
          <w:color w:val="000000"/>
        </w:rPr>
        <w:t>areas such as reliance on Federal, State,</w:t>
      </w:r>
      <w:r w:rsidR="007B29F9">
        <w:rPr>
          <w:rFonts w:eastAsia="Calibri"/>
          <w:color w:val="000000"/>
        </w:rPr>
        <w:t xml:space="preserve"> </w:t>
      </w:r>
      <w:r w:rsidRPr="007B29F9" w:rsidR="007B29F9">
        <w:rPr>
          <w:rFonts w:eastAsia="Calibri"/>
          <w:color w:val="000000"/>
        </w:rPr>
        <w:t>and local agencies for inspections;</w:t>
      </w:r>
      <w:r w:rsidR="007B29F9">
        <w:rPr>
          <w:rFonts w:eastAsia="Calibri"/>
          <w:color w:val="000000"/>
        </w:rPr>
        <w:t xml:space="preserve"> </w:t>
      </w:r>
      <w:r w:rsidRPr="007B29F9" w:rsidR="007B29F9">
        <w:rPr>
          <w:rFonts w:eastAsia="Calibri"/>
          <w:color w:val="000000"/>
        </w:rPr>
        <w:t>improving foodborne illness</w:t>
      </w:r>
      <w:r w:rsidR="007B29F9">
        <w:rPr>
          <w:rFonts w:eastAsia="Calibri"/>
          <w:color w:val="000000"/>
        </w:rPr>
        <w:t xml:space="preserve"> </w:t>
      </w:r>
      <w:r w:rsidRPr="007B29F9" w:rsidR="007B29F9">
        <w:rPr>
          <w:rFonts w:eastAsia="Calibri"/>
          <w:color w:val="000000"/>
        </w:rPr>
        <w:t>surveillance; and leveraging and</w:t>
      </w:r>
      <w:r w:rsidR="007B29F9">
        <w:rPr>
          <w:rFonts w:eastAsia="Calibri"/>
          <w:color w:val="000000"/>
        </w:rPr>
        <w:t xml:space="preserve"> </w:t>
      </w:r>
      <w:r w:rsidRPr="007B29F9" w:rsidR="007B29F9">
        <w:rPr>
          <w:rFonts w:eastAsia="Calibri"/>
          <w:color w:val="000000"/>
        </w:rPr>
        <w:t>enhancing State and local food safety</w:t>
      </w:r>
      <w:r w:rsidR="007B29F9">
        <w:rPr>
          <w:rFonts w:eastAsia="Calibri"/>
          <w:color w:val="000000"/>
        </w:rPr>
        <w:t xml:space="preserve"> </w:t>
      </w:r>
      <w:r w:rsidRPr="007B29F9" w:rsidR="007B29F9">
        <w:rPr>
          <w:rFonts w:eastAsia="Calibri"/>
          <w:color w:val="000000"/>
        </w:rPr>
        <w:t>and defense capacities.</w:t>
      </w:r>
      <w:r w:rsidR="007B29F9">
        <w:rPr>
          <w:rFonts w:eastAsia="Calibri"/>
          <w:color w:val="000000"/>
        </w:rPr>
        <w:t xml:space="preserve"> </w:t>
      </w:r>
      <w:r w:rsidRPr="007B29F9" w:rsidR="007B29F9">
        <w:rPr>
          <w:rFonts w:eastAsia="Calibri"/>
          <w:color w:val="000000"/>
        </w:rPr>
        <w:t xml:space="preserve"> Section 108 of</w:t>
      </w:r>
      <w:r w:rsidR="007B29F9">
        <w:rPr>
          <w:rFonts w:eastAsia="Calibri"/>
          <w:color w:val="000000"/>
        </w:rPr>
        <w:t xml:space="preserve"> </w:t>
      </w:r>
      <w:r w:rsidRPr="007B29F9" w:rsidR="007B29F9">
        <w:rPr>
          <w:rFonts w:eastAsia="Calibri"/>
          <w:color w:val="000000"/>
        </w:rPr>
        <w:t xml:space="preserve">FSMA–NAFDS requires </w:t>
      </w:r>
      <w:r w:rsidRPr="00A63021" w:rsidR="00A63021">
        <w:rPr>
          <w:rFonts w:eastAsia="Calibri"/>
          <w:color w:val="000000"/>
        </w:rPr>
        <w:t>the Department of Health and Human Services</w:t>
      </w:r>
      <w:r w:rsidR="00A63021">
        <w:rPr>
          <w:rFonts w:eastAsia="Calibri"/>
          <w:color w:val="000000"/>
        </w:rPr>
        <w:t xml:space="preserve"> (</w:t>
      </w:r>
      <w:r w:rsidRPr="007B29F9" w:rsidR="007B29F9">
        <w:rPr>
          <w:rFonts w:eastAsia="Calibri"/>
          <w:color w:val="000000"/>
        </w:rPr>
        <w:t>HHS</w:t>
      </w:r>
      <w:r w:rsidR="00A63021">
        <w:rPr>
          <w:rFonts w:eastAsia="Calibri"/>
          <w:color w:val="000000"/>
        </w:rPr>
        <w:t>)</w:t>
      </w:r>
      <w:r w:rsidRPr="007B29F9" w:rsidR="007B29F9">
        <w:rPr>
          <w:rFonts w:eastAsia="Calibri"/>
          <w:color w:val="000000"/>
        </w:rPr>
        <w:t xml:space="preserve"> and</w:t>
      </w:r>
      <w:r w:rsidR="007B29F9">
        <w:rPr>
          <w:rFonts w:eastAsia="Calibri"/>
          <w:color w:val="000000"/>
        </w:rPr>
        <w:t xml:space="preserve"> </w:t>
      </w:r>
      <w:r w:rsidRPr="004A508C" w:rsidR="004A508C">
        <w:rPr>
          <w:rFonts w:eastAsia="Calibri"/>
          <w:color w:val="000000"/>
        </w:rPr>
        <w:t>the United States Department of Agriculture (</w:t>
      </w:r>
      <w:r w:rsidRPr="007B29F9" w:rsidR="007B29F9">
        <w:rPr>
          <w:rFonts w:eastAsia="Calibri"/>
          <w:color w:val="000000"/>
        </w:rPr>
        <w:t>USDA</w:t>
      </w:r>
      <w:r w:rsidR="004A508C">
        <w:rPr>
          <w:rFonts w:eastAsia="Calibri"/>
          <w:color w:val="000000"/>
        </w:rPr>
        <w:t>)</w:t>
      </w:r>
      <w:r w:rsidRPr="007B29F9" w:rsidR="007B29F9">
        <w:rPr>
          <w:rFonts w:eastAsia="Calibri"/>
          <w:color w:val="000000"/>
        </w:rPr>
        <w:t xml:space="preserve">, in coordination with </w:t>
      </w:r>
      <w:r w:rsidRPr="005169FC" w:rsidR="005169FC">
        <w:rPr>
          <w:rFonts w:eastAsia="Calibri"/>
          <w:color w:val="000000"/>
        </w:rPr>
        <w:t>the Department of Homeland Security (</w:t>
      </w:r>
      <w:r w:rsidRPr="007B29F9" w:rsidR="007B29F9">
        <w:rPr>
          <w:rFonts w:eastAsia="Calibri"/>
          <w:color w:val="000000"/>
        </w:rPr>
        <w:t>DHS</w:t>
      </w:r>
      <w:r w:rsidR="005169FC">
        <w:rPr>
          <w:rFonts w:eastAsia="Calibri"/>
          <w:color w:val="000000"/>
        </w:rPr>
        <w:t>)</w:t>
      </w:r>
      <w:r w:rsidRPr="007B29F9" w:rsidR="007B29F9">
        <w:rPr>
          <w:rFonts w:eastAsia="Calibri"/>
          <w:color w:val="000000"/>
        </w:rPr>
        <w:t>, to</w:t>
      </w:r>
      <w:r w:rsidR="007B29F9">
        <w:rPr>
          <w:rFonts w:eastAsia="Calibri"/>
          <w:color w:val="000000"/>
        </w:rPr>
        <w:t xml:space="preserve"> </w:t>
      </w:r>
      <w:r w:rsidRPr="007B29F9" w:rsidR="007B29F9">
        <w:rPr>
          <w:rFonts w:eastAsia="Calibri"/>
          <w:color w:val="000000"/>
        </w:rPr>
        <w:t>work together with SLTT to monitor and</w:t>
      </w:r>
      <w:r w:rsidR="007B29F9">
        <w:rPr>
          <w:rFonts w:eastAsia="Calibri"/>
          <w:color w:val="000000"/>
        </w:rPr>
        <w:t xml:space="preserve"> </w:t>
      </w:r>
      <w:r w:rsidRPr="007B29F9" w:rsidR="007B29F9">
        <w:rPr>
          <w:rFonts w:eastAsia="Calibri"/>
          <w:color w:val="000000"/>
        </w:rPr>
        <w:t>measure progress in food defense.</w:t>
      </w:r>
      <w:r w:rsidR="00867F3C">
        <w:rPr>
          <w:rFonts w:eastAsia="Calibri"/>
          <w:color w:val="000000"/>
        </w:rPr>
        <w:t xml:space="preserve">  </w:t>
      </w:r>
      <w:r w:rsidRPr="0094627D">
        <w:rPr>
          <w:rFonts w:eastAsia="Calibri"/>
          <w:color w:val="000000"/>
        </w:rPr>
        <w:t xml:space="preserve">In 2015, the initial NAFDS Report to Congress detailed the specific Federal response to food and agriculture defense goals, objectives, key initiatives, and activities that HHS, USDA, DHS, and other stakeholders planned to accomplish to meet the objectives outlined in FSMA.  The survey includes questions about all activities related to objectives, goals, initiatives, and activities completed by each state, locality, tribe, or territory.  FDA is unlikely to survey SLTT governments directly as the States will decide.  </w:t>
      </w:r>
    </w:p>
    <w:p w:rsidR="00594028" w:rsidRPr="0094627D" w:rsidP="00594028" w14:paraId="7C45D936" w14:textId="77777777">
      <w:pPr>
        <w:rPr>
          <w:rFonts w:eastAsia="Calibri"/>
          <w:color w:val="000000"/>
        </w:rPr>
      </w:pPr>
    </w:p>
    <w:p w:rsidR="00594028" w:rsidRPr="0094627D" w:rsidP="00594028" w14:paraId="1EAAD705" w14:textId="70593DD4">
      <w:pPr>
        <w:rPr>
          <w:rFonts w:eastAsia="Calibri"/>
          <w:color w:val="000000"/>
        </w:rPr>
      </w:pPr>
      <w:r w:rsidRPr="0094627D">
        <w:rPr>
          <w:rFonts w:eastAsia="Calibri"/>
          <w:color w:val="000000"/>
        </w:rPr>
        <w:t xml:space="preserve">We therefore request extension of OMB approval for the </w:t>
      </w:r>
      <w:r w:rsidR="00A37AF3">
        <w:rPr>
          <w:rFonts w:eastAsia="Calibri"/>
          <w:color w:val="000000"/>
        </w:rPr>
        <w:t>NAF</w:t>
      </w:r>
      <w:r w:rsidR="00F30082">
        <w:rPr>
          <w:rFonts w:eastAsia="Calibri"/>
          <w:color w:val="000000"/>
        </w:rPr>
        <w:t>DS</w:t>
      </w:r>
      <w:r w:rsidRPr="0094627D">
        <w:rPr>
          <w:rFonts w:eastAsia="Calibri"/>
          <w:color w:val="000000"/>
        </w:rPr>
        <w:t xml:space="preserve"> Survey</w:t>
      </w:r>
      <w:r w:rsidRPr="0094627D" w:rsidR="001250D4">
        <w:rPr>
          <w:rFonts w:eastAsia="Calibri"/>
          <w:color w:val="000000"/>
        </w:rPr>
        <w:t xml:space="preserve"> as discussed in this supporting statement</w:t>
      </w:r>
      <w:r w:rsidRPr="0094627D">
        <w:rPr>
          <w:rFonts w:eastAsia="Calibri"/>
          <w:color w:val="000000"/>
        </w:rPr>
        <w:t>.</w:t>
      </w:r>
    </w:p>
    <w:p w:rsidR="00357C8A" w:rsidRPr="0094627D" w:rsidP="001250D4" w14:paraId="1B078B99" w14:textId="77777777">
      <w:pPr>
        <w:rPr>
          <w:rFonts w:eastAsia="Calibri"/>
          <w:color w:val="000000"/>
        </w:rPr>
      </w:pPr>
    </w:p>
    <w:p w:rsidR="00357C8A" w:rsidRPr="0094627D" w:rsidP="006705EA" w14:paraId="0B832994" w14:textId="77777777">
      <w:pPr>
        <w:numPr>
          <w:ilvl w:val="0"/>
          <w:numId w:val="6"/>
        </w:numPr>
        <w:spacing w:after="200" w:line="276" w:lineRule="auto"/>
        <w:rPr>
          <w:rFonts w:eastAsia="Calibri"/>
          <w:color w:val="000000"/>
          <w:u w:val="single"/>
        </w:rPr>
      </w:pPr>
      <w:r w:rsidRPr="0094627D">
        <w:rPr>
          <w:rFonts w:eastAsia="Calibri"/>
          <w:color w:val="000000"/>
          <w:u w:val="single"/>
        </w:rPr>
        <w:t xml:space="preserve">Purpose and Use of the Information Collection </w:t>
      </w:r>
    </w:p>
    <w:p w:rsidR="00594028" w:rsidRPr="0094627D" w:rsidP="00594028" w14:paraId="41DEC0B2" w14:textId="16EEA5CC">
      <w:pPr>
        <w:spacing w:after="200"/>
        <w:rPr>
          <w:rFonts w:eastAsia="Calibri"/>
          <w:color w:val="000000"/>
        </w:rPr>
      </w:pPr>
      <w:r w:rsidRPr="0094627D">
        <w:rPr>
          <w:rFonts w:eastAsia="Calibri"/>
          <w:color w:val="000000"/>
        </w:rPr>
        <w:t>The NAFDS charts a direction for how the Federal agencies, in cooperation with SLTT governments and private sector partners, protect the nation’s food supply against intentional contamination.  Not later than 4 years after the initial NAFDS Report to Congress (2015), and every 4 years thereafter (i.e., 2019, 2023, 2027, etc.), HHS, USDA, and DHS are required to revise and submit an updated report to the relevant committees of Congress</w:t>
      </w:r>
      <w:r w:rsidR="00637C52">
        <w:rPr>
          <w:rFonts w:eastAsia="Calibri"/>
          <w:color w:val="000000"/>
        </w:rPr>
        <w:t>.</w:t>
      </w:r>
    </w:p>
    <w:p w:rsidR="007B29F9" w:rsidP="007B29F9" w14:paraId="199353C5" w14:textId="2AA5EFA5">
      <w:pPr>
        <w:spacing w:after="200"/>
        <w:rPr>
          <w:rFonts w:eastAsia="Calibri"/>
          <w:color w:val="000000"/>
        </w:rPr>
      </w:pPr>
      <w:r w:rsidRPr="0094627D">
        <w:rPr>
          <w:rFonts w:eastAsia="Calibri"/>
          <w:color w:val="000000"/>
        </w:rPr>
        <w:t xml:space="preserve">FDA is the agency primarily responsible for obtaining the information from Federal and SLTT partners to complete the NAFDS Report to Congress.  </w:t>
      </w:r>
      <w:r w:rsidRPr="007B29F9">
        <w:rPr>
          <w:rFonts w:eastAsia="Calibri"/>
          <w:color w:val="000000"/>
        </w:rPr>
        <w:t>An interagency working</w:t>
      </w:r>
      <w:r>
        <w:rPr>
          <w:rFonts w:eastAsia="Calibri"/>
          <w:color w:val="000000"/>
        </w:rPr>
        <w:t xml:space="preserve"> </w:t>
      </w:r>
      <w:r w:rsidRPr="007B29F9">
        <w:rPr>
          <w:rFonts w:eastAsia="Calibri"/>
          <w:color w:val="000000"/>
        </w:rPr>
        <w:t>group will conduct the survey and</w:t>
      </w:r>
      <w:r>
        <w:rPr>
          <w:rFonts w:eastAsia="Calibri"/>
          <w:color w:val="000000"/>
        </w:rPr>
        <w:t xml:space="preserve"> </w:t>
      </w:r>
      <w:r w:rsidRPr="007B29F9">
        <w:rPr>
          <w:rFonts w:eastAsia="Calibri"/>
          <w:color w:val="000000"/>
        </w:rPr>
        <w:t>collect and update the NAFDS as</w:t>
      </w:r>
      <w:r>
        <w:rPr>
          <w:rFonts w:eastAsia="Calibri"/>
          <w:color w:val="000000"/>
        </w:rPr>
        <w:t xml:space="preserve"> </w:t>
      </w:r>
      <w:r w:rsidRPr="007B29F9">
        <w:rPr>
          <w:rFonts w:eastAsia="Calibri"/>
          <w:color w:val="000000"/>
        </w:rPr>
        <w:t>directed by FSMA, including</w:t>
      </w:r>
      <w:r>
        <w:rPr>
          <w:rFonts w:eastAsia="Calibri"/>
          <w:color w:val="000000"/>
        </w:rPr>
        <w:t xml:space="preserve"> </w:t>
      </w:r>
      <w:r w:rsidRPr="007B29F9">
        <w:rPr>
          <w:rFonts w:eastAsia="Calibri"/>
          <w:color w:val="000000"/>
        </w:rPr>
        <w:t>developing metrics and measuring</w:t>
      </w:r>
      <w:r>
        <w:rPr>
          <w:rFonts w:eastAsia="Calibri"/>
          <w:color w:val="000000"/>
        </w:rPr>
        <w:t xml:space="preserve"> </w:t>
      </w:r>
      <w:r w:rsidRPr="007B29F9">
        <w:rPr>
          <w:rFonts w:eastAsia="Calibri"/>
          <w:color w:val="000000"/>
        </w:rPr>
        <w:t>progress for the evaluation process.</w:t>
      </w:r>
    </w:p>
    <w:p w:rsidR="00594028" w:rsidP="007B29F9" w14:paraId="44015DA5" w14:textId="60E56A53">
      <w:pPr>
        <w:spacing w:after="200"/>
        <w:rPr>
          <w:rFonts w:eastAsia="Calibri"/>
          <w:color w:val="000000"/>
        </w:rPr>
      </w:pPr>
      <w:r w:rsidRPr="0094627D">
        <w:rPr>
          <w:rFonts w:eastAsia="Calibri"/>
          <w:color w:val="000000"/>
        </w:rPr>
        <w:t xml:space="preserve">The survey of Federal and State partners will be used to determine what food defense activities, if any, Federal and/or </w:t>
      </w:r>
      <w:r w:rsidR="00BE57DC">
        <w:rPr>
          <w:rFonts w:eastAsia="Calibri"/>
          <w:color w:val="000000"/>
        </w:rPr>
        <w:t>SLTT</w:t>
      </w:r>
      <w:r w:rsidRPr="0094627D" w:rsidR="00BE57DC">
        <w:rPr>
          <w:rFonts w:eastAsia="Calibri"/>
          <w:color w:val="000000"/>
        </w:rPr>
        <w:t xml:space="preserve"> </w:t>
      </w:r>
      <w:r w:rsidRPr="0094627D">
        <w:rPr>
          <w:rFonts w:eastAsia="Calibri"/>
          <w:color w:val="000000"/>
        </w:rPr>
        <w:t xml:space="preserve">agencies have completed (or are planning) from </w:t>
      </w:r>
      <w:r w:rsidR="007B29F9">
        <w:rPr>
          <w:rFonts w:eastAsia="Calibri"/>
          <w:color w:val="000000"/>
        </w:rPr>
        <w:t>2024</w:t>
      </w:r>
      <w:r w:rsidRPr="0094627D" w:rsidR="007B29F9">
        <w:rPr>
          <w:rFonts w:eastAsia="Calibri"/>
          <w:color w:val="000000"/>
        </w:rPr>
        <w:t xml:space="preserve"> </w:t>
      </w:r>
      <w:r w:rsidRPr="0094627D">
        <w:rPr>
          <w:rFonts w:eastAsia="Calibri"/>
          <w:color w:val="000000"/>
        </w:rPr>
        <w:t xml:space="preserve">to </w:t>
      </w:r>
      <w:r w:rsidR="007B29F9">
        <w:rPr>
          <w:rFonts w:eastAsia="Calibri"/>
          <w:color w:val="000000"/>
        </w:rPr>
        <w:t>2028</w:t>
      </w:r>
      <w:r w:rsidRPr="0094627D">
        <w:rPr>
          <w:rFonts w:eastAsia="Calibri"/>
          <w:color w:val="000000"/>
        </w:rPr>
        <w:t xml:space="preserve">.  Planning for the local, territorial, and tribal information collections will commence </w:t>
      </w:r>
      <w:r w:rsidR="007B29F9">
        <w:rPr>
          <w:rFonts w:eastAsia="Calibri"/>
          <w:color w:val="000000"/>
        </w:rPr>
        <w:t xml:space="preserve">during this period of renewal.  </w:t>
      </w:r>
      <w:r w:rsidRPr="0094627D">
        <w:rPr>
          <w:rFonts w:eastAsia="Calibri"/>
          <w:color w:val="000000"/>
        </w:rPr>
        <w:t>Th</w:t>
      </w:r>
      <w:r w:rsidR="007B29F9">
        <w:rPr>
          <w:rFonts w:eastAsia="Calibri"/>
          <w:color w:val="000000"/>
        </w:rPr>
        <w:t>e</w:t>
      </w:r>
      <w:r w:rsidRPr="0094627D">
        <w:rPr>
          <w:rFonts w:eastAsia="Calibri"/>
          <w:color w:val="000000"/>
        </w:rPr>
        <w:t xml:space="preserve"> survey will </w:t>
      </w:r>
      <w:r w:rsidR="00CE1BBA">
        <w:rPr>
          <w:rFonts w:eastAsia="Calibri"/>
          <w:color w:val="000000"/>
        </w:rPr>
        <w:t>continue</w:t>
      </w:r>
      <w:r w:rsidR="0001496D">
        <w:rPr>
          <w:rFonts w:eastAsia="Calibri"/>
          <w:color w:val="000000"/>
        </w:rPr>
        <w:t xml:space="preserve"> to </w:t>
      </w:r>
      <w:r w:rsidRPr="0094627D">
        <w:rPr>
          <w:rFonts w:eastAsia="Calibri"/>
          <w:color w:val="000000"/>
        </w:rPr>
        <w:t xml:space="preserve">be repeated approximately every 2 to 4 years, as described in section 108 of FSMA.  </w:t>
      </w:r>
      <w:r w:rsidRPr="007B29F9" w:rsidR="007B29F9">
        <w:rPr>
          <w:rFonts w:eastAsia="Calibri"/>
          <w:color w:val="000000"/>
        </w:rPr>
        <w:t>The NAFDS</w:t>
      </w:r>
      <w:r w:rsidR="007B29F9">
        <w:rPr>
          <w:rFonts w:eastAsia="Calibri"/>
          <w:color w:val="000000"/>
        </w:rPr>
        <w:t xml:space="preserve"> </w:t>
      </w:r>
      <w:r w:rsidRPr="007B29F9" w:rsidR="007B29F9">
        <w:rPr>
          <w:rFonts w:eastAsia="Calibri"/>
          <w:color w:val="000000"/>
        </w:rPr>
        <w:t>survey is being administered for the</w:t>
      </w:r>
      <w:r w:rsidR="007B29F9">
        <w:rPr>
          <w:rFonts w:eastAsia="Calibri"/>
          <w:color w:val="000000"/>
        </w:rPr>
        <w:t xml:space="preserve"> </w:t>
      </w:r>
      <w:r w:rsidRPr="007B29F9" w:rsidR="007B29F9">
        <w:rPr>
          <w:rFonts w:eastAsia="Calibri"/>
          <w:color w:val="000000"/>
        </w:rPr>
        <w:t>purpose of monitoring progress in food</w:t>
      </w:r>
      <w:r w:rsidR="007B29F9">
        <w:rPr>
          <w:rFonts w:eastAsia="Calibri"/>
          <w:color w:val="000000"/>
        </w:rPr>
        <w:t xml:space="preserve"> </w:t>
      </w:r>
      <w:r w:rsidRPr="007B29F9" w:rsidR="007B29F9">
        <w:rPr>
          <w:rFonts w:eastAsia="Calibri"/>
          <w:color w:val="000000"/>
        </w:rPr>
        <w:t>and agricultural defense by government</w:t>
      </w:r>
      <w:r w:rsidR="007B29F9">
        <w:rPr>
          <w:rFonts w:eastAsia="Calibri"/>
          <w:color w:val="000000"/>
        </w:rPr>
        <w:t xml:space="preserve"> </w:t>
      </w:r>
      <w:r w:rsidRPr="007B29F9" w:rsidR="007B29F9">
        <w:rPr>
          <w:rFonts w:eastAsia="Calibri"/>
          <w:color w:val="000000"/>
        </w:rPr>
        <w:t>agencies.</w:t>
      </w:r>
    </w:p>
    <w:p w:rsidR="007B29F9" w:rsidP="007B29F9" w14:paraId="03725BCF" w14:textId="77777777">
      <w:pPr>
        <w:spacing w:after="200"/>
        <w:rPr>
          <w:rFonts w:eastAsia="Calibri"/>
          <w:color w:val="000000"/>
        </w:rPr>
      </w:pPr>
      <w:r w:rsidRPr="007B29F9">
        <w:rPr>
          <w:rFonts w:eastAsia="Calibri"/>
          <w:color w:val="000000"/>
        </w:rPr>
        <w:t>A purposive sampling strategy is</w:t>
      </w:r>
      <w:r>
        <w:rPr>
          <w:rFonts w:eastAsia="Calibri"/>
          <w:color w:val="000000"/>
        </w:rPr>
        <w:t xml:space="preserve"> </w:t>
      </w:r>
      <w:r w:rsidRPr="007B29F9">
        <w:rPr>
          <w:rFonts w:eastAsia="Calibri"/>
          <w:color w:val="000000"/>
        </w:rPr>
        <w:t>employed, such that the government</w:t>
      </w:r>
      <w:r>
        <w:rPr>
          <w:rFonts w:eastAsia="Calibri"/>
          <w:color w:val="000000"/>
        </w:rPr>
        <w:t xml:space="preserve"> </w:t>
      </w:r>
      <w:r w:rsidRPr="007B29F9">
        <w:rPr>
          <w:rFonts w:eastAsia="Calibri"/>
          <w:color w:val="000000"/>
        </w:rPr>
        <w:t>agencies participating in food and</w:t>
      </w:r>
      <w:r>
        <w:rPr>
          <w:rFonts w:eastAsia="Calibri"/>
          <w:color w:val="000000"/>
        </w:rPr>
        <w:t xml:space="preserve"> </w:t>
      </w:r>
      <w:r w:rsidRPr="007B29F9">
        <w:rPr>
          <w:rFonts w:eastAsia="Calibri"/>
          <w:color w:val="000000"/>
        </w:rPr>
        <w:t>agricultural defense are asked to</w:t>
      </w:r>
      <w:r>
        <w:rPr>
          <w:rFonts w:eastAsia="Calibri"/>
          <w:color w:val="000000"/>
        </w:rPr>
        <w:t xml:space="preserve"> </w:t>
      </w:r>
      <w:r w:rsidRPr="007B29F9">
        <w:rPr>
          <w:rFonts w:eastAsia="Calibri"/>
          <w:color w:val="000000"/>
        </w:rPr>
        <w:t xml:space="preserve">respond to the voluntary survey. </w:t>
      </w:r>
      <w:r>
        <w:rPr>
          <w:rFonts w:eastAsia="Calibri"/>
          <w:color w:val="000000"/>
        </w:rPr>
        <w:t xml:space="preserve"> </w:t>
      </w:r>
      <w:r w:rsidRPr="007B29F9">
        <w:rPr>
          <w:rFonts w:eastAsia="Calibri"/>
          <w:color w:val="000000"/>
        </w:rPr>
        <w:t>Food</w:t>
      </w:r>
      <w:r>
        <w:rPr>
          <w:rFonts w:eastAsia="Calibri"/>
          <w:color w:val="000000"/>
        </w:rPr>
        <w:t xml:space="preserve"> </w:t>
      </w:r>
      <w:r w:rsidRPr="007B29F9">
        <w:rPr>
          <w:rFonts w:eastAsia="Calibri"/>
          <w:color w:val="000000"/>
        </w:rPr>
        <w:t>defense leaders responsible for</w:t>
      </w:r>
      <w:r>
        <w:rPr>
          <w:rFonts w:eastAsia="Calibri"/>
          <w:color w:val="000000"/>
        </w:rPr>
        <w:t xml:space="preserve"> </w:t>
      </w:r>
      <w:r w:rsidRPr="007B29F9">
        <w:rPr>
          <w:rFonts w:eastAsia="Calibri"/>
          <w:color w:val="000000"/>
        </w:rPr>
        <w:t>conducting food defense activities</w:t>
      </w:r>
      <w:r>
        <w:rPr>
          <w:rFonts w:eastAsia="Calibri"/>
          <w:color w:val="000000"/>
        </w:rPr>
        <w:t xml:space="preserve"> </w:t>
      </w:r>
      <w:r w:rsidRPr="007B29F9">
        <w:rPr>
          <w:rFonts w:eastAsia="Calibri"/>
          <w:color w:val="000000"/>
        </w:rPr>
        <w:t>during a food emergency for their</w:t>
      </w:r>
      <w:r>
        <w:rPr>
          <w:rFonts w:eastAsia="Calibri"/>
          <w:color w:val="000000"/>
        </w:rPr>
        <w:t xml:space="preserve"> </w:t>
      </w:r>
      <w:r w:rsidRPr="007B29F9">
        <w:rPr>
          <w:rFonts w:eastAsia="Calibri"/>
          <w:color w:val="000000"/>
        </w:rPr>
        <w:t>jurisdiction are identified and will</w:t>
      </w:r>
      <w:r>
        <w:rPr>
          <w:rFonts w:eastAsia="Calibri"/>
          <w:color w:val="000000"/>
        </w:rPr>
        <w:t xml:space="preserve"> </w:t>
      </w:r>
      <w:r w:rsidRPr="007B29F9">
        <w:rPr>
          <w:rFonts w:eastAsia="Calibri"/>
          <w:color w:val="000000"/>
        </w:rPr>
        <w:t>receive an emailed invitation to</w:t>
      </w:r>
      <w:r>
        <w:rPr>
          <w:rFonts w:eastAsia="Calibri"/>
          <w:color w:val="000000"/>
        </w:rPr>
        <w:t xml:space="preserve"> </w:t>
      </w:r>
      <w:r w:rsidRPr="007B29F9">
        <w:rPr>
          <w:rFonts w:eastAsia="Calibri"/>
          <w:color w:val="000000"/>
        </w:rPr>
        <w:t>complete the survey online; they will be</w:t>
      </w:r>
      <w:r>
        <w:rPr>
          <w:rFonts w:eastAsia="Calibri"/>
          <w:color w:val="000000"/>
        </w:rPr>
        <w:t xml:space="preserve"> </w:t>
      </w:r>
      <w:r w:rsidRPr="007B29F9">
        <w:rPr>
          <w:rFonts w:eastAsia="Calibri"/>
          <w:color w:val="000000"/>
        </w:rPr>
        <w:t>provided with a web link to the survey.</w:t>
      </w:r>
      <w:r>
        <w:rPr>
          <w:rFonts w:eastAsia="Calibri"/>
          <w:color w:val="000000"/>
        </w:rPr>
        <w:t xml:space="preserve">  </w:t>
      </w:r>
      <w:r w:rsidRPr="007B29F9">
        <w:rPr>
          <w:rFonts w:eastAsia="Calibri"/>
          <w:color w:val="000000"/>
        </w:rPr>
        <w:t>The survey will be conducted</w:t>
      </w:r>
      <w:r>
        <w:rPr>
          <w:rFonts w:eastAsia="Calibri"/>
          <w:color w:val="000000"/>
        </w:rPr>
        <w:t xml:space="preserve"> </w:t>
      </w:r>
      <w:r w:rsidRPr="007B29F9">
        <w:rPr>
          <w:rFonts w:eastAsia="Calibri"/>
          <w:color w:val="000000"/>
        </w:rPr>
        <w:t xml:space="preserve">electronically on the </w:t>
      </w:r>
      <w:r w:rsidRPr="00F211F8">
        <w:rPr>
          <w:rFonts w:eastAsia="Calibri"/>
          <w:color w:val="000000"/>
        </w:rPr>
        <w:t>FDA.gov</w:t>
      </w:r>
      <w:r w:rsidRPr="007B29F9">
        <w:rPr>
          <w:rFonts w:eastAsia="Calibri"/>
          <w:color w:val="000000"/>
        </w:rPr>
        <w:t xml:space="preserve"> web</w:t>
      </w:r>
      <w:r>
        <w:rPr>
          <w:rFonts w:eastAsia="Calibri"/>
          <w:color w:val="000000"/>
        </w:rPr>
        <w:t xml:space="preserve"> </w:t>
      </w:r>
      <w:r w:rsidRPr="007B29F9">
        <w:rPr>
          <w:rFonts w:eastAsia="Calibri"/>
          <w:color w:val="000000"/>
        </w:rPr>
        <w:t>portal, and results will be analyzed by</w:t>
      </w:r>
      <w:r>
        <w:rPr>
          <w:rFonts w:eastAsia="Calibri"/>
          <w:color w:val="000000"/>
        </w:rPr>
        <w:t xml:space="preserve"> </w:t>
      </w:r>
      <w:r w:rsidRPr="007B29F9">
        <w:rPr>
          <w:rFonts w:eastAsia="Calibri"/>
          <w:color w:val="000000"/>
        </w:rPr>
        <w:t>the interagency working group.</w:t>
      </w:r>
    </w:p>
    <w:p w:rsidR="00357C8A" w:rsidRPr="0094627D" w:rsidP="0022425B" w14:paraId="5538D802" w14:textId="5DC8238A">
      <w:pPr>
        <w:spacing w:after="200"/>
        <w:rPr>
          <w:rFonts w:eastAsia="Calibri"/>
          <w:color w:val="000000"/>
        </w:rPr>
      </w:pPr>
      <w:r w:rsidRPr="00F211F8">
        <w:rPr>
          <w:rFonts w:eastAsia="Calibri"/>
          <w:i/>
          <w:iCs/>
          <w:color w:val="000000"/>
        </w:rPr>
        <w:t>Description of Respondents</w:t>
      </w:r>
      <w:r w:rsidRPr="0094627D">
        <w:rPr>
          <w:rFonts w:eastAsia="Calibri"/>
          <w:color w:val="000000"/>
        </w:rPr>
        <w:t xml:space="preserve">: </w:t>
      </w:r>
      <w:r w:rsidR="00AD5126">
        <w:rPr>
          <w:rFonts w:eastAsia="Calibri"/>
          <w:color w:val="000000"/>
        </w:rPr>
        <w:t xml:space="preserve"> </w:t>
      </w:r>
      <w:r w:rsidRPr="0094627D">
        <w:rPr>
          <w:rFonts w:eastAsia="Calibri"/>
          <w:color w:val="000000"/>
        </w:rPr>
        <w:t xml:space="preserve">Respondents to this collection are SLTT </w:t>
      </w:r>
      <w:r w:rsidR="009274F7">
        <w:rPr>
          <w:rFonts w:eastAsia="Calibri"/>
          <w:color w:val="000000"/>
        </w:rPr>
        <w:t xml:space="preserve">government </w:t>
      </w:r>
      <w:r w:rsidRPr="0094627D">
        <w:rPr>
          <w:rFonts w:eastAsia="Calibri"/>
          <w:color w:val="000000"/>
        </w:rPr>
        <w:t>representatives (survey respondents) who are food defense leaders responsible for conducting food defense activities during a food emergency for their jurisdictions.</w:t>
      </w:r>
    </w:p>
    <w:p w:rsidR="00357C8A" w:rsidRPr="0094627D" w:rsidP="006705EA" w14:paraId="00C3AD55" w14:textId="77777777">
      <w:pPr>
        <w:numPr>
          <w:ilvl w:val="0"/>
          <w:numId w:val="6"/>
        </w:numPr>
        <w:spacing w:after="200" w:line="276" w:lineRule="auto"/>
        <w:rPr>
          <w:rFonts w:eastAsia="Calibri"/>
          <w:color w:val="000000"/>
          <w:u w:val="single"/>
        </w:rPr>
      </w:pPr>
      <w:r w:rsidRPr="0094627D">
        <w:rPr>
          <w:rFonts w:eastAsia="Calibri"/>
          <w:color w:val="000000"/>
          <w:u w:val="single"/>
        </w:rPr>
        <w:t>Use of Improved Information Technology and Burden Reduction</w:t>
      </w:r>
    </w:p>
    <w:p w:rsidR="00357C8A" w:rsidRPr="0094627D" w:rsidP="0022425B" w14:paraId="6DDD38DE" w14:textId="77777777">
      <w:pPr>
        <w:spacing w:after="200"/>
        <w:rPr>
          <w:rFonts w:eastAsia="Calibri"/>
          <w:color w:val="000000"/>
        </w:rPr>
      </w:pPr>
      <w:r w:rsidRPr="0094627D">
        <w:rPr>
          <w:rFonts w:eastAsia="Calibri"/>
          <w:color w:val="000000"/>
        </w:rPr>
        <w:t xml:space="preserve">To reduce respondent burden, the survey will be administered electronically, and responses accepted electronically.  Targeted respondents will receive a link by email to complete the survey online using survey application software designed for highly private information.  The survey will be administered by FDA contractors using an internal server for data capture.  The survey will be conducted electronically via FDA’s webpage, FDA.gov, and the results will be analyzed by the interagency working group.  The </w:t>
      </w:r>
      <w:r w:rsidR="009274F7">
        <w:rPr>
          <w:rFonts w:eastAsia="Calibri"/>
          <w:color w:val="000000"/>
        </w:rPr>
        <w:t>percentage</w:t>
      </w:r>
      <w:r w:rsidRPr="0094627D" w:rsidR="009274F7">
        <w:rPr>
          <w:rFonts w:eastAsia="Calibri"/>
          <w:color w:val="000000"/>
        </w:rPr>
        <w:t xml:space="preserve"> </w:t>
      </w:r>
      <w:r w:rsidRPr="0094627D">
        <w:rPr>
          <w:rFonts w:eastAsia="Calibri"/>
          <w:color w:val="000000"/>
        </w:rPr>
        <w:t>of respondents completing the survey electronically is expected to be 100%.</w:t>
      </w:r>
    </w:p>
    <w:p w:rsidR="00357C8A" w:rsidRPr="0094627D" w:rsidP="006705EA" w14:paraId="5ADB962F" w14:textId="77777777">
      <w:pPr>
        <w:numPr>
          <w:ilvl w:val="0"/>
          <w:numId w:val="6"/>
        </w:numPr>
        <w:spacing w:after="200" w:line="276" w:lineRule="auto"/>
        <w:rPr>
          <w:rFonts w:eastAsia="Calibri"/>
          <w:color w:val="000000"/>
        </w:rPr>
      </w:pPr>
      <w:r w:rsidRPr="0094627D">
        <w:rPr>
          <w:rFonts w:eastAsia="Calibri"/>
          <w:color w:val="000000"/>
          <w:u w:val="single"/>
        </w:rPr>
        <w:t xml:space="preserve">Efforts to Identify Duplication and Use of Similar Information </w:t>
      </w:r>
    </w:p>
    <w:p w:rsidR="000C1260" w:rsidRPr="0094627D" w:rsidP="0053380B" w14:paraId="351D5FEB" w14:textId="77777777">
      <w:pPr>
        <w:spacing w:after="200"/>
        <w:rPr>
          <w:rFonts w:eastAsia="Calibri"/>
          <w:color w:val="000000"/>
        </w:rPr>
      </w:pPr>
      <w:r w:rsidRPr="0094627D">
        <w:rPr>
          <w:color w:val="000000"/>
        </w:rPr>
        <w:t>The NAFDS Survey is a unique survey instrument.  No other survey of Federal and State NAFDS cooperative agreement partners on monitoring food and agriculture defense goals, objectives, key initiatives, and activities related to achieving the goals outlined in the NAFDS is being conducted.  Of the Federal agencies responsible for accomplishing the NAFDS, FDA has the primary responsibility for collecting the information that will be used in the follow-up Report to Congress about the status of the national strategy.</w:t>
      </w:r>
    </w:p>
    <w:p w:rsidR="00357C8A" w:rsidRPr="0094627D" w:rsidP="006705EA" w14:paraId="42F581DA" w14:textId="77777777">
      <w:pPr>
        <w:numPr>
          <w:ilvl w:val="0"/>
          <w:numId w:val="6"/>
        </w:numPr>
        <w:spacing w:after="200" w:line="276" w:lineRule="auto"/>
        <w:rPr>
          <w:rFonts w:eastAsia="Calibri"/>
          <w:color w:val="000000"/>
        </w:rPr>
      </w:pPr>
      <w:r w:rsidRPr="0094627D">
        <w:rPr>
          <w:rFonts w:eastAsia="Calibri"/>
          <w:color w:val="000000"/>
          <w:u w:val="single"/>
        </w:rPr>
        <w:t>Impact on Small Businesses or Other Small Entities</w:t>
      </w:r>
    </w:p>
    <w:p w:rsidR="00357C8A" w:rsidRPr="0094627D" w:rsidP="00357C8A" w14:paraId="5F836CF9" w14:textId="77777777">
      <w:pPr>
        <w:spacing w:after="200"/>
        <w:rPr>
          <w:rFonts w:eastAsia="Calibri"/>
          <w:color w:val="000000"/>
        </w:rPr>
      </w:pPr>
      <w:r w:rsidRPr="0094627D">
        <w:rPr>
          <w:rFonts w:eastAsia="Calibri"/>
          <w:color w:val="000000"/>
        </w:rPr>
        <w:t>No small businesses are involved in this information collection.</w:t>
      </w:r>
    </w:p>
    <w:p w:rsidR="00357C8A" w:rsidRPr="0094627D" w:rsidP="006705EA" w14:paraId="4FF8720F" w14:textId="77777777">
      <w:pPr>
        <w:numPr>
          <w:ilvl w:val="0"/>
          <w:numId w:val="6"/>
        </w:numPr>
        <w:spacing w:after="200" w:line="276" w:lineRule="auto"/>
        <w:rPr>
          <w:rFonts w:eastAsia="Calibri"/>
          <w:color w:val="000000"/>
          <w:u w:val="single"/>
        </w:rPr>
      </w:pPr>
      <w:r w:rsidRPr="0094627D">
        <w:rPr>
          <w:rFonts w:eastAsia="Calibri"/>
          <w:color w:val="000000"/>
          <w:u w:val="single"/>
        </w:rPr>
        <w:t>Consequences of Collecting the Information Less Frequently</w:t>
      </w:r>
    </w:p>
    <w:p w:rsidR="00357C8A" w:rsidRPr="0094627D" w:rsidP="00357C8A" w14:paraId="093C8EFB" w14:textId="15B9BBE0">
      <w:pPr>
        <w:spacing w:after="200"/>
        <w:rPr>
          <w:rFonts w:eastAsia="Calibri"/>
          <w:color w:val="000000"/>
        </w:rPr>
      </w:pPr>
      <w:r w:rsidRPr="0094627D">
        <w:rPr>
          <w:rFonts w:eastAsia="Calibri"/>
          <w:color w:val="000000"/>
        </w:rPr>
        <w:t xml:space="preserve">The information collection schedule is consistent with statutory requirements.  This data collection is important because it is a follow-up to the NAFDS Report to Congress.  The collection will be the among the indicators of Federal and State response to food and agriculture defense goals, objectives, key initiatives, and activities that HHS, USDA, DHS, and other stakeholders plan to </w:t>
      </w:r>
      <w:r w:rsidRPr="0094627D">
        <w:rPr>
          <w:rFonts w:eastAsia="Calibri"/>
          <w:color w:val="000000"/>
        </w:rPr>
        <w:t xml:space="preserve">accomplish to meet the objectives outlined within FSMA.  If the information from the survey is not collected, FDA will be unable to complete the mandatory NAFDS follow-up </w:t>
      </w:r>
      <w:r w:rsidR="002E71CB">
        <w:rPr>
          <w:rFonts w:eastAsia="Calibri"/>
          <w:color w:val="000000"/>
        </w:rPr>
        <w:t>R</w:t>
      </w:r>
      <w:r w:rsidRPr="0094627D">
        <w:rPr>
          <w:rFonts w:eastAsia="Calibri"/>
          <w:color w:val="000000"/>
        </w:rPr>
        <w:t>eports to Congress.</w:t>
      </w:r>
    </w:p>
    <w:p w:rsidR="00357C8A" w:rsidRPr="0094627D" w:rsidP="006705EA" w14:paraId="7345EB61" w14:textId="77777777">
      <w:pPr>
        <w:numPr>
          <w:ilvl w:val="0"/>
          <w:numId w:val="6"/>
        </w:numPr>
        <w:spacing w:after="200" w:line="276" w:lineRule="auto"/>
        <w:rPr>
          <w:rFonts w:eastAsia="Calibri"/>
          <w:color w:val="000000"/>
        </w:rPr>
      </w:pPr>
      <w:r w:rsidRPr="0094627D">
        <w:rPr>
          <w:rFonts w:eastAsia="Calibri"/>
          <w:color w:val="000000"/>
          <w:u w:val="single"/>
        </w:rPr>
        <w:t>Special Circumstances Relating to the Guidelines of 5 CFR 1320.5</w:t>
      </w:r>
    </w:p>
    <w:p w:rsidR="00357C8A" w:rsidRPr="0094627D" w:rsidP="0022425B" w14:paraId="5C63CAEB" w14:textId="77777777">
      <w:pPr>
        <w:spacing w:after="200"/>
        <w:rPr>
          <w:rFonts w:eastAsia="Calibri"/>
          <w:color w:val="000000"/>
        </w:rPr>
      </w:pPr>
      <w:r w:rsidRPr="0094627D">
        <w:rPr>
          <w:rFonts w:eastAsia="Calibri"/>
          <w:color w:val="000000"/>
        </w:rPr>
        <w:t>There are no special circumstances associated with this information collection.</w:t>
      </w:r>
    </w:p>
    <w:p w:rsidR="00357C8A" w:rsidRPr="0094627D" w:rsidP="006705EA" w14:paraId="7B6C7BC0" w14:textId="77777777">
      <w:pPr>
        <w:numPr>
          <w:ilvl w:val="0"/>
          <w:numId w:val="6"/>
        </w:numPr>
        <w:spacing w:after="200" w:line="276" w:lineRule="auto"/>
        <w:rPr>
          <w:rFonts w:eastAsia="Calibri"/>
          <w:color w:val="000000"/>
        </w:rPr>
      </w:pPr>
      <w:r w:rsidRPr="0094627D">
        <w:rPr>
          <w:rFonts w:eastAsia="Calibri"/>
          <w:color w:val="000000"/>
          <w:u w:val="single"/>
        </w:rPr>
        <w:t>Comments in Response to the Federal Register Notice and Efforts to Consult Outside the Agency</w:t>
      </w:r>
    </w:p>
    <w:p w:rsidR="00357C8A" w:rsidRPr="0094627D" w:rsidP="00357C8A" w14:paraId="0BD4618D" w14:textId="77777777">
      <w:pPr>
        <w:spacing w:after="200"/>
        <w:rPr>
          <w:rFonts w:eastAsia="Calibri"/>
          <w:color w:val="000000"/>
        </w:rPr>
      </w:pPr>
      <w:r w:rsidRPr="0094627D">
        <w:rPr>
          <w:rFonts w:eastAsia="Calibri"/>
          <w:color w:val="000000"/>
        </w:rPr>
        <w:t xml:space="preserve">In accordance with 5 CFR 1320.8(d), we published a 60-day notice requesting public comment on the proposed collection of information in the </w:t>
      </w:r>
      <w:r w:rsidRPr="00F211F8">
        <w:rPr>
          <w:rFonts w:eastAsia="Calibri"/>
          <w:i/>
          <w:iCs/>
          <w:color w:val="000000"/>
        </w:rPr>
        <w:t>Federal Register</w:t>
      </w:r>
      <w:r w:rsidRPr="0094627D">
        <w:rPr>
          <w:rFonts w:eastAsia="Calibri"/>
          <w:color w:val="000000"/>
        </w:rPr>
        <w:t xml:space="preserve"> of </w:t>
      </w:r>
      <w:r w:rsidR="00A32DAA">
        <w:rPr>
          <w:rFonts w:eastAsia="Calibri"/>
          <w:color w:val="000000"/>
        </w:rPr>
        <w:t>March 26</w:t>
      </w:r>
      <w:r w:rsidRPr="0094627D" w:rsidR="004B7E40">
        <w:rPr>
          <w:rFonts w:eastAsia="Calibri"/>
          <w:color w:val="000000"/>
        </w:rPr>
        <w:t>,</w:t>
      </w:r>
      <w:r w:rsidRPr="0094627D">
        <w:rPr>
          <w:rFonts w:eastAsia="Calibri"/>
          <w:color w:val="000000"/>
        </w:rPr>
        <w:t xml:space="preserve"> 202</w:t>
      </w:r>
      <w:r w:rsidRPr="0094627D" w:rsidR="004B7E40">
        <w:rPr>
          <w:rFonts w:eastAsia="Calibri"/>
          <w:color w:val="000000"/>
        </w:rPr>
        <w:t>4</w:t>
      </w:r>
      <w:r w:rsidRPr="0094627D">
        <w:rPr>
          <w:rFonts w:eastAsia="Calibri"/>
          <w:color w:val="000000"/>
        </w:rPr>
        <w:t xml:space="preserve"> (8</w:t>
      </w:r>
      <w:r w:rsidRPr="0094627D" w:rsidR="004B7E40">
        <w:rPr>
          <w:rFonts w:eastAsia="Calibri"/>
          <w:color w:val="000000"/>
        </w:rPr>
        <w:t>9</w:t>
      </w:r>
      <w:r w:rsidRPr="0094627D">
        <w:rPr>
          <w:rFonts w:eastAsia="Calibri"/>
          <w:color w:val="000000"/>
        </w:rPr>
        <w:t xml:space="preserve"> FR </w:t>
      </w:r>
      <w:r w:rsidR="00A32DAA">
        <w:rPr>
          <w:rFonts w:eastAsia="Calibri"/>
          <w:color w:val="000000"/>
        </w:rPr>
        <w:t>20980</w:t>
      </w:r>
      <w:r w:rsidRPr="0094627D">
        <w:rPr>
          <w:rFonts w:eastAsia="Calibri"/>
          <w:color w:val="000000"/>
        </w:rPr>
        <w:t xml:space="preserve">).  </w:t>
      </w:r>
      <w:r w:rsidRPr="0094627D" w:rsidR="004B7E40">
        <w:rPr>
          <w:rFonts w:eastAsia="Calibri"/>
          <w:color w:val="000000"/>
        </w:rPr>
        <w:t>No</w:t>
      </w:r>
      <w:r w:rsidRPr="0094627D">
        <w:rPr>
          <w:rFonts w:eastAsia="Calibri"/>
          <w:color w:val="000000"/>
        </w:rPr>
        <w:t xml:space="preserve"> comment</w:t>
      </w:r>
      <w:r w:rsidRPr="0094627D" w:rsidR="004B7E40">
        <w:rPr>
          <w:rFonts w:eastAsia="Calibri"/>
          <w:color w:val="000000"/>
        </w:rPr>
        <w:t>s</w:t>
      </w:r>
      <w:r w:rsidRPr="0094627D">
        <w:rPr>
          <w:rFonts w:eastAsia="Calibri"/>
          <w:color w:val="000000"/>
        </w:rPr>
        <w:t xml:space="preserve"> w</w:t>
      </w:r>
      <w:r w:rsidRPr="0094627D" w:rsidR="004B7E40">
        <w:rPr>
          <w:rFonts w:eastAsia="Calibri"/>
          <w:color w:val="000000"/>
        </w:rPr>
        <w:t>ere</w:t>
      </w:r>
      <w:r w:rsidRPr="0094627D">
        <w:rPr>
          <w:rFonts w:eastAsia="Calibri"/>
          <w:color w:val="000000"/>
        </w:rPr>
        <w:t xml:space="preserve"> received</w:t>
      </w:r>
      <w:r w:rsidRPr="0094627D" w:rsidR="004B7E40">
        <w:rPr>
          <w:rFonts w:eastAsia="Calibri"/>
          <w:color w:val="000000"/>
        </w:rPr>
        <w:t>.</w:t>
      </w:r>
    </w:p>
    <w:p w:rsidR="00357C8A" w:rsidRPr="0094627D" w:rsidP="006705EA" w14:paraId="6DAF07CE" w14:textId="77777777">
      <w:pPr>
        <w:numPr>
          <w:ilvl w:val="0"/>
          <w:numId w:val="6"/>
        </w:numPr>
        <w:spacing w:after="200" w:line="276" w:lineRule="auto"/>
        <w:rPr>
          <w:rFonts w:eastAsia="Calibri"/>
          <w:color w:val="000000"/>
        </w:rPr>
      </w:pPr>
      <w:r w:rsidRPr="0094627D">
        <w:rPr>
          <w:rFonts w:eastAsia="Calibri"/>
          <w:color w:val="000000"/>
          <w:u w:val="single"/>
        </w:rPr>
        <w:t>Explanation of Any Payment or Gift to Respondents</w:t>
      </w:r>
    </w:p>
    <w:p w:rsidR="00357C8A" w:rsidRPr="0094627D" w:rsidP="00357C8A" w14:paraId="6ECB62C5" w14:textId="77777777">
      <w:pPr>
        <w:spacing w:after="200"/>
        <w:rPr>
          <w:rFonts w:eastAsia="Calibri"/>
          <w:color w:val="000000"/>
        </w:rPr>
      </w:pPr>
      <w:r w:rsidRPr="0094627D">
        <w:rPr>
          <w:rFonts w:eastAsia="Calibri"/>
          <w:color w:val="000000"/>
        </w:rPr>
        <w:t>There are no incentives, payments or gifts associated with this information collection.</w:t>
      </w:r>
    </w:p>
    <w:p w:rsidR="00357C8A" w:rsidRPr="0094627D" w:rsidP="006705EA" w14:paraId="0B990001" w14:textId="77777777">
      <w:pPr>
        <w:numPr>
          <w:ilvl w:val="0"/>
          <w:numId w:val="6"/>
        </w:numPr>
        <w:spacing w:after="200" w:line="276" w:lineRule="auto"/>
        <w:rPr>
          <w:rFonts w:eastAsia="Calibri"/>
          <w:color w:val="000000"/>
        </w:rPr>
      </w:pPr>
      <w:r w:rsidRPr="0094627D">
        <w:rPr>
          <w:rFonts w:eastAsia="Calibri"/>
          <w:color w:val="000000"/>
          <w:u w:val="single"/>
        </w:rPr>
        <w:t>Assurance of Confidentiality Provided to Respondents</w:t>
      </w:r>
    </w:p>
    <w:p w:rsidR="006A20CC" w:rsidRPr="006A20CC" w:rsidP="006A20CC" w14:paraId="07A1D127" w14:textId="0D6CB30F">
      <w:pPr>
        <w:spacing w:after="200"/>
        <w:rPr>
          <w:rFonts w:eastAsia="Calibri"/>
          <w:color w:val="000000"/>
        </w:rPr>
      </w:pPr>
      <w:r w:rsidRPr="006A20CC">
        <w:rPr>
          <w:rFonts w:eastAsia="Calibri"/>
          <w:color w:val="000000"/>
        </w:rPr>
        <w:t xml:space="preserve">In preparing this </w:t>
      </w:r>
      <w:r w:rsidR="00842516">
        <w:rPr>
          <w:rFonts w:eastAsia="Calibri"/>
          <w:color w:val="000000"/>
        </w:rPr>
        <w:t>s</w:t>
      </w:r>
      <w:r w:rsidRPr="006A20CC">
        <w:rPr>
          <w:rFonts w:eastAsia="Calibri"/>
          <w:color w:val="000000"/>
        </w:rPr>
        <w:t xml:space="preserve">upporting </w:t>
      </w:r>
      <w:r w:rsidR="00842516">
        <w:rPr>
          <w:rFonts w:eastAsia="Calibri"/>
          <w:color w:val="000000"/>
        </w:rPr>
        <w:t>s</w:t>
      </w:r>
      <w:r w:rsidRPr="006A20CC">
        <w:rPr>
          <w:rFonts w:eastAsia="Calibri"/>
          <w:color w:val="000000"/>
        </w:rPr>
        <w:t>tatement, we consulted our Privacy Office to ensure appropriate identification and handling of information collected.</w:t>
      </w:r>
    </w:p>
    <w:p w:rsidR="006A20CC" w:rsidRPr="006A20CC" w:rsidP="006A20CC" w14:paraId="65E16DC7" w14:textId="7F2C4937">
      <w:pPr>
        <w:spacing w:after="200"/>
        <w:rPr>
          <w:rFonts w:eastAsia="Calibri"/>
          <w:color w:val="000000"/>
        </w:rPr>
      </w:pPr>
      <w:r w:rsidRPr="006A20CC">
        <w:rPr>
          <w:rFonts w:eastAsia="Calibri"/>
          <w:color w:val="000000"/>
        </w:rPr>
        <w:t xml:space="preserve">This ICR collects personally identifiable information (PII). </w:t>
      </w:r>
      <w:r w:rsidR="00936C46">
        <w:rPr>
          <w:rFonts w:eastAsia="Calibri"/>
          <w:color w:val="000000"/>
        </w:rPr>
        <w:t xml:space="preserve"> </w:t>
      </w:r>
      <w:r w:rsidRPr="006A20CC">
        <w:rPr>
          <w:rFonts w:eastAsia="Calibri"/>
          <w:color w:val="000000"/>
        </w:rPr>
        <w:t xml:space="preserve">PII is collected in the context of the subject individuals’ professional capacity and the FDA-related work they perform for their employer (e.g., point of contact at a regulated entity).  The PII submitted via the NAFDS Survey access page is name, work email address, work telephone number, and agency name. </w:t>
      </w:r>
      <w:r w:rsidR="00936C46">
        <w:rPr>
          <w:rFonts w:eastAsia="Calibri"/>
          <w:color w:val="000000"/>
        </w:rPr>
        <w:t xml:space="preserve"> </w:t>
      </w:r>
      <w:r w:rsidRPr="006A20CC">
        <w:rPr>
          <w:rFonts w:eastAsia="Calibri"/>
          <w:color w:val="000000"/>
        </w:rPr>
        <w:t xml:space="preserve">FDA determined that although PII is collected, the collection is not subject to the Privacy Act of 1974 and the particular notice and other requirements of the Act do not apply. </w:t>
      </w:r>
      <w:r w:rsidR="00936C46">
        <w:rPr>
          <w:rFonts w:eastAsia="Calibri"/>
          <w:color w:val="000000"/>
        </w:rPr>
        <w:t xml:space="preserve"> </w:t>
      </w:r>
      <w:r w:rsidRPr="006A20CC">
        <w:rPr>
          <w:rFonts w:eastAsia="Calibri"/>
          <w:color w:val="000000"/>
        </w:rPr>
        <w:t xml:space="preserve">Specifically, FDA does not use name or any other personal identifier to retrieve records from the information collected. </w:t>
      </w:r>
      <w:r w:rsidR="00936C46">
        <w:rPr>
          <w:rFonts w:eastAsia="Calibri"/>
          <w:color w:val="000000"/>
        </w:rPr>
        <w:t xml:space="preserve"> </w:t>
      </w:r>
      <w:r w:rsidRPr="006A20CC">
        <w:rPr>
          <w:rFonts w:eastAsia="Calibri"/>
          <w:color w:val="000000"/>
        </w:rPr>
        <w:t>Through appropriate form and webpage design, FDA limited submission fields and minimized the PII collected to protect the privacy of the individuals.</w:t>
      </w:r>
    </w:p>
    <w:p w:rsidR="00357C8A" w:rsidRPr="0094627D" w:rsidP="0022425B" w14:paraId="143D565E" w14:textId="77777777">
      <w:pPr>
        <w:rPr>
          <w:rFonts w:eastAsia="Calibri"/>
          <w:color w:val="000000"/>
        </w:rPr>
      </w:pPr>
      <w:r w:rsidRPr="006A20CC">
        <w:rPr>
          <w:rFonts w:eastAsia="Calibri"/>
          <w:color w:val="000000"/>
        </w:rPr>
        <w:t xml:space="preserve">Under the Freedom of Information Act (FOIA) (5 U.S.C. 552), the public has broad access to government documents. </w:t>
      </w:r>
      <w:r w:rsidR="00936C46">
        <w:rPr>
          <w:rFonts w:eastAsia="Calibri"/>
          <w:color w:val="000000"/>
        </w:rPr>
        <w:t xml:space="preserve"> </w:t>
      </w:r>
      <w:r w:rsidRPr="006A20CC">
        <w:rPr>
          <w:rFonts w:eastAsia="Calibri"/>
          <w:color w:val="000000"/>
        </w:rPr>
        <w:t>However, FOIA provides certain exemptions from mandatory public disclosure of government records (5 U.S.C. 552(b</w:t>
      </w:r>
      <w:r w:rsidRPr="006A20CC">
        <w:rPr>
          <w:rFonts w:eastAsia="Calibri"/>
          <w:color w:val="000000"/>
        </w:rPr>
        <w:t>)(</w:t>
      </w:r>
      <w:r w:rsidRPr="006A20CC">
        <w:rPr>
          <w:rFonts w:eastAsia="Calibri"/>
          <w:color w:val="000000"/>
        </w:rPr>
        <w:t>1-9)).  FDA will make the fullest possible disclosure of records to the public, consistent with the rights of individuals to privacy, the property rights of persons in trade and confidential commercial or financial information.</w:t>
      </w:r>
    </w:p>
    <w:p w:rsidR="001075D3" w:rsidRPr="0094627D" w:rsidP="001075D3" w14:paraId="10271D48" w14:textId="77777777">
      <w:pPr>
        <w:ind w:left="720"/>
        <w:rPr>
          <w:color w:val="000000"/>
        </w:rPr>
      </w:pPr>
    </w:p>
    <w:p w:rsidR="00357C8A" w:rsidRPr="0094627D" w:rsidP="006705EA" w14:paraId="479B116C" w14:textId="77777777">
      <w:pPr>
        <w:numPr>
          <w:ilvl w:val="0"/>
          <w:numId w:val="6"/>
        </w:numPr>
        <w:spacing w:after="200" w:line="276" w:lineRule="auto"/>
        <w:rPr>
          <w:rFonts w:eastAsia="Calibri"/>
          <w:color w:val="000000"/>
        </w:rPr>
      </w:pPr>
      <w:r w:rsidRPr="0094627D">
        <w:rPr>
          <w:rFonts w:eastAsia="Calibri"/>
          <w:color w:val="000000"/>
          <w:u w:val="single"/>
        </w:rPr>
        <w:t>Justification for Sensitive Questions</w:t>
      </w:r>
    </w:p>
    <w:p w:rsidR="00357C8A" w:rsidRPr="0094627D" w:rsidP="0022425B" w14:paraId="22F833E7" w14:textId="77777777">
      <w:pPr>
        <w:spacing w:after="200"/>
        <w:rPr>
          <w:rFonts w:eastAsia="Calibri"/>
          <w:color w:val="000000"/>
        </w:rPr>
      </w:pPr>
      <w:r w:rsidRPr="0094627D">
        <w:rPr>
          <w:rFonts w:eastAsia="Calibri"/>
          <w:color w:val="000000"/>
        </w:rPr>
        <w:t>The collection of information does not involve sensitive questions.</w:t>
      </w:r>
    </w:p>
    <w:p w:rsidR="00357C8A" w:rsidRPr="0094627D" w:rsidP="006705EA" w14:paraId="26EBEC54" w14:textId="77777777">
      <w:pPr>
        <w:numPr>
          <w:ilvl w:val="0"/>
          <w:numId w:val="6"/>
        </w:numPr>
        <w:spacing w:after="200" w:line="276" w:lineRule="auto"/>
        <w:rPr>
          <w:rFonts w:eastAsia="Calibri"/>
          <w:color w:val="000000"/>
          <w:u w:val="single"/>
        </w:rPr>
      </w:pPr>
      <w:r w:rsidRPr="0094627D">
        <w:rPr>
          <w:rFonts w:eastAsia="Calibri"/>
          <w:color w:val="000000"/>
          <w:u w:val="single"/>
        </w:rPr>
        <w:t>Estimates of Annualized Burden Hours and Cost</w:t>
      </w:r>
    </w:p>
    <w:p w:rsidR="00357C8A" w:rsidRPr="0094627D" w:rsidP="0022425B" w14:paraId="43D609F6" w14:textId="77777777">
      <w:pPr>
        <w:spacing w:after="200"/>
        <w:ind w:left="360"/>
        <w:rPr>
          <w:rFonts w:eastAsia="Calibri"/>
          <w:color w:val="000000"/>
        </w:rPr>
      </w:pPr>
      <w:r w:rsidRPr="0094627D">
        <w:rPr>
          <w:rFonts w:eastAsia="Calibri"/>
          <w:color w:val="000000"/>
        </w:rPr>
        <w:t>12a.  Annualized Hour Burden Estimate</w:t>
      </w:r>
    </w:p>
    <w:p w:rsidR="00CA1AD3" w:rsidP="00CA1AD3" w14:paraId="05490C18" w14:textId="77777777">
      <w:pPr>
        <w:spacing w:after="200"/>
        <w:ind w:left="360"/>
        <w:rPr>
          <w:rFonts w:eastAsia="Calibri"/>
          <w:color w:val="000000"/>
        </w:rPr>
      </w:pPr>
      <w:r w:rsidRPr="0094627D">
        <w:rPr>
          <w:rFonts w:eastAsia="Calibri"/>
          <w:color w:val="000000"/>
        </w:rPr>
        <w:t xml:space="preserve">Based on our experience with the survey, we estimate the burden as follows: </w:t>
      </w:r>
    </w:p>
    <w:p w:rsidR="0091768B" w:rsidRPr="0094627D" w:rsidP="00CA1AD3" w14:paraId="30527FC1" w14:textId="77777777">
      <w:pPr>
        <w:spacing w:after="200"/>
        <w:ind w:left="360"/>
        <w:rPr>
          <w:rFonts w:eastAsia="Calibri"/>
          <w:color w:val="000000"/>
        </w:rPr>
      </w:pPr>
    </w:p>
    <w:tbl>
      <w:tblPr>
        <w:tblW w:w="4666"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9"/>
        <w:gridCol w:w="1352"/>
        <w:gridCol w:w="1799"/>
        <w:gridCol w:w="1531"/>
        <w:gridCol w:w="1800"/>
        <w:gridCol w:w="1038"/>
      </w:tblGrid>
      <w:tr w14:paraId="6530644E" w14:textId="77777777" w:rsidTr="00F211F8">
        <w:tblPrEx>
          <w:tblW w:w="4666"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bottom w:val="single" w:sz="4" w:space="0" w:color="auto"/>
              <w:right w:val="nil"/>
            </w:tcBorders>
            <w:hideMark/>
          </w:tcPr>
          <w:p w:rsidR="00CA1AD3" w:rsidRPr="0094627D" w:rsidP="0094627D" w14:paraId="5E61B382" w14:textId="6101B7A4">
            <w:pPr>
              <w:jc w:val="center"/>
              <w:rPr>
                <w:color w:val="000000"/>
                <w:sz w:val="20"/>
                <w:szCs w:val="20"/>
              </w:rPr>
            </w:pPr>
            <w:r w:rsidRPr="0094627D">
              <w:rPr>
                <w:color w:val="000000"/>
                <w:sz w:val="20"/>
                <w:szCs w:val="20"/>
              </w:rPr>
              <w:t>Table 1.--Estimated Annual Reporting Burden</w:t>
            </w:r>
            <w:r w:rsidRPr="0094627D">
              <w:rPr>
                <w:color w:val="000000"/>
                <w:sz w:val="20"/>
                <w:szCs w:val="20"/>
                <w:vertAlign w:val="superscript"/>
              </w:rPr>
              <w:t>1</w:t>
            </w:r>
          </w:p>
        </w:tc>
      </w:tr>
      <w:tr w14:paraId="158D4758" w14:textId="77777777" w:rsidTr="005C30DA">
        <w:tblPrEx>
          <w:tblW w:w="4666" w:type="pct"/>
          <w:tblInd w:w="360" w:type="dxa"/>
          <w:tblLook w:val="01E0"/>
        </w:tblPrEx>
        <w:trPr>
          <w:cantSplit/>
          <w:trHeight w:val="20"/>
        </w:trPr>
        <w:tc>
          <w:tcPr>
            <w:tcW w:w="761" w:type="pct"/>
            <w:tcBorders>
              <w:top w:val="single" w:sz="4" w:space="0" w:color="auto"/>
              <w:left w:val="single" w:sz="4" w:space="0" w:color="auto"/>
              <w:bottom w:val="single" w:sz="4" w:space="0" w:color="auto"/>
              <w:right w:val="single" w:sz="4" w:space="0" w:color="auto"/>
            </w:tcBorders>
            <w:hideMark/>
          </w:tcPr>
          <w:p w:rsidR="00CA1AD3" w:rsidRPr="0094627D" w:rsidP="0094627D" w14:paraId="0C84FBA0" w14:textId="77777777">
            <w:pPr>
              <w:jc w:val="center"/>
              <w:rPr>
                <w:color w:val="000000"/>
                <w:sz w:val="20"/>
                <w:szCs w:val="20"/>
              </w:rPr>
            </w:pPr>
            <w:r w:rsidRPr="0094627D">
              <w:rPr>
                <w:color w:val="000000"/>
                <w:sz w:val="20"/>
                <w:szCs w:val="20"/>
              </w:rPr>
              <w:t>Activity</w:t>
            </w:r>
          </w:p>
        </w:tc>
        <w:tc>
          <w:tcPr>
            <w:tcW w:w="762" w:type="pct"/>
            <w:tcBorders>
              <w:top w:val="single" w:sz="4" w:space="0" w:color="auto"/>
              <w:left w:val="single" w:sz="4" w:space="0" w:color="auto"/>
              <w:bottom w:val="single" w:sz="4" w:space="0" w:color="auto"/>
              <w:right w:val="single" w:sz="4" w:space="0" w:color="auto"/>
            </w:tcBorders>
            <w:hideMark/>
          </w:tcPr>
          <w:p w:rsidR="00CA1AD3" w:rsidRPr="0094627D" w:rsidP="0094627D" w14:paraId="64B5E331" w14:textId="77777777">
            <w:pPr>
              <w:jc w:val="center"/>
              <w:rPr>
                <w:color w:val="000000"/>
                <w:sz w:val="20"/>
                <w:szCs w:val="20"/>
              </w:rPr>
            </w:pPr>
            <w:r w:rsidRPr="0094627D">
              <w:rPr>
                <w:color w:val="000000"/>
                <w:sz w:val="20"/>
                <w:szCs w:val="20"/>
              </w:rPr>
              <w:t>No. of Respondents</w:t>
            </w:r>
          </w:p>
        </w:tc>
        <w:tc>
          <w:tcPr>
            <w:tcW w:w="1014" w:type="pct"/>
            <w:tcBorders>
              <w:top w:val="single" w:sz="4" w:space="0" w:color="auto"/>
              <w:left w:val="single" w:sz="4" w:space="0" w:color="auto"/>
              <w:bottom w:val="single" w:sz="4" w:space="0" w:color="auto"/>
              <w:right w:val="single" w:sz="4" w:space="0" w:color="auto"/>
            </w:tcBorders>
            <w:hideMark/>
          </w:tcPr>
          <w:p w:rsidR="00CA1AD3" w:rsidRPr="0094627D" w:rsidP="0094627D" w14:paraId="30D9C63D" w14:textId="77777777">
            <w:pPr>
              <w:jc w:val="center"/>
              <w:rPr>
                <w:color w:val="000000"/>
                <w:sz w:val="20"/>
                <w:szCs w:val="20"/>
              </w:rPr>
            </w:pPr>
            <w:r w:rsidRPr="0094627D">
              <w:rPr>
                <w:bCs/>
                <w:color w:val="000000"/>
                <w:sz w:val="20"/>
                <w:szCs w:val="20"/>
              </w:rPr>
              <w:t>No. of Responses per Respondent</w:t>
            </w:r>
          </w:p>
        </w:tc>
        <w:tc>
          <w:tcPr>
            <w:tcW w:w="863" w:type="pct"/>
            <w:tcBorders>
              <w:top w:val="single" w:sz="4" w:space="0" w:color="auto"/>
              <w:left w:val="single" w:sz="4" w:space="0" w:color="auto"/>
              <w:bottom w:val="single" w:sz="4" w:space="0" w:color="auto"/>
              <w:right w:val="single" w:sz="4" w:space="0" w:color="auto"/>
            </w:tcBorders>
            <w:hideMark/>
          </w:tcPr>
          <w:p w:rsidR="00CA1AD3" w:rsidRPr="0094627D" w:rsidP="0094627D" w14:paraId="2D96DA2B" w14:textId="77777777">
            <w:pPr>
              <w:jc w:val="center"/>
              <w:rPr>
                <w:color w:val="000000"/>
                <w:sz w:val="20"/>
                <w:szCs w:val="20"/>
              </w:rPr>
            </w:pPr>
            <w:r w:rsidRPr="0094627D">
              <w:rPr>
                <w:color w:val="000000"/>
                <w:sz w:val="20"/>
                <w:szCs w:val="20"/>
              </w:rPr>
              <w:t>Total Annual Responses</w:t>
            </w:r>
          </w:p>
        </w:tc>
        <w:tc>
          <w:tcPr>
            <w:tcW w:w="1015" w:type="pct"/>
            <w:tcBorders>
              <w:top w:val="single" w:sz="4" w:space="0" w:color="auto"/>
              <w:left w:val="single" w:sz="4" w:space="0" w:color="auto"/>
              <w:bottom w:val="single" w:sz="4" w:space="0" w:color="auto"/>
              <w:right w:val="single" w:sz="4" w:space="0" w:color="auto"/>
            </w:tcBorders>
            <w:hideMark/>
          </w:tcPr>
          <w:p w:rsidR="00CA1AD3" w:rsidRPr="0094627D" w:rsidP="0094627D" w14:paraId="0F3C6C74" w14:textId="77777777">
            <w:pPr>
              <w:jc w:val="center"/>
              <w:rPr>
                <w:color w:val="000000"/>
                <w:sz w:val="20"/>
                <w:szCs w:val="20"/>
              </w:rPr>
            </w:pPr>
            <w:r w:rsidRPr="0094627D">
              <w:rPr>
                <w:bCs/>
                <w:color w:val="000000"/>
                <w:sz w:val="20"/>
                <w:szCs w:val="20"/>
              </w:rPr>
              <w:t>Average Burden per Response</w:t>
            </w:r>
          </w:p>
        </w:tc>
        <w:tc>
          <w:tcPr>
            <w:tcW w:w="586" w:type="pct"/>
            <w:tcBorders>
              <w:top w:val="single" w:sz="4" w:space="0" w:color="auto"/>
              <w:left w:val="single" w:sz="4" w:space="0" w:color="auto"/>
              <w:bottom w:val="single" w:sz="4" w:space="0" w:color="auto"/>
              <w:right w:val="single" w:sz="4" w:space="0" w:color="auto"/>
            </w:tcBorders>
            <w:hideMark/>
          </w:tcPr>
          <w:p w:rsidR="00CA1AD3" w:rsidRPr="0094627D" w:rsidP="0094627D" w14:paraId="1C1966E6" w14:textId="77777777">
            <w:pPr>
              <w:jc w:val="center"/>
              <w:rPr>
                <w:color w:val="000000"/>
                <w:sz w:val="20"/>
                <w:szCs w:val="20"/>
              </w:rPr>
            </w:pPr>
            <w:r w:rsidRPr="0094627D">
              <w:rPr>
                <w:color w:val="000000"/>
                <w:sz w:val="20"/>
                <w:szCs w:val="20"/>
              </w:rPr>
              <w:t>Total Hours</w:t>
            </w:r>
          </w:p>
        </w:tc>
      </w:tr>
      <w:tr w14:paraId="164DFCC6" w14:textId="77777777" w:rsidTr="005C30DA">
        <w:tblPrEx>
          <w:tblW w:w="4666" w:type="pct"/>
          <w:tblInd w:w="360" w:type="dxa"/>
          <w:tblLook w:val="01E0"/>
        </w:tblPrEx>
        <w:trPr>
          <w:cantSplit/>
          <w:trHeight w:val="20"/>
        </w:trPr>
        <w:tc>
          <w:tcPr>
            <w:tcW w:w="761" w:type="pct"/>
            <w:tcBorders>
              <w:top w:val="single" w:sz="4" w:space="0" w:color="auto"/>
              <w:left w:val="single" w:sz="4" w:space="0" w:color="auto"/>
              <w:bottom w:val="single" w:sz="4" w:space="0" w:color="auto"/>
              <w:right w:val="single" w:sz="4" w:space="0" w:color="auto"/>
            </w:tcBorders>
            <w:hideMark/>
          </w:tcPr>
          <w:p w:rsidR="00CA1AD3" w:rsidRPr="0094627D" w:rsidP="0094627D" w14:paraId="67F6C0E0" w14:textId="77777777">
            <w:pPr>
              <w:rPr>
                <w:color w:val="000000"/>
                <w:sz w:val="20"/>
                <w:szCs w:val="20"/>
              </w:rPr>
            </w:pPr>
            <w:r w:rsidRPr="0094627D">
              <w:rPr>
                <w:color w:val="000000"/>
                <w:sz w:val="20"/>
                <w:szCs w:val="20"/>
              </w:rPr>
              <w:t>SLTT Survey</w:t>
            </w:r>
          </w:p>
        </w:tc>
        <w:tc>
          <w:tcPr>
            <w:tcW w:w="762" w:type="pct"/>
            <w:tcBorders>
              <w:top w:val="single" w:sz="4" w:space="0" w:color="auto"/>
              <w:left w:val="single" w:sz="4" w:space="0" w:color="auto"/>
              <w:bottom w:val="single" w:sz="4" w:space="0" w:color="auto"/>
              <w:right w:val="single" w:sz="4" w:space="0" w:color="auto"/>
            </w:tcBorders>
            <w:hideMark/>
          </w:tcPr>
          <w:p w:rsidR="00CA1AD3" w:rsidRPr="0094627D" w:rsidP="0094627D" w14:paraId="00523D47" w14:textId="77777777">
            <w:pPr>
              <w:jc w:val="center"/>
              <w:rPr>
                <w:color w:val="000000"/>
                <w:sz w:val="20"/>
                <w:szCs w:val="20"/>
              </w:rPr>
            </w:pPr>
            <w:r w:rsidRPr="0094627D">
              <w:rPr>
                <w:color w:val="000000"/>
                <w:sz w:val="20"/>
                <w:szCs w:val="20"/>
              </w:rPr>
              <w:t>500</w:t>
            </w:r>
          </w:p>
        </w:tc>
        <w:tc>
          <w:tcPr>
            <w:tcW w:w="1014" w:type="pct"/>
            <w:tcBorders>
              <w:top w:val="single" w:sz="4" w:space="0" w:color="auto"/>
              <w:left w:val="single" w:sz="4" w:space="0" w:color="auto"/>
              <w:bottom w:val="single" w:sz="4" w:space="0" w:color="auto"/>
              <w:right w:val="single" w:sz="4" w:space="0" w:color="auto"/>
            </w:tcBorders>
            <w:hideMark/>
          </w:tcPr>
          <w:p w:rsidR="00CA1AD3" w:rsidRPr="0094627D" w:rsidP="0094627D" w14:paraId="6E056F7B" w14:textId="77777777">
            <w:pPr>
              <w:jc w:val="center"/>
              <w:rPr>
                <w:color w:val="000000"/>
                <w:sz w:val="20"/>
                <w:szCs w:val="20"/>
              </w:rPr>
            </w:pPr>
            <w:r w:rsidRPr="0094627D">
              <w:rPr>
                <w:color w:val="000000"/>
                <w:sz w:val="20"/>
                <w:szCs w:val="20"/>
              </w:rPr>
              <w:t>1</w:t>
            </w:r>
          </w:p>
        </w:tc>
        <w:tc>
          <w:tcPr>
            <w:tcW w:w="863" w:type="pct"/>
            <w:tcBorders>
              <w:top w:val="single" w:sz="4" w:space="0" w:color="auto"/>
              <w:left w:val="single" w:sz="4" w:space="0" w:color="auto"/>
              <w:bottom w:val="single" w:sz="4" w:space="0" w:color="auto"/>
              <w:right w:val="single" w:sz="4" w:space="0" w:color="auto"/>
            </w:tcBorders>
            <w:hideMark/>
          </w:tcPr>
          <w:p w:rsidR="00CA1AD3" w:rsidRPr="0094627D" w:rsidP="0094627D" w14:paraId="6192C5B5" w14:textId="77777777">
            <w:pPr>
              <w:jc w:val="center"/>
              <w:rPr>
                <w:color w:val="000000"/>
                <w:sz w:val="20"/>
                <w:szCs w:val="20"/>
              </w:rPr>
            </w:pPr>
            <w:r w:rsidRPr="0094627D">
              <w:rPr>
                <w:color w:val="000000"/>
                <w:sz w:val="20"/>
                <w:szCs w:val="20"/>
              </w:rPr>
              <w:t>500</w:t>
            </w:r>
          </w:p>
        </w:tc>
        <w:tc>
          <w:tcPr>
            <w:tcW w:w="1015" w:type="pct"/>
            <w:tcBorders>
              <w:top w:val="single" w:sz="4" w:space="0" w:color="auto"/>
              <w:left w:val="single" w:sz="4" w:space="0" w:color="auto"/>
              <w:bottom w:val="single" w:sz="4" w:space="0" w:color="auto"/>
              <w:right w:val="single" w:sz="4" w:space="0" w:color="auto"/>
            </w:tcBorders>
            <w:hideMark/>
          </w:tcPr>
          <w:p w:rsidR="00CA1AD3" w:rsidRPr="0094627D" w:rsidP="0094627D" w14:paraId="56B79AED" w14:textId="77777777">
            <w:pPr>
              <w:jc w:val="center"/>
              <w:rPr>
                <w:color w:val="000000"/>
                <w:sz w:val="20"/>
                <w:szCs w:val="20"/>
              </w:rPr>
            </w:pPr>
            <w:r w:rsidRPr="0094627D">
              <w:rPr>
                <w:color w:val="000000"/>
                <w:sz w:val="20"/>
                <w:szCs w:val="20"/>
              </w:rPr>
              <w:t>0.33</w:t>
            </w:r>
          </w:p>
          <w:p w:rsidR="00CA1AD3" w:rsidRPr="0094627D" w:rsidP="0094627D" w14:paraId="5CBF5EB2" w14:textId="77777777">
            <w:pPr>
              <w:jc w:val="center"/>
              <w:rPr>
                <w:color w:val="000000"/>
                <w:sz w:val="20"/>
                <w:szCs w:val="20"/>
              </w:rPr>
            </w:pPr>
            <w:r w:rsidRPr="0094627D">
              <w:rPr>
                <w:color w:val="000000"/>
                <w:sz w:val="20"/>
                <w:szCs w:val="20"/>
              </w:rPr>
              <w:t>(20 minutes)</w:t>
            </w:r>
          </w:p>
        </w:tc>
        <w:tc>
          <w:tcPr>
            <w:tcW w:w="586" w:type="pct"/>
            <w:tcBorders>
              <w:top w:val="single" w:sz="4" w:space="0" w:color="auto"/>
              <w:left w:val="single" w:sz="4" w:space="0" w:color="auto"/>
              <w:bottom w:val="single" w:sz="4" w:space="0" w:color="auto"/>
              <w:right w:val="single" w:sz="4" w:space="0" w:color="auto"/>
            </w:tcBorders>
            <w:hideMark/>
          </w:tcPr>
          <w:p w:rsidR="00CA1AD3" w:rsidRPr="0094627D" w:rsidP="0094627D" w14:paraId="34A0C262" w14:textId="77777777">
            <w:pPr>
              <w:jc w:val="center"/>
              <w:rPr>
                <w:color w:val="000000"/>
                <w:sz w:val="20"/>
                <w:szCs w:val="20"/>
              </w:rPr>
            </w:pPr>
            <w:r w:rsidRPr="0094627D">
              <w:rPr>
                <w:color w:val="000000"/>
                <w:sz w:val="20"/>
                <w:szCs w:val="20"/>
              </w:rPr>
              <w:t>165</w:t>
            </w:r>
          </w:p>
        </w:tc>
      </w:tr>
    </w:tbl>
    <w:p w:rsidR="00CA1AD3" w:rsidRPr="0094627D" w:rsidP="00F211F8" w14:paraId="6173DD53" w14:textId="21CDEE2F">
      <w:pPr>
        <w:keepLines/>
        <w:spacing w:after="240"/>
        <w:ind w:left="360"/>
        <w:rPr>
          <w:color w:val="000000"/>
        </w:rPr>
      </w:pPr>
      <w:r w:rsidRPr="0094627D">
        <w:rPr>
          <w:color w:val="000000"/>
          <w:sz w:val="20"/>
          <w:szCs w:val="20"/>
          <w:vertAlign w:val="superscript"/>
        </w:rPr>
        <w:t>1</w:t>
      </w:r>
      <w:r w:rsidRPr="0094627D">
        <w:rPr>
          <w:color w:val="000000"/>
          <w:sz w:val="20"/>
          <w:szCs w:val="20"/>
        </w:rPr>
        <w:t>There are no capital costs or operating and maintenance costs associated with this collection of information.</w:t>
      </w:r>
    </w:p>
    <w:p w:rsidR="00357C8A" w:rsidRPr="0094627D" w:rsidP="00DC371B" w14:paraId="34FEB2C3" w14:textId="77777777">
      <w:pPr>
        <w:spacing w:after="200"/>
        <w:ind w:left="360"/>
        <w:rPr>
          <w:rFonts w:eastAsia="Calibri"/>
          <w:color w:val="000000"/>
        </w:rPr>
      </w:pPr>
      <w:r w:rsidRPr="0094627D">
        <w:rPr>
          <w:rFonts w:eastAsia="Calibri"/>
          <w:color w:val="000000"/>
        </w:rPr>
        <w:t>12b.  Annualized Cost Burden Estimate</w:t>
      </w:r>
    </w:p>
    <w:p w:rsidR="00CA1AD3" w:rsidRPr="0094627D" w:rsidP="00CA1AD3" w14:paraId="2A1CB51D" w14:textId="6D5CBA46">
      <w:pPr>
        <w:ind w:left="360"/>
        <w:rPr>
          <w:color w:val="000000"/>
          <w:szCs w:val="20"/>
        </w:rPr>
      </w:pPr>
      <w:r w:rsidRPr="0094627D">
        <w:rPr>
          <w:color w:val="000000"/>
          <w:szCs w:val="20"/>
        </w:rPr>
        <w:t xml:space="preserve">The annualized </w:t>
      </w:r>
      <w:r w:rsidR="00DC7559">
        <w:rPr>
          <w:color w:val="000000"/>
          <w:szCs w:val="20"/>
        </w:rPr>
        <w:t>burden hour</w:t>
      </w:r>
      <w:r w:rsidR="00B55700">
        <w:rPr>
          <w:color w:val="000000"/>
          <w:szCs w:val="20"/>
        </w:rPr>
        <w:t xml:space="preserve"> </w:t>
      </w:r>
      <w:r w:rsidRPr="0094627D">
        <w:rPr>
          <w:color w:val="000000"/>
          <w:szCs w:val="20"/>
        </w:rPr>
        <w:t xml:space="preserve">cost to respondents for the </w:t>
      </w:r>
      <w:r w:rsidR="00242087">
        <w:rPr>
          <w:color w:val="000000"/>
          <w:szCs w:val="20"/>
        </w:rPr>
        <w:t>survey</w:t>
      </w:r>
      <w:r w:rsidRPr="0094627D">
        <w:rPr>
          <w:color w:val="000000"/>
          <w:szCs w:val="20"/>
        </w:rPr>
        <w:t xml:space="preserve"> is $</w:t>
      </w:r>
      <w:r w:rsidR="006A20CC">
        <w:rPr>
          <w:color w:val="000000"/>
          <w:szCs w:val="20"/>
        </w:rPr>
        <w:t>10,927.95</w:t>
      </w:r>
      <w:r w:rsidRPr="0094627D">
        <w:rPr>
          <w:color w:val="000000"/>
          <w:szCs w:val="20"/>
        </w:rPr>
        <w:t xml:space="preserve"> (165 hours x $</w:t>
      </w:r>
      <w:r w:rsidR="006A20CC">
        <w:rPr>
          <w:color w:val="000000"/>
          <w:szCs w:val="20"/>
        </w:rPr>
        <w:t>66.23</w:t>
      </w:r>
      <w:r w:rsidRPr="0094627D">
        <w:rPr>
          <w:color w:val="000000"/>
          <w:szCs w:val="20"/>
        </w:rPr>
        <w:t xml:space="preserve">) </w:t>
      </w:r>
      <w:r w:rsidR="00242087">
        <w:rPr>
          <w:color w:val="000000"/>
          <w:szCs w:val="20"/>
        </w:rPr>
        <w:t>using</w:t>
      </w:r>
      <w:r w:rsidRPr="0094627D" w:rsidR="00242087">
        <w:rPr>
          <w:color w:val="000000"/>
          <w:szCs w:val="20"/>
        </w:rPr>
        <w:t xml:space="preserve"> </w:t>
      </w:r>
      <w:r w:rsidRPr="0094627D">
        <w:rPr>
          <w:color w:val="000000"/>
          <w:szCs w:val="20"/>
        </w:rPr>
        <w:t xml:space="preserve">the </w:t>
      </w:r>
      <w:r w:rsidR="006A20CC">
        <w:rPr>
          <w:color w:val="000000"/>
          <w:szCs w:val="20"/>
        </w:rPr>
        <w:t xml:space="preserve">May </w:t>
      </w:r>
      <w:r w:rsidRPr="0094627D">
        <w:rPr>
          <w:color w:val="000000"/>
          <w:szCs w:val="20"/>
        </w:rPr>
        <w:t>202</w:t>
      </w:r>
      <w:r w:rsidR="006A20CC">
        <w:rPr>
          <w:color w:val="000000"/>
          <w:szCs w:val="20"/>
        </w:rPr>
        <w:t>3</w:t>
      </w:r>
      <w:r w:rsidRPr="0094627D">
        <w:rPr>
          <w:color w:val="000000"/>
          <w:szCs w:val="20"/>
        </w:rPr>
        <w:t xml:space="preserve"> </w:t>
      </w:r>
      <w:r w:rsidRPr="0094627D" w:rsidR="00522FD8">
        <w:rPr>
          <w:color w:val="000000"/>
          <w:szCs w:val="20"/>
        </w:rPr>
        <w:t xml:space="preserve">hourly </w:t>
      </w:r>
      <w:r w:rsidRPr="0094627D">
        <w:rPr>
          <w:color w:val="000000"/>
          <w:szCs w:val="20"/>
        </w:rPr>
        <w:t>mean wage rate for those in management occupations in the United States.</w:t>
      </w:r>
      <w:r>
        <w:rPr>
          <w:color w:val="000000"/>
          <w:szCs w:val="20"/>
          <w:vertAlign w:val="superscript"/>
        </w:rPr>
        <w:footnoteReference w:id="2"/>
      </w:r>
      <w:r w:rsidRPr="0094627D" w:rsidR="004B7E40">
        <w:rPr>
          <w:color w:val="000000"/>
          <w:szCs w:val="20"/>
        </w:rPr>
        <w:t xml:space="preserve">  To account for overhead, we have doubled the</w:t>
      </w:r>
      <w:r w:rsidRPr="0094627D" w:rsidR="00522FD8">
        <w:rPr>
          <w:color w:val="000000"/>
          <w:szCs w:val="20"/>
        </w:rPr>
        <w:t xml:space="preserve"> hourly mean wage rate to $</w:t>
      </w:r>
      <w:r w:rsidRPr="005A64D1" w:rsidR="005A64D1">
        <w:rPr>
          <w:color w:val="000000"/>
          <w:szCs w:val="20"/>
        </w:rPr>
        <w:t>132.46</w:t>
      </w:r>
      <w:r w:rsidR="00005D10">
        <w:rPr>
          <w:color w:val="000000"/>
          <w:szCs w:val="20"/>
        </w:rPr>
        <w:t xml:space="preserve">, with the </w:t>
      </w:r>
      <w:r w:rsidR="004F148F">
        <w:rPr>
          <w:color w:val="000000"/>
          <w:szCs w:val="20"/>
        </w:rPr>
        <w:t xml:space="preserve">total </w:t>
      </w:r>
      <w:r w:rsidR="00005D10">
        <w:rPr>
          <w:color w:val="000000"/>
          <w:szCs w:val="20"/>
        </w:rPr>
        <w:t xml:space="preserve">estimated annual </w:t>
      </w:r>
      <w:r w:rsidR="004F148F">
        <w:rPr>
          <w:color w:val="000000"/>
          <w:szCs w:val="20"/>
        </w:rPr>
        <w:t xml:space="preserve">burden </w:t>
      </w:r>
      <w:r w:rsidR="00005D10">
        <w:rPr>
          <w:color w:val="000000"/>
          <w:szCs w:val="20"/>
        </w:rPr>
        <w:t>cost to be $21,855.90</w:t>
      </w:r>
      <w:r w:rsidRPr="0094627D" w:rsidR="00522FD8">
        <w:rPr>
          <w:color w:val="000000"/>
          <w:szCs w:val="20"/>
        </w:rPr>
        <w:t xml:space="preserve">.  </w:t>
      </w:r>
    </w:p>
    <w:p w:rsidR="00CA1AD3" w:rsidRPr="0094627D" w:rsidP="00CA1AD3" w14:paraId="2A5CDDF2" w14:textId="77777777">
      <w:pPr>
        <w:ind w:left="720"/>
        <w:rPr>
          <w:color w:val="000000"/>
          <w:szCs w:val="20"/>
        </w:rPr>
      </w:pPr>
    </w:p>
    <w:p w:rsidR="00CA1AD3" w:rsidRPr="0094627D" w:rsidP="00CA1AD3" w14:paraId="47BB6089" w14:textId="1962F4A9">
      <w:pPr>
        <w:ind w:left="720"/>
        <w:jc w:val="center"/>
        <w:rPr>
          <w:color w:val="000000"/>
          <w:sz w:val="20"/>
          <w:szCs w:val="20"/>
        </w:rPr>
      </w:pPr>
      <w:bookmarkStart w:id="0" w:name="_Hlk74646098"/>
      <w:r w:rsidRPr="0094627D">
        <w:rPr>
          <w:color w:val="000000"/>
          <w:sz w:val="20"/>
          <w:szCs w:val="20"/>
        </w:rPr>
        <w:t xml:space="preserve">Table </w:t>
      </w:r>
      <w:bookmarkEnd w:id="0"/>
      <w:r w:rsidRPr="0094627D">
        <w:rPr>
          <w:color w:val="000000"/>
          <w:sz w:val="20"/>
          <w:szCs w:val="20"/>
        </w:rPr>
        <w:t>2.--Estimated Annual Cost Burden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2070"/>
        <w:gridCol w:w="2340"/>
        <w:gridCol w:w="2430"/>
      </w:tblGrid>
      <w:tr w14:paraId="20E2F43B" w14:textId="77777777" w:rsidTr="00F211F8">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070" w:type="dxa"/>
            <w:shd w:val="clear" w:color="auto" w:fill="auto"/>
          </w:tcPr>
          <w:p w:rsidR="00CA1AD3" w:rsidRPr="0094627D" w:rsidP="0094627D" w14:paraId="7A733684" w14:textId="77777777">
            <w:pPr>
              <w:jc w:val="center"/>
              <w:rPr>
                <w:color w:val="000000"/>
                <w:sz w:val="20"/>
                <w:szCs w:val="20"/>
              </w:rPr>
            </w:pPr>
            <w:r w:rsidRPr="0094627D">
              <w:rPr>
                <w:color w:val="000000"/>
                <w:sz w:val="20"/>
                <w:szCs w:val="20"/>
              </w:rPr>
              <w:t>Activity</w:t>
            </w:r>
          </w:p>
        </w:tc>
        <w:tc>
          <w:tcPr>
            <w:tcW w:w="2070" w:type="dxa"/>
            <w:shd w:val="clear" w:color="auto" w:fill="auto"/>
          </w:tcPr>
          <w:p w:rsidR="00CA1AD3" w:rsidRPr="0094627D" w:rsidP="0094627D" w14:paraId="30FF627C" w14:textId="77777777">
            <w:pPr>
              <w:jc w:val="center"/>
              <w:rPr>
                <w:color w:val="000000"/>
                <w:sz w:val="20"/>
                <w:szCs w:val="20"/>
              </w:rPr>
            </w:pPr>
            <w:r w:rsidRPr="0094627D">
              <w:rPr>
                <w:color w:val="000000"/>
                <w:sz w:val="20"/>
                <w:szCs w:val="20"/>
              </w:rPr>
              <w:t>Total Burden Hours</w:t>
            </w:r>
          </w:p>
        </w:tc>
        <w:tc>
          <w:tcPr>
            <w:tcW w:w="2340" w:type="dxa"/>
            <w:shd w:val="clear" w:color="auto" w:fill="auto"/>
          </w:tcPr>
          <w:p w:rsidR="00CA1AD3" w:rsidRPr="0094627D" w:rsidP="0094627D" w14:paraId="507204B0" w14:textId="77777777">
            <w:pPr>
              <w:jc w:val="center"/>
              <w:rPr>
                <w:color w:val="000000"/>
                <w:sz w:val="20"/>
                <w:szCs w:val="20"/>
              </w:rPr>
            </w:pPr>
            <w:r w:rsidRPr="0094627D">
              <w:rPr>
                <w:color w:val="000000"/>
                <w:sz w:val="20"/>
                <w:szCs w:val="20"/>
              </w:rPr>
              <w:t>Hourly Wage Rate</w:t>
            </w:r>
          </w:p>
        </w:tc>
        <w:tc>
          <w:tcPr>
            <w:tcW w:w="2430" w:type="dxa"/>
            <w:shd w:val="clear" w:color="auto" w:fill="auto"/>
          </w:tcPr>
          <w:p w:rsidR="00CA1AD3" w:rsidRPr="0094627D" w:rsidP="0094627D" w14:paraId="412AC561" w14:textId="77777777">
            <w:pPr>
              <w:jc w:val="center"/>
              <w:rPr>
                <w:color w:val="000000"/>
                <w:sz w:val="20"/>
                <w:szCs w:val="20"/>
              </w:rPr>
            </w:pPr>
            <w:r w:rsidRPr="0094627D">
              <w:rPr>
                <w:color w:val="000000"/>
                <w:sz w:val="20"/>
                <w:szCs w:val="20"/>
              </w:rPr>
              <w:t>Total Respondent Costs</w:t>
            </w:r>
          </w:p>
        </w:tc>
      </w:tr>
      <w:tr w14:paraId="051B2169" w14:textId="77777777" w:rsidTr="00F211F8">
        <w:tblPrEx>
          <w:tblW w:w="0" w:type="auto"/>
          <w:tblInd w:w="355" w:type="dxa"/>
          <w:tblLook w:val="01E0"/>
        </w:tblPrEx>
        <w:tc>
          <w:tcPr>
            <w:tcW w:w="2070" w:type="dxa"/>
            <w:shd w:val="clear" w:color="auto" w:fill="auto"/>
          </w:tcPr>
          <w:p w:rsidR="00CA1AD3" w:rsidRPr="0094627D" w:rsidP="0094627D" w14:paraId="3DC034AE" w14:textId="77777777">
            <w:pPr>
              <w:rPr>
                <w:color w:val="000000"/>
                <w:sz w:val="20"/>
                <w:szCs w:val="20"/>
              </w:rPr>
            </w:pPr>
            <w:r w:rsidRPr="0094627D">
              <w:rPr>
                <w:color w:val="000000"/>
                <w:sz w:val="20"/>
                <w:szCs w:val="20"/>
              </w:rPr>
              <w:t>Responding to Survey</w:t>
            </w:r>
          </w:p>
        </w:tc>
        <w:tc>
          <w:tcPr>
            <w:tcW w:w="2070" w:type="dxa"/>
            <w:shd w:val="clear" w:color="auto" w:fill="auto"/>
          </w:tcPr>
          <w:p w:rsidR="00CA1AD3" w:rsidRPr="0094627D" w:rsidP="0094627D" w14:paraId="11B1C85D" w14:textId="77777777">
            <w:pPr>
              <w:jc w:val="center"/>
              <w:rPr>
                <w:color w:val="000000"/>
                <w:sz w:val="20"/>
                <w:szCs w:val="20"/>
              </w:rPr>
            </w:pPr>
            <w:r w:rsidRPr="0094627D">
              <w:rPr>
                <w:color w:val="000000"/>
                <w:sz w:val="20"/>
                <w:szCs w:val="20"/>
              </w:rPr>
              <w:t>165</w:t>
            </w:r>
          </w:p>
        </w:tc>
        <w:tc>
          <w:tcPr>
            <w:tcW w:w="2340" w:type="dxa"/>
            <w:shd w:val="clear" w:color="auto" w:fill="auto"/>
          </w:tcPr>
          <w:p w:rsidR="00CA1AD3" w:rsidRPr="0094627D" w:rsidP="0094627D" w14:paraId="6C604065" w14:textId="77777777">
            <w:pPr>
              <w:jc w:val="center"/>
              <w:rPr>
                <w:color w:val="000000"/>
                <w:sz w:val="20"/>
                <w:szCs w:val="20"/>
              </w:rPr>
            </w:pPr>
            <w:r w:rsidRPr="0094627D">
              <w:rPr>
                <w:color w:val="000000"/>
                <w:sz w:val="20"/>
                <w:szCs w:val="20"/>
              </w:rPr>
              <w:t>$</w:t>
            </w:r>
            <w:r w:rsidRPr="0094627D" w:rsidR="00522FD8">
              <w:rPr>
                <w:color w:val="000000"/>
                <w:sz w:val="20"/>
                <w:szCs w:val="20"/>
              </w:rPr>
              <w:t>1</w:t>
            </w:r>
            <w:r w:rsidR="006A20CC">
              <w:rPr>
                <w:color w:val="000000"/>
                <w:sz w:val="20"/>
                <w:szCs w:val="20"/>
              </w:rPr>
              <w:t>32.46</w:t>
            </w:r>
          </w:p>
        </w:tc>
        <w:tc>
          <w:tcPr>
            <w:tcW w:w="2430" w:type="dxa"/>
            <w:shd w:val="clear" w:color="auto" w:fill="auto"/>
          </w:tcPr>
          <w:p w:rsidR="00CA1AD3" w:rsidRPr="0094627D" w:rsidP="0094627D" w14:paraId="43934DC4" w14:textId="77777777">
            <w:pPr>
              <w:jc w:val="center"/>
              <w:rPr>
                <w:color w:val="000000"/>
                <w:sz w:val="20"/>
                <w:szCs w:val="20"/>
              </w:rPr>
            </w:pPr>
            <w:r w:rsidRPr="0094627D">
              <w:rPr>
                <w:color w:val="000000"/>
                <w:sz w:val="20"/>
                <w:szCs w:val="20"/>
              </w:rPr>
              <w:t>$</w:t>
            </w:r>
            <w:r w:rsidRPr="0094627D" w:rsidR="00522FD8">
              <w:rPr>
                <w:color w:val="000000"/>
                <w:sz w:val="20"/>
                <w:szCs w:val="20"/>
              </w:rPr>
              <w:t>2</w:t>
            </w:r>
            <w:r w:rsidR="006A20CC">
              <w:rPr>
                <w:color w:val="000000"/>
                <w:sz w:val="20"/>
                <w:szCs w:val="20"/>
              </w:rPr>
              <w:t>1,855.90</w:t>
            </w:r>
          </w:p>
        </w:tc>
      </w:tr>
    </w:tbl>
    <w:p w:rsidR="00CA1AD3" w:rsidRPr="0094627D" w:rsidP="00CA1AD3" w14:paraId="7CDD7E60" w14:textId="77777777">
      <w:pPr>
        <w:rPr>
          <w:rFonts w:eastAsia="Calibri"/>
          <w:color w:val="000000"/>
        </w:rPr>
      </w:pPr>
    </w:p>
    <w:p w:rsidR="00357C8A" w:rsidRPr="0094627D" w:rsidP="006705EA" w14:paraId="584622C8" w14:textId="77777777">
      <w:pPr>
        <w:numPr>
          <w:ilvl w:val="0"/>
          <w:numId w:val="6"/>
        </w:numPr>
        <w:spacing w:after="200" w:line="276" w:lineRule="auto"/>
        <w:rPr>
          <w:rFonts w:eastAsia="Calibri"/>
          <w:color w:val="000000"/>
        </w:rPr>
      </w:pPr>
      <w:r w:rsidRPr="0094627D">
        <w:rPr>
          <w:rFonts w:eastAsia="Calibri"/>
          <w:color w:val="000000"/>
          <w:u w:val="single"/>
        </w:rPr>
        <w:t xml:space="preserve">Estimates of Other Total Annual Costs </w:t>
      </w:r>
      <w:r w:rsidRPr="0094627D" w:rsidR="00590E90">
        <w:rPr>
          <w:rFonts w:eastAsia="Calibri"/>
          <w:color w:val="000000"/>
          <w:u w:val="single"/>
        </w:rPr>
        <w:t xml:space="preserve">to Respondents/Recordkeepers or </w:t>
      </w:r>
      <w:r w:rsidRPr="0094627D">
        <w:rPr>
          <w:rFonts w:eastAsia="Calibri"/>
          <w:color w:val="000000"/>
          <w:u w:val="single"/>
        </w:rPr>
        <w:t xml:space="preserve">Capital Costs </w:t>
      </w:r>
    </w:p>
    <w:p w:rsidR="0022425B" w:rsidRPr="0094627D" w:rsidP="0022425B" w14:paraId="15B140E1" w14:textId="77777777">
      <w:pPr>
        <w:spacing w:after="200" w:line="276" w:lineRule="auto"/>
        <w:rPr>
          <w:rFonts w:eastAsia="Calibri"/>
          <w:color w:val="000000"/>
          <w:u w:val="single"/>
        </w:rPr>
      </w:pPr>
      <w:r w:rsidRPr="0094627D">
        <w:rPr>
          <w:rFonts w:eastAsia="Calibri"/>
          <w:color w:val="000000"/>
        </w:rPr>
        <w:t>There are no capital, start-up, operating or maintenance costs associated with this information collection.</w:t>
      </w:r>
    </w:p>
    <w:p w:rsidR="00357C8A" w:rsidRPr="0094627D" w:rsidP="006705EA" w14:paraId="4C12B2A2" w14:textId="77777777">
      <w:pPr>
        <w:numPr>
          <w:ilvl w:val="0"/>
          <w:numId w:val="6"/>
        </w:numPr>
        <w:spacing w:after="200" w:line="276" w:lineRule="auto"/>
        <w:rPr>
          <w:rFonts w:eastAsia="Calibri"/>
          <w:color w:val="000000"/>
          <w:u w:val="single"/>
        </w:rPr>
      </w:pPr>
      <w:r w:rsidRPr="0094627D">
        <w:rPr>
          <w:rFonts w:eastAsia="Calibri"/>
          <w:color w:val="000000"/>
          <w:u w:val="single"/>
        </w:rPr>
        <w:t>Annualized Cost to the Federal Government</w:t>
      </w:r>
    </w:p>
    <w:p w:rsidR="00357C8A" w:rsidRPr="0094627D" w:rsidP="00357C8A" w14:paraId="045BC1DA" w14:textId="77777777">
      <w:pPr>
        <w:spacing w:after="200"/>
        <w:rPr>
          <w:rFonts w:eastAsia="Calibri"/>
          <w:color w:val="000000"/>
        </w:rPr>
      </w:pPr>
      <w:r w:rsidRPr="0094627D">
        <w:rPr>
          <w:rFonts w:eastAsia="Calibri"/>
          <w:color w:val="000000"/>
        </w:rPr>
        <w:t>The estimated cost to the Federal government is $1</w:t>
      </w:r>
      <w:r w:rsidR="007350F3">
        <w:rPr>
          <w:rFonts w:eastAsia="Calibri"/>
          <w:color w:val="000000"/>
        </w:rPr>
        <w:t>1</w:t>
      </w:r>
      <w:r w:rsidRPr="0094627D">
        <w:rPr>
          <w:rFonts w:eastAsia="Calibri"/>
          <w:color w:val="000000"/>
        </w:rPr>
        <w:t>,</w:t>
      </w:r>
      <w:r w:rsidR="007350F3">
        <w:rPr>
          <w:rFonts w:eastAsia="Calibri"/>
          <w:color w:val="000000"/>
        </w:rPr>
        <w:t>5</w:t>
      </w:r>
      <w:r w:rsidRPr="0094627D">
        <w:rPr>
          <w:rFonts w:eastAsia="Calibri"/>
          <w:color w:val="000000"/>
        </w:rPr>
        <w:t xml:space="preserve">00.  This cost </w:t>
      </w:r>
      <w:r w:rsidR="00DA06B4">
        <w:rPr>
          <w:rFonts w:eastAsia="Calibri"/>
          <w:color w:val="000000"/>
        </w:rPr>
        <w:t>reflects</w:t>
      </w:r>
      <w:r w:rsidR="007350F3">
        <w:rPr>
          <w:rFonts w:eastAsia="Calibri"/>
          <w:color w:val="000000"/>
        </w:rPr>
        <w:t xml:space="preserve"> the increase in government wages since 2021 and </w:t>
      </w:r>
      <w:r w:rsidRPr="0094627D">
        <w:rPr>
          <w:rFonts w:eastAsia="Calibri"/>
          <w:color w:val="000000"/>
        </w:rPr>
        <w:t>includes FDA staff time to develop the study materials, obtain clearances, contact the sample, collect the survey data, create a database of the data, tabulate and summarize the survey data, and prepare a final report.</w:t>
      </w:r>
    </w:p>
    <w:p w:rsidR="00357C8A" w:rsidRPr="0094627D" w:rsidP="006705EA" w14:paraId="4F28893C" w14:textId="0450BA29">
      <w:pPr>
        <w:numPr>
          <w:ilvl w:val="0"/>
          <w:numId w:val="6"/>
        </w:numPr>
        <w:spacing w:after="200" w:line="276" w:lineRule="auto"/>
        <w:rPr>
          <w:rFonts w:eastAsia="Calibri"/>
          <w:color w:val="000000"/>
          <w:u w:val="single"/>
        </w:rPr>
      </w:pPr>
      <w:r w:rsidRPr="0094627D">
        <w:rPr>
          <w:rFonts w:eastAsia="Calibri"/>
          <w:color w:val="000000"/>
          <w:u w:val="single"/>
        </w:rPr>
        <w:t>Explanation for Program Changes or Adjustments</w:t>
      </w:r>
    </w:p>
    <w:p w:rsidR="00357C8A" w:rsidRPr="0094627D" w:rsidP="00357C8A" w14:paraId="61258FBF" w14:textId="77777777">
      <w:pPr>
        <w:spacing w:after="200"/>
        <w:rPr>
          <w:rFonts w:eastAsia="Calibri"/>
          <w:color w:val="000000"/>
        </w:rPr>
      </w:pPr>
      <w:r w:rsidRPr="00522FD8">
        <w:rPr>
          <w:rFonts w:eastAsia="Calibri"/>
          <w:color w:val="000000"/>
        </w:rPr>
        <w:t>Based on a review of the information collection since our last request for OMB approval, we have made no adjustments to our burden estimat</w:t>
      </w:r>
      <w:r>
        <w:rPr>
          <w:rFonts w:eastAsia="Calibri"/>
          <w:color w:val="000000"/>
        </w:rPr>
        <w:t>e.</w:t>
      </w:r>
    </w:p>
    <w:p w:rsidR="00357C8A" w:rsidRPr="0094627D" w:rsidP="006705EA" w14:paraId="79088121" w14:textId="77777777">
      <w:pPr>
        <w:numPr>
          <w:ilvl w:val="0"/>
          <w:numId w:val="6"/>
        </w:numPr>
        <w:spacing w:after="200" w:line="276" w:lineRule="auto"/>
        <w:rPr>
          <w:rFonts w:eastAsia="Calibri"/>
          <w:color w:val="000000"/>
          <w:u w:val="single"/>
        </w:rPr>
      </w:pPr>
      <w:r w:rsidRPr="0094627D">
        <w:rPr>
          <w:rFonts w:eastAsia="Calibri"/>
          <w:color w:val="000000"/>
          <w:u w:val="single"/>
        </w:rPr>
        <w:t>Plans for Tabulation and Publication and Project Time Schedule</w:t>
      </w:r>
    </w:p>
    <w:p w:rsidR="00CA1AD3" w:rsidRPr="0094627D" w:rsidP="00F211F8" w14:paraId="564EBAA9" w14:textId="77777777">
      <w:pPr>
        <w:pStyle w:val="BodyText1"/>
        <w:spacing w:after="200"/>
        <w:ind w:firstLine="0"/>
        <w:rPr>
          <w:color w:val="000000"/>
        </w:rPr>
      </w:pPr>
      <w:r w:rsidRPr="0094627D">
        <w:rPr>
          <w:color w:val="000000"/>
        </w:rPr>
        <w:t xml:space="preserve">Activities associated with the outcomes of this survey will consist only of a top-line report summarizing the survey findings included in the NAFDS follow-up Report to Congress.  The planned schedule for project activities is shown below. </w:t>
      </w:r>
    </w:p>
    <w:p w:rsidR="00CA1AD3" w:rsidRPr="0094627D" w:rsidP="00CA1AD3" w14:paraId="255BBFFC" w14:textId="2802644E">
      <w:pPr>
        <w:pStyle w:val="TableTitle"/>
        <w:spacing w:after="0"/>
        <w:ind w:left="0" w:firstLine="0"/>
        <w:jc w:val="center"/>
        <w:rPr>
          <w:b w:val="0"/>
          <w:i/>
          <w:color w:val="000000"/>
          <w:sz w:val="20"/>
        </w:rPr>
      </w:pPr>
      <w:r w:rsidRPr="0094627D">
        <w:rPr>
          <w:b w:val="0"/>
          <w:color w:val="000000"/>
          <w:sz w:val="20"/>
        </w:rPr>
        <w:t xml:space="preserve">Table </w:t>
      </w:r>
      <w:r w:rsidRPr="0094627D">
        <w:rPr>
          <w:b w:val="0"/>
          <w:color w:val="000000"/>
          <w:sz w:val="20"/>
        </w:rPr>
        <w:t>3.--</w:t>
      </w:r>
      <w:r w:rsidRPr="0094627D">
        <w:rPr>
          <w:b w:val="0"/>
          <w:color w:val="000000"/>
          <w:sz w:val="20"/>
        </w:rPr>
        <w:t>Project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3960"/>
        <w:gridCol w:w="1620"/>
      </w:tblGrid>
      <w:tr w14:paraId="71F4FC5F" w14:textId="77777777" w:rsidTr="0094627D">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870" w:type="dxa"/>
          </w:tcPr>
          <w:p w:rsidR="00CA1AD3" w:rsidRPr="0094627D" w:rsidP="0094627D" w14:paraId="4BE0F12D"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0"/>
                <w:szCs w:val="20"/>
              </w:rPr>
            </w:pPr>
            <w:r w:rsidRPr="0094627D">
              <w:rPr>
                <w:b/>
                <w:color w:val="000000"/>
                <w:sz w:val="20"/>
                <w:szCs w:val="20"/>
              </w:rPr>
              <w:t>Date</w:t>
            </w:r>
          </w:p>
        </w:tc>
        <w:tc>
          <w:tcPr>
            <w:tcW w:w="3960" w:type="dxa"/>
          </w:tcPr>
          <w:p w:rsidR="00CA1AD3" w:rsidRPr="0094627D" w:rsidP="0094627D" w14:paraId="0F9121E5"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0"/>
                <w:szCs w:val="20"/>
              </w:rPr>
            </w:pPr>
            <w:r w:rsidRPr="0094627D">
              <w:rPr>
                <w:b/>
                <w:color w:val="000000"/>
                <w:sz w:val="20"/>
                <w:szCs w:val="20"/>
              </w:rPr>
              <w:t>Activity</w:t>
            </w:r>
          </w:p>
        </w:tc>
        <w:tc>
          <w:tcPr>
            <w:tcW w:w="1620" w:type="dxa"/>
          </w:tcPr>
          <w:p w:rsidR="00CA1AD3" w:rsidRPr="0094627D" w:rsidP="0094627D" w14:paraId="4DCDF9CD"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sz w:val="20"/>
                <w:szCs w:val="20"/>
              </w:rPr>
            </w:pPr>
            <w:r w:rsidRPr="0094627D">
              <w:rPr>
                <w:b/>
                <w:color w:val="000000"/>
                <w:sz w:val="20"/>
                <w:szCs w:val="20"/>
              </w:rPr>
              <w:t>Audience</w:t>
            </w:r>
          </w:p>
        </w:tc>
      </w:tr>
      <w:tr w14:paraId="0995A324" w14:textId="77777777" w:rsidTr="0094627D">
        <w:tblPrEx>
          <w:tblW w:w="0" w:type="auto"/>
          <w:tblInd w:w="-5" w:type="dxa"/>
          <w:tblLayout w:type="fixed"/>
          <w:tblLook w:val="0000"/>
        </w:tblPrEx>
        <w:tc>
          <w:tcPr>
            <w:tcW w:w="3870" w:type="dxa"/>
          </w:tcPr>
          <w:p w:rsidR="00CA1AD3" w:rsidRPr="0094627D" w:rsidP="0094627D" w14:paraId="5E82AC9D"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szCs w:val="20"/>
              </w:rPr>
            </w:pPr>
            <w:r w:rsidRPr="0094627D">
              <w:rPr>
                <w:color w:val="000000"/>
                <w:sz w:val="20"/>
                <w:szCs w:val="20"/>
              </w:rPr>
              <w:t>Within 3 days after receipt of OMB approval of collection of information</w:t>
            </w:r>
          </w:p>
        </w:tc>
        <w:tc>
          <w:tcPr>
            <w:tcW w:w="3960" w:type="dxa"/>
          </w:tcPr>
          <w:p w:rsidR="00CA1AD3" w:rsidRPr="0094627D" w:rsidP="0094627D" w14:paraId="5624F6A6" w14:textId="77777777">
            <w:pPr>
              <w:rPr>
                <w:color w:val="000000"/>
                <w:sz w:val="20"/>
                <w:szCs w:val="20"/>
              </w:rPr>
            </w:pPr>
            <w:r w:rsidRPr="0094627D">
              <w:rPr>
                <w:color w:val="000000"/>
                <w:sz w:val="20"/>
                <w:szCs w:val="20"/>
              </w:rPr>
              <w:t>Notification to FDA staff to proceed with data collection activities</w:t>
            </w:r>
          </w:p>
        </w:tc>
        <w:tc>
          <w:tcPr>
            <w:tcW w:w="1620" w:type="dxa"/>
          </w:tcPr>
          <w:p w:rsidR="00CA1AD3" w:rsidRPr="0094627D" w:rsidP="0094627D" w14:paraId="6317228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szCs w:val="20"/>
              </w:rPr>
            </w:pPr>
            <w:r w:rsidRPr="0094627D">
              <w:rPr>
                <w:color w:val="000000"/>
                <w:sz w:val="20"/>
                <w:szCs w:val="20"/>
              </w:rPr>
              <w:t>Not applicable</w:t>
            </w:r>
          </w:p>
        </w:tc>
      </w:tr>
      <w:tr w14:paraId="2D24CF41" w14:textId="77777777" w:rsidTr="0094627D">
        <w:tblPrEx>
          <w:tblW w:w="0" w:type="auto"/>
          <w:tblInd w:w="-5" w:type="dxa"/>
          <w:tblLayout w:type="fixed"/>
          <w:tblLook w:val="0000"/>
        </w:tblPrEx>
        <w:tc>
          <w:tcPr>
            <w:tcW w:w="3870" w:type="dxa"/>
          </w:tcPr>
          <w:p w:rsidR="00CA1AD3" w:rsidRPr="0094627D" w:rsidP="0094627D" w14:paraId="4CA051BA"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szCs w:val="20"/>
              </w:rPr>
            </w:pPr>
            <w:r w:rsidRPr="0094627D">
              <w:rPr>
                <w:color w:val="000000"/>
                <w:sz w:val="20"/>
                <w:szCs w:val="20"/>
              </w:rPr>
              <w:t xml:space="preserve">Within 60 days after staff notification </w:t>
            </w:r>
          </w:p>
        </w:tc>
        <w:tc>
          <w:tcPr>
            <w:tcW w:w="3960" w:type="dxa"/>
          </w:tcPr>
          <w:p w:rsidR="00CA1AD3" w:rsidRPr="0094627D" w:rsidP="0094627D" w14:paraId="3D6C2882" w14:textId="77777777">
            <w:pPr>
              <w:rPr>
                <w:color w:val="000000"/>
                <w:sz w:val="20"/>
                <w:szCs w:val="20"/>
              </w:rPr>
            </w:pPr>
            <w:r w:rsidRPr="0094627D">
              <w:rPr>
                <w:color w:val="000000"/>
                <w:sz w:val="20"/>
                <w:szCs w:val="20"/>
              </w:rPr>
              <w:t>Completion of data collection</w:t>
            </w:r>
          </w:p>
        </w:tc>
        <w:tc>
          <w:tcPr>
            <w:tcW w:w="1620" w:type="dxa"/>
          </w:tcPr>
          <w:p w:rsidR="00CA1AD3" w:rsidRPr="0094627D" w:rsidP="0094627D" w14:paraId="795AD831"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szCs w:val="20"/>
              </w:rPr>
            </w:pPr>
            <w:r w:rsidRPr="0094627D">
              <w:rPr>
                <w:color w:val="000000"/>
                <w:sz w:val="20"/>
                <w:szCs w:val="20"/>
              </w:rPr>
              <w:t>Not applicable</w:t>
            </w:r>
          </w:p>
        </w:tc>
      </w:tr>
      <w:tr w14:paraId="24B66D07" w14:textId="77777777" w:rsidTr="0094627D">
        <w:tblPrEx>
          <w:tblW w:w="0" w:type="auto"/>
          <w:tblInd w:w="-5" w:type="dxa"/>
          <w:tblLayout w:type="fixed"/>
          <w:tblLook w:val="0000"/>
        </w:tblPrEx>
        <w:tc>
          <w:tcPr>
            <w:tcW w:w="3870" w:type="dxa"/>
          </w:tcPr>
          <w:p w:rsidR="00CA1AD3" w:rsidRPr="0094627D" w:rsidP="0094627D" w14:paraId="782FC966"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szCs w:val="20"/>
              </w:rPr>
            </w:pPr>
            <w:r w:rsidRPr="0094627D">
              <w:rPr>
                <w:color w:val="000000"/>
                <w:sz w:val="20"/>
                <w:szCs w:val="20"/>
              </w:rPr>
              <w:t>Within 6 months after receipt of final data files</w:t>
            </w:r>
          </w:p>
        </w:tc>
        <w:tc>
          <w:tcPr>
            <w:tcW w:w="3960" w:type="dxa"/>
          </w:tcPr>
          <w:p w:rsidR="00CA1AD3" w:rsidRPr="0094627D" w:rsidP="0094627D" w14:paraId="5C4E579F" w14:textId="77777777">
            <w:pPr>
              <w:rPr>
                <w:color w:val="000000"/>
                <w:sz w:val="20"/>
                <w:szCs w:val="20"/>
              </w:rPr>
            </w:pPr>
            <w:r w:rsidRPr="0094627D">
              <w:rPr>
                <w:color w:val="000000"/>
                <w:sz w:val="20"/>
                <w:szCs w:val="20"/>
              </w:rPr>
              <w:t>Insertion of findings into NAFDS follow-up Report to Congress</w:t>
            </w:r>
          </w:p>
        </w:tc>
        <w:tc>
          <w:tcPr>
            <w:tcW w:w="1620" w:type="dxa"/>
          </w:tcPr>
          <w:p w:rsidR="00CA1AD3" w:rsidRPr="0094627D" w:rsidP="0094627D" w14:paraId="44845B7C"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szCs w:val="20"/>
              </w:rPr>
            </w:pPr>
            <w:r w:rsidRPr="0094627D">
              <w:rPr>
                <w:color w:val="000000"/>
                <w:sz w:val="20"/>
                <w:szCs w:val="20"/>
              </w:rPr>
              <w:t>U.S. Congress</w:t>
            </w:r>
          </w:p>
        </w:tc>
      </w:tr>
    </w:tbl>
    <w:p w:rsidR="00357C8A" w:rsidRPr="0094627D" w:rsidP="00357C8A" w14:paraId="05817C3D" w14:textId="77777777">
      <w:pPr>
        <w:spacing w:after="200"/>
        <w:rPr>
          <w:rFonts w:eastAsia="Calibri"/>
          <w:color w:val="000000"/>
        </w:rPr>
      </w:pPr>
    </w:p>
    <w:p w:rsidR="00357C8A" w:rsidRPr="0094627D" w:rsidP="006705EA" w14:paraId="5387E9B4" w14:textId="77777777">
      <w:pPr>
        <w:numPr>
          <w:ilvl w:val="0"/>
          <w:numId w:val="6"/>
        </w:numPr>
        <w:spacing w:after="200" w:line="276" w:lineRule="auto"/>
        <w:rPr>
          <w:rFonts w:eastAsia="Calibri"/>
          <w:color w:val="000000"/>
          <w:u w:val="single"/>
        </w:rPr>
      </w:pPr>
      <w:r w:rsidRPr="0094627D">
        <w:rPr>
          <w:rFonts w:eastAsia="Calibri"/>
          <w:color w:val="000000"/>
          <w:u w:val="single"/>
        </w:rPr>
        <w:t>Reason(s) Display of OMB Expiration Date is Inappropriate</w:t>
      </w:r>
    </w:p>
    <w:p w:rsidR="00357C8A" w:rsidRPr="0094627D" w:rsidP="00357C8A" w14:paraId="201D8B6A" w14:textId="77777777">
      <w:pPr>
        <w:spacing w:after="200"/>
        <w:rPr>
          <w:rFonts w:eastAsia="Calibri"/>
          <w:color w:val="000000"/>
        </w:rPr>
      </w:pPr>
      <w:r w:rsidRPr="0094627D">
        <w:rPr>
          <w:rFonts w:eastAsia="Calibri"/>
          <w:color w:val="000000"/>
        </w:rPr>
        <w:t>Display of the OMB expiration date is appropriate.</w:t>
      </w:r>
    </w:p>
    <w:p w:rsidR="00357C8A" w:rsidRPr="0094627D" w:rsidP="006705EA" w14:paraId="287A2000" w14:textId="77777777">
      <w:pPr>
        <w:numPr>
          <w:ilvl w:val="0"/>
          <w:numId w:val="6"/>
        </w:numPr>
        <w:spacing w:after="200" w:line="276" w:lineRule="auto"/>
        <w:rPr>
          <w:rFonts w:eastAsia="Calibri"/>
          <w:color w:val="000000"/>
          <w:u w:val="single"/>
        </w:rPr>
      </w:pPr>
      <w:r w:rsidRPr="0094627D">
        <w:rPr>
          <w:rFonts w:eastAsia="Calibri"/>
          <w:color w:val="000000"/>
          <w:u w:val="single"/>
        </w:rPr>
        <w:t>Exceptions to Certification for Paperwork Reduction Act Submissions</w:t>
      </w:r>
    </w:p>
    <w:p w:rsidR="00544138" w:rsidRPr="0094627D" w:rsidP="00CA1AD3" w14:paraId="702A6635" w14:textId="77777777">
      <w:pPr>
        <w:spacing w:after="200"/>
        <w:rPr>
          <w:rFonts w:eastAsia="Calibri"/>
          <w:color w:val="000000"/>
        </w:rPr>
      </w:pPr>
      <w:r w:rsidRPr="0094627D">
        <w:rPr>
          <w:rFonts w:eastAsia="Calibri"/>
          <w:color w:val="000000"/>
        </w:rPr>
        <w:t>There are no exceptions to the certification.</w:t>
      </w:r>
    </w:p>
    <w:sectPr w:rsidSect="005C71CA">
      <w:footerReference w:type="even" r:id="rId5"/>
      <w:footerReference w:type="default" r:id="rId6"/>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EEF3E1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4028">
      <w:rPr>
        <w:rStyle w:val="PageNumber"/>
        <w:noProof/>
      </w:rPr>
      <w:t>2</w:t>
    </w:r>
    <w:r>
      <w:rPr>
        <w:rStyle w:val="PageNumber"/>
      </w:rPr>
      <w:fldChar w:fldCharType="end"/>
    </w:r>
  </w:p>
  <w:p w:rsidR="00E63DE5" w14:paraId="1B2E12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BF0E1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30E15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5559" w14:paraId="09F58B6A" w14:textId="77777777">
      <w:r>
        <w:separator/>
      </w:r>
    </w:p>
  </w:footnote>
  <w:footnote w:type="continuationSeparator" w:id="1">
    <w:p w:rsidR="00C45559" w14:paraId="005E21C2" w14:textId="77777777">
      <w:r>
        <w:continuationSeparator/>
      </w:r>
    </w:p>
  </w:footnote>
  <w:footnote w:id="2">
    <w:p w:rsidR="00CA1AD3" w:rsidP="00F211F8" w14:paraId="0017B495" w14:textId="7ECEBAA8">
      <w:pPr>
        <w:pStyle w:val="FootnoteText"/>
      </w:pPr>
      <w:r>
        <w:rPr>
          <w:rStyle w:val="FootnoteReference"/>
        </w:rPr>
        <w:footnoteRef/>
      </w:r>
      <w:r>
        <w:t xml:space="preserve"> </w:t>
      </w:r>
      <w:r w:rsidR="00CB2F83">
        <w:t>U.S. Bure</w:t>
      </w:r>
      <w:r w:rsidR="000A512B">
        <w:t xml:space="preserve">au of Labor Statistics, </w:t>
      </w:r>
      <w:r w:rsidR="006E4B37">
        <w:t xml:space="preserve">Management Occupations – 11-000, </w:t>
      </w:r>
      <w:hyperlink r:id="rId1" w:history="1">
        <w:r w:rsidRPr="006E4B37" w:rsidR="006E4B37">
          <w:rPr>
            <w:rStyle w:val="Hyperlink"/>
          </w:rPr>
          <w:t>http://www.bls.gov/oes/current/oes_nat.htm</w:t>
        </w:r>
      </w:hyperlink>
      <w:r>
        <w:t xml:space="preserve">, accessed </w:t>
      </w:r>
      <w:r w:rsidR="006A20CC">
        <w:t>June</w:t>
      </w:r>
      <w:r>
        <w:t xml:space="preserve"> 202</w:t>
      </w:r>
      <w:r w:rsidR="004B7E40">
        <w:t>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19371044">
    <w:abstractNumId w:val="5"/>
  </w:num>
  <w:num w:numId="2" w16cid:durableId="1463309602">
    <w:abstractNumId w:val="1"/>
  </w:num>
  <w:num w:numId="3" w16cid:durableId="920480592">
    <w:abstractNumId w:val="6"/>
  </w:num>
  <w:num w:numId="4" w16cid:durableId="403333554">
    <w:abstractNumId w:val="3"/>
  </w:num>
  <w:num w:numId="5" w16cid:durableId="818156962">
    <w:abstractNumId w:val="7"/>
  </w:num>
  <w:num w:numId="6" w16cid:durableId="522978784">
    <w:abstractNumId w:val="0"/>
  </w:num>
  <w:num w:numId="7" w16cid:durableId="437600897">
    <w:abstractNumId w:val="2"/>
  </w:num>
  <w:num w:numId="8" w16cid:durableId="3122653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D10"/>
    <w:rsid w:val="0001496D"/>
    <w:rsid w:val="00031A2C"/>
    <w:rsid w:val="00033D1C"/>
    <w:rsid w:val="00042B93"/>
    <w:rsid w:val="00043C7F"/>
    <w:rsid w:val="000467A8"/>
    <w:rsid w:val="0006570F"/>
    <w:rsid w:val="00075DE8"/>
    <w:rsid w:val="00087439"/>
    <w:rsid w:val="000A512B"/>
    <w:rsid w:val="000B3771"/>
    <w:rsid w:val="000C1260"/>
    <w:rsid w:val="000C560C"/>
    <w:rsid w:val="000D080B"/>
    <w:rsid w:val="000D48FD"/>
    <w:rsid w:val="000D79CC"/>
    <w:rsid w:val="000E1C64"/>
    <w:rsid w:val="000E75F9"/>
    <w:rsid w:val="000F2A52"/>
    <w:rsid w:val="000F4ED0"/>
    <w:rsid w:val="000F7119"/>
    <w:rsid w:val="00100739"/>
    <w:rsid w:val="0010493E"/>
    <w:rsid w:val="001075D3"/>
    <w:rsid w:val="00107885"/>
    <w:rsid w:val="00114FC4"/>
    <w:rsid w:val="0012329C"/>
    <w:rsid w:val="001250D4"/>
    <w:rsid w:val="00132466"/>
    <w:rsid w:val="00134FA7"/>
    <w:rsid w:val="001356ED"/>
    <w:rsid w:val="00137950"/>
    <w:rsid w:val="00152F29"/>
    <w:rsid w:val="00174D54"/>
    <w:rsid w:val="0017702C"/>
    <w:rsid w:val="00183F1E"/>
    <w:rsid w:val="00185270"/>
    <w:rsid w:val="001A3B5A"/>
    <w:rsid w:val="001A458C"/>
    <w:rsid w:val="001B6612"/>
    <w:rsid w:val="001B7CE9"/>
    <w:rsid w:val="001D495A"/>
    <w:rsid w:val="001E244C"/>
    <w:rsid w:val="001F1437"/>
    <w:rsid w:val="00206799"/>
    <w:rsid w:val="002074FE"/>
    <w:rsid w:val="00220DB7"/>
    <w:rsid w:val="0022418C"/>
    <w:rsid w:val="0022425B"/>
    <w:rsid w:val="002259EF"/>
    <w:rsid w:val="00242087"/>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C6B58"/>
    <w:rsid w:val="002D14D8"/>
    <w:rsid w:val="002D4799"/>
    <w:rsid w:val="002E3FA4"/>
    <w:rsid w:val="002E53A5"/>
    <w:rsid w:val="002E64B8"/>
    <w:rsid w:val="002E6834"/>
    <w:rsid w:val="002E71CB"/>
    <w:rsid w:val="002F6C01"/>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17B0"/>
    <w:rsid w:val="003F3DF5"/>
    <w:rsid w:val="003F73B8"/>
    <w:rsid w:val="0040297E"/>
    <w:rsid w:val="00411D11"/>
    <w:rsid w:val="00414494"/>
    <w:rsid w:val="00415E23"/>
    <w:rsid w:val="0041670D"/>
    <w:rsid w:val="00423272"/>
    <w:rsid w:val="00424061"/>
    <w:rsid w:val="00431CA8"/>
    <w:rsid w:val="0043747A"/>
    <w:rsid w:val="00442A3C"/>
    <w:rsid w:val="00443969"/>
    <w:rsid w:val="00447D74"/>
    <w:rsid w:val="00450A74"/>
    <w:rsid w:val="004546BF"/>
    <w:rsid w:val="00465350"/>
    <w:rsid w:val="00476B91"/>
    <w:rsid w:val="004846BF"/>
    <w:rsid w:val="00494912"/>
    <w:rsid w:val="004A0652"/>
    <w:rsid w:val="004A508C"/>
    <w:rsid w:val="004A5323"/>
    <w:rsid w:val="004A5A99"/>
    <w:rsid w:val="004B4671"/>
    <w:rsid w:val="004B7E40"/>
    <w:rsid w:val="004C038A"/>
    <w:rsid w:val="004C6979"/>
    <w:rsid w:val="004D13A2"/>
    <w:rsid w:val="004D3E7A"/>
    <w:rsid w:val="004F148F"/>
    <w:rsid w:val="004F594B"/>
    <w:rsid w:val="004F61E1"/>
    <w:rsid w:val="005169FC"/>
    <w:rsid w:val="00522FD8"/>
    <w:rsid w:val="0053380B"/>
    <w:rsid w:val="00543194"/>
    <w:rsid w:val="00544138"/>
    <w:rsid w:val="00554E34"/>
    <w:rsid w:val="00584583"/>
    <w:rsid w:val="00590E90"/>
    <w:rsid w:val="00590EEB"/>
    <w:rsid w:val="00594028"/>
    <w:rsid w:val="005A4099"/>
    <w:rsid w:val="005A64D1"/>
    <w:rsid w:val="005B2374"/>
    <w:rsid w:val="005C30DA"/>
    <w:rsid w:val="005C38B2"/>
    <w:rsid w:val="005C5029"/>
    <w:rsid w:val="005C55C2"/>
    <w:rsid w:val="005C71CA"/>
    <w:rsid w:val="005C745C"/>
    <w:rsid w:val="005D4DF5"/>
    <w:rsid w:val="005E42BA"/>
    <w:rsid w:val="00603C20"/>
    <w:rsid w:val="00611D6B"/>
    <w:rsid w:val="00625CFD"/>
    <w:rsid w:val="006326EC"/>
    <w:rsid w:val="00637C52"/>
    <w:rsid w:val="00663A42"/>
    <w:rsid w:val="006641C7"/>
    <w:rsid w:val="006705EA"/>
    <w:rsid w:val="00670BE2"/>
    <w:rsid w:val="006916D9"/>
    <w:rsid w:val="006A0E05"/>
    <w:rsid w:val="006A20CC"/>
    <w:rsid w:val="006A26C6"/>
    <w:rsid w:val="006A465A"/>
    <w:rsid w:val="006A7D5D"/>
    <w:rsid w:val="006B095F"/>
    <w:rsid w:val="006D0C12"/>
    <w:rsid w:val="006D24EF"/>
    <w:rsid w:val="006D5D57"/>
    <w:rsid w:val="006E2538"/>
    <w:rsid w:val="006E302F"/>
    <w:rsid w:val="006E4B37"/>
    <w:rsid w:val="006E6C33"/>
    <w:rsid w:val="006F4D6D"/>
    <w:rsid w:val="00705086"/>
    <w:rsid w:val="00722001"/>
    <w:rsid w:val="007350F3"/>
    <w:rsid w:val="00744525"/>
    <w:rsid w:val="00751E66"/>
    <w:rsid w:val="00754497"/>
    <w:rsid w:val="00773201"/>
    <w:rsid w:val="007853DF"/>
    <w:rsid w:val="00787C39"/>
    <w:rsid w:val="00792947"/>
    <w:rsid w:val="007944A6"/>
    <w:rsid w:val="00795DF3"/>
    <w:rsid w:val="007A373C"/>
    <w:rsid w:val="007B225C"/>
    <w:rsid w:val="007B29F9"/>
    <w:rsid w:val="007C75B1"/>
    <w:rsid w:val="007D3DFC"/>
    <w:rsid w:val="007E2F07"/>
    <w:rsid w:val="007E59A8"/>
    <w:rsid w:val="0080776D"/>
    <w:rsid w:val="00810145"/>
    <w:rsid w:val="008108FA"/>
    <w:rsid w:val="00810FF1"/>
    <w:rsid w:val="00822336"/>
    <w:rsid w:val="00823DFA"/>
    <w:rsid w:val="00831495"/>
    <w:rsid w:val="00842516"/>
    <w:rsid w:val="00842DB7"/>
    <w:rsid w:val="00843752"/>
    <w:rsid w:val="00843B3A"/>
    <w:rsid w:val="0084479F"/>
    <w:rsid w:val="00854628"/>
    <w:rsid w:val="0085725E"/>
    <w:rsid w:val="00867F3C"/>
    <w:rsid w:val="00873D4F"/>
    <w:rsid w:val="0087509F"/>
    <w:rsid w:val="00885B09"/>
    <w:rsid w:val="00892400"/>
    <w:rsid w:val="008A209D"/>
    <w:rsid w:val="008A22BB"/>
    <w:rsid w:val="008A33A1"/>
    <w:rsid w:val="008B035D"/>
    <w:rsid w:val="008B0E29"/>
    <w:rsid w:val="008B0EFA"/>
    <w:rsid w:val="008B30AB"/>
    <w:rsid w:val="008C3BB8"/>
    <w:rsid w:val="008C4B65"/>
    <w:rsid w:val="008E5F55"/>
    <w:rsid w:val="009009E7"/>
    <w:rsid w:val="00905DEF"/>
    <w:rsid w:val="00906056"/>
    <w:rsid w:val="009122AE"/>
    <w:rsid w:val="00913B43"/>
    <w:rsid w:val="0091768B"/>
    <w:rsid w:val="009274F7"/>
    <w:rsid w:val="00930203"/>
    <w:rsid w:val="009311D2"/>
    <w:rsid w:val="009311E6"/>
    <w:rsid w:val="00931275"/>
    <w:rsid w:val="00936AC7"/>
    <w:rsid w:val="00936C46"/>
    <w:rsid w:val="0094627D"/>
    <w:rsid w:val="00953B64"/>
    <w:rsid w:val="0096140F"/>
    <w:rsid w:val="009646A7"/>
    <w:rsid w:val="00970A88"/>
    <w:rsid w:val="009818A1"/>
    <w:rsid w:val="009A1674"/>
    <w:rsid w:val="009B38BE"/>
    <w:rsid w:val="009B4DF2"/>
    <w:rsid w:val="009C684F"/>
    <w:rsid w:val="009D074C"/>
    <w:rsid w:val="009D6E73"/>
    <w:rsid w:val="009F0E82"/>
    <w:rsid w:val="009F1F1D"/>
    <w:rsid w:val="009F2B4F"/>
    <w:rsid w:val="009F3C63"/>
    <w:rsid w:val="009F66B5"/>
    <w:rsid w:val="00A02F10"/>
    <w:rsid w:val="00A1060C"/>
    <w:rsid w:val="00A16221"/>
    <w:rsid w:val="00A20A7D"/>
    <w:rsid w:val="00A32DAA"/>
    <w:rsid w:val="00A35D42"/>
    <w:rsid w:val="00A3666B"/>
    <w:rsid w:val="00A37AF3"/>
    <w:rsid w:val="00A4029D"/>
    <w:rsid w:val="00A46CCF"/>
    <w:rsid w:val="00A506DE"/>
    <w:rsid w:val="00A53451"/>
    <w:rsid w:val="00A53D7E"/>
    <w:rsid w:val="00A63021"/>
    <w:rsid w:val="00A7028A"/>
    <w:rsid w:val="00A70426"/>
    <w:rsid w:val="00A707CC"/>
    <w:rsid w:val="00A71410"/>
    <w:rsid w:val="00A91E9A"/>
    <w:rsid w:val="00A93ED9"/>
    <w:rsid w:val="00A9513F"/>
    <w:rsid w:val="00A96221"/>
    <w:rsid w:val="00AA0F30"/>
    <w:rsid w:val="00AC149F"/>
    <w:rsid w:val="00AC2DBB"/>
    <w:rsid w:val="00AC6A99"/>
    <w:rsid w:val="00AD5126"/>
    <w:rsid w:val="00AD6048"/>
    <w:rsid w:val="00B055EF"/>
    <w:rsid w:val="00B06B5B"/>
    <w:rsid w:val="00B23769"/>
    <w:rsid w:val="00B41789"/>
    <w:rsid w:val="00B55700"/>
    <w:rsid w:val="00B81808"/>
    <w:rsid w:val="00B86DFA"/>
    <w:rsid w:val="00B936D0"/>
    <w:rsid w:val="00BB15FB"/>
    <w:rsid w:val="00BB4A94"/>
    <w:rsid w:val="00BD3D5B"/>
    <w:rsid w:val="00BE3600"/>
    <w:rsid w:val="00BE57DC"/>
    <w:rsid w:val="00C01F6F"/>
    <w:rsid w:val="00C041EA"/>
    <w:rsid w:val="00C13BBD"/>
    <w:rsid w:val="00C149AB"/>
    <w:rsid w:val="00C16929"/>
    <w:rsid w:val="00C20690"/>
    <w:rsid w:val="00C36020"/>
    <w:rsid w:val="00C40694"/>
    <w:rsid w:val="00C45559"/>
    <w:rsid w:val="00C479BF"/>
    <w:rsid w:val="00C479FB"/>
    <w:rsid w:val="00C5124B"/>
    <w:rsid w:val="00C70542"/>
    <w:rsid w:val="00C75CBF"/>
    <w:rsid w:val="00C95368"/>
    <w:rsid w:val="00CA1AD3"/>
    <w:rsid w:val="00CB0ED7"/>
    <w:rsid w:val="00CB2F83"/>
    <w:rsid w:val="00CC2894"/>
    <w:rsid w:val="00CD77C3"/>
    <w:rsid w:val="00CE112C"/>
    <w:rsid w:val="00CE1BBA"/>
    <w:rsid w:val="00CF55D4"/>
    <w:rsid w:val="00D11E7D"/>
    <w:rsid w:val="00D17B82"/>
    <w:rsid w:val="00D563AA"/>
    <w:rsid w:val="00D608DA"/>
    <w:rsid w:val="00D730BF"/>
    <w:rsid w:val="00D852F4"/>
    <w:rsid w:val="00DA06B4"/>
    <w:rsid w:val="00DB1110"/>
    <w:rsid w:val="00DB3730"/>
    <w:rsid w:val="00DC371B"/>
    <w:rsid w:val="00DC3788"/>
    <w:rsid w:val="00DC7559"/>
    <w:rsid w:val="00DC76C7"/>
    <w:rsid w:val="00DD09F5"/>
    <w:rsid w:val="00DD0E02"/>
    <w:rsid w:val="00DD4201"/>
    <w:rsid w:val="00DD5DFD"/>
    <w:rsid w:val="00DD5E9F"/>
    <w:rsid w:val="00DE5711"/>
    <w:rsid w:val="00E00EA0"/>
    <w:rsid w:val="00E021CB"/>
    <w:rsid w:val="00E138F1"/>
    <w:rsid w:val="00E2309D"/>
    <w:rsid w:val="00E26758"/>
    <w:rsid w:val="00E4357B"/>
    <w:rsid w:val="00E443A7"/>
    <w:rsid w:val="00E45904"/>
    <w:rsid w:val="00E63DE5"/>
    <w:rsid w:val="00E647AF"/>
    <w:rsid w:val="00E647C7"/>
    <w:rsid w:val="00E65A37"/>
    <w:rsid w:val="00E65EF7"/>
    <w:rsid w:val="00E77B48"/>
    <w:rsid w:val="00E82BEE"/>
    <w:rsid w:val="00E857FB"/>
    <w:rsid w:val="00E91799"/>
    <w:rsid w:val="00E97DF8"/>
    <w:rsid w:val="00EA21FE"/>
    <w:rsid w:val="00EA34E3"/>
    <w:rsid w:val="00EB7538"/>
    <w:rsid w:val="00EC1868"/>
    <w:rsid w:val="00EE6468"/>
    <w:rsid w:val="00F1299B"/>
    <w:rsid w:val="00F207A4"/>
    <w:rsid w:val="00F211F8"/>
    <w:rsid w:val="00F25158"/>
    <w:rsid w:val="00F25173"/>
    <w:rsid w:val="00F27DF0"/>
    <w:rsid w:val="00F30082"/>
    <w:rsid w:val="00F355AC"/>
    <w:rsid w:val="00F40CF7"/>
    <w:rsid w:val="00F44194"/>
    <w:rsid w:val="00F62B69"/>
    <w:rsid w:val="00F71A5A"/>
    <w:rsid w:val="00F73A1A"/>
    <w:rsid w:val="00F769E0"/>
    <w:rsid w:val="00FA4A46"/>
    <w:rsid w:val="00FA75FE"/>
    <w:rsid w:val="00FB1032"/>
    <w:rsid w:val="00FB39BC"/>
    <w:rsid w:val="00FB6A53"/>
    <w:rsid w:val="00FC11CA"/>
    <w:rsid w:val="00FC6BDE"/>
    <w:rsid w:val="00FD43F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C3CF7A"/>
  <w15:chartTrackingRefBased/>
  <w15:docId w15:val="{1B008734-8C5F-409E-B6FB-20357FD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594028"/>
    <w:rPr>
      <w:sz w:val="24"/>
      <w:szCs w:val="24"/>
    </w:rPr>
  </w:style>
  <w:style w:type="paragraph" w:styleId="FootnoteText">
    <w:name w:val="footnote text"/>
    <w:basedOn w:val="Normal"/>
    <w:link w:val="FootnoteTextChar"/>
    <w:rsid w:val="00CA1AD3"/>
    <w:rPr>
      <w:sz w:val="20"/>
      <w:szCs w:val="20"/>
    </w:rPr>
  </w:style>
  <w:style w:type="character" w:customStyle="1" w:styleId="FootnoteTextChar">
    <w:name w:val="Footnote Text Char"/>
    <w:basedOn w:val="DefaultParagraphFont"/>
    <w:link w:val="FootnoteText"/>
    <w:rsid w:val="00CA1AD3"/>
  </w:style>
  <w:style w:type="character" w:styleId="FootnoteReference">
    <w:name w:val="footnote reference"/>
    <w:rsid w:val="00CA1AD3"/>
    <w:rPr>
      <w:vertAlign w:val="superscript"/>
    </w:rPr>
  </w:style>
  <w:style w:type="paragraph" w:customStyle="1" w:styleId="BodyText1">
    <w:name w:val="Body Text1"/>
    <w:aliases w:val="body tx,bt,flush,indent"/>
    <w:basedOn w:val="Normal"/>
    <w:link w:val="bodytextChar"/>
    <w:rsid w:val="00CA1AD3"/>
    <w:pPr>
      <w:spacing w:after="240"/>
      <w:ind w:firstLine="720"/>
    </w:pPr>
  </w:style>
  <w:style w:type="character" w:customStyle="1" w:styleId="bodytextChar">
    <w:name w:val="body text Char"/>
    <w:aliases w:val="bt Char"/>
    <w:link w:val="BodyText1"/>
    <w:rsid w:val="00CA1AD3"/>
    <w:rPr>
      <w:sz w:val="24"/>
      <w:szCs w:val="24"/>
    </w:rPr>
  </w:style>
  <w:style w:type="paragraph" w:customStyle="1" w:styleId="TableTitle">
    <w:name w:val="Table Title"/>
    <w:basedOn w:val="Normal"/>
    <w:rsid w:val="00CA1AD3"/>
    <w:pPr>
      <w:keepNext/>
      <w:keepLines/>
      <w:spacing w:before="240" w:after="240"/>
      <w:ind w:left="1260" w:hanging="126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1757</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2</cp:revision>
  <cp:lastPrinted>2019-07-03T16:25:00Z</cp:lastPrinted>
  <dcterms:created xsi:type="dcterms:W3CDTF">2024-07-18T15:15:00Z</dcterms:created>
  <dcterms:modified xsi:type="dcterms:W3CDTF">2024-07-18T15:15:00Z</dcterms:modified>
</cp:coreProperties>
</file>